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4F697">
      <w:pPr>
        <w:pStyle w:val="4"/>
        <w:rPr>
          <w:rFonts w:cs="Times New Roman"/>
          <w:color w:val="auto"/>
          <w:highlight w:val="none"/>
        </w:rPr>
      </w:pPr>
    </w:p>
    <w:p w14:paraId="68FB5FC3">
      <w:pPr>
        <w:jc w:val="center"/>
        <w:rPr>
          <w:rFonts w:hint="eastAsia" w:ascii="宋体" w:eastAsia="宋体"/>
          <w:b/>
          <w:bCs/>
          <w:color w:val="auto"/>
          <w:sz w:val="44"/>
          <w:szCs w:val="44"/>
          <w:highlight w:val="none"/>
          <w:lang w:eastAsia="zh-CN"/>
        </w:rPr>
      </w:pPr>
      <w:r>
        <w:rPr>
          <w:rFonts w:hint="eastAsia" w:ascii="宋体" w:hAnsi="宋体" w:cs="宋体"/>
          <w:b/>
          <w:bCs/>
          <w:color w:val="auto"/>
          <w:sz w:val="52"/>
          <w:szCs w:val="52"/>
          <w:highlight w:val="none"/>
          <w:lang w:eastAsia="zh-CN"/>
        </w:rPr>
        <w:t>丰惠古城文旅宣传矩阵采购项目</w:t>
      </w:r>
    </w:p>
    <w:p w14:paraId="431BD219">
      <w:pPr>
        <w:pStyle w:val="7"/>
        <w:rPr>
          <w:rFonts w:ascii="宋体"/>
          <w:b/>
          <w:bCs/>
          <w:color w:val="auto"/>
          <w:sz w:val="44"/>
          <w:szCs w:val="44"/>
          <w:highlight w:val="none"/>
        </w:rPr>
      </w:pPr>
    </w:p>
    <w:p w14:paraId="237748A2">
      <w:pPr>
        <w:pStyle w:val="7"/>
        <w:rPr>
          <w:rFonts w:ascii="宋体"/>
          <w:b/>
          <w:bCs/>
          <w:color w:val="auto"/>
          <w:sz w:val="44"/>
          <w:szCs w:val="44"/>
          <w:highlight w:val="none"/>
        </w:rPr>
      </w:pPr>
    </w:p>
    <w:p w14:paraId="083DD188">
      <w:pPr>
        <w:rPr>
          <w:rFonts w:ascii="宋体"/>
          <w:b/>
          <w:bCs/>
          <w:color w:val="auto"/>
          <w:sz w:val="44"/>
          <w:szCs w:val="44"/>
          <w:highlight w:val="none"/>
        </w:rPr>
      </w:pPr>
    </w:p>
    <w:p w14:paraId="016BA279">
      <w:pPr>
        <w:pStyle w:val="10"/>
      </w:pPr>
    </w:p>
    <w:p w14:paraId="26C0A8B8">
      <w:pPr>
        <w:pStyle w:val="7"/>
        <w:rPr>
          <w:rFonts w:ascii="宋体"/>
          <w:b/>
          <w:bCs/>
          <w:color w:val="auto"/>
          <w:sz w:val="44"/>
          <w:szCs w:val="44"/>
          <w:highlight w:val="none"/>
        </w:rPr>
      </w:pPr>
    </w:p>
    <w:p w14:paraId="05A3E0FF">
      <w:pPr>
        <w:pStyle w:val="7"/>
        <w:rPr>
          <w:rFonts w:ascii="宋体"/>
          <w:b/>
          <w:bCs/>
          <w:color w:val="auto"/>
          <w:sz w:val="44"/>
          <w:szCs w:val="44"/>
          <w:highlight w:val="none"/>
        </w:rPr>
      </w:pPr>
    </w:p>
    <w:p w14:paraId="03664C6D">
      <w:pPr>
        <w:pStyle w:val="7"/>
        <w:rPr>
          <w:color w:val="auto"/>
          <w:highlight w:val="none"/>
        </w:rPr>
      </w:pPr>
    </w:p>
    <w:p w14:paraId="113CFABD">
      <w:pPr>
        <w:spacing w:line="360" w:lineRule="auto"/>
        <w:jc w:val="center"/>
        <w:rPr>
          <w:rFonts w:ascii="宋体"/>
          <w:b/>
          <w:bCs/>
          <w:color w:val="auto"/>
          <w:sz w:val="24"/>
          <w:szCs w:val="24"/>
          <w:highlight w:val="none"/>
        </w:rPr>
      </w:pPr>
      <w:r>
        <w:rPr>
          <w:rFonts w:hint="eastAsia" w:ascii="宋体" w:hAnsi="宋体" w:cs="宋体"/>
          <w:b/>
          <w:bCs/>
          <w:color w:val="auto"/>
          <w:sz w:val="72"/>
          <w:szCs w:val="72"/>
          <w:highlight w:val="none"/>
        </w:rPr>
        <w:t>竞争性磋商文件</w:t>
      </w:r>
    </w:p>
    <w:p w14:paraId="660DC2D6">
      <w:pPr>
        <w:spacing w:line="360" w:lineRule="auto"/>
        <w:jc w:val="center"/>
        <w:rPr>
          <w:rFonts w:ascii="宋体"/>
          <w:b/>
          <w:bCs/>
          <w:color w:val="0000FF"/>
          <w:sz w:val="24"/>
          <w:szCs w:val="24"/>
          <w:highlight w:val="none"/>
        </w:rPr>
      </w:pPr>
    </w:p>
    <w:p w14:paraId="2C2A4972">
      <w:pPr>
        <w:snapToGrid w:val="0"/>
        <w:spacing w:line="360" w:lineRule="auto"/>
        <w:ind w:firstLine="2301" w:firstLineChars="767"/>
        <w:jc w:val="left"/>
        <w:rPr>
          <w:rFonts w:hint="eastAsia" w:ascii="宋体" w:eastAsia="宋体"/>
          <w:color w:val="auto"/>
          <w:sz w:val="30"/>
          <w:szCs w:val="30"/>
          <w:highlight w:val="none"/>
          <w:u w:val="singl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lang w:eastAsia="zh-CN"/>
        </w:rPr>
        <w:t>ZJGX-2025-008</w:t>
      </w:r>
    </w:p>
    <w:p w14:paraId="0B83BEC4">
      <w:pPr>
        <w:snapToGrid w:val="0"/>
        <w:spacing w:line="360" w:lineRule="auto"/>
        <w:ind w:firstLine="2301" w:firstLineChars="767"/>
        <w:jc w:val="left"/>
        <w:rPr>
          <w:rFonts w:ascii="宋体"/>
          <w:color w:val="auto"/>
          <w:sz w:val="30"/>
          <w:szCs w:val="30"/>
          <w:highlight w:val="none"/>
        </w:rPr>
      </w:pPr>
    </w:p>
    <w:p w14:paraId="465FC880">
      <w:pPr>
        <w:spacing w:line="360" w:lineRule="auto"/>
        <w:rPr>
          <w:rFonts w:ascii="宋体"/>
          <w:color w:val="auto"/>
          <w:sz w:val="28"/>
          <w:szCs w:val="28"/>
          <w:highlight w:val="none"/>
        </w:rPr>
      </w:pPr>
    </w:p>
    <w:p w14:paraId="2F2D45FB">
      <w:pPr>
        <w:spacing w:line="360" w:lineRule="auto"/>
        <w:jc w:val="center"/>
        <w:rPr>
          <w:rFonts w:ascii="宋体"/>
          <w:color w:val="auto"/>
          <w:sz w:val="24"/>
          <w:szCs w:val="24"/>
          <w:highlight w:val="none"/>
        </w:rPr>
      </w:pPr>
    </w:p>
    <w:p w14:paraId="4BAFD23E">
      <w:pPr>
        <w:spacing w:line="360" w:lineRule="auto"/>
        <w:jc w:val="center"/>
        <w:rPr>
          <w:rFonts w:ascii="宋体"/>
          <w:color w:val="auto"/>
          <w:sz w:val="24"/>
          <w:szCs w:val="24"/>
          <w:highlight w:val="none"/>
        </w:rPr>
      </w:pPr>
    </w:p>
    <w:p w14:paraId="7F10F6BD">
      <w:pPr>
        <w:spacing w:line="360" w:lineRule="auto"/>
        <w:jc w:val="center"/>
        <w:rPr>
          <w:rFonts w:ascii="宋体"/>
          <w:color w:val="auto"/>
          <w:sz w:val="24"/>
          <w:szCs w:val="24"/>
          <w:highlight w:val="none"/>
        </w:rPr>
      </w:pPr>
    </w:p>
    <w:p w14:paraId="55360317">
      <w:pPr>
        <w:pStyle w:val="4"/>
      </w:pPr>
    </w:p>
    <w:p w14:paraId="340C3A90">
      <w:pPr>
        <w:spacing w:line="360" w:lineRule="auto"/>
        <w:jc w:val="center"/>
        <w:rPr>
          <w:rFonts w:ascii="宋体"/>
          <w:color w:val="auto"/>
          <w:sz w:val="24"/>
          <w:szCs w:val="24"/>
          <w:highlight w:val="none"/>
        </w:rPr>
      </w:pPr>
    </w:p>
    <w:p w14:paraId="055A48DA">
      <w:pPr>
        <w:spacing w:line="360" w:lineRule="auto"/>
        <w:jc w:val="center"/>
        <w:rPr>
          <w:rFonts w:ascii="宋体"/>
          <w:color w:val="auto"/>
          <w:sz w:val="24"/>
          <w:szCs w:val="24"/>
          <w:highlight w:val="none"/>
        </w:rPr>
      </w:pPr>
    </w:p>
    <w:p w14:paraId="2E211DDE">
      <w:pPr>
        <w:snapToGrid w:val="0"/>
        <w:spacing w:line="360" w:lineRule="auto"/>
        <w:ind w:firstLine="900" w:firstLineChars="300"/>
        <w:jc w:val="both"/>
        <w:rPr>
          <w:rFonts w:hint="eastAsia" w:ascii="宋体" w:eastAsia="宋体"/>
          <w:color w:val="auto"/>
          <w:highlight w:val="none"/>
          <w:u w:val="single"/>
          <w:lang w:eastAsia="zh-CN"/>
        </w:rPr>
      </w:pPr>
      <w:r>
        <w:rPr>
          <w:rFonts w:hint="eastAsia" w:ascii="宋体" w:hAnsi="宋体" w:cs="宋体"/>
          <w:color w:val="auto"/>
          <w:sz w:val="30"/>
          <w:szCs w:val="30"/>
          <w:highlight w:val="none"/>
        </w:rPr>
        <w:t>采</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购</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人：</w:t>
      </w:r>
      <w:r>
        <w:rPr>
          <w:rFonts w:hint="eastAsia" w:ascii="宋体" w:hAnsi="宋体" w:cs="宋体"/>
          <w:color w:val="auto"/>
          <w:sz w:val="30"/>
          <w:szCs w:val="30"/>
          <w:highlight w:val="none"/>
          <w:lang w:eastAsia="zh-CN"/>
        </w:rPr>
        <w:t>绍兴市上虞惠盛城镇建设开发有限公司</w:t>
      </w:r>
    </w:p>
    <w:p w14:paraId="1058E1A8">
      <w:pPr>
        <w:snapToGrid w:val="0"/>
        <w:spacing w:line="360" w:lineRule="auto"/>
        <w:ind w:firstLine="900" w:firstLineChars="300"/>
        <w:jc w:val="both"/>
        <w:rPr>
          <w:rFonts w:hint="eastAsia" w:ascii="宋体" w:eastAsia="宋体"/>
          <w:color w:val="auto"/>
          <w:sz w:val="30"/>
          <w:szCs w:val="30"/>
          <w:highlight w:val="none"/>
          <w:lang w:eastAsia="zh-CN"/>
        </w:rPr>
      </w:pPr>
      <w:r>
        <w:rPr>
          <w:rFonts w:hint="eastAsia" w:ascii="宋体" w:hAnsi="宋体" w:cs="宋体"/>
          <w:color w:val="auto"/>
          <w:sz w:val="30"/>
          <w:szCs w:val="30"/>
          <w:highlight w:val="none"/>
        </w:rPr>
        <w:t>采购代理机构：</w:t>
      </w:r>
      <w:r>
        <w:rPr>
          <w:rFonts w:hint="eastAsia" w:ascii="宋体" w:hAnsi="宋体" w:cs="宋体"/>
          <w:color w:val="auto"/>
          <w:sz w:val="30"/>
          <w:szCs w:val="30"/>
          <w:highlight w:val="none"/>
          <w:lang w:eastAsia="zh-CN"/>
        </w:rPr>
        <w:t>浙江国信工程管理咨询有限公司</w:t>
      </w:r>
    </w:p>
    <w:p w14:paraId="56F8563F">
      <w:pPr>
        <w:spacing w:line="360" w:lineRule="auto"/>
        <w:jc w:val="center"/>
        <w:rPr>
          <w:rFonts w:hint="eastAsia" w:ascii="宋体" w:hAnsi="宋体" w:cs="宋体"/>
          <w:b/>
          <w:bCs/>
          <w:color w:val="auto"/>
          <w:sz w:val="32"/>
          <w:szCs w:val="32"/>
          <w:highlight w:val="none"/>
        </w:rPr>
      </w:pPr>
    </w:p>
    <w:p w14:paraId="74CDBA31">
      <w:pPr>
        <w:spacing w:line="360" w:lineRule="auto"/>
        <w:jc w:val="center"/>
        <w:rPr>
          <w:rFonts w:hint="eastAsia" w:ascii="宋体" w:hAnsi="宋体" w:cs="宋体"/>
          <w:b/>
          <w:bCs/>
          <w:color w:val="auto"/>
          <w:sz w:val="32"/>
          <w:szCs w:val="32"/>
          <w:highlight w:val="none"/>
        </w:rPr>
      </w:pPr>
    </w:p>
    <w:p w14:paraId="171A9266">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录</w:t>
      </w:r>
    </w:p>
    <w:p w14:paraId="05C054F3">
      <w:pPr>
        <w:pStyle w:val="21"/>
        <w:tabs>
          <w:tab w:val="right" w:leader="dot" w:pos="8306"/>
        </w:tabs>
        <w:spacing w:line="360" w:lineRule="auto"/>
        <w:rPr>
          <w:sz w:val="22"/>
          <w:szCs w:val="22"/>
        </w:rPr>
      </w:pPr>
      <w:r>
        <w:rPr>
          <w:rFonts w:hint="eastAsia" w:ascii="宋体" w:hAnsi="宋体" w:cs="宋体"/>
          <w:color w:val="auto"/>
          <w:sz w:val="40"/>
          <w:szCs w:val="40"/>
          <w:highlight w:val="none"/>
        </w:rPr>
        <w:fldChar w:fldCharType="begin"/>
      </w:r>
      <w:r>
        <w:rPr>
          <w:rFonts w:hint="eastAsia" w:ascii="宋体" w:hAnsi="宋体" w:cs="宋体"/>
          <w:color w:val="auto"/>
          <w:sz w:val="40"/>
          <w:szCs w:val="40"/>
          <w:highlight w:val="none"/>
        </w:rPr>
        <w:instrText xml:space="preserve">TOC \o "1-3" \h \u </w:instrText>
      </w:r>
      <w:r>
        <w:rPr>
          <w:rFonts w:hint="eastAsia" w:ascii="宋体" w:hAnsi="宋体" w:cs="宋体"/>
          <w:color w:val="auto"/>
          <w:sz w:val="40"/>
          <w:szCs w:val="40"/>
          <w:highlight w:val="none"/>
        </w:rPr>
        <w:fldChar w:fldCharType="separate"/>
      </w:r>
      <w:r>
        <w:rPr>
          <w:rFonts w:hint="eastAsia" w:ascii="宋体" w:hAnsi="宋体" w:cs="宋体"/>
          <w:color w:val="auto"/>
          <w:sz w:val="22"/>
          <w:szCs w:val="40"/>
          <w:highlight w:val="none"/>
        </w:rPr>
        <w:fldChar w:fldCharType="begin"/>
      </w:r>
      <w:r>
        <w:rPr>
          <w:rFonts w:hint="eastAsia" w:ascii="宋体" w:hAnsi="宋体" w:cs="宋体"/>
          <w:sz w:val="22"/>
          <w:szCs w:val="40"/>
          <w:highlight w:val="none"/>
        </w:rPr>
        <w:instrText xml:space="preserve"> HYPERLINK \l _Toc3886 </w:instrText>
      </w:r>
      <w:r>
        <w:rPr>
          <w:rFonts w:hint="eastAsia" w:ascii="宋体" w:hAnsi="宋体" w:cs="宋体"/>
          <w:sz w:val="22"/>
          <w:szCs w:val="40"/>
          <w:highlight w:val="none"/>
        </w:rPr>
        <w:fldChar w:fldCharType="separate"/>
      </w:r>
      <w:r>
        <w:rPr>
          <w:rFonts w:hint="eastAsia" w:cs="宋体"/>
          <w:sz w:val="22"/>
          <w:szCs w:val="40"/>
          <w:highlight w:val="none"/>
        </w:rPr>
        <w:t>第一部分</w:t>
      </w:r>
      <w:r>
        <w:rPr>
          <w:sz w:val="22"/>
          <w:szCs w:val="40"/>
          <w:highlight w:val="none"/>
        </w:rPr>
        <w:t xml:space="preserve"> </w:t>
      </w:r>
      <w:r>
        <w:rPr>
          <w:rFonts w:hint="eastAsia" w:cs="宋体"/>
          <w:sz w:val="22"/>
          <w:szCs w:val="40"/>
          <w:highlight w:val="none"/>
        </w:rPr>
        <w:t>磋商公告</w:t>
      </w:r>
      <w:r>
        <w:rPr>
          <w:sz w:val="22"/>
          <w:szCs w:val="22"/>
        </w:rPr>
        <w:tab/>
      </w:r>
      <w:r>
        <w:rPr>
          <w:sz w:val="22"/>
          <w:szCs w:val="22"/>
        </w:rPr>
        <w:fldChar w:fldCharType="begin"/>
      </w:r>
      <w:r>
        <w:rPr>
          <w:sz w:val="22"/>
          <w:szCs w:val="22"/>
        </w:rPr>
        <w:instrText xml:space="preserve"> PAGEREF _Toc3886 \h </w:instrText>
      </w:r>
      <w:r>
        <w:rPr>
          <w:sz w:val="22"/>
          <w:szCs w:val="22"/>
        </w:rPr>
        <w:fldChar w:fldCharType="separate"/>
      </w:r>
      <w:r>
        <w:rPr>
          <w:sz w:val="22"/>
          <w:szCs w:val="22"/>
        </w:rPr>
        <w:t>1</w:t>
      </w:r>
      <w:r>
        <w:rPr>
          <w:sz w:val="22"/>
          <w:szCs w:val="22"/>
        </w:rPr>
        <w:fldChar w:fldCharType="end"/>
      </w:r>
      <w:r>
        <w:rPr>
          <w:rFonts w:hint="eastAsia" w:ascii="宋体" w:hAnsi="宋体" w:cs="宋体"/>
          <w:color w:val="auto"/>
          <w:sz w:val="22"/>
          <w:szCs w:val="40"/>
          <w:highlight w:val="none"/>
        </w:rPr>
        <w:fldChar w:fldCharType="end"/>
      </w:r>
    </w:p>
    <w:p w14:paraId="69BCEBB0">
      <w:pPr>
        <w:pStyle w:val="21"/>
        <w:tabs>
          <w:tab w:val="right" w:leader="dot" w:pos="8306"/>
        </w:tabs>
        <w:spacing w:line="360" w:lineRule="auto"/>
        <w:rPr>
          <w:sz w:val="22"/>
          <w:szCs w:val="22"/>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_Toc9048 </w:instrText>
      </w:r>
      <w:r>
        <w:rPr>
          <w:rFonts w:hint="eastAsia" w:hAnsi="宋体"/>
          <w:sz w:val="22"/>
          <w:szCs w:val="40"/>
          <w:highlight w:val="none"/>
        </w:rPr>
        <w:fldChar w:fldCharType="separate"/>
      </w:r>
      <w:r>
        <w:rPr>
          <w:rFonts w:hint="eastAsia" w:cs="宋体"/>
          <w:sz w:val="22"/>
          <w:szCs w:val="40"/>
          <w:highlight w:val="none"/>
        </w:rPr>
        <w:t>第二部分</w:t>
      </w:r>
      <w:r>
        <w:rPr>
          <w:sz w:val="22"/>
          <w:szCs w:val="40"/>
          <w:highlight w:val="none"/>
        </w:rPr>
        <w:t xml:space="preserve"> </w:t>
      </w:r>
      <w:r>
        <w:rPr>
          <w:rFonts w:hint="eastAsia" w:cs="宋体"/>
          <w:sz w:val="22"/>
          <w:szCs w:val="40"/>
          <w:highlight w:val="none"/>
        </w:rPr>
        <w:t>供应商须知</w:t>
      </w:r>
      <w:r>
        <w:rPr>
          <w:sz w:val="22"/>
          <w:szCs w:val="22"/>
        </w:rPr>
        <w:tab/>
      </w:r>
      <w:r>
        <w:rPr>
          <w:sz w:val="22"/>
          <w:szCs w:val="22"/>
        </w:rPr>
        <w:fldChar w:fldCharType="begin"/>
      </w:r>
      <w:r>
        <w:rPr>
          <w:sz w:val="22"/>
          <w:szCs w:val="22"/>
        </w:rPr>
        <w:instrText xml:space="preserve"> PAGEREF _Toc9048 \h </w:instrText>
      </w:r>
      <w:r>
        <w:rPr>
          <w:sz w:val="22"/>
          <w:szCs w:val="22"/>
        </w:rPr>
        <w:fldChar w:fldCharType="separate"/>
      </w:r>
      <w:r>
        <w:rPr>
          <w:sz w:val="22"/>
          <w:szCs w:val="22"/>
        </w:rPr>
        <w:t>5</w:t>
      </w:r>
      <w:r>
        <w:rPr>
          <w:sz w:val="22"/>
          <w:szCs w:val="22"/>
        </w:rPr>
        <w:fldChar w:fldCharType="end"/>
      </w:r>
      <w:r>
        <w:rPr>
          <w:rFonts w:hint="eastAsia" w:hAnsi="宋体"/>
          <w:color w:val="auto"/>
          <w:sz w:val="22"/>
          <w:szCs w:val="40"/>
          <w:highlight w:val="none"/>
        </w:rPr>
        <w:fldChar w:fldCharType="end"/>
      </w:r>
    </w:p>
    <w:p w14:paraId="7DFDAFFB">
      <w:pPr>
        <w:pStyle w:val="24"/>
        <w:tabs>
          <w:tab w:val="right" w:leader="dot" w:pos="8306"/>
        </w:tabs>
        <w:spacing w:line="360" w:lineRule="auto"/>
        <w:rPr>
          <w:sz w:val="22"/>
          <w:szCs w:val="22"/>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_Toc22925 </w:instrText>
      </w:r>
      <w:r>
        <w:rPr>
          <w:rFonts w:hint="eastAsia" w:hAnsi="宋体"/>
          <w:sz w:val="22"/>
          <w:szCs w:val="40"/>
          <w:highlight w:val="none"/>
        </w:rPr>
        <w:fldChar w:fldCharType="separate"/>
      </w:r>
      <w:r>
        <w:rPr>
          <w:rFonts w:hint="eastAsia" w:hAnsi="宋体" w:cs="Times New Roman"/>
          <w:sz w:val="22"/>
          <w:szCs w:val="22"/>
        </w:rPr>
        <w:t xml:space="preserve">一、 </w:t>
      </w:r>
      <w:r>
        <w:rPr>
          <w:rFonts w:hint="eastAsia" w:hAnsi="宋体"/>
          <w:sz w:val="22"/>
          <w:szCs w:val="22"/>
          <w:highlight w:val="none"/>
        </w:rPr>
        <w:t>总则</w:t>
      </w:r>
      <w:r>
        <w:rPr>
          <w:sz w:val="22"/>
          <w:szCs w:val="22"/>
        </w:rPr>
        <w:tab/>
      </w:r>
      <w:r>
        <w:rPr>
          <w:rFonts w:hint="eastAsia"/>
          <w:sz w:val="22"/>
          <w:szCs w:val="22"/>
          <w:lang w:val="en-US" w:eastAsia="zh-CN"/>
        </w:rPr>
        <w:t>8</w:t>
      </w:r>
      <w:r>
        <w:rPr>
          <w:rFonts w:hint="eastAsia" w:hAnsi="宋体"/>
          <w:color w:val="auto"/>
          <w:sz w:val="22"/>
          <w:szCs w:val="40"/>
          <w:highlight w:val="none"/>
        </w:rPr>
        <w:fldChar w:fldCharType="end"/>
      </w:r>
    </w:p>
    <w:p w14:paraId="4572DA6F">
      <w:pPr>
        <w:pStyle w:val="24"/>
        <w:tabs>
          <w:tab w:val="right" w:leader="dot" w:pos="8306"/>
        </w:tabs>
        <w:spacing w:line="360" w:lineRule="auto"/>
        <w:rPr>
          <w:sz w:val="22"/>
          <w:szCs w:val="22"/>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_Toc11328 </w:instrText>
      </w:r>
      <w:r>
        <w:rPr>
          <w:rFonts w:hint="eastAsia" w:hAnsi="宋体"/>
          <w:sz w:val="22"/>
          <w:szCs w:val="40"/>
          <w:highlight w:val="none"/>
        </w:rPr>
        <w:fldChar w:fldCharType="separate"/>
      </w:r>
      <w:r>
        <w:rPr>
          <w:rFonts w:hint="eastAsia" w:cs="Times New Roman"/>
          <w:sz w:val="22"/>
          <w:szCs w:val="22"/>
        </w:rPr>
        <w:t xml:space="preserve">二、 </w:t>
      </w:r>
      <w:r>
        <w:rPr>
          <w:rFonts w:hint="eastAsia"/>
          <w:sz w:val="22"/>
          <w:szCs w:val="22"/>
          <w:highlight w:val="none"/>
        </w:rPr>
        <w:t>竞争性磋商文件</w:t>
      </w:r>
      <w:r>
        <w:rPr>
          <w:sz w:val="22"/>
          <w:szCs w:val="22"/>
        </w:rPr>
        <w:tab/>
      </w:r>
      <w:r>
        <w:rPr>
          <w:rFonts w:hint="eastAsia"/>
          <w:sz w:val="22"/>
          <w:szCs w:val="22"/>
          <w:lang w:val="en-US" w:eastAsia="zh-CN"/>
        </w:rPr>
        <w:t>8</w:t>
      </w:r>
      <w:r>
        <w:rPr>
          <w:rFonts w:hint="eastAsia" w:hAnsi="宋体"/>
          <w:color w:val="auto"/>
          <w:sz w:val="22"/>
          <w:szCs w:val="40"/>
          <w:highlight w:val="none"/>
        </w:rPr>
        <w:fldChar w:fldCharType="end"/>
      </w:r>
    </w:p>
    <w:p w14:paraId="716E3A0C">
      <w:pPr>
        <w:pStyle w:val="24"/>
        <w:tabs>
          <w:tab w:val="right" w:leader="dot" w:pos="8306"/>
        </w:tabs>
        <w:spacing w:line="360" w:lineRule="auto"/>
        <w:rPr>
          <w:sz w:val="22"/>
          <w:szCs w:val="22"/>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_Toc11232 </w:instrText>
      </w:r>
      <w:r>
        <w:rPr>
          <w:rFonts w:hint="eastAsia" w:hAnsi="宋体"/>
          <w:sz w:val="22"/>
          <w:szCs w:val="40"/>
          <w:highlight w:val="none"/>
        </w:rPr>
        <w:fldChar w:fldCharType="separate"/>
      </w:r>
      <w:r>
        <w:rPr>
          <w:rFonts w:hint="eastAsia" w:cs="Times New Roman"/>
          <w:sz w:val="22"/>
          <w:szCs w:val="22"/>
        </w:rPr>
        <w:t xml:space="preserve">三、 </w:t>
      </w:r>
      <w:r>
        <w:rPr>
          <w:rFonts w:hint="eastAsia"/>
          <w:sz w:val="22"/>
          <w:szCs w:val="22"/>
          <w:highlight w:val="none"/>
        </w:rPr>
        <w:t>竞争性磋商响应文件的编写</w:t>
      </w:r>
      <w:r>
        <w:rPr>
          <w:sz w:val="22"/>
          <w:szCs w:val="22"/>
        </w:rPr>
        <w:tab/>
      </w:r>
      <w:r>
        <w:rPr>
          <w:rFonts w:hint="eastAsia"/>
          <w:sz w:val="22"/>
          <w:szCs w:val="22"/>
          <w:lang w:val="en-US" w:eastAsia="zh-CN"/>
        </w:rPr>
        <w:t>9</w:t>
      </w:r>
      <w:r>
        <w:rPr>
          <w:rFonts w:hint="eastAsia" w:hAnsi="宋体"/>
          <w:color w:val="auto"/>
          <w:sz w:val="22"/>
          <w:szCs w:val="40"/>
          <w:highlight w:val="none"/>
        </w:rPr>
        <w:fldChar w:fldCharType="end"/>
      </w:r>
    </w:p>
    <w:p w14:paraId="46419B1E">
      <w:pPr>
        <w:pStyle w:val="24"/>
        <w:tabs>
          <w:tab w:val="right" w:leader="dot" w:pos="8306"/>
        </w:tabs>
        <w:spacing w:line="360" w:lineRule="auto"/>
        <w:rPr>
          <w:rFonts w:hint="eastAsia" w:eastAsia="宋体"/>
          <w:sz w:val="22"/>
          <w:szCs w:val="22"/>
          <w:lang w:val="en-US" w:eastAsia="zh-CN"/>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_Toc32453 </w:instrText>
      </w:r>
      <w:r>
        <w:rPr>
          <w:rFonts w:hint="eastAsia" w:hAnsi="宋体"/>
          <w:sz w:val="22"/>
          <w:szCs w:val="40"/>
          <w:highlight w:val="none"/>
        </w:rPr>
        <w:fldChar w:fldCharType="separate"/>
      </w:r>
      <w:r>
        <w:rPr>
          <w:rFonts w:hint="eastAsia" w:cs="Times New Roman"/>
          <w:sz w:val="22"/>
          <w:szCs w:val="22"/>
        </w:rPr>
        <w:t xml:space="preserve">四、 </w:t>
      </w:r>
      <w:r>
        <w:rPr>
          <w:rFonts w:hint="eastAsia"/>
          <w:sz w:val="22"/>
          <w:szCs w:val="22"/>
          <w:highlight w:val="none"/>
        </w:rPr>
        <w:t>响应文件的递交</w:t>
      </w:r>
      <w:r>
        <w:rPr>
          <w:sz w:val="22"/>
          <w:szCs w:val="22"/>
        </w:rPr>
        <w:tab/>
      </w:r>
      <w:r>
        <w:rPr>
          <w:rFonts w:hint="eastAsia"/>
          <w:sz w:val="22"/>
          <w:szCs w:val="22"/>
          <w:lang w:val="en-US" w:eastAsia="zh-CN"/>
        </w:rPr>
        <w:t>1</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3</w:t>
      </w:r>
    </w:p>
    <w:p w14:paraId="280666E5">
      <w:pPr>
        <w:pStyle w:val="24"/>
        <w:tabs>
          <w:tab w:val="right" w:leader="dot" w:pos="8306"/>
        </w:tabs>
        <w:spacing w:line="360" w:lineRule="auto"/>
        <w:rPr>
          <w:rFonts w:hint="eastAsia" w:eastAsia="宋体"/>
          <w:sz w:val="22"/>
          <w:szCs w:val="22"/>
          <w:lang w:val="en-US" w:eastAsia="zh-CN"/>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_Toc9724 </w:instrText>
      </w:r>
      <w:r>
        <w:rPr>
          <w:rFonts w:hint="eastAsia" w:hAnsi="宋体"/>
          <w:sz w:val="22"/>
          <w:szCs w:val="40"/>
          <w:highlight w:val="none"/>
        </w:rPr>
        <w:fldChar w:fldCharType="separate"/>
      </w:r>
      <w:r>
        <w:rPr>
          <w:rFonts w:hint="eastAsia" w:hAnsi="宋体" w:cs="Times New Roman"/>
          <w:sz w:val="22"/>
          <w:szCs w:val="22"/>
        </w:rPr>
        <w:t xml:space="preserve">五、 </w:t>
      </w:r>
      <w:r>
        <w:rPr>
          <w:rFonts w:hint="eastAsia"/>
          <w:sz w:val="22"/>
          <w:szCs w:val="22"/>
          <w:highlight w:val="none"/>
        </w:rPr>
        <w:t>磋商无效的情形</w:t>
      </w:r>
      <w:r>
        <w:rPr>
          <w:sz w:val="22"/>
          <w:szCs w:val="22"/>
        </w:rPr>
        <w:tab/>
      </w:r>
      <w:r>
        <w:rPr>
          <w:rFonts w:hint="eastAsia"/>
          <w:sz w:val="22"/>
          <w:szCs w:val="22"/>
          <w:lang w:val="en-US" w:eastAsia="zh-CN"/>
        </w:rPr>
        <w:t>1</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3</w:t>
      </w:r>
    </w:p>
    <w:p w14:paraId="17B796AC">
      <w:pPr>
        <w:pStyle w:val="24"/>
        <w:tabs>
          <w:tab w:val="right" w:leader="dot" w:pos="8306"/>
        </w:tabs>
        <w:spacing w:line="360" w:lineRule="auto"/>
        <w:rPr>
          <w:rFonts w:hint="eastAsia" w:eastAsia="宋体"/>
          <w:sz w:val="22"/>
          <w:szCs w:val="22"/>
          <w:lang w:val="en-US" w:eastAsia="zh-CN"/>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_Toc20758 </w:instrText>
      </w:r>
      <w:r>
        <w:rPr>
          <w:rFonts w:hint="eastAsia" w:hAnsi="宋体"/>
          <w:sz w:val="22"/>
          <w:szCs w:val="40"/>
          <w:highlight w:val="none"/>
        </w:rPr>
        <w:fldChar w:fldCharType="separate"/>
      </w:r>
      <w:r>
        <w:rPr>
          <w:rFonts w:hint="eastAsia" w:cs="Times New Roman"/>
          <w:sz w:val="22"/>
          <w:szCs w:val="22"/>
        </w:rPr>
        <w:t xml:space="preserve">六、 </w:t>
      </w:r>
      <w:r>
        <w:rPr>
          <w:rFonts w:hint="eastAsia"/>
          <w:sz w:val="22"/>
          <w:szCs w:val="22"/>
          <w:highlight w:val="none"/>
        </w:rPr>
        <w:t>采购中止的情形</w:t>
      </w:r>
      <w:r>
        <w:rPr>
          <w:sz w:val="22"/>
          <w:szCs w:val="22"/>
        </w:rPr>
        <w:tab/>
      </w:r>
      <w:r>
        <w:rPr>
          <w:rFonts w:hint="eastAsia"/>
          <w:sz w:val="22"/>
          <w:szCs w:val="22"/>
          <w:lang w:val="en-US" w:eastAsia="zh-CN"/>
        </w:rPr>
        <w:t>1</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4</w:t>
      </w:r>
    </w:p>
    <w:p w14:paraId="709C7F4A">
      <w:pPr>
        <w:pStyle w:val="24"/>
        <w:tabs>
          <w:tab w:val="right" w:leader="dot" w:pos="8306"/>
        </w:tabs>
        <w:spacing w:line="360" w:lineRule="auto"/>
        <w:rPr>
          <w:sz w:val="22"/>
          <w:szCs w:val="22"/>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_Toc11321 </w:instrText>
      </w:r>
      <w:r>
        <w:rPr>
          <w:rFonts w:hint="eastAsia" w:hAnsi="宋体"/>
          <w:sz w:val="22"/>
          <w:szCs w:val="40"/>
          <w:highlight w:val="none"/>
        </w:rPr>
        <w:fldChar w:fldCharType="separate"/>
      </w:r>
      <w:r>
        <w:rPr>
          <w:rFonts w:hint="eastAsia" w:cs="Times New Roman"/>
          <w:sz w:val="22"/>
          <w:szCs w:val="22"/>
        </w:rPr>
        <w:t xml:space="preserve">七、 </w:t>
      </w:r>
      <w:r>
        <w:rPr>
          <w:rFonts w:hint="eastAsia"/>
          <w:sz w:val="22"/>
          <w:szCs w:val="22"/>
          <w:highlight w:val="none"/>
        </w:rPr>
        <w:t>确定成交供应商与签订合同</w:t>
      </w:r>
      <w:r>
        <w:rPr>
          <w:sz w:val="22"/>
          <w:szCs w:val="22"/>
        </w:rPr>
        <w:tab/>
      </w:r>
      <w:r>
        <w:rPr>
          <w:sz w:val="22"/>
          <w:szCs w:val="22"/>
        </w:rPr>
        <w:fldChar w:fldCharType="begin"/>
      </w:r>
      <w:r>
        <w:rPr>
          <w:sz w:val="22"/>
          <w:szCs w:val="22"/>
        </w:rPr>
        <w:instrText xml:space="preserve"> PAGEREF _Toc11321 \h </w:instrText>
      </w:r>
      <w:r>
        <w:rPr>
          <w:sz w:val="22"/>
          <w:szCs w:val="22"/>
        </w:rPr>
        <w:fldChar w:fldCharType="separate"/>
      </w:r>
      <w:r>
        <w:rPr>
          <w:sz w:val="22"/>
          <w:szCs w:val="22"/>
        </w:rPr>
        <w:t>1</w:t>
      </w:r>
      <w:r>
        <w:rPr>
          <w:rFonts w:hint="eastAsia"/>
          <w:sz w:val="22"/>
          <w:szCs w:val="22"/>
          <w:lang w:val="en-US" w:eastAsia="zh-CN"/>
        </w:rPr>
        <w:t>5</w:t>
      </w:r>
      <w:r>
        <w:rPr>
          <w:sz w:val="22"/>
          <w:szCs w:val="22"/>
        </w:rPr>
        <w:fldChar w:fldCharType="end"/>
      </w:r>
      <w:r>
        <w:rPr>
          <w:rFonts w:hint="eastAsia" w:hAnsi="宋体"/>
          <w:color w:val="auto"/>
          <w:sz w:val="22"/>
          <w:szCs w:val="40"/>
          <w:highlight w:val="none"/>
        </w:rPr>
        <w:fldChar w:fldCharType="end"/>
      </w:r>
    </w:p>
    <w:p w14:paraId="4AAEBC7D">
      <w:pPr>
        <w:pStyle w:val="21"/>
        <w:tabs>
          <w:tab w:val="right" w:leader="dot" w:pos="8306"/>
        </w:tabs>
        <w:spacing w:line="360" w:lineRule="auto"/>
        <w:rPr>
          <w:sz w:val="22"/>
          <w:szCs w:val="22"/>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_Toc2414 </w:instrText>
      </w:r>
      <w:r>
        <w:rPr>
          <w:rFonts w:hint="eastAsia" w:hAnsi="宋体"/>
          <w:sz w:val="22"/>
          <w:szCs w:val="40"/>
          <w:highlight w:val="none"/>
        </w:rPr>
        <w:fldChar w:fldCharType="separate"/>
      </w:r>
      <w:r>
        <w:rPr>
          <w:rFonts w:hint="eastAsia"/>
          <w:sz w:val="22"/>
          <w:szCs w:val="40"/>
          <w:highlight w:val="none"/>
        </w:rPr>
        <w:t xml:space="preserve">第三部分 </w:t>
      </w:r>
      <w:r>
        <w:rPr>
          <w:rFonts w:hint="eastAsia" w:cs="宋体"/>
          <w:sz w:val="22"/>
          <w:szCs w:val="40"/>
          <w:highlight w:val="none"/>
          <w:lang w:val="en-US" w:eastAsia="zh-CN"/>
        </w:rPr>
        <w:t>采购需求</w:t>
      </w:r>
      <w:r>
        <w:rPr>
          <w:sz w:val="22"/>
          <w:szCs w:val="22"/>
        </w:rPr>
        <w:tab/>
      </w:r>
      <w:r>
        <w:rPr>
          <w:sz w:val="22"/>
          <w:szCs w:val="22"/>
        </w:rPr>
        <w:fldChar w:fldCharType="begin"/>
      </w:r>
      <w:r>
        <w:rPr>
          <w:sz w:val="22"/>
          <w:szCs w:val="22"/>
        </w:rPr>
        <w:instrText xml:space="preserve"> PAGEREF _Toc2414 \h </w:instrText>
      </w:r>
      <w:r>
        <w:rPr>
          <w:sz w:val="22"/>
          <w:szCs w:val="22"/>
        </w:rPr>
        <w:fldChar w:fldCharType="separate"/>
      </w:r>
      <w:r>
        <w:rPr>
          <w:sz w:val="22"/>
          <w:szCs w:val="22"/>
        </w:rPr>
        <w:t>17</w:t>
      </w:r>
      <w:r>
        <w:rPr>
          <w:sz w:val="22"/>
          <w:szCs w:val="22"/>
        </w:rPr>
        <w:fldChar w:fldCharType="end"/>
      </w:r>
      <w:r>
        <w:rPr>
          <w:rFonts w:hint="eastAsia" w:hAnsi="宋体"/>
          <w:color w:val="auto"/>
          <w:sz w:val="22"/>
          <w:szCs w:val="40"/>
          <w:highlight w:val="none"/>
        </w:rPr>
        <w:fldChar w:fldCharType="end"/>
      </w:r>
    </w:p>
    <w:p w14:paraId="1A680157">
      <w:pPr>
        <w:pStyle w:val="24"/>
        <w:tabs>
          <w:tab w:val="right" w:leader="dot" w:pos="8306"/>
        </w:tabs>
        <w:spacing w:line="360" w:lineRule="auto"/>
        <w:rPr>
          <w:sz w:val="22"/>
          <w:szCs w:val="22"/>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_Toc23075 </w:instrText>
      </w:r>
      <w:r>
        <w:rPr>
          <w:rFonts w:hint="eastAsia" w:hAnsi="宋体"/>
          <w:sz w:val="22"/>
          <w:szCs w:val="40"/>
          <w:highlight w:val="none"/>
        </w:rPr>
        <w:fldChar w:fldCharType="separate"/>
      </w:r>
      <w:r>
        <w:rPr>
          <w:rFonts w:hint="eastAsia"/>
          <w:sz w:val="22"/>
          <w:szCs w:val="22"/>
          <w:highlight w:val="none"/>
        </w:rPr>
        <w:t>第一章 采购内容及要求</w:t>
      </w:r>
      <w:r>
        <w:rPr>
          <w:sz w:val="22"/>
          <w:szCs w:val="22"/>
        </w:rPr>
        <w:tab/>
      </w:r>
      <w:r>
        <w:rPr>
          <w:sz w:val="22"/>
          <w:szCs w:val="22"/>
        </w:rPr>
        <w:fldChar w:fldCharType="begin"/>
      </w:r>
      <w:r>
        <w:rPr>
          <w:sz w:val="22"/>
          <w:szCs w:val="22"/>
        </w:rPr>
        <w:instrText xml:space="preserve"> PAGEREF _Toc23075 \h </w:instrText>
      </w:r>
      <w:r>
        <w:rPr>
          <w:sz w:val="22"/>
          <w:szCs w:val="22"/>
        </w:rPr>
        <w:fldChar w:fldCharType="separate"/>
      </w:r>
      <w:r>
        <w:rPr>
          <w:sz w:val="22"/>
          <w:szCs w:val="22"/>
        </w:rPr>
        <w:t>17</w:t>
      </w:r>
      <w:r>
        <w:rPr>
          <w:sz w:val="22"/>
          <w:szCs w:val="22"/>
        </w:rPr>
        <w:fldChar w:fldCharType="end"/>
      </w:r>
      <w:r>
        <w:rPr>
          <w:rFonts w:hint="eastAsia" w:hAnsi="宋体"/>
          <w:color w:val="auto"/>
          <w:sz w:val="22"/>
          <w:szCs w:val="40"/>
          <w:highlight w:val="none"/>
        </w:rPr>
        <w:fldChar w:fldCharType="end"/>
      </w:r>
    </w:p>
    <w:p w14:paraId="3AB1F4AC">
      <w:pPr>
        <w:pStyle w:val="24"/>
        <w:tabs>
          <w:tab w:val="right" w:leader="dot" w:pos="8306"/>
        </w:tabs>
        <w:spacing w:line="360" w:lineRule="auto"/>
        <w:rPr>
          <w:rFonts w:hint="eastAsia" w:eastAsia="宋体"/>
          <w:sz w:val="22"/>
          <w:szCs w:val="22"/>
          <w:lang w:val="en-US" w:eastAsia="zh-CN"/>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_Toc21117 </w:instrText>
      </w:r>
      <w:r>
        <w:rPr>
          <w:rFonts w:hint="eastAsia" w:hAnsi="宋体"/>
          <w:sz w:val="22"/>
          <w:szCs w:val="40"/>
          <w:highlight w:val="none"/>
        </w:rPr>
        <w:fldChar w:fldCharType="separate"/>
      </w:r>
      <w:r>
        <w:rPr>
          <w:rFonts w:hint="eastAsia"/>
          <w:sz w:val="22"/>
          <w:szCs w:val="22"/>
          <w:lang w:val="en-US" w:eastAsia="zh-CN"/>
        </w:rPr>
        <w:t xml:space="preserve">第二章 </w:t>
      </w:r>
      <w:r>
        <w:rPr>
          <w:rFonts w:hint="eastAsia"/>
          <w:sz w:val="22"/>
          <w:szCs w:val="22"/>
        </w:rPr>
        <w:t>付款方式及要求</w:t>
      </w:r>
      <w:r>
        <w:rPr>
          <w:sz w:val="22"/>
          <w:szCs w:val="22"/>
        </w:rPr>
        <w:tab/>
      </w:r>
      <w:r>
        <w:rPr>
          <w:rFonts w:hint="eastAsia"/>
          <w:sz w:val="22"/>
          <w:szCs w:val="22"/>
          <w:lang w:val="en-US" w:eastAsia="zh-CN"/>
        </w:rPr>
        <w:t>1</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9</w:t>
      </w:r>
    </w:p>
    <w:p w14:paraId="1B68FDA5">
      <w:pPr>
        <w:pStyle w:val="21"/>
        <w:tabs>
          <w:tab w:val="right" w:leader="dot" w:pos="8306"/>
        </w:tabs>
        <w:spacing w:line="360" w:lineRule="auto"/>
        <w:rPr>
          <w:rFonts w:hint="eastAsia" w:eastAsia="宋体"/>
          <w:sz w:val="22"/>
          <w:szCs w:val="22"/>
          <w:lang w:val="en-US" w:eastAsia="zh-CN"/>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_Toc29756 </w:instrText>
      </w:r>
      <w:r>
        <w:rPr>
          <w:rFonts w:hint="eastAsia" w:hAnsi="宋体"/>
          <w:sz w:val="22"/>
          <w:szCs w:val="40"/>
          <w:highlight w:val="none"/>
        </w:rPr>
        <w:fldChar w:fldCharType="separate"/>
      </w:r>
      <w:r>
        <w:rPr>
          <w:rFonts w:hint="eastAsia" w:cs="宋体"/>
          <w:sz w:val="22"/>
          <w:szCs w:val="40"/>
          <w:highlight w:val="none"/>
        </w:rPr>
        <w:t>第四部分 磋商原则及磋商方法</w:t>
      </w:r>
      <w:r>
        <w:rPr>
          <w:sz w:val="22"/>
          <w:szCs w:val="22"/>
        </w:rPr>
        <w:tab/>
      </w:r>
      <w:r>
        <w:rPr>
          <w:rFonts w:hint="eastAsia"/>
          <w:sz w:val="22"/>
          <w:szCs w:val="22"/>
          <w:lang w:val="en-US" w:eastAsia="zh-CN"/>
        </w:rPr>
        <w:t>2</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0</w:t>
      </w:r>
    </w:p>
    <w:p w14:paraId="2A62A352">
      <w:pPr>
        <w:pStyle w:val="24"/>
        <w:tabs>
          <w:tab w:val="right" w:leader="dot" w:pos="8306"/>
        </w:tabs>
        <w:spacing w:line="360" w:lineRule="auto"/>
        <w:rPr>
          <w:rFonts w:hint="eastAsia" w:eastAsia="宋体"/>
          <w:sz w:val="22"/>
          <w:szCs w:val="22"/>
          <w:lang w:val="en-US" w:eastAsia="zh-CN"/>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_Toc9557 </w:instrText>
      </w:r>
      <w:r>
        <w:rPr>
          <w:rFonts w:hint="eastAsia" w:hAnsi="宋体"/>
          <w:sz w:val="22"/>
          <w:szCs w:val="40"/>
          <w:highlight w:val="none"/>
        </w:rPr>
        <w:fldChar w:fldCharType="separate"/>
      </w:r>
      <w:r>
        <w:rPr>
          <w:rFonts w:hint="eastAsia" w:cs="Times New Roman"/>
          <w:sz w:val="22"/>
          <w:szCs w:val="22"/>
        </w:rPr>
        <w:t xml:space="preserve">一、 </w:t>
      </w:r>
      <w:r>
        <w:rPr>
          <w:rFonts w:hint="eastAsia"/>
          <w:sz w:val="22"/>
          <w:szCs w:val="22"/>
          <w:highlight w:val="none"/>
        </w:rPr>
        <w:t>磋商原则</w:t>
      </w:r>
      <w:r>
        <w:rPr>
          <w:sz w:val="22"/>
          <w:szCs w:val="22"/>
        </w:rPr>
        <w:tab/>
      </w:r>
      <w:r>
        <w:rPr>
          <w:rFonts w:hint="eastAsia"/>
          <w:sz w:val="22"/>
          <w:szCs w:val="22"/>
          <w:lang w:val="en-US" w:eastAsia="zh-CN"/>
        </w:rPr>
        <w:t>2</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0</w:t>
      </w:r>
    </w:p>
    <w:p w14:paraId="608E2718">
      <w:pPr>
        <w:pStyle w:val="24"/>
        <w:tabs>
          <w:tab w:val="right" w:leader="dot" w:pos="8306"/>
        </w:tabs>
        <w:spacing w:line="360" w:lineRule="auto"/>
        <w:rPr>
          <w:rFonts w:hint="eastAsia" w:eastAsia="宋体"/>
          <w:sz w:val="22"/>
          <w:szCs w:val="22"/>
          <w:lang w:val="en-US" w:eastAsia="zh-CN"/>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_Toc7242 </w:instrText>
      </w:r>
      <w:r>
        <w:rPr>
          <w:rFonts w:hint="eastAsia" w:hAnsi="宋体"/>
          <w:sz w:val="22"/>
          <w:szCs w:val="40"/>
          <w:highlight w:val="none"/>
        </w:rPr>
        <w:fldChar w:fldCharType="separate"/>
      </w:r>
      <w:r>
        <w:rPr>
          <w:rFonts w:hint="eastAsia" w:cs="Times New Roman"/>
          <w:sz w:val="22"/>
          <w:szCs w:val="22"/>
        </w:rPr>
        <w:t xml:space="preserve">二、 </w:t>
      </w:r>
      <w:r>
        <w:rPr>
          <w:rFonts w:hint="eastAsia"/>
          <w:sz w:val="22"/>
          <w:szCs w:val="22"/>
          <w:highlight w:val="none"/>
        </w:rPr>
        <w:t>磋商程序</w:t>
      </w:r>
      <w:r>
        <w:rPr>
          <w:sz w:val="22"/>
          <w:szCs w:val="22"/>
        </w:rPr>
        <w:tab/>
      </w:r>
      <w:r>
        <w:rPr>
          <w:rFonts w:hint="eastAsia"/>
          <w:sz w:val="22"/>
          <w:szCs w:val="22"/>
          <w:lang w:val="en-US" w:eastAsia="zh-CN"/>
        </w:rPr>
        <w:t>2</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1</w:t>
      </w:r>
    </w:p>
    <w:p w14:paraId="3CBD5795">
      <w:pPr>
        <w:pStyle w:val="24"/>
        <w:tabs>
          <w:tab w:val="right" w:leader="dot" w:pos="8306"/>
        </w:tabs>
        <w:spacing w:line="360" w:lineRule="auto"/>
        <w:rPr>
          <w:rFonts w:hint="eastAsia" w:eastAsia="宋体"/>
          <w:sz w:val="22"/>
          <w:szCs w:val="22"/>
          <w:lang w:val="en-US" w:eastAsia="zh-CN"/>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_Toc13661 </w:instrText>
      </w:r>
      <w:r>
        <w:rPr>
          <w:rFonts w:hint="eastAsia" w:hAnsi="宋体"/>
          <w:sz w:val="22"/>
          <w:szCs w:val="40"/>
          <w:highlight w:val="none"/>
        </w:rPr>
        <w:fldChar w:fldCharType="separate"/>
      </w:r>
      <w:r>
        <w:rPr>
          <w:rFonts w:hint="eastAsia" w:cs="Times New Roman"/>
          <w:sz w:val="22"/>
          <w:szCs w:val="22"/>
        </w:rPr>
        <w:t xml:space="preserve">三、 </w:t>
      </w:r>
      <w:r>
        <w:rPr>
          <w:rFonts w:hint="eastAsia"/>
          <w:sz w:val="22"/>
          <w:szCs w:val="22"/>
          <w:highlight w:val="none"/>
        </w:rPr>
        <w:t>注意事项</w:t>
      </w:r>
      <w:r>
        <w:rPr>
          <w:sz w:val="22"/>
          <w:szCs w:val="22"/>
        </w:rPr>
        <w:tab/>
      </w:r>
      <w:r>
        <w:rPr>
          <w:rFonts w:hint="eastAsia"/>
          <w:sz w:val="22"/>
          <w:szCs w:val="22"/>
          <w:lang w:val="en-US" w:eastAsia="zh-CN"/>
        </w:rPr>
        <w:t>2</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4</w:t>
      </w:r>
    </w:p>
    <w:p w14:paraId="36624611">
      <w:pPr>
        <w:pStyle w:val="24"/>
        <w:tabs>
          <w:tab w:val="right" w:leader="dot" w:pos="8306"/>
        </w:tabs>
        <w:spacing w:line="360" w:lineRule="auto"/>
        <w:rPr>
          <w:sz w:val="22"/>
          <w:szCs w:val="22"/>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_Toc23103 </w:instrText>
      </w:r>
      <w:r>
        <w:rPr>
          <w:rFonts w:hint="eastAsia" w:hAnsi="宋体"/>
          <w:sz w:val="22"/>
          <w:szCs w:val="40"/>
          <w:highlight w:val="none"/>
        </w:rPr>
        <w:fldChar w:fldCharType="separate"/>
      </w:r>
      <w:r>
        <w:rPr>
          <w:rFonts w:hint="eastAsia" w:cs="Times New Roman"/>
          <w:sz w:val="22"/>
          <w:szCs w:val="22"/>
        </w:rPr>
        <w:t xml:space="preserve">四、 </w:t>
      </w:r>
      <w:r>
        <w:rPr>
          <w:rFonts w:hint="eastAsia"/>
          <w:sz w:val="22"/>
          <w:szCs w:val="22"/>
          <w:highlight w:val="none"/>
        </w:rPr>
        <w:t>评分细则</w:t>
      </w:r>
      <w:r>
        <w:rPr>
          <w:sz w:val="22"/>
          <w:szCs w:val="22"/>
        </w:rPr>
        <w:tab/>
      </w:r>
      <w:r>
        <w:rPr>
          <w:sz w:val="22"/>
          <w:szCs w:val="22"/>
        </w:rPr>
        <w:fldChar w:fldCharType="begin"/>
      </w:r>
      <w:r>
        <w:rPr>
          <w:sz w:val="22"/>
          <w:szCs w:val="22"/>
        </w:rPr>
        <w:instrText xml:space="preserve"> PAGEREF _Toc23103 \h </w:instrText>
      </w:r>
      <w:r>
        <w:rPr>
          <w:sz w:val="22"/>
          <w:szCs w:val="22"/>
        </w:rPr>
        <w:fldChar w:fldCharType="separate"/>
      </w:r>
      <w:r>
        <w:rPr>
          <w:sz w:val="22"/>
          <w:szCs w:val="22"/>
        </w:rPr>
        <w:t>2</w:t>
      </w:r>
      <w:r>
        <w:rPr>
          <w:rFonts w:hint="eastAsia"/>
          <w:sz w:val="22"/>
          <w:szCs w:val="22"/>
          <w:lang w:val="en-US" w:eastAsia="zh-CN"/>
        </w:rPr>
        <w:t>5</w:t>
      </w:r>
      <w:r>
        <w:rPr>
          <w:sz w:val="22"/>
          <w:szCs w:val="22"/>
        </w:rPr>
        <w:fldChar w:fldCharType="end"/>
      </w:r>
      <w:r>
        <w:rPr>
          <w:rFonts w:hint="eastAsia" w:hAnsi="宋体"/>
          <w:color w:val="auto"/>
          <w:sz w:val="22"/>
          <w:szCs w:val="40"/>
          <w:highlight w:val="none"/>
        </w:rPr>
        <w:fldChar w:fldCharType="end"/>
      </w:r>
    </w:p>
    <w:p w14:paraId="49061E99">
      <w:pPr>
        <w:pStyle w:val="21"/>
        <w:tabs>
          <w:tab w:val="right" w:leader="dot" w:pos="8306"/>
        </w:tabs>
        <w:spacing w:line="360" w:lineRule="auto"/>
        <w:rPr>
          <w:rFonts w:hint="eastAsia" w:eastAsia="宋体"/>
          <w:sz w:val="22"/>
          <w:szCs w:val="22"/>
          <w:lang w:val="en-US" w:eastAsia="zh-CN"/>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_Toc7544 </w:instrText>
      </w:r>
      <w:r>
        <w:rPr>
          <w:rFonts w:hint="eastAsia" w:hAnsi="宋体"/>
          <w:sz w:val="22"/>
          <w:szCs w:val="40"/>
          <w:highlight w:val="none"/>
        </w:rPr>
        <w:fldChar w:fldCharType="separate"/>
      </w:r>
      <w:r>
        <w:rPr>
          <w:rFonts w:hint="eastAsia" w:cs="宋体"/>
          <w:sz w:val="22"/>
          <w:szCs w:val="40"/>
          <w:highlight w:val="none"/>
        </w:rPr>
        <w:t>第五部分</w:t>
      </w:r>
      <w:r>
        <w:rPr>
          <w:sz w:val="22"/>
          <w:szCs w:val="40"/>
          <w:highlight w:val="none"/>
        </w:rPr>
        <w:t xml:space="preserve"> </w:t>
      </w:r>
      <w:r>
        <w:rPr>
          <w:rFonts w:hint="eastAsia" w:cs="宋体"/>
          <w:sz w:val="22"/>
          <w:szCs w:val="40"/>
          <w:highlight w:val="none"/>
        </w:rPr>
        <w:t>采购合同</w:t>
      </w:r>
      <w:r>
        <w:rPr>
          <w:sz w:val="22"/>
          <w:szCs w:val="22"/>
        </w:rPr>
        <w:tab/>
      </w:r>
      <w:r>
        <w:rPr>
          <w:rFonts w:hint="eastAsia"/>
          <w:sz w:val="22"/>
          <w:szCs w:val="22"/>
          <w:lang w:val="en-US" w:eastAsia="zh-CN"/>
        </w:rPr>
        <w:t>2</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8</w:t>
      </w:r>
    </w:p>
    <w:p w14:paraId="14F1B7AE">
      <w:pPr>
        <w:pStyle w:val="21"/>
        <w:tabs>
          <w:tab w:val="right" w:leader="dot" w:pos="8306"/>
        </w:tabs>
        <w:spacing w:line="360" w:lineRule="auto"/>
        <w:rPr>
          <w:rFonts w:hint="default" w:eastAsia="宋体"/>
          <w:sz w:val="22"/>
          <w:szCs w:val="22"/>
          <w:lang w:val="en-US" w:eastAsia="zh-CN"/>
        </w:rPr>
      </w:pPr>
      <w:r>
        <w:rPr>
          <w:rFonts w:hint="eastAsia" w:hAnsi="宋体"/>
          <w:color w:val="auto"/>
          <w:sz w:val="22"/>
          <w:szCs w:val="40"/>
          <w:highlight w:val="none"/>
        </w:rPr>
        <w:fldChar w:fldCharType="begin"/>
      </w:r>
      <w:r>
        <w:rPr>
          <w:rFonts w:hint="eastAsia" w:hAnsi="宋体"/>
          <w:sz w:val="22"/>
          <w:szCs w:val="40"/>
          <w:highlight w:val="none"/>
        </w:rPr>
        <w:instrText xml:space="preserve"> HYPERLINK \l _Toc30623 </w:instrText>
      </w:r>
      <w:r>
        <w:rPr>
          <w:rFonts w:hint="eastAsia" w:hAnsi="宋体"/>
          <w:sz w:val="22"/>
          <w:szCs w:val="40"/>
          <w:highlight w:val="none"/>
        </w:rPr>
        <w:fldChar w:fldCharType="separate"/>
      </w:r>
      <w:r>
        <w:rPr>
          <w:rFonts w:hint="eastAsia" w:cs="宋体"/>
          <w:sz w:val="22"/>
          <w:szCs w:val="40"/>
          <w:highlight w:val="none"/>
        </w:rPr>
        <w:t>第六部分</w:t>
      </w:r>
      <w:r>
        <w:rPr>
          <w:sz w:val="22"/>
          <w:szCs w:val="40"/>
          <w:highlight w:val="none"/>
        </w:rPr>
        <w:t xml:space="preserve"> </w:t>
      </w:r>
      <w:r>
        <w:rPr>
          <w:rFonts w:hint="eastAsia" w:cs="宋体"/>
          <w:sz w:val="22"/>
          <w:szCs w:val="40"/>
          <w:highlight w:val="none"/>
        </w:rPr>
        <w:t>应提交的有关格式范例</w:t>
      </w:r>
      <w:r>
        <w:rPr>
          <w:sz w:val="22"/>
          <w:szCs w:val="22"/>
        </w:rPr>
        <w:tab/>
      </w:r>
      <w:r>
        <w:rPr>
          <w:rFonts w:hint="eastAsia"/>
          <w:sz w:val="22"/>
          <w:szCs w:val="22"/>
          <w:lang w:val="en-US" w:eastAsia="zh-CN"/>
        </w:rPr>
        <w:t>3</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2</w:t>
      </w:r>
    </w:p>
    <w:p w14:paraId="5BD9F763">
      <w:pPr>
        <w:pStyle w:val="4"/>
        <w:spacing w:line="360" w:lineRule="auto"/>
        <w:rPr>
          <w:rFonts w:cs="Times New Roman"/>
          <w:color w:val="auto"/>
          <w:highlight w:val="none"/>
        </w:rPr>
      </w:pPr>
      <w:r>
        <w:rPr>
          <w:rFonts w:hint="eastAsia" w:hAnsi="宋体"/>
          <w:color w:val="auto"/>
          <w:sz w:val="32"/>
          <w:szCs w:val="40"/>
          <w:highlight w:val="none"/>
        </w:rPr>
        <w:fldChar w:fldCharType="end"/>
      </w:r>
    </w:p>
    <w:p w14:paraId="4C0BF0DA">
      <w:pPr>
        <w:rPr>
          <w:color w:val="auto"/>
          <w:highlight w:val="none"/>
        </w:rPr>
      </w:pPr>
    </w:p>
    <w:p w14:paraId="152D5BA3">
      <w:pPr>
        <w:rPr>
          <w:color w:val="auto"/>
          <w:highlight w:val="none"/>
        </w:rPr>
      </w:pPr>
    </w:p>
    <w:p w14:paraId="16E99089">
      <w:pPr>
        <w:rPr>
          <w:color w:val="auto"/>
          <w:highlight w:val="none"/>
        </w:rPr>
      </w:pPr>
    </w:p>
    <w:p w14:paraId="2A3DAEF5">
      <w:pPr>
        <w:rPr>
          <w:color w:val="auto"/>
          <w:highlight w:val="none"/>
        </w:rPr>
      </w:pPr>
    </w:p>
    <w:p w14:paraId="4C57A70E">
      <w:pPr>
        <w:tabs>
          <w:tab w:val="left" w:pos="3148"/>
        </w:tabs>
        <w:jc w:val="left"/>
        <w:rPr>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highlight w:val="none"/>
        </w:rPr>
        <w:tab/>
      </w:r>
    </w:p>
    <w:p w14:paraId="565D0033">
      <w:pPr>
        <w:pStyle w:val="3"/>
        <w:jc w:val="center"/>
        <w:rPr>
          <w:rFonts w:ascii="宋体" w:cs="Times New Roman"/>
          <w:color w:val="auto"/>
          <w:highlight w:val="none"/>
        </w:rPr>
      </w:pPr>
      <w:bookmarkStart w:id="0" w:name="_Toc3886"/>
      <w:bookmarkStart w:id="1" w:name="_Toc32199"/>
      <w:bookmarkStart w:id="2" w:name="_Toc31034"/>
      <w:bookmarkStart w:id="3" w:name="第二部分"/>
      <w:bookmarkStart w:id="4"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0"/>
      <w:bookmarkEnd w:id="1"/>
      <w:bookmarkEnd w:id="2"/>
    </w:p>
    <w:p w14:paraId="256E7AE8">
      <w:pPr>
        <w:adjustRightInd w:val="0"/>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浙江国信工程管理咨询有限公司</w:t>
      </w:r>
      <w:r>
        <w:rPr>
          <w:rFonts w:hint="eastAsia" w:ascii="宋体" w:hAnsi="宋体" w:cs="宋体"/>
          <w:color w:val="auto"/>
          <w:sz w:val="28"/>
          <w:szCs w:val="28"/>
          <w:highlight w:val="none"/>
        </w:rPr>
        <w:t>关于</w:t>
      </w:r>
      <w:r>
        <w:rPr>
          <w:rFonts w:hint="eastAsia" w:ascii="宋体" w:hAnsi="宋体" w:cs="宋体"/>
          <w:color w:val="auto"/>
          <w:sz w:val="28"/>
          <w:szCs w:val="28"/>
          <w:highlight w:val="none"/>
          <w:lang w:eastAsia="zh-CN"/>
        </w:rPr>
        <w:t>绍兴市上虞惠盛城镇建设开发有限公司丰惠古城文旅宣传矩阵采购项目</w:t>
      </w:r>
      <w:r>
        <w:rPr>
          <w:rFonts w:hint="eastAsia" w:ascii="宋体" w:hAnsi="宋体" w:cs="宋体"/>
          <w:color w:val="auto"/>
          <w:sz w:val="28"/>
          <w:szCs w:val="28"/>
          <w:highlight w:val="none"/>
        </w:rPr>
        <w:t>的非政府采购竞争性磋商公告</w:t>
      </w:r>
    </w:p>
    <w:p w14:paraId="6DEDA764">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ascii="宋体" w:hAnsi="宋体" w:cs="宋体"/>
          <w:color w:val="auto"/>
          <w:sz w:val="28"/>
          <w:szCs w:val="28"/>
          <w:highlight w:val="none"/>
        </w:rPr>
        <w:t>20</w:t>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01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21 </w:t>
      </w:r>
      <w:r>
        <w:rPr>
          <w:rFonts w:hint="eastAsia" w:ascii="宋体" w:hAnsi="宋体" w:cs="宋体"/>
          <w:color w:val="auto"/>
          <w:sz w:val="28"/>
          <w:szCs w:val="28"/>
          <w:highlight w:val="none"/>
        </w:rPr>
        <w:t>日</w:t>
      </w:r>
    </w:p>
    <w:p w14:paraId="34FD614B">
      <w:pPr>
        <w:adjustRightInd w:val="0"/>
        <w:spacing w:line="360" w:lineRule="auto"/>
        <w:ind w:firstLine="480" w:firstLineChars="200"/>
        <w:rPr>
          <w:rFonts w:hint="eastAsia" w:ascii="宋体" w:eastAsia="宋体"/>
          <w:color w:val="auto"/>
          <w:sz w:val="24"/>
          <w:szCs w:val="24"/>
          <w:highlight w:val="none"/>
          <w:u w:val="single"/>
          <w:lang w:eastAsia="zh-CN"/>
        </w:rPr>
      </w:pPr>
      <w:r>
        <w:rPr>
          <w:rFonts w:hint="eastAsia" w:ascii="宋体" w:hAnsi="宋体" w:cs="宋体"/>
          <w:color w:val="auto"/>
          <w:sz w:val="24"/>
          <w:szCs w:val="24"/>
          <w:highlight w:val="none"/>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磋商项目编号：</w:t>
      </w:r>
      <w:r>
        <w:rPr>
          <w:rFonts w:hint="eastAsia" w:ascii="宋体" w:hAnsi="宋体" w:cs="宋体"/>
          <w:color w:val="auto"/>
          <w:sz w:val="24"/>
          <w:szCs w:val="24"/>
          <w:highlight w:val="none"/>
          <w:u w:val="single"/>
          <w:lang w:eastAsia="zh-CN"/>
        </w:rPr>
        <w:t>ZJGX-2025-008</w:t>
      </w:r>
    </w:p>
    <w:p w14:paraId="7A904DDC">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r>
        <w:rPr>
          <w:rFonts w:hint="eastAsia" w:ascii="宋体" w:hAnsi="宋体" w:cs="宋体"/>
          <w:sz w:val="24"/>
          <w:u w:val="single"/>
        </w:rPr>
        <w:t xml:space="preserve"> 国企采购</w:t>
      </w:r>
    </w:p>
    <w:p w14:paraId="28CFEF20">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ascii="宋体" w:hAnsi="宋体" w:cs="宋体"/>
          <w:color w:val="auto"/>
          <w:sz w:val="24"/>
          <w:szCs w:val="24"/>
          <w:highlight w:val="none"/>
        </w:rPr>
        <w:t>:</w:t>
      </w:r>
    </w:p>
    <w:tbl>
      <w:tblPr>
        <w:tblStyle w:val="29"/>
        <w:tblW w:w="896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69"/>
        <w:gridCol w:w="1807"/>
        <w:gridCol w:w="645"/>
        <w:gridCol w:w="675"/>
        <w:gridCol w:w="1185"/>
        <w:gridCol w:w="2380"/>
        <w:gridCol w:w="1274"/>
        <w:gridCol w:w="532"/>
      </w:tblGrid>
      <w:tr w14:paraId="56A5CD54">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469" w:type="dxa"/>
            <w:tcBorders>
              <w:top w:val="single" w:color="000000" w:sz="4" w:space="0"/>
            </w:tcBorders>
            <w:vAlign w:val="center"/>
          </w:tcPr>
          <w:p w14:paraId="7152AF22">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807" w:type="dxa"/>
            <w:tcBorders>
              <w:top w:val="single" w:color="000000" w:sz="4" w:space="0"/>
            </w:tcBorders>
            <w:vAlign w:val="center"/>
          </w:tcPr>
          <w:p w14:paraId="3CF7D353">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项目名称</w:t>
            </w:r>
          </w:p>
        </w:tc>
        <w:tc>
          <w:tcPr>
            <w:tcW w:w="645" w:type="dxa"/>
            <w:tcBorders>
              <w:top w:val="single" w:color="000000" w:sz="4" w:space="0"/>
            </w:tcBorders>
            <w:vAlign w:val="center"/>
          </w:tcPr>
          <w:p w14:paraId="5BC91C6F">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数量</w:t>
            </w:r>
          </w:p>
        </w:tc>
        <w:tc>
          <w:tcPr>
            <w:tcW w:w="675" w:type="dxa"/>
            <w:tcBorders>
              <w:top w:val="single" w:color="000000" w:sz="4" w:space="0"/>
            </w:tcBorders>
            <w:vAlign w:val="center"/>
          </w:tcPr>
          <w:p w14:paraId="7BAD5659">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单位</w:t>
            </w:r>
          </w:p>
        </w:tc>
        <w:tc>
          <w:tcPr>
            <w:tcW w:w="1185" w:type="dxa"/>
            <w:tcBorders>
              <w:top w:val="single" w:color="000000" w:sz="4" w:space="0"/>
            </w:tcBorders>
            <w:vAlign w:val="center"/>
          </w:tcPr>
          <w:p w14:paraId="03BFF717">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预算金额</w:t>
            </w:r>
            <w:r>
              <w:rPr>
                <w:rFonts w:ascii="宋体" w:hAnsi="宋体" w:cs="宋体"/>
                <w:color w:val="auto"/>
                <w:sz w:val="24"/>
                <w:szCs w:val="24"/>
                <w:highlight w:val="none"/>
              </w:rPr>
              <w:t>(</w:t>
            </w:r>
            <w:r>
              <w:rPr>
                <w:rFonts w:hint="eastAsia" w:ascii="宋体" w:hAnsi="宋体" w:cs="宋体"/>
                <w:color w:val="auto"/>
                <w:sz w:val="24"/>
                <w:szCs w:val="24"/>
                <w:highlight w:val="none"/>
              </w:rPr>
              <w:t>万元</w:t>
            </w:r>
            <w:r>
              <w:rPr>
                <w:rFonts w:ascii="宋体" w:hAnsi="宋体" w:cs="宋体"/>
                <w:color w:val="auto"/>
                <w:sz w:val="24"/>
                <w:szCs w:val="24"/>
                <w:highlight w:val="none"/>
              </w:rPr>
              <w:t>)</w:t>
            </w:r>
          </w:p>
        </w:tc>
        <w:tc>
          <w:tcPr>
            <w:tcW w:w="2380" w:type="dxa"/>
            <w:tcBorders>
              <w:top w:val="single" w:color="000000" w:sz="4" w:space="0"/>
            </w:tcBorders>
            <w:vAlign w:val="center"/>
          </w:tcPr>
          <w:p w14:paraId="574A18D3">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1274" w:type="dxa"/>
            <w:tcBorders>
              <w:top w:val="single" w:color="000000" w:sz="4" w:space="0"/>
            </w:tcBorders>
            <w:vAlign w:val="center"/>
          </w:tcPr>
          <w:p w14:paraId="5C62C02C">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最高限价</w:t>
            </w:r>
            <w:r>
              <w:rPr>
                <w:rFonts w:ascii="宋体" w:hAnsi="宋体" w:cs="宋体"/>
                <w:color w:val="auto"/>
                <w:sz w:val="24"/>
                <w:szCs w:val="24"/>
                <w:highlight w:val="none"/>
              </w:rPr>
              <w:t>(</w:t>
            </w:r>
            <w:r>
              <w:rPr>
                <w:rFonts w:hint="eastAsia" w:ascii="宋体" w:hAnsi="宋体" w:cs="宋体"/>
                <w:color w:val="auto"/>
                <w:sz w:val="24"/>
                <w:szCs w:val="24"/>
                <w:highlight w:val="none"/>
              </w:rPr>
              <w:t>万元</w:t>
            </w:r>
            <w:r>
              <w:rPr>
                <w:rFonts w:ascii="宋体" w:hAnsi="宋体" w:cs="宋体"/>
                <w:color w:val="auto"/>
                <w:sz w:val="24"/>
                <w:szCs w:val="24"/>
                <w:highlight w:val="none"/>
              </w:rPr>
              <w:t>)</w:t>
            </w:r>
          </w:p>
        </w:tc>
        <w:tc>
          <w:tcPr>
            <w:tcW w:w="532" w:type="dxa"/>
            <w:tcBorders>
              <w:top w:val="single" w:color="000000" w:sz="4" w:space="0"/>
            </w:tcBorders>
            <w:vAlign w:val="center"/>
          </w:tcPr>
          <w:p w14:paraId="10203AAD">
            <w:pPr>
              <w:adjustRightInd w:val="0"/>
              <w:spacing w:line="360" w:lineRule="auto"/>
              <w:jc w:val="center"/>
              <w:rPr>
                <w:rFonts w:ascii="宋体"/>
                <w:color w:val="auto"/>
                <w:sz w:val="24"/>
                <w:szCs w:val="24"/>
                <w:highlight w:val="none"/>
              </w:rPr>
            </w:pPr>
            <w:r>
              <w:rPr>
                <w:rFonts w:hint="eastAsia" w:ascii="宋体"/>
                <w:color w:val="auto"/>
                <w:sz w:val="24"/>
                <w:szCs w:val="24"/>
                <w:highlight w:val="none"/>
              </w:rPr>
              <w:t>备注</w:t>
            </w:r>
          </w:p>
        </w:tc>
      </w:tr>
      <w:tr w14:paraId="407330C5">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469" w:type="dxa"/>
            <w:tcBorders>
              <w:bottom w:val="single" w:color="000000" w:sz="4" w:space="0"/>
            </w:tcBorders>
            <w:vAlign w:val="center"/>
          </w:tcPr>
          <w:p w14:paraId="7E0CF71B">
            <w:pP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807" w:type="dxa"/>
            <w:tcBorders>
              <w:bottom w:val="single" w:color="000000" w:sz="4" w:space="0"/>
            </w:tcBorders>
            <w:vAlign w:val="center"/>
          </w:tcPr>
          <w:p w14:paraId="79CDB9BF">
            <w:pPr>
              <w:pStyle w:val="14"/>
              <w:snapToGrid w:val="0"/>
              <w:spacing w:before="120" w:after="120"/>
              <w:jc w:val="center"/>
              <w:rPr>
                <w:rFonts w:hint="eastAsia" w:hAnsi="宋体" w:cs="Times New Roman"/>
                <w:color w:val="auto"/>
                <w:sz w:val="24"/>
                <w:szCs w:val="24"/>
                <w:highlight w:val="none"/>
                <w:lang w:eastAsia="zh-CN"/>
              </w:rPr>
            </w:pPr>
            <w:r>
              <w:rPr>
                <w:rFonts w:hint="eastAsia" w:hAnsi="宋体" w:cs="Times New Roman"/>
                <w:color w:val="auto"/>
                <w:sz w:val="24"/>
                <w:szCs w:val="24"/>
                <w:highlight w:val="none"/>
                <w:lang w:val="en-US" w:eastAsia="zh-CN"/>
              </w:rPr>
              <w:t>丰惠古城文旅宣传矩阵采购项目</w:t>
            </w:r>
          </w:p>
        </w:tc>
        <w:tc>
          <w:tcPr>
            <w:tcW w:w="645" w:type="dxa"/>
            <w:tcBorders>
              <w:bottom w:val="single" w:color="000000" w:sz="4" w:space="0"/>
            </w:tcBorders>
            <w:vAlign w:val="center"/>
          </w:tcPr>
          <w:p w14:paraId="1815FE4B">
            <w:pP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675" w:type="dxa"/>
            <w:tcBorders>
              <w:bottom w:val="single" w:color="000000" w:sz="4" w:space="0"/>
            </w:tcBorders>
            <w:vAlign w:val="center"/>
          </w:tcPr>
          <w:p w14:paraId="0AEC3F72">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w:t>
            </w:r>
          </w:p>
        </w:tc>
        <w:tc>
          <w:tcPr>
            <w:tcW w:w="1185" w:type="dxa"/>
            <w:tcBorders>
              <w:bottom w:val="single" w:color="000000" w:sz="4" w:space="0"/>
            </w:tcBorders>
            <w:vAlign w:val="center"/>
          </w:tcPr>
          <w:p w14:paraId="2297E1AE">
            <w:pPr>
              <w:widowControl/>
              <w:spacing w:before="100" w:after="100" w:line="312"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60</w:t>
            </w:r>
          </w:p>
        </w:tc>
        <w:tc>
          <w:tcPr>
            <w:tcW w:w="2380" w:type="dxa"/>
            <w:tcBorders>
              <w:bottom w:val="single" w:color="000000" w:sz="4" w:space="0"/>
            </w:tcBorders>
            <w:vAlign w:val="center"/>
          </w:tcPr>
          <w:p w14:paraId="76015C38">
            <w:pPr>
              <w:pStyle w:val="14"/>
              <w:snapToGrid w:val="0"/>
              <w:spacing w:before="120" w:after="120"/>
              <w:jc w:val="center"/>
              <w:rPr>
                <w:rFonts w:hint="eastAsia" w:hAnsi="宋体" w:eastAsia="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详见第三部分</w:t>
            </w:r>
            <w:r>
              <w:rPr>
                <w:rFonts w:hint="eastAsia"/>
                <w:sz w:val="22"/>
                <w:szCs w:val="40"/>
                <w:highlight w:val="none"/>
              </w:rPr>
              <w:t xml:space="preserve"> </w:t>
            </w:r>
            <w:r>
              <w:rPr>
                <w:rFonts w:hint="eastAsia" w:cs="宋体"/>
                <w:sz w:val="22"/>
                <w:szCs w:val="40"/>
                <w:highlight w:val="none"/>
              </w:rPr>
              <w:t>采购</w:t>
            </w:r>
            <w:r>
              <w:rPr>
                <w:rFonts w:hint="eastAsia" w:cs="宋体"/>
                <w:sz w:val="22"/>
                <w:szCs w:val="40"/>
                <w:highlight w:val="none"/>
                <w:lang w:val="en-US" w:eastAsia="zh-CN"/>
              </w:rPr>
              <w:t>需求</w:t>
            </w:r>
          </w:p>
        </w:tc>
        <w:tc>
          <w:tcPr>
            <w:tcW w:w="1274" w:type="dxa"/>
            <w:tcBorders>
              <w:bottom w:val="single" w:color="000000" w:sz="4" w:space="0"/>
            </w:tcBorders>
            <w:vAlign w:val="center"/>
          </w:tcPr>
          <w:p w14:paraId="3B6E7BFE">
            <w:pPr>
              <w:adjustRightInd w:val="0"/>
              <w:spacing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60</w:t>
            </w:r>
          </w:p>
        </w:tc>
        <w:tc>
          <w:tcPr>
            <w:tcW w:w="532" w:type="dxa"/>
            <w:tcBorders>
              <w:bottom w:val="single" w:color="000000" w:sz="4" w:space="0"/>
            </w:tcBorders>
            <w:vAlign w:val="center"/>
          </w:tcPr>
          <w:p w14:paraId="6B6CB95B">
            <w:pPr>
              <w:adjustRightInd w:val="0"/>
              <w:spacing w:line="360" w:lineRule="auto"/>
              <w:jc w:val="center"/>
              <w:rPr>
                <w:rFonts w:ascii="宋体"/>
                <w:color w:val="auto"/>
                <w:sz w:val="24"/>
                <w:szCs w:val="24"/>
                <w:highlight w:val="none"/>
              </w:rPr>
            </w:pPr>
            <w:r>
              <w:rPr>
                <w:rFonts w:hint="eastAsia" w:ascii="宋体"/>
                <w:color w:val="auto"/>
                <w:sz w:val="24"/>
                <w:szCs w:val="24"/>
                <w:highlight w:val="none"/>
              </w:rPr>
              <w:t>/</w:t>
            </w:r>
          </w:p>
        </w:tc>
      </w:tr>
    </w:tbl>
    <w:p w14:paraId="432C8015">
      <w:pPr>
        <w:widowControl/>
        <w:shd w:val="clear" w:color="auto" w:fill="FFFFFF"/>
        <w:spacing w:line="360" w:lineRule="auto"/>
        <w:ind w:firstLine="480"/>
        <w:jc w:val="left"/>
        <w:rPr>
          <w:rFonts w:hint="eastAsia" w:ascii="宋体" w:hAnsi="宋体" w:cs="宋体"/>
          <w:snapToGrid/>
          <w:color w:val="auto"/>
          <w:sz w:val="24"/>
          <w:szCs w:val="24"/>
          <w:highlight w:val="none"/>
          <w:shd w:val="clear" w:color="auto" w:fill="FFFFFF"/>
        </w:rPr>
      </w:pPr>
      <w:r>
        <w:rPr>
          <w:rFonts w:hint="eastAsia" w:ascii="宋体" w:hAnsi="宋体" w:cs="宋体"/>
          <w:b/>
          <w:bCs/>
          <w:snapToGrid/>
          <w:color w:val="auto"/>
          <w:sz w:val="24"/>
          <w:szCs w:val="24"/>
          <w:highlight w:val="none"/>
          <w:shd w:val="clear" w:color="auto" w:fill="FFFFFF"/>
        </w:rPr>
        <w:t>四． 投标供应商资格要求:</w:t>
      </w:r>
    </w:p>
    <w:p w14:paraId="41949915">
      <w:pPr>
        <w:widowControl/>
        <w:shd w:val="clear" w:color="auto" w:fill="FFFFFF"/>
        <w:spacing w:line="360" w:lineRule="auto"/>
        <w:ind w:firstLine="480"/>
        <w:jc w:val="left"/>
        <w:rPr>
          <w:rFonts w:hint="eastAsia" w:ascii="宋体" w:hAnsi="宋体" w:cs="宋体"/>
          <w:snapToGrid/>
          <w:color w:val="auto"/>
          <w:sz w:val="24"/>
          <w:szCs w:val="24"/>
          <w:highlight w:val="none"/>
        </w:rPr>
      </w:pPr>
      <w:r>
        <w:rPr>
          <w:rFonts w:hint="eastAsia" w:ascii="宋体" w:hAnsi="宋体" w:cs="宋体"/>
          <w:snapToGrid/>
          <w:color w:val="auto"/>
          <w:sz w:val="24"/>
          <w:szCs w:val="24"/>
          <w:highlight w:val="none"/>
          <w:shd w:val="clear" w:color="auto" w:fill="FFFFFF"/>
        </w:rPr>
        <w:t>1．符合《虞国资委〔2021〕42 号》第十八条</w:t>
      </w:r>
    </w:p>
    <w:p w14:paraId="13CD3739">
      <w:pPr>
        <w:widowControl/>
        <w:shd w:val="clear" w:color="auto" w:fill="FFFFFF"/>
        <w:spacing w:line="360" w:lineRule="auto"/>
        <w:ind w:firstLine="480"/>
        <w:jc w:val="left"/>
        <w:rPr>
          <w:rFonts w:hint="eastAsia" w:ascii="宋体" w:hAnsi="宋体" w:cs="宋体"/>
          <w:snapToGrid/>
          <w:color w:val="auto"/>
          <w:sz w:val="24"/>
          <w:szCs w:val="24"/>
          <w:highlight w:val="none"/>
        </w:rPr>
      </w:pPr>
      <w:r>
        <w:rPr>
          <w:rFonts w:hint="eastAsia" w:ascii="宋体" w:hAnsi="宋体" w:cs="宋体"/>
          <w:snapToGrid/>
          <w:color w:val="auto"/>
          <w:sz w:val="24"/>
          <w:szCs w:val="24"/>
          <w:highlight w:val="none"/>
          <w:shd w:val="clear" w:color="auto" w:fill="FFFFFF"/>
        </w:rPr>
        <w:t>（1）具有独立承担民事责任的能力；</w:t>
      </w:r>
    </w:p>
    <w:p w14:paraId="1DBB717F">
      <w:pPr>
        <w:widowControl/>
        <w:shd w:val="clear" w:color="auto" w:fill="FFFFFF"/>
        <w:spacing w:line="360" w:lineRule="auto"/>
        <w:ind w:firstLine="480"/>
        <w:jc w:val="left"/>
        <w:rPr>
          <w:rFonts w:hint="eastAsia" w:ascii="宋体" w:hAnsi="宋体" w:cs="宋体"/>
          <w:snapToGrid/>
          <w:color w:val="auto"/>
          <w:sz w:val="24"/>
          <w:szCs w:val="24"/>
          <w:highlight w:val="none"/>
        </w:rPr>
      </w:pPr>
      <w:r>
        <w:rPr>
          <w:rFonts w:hint="eastAsia" w:ascii="宋体" w:hAnsi="宋体" w:cs="宋体"/>
          <w:snapToGrid/>
          <w:color w:val="auto"/>
          <w:sz w:val="24"/>
          <w:szCs w:val="24"/>
          <w:highlight w:val="none"/>
          <w:shd w:val="clear" w:color="auto" w:fill="FFFFFF"/>
        </w:rPr>
        <w:t>（2）具有良好的商业信誉；</w:t>
      </w:r>
    </w:p>
    <w:p w14:paraId="252AE4C5">
      <w:pPr>
        <w:widowControl/>
        <w:shd w:val="clear" w:color="auto" w:fill="FFFFFF"/>
        <w:spacing w:line="360" w:lineRule="auto"/>
        <w:ind w:firstLine="480"/>
        <w:jc w:val="left"/>
        <w:rPr>
          <w:rFonts w:hint="eastAsia" w:ascii="宋体" w:hAnsi="宋体" w:cs="宋体"/>
          <w:snapToGrid/>
          <w:color w:val="auto"/>
          <w:sz w:val="24"/>
          <w:szCs w:val="24"/>
          <w:highlight w:val="none"/>
        </w:rPr>
      </w:pPr>
      <w:r>
        <w:rPr>
          <w:rFonts w:hint="eastAsia" w:ascii="宋体" w:hAnsi="宋体" w:cs="宋体"/>
          <w:snapToGrid/>
          <w:color w:val="auto"/>
          <w:sz w:val="24"/>
          <w:szCs w:val="24"/>
          <w:highlight w:val="none"/>
          <w:shd w:val="clear" w:color="auto" w:fill="FFFFFF"/>
        </w:rPr>
        <w:t>（3）具有履行合同所必需的设备和专业技术、售后保障等能力；</w:t>
      </w:r>
    </w:p>
    <w:p w14:paraId="040305ED">
      <w:pPr>
        <w:widowControl/>
        <w:shd w:val="clear" w:color="auto" w:fill="FFFFFF"/>
        <w:spacing w:line="360" w:lineRule="auto"/>
        <w:ind w:firstLine="480"/>
        <w:jc w:val="left"/>
        <w:rPr>
          <w:rFonts w:hint="eastAsia" w:ascii="宋体" w:hAnsi="宋体" w:cs="宋体"/>
          <w:snapToGrid/>
          <w:color w:val="auto"/>
          <w:sz w:val="24"/>
          <w:szCs w:val="24"/>
          <w:highlight w:val="none"/>
        </w:rPr>
      </w:pPr>
      <w:r>
        <w:rPr>
          <w:rFonts w:hint="eastAsia" w:ascii="宋体" w:hAnsi="宋体" w:cs="宋体"/>
          <w:snapToGrid/>
          <w:color w:val="auto"/>
          <w:sz w:val="24"/>
          <w:szCs w:val="24"/>
          <w:highlight w:val="none"/>
          <w:shd w:val="clear" w:color="auto" w:fill="FFFFFF"/>
        </w:rPr>
        <w:t>（4）有依法缴纳税收和社会保障资金的良好记录；</w:t>
      </w:r>
    </w:p>
    <w:p w14:paraId="315F4D3F">
      <w:pPr>
        <w:widowControl/>
        <w:shd w:val="clear" w:color="auto" w:fill="FFFFFF"/>
        <w:spacing w:line="360" w:lineRule="auto"/>
        <w:ind w:firstLine="480"/>
        <w:jc w:val="left"/>
        <w:rPr>
          <w:rFonts w:hint="eastAsia" w:ascii="宋体" w:hAnsi="宋体" w:cs="宋体"/>
          <w:snapToGrid/>
          <w:color w:val="auto"/>
          <w:sz w:val="24"/>
          <w:szCs w:val="24"/>
          <w:highlight w:val="none"/>
        </w:rPr>
      </w:pPr>
      <w:r>
        <w:rPr>
          <w:rFonts w:hint="eastAsia" w:ascii="宋体" w:hAnsi="宋体" w:cs="宋体"/>
          <w:snapToGrid/>
          <w:color w:val="auto"/>
          <w:sz w:val="24"/>
          <w:szCs w:val="24"/>
          <w:highlight w:val="none"/>
          <w:shd w:val="clear" w:color="auto" w:fill="FFFFFF"/>
        </w:rPr>
        <w:t>（5）参加采购活动前三年内，没有重大违法记录、严重失信行为和行贿记录；</w:t>
      </w:r>
    </w:p>
    <w:p w14:paraId="32BEAD53">
      <w:pPr>
        <w:widowControl/>
        <w:shd w:val="clear" w:color="auto" w:fill="FFFFFF"/>
        <w:spacing w:line="360" w:lineRule="auto"/>
        <w:ind w:firstLine="480"/>
        <w:jc w:val="left"/>
        <w:rPr>
          <w:rFonts w:hint="eastAsia" w:ascii="宋体" w:hAnsi="宋体" w:cs="宋体"/>
          <w:snapToGrid/>
          <w:color w:val="auto"/>
          <w:sz w:val="24"/>
          <w:szCs w:val="24"/>
          <w:highlight w:val="none"/>
        </w:rPr>
      </w:pPr>
      <w:r>
        <w:rPr>
          <w:rFonts w:hint="eastAsia" w:ascii="宋体" w:hAnsi="宋体" w:cs="宋体"/>
          <w:snapToGrid/>
          <w:color w:val="auto"/>
          <w:sz w:val="24"/>
          <w:szCs w:val="24"/>
          <w:highlight w:val="none"/>
          <w:shd w:val="clear" w:color="auto" w:fill="FFFFFF"/>
        </w:rPr>
        <w:t>（6）法律、行政法规规定的其他条件。</w:t>
      </w:r>
    </w:p>
    <w:p w14:paraId="187A9278">
      <w:pPr>
        <w:widowControl/>
        <w:shd w:val="clear" w:color="auto" w:fill="FFFFFF"/>
        <w:spacing w:line="360" w:lineRule="auto"/>
        <w:ind w:firstLine="480"/>
        <w:jc w:val="left"/>
        <w:rPr>
          <w:rFonts w:hint="eastAsia" w:ascii="宋体" w:hAnsi="宋体" w:cs="宋体"/>
          <w:snapToGrid/>
          <w:color w:val="auto"/>
          <w:sz w:val="24"/>
          <w:szCs w:val="24"/>
          <w:highlight w:val="none"/>
          <w:shd w:val="clear" w:color="auto" w:fill="FFFFFF"/>
        </w:rPr>
      </w:pPr>
      <w:r>
        <w:rPr>
          <w:rFonts w:hint="eastAsia" w:ascii="宋体" w:hAnsi="宋体" w:cs="宋体"/>
          <w:snapToGrid/>
          <w:color w:val="auto"/>
          <w:sz w:val="24"/>
          <w:szCs w:val="24"/>
          <w:highlight w:val="none"/>
          <w:shd w:val="clear" w:color="auto" w:fill="FFFFFF"/>
        </w:rPr>
        <w:t>2.本次招标</w:t>
      </w:r>
      <w:r>
        <w:rPr>
          <w:rFonts w:hint="eastAsia" w:ascii="宋体" w:hAnsi="宋体" w:cs="宋体"/>
          <w:snapToGrid/>
          <w:color w:val="auto"/>
          <w:sz w:val="24"/>
          <w:szCs w:val="24"/>
          <w:highlight w:val="none"/>
          <w:u w:val="single"/>
          <w:shd w:val="clear" w:color="auto" w:fill="FFFFFF"/>
        </w:rPr>
        <w:t xml:space="preserve"> 不接受 </w:t>
      </w:r>
      <w:r>
        <w:rPr>
          <w:rFonts w:hint="eastAsia" w:ascii="宋体" w:hAnsi="宋体" w:cs="宋体"/>
          <w:snapToGrid/>
          <w:color w:val="auto"/>
          <w:sz w:val="24"/>
          <w:szCs w:val="24"/>
          <w:highlight w:val="none"/>
          <w:shd w:val="clear" w:color="auto" w:fill="FFFFFF"/>
        </w:rPr>
        <w:t>联合体投标。</w:t>
      </w:r>
    </w:p>
    <w:p w14:paraId="0E51E69D">
      <w:pPr>
        <w:adjustRightInd w:val="0"/>
        <w:spacing w:line="360" w:lineRule="auto"/>
        <w:ind w:left="420" w:left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lang w:val="en-US" w:eastAsia="zh-CN"/>
        </w:rPr>
        <w:t>3</w:t>
      </w:r>
      <w:r>
        <w:rPr>
          <w:rFonts w:hint="eastAsia" w:ascii="宋体" w:hAnsi="宋体" w:cs="宋体"/>
          <w:snapToGrid/>
          <w:color w:val="auto"/>
          <w:kern w:val="2"/>
          <w:sz w:val="24"/>
          <w:szCs w:val="24"/>
          <w:highlight w:val="none"/>
        </w:rPr>
        <w:t>.本次招标采用资格后审的审查方式，由磋商小组负责审查。</w:t>
      </w:r>
    </w:p>
    <w:p w14:paraId="59CF9FC9">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五．获取磋商文件</w:t>
      </w:r>
    </w:p>
    <w:p w14:paraId="2436066A">
      <w:pPr>
        <w:numPr>
          <w:ilvl w:val="0"/>
          <w:numId w:val="2"/>
        </w:numPr>
        <w:adjustRightInd w:val="0"/>
        <w:spacing w:line="360" w:lineRule="auto"/>
        <w:ind w:firstLine="480" w:firstLineChars="200"/>
        <w:rPr>
          <w:rFonts w:ascii="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r>
        <w:rPr>
          <w:rFonts w:ascii="宋体" w:hAnsi="宋体" w:cs="宋体"/>
          <w:color w:val="auto"/>
          <w:sz w:val="24"/>
          <w:szCs w:val="24"/>
          <w:highlight w:val="none"/>
        </w:rPr>
        <w:t>:</w:t>
      </w:r>
      <w:bookmarkEnd w:id="5"/>
      <w:r>
        <w:rPr>
          <w:rFonts w:ascii="宋体" w:hAnsi="宋体" w:cs="宋体"/>
          <w:color w:val="0000FF"/>
          <w:sz w:val="24"/>
          <w:szCs w:val="24"/>
          <w:highlight w:val="none"/>
          <w:u w:val="single"/>
        </w:rPr>
        <w:t>20</w:t>
      </w:r>
      <w:r>
        <w:rPr>
          <w:rFonts w:hint="eastAsia" w:ascii="宋体" w:hAnsi="宋体" w:cs="宋体"/>
          <w:color w:val="0000FF"/>
          <w:sz w:val="24"/>
          <w:szCs w:val="24"/>
          <w:highlight w:val="none"/>
          <w:u w:val="single"/>
        </w:rPr>
        <w:t>2</w:t>
      </w:r>
      <w:r>
        <w:rPr>
          <w:rFonts w:hint="eastAsia" w:ascii="宋体" w:hAnsi="宋体" w:cs="宋体"/>
          <w:color w:val="0000FF"/>
          <w:sz w:val="24"/>
          <w:szCs w:val="24"/>
          <w:highlight w:val="none"/>
          <w:u w:val="single"/>
          <w:lang w:val="en-US" w:eastAsia="zh-CN"/>
        </w:rPr>
        <w:t>5</w:t>
      </w:r>
      <w:r>
        <w:rPr>
          <w:rFonts w:hint="eastAsia" w:ascii="宋体" w:hAnsi="宋体" w:cs="宋体"/>
          <w:color w:val="0000FF"/>
          <w:sz w:val="24"/>
          <w:szCs w:val="24"/>
          <w:highlight w:val="none"/>
          <w:u w:val="single"/>
        </w:rPr>
        <w:t>年</w:t>
      </w:r>
      <w:r>
        <w:rPr>
          <w:rFonts w:hint="eastAsia" w:ascii="宋体" w:hAnsi="宋体" w:cs="宋体"/>
          <w:color w:val="0000FF"/>
          <w:sz w:val="24"/>
          <w:szCs w:val="24"/>
          <w:highlight w:val="none"/>
          <w:u w:val="single"/>
          <w:lang w:val="en-US" w:eastAsia="zh-CN"/>
        </w:rPr>
        <w:t xml:space="preserve">02 </w:t>
      </w:r>
      <w:r>
        <w:rPr>
          <w:rFonts w:hint="eastAsia" w:ascii="宋体" w:hAnsi="宋体" w:cs="宋体"/>
          <w:color w:val="0000FF"/>
          <w:sz w:val="24"/>
          <w:szCs w:val="24"/>
          <w:highlight w:val="none"/>
          <w:u w:val="single"/>
        </w:rPr>
        <w:t>月</w:t>
      </w:r>
      <w:r>
        <w:rPr>
          <w:rFonts w:hint="eastAsia" w:ascii="宋体" w:hAnsi="宋体" w:cs="宋体"/>
          <w:color w:val="0000FF"/>
          <w:sz w:val="24"/>
          <w:szCs w:val="24"/>
          <w:highlight w:val="none"/>
          <w:u w:val="single"/>
          <w:lang w:val="en-US" w:eastAsia="zh-CN"/>
        </w:rPr>
        <w:t xml:space="preserve"> 06 </w:t>
      </w:r>
      <w:r>
        <w:rPr>
          <w:rFonts w:hint="eastAsia" w:ascii="宋体" w:hAnsi="宋体" w:cs="宋体"/>
          <w:color w:val="0000FF"/>
          <w:sz w:val="24"/>
          <w:szCs w:val="24"/>
          <w:highlight w:val="none"/>
          <w:u w:val="single"/>
        </w:rPr>
        <w:t>日</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0</w:t>
      </w:r>
      <w:r>
        <w:rPr>
          <w:rFonts w:hint="eastAsia" w:ascii="宋体" w:hAnsi="宋体" w:cs="宋体"/>
          <w:color w:val="auto"/>
          <w:sz w:val="24"/>
          <w:szCs w:val="24"/>
          <w:highlight w:val="none"/>
        </w:rPr>
        <w:t>之前获取。</w:t>
      </w:r>
    </w:p>
    <w:p w14:paraId="7F5074D7">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获取磋商文件方式：供应商登录</w:t>
      </w:r>
      <w:r>
        <w:rPr>
          <w:rFonts w:hint="eastAsia" w:ascii="宋体" w:hAnsi="宋体" w:cs="宋体"/>
          <w:color w:val="auto"/>
          <w:sz w:val="24"/>
          <w:szCs w:val="24"/>
          <w:highlight w:val="none"/>
          <w:lang w:eastAsia="zh-CN"/>
        </w:rPr>
        <w:t>乐采云</w:t>
      </w:r>
      <w:r>
        <w:rPr>
          <w:rFonts w:hint="eastAsia" w:ascii="宋体" w:hAnsi="宋体" w:cs="宋体"/>
          <w:color w:val="auto"/>
          <w:sz w:val="24"/>
          <w:szCs w:val="24"/>
          <w:highlight w:val="none"/>
        </w:rPr>
        <w:t>平台</w:t>
      </w:r>
      <w:r>
        <w:rPr>
          <w:rFonts w:hint="eastAsia" w:ascii="宋体" w:hAnsi="宋体" w:cs="宋体"/>
          <w:color w:val="auto"/>
          <w:sz w:val="24"/>
          <w:szCs w:val="24"/>
          <w:highlight w:val="none"/>
          <w:lang w:eastAsia="zh-CN"/>
        </w:rPr>
        <w:t>www.lecaiyun.com</w:t>
      </w:r>
      <w:r>
        <w:rPr>
          <w:rFonts w:hint="eastAsia" w:ascii="宋体" w:hAnsi="宋体" w:cs="宋体"/>
          <w:color w:val="auto"/>
          <w:sz w:val="24"/>
          <w:szCs w:val="24"/>
          <w:highlight w:val="none"/>
        </w:rPr>
        <w:t>在线申请获取采购文件（进入“项目采购”应用，在获取采购文件菜单中选择项目，申请获取采购文件）。</w:t>
      </w:r>
    </w:p>
    <w:p w14:paraId="5F09CBE4">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14:paraId="132D00AC">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7C47FACC">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2A9F03DC">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六．投标与开标注意事项：</w:t>
      </w:r>
    </w:p>
    <w:p w14:paraId="684B5EA0">
      <w:pPr>
        <w:numPr>
          <w:ilvl w:val="0"/>
          <w:numId w:val="4"/>
        </w:num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本项目实行</w:t>
      </w:r>
      <w:r>
        <w:rPr>
          <w:rFonts w:hint="eastAsia" w:ascii="宋体" w:hAnsi="宋体" w:cs="宋体"/>
          <w:b/>
          <w:bCs/>
          <w:color w:val="auto"/>
          <w:sz w:val="24"/>
          <w:highlight w:val="none"/>
        </w:rPr>
        <w:t>网上投标</w:t>
      </w:r>
      <w:r>
        <w:rPr>
          <w:rFonts w:hint="eastAsia" w:ascii="宋体" w:hAnsi="宋体" w:cs="宋体"/>
          <w:color w:val="auto"/>
          <w:sz w:val="24"/>
          <w:highlight w:val="none"/>
        </w:rPr>
        <w:t>，采用电子磋商响应文件，若供应商参与投标，自行承担投标一切费用。</w:t>
      </w:r>
    </w:p>
    <w:p w14:paraId="35995B1D">
      <w:pPr>
        <w:numPr>
          <w:ilvl w:val="0"/>
          <w:numId w:val="4"/>
        </w:numPr>
        <w:wordWrap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2F1FC7C6">
      <w:pPr>
        <w:autoSpaceDE w:val="0"/>
        <w:autoSpaceDN w:val="0"/>
        <w:spacing w:line="360" w:lineRule="auto"/>
        <w:ind w:firstLine="480" w:firstLineChars="200"/>
        <w:textAlignment w:val="bottom"/>
        <w:rPr>
          <w:rFonts w:hint="eastAsia" w:ascii="宋体" w:hAnsi="宋体" w:cs="宋体"/>
          <w:color w:val="auto"/>
          <w:sz w:val="24"/>
          <w:szCs w:val="21"/>
          <w:highlight w:val="none"/>
        </w:rPr>
      </w:pPr>
      <w:r>
        <w:rPr>
          <w:rFonts w:hint="eastAsia" w:ascii="宋体" w:hAnsi="宋体" w:cs="宋体"/>
          <w:color w:val="auto"/>
          <w:sz w:val="24"/>
          <w:szCs w:val="21"/>
          <w:highlight w:val="none"/>
        </w:rPr>
        <w:t>供应商将乐采云投标客户端下载、安装完成后（下载链接：https://b.zhengcaiyun.cn/luban/category?parentId=550045&amp;childrenCode=qicaiCategory17&amp;utm=luban.luban-PC-39026.959-pc-websitegroup-navBar-front.8.c8789bc0520b11efb86dbfa49a87be0d），可通过账号密码或CA登录客户端进行投标文件制作。在使用</w:t>
      </w:r>
      <w:r>
        <w:rPr>
          <w:rFonts w:hint="eastAsia" w:ascii="宋体" w:hAnsi="宋体" w:cs="宋体"/>
          <w:color w:val="auto"/>
          <w:sz w:val="24"/>
          <w:szCs w:val="21"/>
          <w:highlight w:val="none"/>
          <w:lang w:eastAsia="zh-CN"/>
        </w:rPr>
        <w:t>乐采云</w:t>
      </w:r>
      <w:r>
        <w:rPr>
          <w:rFonts w:hint="eastAsia" w:ascii="宋体" w:hAnsi="宋体" w:cs="宋体"/>
          <w:color w:val="auto"/>
          <w:sz w:val="24"/>
          <w:szCs w:val="21"/>
          <w:highlight w:val="none"/>
        </w:rPr>
        <w:t>投标客户端时，建议使用WIN7及以上操作系统。</w:t>
      </w:r>
    </w:p>
    <w:p w14:paraId="7789E578">
      <w:pPr>
        <w:autoSpaceDE w:val="0"/>
        <w:autoSpaceDN w:val="0"/>
        <w:spacing w:line="360" w:lineRule="auto"/>
        <w:ind w:firstLine="480" w:firstLineChars="200"/>
        <w:textAlignment w:val="bottom"/>
        <w:rPr>
          <w:rFonts w:hint="eastAsia" w:ascii="宋体" w:hAnsi="宋体" w:cs="宋体"/>
          <w:color w:val="auto"/>
          <w:sz w:val="24"/>
          <w:szCs w:val="21"/>
          <w:highlight w:val="none"/>
        </w:rPr>
      </w:pPr>
      <w:r>
        <w:rPr>
          <w:rFonts w:hint="eastAsia" w:ascii="宋体" w:hAnsi="宋体" w:cs="宋体"/>
          <w:color w:val="auto"/>
          <w:sz w:val="24"/>
          <w:szCs w:val="21"/>
          <w:highlight w:val="none"/>
        </w:rPr>
        <w:t>注：供应商先要申领CA，取得CA后需要在</w:t>
      </w:r>
      <w:r>
        <w:rPr>
          <w:rFonts w:hint="eastAsia" w:ascii="宋体" w:hAnsi="宋体" w:cs="宋体"/>
          <w:color w:val="auto"/>
          <w:sz w:val="24"/>
          <w:szCs w:val="21"/>
          <w:highlight w:val="none"/>
          <w:lang w:eastAsia="zh-CN"/>
        </w:rPr>
        <w:t>乐采云</w:t>
      </w:r>
      <w:r>
        <w:rPr>
          <w:rFonts w:hint="eastAsia" w:ascii="宋体" w:hAnsi="宋体" w:cs="宋体"/>
          <w:color w:val="auto"/>
          <w:sz w:val="24"/>
          <w:szCs w:val="21"/>
          <w:highlight w:val="none"/>
        </w:rPr>
        <w:t>平台进行绑定，CA相关操作可参考《CA管理学习专题》。完成CA数字证书办理在资料齐全的情况下预计7个工作日左右，建议供应商获取磋商文件后立即办理。</w:t>
      </w:r>
    </w:p>
    <w:p w14:paraId="57A4AA6E">
      <w:pPr>
        <w:adjustRightInd w:val="0"/>
        <w:spacing w:line="360" w:lineRule="auto"/>
        <w:ind w:left="420" w:leftChars="200"/>
        <w:rPr>
          <w:rFonts w:hint="eastAsia" w:ascii="宋体" w:hAnsi="宋体" w:cs="宋体"/>
          <w:color w:val="auto"/>
          <w:sz w:val="24"/>
          <w:szCs w:val="21"/>
          <w:highlight w:val="none"/>
        </w:rPr>
      </w:pPr>
      <w:r>
        <w:rPr>
          <w:rFonts w:hint="eastAsia" w:ascii="宋体" w:hAnsi="宋体" w:cs="宋体"/>
          <w:color w:val="auto"/>
          <w:sz w:val="24"/>
          <w:szCs w:val="21"/>
          <w:highlight w:val="none"/>
        </w:rPr>
        <w:t>《CA管理学习专题》：</w:t>
      </w:r>
    </w:p>
    <w:p w14:paraId="6C67B7E9">
      <w:pPr>
        <w:adjustRightInd w:val="0"/>
        <w:spacing w:line="360" w:lineRule="auto"/>
        <w:ind w:left="420" w:leftChars="200"/>
        <w:rPr>
          <w:rFonts w:hint="eastAsia" w:ascii="宋体" w:hAnsi="宋体" w:cs="宋体"/>
          <w:color w:val="auto"/>
          <w:sz w:val="24"/>
          <w:szCs w:val="21"/>
          <w:highlight w:val="none"/>
        </w:rPr>
      </w:pPr>
      <w:r>
        <w:rPr>
          <w:rFonts w:hint="eastAsia" w:ascii="宋体" w:hAnsi="宋体" w:cs="宋体"/>
          <w:color w:val="auto"/>
          <w:sz w:val="24"/>
          <w:szCs w:val="21"/>
          <w:highlight w:val="none"/>
        </w:rPr>
        <w:t>https://edu.zcygov.cn/luban/ca?utm=web-government-front.380aac0a.0.0.fc2b6aa0b6e211ebbdb0dd007730dd44</w:t>
      </w:r>
    </w:p>
    <w:p w14:paraId="2F8CE229">
      <w:pPr>
        <w:adjustRightInd w:val="0"/>
        <w:spacing w:line="360" w:lineRule="auto"/>
        <w:ind w:left="420" w:leftChars="200"/>
        <w:rPr>
          <w:rFonts w:hint="eastAsia" w:ascii="宋体" w:hAnsi="宋体" w:cs="宋体"/>
          <w:color w:val="auto"/>
          <w:sz w:val="24"/>
          <w:szCs w:val="21"/>
          <w:highlight w:val="none"/>
        </w:rPr>
      </w:pPr>
      <w:r>
        <w:rPr>
          <w:rFonts w:hint="eastAsia" w:ascii="宋体" w:hAnsi="宋体" w:cs="宋体"/>
          <w:color w:val="auto"/>
          <w:sz w:val="24"/>
          <w:szCs w:val="21"/>
          <w:highlight w:val="none"/>
        </w:rPr>
        <w:t>《CA驱动和申领流程》:</w:t>
      </w:r>
    </w:p>
    <w:p w14:paraId="4ABE9072">
      <w:pPr>
        <w:adjustRightIn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szCs w:val="21"/>
          <w:highlight w:val="none"/>
        </w:rPr>
        <w:fldChar w:fldCharType="begin"/>
      </w:r>
      <w:r>
        <w:rPr>
          <w:rFonts w:hint="eastAsia" w:ascii="宋体" w:hAnsi="宋体" w:cs="宋体"/>
          <w:color w:val="auto"/>
          <w:sz w:val="24"/>
          <w:szCs w:val="21"/>
          <w:highlight w:val="none"/>
        </w:rPr>
        <w:instrText xml:space="preserve"> HYPERLINK "http://zfcg.czt.zj.gov.cn/bidClientTemplate/2019-05-27/12945.html" </w:instrText>
      </w:r>
      <w:r>
        <w:rPr>
          <w:rFonts w:hint="eastAsia" w:ascii="宋体" w:hAnsi="宋体" w:cs="宋体"/>
          <w:color w:val="auto"/>
          <w:sz w:val="24"/>
          <w:szCs w:val="21"/>
          <w:highlight w:val="none"/>
        </w:rPr>
        <w:fldChar w:fldCharType="separate"/>
      </w:r>
      <w:r>
        <w:rPr>
          <w:rFonts w:hint="eastAsia" w:ascii="宋体" w:hAnsi="宋体" w:cs="宋体"/>
          <w:color w:val="auto"/>
          <w:sz w:val="24"/>
          <w:szCs w:val="21"/>
          <w:highlight w:val="none"/>
        </w:rPr>
        <w:t>http://zfcg.czt.zj.gov.cn/bidClientTemplate/2019-05-27/12945.html</w:t>
      </w:r>
      <w:r>
        <w:rPr>
          <w:rFonts w:hint="eastAsia" w:ascii="宋体" w:hAnsi="宋体" w:cs="宋体"/>
          <w:color w:val="auto"/>
          <w:sz w:val="24"/>
          <w:szCs w:val="21"/>
          <w:highlight w:val="none"/>
        </w:rPr>
        <w:fldChar w:fldCharType="end"/>
      </w:r>
    </w:p>
    <w:p w14:paraId="0B70F1F5">
      <w:pPr>
        <w:numPr>
          <w:ilvl w:val="0"/>
          <w:numId w:val="4"/>
        </w:num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磋商响应文件制作：</w:t>
      </w:r>
    </w:p>
    <w:p w14:paraId="29B4C516">
      <w:pPr>
        <w:numPr>
          <w:ilvl w:val="0"/>
          <w:numId w:val="5"/>
        </w:num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应按照本项目磋商文件和</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平台的要求编制、加密并递交磋商响应文件。供应商在使用系统进行投标的过程中遇到涉及平台使用的任何问题，可致电</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平台技术支持热线咨询，联系方式：95763。</w:t>
      </w:r>
    </w:p>
    <w:p w14:paraId="65080D06">
      <w:pPr>
        <w:numPr>
          <w:ilvl w:val="0"/>
          <w:numId w:val="5"/>
        </w:numPr>
        <w:wordWrap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投标人通过“</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”平台电子投标工具制作磋商响应文件。</w:t>
      </w:r>
    </w:p>
    <w:p w14:paraId="0ED1C71E">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《电子投标工具》：</w:t>
      </w:r>
    </w:p>
    <w:p w14:paraId="72B9F888">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"http://zfcg.czt.zj.gov.cn/bidClientTemplate/2019-09-24/12975.html"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http://zfcg.czt.zj.gov.cn/bidClientTemplate/2019-09-24/12975.html</w:t>
      </w:r>
      <w:r>
        <w:rPr>
          <w:rFonts w:hint="eastAsia" w:ascii="宋体" w:hAnsi="宋体" w:cs="宋体"/>
          <w:color w:val="auto"/>
          <w:sz w:val="24"/>
          <w:highlight w:val="none"/>
        </w:rPr>
        <w:fldChar w:fldCharType="end"/>
      </w:r>
    </w:p>
    <w:p w14:paraId="07B9D69C">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政府采购项目电子交易操作指南》：（需登录账号后查看）</w:t>
      </w:r>
    </w:p>
    <w:p w14:paraId="0918129D">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"https://service.zcygov.cn/#/knowledges/tree?tag=AG1DtGwBFdiHxlNdhY0r"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https://service.zcygov.cn/#/knowledges/tree?tag=AG1DtGwBFdiHxlNdhY0r</w:t>
      </w:r>
      <w:r>
        <w:rPr>
          <w:rFonts w:hint="eastAsia" w:ascii="宋体" w:hAnsi="宋体" w:cs="宋体"/>
          <w:color w:val="auto"/>
          <w:sz w:val="24"/>
          <w:highlight w:val="none"/>
        </w:rPr>
        <w:fldChar w:fldCharType="end"/>
      </w:r>
    </w:p>
    <w:p w14:paraId="416A220F">
      <w:pPr>
        <w:adjustRightIn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4.供应商在法定质疑期内应一次性提出针对同一采购程序环节的质疑。否则质疑将不予受理。</w:t>
      </w:r>
      <w:bookmarkStart w:id="6" w:name="B31_其他事项"/>
    </w:p>
    <w:bookmarkEnd w:id="6"/>
    <w:p w14:paraId="6627D5A8">
      <w:pPr>
        <w:adjustRightIn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5.投标人可指派授权代表递交备份文件，授权代表递交备份文件需携带法定代表人授权书原件，于磋商响应截止时间前到达开标地点递交。</w:t>
      </w:r>
    </w:p>
    <w:p w14:paraId="5E7E7584">
      <w:pPr>
        <w:adjustRightIn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6.特别提醒</w:t>
      </w:r>
    </w:p>
    <w:p w14:paraId="0B8D257B">
      <w:pPr>
        <w:numPr>
          <w:ilvl w:val="0"/>
          <w:numId w:val="6"/>
        </w:numPr>
        <w:wordWrap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单位负责人为同一人或者存在直接控股、管理关系的不同供应商，不得参加同一合同项下的非政府采购活动。</w:t>
      </w:r>
    </w:p>
    <w:p w14:paraId="1EE79814">
      <w:pPr>
        <w:numPr>
          <w:ilvl w:val="0"/>
          <w:numId w:val="6"/>
        </w:numPr>
        <w:wordWrap w:val="0"/>
        <w:adjustRightIn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highlight w:val="none"/>
        </w:rPr>
        <w:t>除单一来源采购项目外，为采购项目提供整体设计、规范编制或者项目管理、监理、检测等服务的供应商，不得再参加该采购项目的其他采购活动。</w:t>
      </w:r>
    </w:p>
    <w:p w14:paraId="6D42B22D">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七．磋商响应截止时间及要求：</w:t>
      </w:r>
      <w:r>
        <w:rPr>
          <w:rFonts w:ascii="宋体" w:hAnsi="宋体" w:cs="宋体"/>
          <w:color w:val="0000FF"/>
          <w:sz w:val="24"/>
          <w:szCs w:val="24"/>
          <w:highlight w:val="none"/>
          <w:u w:val="single"/>
        </w:rPr>
        <w:t xml:space="preserve"> 202</w:t>
      </w:r>
      <w:r>
        <w:rPr>
          <w:rFonts w:hint="eastAsia" w:ascii="宋体" w:hAnsi="宋体" w:cs="宋体"/>
          <w:color w:val="0000FF"/>
          <w:sz w:val="24"/>
          <w:szCs w:val="24"/>
          <w:highlight w:val="none"/>
          <w:u w:val="single"/>
          <w:lang w:val="en-US" w:eastAsia="zh-CN"/>
        </w:rPr>
        <w:t>5</w:t>
      </w:r>
      <w:r>
        <w:rPr>
          <w:rFonts w:ascii="宋体" w:hAnsi="宋体" w:cs="宋体"/>
          <w:color w:val="0000FF"/>
          <w:sz w:val="24"/>
          <w:szCs w:val="24"/>
          <w:highlight w:val="none"/>
          <w:u w:val="single"/>
        </w:rPr>
        <w:t xml:space="preserve"> </w:t>
      </w:r>
      <w:r>
        <w:rPr>
          <w:rFonts w:hint="eastAsia" w:ascii="宋体" w:hAnsi="宋体" w:cs="宋体"/>
          <w:color w:val="0000FF"/>
          <w:sz w:val="24"/>
          <w:szCs w:val="24"/>
          <w:highlight w:val="none"/>
        </w:rPr>
        <w:t>年</w:t>
      </w:r>
      <w:r>
        <w:rPr>
          <w:rFonts w:ascii="宋体" w:hAnsi="宋体" w:cs="宋体"/>
          <w:color w:val="0000FF"/>
          <w:sz w:val="24"/>
          <w:szCs w:val="24"/>
          <w:highlight w:val="none"/>
          <w:u w:val="single"/>
        </w:rPr>
        <w:t xml:space="preserve"> </w:t>
      </w:r>
      <w:r>
        <w:rPr>
          <w:rFonts w:hint="eastAsia" w:ascii="宋体" w:hAnsi="宋体" w:cs="宋体"/>
          <w:color w:val="0000FF"/>
          <w:sz w:val="24"/>
          <w:szCs w:val="24"/>
          <w:highlight w:val="none"/>
          <w:u w:val="single"/>
          <w:lang w:val="en-US" w:eastAsia="zh-CN"/>
        </w:rPr>
        <w:t>02</w:t>
      </w:r>
      <w:r>
        <w:rPr>
          <w:rFonts w:hint="eastAsia" w:ascii="宋体" w:hAnsi="宋体" w:cs="宋体"/>
          <w:color w:val="0000FF"/>
          <w:sz w:val="24"/>
          <w:szCs w:val="24"/>
          <w:highlight w:val="none"/>
          <w:u w:val="single"/>
        </w:rPr>
        <w:t xml:space="preserve"> </w:t>
      </w:r>
      <w:r>
        <w:rPr>
          <w:rFonts w:hint="eastAsia" w:ascii="宋体" w:hAnsi="宋体" w:cs="宋体"/>
          <w:color w:val="0000FF"/>
          <w:sz w:val="24"/>
          <w:szCs w:val="24"/>
          <w:highlight w:val="none"/>
        </w:rPr>
        <w:t>月</w:t>
      </w:r>
      <w:r>
        <w:rPr>
          <w:rFonts w:ascii="宋体" w:hAnsi="宋体" w:cs="宋体"/>
          <w:color w:val="0000FF"/>
          <w:sz w:val="24"/>
          <w:szCs w:val="24"/>
          <w:highlight w:val="none"/>
          <w:u w:val="single"/>
        </w:rPr>
        <w:t xml:space="preserve"> </w:t>
      </w:r>
      <w:r>
        <w:rPr>
          <w:rFonts w:hint="eastAsia" w:ascii="宋体" w:hAnsi="宋体" w:cs="宋体"/>
          <w:color w:val="0000FF"/>
          <w:sz w:val="24"/>
          <w:szCs w:val="24"/>
          <w:highlight w:val="none"/>
          <w:u w:val="single"/>
          <w:lang w:val="en-US" w:eastAsia="zh-CN"/>
        </w:rPr>
        <w:t>06</w:t>
      </w:r>
      <w:r>
        <w:rPr>
          <w:rFonts w:hint="eastAsia" w:ascii="宋体" w:hAnsi="宋体" w:cs="宋体"/>
          <w:color w:val="0000FF"/>
          <w:sz w:val="24"/>
          <w:szCs w:val="24"/>
          <w:highlight w:val="none"/>
          <w:u w:val="single"/>
        </w:rPr>
        <w:t xml:space="preserve"> </w:t>
      </w:r>
      <w:r>
        <w:rPr>
          <w:rFonts w:hint="eastAsia" w:ascii="宋体" w:hAnsi="宋体" w:cs="宋体"/>
          <w:color w:val="0000FF"/>
          <w:sz w:val="24"/>
          <w:szCs w:val="24"/>
          <w:highlight w:val="none"/>
        </w:rPr>
        <w:t>日</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分整</w:t>
      </w:r>
      <w:r>
        <w:rPr>
          <w:rFonts w:hint="eastAsia" w:ascii="宋体" w:hAnsi="宋体" w:cs="宋体"/>
          <w:color w:val="auto"/>
          <w:kern w:val="0"/>
          <w:sz w:val="24"/>
          <w:szCs w:val="24"/>
          <w:highlight w:val="none"/>
        </w:rPr>
        <w:t>之前将电子磋商响应文件上传到“</w:t>
      </w:r>
      <w:r>
        <w:rPr>
          <w:rFonts w:hint="eastAsia" w:ascii="宋体" w:hAnsi="宋体" w:cs="宋体"/>
          <w:bCs/>
          <w:color w:val="auto"/>
          <w:kern w:val="0"/>
          <w:sz w:val="24"/>
          <w:highlight w:val="none"/>
          <w:lang w:eastAsia="zh-CN"/>
        </w:rPr>
        <w:t>乐采云</w:t>
      </w:r>
      <w:r>
        <w:rPr>
          <w:rFonts w:hint="eastAsia" w:ascii="宋体" w:hAnsi="宋体" w:cs="宋体"/>
          <w:color w:val="auto"/>
          <w:kern w:val="0"/>
          <w:sz w:val="24"/>
          <w:szCs w:val="24"/>
          <w:highlight w:val="none"/>
        </w:rPr>
        <w:t>”平台。</w:t>
      </w:r>
      <w:bookmarkStart w:id="131" w:name="_GoBack"/>
      <w:bookmarkEnd w:id="131"/>
    </w:p>
    <w:p w14:paraId="68A8CB75">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八．递交首次响应文件时间及地点：</w:t>
      </w:r>
      <w:r>
        <w:rPr>
          <w:rFonts w:ascii="宋体" w:hAnsi="宋体" w:cs="宋体"/>
          <w:color w:val="0000FF"/>
          <w:sz w:val="24"/>
          <w:szCs w:val="24"/>
          <w:highlight w:val="none"/>
          <w:u w:val="single"/>
        </w:rPr>
        <w:t xml:space="preserve"> 202</w:t>
      </w:r>
      <w:r>
        <w:rPr>
          <w:rFonts w:hint="eastAsia" w:ascii="宋体" w:hAnsi="宋体" w:cs="宋体"/>
          <w:color w:val="0000FF"/>
          <w:sz w:val="24"/>
          <w:szCs w:val="24"/>
          <w:highlight w:val="none"/>
          <w:u w:val="single"/>
          <w:lang w:val="en-US" w:eastAsia="zh-CN"/>
        </w:rPr>
        <w:t>5</w:t>
      </w:r>
      <w:r>
        <w:rPr>
          <w:rFonts w:ascii="宋体" w:hAnsi="宋体" w:cs="宋体"/>
          <w:color w:val="0000FF"/>
          <w:sz w:val="24"/>
          <w:szCs w:val="24"/>
          <w:highlight w:val="none"/>
          <w:u w:val="single"/>
        </w:rPr>
        <w:t xml:space="preserve"> </w:t>
      </w:r>
      <w:r>
        <w:rPr>
          <w:rFonts w:hint="eastAsia" w:ascii="宋体" w:hAnsi="宋体" w:cs="宋体"/>
          <w:color w:val="0000FF"/>
          <w:sz w:val="24"/>
          <w:szCs w:val="24"/>
          <w:highlight w:val="none"/>
        </w:rPr>
        <w:t>年</w:t>
      </w:r>
      <w:r>
        <w:rPr>
          <w:rFonts w:ascii="宋体" w:hAnsi="宋体" w:cs="宋体"/>
          <w:color w:val="0000FF"/>
          <w:sz w:val="24"/>
          <w:szCs w:val="24"/>
          <w:highlight w:val="none"/>
          <w:u w:val="single"/>
        </w:rPr>
        <w:t xml:space="preserve"> </w:t>
      </w:r>
      <w:r>
        <w:rPr>
          <w:rFonts w:hint="eastAsia" w:ascii="宋体" w:hAnsi="宋体" w:cs="宋体"/>
          <w:color w:val="0000FF"/>
          <w:sz w:val="24"/>
          <w:szCs w:val="24"/>
          <w:highlight w:val="none"/>
          <w:u w:val="single"/>
          <w:lang w:val="en-US" w:eastAsia="zh-CN"/>
        </w:rPr>
        <w:t>02</w:t>
      </w:r>
      <w:r>
        <w:rPr>
          <w:rFonts w:hint="eastAsia" w:ascii="宋体" w:hAnsi="宋体" w:cs="宋体"/>
          <w:color w:val="0000FF"/>
          <w:sz w:val="24"/>
          <w:szCs w:val="24"/>
          <w:highlight w:val="none"/>
          <w:u w:val="single"/>
        </w:rPr>
        <w:t xml:space="preserve"> </w:t>
      </w:r>
      <w:r>
        <w:rPr>
          <w:rFonts w:hint="eastAsia" w:ascii="宋体" w:hAnsi="宋体" w:cs="宋体"/>
          <w:color w:val="0000FF"/>
          <w:sz w:val="24"/>
          <w:szCs w:val="24"/>
          <w:highlight w:val="none"/>
        </w:rPr>
        <w:t>月</w:t>
      </w:r>
      <w:r>
        <w:rPr>
          <w:rFonts w:ascii="宋体" w:hAnsi="宋体" w:cs="宋体"/>
          <w:color w:val="0000FF"/>
          <w:sz w:val="24"/>
          <w:szCs w:val="24"/>
          <w:highlight w:val="none"/>
          <w:u w:val="single"/>
        </w:rPr>
        <w:t xml:space="preserve"> </w:t>
      </w:r>
      <w:r>
        <w:rPr>
          <w:rFonts w:hint="eastAsia" w:ascii="宋体" w:hAnsi="宋体" w:cs="宋体"/>
          <w:color w:val="0000FF"/>
          <w:sz w:val="24"/>
          <w:szCs w:val="24"/>
          <w:highlight w:val="none"/>
          <w:u w:val="single"/>
          <w:lang w:val="en-US" w:eastAsia="zh-CN"/>
        </w:rPr>
        <w:t xml:space="preserve"> 06</w:t>
      </w:r>
      <w:r>
        <w:rPr>
          <w:rFonts w:hint="eastAsia" w:ascii="宋体" w:hAnsi="宋体" w:cs="宋体"/>
          <w:color w:val="0000FF"/>
          <w:sz w:val="24"/>
          <w:szCs w:val="24"/>
          <w:highlight w:val="none"/>
          <w:u w:val="single"/>
        </w:rPr>
        <w:t xml:space="preserve"> </w:t>
      </w:r>
      <w:r>
        <w:rPr>
          <w:rFonts w:hint="eastAsia" w:ascii="宋体" w:hAnsi="宋体" w:cs="宋体"/>
          <w:color w:val="0000FF"/>
          <w:sz w:val="24"/>
          <w:szCs w:val="24"/>
          <w:highlight w:val="none"/>
        </w:rPr>
        <w:t>日</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w:t>
      </w:r>
      <w:bookmarkStart w:id="7" w:name="B30_开标地点"/>
      <w:r>
        <w:rPr>
          <w:rFonts w:hint="eastAsia" w:ascii="宋体" w:hAnsi="宋体" w:cs="宋体"/>
          <w:color w:val="auto"/>
          <w:sz w:val="24"/>
          <w:szCs w:val="24"/>
          <w:highlight w:val="none"/>
        </w:rPr>
        <w:t>整在</w:t>
      </w:r>
      <w:bookmarkEnd w:id="7"/>
      <w:r>
        <w:rPr>
          <w:rFonts w:hint="eastAsia" w:ascii="宋体" w:hAnsi="宋体" w:cs="宋体"/>
          <w:color w:val="000000"/>
          <w:sz w:val="24"/>
          <w:szCs w:val="24"/>
          <w:highlight w:val="none"/>
        </w:rPr>
        <w:t>绍兴市上虞区</w:t>
      </w:r>
      <w:r>
        <w:rPr>
          <w:rFonts w:hint="eastAsia" w:ascii="宋体" w:hAnsi="宋体" w:cs="宋体"/>
          <w:color w:val="000000"/>
          <w:sz w:val="24"/>
          <w:szCs w:val="24"/>
          <w:highlight w:val="none"/>
          <w:lang w:val="en-US" w:eastAsia="zh-CN"/>
        </w:rPr>
        <w:t>百官街道都悦大厦23楼国信</w:t>
      </w:r>
      <w:r>
        <w:rPr>
          <w:rFonts w:hint="eastAsia" w:ascii="宋体" w:hAnsi="宋体" w:cs="宋体"/>
          <w:color w:val="000000"/>
          <w:sz w:val="24"/>
          <w:szCs w:val="24"/>
          <w:highlight w:val="none"/>
        </w:rPr>
        <w:t>开标室开标。</w:t>
      </w:r>
    </w:p>
    <w:p w14:paraId="38A5E5A6">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开标时间后30分钟内供应商可以登录“</w:t>
      </w:r>
      <w:r>
        <w:rPr>
          <w:rFonts w:hint="eastAsia" w:ascii="宋体" w:hAnsi="宋体" w:cs="宋体"/>
          <w:color w:val="auto"/>
          <w:sz w:val="24"/>
          <w:szCs w:val="24"/>
          <w:highlight w:val="none"/>
          <w:lang w:eastAsia="zh-CN"/>
        </w:rPr>
        <w:t>乐采云</w:t>
      </w:r>
      <w:r>
        <w:rPr>
          <w:rFonts w:hint="eastAsia" w:ascii="宋体" w:hAnsi="宋体" w:cs="宋体"/>
          <w:color w:val="auto"/>
          <w:sz w:val="24"/>
          <w:szCs w:val="24"/>
          <w:highlight w:val="none"/>
        </w:rPr>
        <w:t>”平台，用“项目采购－开标评标”功能进行解密投标文件。若供应商在规定时间内解密失败，则由采购代理机构工作人员上传投标人提供的备份文件。备份文件（后缀名为.bfbs）须存储在U盘中，与上传的电子投标文件一致，用信封进行密封并盖章</w:t>
      </w:r>
      <w:r>
        <w:rPr>
          <w:rFonts w:hint="eastAsia" w:ascii="宋体" w:hAnsi="宋体" w:cs="宋体"/>
          <w:b/>
          <w:bCs/>
          <w:color w:val="auto"/>
          <w:sz w:val="24"/>
          <w:highlight w:val="none"/>
        </w:rPr>
        <w:t>（信封内仅需放入存储备份文件的</w:t>
      </w:r>
      <w:r>
        <w:rPr>
          <w:rFonts w:ascii="宋体" w:hAnsi="宋体" w:cs="宋体"/>
          <w:b/>
          <w:bCs/>
          <w:color w:val="auto"/>
          <w:sz w:val="24"/>
          <w:highlight w:val="none"/>
        </w:rPr>
        <w:t>U</w:t>
      </w:r>
      <w:r>
        <w:rPr>
          <w:rFonts w:hint="eastAsia" w:ascii="宋体" w:hAnsi="宋体" w:cs="宋体"/>
          <w:b/>
          <w:bCs/>
          <w:color w:val="auto"/>
          <w:sz w:val="24"/>
          <w:highlight w:val="none"/>
        </w:rPr>
        <w:t>盘）</w:t>
      </w:r>
      <w:r>
        <w:rPr>
          <w:rFonts w:hint="eastAsia" w:ascii="宋体" w:hAnsi="宋体" w:cs="宋体"/>
          <w:color w:val="auto"/>
          <w:sz w:val="24"/>
          <w:szCs w:val="24"/>
          <w:highlight w:val="none"/>
        </w:rPr>
        <w:t>，由授权代表在投标截止时间前递交至开标地点。若电子投标文件正常解锁，则U盘退还给供应商；若解锁失败，则由采购代理机构将U盘中的备份文件上传，该U盘将由采购代理机构保存。</w:t>
      </w:r>
    </w:p>
    <w:p w14:paraId="791B2CFC">
      <w:pPr>
        <w:adjustRightInd w:val="0"/>
        <w:spacing w:line="360" w:lineRule="auto"/>
        <w:ind w:firstLine="480" w:firstLineChars="200"/>
        <w:rPr>
          <w:rFonts w:ascii="宋体"/>
          <w:color w:val="auto"/>
          <w:kern w:val="0"/>
          <w:sz w:val="24"/>
          <w:szCs w:val="24"/>
          <w:highlight w:val="none"/>
        </w:rPr>
      </w:pPr>
      <w:r>
        <w:rPr>
          <w:rFonts w:hint="eastAsia" w:ascii="宋体" w:hAnsi="宋体" w:cs="宋体"/>
          <w:color w:val="auto"/>
          <w:sz w:val="24"/>
          <w:szCs w:val="24"/>
          <w:highlight w:val="none"/>
        </w:rPr>
        <w:t>本次开标不提供现场视频。</w:t>
      </w:r>
    </w:p>
    <w:p w14:paraId="353C33E1">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九．磋商保证金：无</w:t>
      </w:r>
    </w:p>
    <w:p w14:paraId="5DA02C73">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十．公告期限：3个工作日</w:t>
      </w:r>
    </w:p>
    <w:p w14:paraId="235948E7">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十一．联系方式：</w:t>
      </w:r>
    </w:p>
    <w:p w14:paraId="28A75679">
      <w:pPr>
        <w:adjustRightInd w:val="0"/>
        <w:spacing w:line="360" w:lineRule="auto"/>
        <w:ind w:firstLine="480" w:firstLineChars="200"/>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采购代理机构名称：</w:t>
      </w:r>
      <w:r>
        <w:rPr>
          <w:rFonts w:hint="eastAsia" w:ascii="宋体" w:hAnsi="宋体" w:cs="宋体"/>
          <w:color w:val="auto"/>
          <w:sz w:val="24"/>
          <w:szCs w:val="24"/>
          <w:highlight w:val="none"/>
          <w:lang w:eastAsia="zh-CN"/>
        </w:rPr>
        <w:t>浙江国信工程管理咨询有限公司</w:t>
      </w:r>
    </w:p>
    <w:p w14:paraId="49FE7E81">
      <w:pPr>
        <w:adjustRightInd w:val="0"/>
        <w:spacing w:line="360" w:lineRule="auto"/>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张</w:t>
      </w:r>
      <w:r>
        <w:rPr>
          <w:rFonts w:hint="eastAsia" w:ascii="宋体" w:hAnsi="宋体" w:cs="宋体"/>
          <w:color w:val="auto"/>
          <w:sz w:val="24"/>
          <w:szCs w:val="24"/>
          <w:lang w:eastAsia="zh-CN"/>
        </w:rPr>
        <w:t>女士</w:t>
      </w:r>
      <w:r>
        <w:rPr>
          <w:rFonts w:hint="eastAsia" w:ascii="宋体" w:hAnsi="宋体" w:cs="宋体"/>
          <w:color w:val="auto"/>
          <w:sz w:val="24"/>
          <w:szCs w:val="24"/>
          <w:highlight w:val="none"/>
        </w:rPr>
        <w:t xml:space="preserve">              </w:t>
      </w:r>
    </w:p>
    <w:p w14:paraId="2FF1B352">
      <w:pPr>
        <w:adjustRightInd w:val="0"/>
        <w:spacing w:line="360" w:lineRule="auto"/>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lang w:val="en-US" w:eastAsia="zh-CN"/>
        </w:rPr>
        <w:t>13486527540</w:t>
      </w:r>
      <w:r>
        <w:rPr>
          <w:rFonts w:hint="eastAsia" w:ascii="宋体" w:hAnsi="宋体" w:cs="宋体"/>
          <w:color w:val="auto"/>
          <w:sz w:val="24"/>
          <w:szCs w:val="24"/>
          <w:highlight w:val="none"/>
        </w:rPr>
        <w:t xml:space="preserve">         </w:t>
      </w:r>
    </w:p>
    <w:p w14:paraId="322BECB5">
      <w:pPr>
        <w:adjustRightInd w:val="0"/>
        <w:spacing w:line="360" w:lineRule="auto"/>
        <w:ind w:firstLine="960" w:firstLineChars="400"/>
        <w:rPr>
          <w:rFonts w:ascii="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rPr>
        <w:t>绍兴市上虞区</w:t>
      </w:r>
      <w:r>
        <w:rPr>
          <w:rFonts w:hint="eastAsia" w:ascii="宋体" w:hAnsi="宋体" w:cs="宋体"/>
          <w:color w:val="auto"/>
          <w:sz w:val="24"/>
          <w:szCs w:val="24"/>
          <w:lang w:val="en-US" w:eastAsia="zh-CN"/>
        </w:rPr>
        <w:t>都悦大厦23楼</w:t>
      </w:r>
      <w:r>
        <w:rPr>
          <w:rFonts w:hint="eastAsia" w:ascii="宋体" w:hAnsi="宋体" w:cs="宋体"/>
          <w:color w:val="auto"/>
          <w:sz w:val="24"/>
          <w:szCs w:val="24"/>
        </w:rPr>
        <w:t xml:space="preserve"> </w:t>
      </w:r>
      <w:r>
        <w:rPr>
          <w:rFonts w:hint="eastAsia" w:ascii="宋体" w:hAnsi="宋体" w:cs="宋体"/>
          <w:color w:val="auto"/>
          <w:sz w:val="24"/>
          <w:szCs w:val="24"/>
          <w:highlight w:val="none"/>
        </w:rPr>
        <w:t xml:space="preserve">  </w:t>
      </w:r>
    </w:p>
    <w:p w14:paraId="309A07F4">
      <w:pPr>
        <w:adjustRightInd w:val="0"/>
        <w:spacing w:line="360" w:lineRule="auto"/>
        <w:ind w:firstLine="720" w:firstLineChars="300"/>
        <w:rPr>
          <w:rFonts w:ascii="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lang w:eastAsia="zh-CN"/>
        </w:rPr>
        <w:t>绍兴市上虞惠盛城镇建设开发有限公司</w:t>
      </w:r>
    </w:p>
    <w:p w14:paraId="58CF5531">
      <w:pPr>
        <w:adjustRightIn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胡先生</w:t>
      </w:r>
      <w:r>
        <w:rPr>
          <w:rFonts w:hint="eastAsia" w:ascii="宋体" w:hAnsi="宋体" w:eastAsia="宋体" w:cs="宋体"/>
          <w:color w:val="auto"/>
          <w:sz w:val="24"/>
          <w:szCs w:val="24"/>
          <w:highlight w:val="none"/>
        </w:rPr>
        <w:t xml:space="preserve"> </w:t>
      </w:r>
    </w:p>
    <w:p w14:paraId="62C7221C">
      <w:pPr>
        <w:adjustRightInd w:val="0"/>
        <w:spacing w:line="360" w:lineRule="auto"/>
        <w:ind w:firstLine="960" w:firstLineChars="4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r>
        <w:rPr>
          <w:rFonts w:hint="eastAsia" w:ascii="宋体" w:hAnsi="宋体" w:cs="宋体"/>
          <w:color w:val="auto"/>
          <w:sz w:val="24"/>
          <w:szCs w:val="24"/>
          <w:highlight w:val="none"/>
        </w:rPr>
        <w:t>0575-</w:t>
      </w:r>
      <w:r>
        <w:rPr>
          <w:rFonts w:hint="eastAsia" w:ascii="宋体" w:hAnsi="宋体" w:cs="宋体"/>
          <w:color w:val="auto"/>
          <w:sz w:val="24"/>
          <w:szCs w:val="24"/>
          <w:highlight w:val="none"/>
          <w:lang w:val="en-US" w:eastAsia="zh-CN"/>
        </w:rPr>
        <w:t>82877058</w:t>
      </w:r>
    </w:p>
    <w:p w14:paraId="163E22DA">
      <w:pPr>
        <w:adjustRightIn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地址：绍兴市上虞区丰惠镇</w:t>
      </w:r>
    </w:p>
    <w:p w14:paraId="62CBAB24">
      <w:pPr>
        <w:adjustRightInd w:val="0"/>
        <w:spacing w:line="360" w:lineRule="auto"/>
        <w:ind w:firstLine="960" w:firstLineChars="400"/>
        <w:rPr>
          <w:rFonts w:ascii="宋体"/>
          <w:color w:val="auto"/>
          <w:sz w:val="24"/>
          <w:szCs w:val="24"/>
          <w:highlight w:val="none"/>
        </w:rPr>
      </w:pPr>
      <w:r>
        <w:rPr>
          <w:rFonts w:hint="eastAsia" w:ascii="宋体" w:hAnsi="宋体" w:cs="宋体"/>
          <w:color w:val="auto"/>
          <w:sz w:val="24"/>
          <w:szCs w:val="24"/>
        </w:rPr>
        <w:t xml:space="preserve"> </w:t>
      </w:r>
      <w:r>
        <w:rPr>
          <w:rFonts w:hint="eastAsia" w:ascii="宋体" w:hAnsi="宋体" w:cs="宋体"/>
          <w:color w:val="auto"/>
          <w:sz w:val="24"/>
          <w:szCs w:val="24"/>
          <w:highlight w:val="none"/>
        </w:rPr>
        <w:t xml:space="preserve">  </w:t>
      </w:r>
    </w:p>
    <w:p w14:paraId="619C8A48">
      <w:pPr>
        <w:adjustRightInd w:val="0"/>
        <w:spacing w:line="360" w:lineRule="auto"/>
        <w:ind w:firstLine="480" w:firstLineChars="200"/>
        <w:rPr>
          <w:rFonts w:ascii="宋体" w:hAnsi="宋体" w:cs="宋体"/>
          <w:color w:val="auto"/>
          <w:sz w:val="24"/>
          <w:szCs w:val="24"/>
          <w:highlight w:val="yellow"/>
        </w:rPr>
      </w:pPr>
    </w:p>
    <w:p w14:paraId="24B7A02E">
      <w:pP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8" w:name="_Toc9048"/>
      <w:bookmarkStart w:id="9" w:name="_Toc29834"/>
      <w:bookmarkStart w:id="10" w:name="_Toc546"/>
      <w:r>
        <w:rPr>
          <w:rStyle w:val="44"/>
          <w:rFonts w:hint="eastAsia" w:cs="宋体"/>
          <w:color w:val="auto"/>
          <w:sz w:val="36"/>
          <w:szCs w:val="36"/>
          <w:highlight w:val="none"/>
        </w:rPr>
        <w:t>第二部分</w:t>
      </w:r>
      <w:bookmarkEnd w:id="3"/>
      <w:r>
        <w:rPr>
          <w:rStyle w:val="44"/>
          <w:color w:val="auto"/>
          <w:sz w:val="36"/>
          <w:szCs w:val="36"/>
          <w:highlight w:val="none"/>
        </w:rPr>
        <w:t xml:space="preserve"> </w:t>
      </w:r>
      <w:bookmarkEnd w:id="4"/>
      <w:r>
        <w:rPr>
          <w:rStyle w:val="44"/>
          <w:rFonts w:hint="eastAsia" w:cs="宋体"/>
          <w:color w:val="auto"/>
          <w:sz w:val="36"/>
          <w:szCs w:val="36"/>
          <w:highlight w:val="none"/>
        </w:rPr>
        <w:t>供应商须知</w:t>
      </w:r>
      <w:bookmarkEnd w:id="8"/>
      <w:bookmarkEnd w:id="9"/>
      <w:bookmarkEnd w:id="10"/>
    </w:p>
    <w:p w14:paraId="736FAF09">
      <w:pPr>
        <w:widowControl/>
        <w:adjustRightInd w:val="0"/>
        <w:snapToGrid w:val="0"/>
        <w:spacing w:line="360" w:lineRule="auto"/>
        <w:jc w:val="center"/>
        <w:rPr>
          <w:rFonts w:ascii="宋体"/>
          <w:b/>
          <w:bCs/>
          <w:snapToGrid w:val="0"/>
          <w:color w:val="auto"/>
          <w:kern w:val="0"/>
          <w:sz w:val="32"/>
          <w:szCs w:val="32"/>
          <w:highlight w:val="none"/>
        </w:rPr>
      </w:pPr>
      <w:r>
        <w:rPr>
          <w:rFonts w:hint="eastAsia" w:ascii="宋体" w:hAnsi="宋体" w:cs="宋体"/>
          <w:b/>
          <w:bCs/>
          <w:snapToGrid w:val="0"/>
          <w:color w:val="auto"/>
          <w:kern w:val="0"/>
          <w:sz w:val="30"/>
          <w:szCs w:val="30"/>
          <w:highlight w:val="none"/>
        </w:rPr>
        <w:t>供应商须知前附表</w:t>
      </w:r>
    </w:p>
    <w:tbl>
      <w:tblPr>
        <w:tblStyle w:val="29"/>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4EE0A6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79A54292">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序号</w:t>
            </w:r>
          </w:p>
        </w:tc>
        <w:tc>
          <w:tcPr>
            <w:tcW w:w="1800" w:type="dxa"/>
            <w:tcBorders>
              <w:top w:val="double" w:color="auto" w:sz="4" w:space="0"/>
            </w:tcBorders>
            <w:vAlign w:val="center"/>
          </w:tcPr>
          <w:p w14:paraId="6A357918">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项目</w:t>
            </w:r>
          </w:p>
        </w:tc>
        <w:tc>
          <w:tcPr>
            <w:tcW w:w="6682" w:type="dxa"/>
            <w:tcBorders>
              <w:top w:val="double" w:color="auto" w:sz="4" w:space="0"/>
            </w:tcBorders>
            <w:vAlign w:val="center"/>
          </w:tcPr>
          <w:p w14:paraId="11137EC5">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内容</w:t>
            </w:r>
          </w:p>
        </w:tc>
      </w:tr>
      <w:tr w14:paraId="15643C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48EFB69B">
            <w:pPr>
              <w:snapToGrid w:val="0"/>
              <w:jc w:val="center"/>
              <w:rPr>
                <w:rFonts w:ascii="宋体"/>
                <w:snapToGrid w:val="0"/>
                <w:color w:val="auto"/>
                <w:kern w:val="0"/>
                <w:highlight w:val="none"/>
              </w:rPr>
            </w:pPr>
            <w:r>
              <w:rPr>
                <w:rFonts w:ascii="宋体" w:hAnsi="宋体" w:cs="宋体"/>
                <w:snapToGrid w:val="0"/>
                <w:color w:val="auto"/>
                <w:kern w:val="0"/>
                <w:highlight w:val="none"/>
              </w:rPr>
              <w:t>1</w:t>
            </w:r>
          </w:p>
        </w:tc>
        <w:tc>
          <w:tcPr>
            <w:tcW w:w="1800" w:type="dxa"/>
            <w:vAlign w:val="center"/>
          </w:tcPr>
          <w:p w14:paraId="572AF4EF">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项目名称</w:t>
            </w:r>
          </w:p>
        </w:tc>
        <w:tc>
          <w:tcPr>
            <w:tcW w:w="6682" w:type="dxa"/>
            <w:vAlign w:val="center"/>
          </w:tcPr>
          <w:p w14:paraId="1FC6C926">
            <w:pPr>
              <w:snapToGrid w:val="0"/>
              <w:ind w:firstLine="420" w:firstLineChars="200"/>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lang w:eastAsia="zh-CN"/>
              </w:rPr>
              <w:t>丰惠古城文旅宣传矩阵采购项目</w:t>
            </w:r>
          </w:p>
        </w:tc>
      </w:tr>
      <w:tr w14:paraId="63C24A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648" w:type="dxa"/>
            <w:vAlign w:val="center"/>
          </w:tcPr>
          <w:p w14:paraId="0DE9D65D">
            <w:pPr>
              <w:snapToGrid w:val="0"/>
              <w:jc w:val="center"/>
              <w:rPr>
                <w:rFonts w:ascii="宋体"/>
                <w:snapToGrid w:val="0"/>
                <w:color w:val="auto"/>
                <w:kern w:val="0"/>
                <w:highlight w:val="none"/>
              </w:rPr>
            </w:pPr>
            <w:r>
              <w:rPr>
                <w:rFonts w:ascii="宋体" w:hAnsi="宋体" w:cs="宋体"/>
                <w:snapToGrid w:val="0"/>
                <w:color w:val="auto"/>
                <w:kern w:val="0"/>
                <w:highlight w:val="none"/>
              </w:rPr>
              <w:t>2</w:t>
            </w:r>
          </w:p>
        </w:tc>
        <w:tc>
          <w:tcPr>
            <w:tcW w:w="1800" w:type="dxa"/>
            <w:vAlign w:val="center"/>
          </w:tcPr>
          <w:p w14:paraId="1FFDEDB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服务周期</w:t>
            </w:r>
          </w:p>
        </w:tc>
        <w:tc>
          <w:tcPr>
            <w:tcW w:w="6682" w:type="dxa"/>
            <w:vAlign w:val="center"/>
          </w:tcPr>
          <w:p w14:paraId="4495BA45">
            <w:pPr>
              <w:spacing w:line="500" w:lineRule="exact"/>
              <w:ind w:firstLine="422" w:firstLineChars="200"/>
              <w:rPr>
                <w:rFonts w:ascii="宋体"/>
                <w:color w:val="auto"/>
                <w:highlight w:val="none"/>
              </w:rPr>
            </w:pPr>
            <w:r>
              <w:rPr>
                <w:rFonts w:hint="eastAsia" w:ascii="宋体" w:hAnsi="宋体" w:cs="宋体"/>
                <w:b/>
                <w:bCs/>
                <w:color w:val="auto"/>
                <w:kern w:val="2"/>
                <w:szCs w:val="21"/>
                <w:highlight w:val="none"/>
              </w:rPr>
              <w:t>自合同签订之日起至合同履行完毕</w:t>
            </w:r>
          </w:p>
        </w:tc>
      </w:tr>
      <w:tr w14:paraId="14CEB5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648" w:type="dxa"/>
            <w:vAlign w:val="center"/>
          </w:tcPr>
          <w:p w14:paraId="2D67A897">
            <w:pPr>
              <w:snapToGrid w:val="0"/>
              <w:jc w:val="center"/>
              <w:rPr>
                <w:rFonts w:ascii="宋体"/>
                <w:snapToGrid w:val="0"/>
                <w:color w:val="auto"/>
                <w:kern w:val="0"/>
                <w:highlight w:val="none"/>
              </w:rPr>
            </w:pPr>
            <w:r>
              <w:rPr>
                <w:rFonts w:ascii="宋体" w:hAnsi="宋体" w:cs="宋体"/>
                <w:snapToGrid w:val="0"/>
                <w:color w:val="auto"/>
                <w:kern w:val="0"/>
                <w:highlight w:val="none"/>
              </w:rPr>
              <w:t>3</w:t>
            </w:r>
          </w:p>
        </w:tc>
        <w:tc>
          <w:tcPr>
            <w:tcW w:w="1800" w:type="dxa"/>
            <w:vAlign w:val="center"/>
          </w:tcPr>
          <w:p w14:paraId="3D507CC8">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最高限价</w:t>
            </w:r>
          </w:p>
        </w:tc>
        <w:tc>
          <w:tcPr>
            <w:tcW w:w="6682" w:type="dxa"/>
            <w:vAlign w:val="center"/>
          </w:tcPr>
          <w:p w14:paraId="73B4469A">
            <w:pPr>
              <w:snapToGrid w:val="0"/>
              <w:ind w:firstLine="420" w:firstLineChars="200"/>
              <w:rPr>
                <w:rFonts w:ascii="宋体"/>
                <w:b/>
                <w:bCs/>
                <w:snapToGrid w:val="0"/>
                <w:color w:val="auto"/>
                <w:kern w:val="0"/>
                <w:highlight w:val="none"/>
              </w:rPr>
            </w:pPr>
            <w:r>
              <w:rPr>
                <w:rFonts w:hint="eastAsia" w:ascii="宋体" w:hAnsi="宋体" w:cs="宋体"/>
                <w:color w:val="auto"/>
                <w:highlight w:val="none"/>
              </w:rPr>
              <w:t>本项目最高限价人民币</w:t>
            </w:r>
            <w:r>
              <w:rPr>
                <w:rFonts w:hint="eastAsia" w:ascii="宋体" w:hAnsi="宋体" w:cs="宋体"/>
                <w:color w:val="auto"/>
                <w:highlight w:val="none"/>
                <w:u w:val="single"/>
                <w:lang w:val="en-US" w:eastAsia="zh-CN"/>
              </w:rPr>
              <w:t>60</w:t>
            </w:r>
            <w:r>
              <w:rPr>
                <w:rFonts w:hint="eastAsia" w:ascii="宋体" w:hAnsi="宋体" w:cs="宋体"/>
                <w:color w:val="auto"/>
                <w:highlight w:val="none"/>
              </w:rPr>
              <w:t>万元。</w:t>
            </w:r>
          </w:p>
        </w:tc>
      </w:tr>
      <w:tr w14:paraId="585080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0EE26BC">
            <w:pPr>
              <w:snapToGrid w:val="0"/>
              <w:jc w:val="center"/>
              <w:rPr>
                <w:rFonts w:ascii="宋体"/>
                <w:snapToGrid w:val="0"/>
                <w:color w:val="auto"/>
                <w:kern w:val="0"/>
                <w:highlight w:val="none"/>
              </w:rPr>
            </w:pPr>
            <w:r>
              <w:rPr>
                <w:rFonts w:ascii="宋体" w:hAnsi="宋体" w:cs="宋体"/>
                <w:snapToGrid w:val="0"/>
                <w:color w:val="auto"/>
                <w:kern w:val="0"/>
                <w:highlight w:val="none"/>
              </w:rPr>
              <w:t xml:space="preserve">                                                                                                   4</w:t>
            </w:r>
          </w:p>
        </w:tc>
        <w:tc>
          <w:tcPr>
            <w:tcW w:w="1800" w:type="dxa"/>
            <w:vAlign w:val="center"/>
          </w:tcPr>
          <w:p w14:paraId="078A897E">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资格审查方式</w:t>
            </w:r>
          </w:p>
        </w:tc>
        <w:tc>
          <w:tcPr>
            <w:tcW w:w="6682" w:type="dxa"/>
            <w:vAlign w:val="center"/>
          </w:tcPr>
          <w:p w14:paraId="32D077CE">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资格审查是指开标后，磋商小组将依据法律法规和磋商文件的规定对供应商的资格进行审查。</w:t>
            </w:r>
          </w:p>
        </w:tc>
      </w:tr>
      <w:tr w14:paraId="794CA1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4E756E77">
            <w:pPr>
              <w:snapToGrid w:val="0"/>
              <w:jc w:val="center"/>
              <w:rPr>
                <w:rFonts w:ascii="宋体"/>
                <w:snapToGrid w:val="0"/>
                <w:color w:val="auto"/>
                <w:kern w:val="0"/>
                <w:highlight w:val="none"/>
              </w:rPr>
            </w:pPr>
            <w:r>
              <w:rPr>
                <w:rFonts w:ascii="宋体" w:hAnsi="宋体" w:cs="宋体"/>
                <w:snapToGrid w:val="0"/>
                <w:color w:val="auto"/>
                <w:kern w:val="0"/>
                <w:highlight w:val="none"/>
              </w:rPr>
              <w:t>5</w:t>
            </w:r>
          </w:p>
        </w:tc>
        <w:tc>
          <w:tcPr>
            <w:tcW w:w="1800" w:type="dxa"/>
            <w:vAlign w:val="center"/>
          </w:tcPr>
          <w:p w14:paraId="6D393A6D">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踏勘现场</w:t>
            </w:r>
          </w:p>
        </w:tc>
        <w:tc>
          <w:tcPr>
            <w:tcW w:w="6682" w:type="dxa"/>
            <w:vAlign w:val="center"/>
          </w:tcPr>
          <w:p w14:paraId="0956650A">
            <w:pPr>
              <w:snapToGrid w:val="0"/>
              <w:ind w:firstLine="422" w:firstLineChars="200"/>
              <w:rPr>
                <w:rFonts w:ascii="宋体"/>
                <w:snapToGrid w:val="0"/>
                <w:color w:val="auto"/>
                <w:kern w:val="0"/>
                <w:highlight w:val="none"/>
              </w:rPr>
            </w:pPr>
            <w:r>
              <w:rPr>
                <w:rFonts w:hint="eastAsia" w:ascii="宋体" w:hAnsi="宋体" w:cs="宋体"/>
                <w:b/>
                <w:bCs/>
                <w:snapToGrid w:val="0"/>
                <w:color w:val="auto"/>
                <w:kern w:val="0"/>
                <w:highlight w:val="none"/>
              </w:rPr>
              <w:t>本项目不组织现场踏勘</w:t>
            </w:r>
          </w:p>
        </w:tc>
      </w:tr>
      <w:tr w14:paraId="2F3077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92F932F">
            <w:pPr>
              <w:snapToGrid w:val="0"/>
              <w:jc w:val="center"/>
              <w:rPr>
                <w:rFonts w:ascii="宋体"/>
                <w:snapToGrid w:val="0"/>
                <w:color w:val="auto"/>
                <w:kern w:val="0"/>
                <w:highlight w:val="none"/>
              </w:rPr>
            </w:pPr>
            <w:r>
              <w:rPr>
                <w:rFonts w:ascii="宋体" w:hAnsi="宋体" w:cs="宋体"/>
                <w:snapToGrid w:val="0"/>
                <w:color w:val="auto"/>
                <w:kern w:val="0"/>
                <w:highlight w:val="none"/>
              </w:rPr>
              <w:t>6</w:t>
            </w:r>
          </w:p>
        </w:tc>
        <w:tc>
          <w:tcPr>
            <w:tcW w:w="1800" w:type="dxa"/>
            <w:vAlign w:val="center"/>
          </w:tcPr>
          <w:p w14:paraId="3B228A70">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询问</w:t>
            </w:r>
          </w:p>
        </w:tc>
        <w:tc>
          <w:tcPr>
            <w:tcW w:w="6682" w:type="dxa"/>
            <w:vAlign w:val="center"/>
          </w:tcPr>
          <w:p w14:paraId="45284A54">
            <w:pPr>
              <w:snapToGrid w:val="0"/>
              <w:ind w:firstLine="420" w:firstLineChars="200"/>
              <w:rPr>
                <w:rFonts w:ascii="宋体"/>
                <w:snapToGrid w:val="0"/>
                <w:color w:val="auto"/>
                <w:kern w:val="0"/>
                <w:highlight w:val="none"/>
              </w:rPr>
            </w:pPr>
            <w:r>
              <w:rPr>
                <w:rFonts w:hint="eastAsia" w:ascii="宋体" w:hAnsi="宋体" w:eastAsia="宋体" w:cs="宋体"/>
                <w:snapToGrid w:val="0"/>
                <w:color w:val="auto"/>
                <w:kern w:val="0"/>
                <w:szCs w:val="21"/>
                <w:highlight w:val="none"/>
              </w:rPr>
              <w:t>供应商对国企采购活动事项有疑问的，可以向采购机构提出询问，采购人或者招标代理机构应当在3个工作日内对供应商依法提出的询问作出答复，但答复的内容不得涉及商业秘密。</w:t>
            </w:r>
          </w:p>
        </w:tc>
      </w:tr>
      <w:tr w14:paraId="3D86B0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36E98BD">
            <w:pPr>
              <w:snapToGrid w:val="0"/>
              <w:jc w:val="center"/>
              <w:rPr>
                <w:rFonts w:ascii="宋体"/>
                <w:snapToGrid w:val="0"/>
                <w:color w:val="auto"/>
                <w:kern w:val="0"/>
                <w:highlight w:val="none"/>
              </w:rPr>
            </w:pPr>
            <w:r>
              <w:rPr>
                <w:rFonts w:ascii="宋体" w:hAnsi="宋体" w:cs="宋体"/>
                <w:snapToGrid w:val="0"/>
                <w:color w:val="auto"/>
                <w:kern w:val="0"/>
                <w:highlight w:val="none"/>
              </w:rPr>
              <w:t>7</w:t>
            </w:r>
          </w:p>
        </w:tc>
        <w:tc>
          <w:tcPr>
            <w:tcW w:w="1800" w:type="dxa"/>
            <w:vAlign w:val="center"/>
          </w:tcPr>
          <w:p w14:paraId="70EE9097">
            <w:pPr>
              <w:snapToGrid w:val="0"/>
              <w:spacing w:line="360" w:lineRule="exact"/>
              <w:jc w:val="center"/>
              <w:rPr>
                <w:rFonts w:ascii="宋体"/>
                <w:snapToGrid w:val="0"/>
                <w:color w:val="auto"/>
                <w:kern w:val="0"/>
                <w:highlight w:val="none"/>
              </w:rPr>
            </w:pPr>
            <w:r>
              <w:rPr>
                <w:rFonts w:hint="eastAsia" w:ascii="宋体" w:hAnsi="宋体" w:cs="宋体"/>
                <w:color w:val="auto"/>
                <w:szCs w:val="21"/>
                <w:highlight w:val="none"/>
              </w:rPr>
              <w:t>磋商文件的澄清与修改</w:t>
            </w:r>
          </w:p>
        </w:tc>
        <w:tc>
          <w:tcPr>
            <w:tcW w:w="6682" w:type="dxa"/>
            <w:vAlign w:val="center"/>
          </w:tcPr>
          <w:p w14:paraId="5916E97D">
            <w:pPr>
              <w:snapToGrid w:val="0"/>
              <w:spacing w:line="360" w:lineRule="exact"/>
              <w:ind w:firstLine="420" w:firstLineChars="200"/>
              <w:rPr>
                <w:rFonts w:ascii="宋体"/>
                <w:snapToGrid w:val="0"/>
                <w:color w:val="auto"/>
                <w:kern w:val="0"/>
                <w:highlight w:val="none"/>
              </w:rPr>
            </w:pPr>
            <w:r>
              <w:rPr>
                <w:rFonts w:hint="eastAsia" w:ascii="宋体" w:hAnsi="宋体" w:cs="宋体"/>
                <w:color w:val="auto"/>
                <w:szCs w:val="21"/>
                <w:highlight w:val="none"/>
              </w:rPr>
              <w:t>采购单位可以对已发出的磋商文件进行必要澄清或者修改，澄清或者修改的内容可能影响响应文件编制的，应当在提交首次响应文件截</w:t>
            </w:r>
            <w:r>
              <w:rPr>
                <w:rFonts w:hint="eastAsia" w:ascii="宋体" w:hAnsi="宋体" w:cs="宋体"/>
                <w:color w:val="auto"/>
                <w:szCs w:val="21"/>
                <w:highlight w:val="none"/>
                <w:lang w:val="en-US" w:eastAsia="zh-CN"/>
              </w:rPr>
              <w:t>止</w:t>
            </w:r>
            <w:r>
              <w:rPr>
                <w:rFonts w:hint="eastAsia" w:ascii="宋体" w:hAnsi="宋体" w:cs="宋体"/>
                <w:color w:val="auto"/>
                <w:szCs w:val="21"/>
                <w:highlight w:val="none"/>
              </w:rPr>
              <w:t>时间至少5日前，在磋商公告发布的媒体上发布更正公告。本项目磋商文件和补充（答疑、澄清）、修改文件等请自行登录浙江政府采购网或绍兴市上虞区公共资源交易中心网站查看。</w:t>
            </w:r>
          </w:p>
        </w:tc>
      </w:tr>
      <w:tr w14:paraId="6B946F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B32C7BA">
            <w:pPr>
              <w:snapToGrid w:val="0"/>
              <w:jc w:val="center"/>
              <w:rPr>
                <w:rFonts w:ascii="宋体"/>
                <w:snapToGrid w:val="0"/>
                <w:color w:val="auto"/>
                <w:kern w:val="0"/>
                <w:highlight w:val="none"/>
              </w:rPr>
            </w:pPr>
            <w:r>
              <w:rPr>
                <w:rFonts w:ascii="宋体" w:hAnsi="宋体" w:cs="宋体"/>
                <w:snapToGrid w:val="0"/>
                <w:color w:val="auto"/>
                <w:kern w:val="0"/>
                <w:highlight w:val="none"/>
              </w:rPr>
              <w:t>8</w:t>
            </w:r>
          </w:p>
        </w:tc>
        <w:tc>
          <w:tcPr>
            <w:tcW w:w="1800" w:type="dxa"/>
            <w:vAlign w:val="center"/>
          </w:tcPr>
          <w:p w14:paraId="273A54F2">
            <w:pPr>
              <w:snapToGrid w:val="0"/>
              <w:spacing w:line="360" w:lineRule="exact"/>
              <w:jc w:val="center"/>
              <w:rPr>
                <w:rFonts w:ascii="宋体"/>
                <w:snapToGrid w:val="0"/>
                <w:color w:val="auto"/>
                <w:kern w:val="0"/>
                <w:highlight w:val="none"/>
              </w:rPr>
            </w:pPr>
            <w:r>
              <w:rPr>
                <w:rFonts w:hint="eastAsia" w:ascii="宋体" w:hAnsi="宋体" w:cs="宋体"/>
                <w:color w:val="auto"/>
                <w:szCs w:val="21"/>
                <w:highlight w:val="none"/>
              </w:rPr>
              <w:t>磋商响应文件组成</w:t>
            </w:r>
          </w:p>
        </w:tc>
        <w:tc>
          <w:tcPr>
            <w:tcW w:w="6682" w:type="dxa"/>
            <w:vAlign w:val="center"/>
          </w:tcPr>
          <w:p w14:paraId="454B3B6C">
            <w:pPr>
              <w:snapToGrid w:val="0"/>
              <w:spacing w:line="360" w:lineRule="exact"/>
              <w:ind w:firstLine="420" w:firstLineChars="200"/>
              <w:rPr>
                <w:rFonts w:ascii="宋体"/>
                <w:snapToGrid w:val="0"/>
                <w:color w:val="auto"/>
                <w:kern w:val="0"/>
                <w:highlight w:val="none"/>
              </w:rPr>
            </w:pPr>
            <w:r>
              <w:rPr>
                <w:rFonts w:hint="eastAsia" w:ascii="宋体" w:hAnsi="宋体" w:cs="宋体"/>
                <w:color w:val="auto"/>
                <w:szCs w:val="21"/>
                <w:highlight w:val="none"/>
              </w:rPr>
              <w:t>投标人向采购人递交的磋商响应文件由资格文件、技术文件、商务</w:t>
            </w:r>
            <w:r>
              <w:rPr>
                <w:rFonts w:hint="eastAsia" w:ascii="宋体" w:hAnsi="宋体" w:cs="宋体"/>
                <w:color w:val="auto"/>
                <w:szCs w:val="21"/>
                <w:highlight w:val="none"/>
                <w:lang w:val="en-US" w:eastAsia="zh-CN"/>
              </w:rPr>
              <w:t>文件</w:t>
            </w:r>
            <w:r>
              <w:rPr>
                <w:rFonts w:hint="eastAsia" w:ascii="宋体" w:hAnsi="宋体" w:cs="宋体"/>
                <w:color w:val="auto"/>
                <w:szCs w:val="21"/>
                <w:highlight w:val="none"/>
              </w:rPr>
              <w:t>、报价文件</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部分组成。</w:t>
            </w:r>
          </w:p>
        </w:tc>
      </w:tr>
      <w:tr w14:paraId="67AA22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48" w:type="dxa"/>
            <w:vAlign w:val="center"/>
          </w:tcPr>
          <w:p w14:paraId="72C466E5">
            <w:pPr>
              <w:snapToGrid w:val="0"/>
              <w:jc w:val="center"/>
              <w:rPr>
                <w:rFonts w:ascii="宋体"/>
                <w:snapToGrid w:val="0"/>
                <w:color w:val="auto"/>
                <w:kern w:val="0"/>
                <w:highlight w:val="none"/>
              </w:rPr>
            </w:pPr>
            <w:r>
              <w:rPr>
                <w:rFonts w:ascii="宋体" w:hAnsi="宋体" w:cs="宋体"/>
                <w:snapToGrid w:val="0"/>
                <w:color w:val="auto"/>
                <w:kern w:val="0"/>
                <w:highlight w:val="none"/>
              </w:rPr>
              <w:t>9</w:t>
            </w:r>
          </w:p>
        </w:tc>
        <w:tc>
          <w:tcPr>
            <w:tcW w:w="1800" w:type="dxa"/>
            <w:vAlign w:val="center"/>
          </w:tcPr>
          <w:p w14:paraId="17D6AC02">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评标办法</w:t>
            </w:r>
          </w:p>
        </w:tc>
        <w:tc>
          <w:tcPr>
            <w:tcW w:w="6682" w:type="dxa"/>
            <w:vAlign w:val="center"/>
          </w:tcPr>
          <w:p w14:paraId="3350A67D">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综合评分法</w:t>
            </w:r>
          </w:p>
        </w:tc>
      </w:tr>
      <w:tr w14:paraId="7977C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4E5C118">
            <w:pPr>
              <w:snapToGrid w:val="0"/>
              <w:jc w:val="center"/>
              <w:rPr>
                <w:rFonts w:ascii="宋体"/>
                <w:snapToGrid w:val="0"/>
                <w:color w:val="auto"/>
                <w:kern w:val="0"/>
                <w:highlight w:val="none"/>
              </w:rPr>
            </w:pPr>
            <w:r>
              <w:rPr>
                <w:rFonts w:ascii="宋体" w:hAnsi="宋体" w:cs="宋体"/>
                <w:snapToGrid w:val="0"/>
                <w:color w:val="auto"/>
                <w:kern w:val="0"/>
                <w:highlight w:val="none"/>
              </w:rPr>
              <w:t>10</w:t>
            </w:r>
          </w:p>
        </w:tc>
        <w:tc>
          <w:tcPr>
            <w:tcW w:w="1800" w:type="dxa"/>
            <w:vAlign w:val="center"/>
          </w:tcPr>
          <w:p w14:paraId="3165789B">
            <w:pPr>
              <w:snapToGrid w:val="0"/>
              <w:spacing w:line="360" w:lineRule="exact"/>
              <w:jc w:val="center"/>
              <w:rPr>
                <w:rFonts w:ascii="宋体"/>
                <w:snapToGrid w:val="0"/>
                <w:color w:val="auto"/>
                <w:kern w:val="0"/>
                <w:highlight w:val="none"/>
              </w:rPr>
            </w:pPr>
            <w:r>
              <w:rPr>
                <w:rFonts w:hint="eastAsia" w:ascii="宋体" w:hAnsi="宋体" w:cs="宋体"/>
                <w:color w:val="auto"/>
                <w:szCs w:val="21"/>
                <w:highlight w:val="none"/>
              </w:rPr>
              <w:t>磋商响应文件递交地址及截止时间</w:t>
            </w:r>
          </w:p>
        </w:tc>
        <w:tc>
          <w:tcPr>
            <w:tcW w:w="6682" w:type="dxa"/>
            <w:vAlign w:val="center"/>
          </w:tcPr>
          <w:p w14:paraId="4CD9E3B2">
            <w:pPr>
              <w:snapToGrid w:val="0"/>
              <w:spacing w:line="360" w:lineRule="exact"/>
              <w:ind w:firstLine="420" w:firstLineChars="200"/>
              <w:rPr>
                <w:rFonts w:ascii="宋体"/>
                <w:color w:val="auto"/>
                <w:kern w:val="0"/>
                <w:highlight w:val="none"/>
              </w:rPr>
            </w:pPr>
            <w:r>
              <w:rPr>
                <w:rFonts w:hint="eastAsia" w:ascii="宋体" w:hAnsi="宋体" w:cs="宋体"/>
                <w:color w:val="auto"/>
                <w:szCs w:val="21"/>
                <w:highlight w:val="none"/>
              </w:rPr>
              <w:t>详见磋商公告</w:t>
            </w:r>
          </w:p>
        </w:tc>
      </w:tr>
      <w:tr w14:paraId="08C93A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461315E">
            <w:pPr>
              <w:snapToGrid w:val="0"/>
              <w:jc w:val="center"/>
              <w:rPr>
                <w:rFonts w:ascii="宋体"/>
                <w:snapToGrid w:val="0"/>
                <w:color w:val="auto"/>
                <w:kern w:val="0"/>
                <w:highlight w:val="none"/>
              </w:rPr>
            </w:pPr>
            <w:r>
              <w:rPr>
                <w:rFonts w:ascii="宋体" w:hAnsi="宋体" w:cs="宋体"/>
                <w:snapToGrid w:val="0"/>
                <w:color w:val="auto"/>
                <w:kern w:val="0"/>
                <w:highlight w:val="none"/>
              </w:rPr>
              <w:t>11</w:t>
            </w:r>
          </w:p>
        </w:tc>
        <w:tc>
          <w:tcPr>
            <w:tcW w:w="1800" w:type="dxa"/>
            <w:vAlign w:val="center"/>
          </w:tcPr>
          <w:p w14:paraId="4A87A283">
            <w:pPr>
              <w:snapToGrid w:val="0"/>
              <w:spacing w:line="360" w:lineRule="exact"/>
              <w:jc w:val="center"/>
              <w:rPr>
                <w:rFonts w:ascii="宋体"/>
                <w:snapToGrid w:val="0"/>
                <w:color w:val="auto"/>
                <w:kern w:val="0"/>
                <w:highlight w:val="none"/>
              </w:rPr>
            </w:pPr>
            <w:r>
              <w:rPr>
                <w:rFonts w:hint="eastAsia" w:ascii="宋体" w:hAnsi="宋体" w:cs="宋体"/>
                <w:color w:val="auto"/>
                <w:szCs w:val="21"/>
                <w:highlight w:val="none"/>
              </w:rPr>
              <w:t>递交首次响应文件时间、地点</w:t>
            </w:r>
          </w:p>
        </w:tc>
        <w:tc>
          <w:tcPr>
            <w:tcW w:w="6682" w:type="dxa"/>
            <w:vAlign w:val="center"/>
          </w:tcPr>
          <w:p w14:paraId="3527C942">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递交首次响应文件时间：</w:t>
            </w:r>
            <w:r>
              <w:rPr>
                <w:rFonts w:hint="eastAsia" w:ascii="宋体" w:hAnsi="宋体" w:cs="宋体"/>
                <w:snapToGrid/>
                <w:color w:val="auto"/>
                <w:szCs w:val="21"/>
                <w:highlight w:val="none"/>
              </w:rPr>
              <w:t>详见磋商公告</w:t>
            </w:r>
          </w:p>
          <w:p w14:paraId="37CCDB48">
            <w:pPr>
              <w:snapToGrid w:val="0"/>
              <w:spacing w:line="360" w:lineRule="exact"/>
              <w:ind w:firstLine="420" w:firstLineChars="200"/>
              <w:rPr>
                <w:rFonts w:ascii="宋体"/>
                <w:color w:val="auto"/>
                <w:kern w:val="0"/>
                <w:highlight w:val="none"/>
              </w:rPr>
            </w:pPr>
            <w:r>
              <w:rPr>
                <w:rFonts w:hint="eastAsia" w:ascii="宋体" w:hAnsi="宋体" w:cs="宋体"/>
                <w:color w:val="auto"/>
                <w:szCs w:val="21"/>
                <w:highlight w:val="none"/>
              </w:rPr>
              <w:t>开标地点：</w:t>
            </w:r>
            <w:r>
              <w:rPr>
                <w:rFonts w:hint="eastAsia" w:ascii="宋体" w:hAnsi="宋体" w:cs="宋体"/>
                <w:snapToGrid/>
                <w:color w:val="auto"/>
                <w:szCs w:val="21"/>
                <w:highlight w:val="none"/>
              </w:rPr>
              <w:t>详见磋商公告</w:t>
            </w:r>
          </w:p>
        </w:tc>
      </w:tr>
      <w:tr w14:paraId="547D5E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369AF65">
            <w:pPr>
              <w:snapToGrid w:val="0"/>
              <w:jc w:val="center"/>
              <w:rPr>
                <w:rFonts w:ascii="宋体"/>
                <w:snapToGrid w:val="0"/>
                <w:color w:val="auto"/>
                <w:kern w:val="0"/>
                <w:highlight w:val="none"/>
              </w:rPr>
            </w:pPr>
            <w:r>
              <w:rPr>
                <w:rFonts w:ascii="宋体" w:hAnsi="宋体" w:cs="宋体"/>
                <w:snapToGrid w:val="0"/>
                <w:color w:val="auto"/>
                <w:kern w:val="0"/>
                <w:highlight w:val="none"/>
              </w:rPr>
              <w:t>12</w:t>
            </w:r>
          </w:p>
        </w:tc>
        <w:tc>
          <w:tcPr>
            <w:tcW w:w="1800" w:type="dxa"/>
            <w:vAlign w:val="center"/>
          </w:tcPr>
          <w:p w14:paraId="3465C8C1">
            <w:pPr>
              <w:snapToGrid w:val="0"/>
              <w:spacing w:line="360" w:lineRule="exact"/>
              <w:jc w:val="center"/>
              <w:rPr>
                <w:rFonts w:ascii="宋体"/>
                <w:snapToGrid w:val="0"/>
                <w:color w:val="auto"/>
                <w:kern w:val="0"/>
                <w:highlight w:val="none"/>
              </w:rPr>
            </w:pPr>
            <w:r>
              <w:rPr>
                <w:rFonts w:hint="eastAsia" w:ascii="宋体" w:hAnsi="宋体" w:cs="宋体"/>
                <w:color w:val="auto"/>
                <w:szCs w:val="21"/>
                <w:highlight w:val="none"/>
              </w:rPr>
              <w:t>磋商响应文件有效期</w:t>
            </w:r>
          </w:p>
        </w:tc>
        <w:tc>
          <w:tcPr>
            <w:tcW w:w="6682" w:type="dxa"/>
            <w:vAlign w:val="center"/>
          </w:tcPr>
          <w:p w14:paraId="50EFA75A">
            <w:pPr>
              <w:snapToGrid w:val="0"/>
              <w:spacing w:line="360" w:lineRule="exact"/>
              <w:ind w:firstLine="420" w:firstLineChars="200"/>
              <w:rPr>
                <w:rFonts w:ascii="宋体"/>
                <w:snapToGrid w:val="0"/>
                <w:color w:val="auto"/>
                <w:kern w:val="0"/>
                <w:highlight w:val="none"/>
              </w:rPr>
            </w:pPr>
            <w:r>
              <w:rPr>
                <w:rFonts w:hint="eastAsia" w:ascii="宋体" w:hAnsi="宋体" w:cs="宋体"/>
                <w:color w:val="auto"/>
                <w:szCs w:val="21"/>
                <w:highlight w:val="none"/>
              </w:rPr>
              <w:t>响应文件有效期为从提交响应文件的截止之日起90天。供应商的响应文件中承诺的响应文件有效期少于磋商文件中载明的响应文件有效期的，磋商无效。</w:t>
            </w:r>
          </w:p>
        </w:tc>
      </w:tr>
      <w:tr w14:paraId="079256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648" w:type="dxa"/>
            <w:vAlign w:val="center"/>
          </w:tcPr>
          <w:p w14:paraId="4033A11C">
            <w:pPr>
              <w:snapToGrid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13</w:t>
            </w:r>
          </w:p>
        </w:tc>
        <w:tc>
          <w:tcPr>
            <w:tcW w:w="1800" w:type="dxa"/>
            <w:vAlign w:val="center"/>
          </w:tcPr>
          <w:p w14:paraId="5C6DCF41">
            <w:pPr>
              <w:snapToGrid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投标保证金</w:t>
            </w:r>
          </w:p>
        </w:tc>
        <w:tc>
          <w:tcPr>
            <w:tcW w:w="6682" w:type="dxa"/>
            <w:vAlign w:val="center"/>
          </w:tcPr>
          <w:p w14:paraId="6DFB9EB1">
            <w:pPr>
              <w:adjustRightInd w:val="0"/>
              <w:spacing w:line="360" w:lineRule="auto"/>
              <w:ind w:firstLine="422"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b/>
                <w:bCs/>
                <w:snapToGrid/>
                <w:color w:val="auto"/>
                <w:kern w:val="2"/>
                <w:szCs w:val="21"/>
                <w:highlight w:val="none"/>
              </w:rPr>
              <w:t>投标保证金：本项目不设置投标保证金。</w:t>
            </w:r>
          </w:p>
        </w:tc>
      </w:tr>
      <w:tr w14:paraId="0FA8D3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648" w:type="dxa"/>
            <w:vAlign w:val="center"/>
          </w:tcPr>
          <w:p w14:paraId="1948F1E0">
            <w:pPr>
              <w:snapToGrid w:val="0"/>
              <w:jc w:val="center"/>
              <w:rPr>
                <w:rFonts w:hint="eastAsia" w:ascii="宋体" w:eastAsia="宋体"/>
                <w:snapToGrid w:val="0"/>
                <w:color w:val="C00000"/>
                <w:kern w:val="0"/>
                <w:highlight w:val="none"/>
                <w:lang w:val="en-US" w:eastAsia="zh-CN"/>
              </w:rPr>
            </w:pPr>
            <w:r>
              <w:rPr>
                <w:rFonts w:ascii="宋体" w:hAnsi="宋体" w:cs="宋体"/>
                <w:snapToGrid w:val="0"/>
                <w:color w:val="auto"/>
                <w:kern w:val="0"/>
                <w:highlight w:val="none"/>
              </w:rPr>
              <w:t>1</w:t>
            </w:r>
            <w:r>
              <w:rPr>
                <w:rFonts w:hint="eastAsia" w:ascii="宋体" w:hAnsi="宋体" w:cs="宋体"/>
                <w:snapToGrid w:val="0"/>
                <w:color w:val="auto"/>
                <w:kern w:val="0"/>
                <w:highlight w:val="none"/>
                <w:lang w:val="en-US" w:eastAsia="zh-CN"/>
              </w:rPr>
              <w:t>4</w:t>
            </w:r>
          </w:p>
        </w:tc>
        <w:tc>
          <w:tcPr>
            <w:tcW w:w="1800" w:type="dxa"/>
            <w:vAlign w:val="center"/>
          </w:tcPr>
          <w:p w14:paraId="0D3ECB98">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履约保证金</w:t>
            </w:r>
          </w:p>
        </w:tc>
        <w:tc>
          <w:tcPr>
            <w:tcW w:w="6682" w:type="dxa"/>
            <w:vAlign w:val="center"/>
          </w:tcPr>
          <w:p w14:paraId="52C37530">
            <w:pPr>
              <w:widowControl/>
              <w:ind w:firstLine="420" w:firstLineChars="200"/>
              <w:jc w:val="left"/>
              <w:rPr>
                <w:rFonts w:hint="default" w:hAnsi="宋体" w:eastAsia="宋体" w:cs="Times New Roman"/>
                <w:color w:val="auto"/>
                <w:kern w:val="0"/>
                <w:highlight w:val="none"/>
                <w:lang w:val="en-US" w:eastAsia="zh-CN"/>
              </w:rPr>
            </w:pPr>
            <w:r>
              <w:rPr>
                <w:rFonts w:hint="eastAsia" w:ascii="宋体" w:hAnsi="宋体" w:cs="宋体"/>
                <w:snapToGrid/>
                <w:color w:val="auto"/>
                <w:szCs w:val="21"/>
                <w:highlight w:val="none"/>
              </w:rPr>
              <w:t>中标人在收到中标通知书后，需向采购人提供合同总价</w:t>
            </w:r>
            <w:r>
              <w:rPr>
                <w:rFonts w:hint="eastAsia" w:ascii="宋体" w:hAnsi="宋体" w:cs="宋体"/>
                <w:snapToGrid/>
                <w:color w:val="auto"/>
                <w:szCs w:val="21"/>
                <w:highlight w:val="none"/>
                <w:u w:val="single"/>
              </w:rPr>
              <w:t>　1　</w:t>
            </w:r>
            <w:r>
              <w:rPr>
                <w:rFonts w:hint="eastAsia" w:ascii="宋体" w:hAnsi="宋体" w:cs="宋体"/>
                <w:snapToGrid/>
                <w:color w:val="auto"/>
                <w:szCs w:val="21"/>
                <w:highlight w:val="none"/>
              </w:rPr>
              <w:t>%的履约保证金，在中标人与采购人签订合同前递交。（投标人应当以支票、汇票、本票或者金融机构、保险公司、担保机构出具的保函等非现金形式提交）。</w:t>
            </w:r>
            <w:r>
              <w:rPr>
                <w:rFonts w:hint="eastAsia" w:ascii="宋体" w:hAnsi="宋体" w:eastAsia="宋体" w:cs="宋体"/>
                <w:snapToGrid/>
                <w:color w:val="auto"/>
                <w:szCs w:val="21"/>
                <w:highlight w:val="none"/>
              </w:rPr>
              <w:t>服务期满并考核合格后无息退还。</w:t>
            </w:r>
          </w:p>
        </w:tc>
      </w:tr>
      <w:tr w14:paraId="60FDAF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BA77810">
            <w:pPr>
              <w:snapToGrid w:val="0"/>
              <w:jc w:val="center"/>
              <w:rPr>
                <w:rFonts w:hint="eastAsia" w:ascii="宋体" w:eastAsia="宋体"/>
                <w:snapToGrid w:val="0"/>
                <w:color w:val="auto"/>
                <w:kern w:val="0"/>
                <w:highlight w:val="none"/>
                <w:lang w:val="en-US" w:eastAsia="zh-CN"/>
              </w:rPr>
            </w:pPr>
            <w:r>
              <w:rPr>
                <w:rFonts w:ascii="宋体" w:hAnsi="宋体" w:cs="宋体"/>
                <w:snapToGrid w:val="0"/>
                <w:color w:val="auto"/>
                <w:kern w:val="0"/>
                <w:highlight w:val="none"/>
              </w:rPr>
              <w:t>1</w:t>
            </w:r>
            <w:r>
              <w:rPr>
                <w:rFonts w:hint="eastAsia" w:ascii="宋体" w:hAnsi="宋体" w:cs="宋体"/>
                <w:snapToGrid w:val="0"/>
                <w:color w:val="auto"/>
                <w:kern w:val="0"/>
                <w:highlight w:val="none"/>
                <w:lang w:val="en-US" w:eastAsia="zh-CN"/>
              </w:rPr>
              <w:t>5</w:t>
            </w:r>
          </w:p>
        </w:tc>
        <w:tc>
          <w:tcPr>
            <w:tcW w:w="1800" w:type="dxa"/>
            <w:vAlign w:val="center"/>
          </w:tcPr>
          <w:p w14:paraId="7D5F1337">
            <w:pPr>
              <w:snapToGrid w:val="0"/>
              <w:spacing w:line="360" w:lineRule="exact"/>
              <w:jc w:val="center"/>
              <w:rPr>
                <w:rFonts w:ascii="宋体"/>
                <w:snapToGrid w:val="0"/>
                <w:color w:val="auto"/>
                <w:kern w:val="0"/>
                <w:highlight w:val="none"/>
              </w:rPr>
            </w:pPr>
            <w:r>
              <w:rPr>
                <w:rFonts w:hint="eastAsia" w:ascii="宋体" w:hAnsi="宋体" w:eastAsia="宋体" w:cs="宋体"/>
                <w:snapToGrid w:val="0"/>
                <w:color w:val="auto"/>
                <w:kern w:val="0"/>
                <w:szCs w:val="21"/>
                <w:highlight w:val="none"/>
              </w:rPr>
              <w:t>采购及中标公告发布媒体</w:t>
            </w:r>
          </w:p>
        </w:tc>
        <w:tc>
          <w:tcPr>
            <w:tcW w:w="6682" w:type="dxa"/>
            <w:vAlign w:val="center"/>
          </w:tcPr>
          <w:p w14:paraId="39B8FEB3">
            <w:pPr>
              <w:pStyle w:val="14"/>
              <w:snapToGrid w:val="0"/>
              <w:spacing w:line="360" w:lineRule="exact"/>
              <w:ind w:firstLine="420" w:firstLineChars="200"/>
              <w:jc w:val="left"/>
              <w:rPr>
                <w:rFonts w:hAnsi="宋体" w:cs="Times New Roman"/>
                <w:color w:val="auto"/>
                <w:kern w:val="0"/>
                <w:highlight w:val="none"/>
              </w:rPr>
            </w:pPr>
            <w:r>
              <w:rPr>
                <w:rFonts w:hint="eastAsia" w:ascii="宋体" w:hAnsi="宋体" w:eastAsia="宋体" w:cs="宋体"/>
                <w:color w:val="auto"/>
                <w:kern w:val="0"/>
                <w:highlight w:val="none"/>
              </w:rPr>
              <w:t>浙江省政府采购网、 绍兴市上虞区公共资源交易中心网站</w:t>
            </w:r>
          </w:p>
        </w:tc>
      </w:tr>
      <w:tr w14:paraId="6BCB18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A1D9B8D">
            <w:pPr>
              <w:snapToGrid w:val="0"/>
              <w:jc w:val="center"/>
              <w:rPr>
                <w:rFonts w:hint="eastAsia" w:ascii="宋体" w:eastAsia="宋体"/>
                <w:color w:val="auto"/>
                <w:highlight w:val="none"/>
                <w:lang w:val="en-US" w:eastAsia="zh-CN"/>
              </w:rPr>
            </w:pPr>
            <w:r>
              <w:rPr>
                <w:rFonts w:ascii="宋体" w:hAnsi="宋体" w:cs="宋体"/>
                <w:color w:val="auto"/>
                <w:highlight w:val="none"/>
              </w:rPr>
              <w:t>1</w:t>
            </w:r>
            <w:r>
              <w:rPr>
                <w:rFonts w:hint="eastAsia" w:ascii="宋体" w:hAnsi="宋体" w:cs="宋体"/>
                <w:color w:val="auto"/>
                <w:highlight w:val="none"/>
                <w:lang w:val="en-US" w:eastAsia="zh-CN"/>
              </w:rPr>
              <w:t>6</w:t>
            </w:r>
          </w:p>
        </w:tc>
        <w:tc>
          <w:tcPr>
            <w:tcW w:w="1800" w:type="dxa"/>
            <w:vAlign w:val="center"/>
          </w:tcPr>
          <w:p w14:paraId="03471B71">
            <w:pPr>
              <w:snapToGrid w:val="0"/>
              <w:spacing w:line="360" w:lineRule="exact"/>
              <w:jc w:val="center"/>
              <w:rPr>
                <w:rFonts w:ascii="宋体"/>
                <w:snapToGrid w:val="0"/>
                <w:color w:val="auto"/>
                <w:kern w:val="0"/>
                <w:highlight w:val="none"/>
              </w:rPr>
            </w:pPr>
            <w:r>
              <w:rPr>
                <w:rFonts w:hint="eastAsia" w:ascii="宋体" w:hAnsi="宋体" w:eastAsia="宋体" w:cs="宋体"/>
                <w:snapToGrid w:val="0"/>
                <w:color w:val="auto"/>
                <w:kern w:val="0"/>
                <w:szCs w:val="21"/>
                <w:highlight w:val="none"/>
              </w:rPr>
              <w:t>质疑</w:t>
            </w:r>
          </w:p>
        </w:tc>
        <w:tc>
          <w:tcPr>
            <w:tcW w:w="6682" w:type="dxa"/>
            <w:vAlign w:val="center"/>
          </w:tcPr>
          <w:p w14:paraId="797F2D23">
            <w:pPr>
              <w:ind w:firstLine="420" w:firstLineChars="200"/>
              <w:jc w:val="left"/>
              <w:rPr>
                <w:rFonts w:hint="eastAsia" w:ascii="宋体" w:hAnsi="宋体" w:cs="宋体"/>
                <w:snapToGrid/>
                <w:color w:val="auto"/>
                <w:kern w:val="2"/>
                <w:szCs w:val="21"/>
                <w:highlight w:val="none"/>
              </w:rPr>
            </w:pPr>
            <w:r>
              <w:rPr>
                <w:rFonts w:hint="eastAsia" w:ascii="宋体" w:hAnsi="宋体" w:cs="宋体"/>
                <w:snapToGrid/>
                <w:color w:val="auto"/>
                <w:kern w:val="2"/>
                <w:szCs w:val="21"/>
                <w:highlight w:val="none"/>
              </w:rPr>
              <w:t>按照《上虞区区属国有企业货物和服务采购管理办法》第四十九条的规定：</w:t>
            </w:r>
          </w:p>
          <w:p w14:paraId="58B800DD">
            <w:pPr>
              <w:ind w:firstLine="420" w:firstLineChars="200"/>
              <w:jc w:val="left"/>
              <w:rPr>
                <w:rFonts w:hint="eastAsia" w:ascii="宋体" w:hAnsi="宋体" w:cs="宋体"/>
                <w:snapToGrid/>
                <w:color w:val="auto"/>
                <w:kern w:val="2"/>
                <w:szCs w:val="21"/>
                <w:highlight w:val="none"/>
              </w:rPr>
            </w:pPr>
            <w:r>
              <w:rPr>
                <w:rFonts w:hint="eastAsia" w:ascii="宋体" w:hAnsi="宋体" w:cs="宋体"/>
                <w:color w:val="auto"/>
                <w:szCs w:val="21"/>
                <w:highlight w:val="none"/>
              </w:rPr>
              <w:t>供应商认为采购文件、采购过程、中标或者成交结果使自己的权益受到损害的，可以在知道或者应知其权 益受到损害之日起 7 个工作日内，以书面形式向采购代理机构、采购人提出质疑，采购代理机构、采购人应在 7 个工作日内做好答</w:t>
            </w:r>
            <w:r>
              <w:rPr>
                <w:rFonts w:hint="eastAsia" w:ascii="宋体" w:hAnsi="宋体" w:cs="宋体"/>
                <w:snapToGrid/>
                <w:color w:val="auto"/>
                <w:kern w:val="2"/>
                <w:szCs w:val="21"/>
                <w:highlight w:val="none"/>
              </w:rPr>
              <w:t>复工作，但答复内容不得涉及商业秘密。</w:t>
            </w:r>
          </w:p>
          <w:p w14:paraId="1CAB1607">
            <w:pPr>
              <w:ind w:firstLine="420" w:firstLineChars="200"/>
              <w:jc w:val="left"/>
              <w:rPr>
                <w:rFonts w:hint="eastAsia" w:ascii="宋体" w:hAnsi="宋体" w:cs="宋体"/>
                <w:snapToGrid/>
                <w:color w:val="auto"/>
                <w:kern w:val="2"/>
                <w:szCs w:val="21"/>
                <w:highlight w:val="none"/>
              </w:rPr>
            </w:pPr>
            <w:r>
              <w:rPr>
                <w:rFonts w:hint="eastAsia" w:ascii="宋体" w:hAnsi="宋体" w:cs="宋体"/>
                <w:snapToGrid/>
                <w:color w:val="auto"/>
                <w:kern w:val="2"/>
                <w:szCs w:val="21"/>
                <w:highlight w:val="none"/>
              </w:rPr>
              <w:t>《上虞区区属国有企业货物和服务采购管理办法》第四十九条规定的供应商应知其权益</w:t>
            </w:r>
            <w:r>
              <w:rPr>
                <w:rFonts w:hint="eastAsia" w:ascii="宋体" w:hAnsi="宋体" w:cs="宋体"/>
                <w:snapToGrid/>
                <w:color w:val="auto"/>
                <w:kern w:val="2"/>
                <w:szCs w:val="21"/>
                <w:highlight w:val="none"/>
                <w:lang w:val="en-US" w:eastAsia="zh-CN"/>
              </w:rPr>
              <w:t>受</w:t>
            </w:r>
            <w:r>
              <w:rPr>
                <w:rFonts w:hint="eastAsia" w:ascii="宋体" w:hAnsi="宋体" w:cs="宋体"/>
                <w:snapToGrid/>
                <w:color w:val="auto"/>
                <w:kern w:val="2"/>
                <w:szCs w:val="21"/>
                <w:highlight w:val="none"/>
              </w:rPr>
              <w:t>到损害之日，是指：</w:t>
            </w:r>
          </w:p>
          <w:p w14:paraId="59F19510">
            <w:pPr>
              <w:ind w:firstLine="420" w:firstLineChars="200"/>
              <w:jc w:val="left"/>
              <w:rPr>
                <w:rFonts w:hint="eastAsia" w:ascii="宋体" w:hAnsi="宋体" w:cs="宋体"/>
                <w:snapToGrid/>
                <w:color w:val="auto"/>
                <w:kern w:val="2"/>
                <w:szCs w:val="21"/>
                <w:highlight w:val="none"/>
              </w:rPr>
            </w:pPr>
            <w:r>
              <w:rPr>
                <w:rFonts w:hint="eastAsia" w:ascii="宋体" w:hAnsi="宋体" w:cs="宋体"/>
                <w:snapToGrid/>
                <w:color w:val="auto"/>
                <w:kern w:val="2"/>
                <w:szCs w:val="21"/>
                <w:highlight w:val="none"/>
              </w:rPr>
              <w:t>（一）对可以质疑的采购文件提出质疑的，为收到采购文件之日或者采购文件公告期限届满之日（公告期限届满后获取采购文件的，以公告期限届满之日为准）；</w:t>
            </w:r>
          </w:p>
          <w:p w14:paraId="146041D0">
            <w:pPr>
              <w:ind w:firstLine="420" w:firstLineChars="200"/>
              <w:jc w:val="left"/>
              <w:rPr>
                <w:rFonts w:hint="eastAsia" w:ascii="宋体" w:hAnsi="宋体" w:cs="宋体"/>
                <w:snapToGrid/>
                <w:color w:val="auto"/>
                <w:kern w:val="2"/>
                <w:szCs w:val="21"/>
                <w:highlight w:val="none"/>
              </w:rPr>
            </w:pPr>
            <w:r>
              <w:rPr>
                <w:rFonts w:hint="eastAsia" w:ascii="宋体" w:hAnsi="宋体" w:cs="宋体"/>
                <w:snapToGrid/>
                <w:color w:val="auto"/>
                <w:kern w:val="2"/>
                <w:szCs w:val="21"/>
                <w:highlight w:val="none"/>
              </w:rPr>
              <w:t>（二）对采购过程提出质疑的，为各采购程序环节结束之日；</w:t>
            </w:r>
          </w:p>
          <w:p w14:paraId="44A7AA1C">
            <w:pPr>
              <w:ind w:firstLine="420" w:firstLineChars="200"/>
              <w:jc w:val="left"/>
              <w:rPr>
                <w:rFonts w:hint="eastAsia" w:ascii="宋体" w:hAnsi="宋体" w:cs="宋体"/>
                <w:snapToGrid/>
                <w:color w:val="auto"/>
                <w:kern w:val="2"/>
                <w:szCs w:val="21"/>
                <w:highlight w:val="none"/>
              </w:rPr>
            </w:pPr>
            <w:r>
              <w:rPr>
                <w:rFonts w:hint="eastAsia" w:ascii="宋体" w:hAnsi="宋体" w:cs="宋体"/>
                <w:snapToGrid/>
                <w:color w:val="auto"/>
                <w:kern w:val="2"/>
                <w:szCs w:val="21"/>
                <w:highlight w:val="none"/>
              </w:rPr>
              <w:t>（三）对中标或者成交结果提出质疑的，为中标或者成交结果公告期限届满之日。</w:t>
            </w:r>
          </w:p>
          <w:p w14:paraId="2E6963D2">
            <w:pPr>
              <w:spacing w:line="360" w:lineRule="exact"/>
              <w:ind w:firstLine="420" w:firstLineChars="200"/>
              <w:jc w:val="left"/>
              <w:rPr>
                <w:rFonts w:ascii="宋体"/>
                <w:snapToGrid w:val="0"/>
                <w:color w:val="auto"/>
                <w:kern w:val="0"/>
                <w:highlight w:val="none"/>
              </w:rPr>
            </w:pPr>
            <w:r>
              <w:rPr>
                <w:rFonts w:hint="eastAsia" w:ascii="宋体" w:hAnsi="宋体" w:cs="宋体"/>
                <w:snapToGrid/>
                <w:color w:val="auto"/>
                <w:kern w:val="2"/>
                <w:szCs w:val="21"/>
                <w:highlight w:val="none"/>
              </w:rPr>
              <w:t>采购评审专家（评标委员会、采购小组）应当协助采购人或者采购代理机构答复供应商的询问和质疑。</w:t>
            </w:r>
          </w:p>
        </w:tc>
      </w:tr>
      <w:tr w14:paraId="35CBE6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F3A04C9">
            <w:pPr>
              <w:snapToGrid w:val="0"/>
              <w:jc w:val="center"/>
              <w:rPr>
                <w:rFonts w:hint="eastAsia" w:ascii="宋体" w:eastAsia="宋体"/>
                <w:snapToGrid w:val="0"/>
                <w:color w:val="auto"/>
                <w:kern w:val="0"/>
                <w:highlight w:val="none"/>
                <w:lang w:val="en-US" w:eastAsia="zh-CN"/>
              </w:rPr>
            </w:pPr>
            <w:r>
              <w:rPr>
                <w:rFonts w:ascii="宋体" w:hAnsi="宋体" w:cs="宋体"/>
                <w:snapToGrid w:val="0"/>
                <w:color w:val="auto"/>
                <w:kern w:val="0"/>
                <w:highlight w:val="none"/>
              </w:rPr>
              <w:t>1</w:t>
            </w:r>
            <w:r>
              <w:rPr>
                <w:rFonts w:hint="eastAsia" w:ascii="宋体" w:hAnsi="宋体" w:cs="宋体"/>
                <w:snapToGrid w:val="0"/>
                <w:color w:val="auto"/>
                <w:kern w:val="0"/>
                <w:highlight w:val="none"/>
                <w:lang w:val="en-US" w:eastAsia="zh-CN"/>
              </w:rPr>
              <w:t>7</w:t>
            </w:r>
          </w:p>
        </w:tc>
        <w:tc>
          <w:tcPr>
            <w:tcW w:w="1800" w:type="dxa"/>
            <w:vAlign w:val="center"/>
          </w:tcPr>
          <w:p w14:paraId="01A4478C">
            <w:pPr>
              <w:snapToGrid w:val="0"/>
              <w:spacing w:line="360" w:lineRule="exact"/>
              <w:jc w:val="center"/>
              <w:rPr>
                <w:rFonts w:ascii="宋体"/>
                <w:snapToGrid w:val="0"/>
                <w:color w:val="auto"/>
                <w:kern w:val="0"/>
                <w:highlight w:val="none"/>
              </w:rPr>
            </w:pPr>
            <w:r>
              <w:rPr>
                <w:rFonts w:hint="eastAsia" w:ascii="宋体" w:hAnsi="宋体" w:eastAsia="宋体" w:cs="宋体"/>
                <w:snapToGrid w:val="0"/>
                <w:color w:val="auto"/>
                <w:kern w:val="0"/>
                <w:szCs w:val="21"/>
                <w:highlight w:val="none"/>
              </w:rPr>
              <w:t>投诉</w:t>
            </w:r>
          </w:p>
        </w:tc>
        <w:tc>
          <w:tcPr>
            <w:tcW w:w="6682" w:type="dxa"/>
            <w:vAlign w:val="center"/>
          </w:tcPr>
          <w:p w14:paraId="522FDE20">
            <w:pPr>
              <w:snapToGrid w:val="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按照《上虞区区属国有企业货物和服务采购管理办法》第五十条的规定：</w:t>
            </w:r>
          </w:p>
          <w:p w14:paraId="6693CFA3">
            <w:pPr>
              <w:ind w:firstLine="420" w:firstLineChars="200"/>
              <w:rPr>
                <w:rFonts w:hint="eastAsia" w:ascii="宋体" w:hAnsi="宋体" w:cs="宋体"/>
                <w:snapToGrid/>
                <w:color w:val="auto"/>
                <w:kern w:val="2"/>
                <w:szCs w:val="24"/>
                <w:highlight w:val="none"/>
              </w:rPr>
            </w:pPr>
            <w:r>
              <w:rPr>
                <w:rFonts w:hint="eastAsia" w:ascii="宋体" w:hAnsi="宋体" w:cs="宋体"/>
                <w:snapToGrid/>
                <w:color w:val="auto"/>
                <w:kern w:val="2"/>
                <w:szCs w:val="24"/>
                <w:highlight w:val="none"/>
              </w:rPr>
              <w:t>质疑供应商对质疑的答复不满意，或者采购人或采购代理机构未在规定时间内答复的，可以在收到答复之日或者答复期满后 15 个工作日内依法向采购人主管部门投诉。采购人主管部门应当在 30 个工作日内调查并回应。投诉事项调查期间，采购人主管部门应当通知采购人暂停采购活动。</w:t>
            </w:r>
          </w:p>
          <w:p w14:paraId="47994A89">
            <w:pPr>
              <w:snapToGrid w:val="0"/>
              <w:spacing w:line="360" w:lineRule="exact"/>
              <w:ind w:firstLine="420" w:firstLineChars="200"/>
              <w:jc w:val="left"/>
              <w:rPr>
                <w:rFonts w:ascii="宋体"/>
                <w:snapToGrid w:val="0"/>
                <w:color w:val="auto"/>
                <w:kern w:val="0"/>
                <w:highlight w:val="none"/>
              </w:rPr>
            </w:pPr>
            <w:r>
              <w:rPr>
                <w:rFonts w:hint="eastAsia" w:ascii="宋体" w:hAnsi="宋体" w:cs="宋体"/>
                <w:snapToGrid/>
                <w:color w:val="auto"/>
                <w:kern w:val="2"/>
                <w:szCs w:val="21"/>
                <w:highlight w:val="none"/>
              </w:rPr>
              <w:t>投诉人提交投诉件时，应当提供相关书面证据、依据和其他有关材料。</w:t>
            </w:r>
          </w:p>
        </w:tc>
      </w:tr>
      <w:tr w14:paraId="567BD8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A0096C3">
            <w:pPr>
              <w:snapToGrid w:val="0"/>
              <w:jc w:val="center"/>
              <w:rPr>
                <w:rFonts w:hint="eastAsia" w:ascii="宋体" w:eastAsia="宋体"/>
                <w:snapToGrid w:val="0"/>
                <w:color w:val="auto"/>
                <w:kern w:val="0"/>
                <w:highlight w:val="none"/>
                <w:lang w:val="en-US" w:eastAsia="zh-CN"/>
              </w:rPr>
            </w:pPr>
            <w:r>
              <w:rPr>
                <w:rFonts w:ascii="宋体" w:hAnsi="宋体" w:cs="宋体"/>
                <w:snapToGrid w:val="0"/>
                <w:color w:val="auto"/>
                <w:kern w:val="0"/>
                <w:highlight w:val="none"/>
              </w:rPr>
              <w:t>1</w:t>
            </w:r>
            <w:r>
              <w:rPr>
                <w:rFonts w:hint="eastAsia" w:ascii="宋体" w:hAnsi="宋体" w:cs="宋体"/>
                <w:snapToGrid w:val="0"/>
                <w:color w:val="auto"/>
                <w:kern w:val="0"/>
                <w:highlight w:val="none"/>
                <w:lang w:val="en-US" w:eastAsia="zh-CN"/>
              </w:rPr>
              <w:t>8</w:t>
            </w:r>
          </w:p>
        </w:tc>
        <w:tc>
          <w:tcPr>
            <w:tcW w:w="1800" w:type="dxa"/>
            <w:vAlign w:val="center"/>
          </w:tcPr>
          <w:p w14:paraId="4F195C94">
            <w:pPr>
              <w:snapToGrid w:val="0"/>
              <w:spacing w:line="360" w:lineRule="exact"/>
              <w:jc w:val="center"/>
              <w:rPr>
                <w:rFonts w:ascii="宋体"/>
                <w:snapToGrid w:val="0"/>
                <w:color w:val="auto"/>
                <w:kern w:val="0"/>
                <w:highlight w:val="none"/>
              </w:rPr>
            </w:pPr>
            <w:r>
              <w:rPr>
                <w:rFonts w:hint="eastAsia" w:ascii="宋体" w:hAnsi="宋体" w:eastAsia="宋体" w:cs="宋体"/>
                <w:snapToGrid w:val="0"/>
                <w:color w:val="auto"/>
                <w:kern w:val="0"/>
                <w:szCs w:val="21"/>
                <w:highlight w:val="none"/>
              </w:rPr>
              <w:t>特别说明</w:t>
            </w:r>
          </w:p>
        </w:tc>
        <w:tc>
          <w:tcPr>
            <w:tcW w:w="6682" w:type="dxa"/>
            <w:vAlign w:val="center"/>
          </w:tcPr>
          <w:p w14:paraId="22D4BCB7">
            <w:pPr>
              <w:snapToGrid w:val="0"/>
              <w:spacing w:line="360" w:lineRule="exact"/>
              <w:ind w:firstLine="420" w:firstLineChars="200"/>
              <w:jc w:val="left"/>
              <w:rPr>
                <w:rFonts w:hint="eastAsia" w:ascii="宋体" w:hAnsi="宋体" w:cs="宋体"/>
                <w:snapToGrid/>
                <w:color w:val="auto"/>
                <w:szCs w:val="21"/>
                <w:highlight w:val="none"/>
              </w:rPr>
            </w:pPr>
            <w:r>
              <w:rPr>
                <w:rFonts w:hint="eastAsia" w:ascii="宋体" w:hAnsi="宋体" w:cs="宋体"/>
                <w:snapToGrid/>
                <w:color w:val="auto"/>
                <w:szCs w:val="21"/>
                <w:highlight w:val="none"/>
              </w:rPr>
              <w:t>投标人应无条件的、认真仔细的阅读本磋商文件及其澄清答疑、修改答复的补充文件，严格按照磋商文件及补充文件的规定和要求编制磋商响应文件。在编制磋商响应文件过程中，应严格遵循实事求是、诚信投标的原则，针对磋商文件中的采购需求、合同条款等各项内容进行确认，如有偏离，应如实填写响应偏离表。</w:t>
            </w:r>
          </w:p>
          <w:p w14:paraId="7F80F1F6">
            <w:pPr>
              <w:snapToGrid w:val="0"/>
              <w:spacing w:line="360" w:lineRule="exact"/>
              <w:ind w:firstLine="420" w:firstLineChars="200"/>
              <w:jc w:val="left"/>
              <w:rPr>
                <w:rFonts w:hint="eastAsia" w:ascii="宋体" w:hAnsi="宋体" w:cs="宋体"/>
                <w:snapToGrid/>
                <w:color w:val="auto"/>
                <w:szCs w:val="21"/>
                <w:highlight w:val="none"/>
              </w:rPr>
            </w:pPr>
            <w:r>
              <w:rPr>
                <w:rFonts w:hint="eastAsia" w:ascii="宋体" w:hAnsi="宋体" w:cs="宋体"/>
                <w:snapToGrid/>
                <w:color w:val="auto"/>
                <w:szCs w:val="21"/>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1350194B">
            <w:pPr>
              <w:pStyle w:val="14"/>
              <w:snapToGrid w:val="0"/>
              <w:spacing w:line="360" w:lineRule="exact"/>
              <w:ind w:firstLine="420" w:firstLineChars="200"/>
              <w:jc w:val="left"/>
              <w:rPr>
                <w:rFonts w:hAnsi="宋体" w:cs="Times New Roman"/>
                <w:b/>
                <w:bCs/>
                <w:color w:val="auto"/>
                <w:kern w:val="0"/>
                <w:highlight w:val="none"/>
              </w:rPr>
            </w:pPr>
            <w:r>
              <w:rPr>
                <w:rFonts w:hint="eastAsia" w:ascii="宋体" w:hAnsi="宋体" w:cs="宋体"/>
                <w:snapToGrid/>
                <w:color w:val="auto"/>
                <w:szCs w:val="21"/>
                <w:highlight w:val="none"/>
              </w:rPr>
              <w:t>磋商文件中凡标注“</w:t>
            </w:r>
            <w:r>
              <w:rPr>
                <w:rFonts w:hint="eastAsia" w:ascii="宋体" w:hAnsi="宋体" w:cs="宋体"/>
                <w:snapToGrid/>
                <w:color w:val="auto"/>
                <w:kern w:val="2"/>
                <w:szCs w:val="21"/>
                <w:highlight w:val="none"/>
              </w:rPr>
              <w:t>★</w:t>
            </w:r>
            <w:r>
              <w:rPr>
                <w:rFonts w:hint="eastAsia" w:ascii="宋体" w:hAnsi="宋体" w:cs="宋体"/>
                <w:snapToGrid/>
                <w:color w:val="auto"/>
                <w:szCs w:val="21"/>
                <w:highlight w:val="none"/>
              </w:rPr>
              <w:t>”的条款均为实质性要求，不响应的磋商响应文件将作无效标处理。</w:t>
            </w:r>
          </w:p>
        </w:tc>
      </w:tr>
      <w:tr w14:paraId="08659F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278A1A67">
            <w:pPr>
              <w:snapToGrid w:val="0"/>
              <w:jc w:val="center"/>
              <w:rPr>
                <w:rFonts w:hint="eastAsia" w:ascii="宋体" w:eastAsia="宋体"/>
                <w:snapToGrid w:val="0"/>
                <w:color w:val="auto"/>
                <w:kern w:val="0"/>
                <w:highlight w:val="none"/>
                <w:lang w:val="en-US" w:eastAsia="zh-CN"/>
              </w:rPr>
            </w:pPr>
            <w:r>
              <w:rPr>
                <w:rFonts w:hint="eastAsia" w:ascii="宋体" w:hAnsi="宋体" w:cs="宋体"/>
                <w:snapToGrid w:val="0"/>
                <w:color w:val="auto"/>
                <w:kern w:val="0"/>
                <w:highlight w:val="none"/>
              </w:rPr>
              <w:t>1</w:t>
            </w:r>
            <w:r>
              <w:rPr>
                <w:rFonts w:hint="eastAsia" w:ascii="宋体" w:hAnsi="宋体" w:cs="宋体"/>
                <w:snapToGrid w:val="0"/>
                <w:color w:val="auto"/>
                <w:kern w:val="0"/>
                <w:highlight w:val="none"/>
                <w:lang w:val="en-US" w:eastAsia="zh-CN"/>
              </w:rPr>
              <w:t>9</w:t>
            </w:r>
          </w:p>
        </w:tc>
        <w:tc>
          <w:tcPr>
            <w:tcW w:w="1800" w:type="dxa"/>
            <w:vAlign w:val="center"/>
          </w:tcPr>
          <w:p w14:paraId="7763D406">
            <w:pPr>
              <w:snapToGrid w:val="0"/>
              <w:jc w:val="center"/>
              <w:rPr>
                <w:rFonts w:ascii="宋体" w:hAnsi="宋体" w:cs="宋体"/>
                <w:color w:val="auto"/>
                <w:highlight w:val="none"/>
              </w:rPr>
            </w:pPr>
            <w:r>
              <w:rPr>
                <w:rFonts w:hint="eastAsia" w:ascii="宋体" w:hAnsi="宋体" w:eastAsia="宋体" w:cs="宋体"/>
                <w:color w:val="auto"/>
                <w:szCs w:val="21"/>
                <w:highlight w:val="none"/>
              </w:rPr>
              <w:t>招标代理服务费</w:t>
            </w:r>
          </w:p>
        </w:tc>
        <w:tc>
          <w:tcPr>
            <w:tcW w:w="6682" w:type="dxa"/>
            <w:vAlign w:val="center"/>
          </w:tcPr>
          <w:p w14:paraId="5F75E2C5">
            <w:pPr>
              <w:autoSpaceDN w:val="0"/>
              <w:spacing w:line="34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招标代理服务费由中标单位支付，按下列服务招标</w:t>
            </w:r>
            <w:r>
              <w:rPr>
                <w:rFonts w:hint="eastAsia" w:ascii="宋体" w:hAnsi="宋体" w:cs="宋体"/>
                <w:snapToGrid w:val="0"/>
                <w:color w:val="auto"/>
                <w:kern w:val="0"/>
              </w:rPr>
              <w:t>差额定率累进法</w:t>
            </w:r>
            <w:r>
              <w:rPr>
                <w:rFonts w:hint="eastAsia" w:ascii="宋体" w:hAnsi="宋体" w:cs="宋体"/>
                <w:snapToGrid w:val="0"/>
                <w:color w:val="auto"/>
                <w:kern w:val="0"/>
                <w:szCs w:val="21"/>
              </w:rPr>
              <w:t>计算方式计取。</w:t>
            </w:r>
          </w:p>
          <w:tbl>
            <w:tblPr>
              <w:tblStyle w:val="29"/>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02"/>
              <w:gridCol w:w="1005"/>
              <w:gridCol w:w="1005"/>
              <w:gridCol w:w="975"/>
            </w:tblGrid>
            <w:tr w14:paraId="0F4CAD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02" w:type="dxa"/>
                  <w:tcBorders>
                    <w:top w:val="outset" w:color="auto" w:sz="6" w:space="0"/>
                    <w:left w:val="outset" w:color="auto" w:sz="6" w:space="0"/>
                    <w:bottom w:val="outset" w:color="auto" w:sz="6" w:space="0"/>
                    <w:right w:val="outset" w:color="auto" w:sz="6" w:space="0"/>
                  </w:tcBorders>
                  <w:noWrap w:val="0"/>
                  <w:vAlign w:val="center"/>
                </w:tcPr>
                <w:p w14:paraId="4FAF4350">
                  <w:pPr>
                    <w:jc w:val="center"/>
                    <w:rPr>
                      <w:rFonts w:ascii="宋体" w:hAnsi="宋体" w:cs="宋体"/>
                      <w:color w:val="auto"/>
                    </w:rPr>
                  </w:pPr>
                  <w:r>
                    <w:rPr>
                      <w:rFonts w:hint="eastAsia" w:ascii="宋体" w:hAnsi="宋体" w:cs="宋体"/>
                      <w:color w:val="auto"/>
                    </w:rPr>
                    <w:t>服务类型 中标金额（万元）</w:t>
                  </w:r>
                </w:p>
              </w:tc>
              <w:tc>
                <w:tcPr>
                  <w:tcW w:w="1005" w:type="dxa"/>
                  <w:tcBorders>
                    <w:top w:val="outset" w:color="auto" w:sz="6" w:space="0"/>
                    <w:left w:val="outset" w:color="auto" w:sz="6" w:space="0"/>
                    <w:bottom w:val="outset" w:color="auto" w:sz="6" w:space="0"/>
                    <w:right w:val="outset" w:color="auto" w:sz="6" w:space="0"/>
                  </w:tcBorders>
                  <w:noWrap w:val="0"/>
                  <w:vAlign w:val="center"/>
                </w:tcPr>
                <w:p w14:paraId="15683303">
                  <w:pPr>
                    <w:pStyle w:val="26"/>
                    <w:jc w:val="center"/>
                    <w:rPr>
                      <w:color w:val="auto"/>
                      <w:sz w:val="21"/>
                      <w:szCs w:val="21"/>
                    </w:rPr>
                  </w:pPr>
                  <w:r>
                    <w:rPr>
                      <w:rFonts w:hint="eastAsia"/>
                      <w:color w:val="auto"/>
                      <w:sz w:val="21"/>
                      <w:szCs w:val="21"/>
                    </w:rPr>
                    <w:t>货物招标</w:t>
                  </w:r>
                </w:p>
              </w:tc>
              <w:tc>
                <w:tcPr>
                  <w:tcW w:w="1005" w:type="dxa"/>
                  <w:tcBorders>
                    <w:top w:val="outset" w:color="auto" w:sz="6" w:space="0"/>
                    <w:left w:val="outset" w:color="auto" w:sz="6" w:space="0"/>
                    <w:bottom w:val="outset" w:color="auto" w:sz="6" w:space="0"/>
                    <w:right w:val="outset" w:color="auto" w:sz="6" w:space="0"/>
                  </w:tcBorders>
                  <w:noWrap w:val="0"/>
                  <w:vAlign w:val="center"/>
                </w:tcPr>
                <w:p w14:paraId="392C5A7F">
                  <w:pPr>
                    <w:jc w:val="center"/>
                    <w:rPr>
                      <w:rFonts w:ascii="宋体" w:hAnsi="宋体" w:cs="宋体"/>
                      <w:color w:val="auto"/>
                    </w:rPr>
                  </w:pPr>
                  <w:r>
                    <w:rPr>
                      <w:rFonts w:hint="eastAsia" w:ascii="宋体" w:hAnsi="宋体" w:cs="宋体"/>
                      <w:color w:val="auto"/>
                    </w:rPr>
                    <w:t>服务招标</w:t>
                  </w:r>
                </w:p>
              </w:tc>
              <w:tc>
                <w:tcPr>
                  <w:tcW w:w="975" w:type="dxa"/>
                  <w:tcBorders>
                    <w:top w:val="outset" w:color="auto" w:sz="6" w:space="0"/>
                    <w:left w:val="outset" w:color="auto" w:sz="6" w:space="0"/>
                    <w:bottom w:val="outset" w:color="auto" w:sz="6" w:space="0"/>
                    <w:right w:val="outset" w:color="auto" w:sz="6" w:space="0"/>
                  </w:tcBorders>
                  <w:noWrap w:val="0"/>
                  <w:vAlign w:val="center"/>
                </w:tcPr>
                <w:p w14:paraId="7950CAA3">
                  <w:pPr>
                    <w:jc w:val="center"/>
                    <w:rPr>
                      <w:rFonts w:ascii="宋体" w:hAnsi="宋体" w:cs="宋体"/>
                      <w:color w:val="auto"/>
                    </w:rPr>
                  </w:pPr>
                  <w:r>
                    <w:rPr>
                      <w:rFonts w:hint="eastAsia" w:ascii="宋体" w:hAnsi="宋体" w:cs="宋体"/>
                      <w:color w:val="auto"/>
                    </w:rPr>
                    <w:t>工程招标</w:t>
                  </w:r>
                </w:p>
              </w:tc>
            </w:tr>
            <w:tr w14:paraId="77CE26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02" w:type="dxa"/>
                  <w:tcBorders>
                    <w:top w:val="outset" w:color="auto" w:sz="6" w:space="0"/>
                    <w:left w:val="outset" w:color="auto" w:sz="6" w:space="0"/>
                    <w:bottom w:val="outset" w:color="auto" w:sz="6" w:space="0"/>
                    <w:right w:val="outset" w:color="auto" w:sz="6" w:space="0"/>
                  </w:tcBorders>
                  <w:noWrap w:val="0"/>
                  <w:vAlign w:val="center"/>
                </w:tcPr>
                <w:p w14:paraId="7C799974">
                  <w:pPr>
                    <w:jc w:val="center"/>
                    <w:rPr>
                      <w:rFonts w:ascii="宋体" w:hAnsi="宋体" w:cs="宋体"/>
                      <w:color w:val="auto"/>
                    </w:rPr>
                  </w:pPr>
                  <w:r>
                    <w:rPr>
                      <w:rFonts w:hint="eastAsia" w:ascii="宋体" w:hAnsi="宋体" w:cs="宋体"/>
                      <w:color w:val="auto"/>
                    </w:rPr>
                    <w:t>100以下</w:t>
                  </w:r>
                </w:p>
              </w:tc>
              <w:tc>
                <w:tcPr>
                  <w:tcW w:w="1005" w:type="dxa"/>
                  <w:tcBorders>
                    <w:top w:val="outset" w:color="auto" w:sz="6" w:space="0"/>
                    <w:left w:val="outset" w:color="auto" w:sz="6" w:space="0"/>
                    <w:bottom w:val="outset" w:color="auto" w:sz="6" w:space="0"/>
                    <w:right w:val="outset" w:color="auto" w:sz="6" w:space="0"/>
                  </w:tcBorders>
                  <w:noWrap w:val="0"/>
                  <w:vAlign w:val="center"/>
                </w:tcPr>
                <w:p w14:paraId="5139C1A4">
                  <w:pPr>
                    <w:jc w:val="center"/>
                    <w:rPr>
                      <w:rFonts w:ascii="宋体" w:hAnsi="宋体" w:cs="宋体"/>
                      <w:color w:val="auto"/>
                    </w:rPr>
                  </w:pPr>
                  <w:r>
                    <w:rPr>
                      <w:rFonts w:hint="eastAsia" w:ascii="宋体" w:hAnsi="宋体" w:cs="宋体"/>
                      <w:color w:val="auto"/>
                    </w:rPr>
                    <w:t>1.5％</w:t>
                  </w:r>
                </w:p>
              </w:tc>
              <w:tc>
                <w:tcPr>
                  <w:tcW w:w="1005" w:type="dxa"/>
                  <w:tcBorders>
                    <w:top w:val="outset" w:color="auto" w:sz="6" w:space="0"/>
                    <w:left w:val="outset" w:color="auto" w:sz="6" w:space="0"/>
                    <w:bottom w:val="outset" w:color="auto" w:sz="6" w:space="0"/>
                    <w:right w:val="outset" w:color="auto" w:sz="6" w:space="0"/>
                  </w:tcBorders>
                  <w:noWrap w:val="0"/>
                  <w:vAlign w:val="center"/>
                </w:tcPr>
                <w:p w14:paraId="4DB39150">
                  <w:pPr>
                    <w:jc w:val="center"/>
                    <w:rPr>
                      <w:rFonts w:ascii="宋体" w:hAnsi="宋体" w:cs="宋体"/>
                      <w:color w:val="auto"/>
                    </w:rPr>
                  </w:pPr>
                  <w:r>
                    <w:rPr>
                      <w:rFonts w:hint="eastAsia" w:ascii="宋体" w:hAnsi="宋体" w:cs="宋体"/>
                      <w:color w:val="auto"/>
                    </w:rPr>
                    <w:t>1.5％</w:t>
                  </w:r>
                </w:p>
              </w:tc>
              <w:tc>
                <w:tcPr>
                  <w:tcW w:w="975" w:type="dxa"/>
                  <w:tcBorders>
                    <w:top w:val="outset" w:color="auto" w:sz="6" w:space="0"/>
                    <w:left w:val="outset" w:color="auto" w:sz="6" w:space="0"/>
                    <w:bottom w:val="outset" w:color="auto" w:sz="6" w:space="0"/>
                    <w:right w:val="outset" w:color="auto" w:sz="6" w:space="0"/>
                  </w:tcBorders>
                  <w:noWrap w:val="0"/>
                  <w:vAlign w:val="center"/>
                </w:tcPr>
                <w:p w14:paraId="523E3147">
                  <w:pPr>
                    <w:jc w:val="center"/>
                    <w:rPr>
                      <w:rFonts w:ascii="宋体" w:hAnsi="宋体" w:cs="宋体"/>
                      <w:color w:val="auto"/>
                    </w:rPr>
                  </w:pPr>
                  <w:r>
                    <w:rPr>
                      <w:rFonts w:hint="eastAsia" w:ascii="宋体" w:hAnsi="宋体" w:cs="宋体"/>
                      <w:color w:val="auto"/>
                    </w:rPr>
                    <w:t>1.0％</w:t>
                  </w:r>
                </w:p>
              </w:tc>
            </w:tr>
            <w:tr w14:paraId="5076E7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02" w:type="dxa"/>
                  <w:tcBorders>
                    <w:top w:val="outset" w:color="auto" w:sz="6" w:space="0"/>
                    <w:left w:val="outset" w:color="auto" w:sz="6" w:space="0"/>
                    <w:bottom w:val="outset" w:color="auto" w:sz="6" w:space="0"/>
                    <w:right w:val="outset" w:color="auto" w:sz="6" w:space="0"/>
                  </w:tcBorders>
                  <w:noWrap w:val="0"/>
                  <w:vAlign w:val="center"/>
                </w:tcPr>
                <w:p w14:paraId="60D459CA">
                  <w:pPr>
                    <w:jc w:val="center"/>
                    <w:rPr>
                      <w:rFonts w:ascii="宋体" w:hAnsi="宋体" w:cs="宋体"/>
                      <w:color w:val="auto"/>
                    </w:rPr>
                  </w:pPr>
                  <w:r>
                    <w:rPr>
                      <w:rFonts w:hint="eastAsia" w:ascii="宋体" w:hAnsi="宋体" w:cs="宋体"/>
                      <w:color w:val="auto"/>
                    </w:rPr>
                    <w:t>100—500</w:t>
                  </w:r>
                </w:p>
              </w:tc>
              <w:tc>
                <w:tcPr>
                  <w:tcW w:w="1005" w:type="dxa"/>
                  <w:tcBorders>
                    <w:top w:val="outset" w:color="auto" w:sz="6" w:space="0"/>
                    <w:left w:val="outset" w:color="auto" w:sz="6" w:space="0"/>
                    <w:bottom w:val="outset" w:color="auto" w:sz="6" w:space="0"/>
                    <w:right w:val="outset" w:color="auto" w:sz="6" w:space="0"/>
                  </w:tcBorders>
                  <w:noWrap w:val="0"/>
                  <w:vAlign w:val="center"/>
                </w:tcPr>
                <w:p w14:paraId="77CE651F">
                  <w:pPr>
                    <w:jc w:val="center"/>
                    <w:rPr>
                      <w:rFonts w:ascii="宋体" w:hAnsi="宋体" w:cs="宋体"/>
                      <w:color w:val="auto"/>
                    </w:rPr>
                  </w:pPr>
                  <w:r>
                    <w:rPr>
                      <w:rFonts w:hint="eastAsia" w:ascii="宋体" w:hAnsi="宋体" w:cs="宋体"/>
                      <w:color w:val="auto"/>
                    </w:rPr>
                    <w:t>1.1％</w:t>
                  </w:r>
                </w:p>
              </w:tc>
              <w:tc>
                <w:tcPr>
                  <w:tcW w:w="1005" w:type="dxa"/>
                  <w:tcBorders>
                    <w:top w:val="outset" w:color="auto" w:sz="6" w:space="0"/>
                    <w:left w:val="outset" w:color="auto" w:sz="6" w:space="0"/>
                    <w:bottom w:val="outset" w:color="auto" w:sz="6" w:space="0"/>
                    <w:right w:val="outset" w:color="auto" w:sz="6" w:space="0"/>
                  </w:tcBorders>
                  <w:noWrap w:val="0"/>
                  <w:vAlign w:val="center"/>
                </w:tcPr>
                <w:p w14:paraId="0F1CDA33">
                  <w:pPr>
                    <w:jc w:val="center"/>
                    <w:rPr>
                      <w:rFonts w:ascii="宋体" w:hAnsi="宋体" w:cs="宋体"/>
                      <w:color w:val="auto"/>
                    </w:rPr>
                  </w:pPr>
                  <w:r>
                    <w:rPr>
                      <w:rFonts w:hint="eastAsia" w:ascii="宋体" w:hAnsi="宋体" w:cs="宋体"/>
                      <w:color w:val="auto"/>
                    </w:rPr>
                    <w:t>0.8％</w:t>
                  </w:r>
                </w:p>
              </w:tc>
              <w:tc>
                <w:tcPr>
                  <w:tcW w:w="975" w:type="dxa"/>
                  <w:tcBorders>
                    <w:top w:val="outset" w:color="auto" w:sz="6" w:space="0"/>
                    <w:left w:val="outset" w:color="auto" w:sz="6" w:space="0"/>
                    <w:bottom w:val="outset" w:color="auto" w:sz="6" w:space="0"/>
                    <w:right w:val="outset" w:color="auto" w:sz="6" w:space="0"/>
                  </w:tcBorders>
                  <w:noWrap w:val="0"/>
                  <w:vAlign w:val="center"/>
                </w:tcPr>
                <w:p w14:paraId="607529B1">
                  <w:pPr>
                    <w:jc w:val="center"/>
                    <w:rPr>
                      <w:rFonts w:ascii="宋体" w:hAnsi="宋体" w:cs="宋体"/>
                      <w:color w:val="auto"/>
                    </w:rPr>
                  </w:pPr>
                  <w:r>
                    <w:rPr>
                      <w:rFonts w:hint="eastAsia" w:ascii="宋体" w:hAnsi="宋体" w:cs="宋体"/>
                      <w:color w:val="auto"/>
                    </w:rPr>
                    <w:t>0.7％</w:t>
                  </w:r>
                </w:p>
              </w:tc>
            </w:tr>
          </w:tbl>
          <w:p w14:paraId="49562F60">
            <w:pPr>
              <w:pStyle w:val="14"/>
              <w:snapToGrid w:val="0"/>
              <w:spacing w:line="360" w:lineRule="exact"/>
              <w:ind w:firstLine="420" w:firstLineChars="200"/>
              <w:jc w:val="left"/>
              <w:rPr>
                <w:rFonts w:ascii="宋体" w:hAnsi="宋体" w:cs="宋体"/>
                <w:snapToGrid w:val="0"/>
                <w:color w:val="auto"/>
                <w:kern w:val="0"/>
                <w:highlight w:val="none"/>
              </w:rPr>
            </w:pPr>
            <w:r>
              <w:rPr>
                <w:rFonts w:hint="eastAsia" w:ascii="宋体" w:hAnsi="宋体" w:cs="宋体"/>
                <w:snapToGrid w:val="0"/>
                <w:color w:val="auto"/>
                <w:kern w:val="0"/>
                <w:szCs w:val="21"/>
              </w:rPr>
              <w:t>结算方式及时间为：在领取中标通知书前由中标单位一次性向采购代理机构付清。</w:t>
            </w:r>
          </w:p>
        </w:tc>
      </w:tr>
      <w:tr w14:paraId="3F0D4A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016AF06D">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20</w:t>
            </w:r>
          </w:p>
        </w:tc>
        <w:tc>
          <w:tcPr>
            <w:tcW w:w="1800" w:type="dxa"/>
            <w:vAlign w:val="center"/>
          </w:tcPr>
          <w:p w14:paraId="2DCF4978">
            <w:pPr>
              <w:snapToGrid w:val="0"/>
              <w:jc w:val="center"/>
              <w:rPr>
                <w:rFonts w:ascii="宋体"/>
                <w:color w:val="auto"/>
                <w:highlight w:val="none"/>
              </w:rPr>
            </w:pPr>
            <w:r>
              <w:rPr>
                <w:rFonts w:hint="eastAsia" w:ascii="宋体" w:hAnsi="宋体" w:cs="宋体"/>
                <w:color w:val="auto"/>
                <w:highlight w:val="none"/>
              </w:rPr>
              <w:t>是否允许分包</w:t>
            </w:r>
          </w:p>
        </w:tc>
        <w:tc>
          <w:tcPr>
            <w:tcW w:w="6682" w:type="dxa"/>
            <w:vAlign w:val="center"/>
          </w:tcPr>
          <w:p w14:paraId="25DA4A6C">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14:paraId="001FCC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4E4FC7F6">
            <w:pPr>
              <w:snapToGrid w:val="0"/>
              <w:jc w:val="center"/>
              <w:rPr>
                <w:rFonts w:hint="eastAsia" w:ascii="宋体" w:eastAsia="宋体"/>
                <w:snapToGrid w:val="0"/>
                <w:color w:val="auto"/>
                <w:kern w:val="0"/>
                <w:highlight w:val="none"/>
                <w:lang w:val="en-US"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1</w:t>
            </w:r>
          </w:p>
        </w:tc>
        <w:tc>
          <w:tcPr>
            <w:tcW w:w="1800" w:type="dxa"/>
            <w:tcBorders>
              <w:top w:val="single" w:color="auto" w:sz="4" w:space="0"/>
            </w:tcBorders>
            <w:vAlign w:val="center"/>
          </w:tcPr>
          <w:p w14:paraId="157B5BB8">
            <w:pPr>
              <w:snapToGrid w:val="0"/>
              <w:jc w:val="center"/>
              <w:rPr>
                <w:rFonts w:ascii="宋体"/>
                <w:color w:val="auto"/>
                <w:highlight w:val="none"/>
              </w:rPr>
            </w:pPr>
            <w:r>
              <w:rPr>
                <w:rFonts w:hint="eastAsia" w:ascii="宋体" w:hAnsi="宋体" w:cs="宋体"/>
                <w:color w:val="auto"/>
                <w:highlight w:val="none"/>
              </w:rPr>
              <w:t>是否提供演示</w:t>
            </w:r>
          </w:p>
        </w:tc>
        <w:tc>
          <w:tcPr>
            <w:tcW w:w="6682" w:type="dxa"/>
            <w:tcBorders>
              <w:top w:val="single" w:color="auto" w:sz="4" w:space="0"/>
            </w:tcBorders>
            <w:vAlign w:val="center"/>
          </w:tcPr>
          <w:p w14:paraId="241E6E31">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不需要</w:t>
            </w:r>
            <w:r>
              <w:rPr>
                <w:rFonts w:hint="eastAsia" w:ascii="宋体" w:hAnsi="宋体" w:cs="宋体"/>
                <w:color w:val="auto"/>
                <w:highlight w:val="none"/>
              </w:rPr>
              <w:t>提供演示。</w:t>
            </w:r>
          </w:p>
        </w:tc>
      </w:tr>
      <w:tr w14:paraId="217358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8F7C3C6">
            <w:pPr>
              <w:snapToGrid w:val="0"/>
              <w:jc w:val="center"/>
              <w:rPr>
                <w:rFonts w:hint="default" w:ascii="宋体" w:eastAsia="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22</w:t>
            </w:r>
          </w:p>
        </w:tc>
        <w:tc>
          <w:tcPr>
            <w:tcW w:w="1800" w:type="dxa"/>
            <w:vAlign w:val="center"/>
          </w:tcPr>
          <w:p w14:paraId="4909BE40">
            <w:pPr>
              <w:snapToGrid w:val="0"/>
              <w:jc w:val="center"/>
              <w:rPr>
                <w:rFonts w:ascii="宋体"/>
                <w:color w:val="auto"/>
                <w:highlight w:val="none"/>
              </w:rPr>
            </w:pPr>
            <w:r>
              <w:rPr>
                <w:rFonts w:hint="eastAsia" w:ascii="宋体" w:hAnsi="宋体" w:eastAsia="宋体" w:cs="宋体"/>
                <w:color w:val="auto"/>
                <w:szCs w:val="21"/>
                <w:highlight w:val="none"/>
              </w:rPr>
              <w:t>投标人信用信息查询渠道及截止时点、信用信息查询记录和证据留存的具体方式、信用信息的使用规则</w:t>
            </w:r>
          </w:p>
        </w:tc>
        <w:tc>
          <w:tcPr>
            <w:tcW w:w="6682" w:type="dxa"/>
            <w:vAlign w:val="center"/>
          </w:tcPr>
          <w:p w14:paraId="750F4E1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1、查询渠道：信用中国（网址：http://www.creditchina.gov.cn）、中国政府采购网(网址：http://www.ccgp.gov.cn）。</w:t>
            </w:r>
          </w:p>
          <w:p w14:paraId="2E14BC5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2、截止时点：开标后评标前。</w:t>
            </w:r>
          </w:p>
          <w:p w14:paraId="662C971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3、信用信息查询记录和证据留存的具体方式：由采购组织机构在规定查询时间内打印信用信息查询记录并归入项目档案。</w:t>
            </w:r>
          </w:p>
          <w:p w14:paraId="4A6FC4CA">
            <w:pPr>
              <w:ind w:firstLine="420" w:firstLineChars="200"/>
              <w:rPr>
                <w:rFonts w:ascii="宋体"/>
                <w:color w:val="auto"/>
                <w:highlight w:val="none"/>
              </w:rPr>
            </w:pPr>
            <w:r>
              <w:rPr>
                <w:rFonts w:hint="eastAsia" w:ascii="宋体" w:hAnsi="宋体" w:eastAsia="宋体" w:cs="宋体"/>
                <w:color w:val="auto"/>
                <w:szCs w:val="21"/>
                <w:highlight w:val="none"/>
              </w:rPr>
              <w:t>4、使用规则：对列入失信被执行人、重大税收违法案件当事人名单、政府采购严重违法失信行为记录名单及其他不符合《上虞区区属国有企业货物和服务采购管理办法》第十八条规定条件的供应商，将被拒绝其参与采购活动。</w:t>
            </w:r>
          </w:p>
        </w:tc>
      </w:tr>
      <w:tr w14:paraId="330E37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2AA7A915">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3</w:t>
            </w:r>
          </w:p>
        </w:tc>
        <w:tc>
          <w:tcPr>
            <w:tcW w:w="1800" w:type="dxa"/>
            <w:tcBorders>
              <w:bottom w:val="double" w:color="auto" w:sz="4" w:space="0"/>
            </w:tcBorders>
            <w:vAlign w:val="center"/>
          </w:tcPr>
          <w:p w14:paraId="204F4BEF">
            <w:pPr>
              <w:snapToGrid w:val="0"/>
              <w:jc w:val="center"/>
              <w:rPr>
                <w:rFonts w:ascii="宋体"/>
                <w:color w:val="auto"/>
                <w:highlight w:val="none"/>
              </w:rPr>
            </w:pPr>
            <w:r>
              <w:rPr>
                <w:rFonts w:hint="eastAsia" w:ascii="宋体" w:hAnsi="宋体" w:cs="宋体"/>
                <w:color w:val="auto"/>
                <w:highlight w:val="none"/>
              </w:rPr>
              <w:t>其他</w:t>
            </w:r>
          </w:p>
        </w:tc>
        <w:tc>
          <w:tcPr>
            <w:tcW w:w="6682" w:type="dxa"/>
            <w:tcBorders>
              <w:bottom w:val="double" w:color="auto" w:sz="4" w:space="0"/>
            </w:tcBorders>
            <w:vAlign w:val="center"/>
          </w:tcPr>
          <w:p w14:paraId="4CBCF1C7">
            <w:pPr>
              <w:ind w:firstLine="420" w:firstLineChars="200"/>
              <w:rPr>
                <w:rFonts w:hint="eastAsia"/>
                <w:color w:val="auto"/>
              </w:rPr>
            </w:pPr>
            <w:r>
              <w:rPr>
                <w:rFonts w:hint="eastAsia"/>
                <w:color w:val="auto"/>
                <w:lang w:val="en-US" w:eastAsia="zh-CN"/>
              </w:rPr>
              <w:t>1、</w:t>
            </w:r>
            <w:r>
              <w:rPr>
                <w:rFonts w:hint="eastAsia"/>
                <w:color w:val="auto"/>
              </w:rPr>
              <w:t>本磋商文件要求提供的身份证复印件皆需提供正反面，否则按不提供处理。</w:t>
            </w:r>
          </w:p>
          <w:p w14:paraId="6D927ABD">
            <w:pPr>
              <w:ind w:firstLine="420" w:firstLineChars="200"/>
              <w:rPr>
                <w:rFonts w:ascii="宋体"/>
                <w:b/>
                <w:bCs/>
                <w:color w:val="auto"/>
                <w:highlight w:val="none"/>
              </w:rPr>
            </w:pPr>
            <w:r>
              <w:rPr>
                <w:rFonts w:hint="eastAsia"/>
                <w:color w:val="auto"/>
                <w:lang w:val="en-US" w:eastAsia="zh-CN"/>
              </w:rPr>
              <w:t>2、本项目货物如涉及柴油动力移动源，柴油动力移动源应当符合低排放要求。</w:t>
            </w:r>
          </w:p>
        </w:tc>
      </w:tr>
    </w:tbl>
    <w:p w14:paraId="625DA382">
      <w:pPr>
        <w:pStyle w:val="7"/>
        <w:spacing w:line="360" w:lineRule="auto"/>
        <w:rPr>
          <w:rFonts w:ascii="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14:paraId="7C36EFF0">
      <w:pPr>
        <w:pStyle w:val="4"/>
        <w:numPr>
          <w:ilvl w:val="0"/>
          <w:numId w:val="7"/>
        </w:numPr>
        <w:spacing w:line="336" w:lineRule="auto"/>
        <w:jc w:val="center"/>
        <w:rPr>
          <w:rFonts w:hAnsi="宋体" w:cs="Times New Roman"/>
          <w:color w:val="auto"/>
          <w:highlight w:val="none"/>
        </w:rPr>
      </w:pPr>
      <w:r>
        <w:rPr>
          <w:rFonts w:hAnsi="宋体"/>
          <w:color w:val="auto"/>
          <w:highlight w:val="none"/>
        </w:rPr>
        <w:t xml:space="preserve"> </w:t>
      </w:r>
      <w:bookmarkStart w:id="11" w:name="_Toc25187"/>
      <w:bookmarkStart w:id="12" w:name="_Toc22925"/>
      <w:r>
        <w:rPr>
          <w:rFonts w:hint="eastAsia" w:hAnsi="宋体"/>
          <w:color w:val="auto"/>
          <w:highlight w:val="none"/>
        </w:rPr>
        <w:t>总则</w:t>
      </w:r>
      <w:bookmarkEnd w:id="11"/>
      <w:bookmarkEnd w:id="12"/>
    </w:p>
    <w:p w14:paraId="3CBEF26A">
      <w:pPr>
        <w:spacing w:line="336" w:lineRule="auto"/>
        <w:ind w:firstLine="480" w:firstLineChars="200"/>
        <w:rPr>
          <w:color w:val="auto"/>
          <w:highlight w:val="none"/>
        </w:rPr>
      </w:pPr>
      <w:r>
        <w:rPr>
          <w:rFonts w:hint="eastAsia"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6C37867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14:paraId="4D5193F6">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eastAsia="zh-CN"/>
        </w:rPr>
        <w:t>丰惠古城文旅宣传矩阵采购项目</w:t>
      </w:r>
      <w:r>
        <w:rPr>
          <w:rFonts w:hint="eastAsia" w:ascii="宋体" w:hAnsi="宋体" w:cs="宋体"/>
          <w:color w:val="auto"/>
          <w:sz w:val="24"/>
          <w:szCs w:val="24"/>
          <w:highlight w:val="none"/>
        </w:rPr>
        <w:t>。</w:t>
      </w:r>
    </w:p>
    <w:p w14:paraId="7E3F0A8B">
      <w:pPr>
        <w:pStyle w:val="27"/>
        <w:spacing w:line="336" w:lineRule="auto"/>
        <w:ind w:firstLine="480" w:firstLineChars="200"/>
        <w:rPr>
          <w:color w:val="auto"/>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本项目采购方式采用竞争性磋商方式。</w:t>
      </w:r>
    </w:p>
    <w:p w14:paraId="09ECF2D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14:paraId="5CF30CBE">
      <w:pP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绍兴市上虞惠盛城镇建设开发有限公司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浙江国信工程管理咨询有限公司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14:paraId="1005C8DE">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14:paraId="7B4A3374">
      <w:pP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2412E1F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14:paraId="6083527F">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14:paraId="2A421E99">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14:paraId="36A496E6">
      <w:pPr>
        <w:spacing w:line="336" w:lineRule="auto"/>
        <w:ind w:firstLine="480" w:firstLineChars="200"/>
        <w:rPr>
          <w:rFonts w:ascii="宋体"/>
          <w:color w:val="auto"/>
          <w:sz w:val="24"/>
          <w:szCs w:val="24"/>
          <w:highlight w:val="none"/>
        </w:rPr>
      </w:pPr>
      <w:bookmarkStart w:id="13" w:name="_Toc197163261"/>
      <w:bookmarkStart w:id="14" w:name="_Toc211412066"/>
      <w:bookmarkStart w:id="15" w:name="_Toc209504018"/>
      <w:bookmarkStart w:id="16" w:name="_Toc193538208"/>
      <w:bookmarkStart w:id="17" w:name="_Toc207946571"/>
      <w:bookmarkStart w:id="18" w:name="_Toc208913145"/>
      <w:bookmarkStart w:id="19" w:name="_Toc197053926"/>
      <w:bookmarkStart w:id="20" w:name="_Toc197657950"/>
      <w:bookmarkStart w:id="21" w:name="_Toc209435242"/>
      <w:bookmarkStart w:id="22" w:name="_Toc204683265"/>
      <w:bookmarkStart w:id="23" w:name="_Toc208287611"/>
      <w:bookmarkStart w:id="24" w:name="_Toc209520993"/>
      <w:bookmarkStart w:id="25" w:name="_Toc193523219"/>
      <w:bookmarkStart w:id="26" w:name="_Toc197156227"/>
      <w:r>
        <w:rPr>
          <w:rFonts w:hint="eastAsia" w:ascii="宋体" w:hAnsi="宋体" w:cs="宋体"/>
          <w:color w:val="auto"/>
          <w:sz w:val="24"/>
          <w:szCs w:val="24"/>
          <w:highlight w:val="none"/>
        </w:rPr>
        <w:t>详见竞争性磋商采购公告磋商供应商的资格要求规定。</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26B857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14:paraId="2A3D2FB8">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7DF850CB">
      <w:pPr>
        <w:pStyle w:val="4"/>
        <w:numPr>
          <w:ilvl w:val="0"/>
          <w:numId w:val="7"/>
        </w:numPr>
        <w:spacing w:line="336" w:lineRule="auto"/>
        <w:jc w:val="center"/>
        <w:rPr>
          <w:rFonts w:cs="Times New Roman"/>
          <w:color w:val="auto"/>
          <w:highlight w:val="none"/>
        </w:rPr>
      </w:pPr>
      <w:bookmarkStart w:id="27" w:name="_Toc25923"/>
      <w:bookmarkStart w:id="28" w:name="_Toc32689"/>
      <w:bookmarkStart w:id="29" w:name="_Toc416992151"/>
      <w:r>
        <w:rPr>
          <w:color w:val="auto"/>
          <w:highlight w:val="none"/>
        </w:rPr>
        <w:t xml:space="preserve"> </w:t>
      </w:r>
      <w:bookmarkStart w:id="30" w:name="_Toc11814"/>
      <w:bookmarkStart w:id="31" w:name="_Toc11328"/>
      <w:r>
        <w:rPr>
          <w:rFonts w:hint="eastAsia"/>
          <w:color w:val="auto"/>
          <w:highlight w:val="none"/>
        </w:rPr>
        <w:t>竞争性磋商文件</w:t>
      </w:r>
      <w:bookmarkEnd w:id="27"/>
      <w:bookmarkEnd w:id="28"/>
      <w:bookmarkEnd w:id="29"/>
      <w:bookmarkEnd w:id="30"/>
      <w:bookmarkEnd w:id="31"/>
    </w:p>
    <w:p w14:paraId="7AA36D6B">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14:paraId="25A22446">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14:paraId="43F3C4FB">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14:paraId="30A9F163">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14:paraId="320128B5">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38DCCEE7">
      <w:pP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14:paraId="40FD4C30">
      <w:pPr>
        <w:pStyle w:val="10"/>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0828677E">
      <w:pPr>
        <w:pStyle w:val="10"/>
        <w:spacing w:line="336" w:lineRule="auto"/>
        <w:ind w:right="-252"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14:paraId="10FD5E47">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14:paraId="7A49B91C">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14:paraId="114BFB8D">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14:paraId="656BA2B0">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14:paraId="0367A18B">
      <w:pPr>
        <w:pStyle w:val="7"/>
        <w:spacing w:line="336" w:lineRule="auto"/>
        <w:rPr>
          <w:rFonts w:ascii="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14:paraId="6E5D2D1E">
      <w:pPr>
        <w:pStyle w:val="4"/>
        <w:numPr>
          <w:ilvl w:val="0"/>
          <w:numId w:val="7"/>
        </w:numPr>
        <w:spacing w:line="336" w:lineRule="auto"/>
        <w:jc w:val="center"/>
        <w:rPr>
          <w:rFonts w:cs="Times New Roman"/>
          <w:color w:val="auto"/>
          <w:highlight w:val="none"/>
        </w:rPr>
      </w:pPr>
      <w:bookmarkStart w:id="32" w:name="_Toc11692"/>
      <w:bookmarkStart w:id="33" w:name="_Toc6079"/>
      <w:bookmarkStart w:id="34" w:name="_Toc24622"/>
      <w:bookmarkStart w:id="35" w:name="_Toc11669"/>
      <w:bookmarkStart w:id="36" w:name="_Toc10810"/>
      <w:bookmarkStart w:id="37" w:name="_Toc26027"/>
      <w:bookmarkStart w:id="38" w:name="_Toc11093"/>
      <w:bookmarkStart w:id="39" w:name="_Toc26603"/>
      <w:bookmarkStart w:id="40" w:name="_Toc23135"/>
      <w:bookmarkStart w:id="41" w:name="_Toc8860"/>
      <w:bookmarkStart w:id="42" w:name="_Toc14650"/>
      <w:bookmarkStart w:id="43" w:name="_Toc1202"/>
      <w:bookmarkStart w:id="44" w:name="_Toc391298957"/>
      <w:bookmarkStart w:id="45" w:name="_Toc10669"/>
      <w:bookmarkStart w:id="46" w:name="_Toc18702"/>
      <w:bookmarkStart w:id="47" w:name="_Toc7126"/>
      <w:bookmarkStart w:id="48" w:name="_Toc6457"/>
      <w:bookmarkStart w:id="49" w:name="_Toc6273"/>
      <w:bookmarkStart w:id="50" w:name="_Toc23975"/>
      <w:bookmarkStart w:id="51" w:name="_Toc1729"/>
      <w:bookmarkStart w:id="52" w:name="_Toc1828"/>
      <w:bookmarkStart w:id="53" w:name="_Toc31748"/>
      <w:r>
        <w:rPr>
          <w:color w:val="auto"/>
          <w:highlight w:val="none"/>
        </w:rPr>
        <w:t xml:space="preserve"> </w:t>
      </w:r>
      <w:bookmarkStart w:id="54" w:name="_Toc11232"/>
      <w:bookmarkStart w:id="55" w:name="_Toc11515"/>
      <w:r>
        <w:rPr>
          <w:rFonts w:hint="eastAsia"/>
          <w:color w:val="auto"/>
          <w:highlight w:val="none"/>
        </w:rPr>
        <w:t>竞争性磋商响应文件的编写</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D70E732">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14:paraId="6C38F260">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48E5C71A">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14:paraId="0B605621">
      <w:pP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6C6A1843">
      <w:pPr>
        <w:spacing w:line="336" w:lineRule="auto"/>
        <w:ind w:firstLine="480" w:firstLineChars="200"/>
        <w:rPr>
          <w:rFonts w:hint="eastAsia" w:hAnsi="宋体"/>
          <w:b/>
          <w:bCs/>
          <w:color w:val="000000"/>
          <w:sz w:val="24"/>
          <w:szCs w:val="24"/>
        </w:rPr>
      </w:pPr>
      <w:r>
        <w:rPr>
          <w:rFonts w:hint="eastAsia" w:ascii="宋体" w:hAnsi="宋体" w:eastAsia="宋体" w:cs="宋体"/>
          <w:color w:val="auto"/>
          <w:sz w:val="24"/>
          <w:szCs w:val="24"/>
          <w:highlight w:val="none"/>
        </w:rPr>
        <w:t>8.2.2投标报价统一为人民币计价，</w:t>
      </w:r>
      <w:r>
        <w:rPr>
          <w:rFonts w:hint="eastAsia" w:hAnsi="宋体"/>
          <w:color w:val="000000"/>
          <w:sz w:val="24"/>
          <w:szCs w:val="24"/>
          <w:u w:val="single"/>
        </w:rPr>
        <w:t>投标报价应包含项目所需全部服务，不得缺漏，是履行合同的最终价格（服务费、交通费、成果编辑、数据汇总、人工费、税金、招标代理费以及成交供应商认为有必要计入的其它费用等一切费用）。</w:t>
      </w:r>
      <w:r>
        <w:rPr>
          <w:rFonts w:hint="eastAsia" w:hAnsi="宋体"/>
          <w:color w:val="000000"/>
          <w:sz w:val="24"/>
          <w:szCs w:val="24"/>
        </w:rPr>
        <w:t>投标报价为供应商所能承受的最低、最终报价，供应商不得再要求追加任何费用。</w:t>
      </w:r>
      <w:r>
        <w:rPr>
          <w:rFonts w:hint="eastAsia" w:hAnsi="宋体"/>
          <w:b/>
          <w:bCs/>
          <w:color w:val="000000"/>
          <w:sz w:val="24"/>
          <w:szCs w:val="24"/>
        </w:rPr>
        <w:t>凡供应商在报价中未列明但又为本次采购所必备的项目或遗漏项目，采购方将一律视为已包括在合同价中，在合同执行中将不予考虑。</w:t>
      </w:r>
    </w:p>
    <w:p w14:paraId="59CD9E94">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21133BB9">
      <w:pP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3477594A">
      <w:pPr>
        <w:pStyle w:val="14"/>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Ansi="宋体"/>
          <w:b/>
          <w:bCs/>
          <w:color w:val="auto"/>
          <w:sz w:val="24"/>
          <w:szCs w:val="24"/>
          <w:highlight w:val="none"/>
          <w:u w:val="single"/>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14:paraId="11611BFE">
      <w:pPr>
        <w:pStyle w:val="60"/>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响应文件应当包括以下主要内容：资格文件、技术文件、商务</w:t>
      </w:r>
      <w:r>
        <w:rPr>
          <w:rFonts w:hint="eastAsia" w:ascii="宋体" w:hAnsi="宋体" w:cs="宋体"/>
          <w:color w:val="auto"/>
          <w:highlight w:val="none"/>
          <w:lang w:val="en-US" w:eastAsia="zh-CN"/>
        </w:rPr>
        <w:t>文件、</w:t>
      </w:r>
      <w:r>
        <w:rPr>
          <w:rFonts w:hint="eastAsia" w:ascii="宋体" w:hAnsi="宋体" w:cs="宋体"/>
          <w:color w:val="auto"/>
          <w:highlight w:val="none"/>
        </w:rPr>
        <w:t>报价文件。</w:t>
      </w:r>
    </w:p>
    <w:p w14:paraId="2D1F4510">
      <w:pPr>
        <w:pStyle w:val="60"/>
        <w:numPr>
          <w:ilvl w:val="0"/>
          <w:numId w:val="8"/>
        </w:numP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14:paraId="76A38325">
      <w:pPr>
        <w:pStyle w:val="60"/>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478CD90B">
      <w:pPr>
        <w:pStyle w:val="60"/>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营业执照</w:t>
      </w:r>
      <w:r>
        <w:rPr>
          <w:rFonts w:ascii="宋体" w:hAnsi="宋体" w:cs="宋体"/>
          <w:color w:val="auto"/>
          <w:highlight w:val="none"/>
        </w:rPr>
        <w:t>(</w:t>
      </w:r>
      <w:r>
        <w:rPr>
          <w:rFonts w:hint="eastAsia" w:ascii="宋体" w:hAnsi="宋体" w:cs="宋体"/>
          <w:color w:val="auto"/>
          <w:highlight w:val="none"/>
        </w:rPr>
        <w:t>或事业法人登记证或其他工商等登记证明材料</w:t>
      </w:r>
      <w:r>
        <w:rPr>
          <w:rFonts w:ascii="宋体" w:hAnsi="宋体" w:cs="宋体"/>
          <w:color w:val="auto"/>
          <w:highlight w:val="none"/>
        </w:rPr>
        <w:t>)</w:t>
      </w:r>
      <w:r>
        <w:rPr>
          <w:rFonts w:hint="eastAsia" w:ascii="宋体" w:hAnsi="宋体" w:cs="宋体"/>
          <w:color w:val="auto"/>
          <w:highlight w:val="none"/>
        </w:rPr>
        <w:t>复印件、税务登记证</w:t>
      </w:r>
      <w:r>
        <w:rPr>
          <w:rFonts w:ascii="宋体" w:hAnsi="宋体" w:cs="宋体"/>
          <w:color w:val="auto"/>
          <w:highlight w:val="none"/>
        </w:rPr>
        <w:t>(</w:t>
      </w:r>
      <w:r>
        <w:rPr>
          <w:rFonts w:hint="eastAsia" w:ascii="宋体" w:hAnsi="宋体" w:cs="宋体"/>
          <w:color w:val="auto"/>
          <w:highlight w:val="none"/>
        </w:rPr>
        <w:t>或其它缴纳证明材料</w:t>
      </w:r>
      <w:r>
        <w:rPr>
          <w:rFonts w:ascii="宋体" w:hAnsi="宋体" w:cs="宋体"/>
          <w:color w:val="auto"/>
          <w:highlight w:val="none"/>
        </w:rPr>
        <w:t>)</w:t>
      </w:r>
      <w:r>
        <w:rPr>
          <w:rFonts w:hint="eastAsia" w:ascii="宋体" w:hAnsi="宋体" w:cs="宋体"/>
          <w:color w:val="auto"/>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491AEBA6">
      <w:pPr>
        <w:pStyle w:val="60"/>
        <w:spacing w:before="0" w:line="336" w:lineRule="auto"/>
        <w:ind w:firstLine="480"/>
        <w:rPr>
          <w:rFonts w:ascii="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4D6D931D">
      <w:pPr>
        <w:pStyle w:val="60"/>
        <w:numPr>
          <w:ilvl w:val="0"/>
          <w:numId w:val="9"/>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具有履行合同所必需的产品和专业技术能力的承诺函；</w:t>
      </w:r>
    </w:p>
    <w:p w14:paraId="78FAE2BF">
      <w:pPr>
        <w:pStyle w:val="60"/>
        <w:numPr>
          <w:ilvl w:val="0"/>
          <w:numId w:val="9"/>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rPr>
        <w:t>投标人承诺函（格式见附件）</w:t>
      </w:r>
      <w:r>
        <w:rPr>
          <w:rFonts w:hint="eastAsia" w:ascii="宋体" w:hAnsi="宋体" w:cs="宋体"/>
          <w:color w:val="auto"/>
          <w:highlight w:val="none"/>
          <w:lang w:eastAsia="zh-CN"/>
        </w:rPr>
        <w:t>；</w:t>
      </w:r>
    </w:p>
    <w:p w14:paraId="44F4FA6C">
      <w:pPr>
        <w:pStyle w:val="60"/>
        <w:numPr>
          <w:ilvl w:val="0"/>
          <w:numId w:val="8"/>
        </w:numPr>
        <w:spacing w:before="0" w:line="336" w:lineRule="auto"/>
        <w:ind w:firstLine="480"/>
        <w:rPr>
          <w:rFonts w:ascii="宋体"/>
          <w:color w:val="auto"/>
          <w:highlight w:val="none"/>
        </w:rPr>
      </w:pPr>
      <w:r>
        <w:rPr>
          <w:rFonts w:hint="eastAsia" w:ascii="宋体" w:hAnsi="宋体" w:cs="宋体"/>
          <w:color w:val="auto"/>
          <w:highlight w:val="none"/>
        </w:rPr>
        <w:t>技术文件，本次磋商需要供应商提供以下项所列的技术文件：</w:t>
      </w:r>
    </w:p>
    <w:p w14:paraId="58E23F8D">
      <w:pPr>
        <w:numPr>
          <w:ilvl w:val="0"/>
          <w:numId w:val="1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评分对应表（格式见附件，主要用于评委对应评分内容）</w:t>
      </w:r>
    </w:p>
    <w:p w14:paraId="7D639B1A">
      <w:pPr>
        <w:numPr>
          <w:ilvl w:val="0"/>
          <w:numId w:val="1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磋商项目明细清单（格式见附件）；</w:t>
      </w:r>
    </w:p>
    <w:p w14:paraId="747A0B0D">
      <w:pPr>
        <w:numPr>
          <w:ilvl w:val="0"/>
          <w:numId w:val="1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技术响应及建议表（格式见附件）</w:t>
      </w:r>
    </w:p>
    <w:p w14:paraId="6EE9E428">
      <w:pPr>
        <w:numPr>
          <w:ilvl w:val="0"/>
          <w:numId w:val="1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项目理解</w:t>
      </w:r>
      <w:r>
        <w:rPr>
          <w:rFonts w:hint="eastAsia" w:ascii="宋体" w:hAnsi="宋体" w:eastAsia="宋体" w:cs="宋体"/>
          <w:snapToGrid/>
          <w:color w:val="auto"/>
          <w:kern w:val="2"/>
          <w:sz w:val="24"/>
          <w:szCs w:val="24"/>
          <w:highlight w:val="none"/>
          <w:lang w:eastAsia="zh-CN"/>
        </w:rPr>
        <w:t>；</w:t>
      </w:r>
    </w:p>
    <w:p w14:paraId="2A3DAEF8">
      <w:pPr>
        <w:numPr>
          <w:ilvl w:val="0"/>
          <w:numId w:val="1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总体设计</w:t>
      </w:r>
      <w:r>
        <w:rPr>
          <w:rFonts w:hint="eastAsia" w:ascii="宋体" w:hAnsi="宋体" w:eastAsia="宋体" w:cs="宋体"/>
          <w:snapToGrid/>
          <w:color w:val="auto"/>
          <w:kern w:val="2"/>
          <w:sz w:val="24"/>
          <w:szCs w:val="24"/>
          <w:highlight w:val="none"/>
          <w:lang w:eastAsia="zh-CN"/>
        </w:rPr>
        <w:t>；</w:t>
      </w:r>
    </w:p>
    <w:p w14:paraId="6AF12E43">
      <w:pPr>
        <w:numPr>
          <w:ilvl w:val="0"/>
          <w:numId w:val="10"/>
        </w:numPr>
        <w:adjustRightInd w:val="0"/>
        <w:spacing w:after="120" w:line="360" w:lineRule="auto"/>
        <w:ind w:left="150" w:leftChars="0" w:firstLine="480" w:firstLineChars="0"/>
        <w:rPr>
          <w:rFonts w:hint="eastAsia" w:eastAsia="宋体"/>
          <w:highlight w:val="none"/>
          <w:lang w:eastAsia="zh-CN"/>
        </w:rPr>
      </w:pPr>
      <w:r>
        <w:rPr>
          <w:rFonts w:hint="eastAsia" w:ascii="宋体" w:hAnsi="宋体" w:eastAsia="宋体" w:cs="宋体"/>
          <w:snapToGrid/>
          <w:color w:val="auto"/>
          <w:kern w:val="2"/>
          <w:sz w:val="24"/>
          <w:szCs w:val="24"/>
          <w:highlight w:val="none"/>
          <w:lang w:val="en-US" w:eastAsia="zh-CN"/>
        </w:rPr>
        <w:t>运营方案</w:t>
      </w:r>
      <w:r>
        <w:rPr>
          <w:rFonts w:hint="eastAsia" w:ascii="宋体" w:hAnsi="宋体" w:eastAsia="宋体" w:cs="宋体"/>
          <w:snapToGrid/>
          <w:color w:val="auto"/>
          <w:kern w:val="2"/>
          <w:sz w:val="24"/>
          <w:szCs w:val="24"/>
          <w:highlight w:val="none"/>
          <w:lang w:eastAsia="zh-CN"/>
        </w:rPr>
        <w:t>；</w:t>
      </w:r>
    </w:p>
    <w:p w14:paraId="3F4C6046">
      <w:pPr>
        <w:numPr>
          <w:ilvl w:val="0"/>
          <w:numId w:val="10"/>
        </w:numPr>
        <w:tabs>
          <w:tab w:val="left" w:pos="1176"/>
        </w:tabs>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eastAsia="zh-CN"/>
        </w:rPr>
      </w:pPr>
      <w:r>
        <w:rPr>
          <w:rFonts w:hint="eastAsia" w:ascii="宋体" w:hAnsi="宋体" w:eastAsia="宋体" w:cs="宋体"/>
          <w:color w:val="auto"/>
          <w:sz w:val="24"/>
          <w:highlight w:val="none"/>
          <w:lang w:val="en-US" w:eastAsia="zh-CN"/>
        </w:rPr>
        <w:t>运营目标</w:t>
      </w:r>
      <w:r>
        <w:rPr>
          <w:rFonts w:hint="eastAsia" w:ascii="宋体" w:hAnsi="宋体" w:eastAsia="宋体" w:cs="宋体"/>
          <w:snapToGrid/>
          <w:color w:val="auto"/>
          <w:kern w:val="2"/>
          <w:sz w:val="24"/>
          <w:szCs w:val="24"/>
          <w:highlight w:val="none"/>
          <w:lang w:eastAsia="zh-CN"/>
        </w:rPr>
        <w:t>；</w:t>
      </w:r>
    </w:p>
    <w:p w14:paraId="29C7747C">
      <w:pPr>
        <w:numPr>
          <w:ilvl w:val="0"/>
          <w:numId w:val="1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eastAsia="zh-CN"/>
        </w:rPr>
      </w:pPr>
      <w:r>
        <w:rPr>
          <w:rFonts w:hint="eastAsia" w:ascii="宋体" w:hAnsi="宋体" w:eastAsia="宋体" w:cs="宋体"/>
          <w:color w:val="auto"/>
          <w:sz w:val="24"/>
          <w:highlight w:val="none"/>
          <w:lang w:val="en-US" w:eastAsia="zh-CN"/>
        </w:rPr>
        <w:t>实施</w:t>
      </w:r>
      <w:r>
        <w:rPr>
          <w:rFonts w:hint="eastAsia" w:ascii="宋体" w:hAnsi="宋体" w:eastAsia="宋体" w:cs="宋体"/>
          <w:color w:val="auto"/>
          <w:sz w:val="24"/>
          <w:highlight w:val="none"/>
        </w:rPr>
        <w:t>方案</w:t>
      </w:r>
      <w:r>
        <w:rPr>
          <w:rFonts w:hint="eastAsia" w:ascii="宋体" w:hAnsi="宋体" w:eastAsia="宋体" w:cs="宋体"/>
          <w:snapToGrid/>
          <w:color w:val="auto"/>
          <w:kern w:val="2"/>
          <w:sz w:val="24"/>
          <w:szCs w:val="24"/>
          <w:highlight w:val="none"/>
          <w:lang w:eastAsia="zh-CN"/>
        </w:rPr>
        <w:t>；</w:t>
      </w:r>
    </w:p>
    <w:p w14:paraId="71BDACE1">
      <w:pPr>
        <w:numPr>
          <w:ilvl w:val="0"/>
          <w:numId w:val="1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eastAsia="zh-CN"/>
        </w:rPr>
      </w:pPr>
      <w:r>
        <w:rPr>
          <w:rFonts w:hint="eastAsia" w:ascii="宋体" w:hAnsi="宋体" w:eastAsia="宋体" w:cs="宋体"/>
          <w:color w:val="auto"/>
          <w:sz w:val="24"/>
          <w:highlight w:val="none"/>
        </w:rPr>
        <w:t>服务质量</w:t>
      </w:r>
      <w:r>
        <w:rPr>
          <w:rFonts w:hint="eastAsia" w:ascii="宋体" w:hAnsi="宋体" w:eastAsia="宋体" w:cs="宋体"/>
          <w:snapToGrid/>
          <w:color w:val="auto"/>
          <w:kern w:val="2"/>
          <w:sz w:val="24"/>
          <w:szCs w:val="24"/>
          <w:highlight w:val="none"/>
          <w:lang w:eastAsia="zh-CN"/>
        </w:rPr>
        <w:t>；</w:t>
      </w:r>
    </w:p>
    <w:p w14:paraId="2FAF35ED">
      <w:pPr>
        <w:numPr>
          <w:ilvl w:val="0"/>
          <w:numId w:val="10"/>
        </w:numPr>
        <w:adjustRightInd w:val="0"/>
        <w:spacing w:after="120" w:line="360" w:lineRule="auto"/>
        <w:ind w:left="150" w:leftChars="0" w:firstLine="480"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运营能力；</w:t>
      </w:r>
    </w:p>
    <w:p w14:paraId="2C8C355E">
      <w:pPr>
        <w:numPr>
          <w:ilvl w:val="0"/>
          <w:numId w:val="1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eastAsia="zh-CN"/>
        </w:rPr>
      </w:pPr>
      <w:r>
        <w:rPr>
          <w:rFonts w:hint="eastAsia" w:ascii="宋体" w:hAnsi="宋体" w:eastAsia="宋体" w:cs="宋体"/>
          <w:color w:val="auto"/>
          <w:sz w:val="24"/>
          <w:highlight w:val="none"/>
        </w:rPr>
        <w:t>人员配置</w:t>
      </w:r>
      <w:r>
        <w:rPr>
          <w:rFonts w:hint="eastAsia" w:ascii="宋体" w:hAnsi="宋体" w:eastAsia="宋体" w:cs="宋体"/>
          <w:snapToGrid/>
          <w:color w:val="auto"/>
          <w:kern w:val="2"/>
          <w:sz w:val="24"/>
          <w:szCs w:val="24"/>
          <w:highlight w:val="none"/>
          <w:lang w:eastAsia="zh-CN"/>
        </w:rPr>
        <w:t>；</w:t>
      </w:r>
    </w:p>
    <w:p w14:paraId="21909168">
      <w:pPr>
        <w:numPr>
          <w:ilvl w:val="0"/>
          <w:numId w:val="1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color w:val="auto"/>
          <w:sz w:val="24"/>
          <w:highlight w:val="none"/>
        </w:rPr>
        <w:t>档案管理</w:t>
      </w:r>
      <w:r>
        <w:rPr>
          <w:rFonts w:hint="eastAsia" w:ascii="宋体" w:hAnsi="宋体" w:eastAsia="宋体" w:cs="宋体"/>
          <w:snapToGrid/>
          <w:color w:val="auto"/>
          <w:kern w:val="2"/>
          <w:sz w:val="24"/>
          <w:szCs w:val="24"/>
          <w:highlight w:val="none"/>
          <w:lang w:val="en-US" w:eastAsia="zh-CN"/>
        </w:rPr>
        <w:t>；</w:t>
      </w:r>
    </w:p>
    <w:p w14:paraId="2E993552">
      <w:pPr>
        <w:numPr>
          <w:ilvl w:val="0"/>
          <w:numId w:val="10"/>
        </w:numPr>
        <w:adjustRightInd w:val="0"/>
        <w:spacing w:after="120" w:line="360" w:lineRule="auto"/>
        <w:ind w:left="150" w:leftChars="0" w:firstLine="480" w:firstLineChars="0"/>
        <w:rPr>
          <w:rFonts w:ascii="宋体" w:hAnsi="宋体" w:eastAsia="宋体" w:cs="宋体"/>
          <w:color w:val="auto"/>
          <w:highlight w:val="none"/>
        </w:rPr>
      </w:pPr>
      <w:r>
        <w:rPr>
          <w:rFonts w:hint="eastAsia" w:ascii="宋体" w:hAnsi="宋体" w:eastAsia="宋体" w:cs="宋体"/>
          <w:snapToGrid/>
          <w:color w:val="auto"/>
          <w:kern w:val="2"/>
          <w:sz w:val="24"/>
          <w:szCs w:val="24"/>
          <w:highlight w:val="none"/>
          <w:lang w:val="en-US" w:eastAsia="zh-CN"/>
        </w:rPr>
        <w:t>评分标准中要求提供的相关资料。</w:t>
      </w:r>
    </w:p>
    <w:p w14:paraId="345580FF">
      <w:pPr>
        <w:pStyle w:val="60"/>
        <w:tabs>
          <w:tab w:val="left" w:pos="0"/>
        </w:tabs>
        <w:spacing w:before="0" w:line="336" w:lineRule="auto"/>
        <w:ind w:firstLine="480"/>
        <w:rPr>
          <w:rFonts w:ascii="宋体"/>
          <w:color w:val="auto"/>
          <w:highlight w:val="none"/>
        </w:rPr>
      </w:pPr>
      <w:r>
        <w:rPr>
          <w:rFonts w:hint="eastAsia" w:ascii="宋体" w:hAnsi="宋体" w:cs="宋体"/>
          <w:color w:val="auto"/>
          <w:highlight w:val="none"/>
        </w:rPr>
        <w:t>注：以上内容应与评标办法中内容具有一致性。</w:t>
      </w:r>
    </w:p>
    <w:p w14:paraId="05F9B79A">
      <w:pPr>
        <w:pStyle w:val="60"/>
        <w:tabs>
          <w:tab w:val="left" w:pos="0"/>
        </w:tabs>
        <w:spacing w:before="0" w:line="336" w:lineRule="auto"/>
        <w:rPr>
          <w:rFonts w:hint="eastAsia" w:ascii="宋体" w:hAnsi="宋体" w:cs="宋体"/>
          <w:b/>
          <w:bCs/>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5E4C0BA7">
      <w:pPr>
        <w:pStyle w:val="60"/>
        <w:tabs>
          <w:tab w:val="left" w:pos="0"/>
        </w:tabs>
        <w:spacing w:before="0" w:line="336" w:lineRule="auto"/>
        <w:rPr>
          <w:rFonts w:hint="eastAsia" w:ascii="宋体" w:hAnsi="宋体" w:cs="宋体"/>
          <w:color w:val="auto"/>
          <w:highlight w:val="none"/>
        </w:rPr>
      </w:pPr>
      <w:r>
        <w:rPr>
          <w:rFonts w:hint="eastAsia" w:ascii="宋体" w:hAnsi="宋体" w:cs="宋体"/>
          <w:color w:val="auto"/>
          <w:highlight w:val="none"/>
          <w:lang w:val="en-US" w:eastAsia="zh-CN"/>
        </w:rPr>
        <w:t>9.3</w:t>
      </w:r>
      <w:r>
        <w:rPr>
          <w:rFonts w:hint="eastAsia" w:ascii="宋体" w:hAnsi="宋体" w:cs="宋体"/>
          <w:color w:val="auto"/>
          <w:highlight w:val="none"/>
        </w:rPr>
        <w:t>商务文件</w:t>
      </w:r>
      <w:r>
        <w:rPr>
          <w:rFonts w:hint="eastAsia" w:ascii="宋体" w:hAnsi="宋体" w:cs="宋体"/>
          <w:color w:val="auto"/>
          <w:highlight w:val="none"/>
          <w:lang w:eastAsia="zh-CN"/>
        </w:rPr>
        <w:t>，</w:t>
      </w:r>
      <w:r>
        <w:rPr>
          <w:rFonts w:hint="eastAsia" w:ascii="宋体" w:hAnsi="宋体" w:cs="宋体"/>
          <w:color w:val="auto"/>
          <w:highlight w:val="none"/>
        </w:rPr>
        <w:t>本次磋商需要供应商提供以下项所列的</w:t>
      </w:r>
      <w:r>
        <w:rPr>
          <w:rFonts w:hint="eastAsia" w:ascii="宋体" w:hAnsi="宋体" w:cs="宋体"/>
          <w:color w:val="auto"/>
          <w:highlight w:val="none"/>
          <w:lang w:val="en-US" w:eastAsia="zh-CN"/>
        </w:rPr>
        <w:t>商务</w:t>
      </w:r>
      <w:r>
        <w:rPr>
          <w:rFonts w:hint="eastAsia" w:ascii="宋体" w:hAnsi="宋体" w:cs="宋体"/>
          <w:color w:val="auto"/>
          <w:highlight w:val="none"/>
        </w:rPr>
        <w:t>文件：</w:t>
      </w:r>
    </w:p>
    <w:p w14:paraId="47210F10">
      <w:pPr>
        <w:numPr>
          <w:ilvl w:val="0"/>
          <w:numId w:val="11"/>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商务响应表（格式见附件）；</w:t>
      </w:r>
    </w:p>
    <w:p w14:paraId="586DE225">
      <w:pPr>
        <w:numPr>
          <w:ilvl w:val="0"/>
          <w:numId w:val="11"/>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rPr>
        <w:t>投标人资信分自评表（格式见附件）；</w:t>
      </w:r>
    </w:p>
    <w:p w14:paraId="787A08FC">
      <w:pPr>
        <w:numPr>
          <w:ilvl w:val="0"/>
          <w:numId w:val="11"/>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供应商业绩；</w:t>
      </w:r>
    </w:p>
    <w:p w14:paraId="37AD520A">
      <w:pPr>
        <w:numPr>
          <w:ilvl w:val="0"/>
          <w:numId w:val="11"/>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lang w:val="en-US" w:eastAsia="zh-CN"/>
        </w:rPr>
        <w:t>证书</w:t>
      </w:r>
      <w:r>
        <w:rPr>
          <w:rFonts w:hint="eastAsia" w:ascii="宋体" w:hAnsi="宋体" w:cs="宋体"/>
          <w:snapToGrid/>
          <w:color w:val="auto"/>
          <w:kern w:val="2"/>
          <w:sz w:val="24"/>
          <w:szCs w:val="24"/>
          <w:highlight w:val="none"/>
          <w:lang w:val="en-US" w:eastAsia="zh-CN"/>
        </w:rPr>
        <w:t>认证</w:t>
      </w:r>
      <w:r>
        <w:rPr>
          <w:rFonts w:hint="eastAsia" w:ascii="宋体" w:hAnsi="宋体" w:eastAsia="宋体" w:cs="宋体"/>
          <w:snapToGrid/>
          <w:color w:val="auto"/>
          <w:kern w:val="2"/>
          <w:sz w:val="24"/>
          <w:szCs w:val="24"/>
          <w:highlight w:val="none"/>
          <w:lang w:val="en-US" w:eastAsia="zh-CN"/>
        </w:rPr>
        <w:t>。</w:t>
      </w:r>
    </w:p>
    <w:p w14:paraId="44EB00DA">
      <w:pPr>
        <w:pStyle w:val="60"/>
        <w:tabs>
          <w:tab w:val="left" w:pos="0"/>
        </w:tabs>
        <w:spacing w:before="0" w:line="336"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9.4 报价文件包括以下内容：</w:t>
      </w:r>
    </w:p>
    <w:p w14:paraId="498A5646">
      <w:pPr>
        <w:pStyle w:val="60"/>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14:paraId="5C754251">
      <w:pPr>
        <w:pStyle w:val="60"/>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14:paraId="3BA2B51C">
      <w:pPr>
        <w:pStyle w:val="60"/>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磋商报价明细表（格式见附件）。</w:t>
      </w:r>
    </w:p>
    <w:p w14:paraId="379DB4B0">
      <w:pPr>
        <w:pStyle w:val="60"/>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w:t>
      </w:r>
      <w:r>
        <w:rPr>
          <w:rFonts w:hint="eastAsia" w:ascii="宋体" w:hAnsi="宋体" w:cs="宋体"/>
          <w:b/>
          <w:bCs/>
          <w:color w:val="auto"/>
          <w:highlight w:val="none"/>
          <w:u w:val="single"/>
          <w:lang w:val="en-US" w:eastAsia="zh-CN"/>
        </w:rPr>
        <w:t>“</w:t>
      </w:r>
      <w:r>
        <w:rPr>
          <w:rFonts w:hint="eastAsia" w:ascii="宋体" w:hAnsi="宋体" w:cs="宋体"/>
          <w:b/>
          <w:bCs/>
          <w:color w:val="auto"/>
          <w:highlight w:val="none"/>
          <w:u w:val="single"/>
        </w:rPr>
        <w:t>技术文件”</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“商务</w:t>
      </w:r>
      <w:r>
        <w:rPr>
          <w:rFonts w:hint="eastAsia" w:ascii="宋体" w:hAnsi="宋体" w:cs="宋体"/>
          <w:b/>
          <w:bCs/>
          <w:color w:val="auto"/>
          <w:highlight w:val="none"/>
          <w:u w:val="single"/>
          <w:lang w:val="en-US" w:eastAsia="zh-CN"/>
        </w:rPr>
        <w:t>文件”、</w:t>
      </w:r>
      <w:r>
        <w:rPr>
          <w:rFonts w:hint="eastAsia" w:ascii="宋体" w:hAnsi="宋体" w:cs="宋体"/>
          <w:b/>
          <w:bCs/>
          <w:color w:val="auto"/>
          <w:highlight w:val="none"/>
          <w:u w:val="single"/>
        </w:rPr>
        <w:t>“报价文件”须分</w:t>
      </w:r>
      <w:r>
        <w:rPr>
          <w:rFonts w:hint="eastAsia" w:ascii="宋体" w:hAnsi="宋体" w:cs="宋体"/>
          <w:b/>
          <w:bCs/>
          <w:color w:val="auto"/>
          <w:highlight w:val="none"/>
          <w:u w:val="single"/>
          <w:lang w:val="en-US" w:eastAsia="zh-CN"/>
        </w:rPr>
        <w:t>4</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14:paraId="27252356">
      <w:pPr>
        <w:pStyle w:val="60"/>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14:paraId="76F76CAB">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035E78F7">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14:paraId="7F741049">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14:paraId="4DC2956D">
      <w:pPr>
        <w:pStyle w:val="60"/>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14:paraId="4BC2F816">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14:paraId="0D782928">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14:paraId="42D31C06">
      <w:pPr>
        <w:pStyle w:val="60"/>
        <w:spacing w:before="0" w:line="336"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11.3 擅自修改或拒绝接受已经确认的条款；</w:t>
      </w:r>
    </w:p>
    <w:p w14:paraId="4F4F638C">
      <w:pPr>
        <w:pStyle w:val="60"/>
        <w:spacing w:before="0" w:line="336"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11.4 成交供应商未按规定与采购人签订合同；</w:t>
      </w:r>
    </w:p>
    <w:p w14:paraId="184C9B44">
      <w:pPr>
        <w:pStyle w:val="60"/>
        <w:spacing w:before="0" w:line="336"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11.5 未按规定提供履约保证金；</w:t>
      </w:r>
    </w:p>
    <w:p w14:paraId="07FF7A92">
      <w:pPr>
        <w:pStyle w:val="60"/>
        <w:spacing w:before="0" w:line="336"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11.6 供应商采取提供虚假资料等不正当手段的；</w:t>
      </w:r>
    </w:p>
    <w:p w14:paraId="02697654">
      <w:pPr>
        <w:pStyle w:val="60"/>
        <w:spacing w:before="0" w:line="336"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11.7 供应商在投标过程中串通投标的。</w:t>
      </w:r>
    </w:p>
    <w:p w14:paraId="1F72B8A8">
      <w:pPr>
        <w:pStyle w:val="60"/>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14:paraId="4DF8FB19">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w:t>
      </w:r>
      <w:r>
        <w:rPr>
          <w:rFonts w:hint="eastAsia" w:ascii="宋体" w:hAnsi="宋体" w:cs="宋体"/>
          <w:color w:val="auto"/>
          <w:highlight w:val="none"/>
          <w:lang w:eastAsia="zh-CN"/>
        </w:rPr>
        <w:t>、</w:t>
      </w:r>
      <w:r>
        <w:rPr>
          <w:rFonts w:hint="eastAsia" w:ascii="宋体" w:hAnsi="宋体" w:cs="宋体"/>
          <w:color w:val="auto"/>
          <w:highlight w:val="none"/>
          <w:lang w:val="en-US" w:eastAsia="zh-CN"/>
        </w:rPr>
        <w:t>9.4条</w:t>
      </w:r>
      <w:r>
        <w:rPr>
          <w:rFonts w:hint="eastAsia" w:ascii="宋体" w:hAnsi="宋体" w:cs="宋体"/>
          <w:color w:val="auto"/>
          <w:highlight w:val="none"/>
        </w:rPr>
        <w:t>要求提供的各种文件，响应文件分为资格文件、商务</w:t>
      </w:r>
      <w:r>
        <w:rPr>
          <w:rFonts w:hint="eastAsia" w:ascii="宋体" w:hAnsi="宋体" w:cs="宋体"/>
          <w:color w:val="auto"/>
          <w:highlight w:val="none"/>
          <w:lang w:val="en-US" w:eastAsia="zh-CN"/>
        </w:rPr>
        <w:t>文件、</w:t>
      </w:r>
      <w:r>
        <w:rPr>
          <w:rFonts w:hint="eastAsia" w:ascii="宋体" w:hAnsi="宋体" w:cs="宋体"/>
          <w:color w:val="auto"/>
          <w:highlight w:val="none"/>
        </w:rPr>
        <w:t>技术文件和报价文件</w:t>
      </w:r>
      <w:r>
        <w:rPr>
          <w:rFonts w:hint="eastAsia" w:ascii="宋体" w:hAnsi="宋体" w:cs="宋体"/>
          <w:color w:val="auto"/>
          <w:highlight w:val="none"/>
          <w:lang w:val="en-US" w:eastAsia="zh-CN"/>
        </w:rPr>
        <w:t>四</w:t>
      </w:r>
      <w:r>
        <w:rPr>
          <w:rFonts w:hint="eastAsia" w:ascii="宋体" w:hAnsi="宋体" w:cs="宋体"/>
          <w:color w:val="auto"/>
          <w:highlight w:val="none"/>
        </w:rPr>
        <w:t>部分。</w:t>
      </w:r>
    </w:p>
    <w:p w14:paraId="2B9ACAFC">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14:paraId="110F66CC">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14:paraId="576B4D74">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14:paraId="26A66A4F">
      <w:pPr>
        <w:pStyle w:val="60"/>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、响应文件的形式</w:t>
      </w:r>
    </w:p>
    <w:p w14:paraId="2A23F65D">
      <w:pPr>
        <w:pStyle w:val="60"/>
        <w:spacing w:before="0" w:line="336" w:lineRule="auto"/>
        <w:ind w:left="420" w:leftChars="200" w:firstLine="0" w:firstLineChars="0"/>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ascii="宋体" w:cs="宋体"/>
          <w:color w:val="auto"/>
          <w:highlight w:val="none"/>
        </w:rPr>
        <w:t>-</w:t>
      </w:r>
      <w:r>
        <w:rPr>
          <w:rFonts w:hint="eastAsia" w:ascii="宋体" w:hAnsi="宋体" w:cs="宋体"/>
          <w:color w:val="auto"/>
          <w:highlight w:val="none"/>
        </w:rPr>
        <w:t>电子招投标操作指南”及本磋商文件要求制作、加密传输。</w:t>
      </w:r>
    </w:p>
    <w:p w14:paraId="5A32644D">
      <w:pPr>
        <w:pStyle w:val="4"/>
        <w:numPr>
          <w:ilvl w:val="0"/>
          <w:numId w:val="7"/>
        </w:numPr>
        <w:spacing w:line="336" w:lineRule="auto"/>
        <w:jc w:val="center"/>
        <w:rPr>
          <w:rFonts w:cs="Times New Roman"/>
          <w:color w:val="auto"/>
          <w:highlight w:val="none"/>
        </w:rPr>
      </w:pPr>
      <w:bookmarkStart w:id="56" w:name="_Toc1420"/>
      <w:r>
        <w:rPr>
          <w:color w:val="auto"/>
          <w:highlight w:val="none"/>
        </w:rPr>
        <w:t xml:space="preserve"> </w:t>
      </w:r>
      <w:bookmarkStart w:id="57" w:name="_Toc32453"/>
      <w:bookmarkStart w:id="58" w:name="_Toc21266"/>
      <w:r>
        <w:rPr>
          <w:rFonts w:hint="eastAsia"/>
          <w:color w:val="auto"/>
          <w:highlight w:val="none"/>
        </w:rPr>
        <w:t>响应文件的递交</w:t>
      </w:r>
      <w:bookmarkEnd w:id="56"/>
      <w:bookmarkEnd w:id="57"/>
      <w:bookmarkEnd w:id="58"/>
    </w:p>
    <w:p w14:paraId="278551AB">
      <w:pPr>
        <w:pStyle w:val="14"/>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14:paraId="442D41D4">
      <w:pPr>
        <w:pStyle w:val="60"/>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490F56ED">
      <w:pPr>
        <w:pStyle w:val="60"/>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231483E1">
      <w:pPr>
        <w:pStyle w:val="14"/>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14:paraId="5B4BDC79">
      <w:pPr>
        <w:pStyle w:val="14"/>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2139BF07">
      <w:pPr>
        <w:pStyle w:val="4"/>
        <w:numPr>
          <w:ilvl w:val="0"/>
          <w:numId w:val="7"/>
        </w:numPr>
        <w:spacing w:line="336" w:lineRule="auto"/>
        <w:jc w:val="center"/>
        <w:rPr>
          <w:rFonts w:hAnsi="宋体" w:cs="Times New Roman"/>
          <w:color w:val="auto"/>
          <w:highlight w:val="none"/>
        </w:rPr>
      </w:pPr>
      <w:r>
        <w:rPr>
          <w:color w:val="auto"/>
          <w:highlight w:val="none"/>
        </w:rPr>
        <w:t xml:space="preserve"> </w:t>
      </w:r>
      <w:bookmarkStart w:id="59" w:name="_Toc9724"/>
      <w:bookmarkStart w:id="60" w:name="_Toc24120"/>
      <w:r>
        <w:rPr>
          <w:rFonts w:hint="eastAsia"/>
          <w:color w:val="auto"/>
          <w:highlight w:val="none"/>
        </w:rPr>
        <w:t>磋商无效的情形</w:t>
      </w:r>
      <w:bookmarkEnd w:id="59"/>
      <w:bookmarkEnd w:id="60"/>
    </w:p>
    <w:p w14:paraId="7D27D8F0">
      <w:pPr>
        <w:pStyle w:val="14"/>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14:paraId="04605058">
      <w:pPr>
        <w:pStyle w:val="14"/>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65277DF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14:paraId="3054E24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14:paraId="58A4DBC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14:paraId="5AFFF40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14:paraId="4824CF2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14:paraId="6655543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ascii="宋体" w:cs="宋体"/>
          <w:b/>
          <w:bCs/>
          <w:color w:val="auto"/>
          <w:sz w:val="24"/>
          <w:szCs w:val="24"/>
          <w:highlight w:val="none"/>
        </w:rPr>
        <w:t>,</w:t>
      </w:r>
      <w:r>
        <w:rPr>
          <w:rFonts w:hint="eastAsia" w:ascii="宋体" w:hAnsi="宋体" w:cs="宋体"/>
          <w:b/>
          <w:bCs/>
          <w:color w:val="auto"/>
          <w:sz w:val="24"/>
          <w:szCs w:val="24"/>
          <w:highlight w:val="none"/>
        </w:rPr>
        <w:t>经评标委员会认定为无法评审的；</w:t>
      </w:r>
    </w:p>
    <w:p w14:paraId="5AE958C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内的主要产品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重要组成部分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出现技术、商务描述不一致或前后描述不一致，经评标委员会认定后为无法评审的；</w:t>
      </w:r>
    </w:p>
    <w:p w14:paraId="7C2AB8E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14:paraId="54AE73B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14:paraId="587A67B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14:paraId="6D88655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5792822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14:paraId="4AB8A2B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14:paraId="7E9A690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14:paraId="3ED1B65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14:paraId="690211C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14:paraId="5C56A56C">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14:paraId="38E32B9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14:paraId="4491B39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14:paraId="7FFD8C8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14:paraId="6018BEF8">
      <w:pP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14:paraId="79CC0967">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 xml:space="preserve"> 其他违反法律、法规的情形。</w:t>
      </w:r>
    </w:p>
    <w:p w14:paraId="30458A71">
      <w:pPr>
        <w:pStyle w:val="4"/>
        <w:numPr>
          <w:ilvl w:val="0"/>
          <w:numId w:val="7"/>
        </w:numPr>
        <w:spacing w:line="336" w:lineRule="auto"/>
        <w:jc w:val="center"/>
        <w:rPr>
          <w:rFonts w:cs="Times New Roman"/>
          <w:color w:val="auto"/>
          <w:highlight w:val="none"/>
        </w:rPr>
      </w:pPr>
      <w:r>
        <w:rPr>
          <w:color w:val="auto"/>
          <w:highlight w:val="none"/>
        </w:rPr>
        <w:t xml:space="preserve"> </w:t>
      </w:r>
      <w:bookmarkStart w:id="61" w:name="_Toc21752"/>
      <w:bookmarkStart w:id="62" w:name="_Toc20758"/>
      <w:r>
        <w:rPr>
          <w:rFonts w:hint="eastAsia"/>
          <w:color w:val="auto"/>
          <w:highlight w:val="none"/>
        </w:rPr>
        <w:t>采购中止的情形</w:t>
      </w:r>
      <w:bookmarkEnd w:id="61"/>
      <w:bookmarkEnd w:id="62"/>
    </w:p>
    <w:p w14:paraId="21BCBD73">
      <w:pPr>
        <w:pStyle w:val="14"/>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3DDB35BE">
      <w:pPr>
        <w:pStyle w:val="60"/>
        <w:tabs>
          <w:tab w:val="left" w:pos="0"/>
        </w:tabs>
        <w:spacing w:before="0" w:line="336" w:lineRule="auto"/>
        <w:ind w:left="420" w:leftChars="200" w:firstLine="0"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530412E0">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196E2BD4">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70D0BD7D">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250F4217">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14:paraId="536C3717">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3F5FFC0A">
      <w:pPr>
        <w:pStyle w:val="60"/>
        <w:tabs>
          <w:tab w:val="left" w:pos="0"/>
        </w:tabs>
        <w:spacing w:before="0" w:line="336" w:lineRule="auto"/>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6459574D">
      <w:pPr>
        <w:pStyle w:val="4"/>
        <w:numPr>
          <w:ilvl w:val="0"/>
          <w:numId w:val="7"/>
        </w:numPr>
        <w:spacing w:line="336" w:lineRule="auto"/>
        <w:jc w:val="center"/>
        <w:rPr>
          <w:rFonts w:cs="Times New Roman"/>
          <w:color w:val="auto"/>
          <w:highlight w:val="none"/>
        </w:rPr>
      </w:pPr>
      <w:r>
        <w:rPr>
          <w:color w:val="auto"/>
          <w:highlight w:val="none"/>
        </w:rPr>
        <w:t xml:space="preserve"> </w:t>
      </w:r>
      <w:bookmarkStart w:id="63" w:name="_Toc14029"/>
      <w:bookmarkStart w:id="64" w:name="_Toc11321"/>
      <w:r>
        <w:rPr>
          <w:rFonts w:hint="eastAsia"/>
          <w:color w:val="auto"/>
          <w:highlight w:val="none"/>
        </w:rPr>
        <w:t>确定成交供应商与签订合同</w:t>
      </w:r>
      <w:bookmarkEnd w:id="63"/>
      <w:bookmarkEnd w:id="64"/>
    </w:p>
    <w:p w14:paraId="79A7B61F">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14:paraId="2028EC3E">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14:paraId="5AFEBE00">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14:paraId="18A24129">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14:paraId="50E60875">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4D619A8">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14:paraId="665F5442">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14:paraId="1ADBE876">
      <w:pPr>
        <w:pStyle w:val="60"/>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14:paraId="79C0B9D9">
      <w:pPr>
        <w:pStyle w:val="60"/>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30817E5A">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14:paraId="5E1A59A9">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绍兴市上虞惠盛城镇建设开发有限公司</w:t>
      </w:r>
      <w:r>
        <w:rPr>
          <w:rFonts w:hint="eastAsia" w:ascii="宋体" w:hAnsi="宋体" w:cs="宋体"/>
          <w:color w:val="auto"/>
          <w:sz w:val="24"/>
          <w:szCs w:val="24"/>
          <w:highlight w:val="none"/>
        </w:rPr>
        <w:t>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浙江国信工程管理咨询有限公司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E7FBAD1">
      <w:pPr>
        <w:pStyle w:val="3"/>
        <w:jc w:val="center"/>
        <w:rPr>
          <w:rFonts w:hint="eastAsia" w:eastAsia="宋体" w:cs="Times New Roman"/>
          <w:color w:val="auto"/>
          <w:sz w:val="36"/>
          <w:szCs w:val="36"/>
          <w:highlight w:val="none"/>
          <w:lang w:eastAsia="zh-CN"/>
        </w:rPr>
      </w:pPr>
      <w:r>
        <w:rPr>
          <w:color w:val="auto"/>
          <w:sz w:val="36"/>
          <w:szCs w:val="36"/>
          <w:highlight w:val="none"/>
        </w:rPr>
        <w:br w:type="page"/>
      </w:r>
      <w:bookmarkStart w:id="65" w:name="_Toc2414"/>
      <w:bookmarkStart w:id="66" w:name="_Toc21248"/>
      <w:r>
        <w:rPr>
          <w:rFonts w:hint="eastAsia"/>
          <w:color w:val="auto"/>
          <w:sz w:val="36"/>
          <w:szCs w:val="36"/>
          <w:highlight w:val="none"/>
        </w:rPr>
        <w:t xml:space="preserve">第三部分 </w:t>
      </w:r>
      <w:r>
        <w:rPr>
          <w:rFonts w:hint="eastAsia" w:cs="宋体"/>
          <w:color w:val="auto"/>
          <w:sz w:val="36"/>
          <w:szCs w:val="36"/>
          <w:highlight w:val="none"/>
        </w:rPr>
        <w:t>采购</w:t>
      </w:r>
      <w:bookmarkEnd w:id="65"/>
      <w:bookmarkEnd w:id="66"/>
      <w:r>
        <w:rPr>
          <w:rFonts w:hint="eastAsia" w:cs="宋体"/>
          <w:color w:val="auto"/>
          <w:sz w:val="36"/>
          <w:szCs w:val="36"/>
          <w:highlight w:val="none"/>
          <w:lang w:val="en-US" w:eastAsia="zh-CN"/>
        </w:rPr>
        <w:t>需求</w:t>
      </w:r>
    </w:p>
    <w:p w14:paraId="19236879">
      <w:pPr>
        <w:pStyle w:val="4"/>
        <w:jc w:val="center"/>
        <w:rPr>
          <w:color w:val="auto"/>
          <w:highlight w:val="none"/>
        </w:rPr>
      </w:pPr>
      <w:bookmarkStart w:id="67" w:name="_Toc25073"/>
      <w:bookmarkStart w:id="68" w:name="_Toc23075"/>
      <w:bookmarkStart w:id="69" w:name="_Toc15284"/>
      <w:r>
        <w:rPr>
          <w:rFonts w:hint="eastAsia"/>
          <w:color w:val="auto"/>
          <w:highlight w:val="none"/>
        </w:rPr>
        <w:t xml:space="preserve">第一章 </w:t>
      </w:r>
      <w:bookmarkStart w:id="70" w:name="_Toc506107120"/>
      <w:r>
        <w:rPr>
          <w:rFonts w:hint="eastAsia"/>
          <w:color w:val="auto"/>
          <w:highlight w:val="none"/>
        </w:rPr>
        <w:t>采购内容及要求</w:t>
      </w:r>
      <w:bookmarkEnd w:id="67"/>
      <w:bookmarkEnd w:id="68"/>
      <w:bookmarkEnd w:id="70"/>
    </w:p>
    <w:p w14:paraId="2A7EFFF1">
      <w:pPr>
        <w:autoSpaceDE w:val="0"/>
        <w:autoSpaceDN w:val="0"/>
        <w:adjustRightInd w:val="0"/>
        <w:spacing w:line="360" w:lineRule="auto"/>
        <w:jc w:val="left"/>
        <w:rPr>
          <w:rFonts w:hint="eastAsia" w:ascii="宋体" w:hAnsi="宋体" w:cs="宋体"/>
          <w:b/>
          <w:bCs/>
          <w:sz w:val="24"/>
          <w:lang w:eastAsia="zh-CN"/>
        </w:rPr>
      </w:pPr>
      <w:r>
        <w:rPr>
          <w:rFonts w:hint="eastAsia" w:ascii="宋体" w:hAnsi="宋体" w:cs="宋体"/>
          <w:b/>
          <w:bCs/>
          <w:sz w:val="24"/>
          <w:lang w:eastAsia="zh-CN"/>
        </w:rPr>
        <w:t>一、项目内容：</w:t>
      </w:r>
    </w:p>
    <w:p w14:paraId="6F0BB14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运维丰惠文旅公众号1个，每周完成3次以上推文，一年完成160条以上推文，并派专人现场驻点运营。持续运维丰惠文旅视频号1个，以“书香浓、忆流年、醉古城、赋青春”为脉络，一年制作完成24条以上短视频，同步根据节会活动、专题赛事等，制作完成12条以上短视频，总体每年完成36条以上视频推送。同步在抖音号、小红书、海外youtube等平台做文旅推广、流量聚集。详见附件。</w:t>
      </w:r>
    </w:p>
    <w:p w14:paraId="0C0D6080">
      <w:pPr>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项目清单：</w:t>
      </w:r>
    </w:p>
    <w:tbl>
      <w:tblPr>
        <w:tblStyle w:val="29"/>
        <w:tblW w:w="88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350"/>
        <w:gridCol w:w="3883"/>
        <w:gridCol w:w="1275"/>
        <w:gridCol w:w="1695"/>
      </w:tblGrid>
      <w:tr w14:paraId="231D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15DF53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93A337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服务名称</w:t>
            </w:r>
          </w:p>
        </w:tc>
        <w:tc>
          <w:tcPr>
            <w:tcW w:w="3883" w:type="dxa"/>
            <w:tcBorders>
              <w:top w:val="single" w:color="000000" w:sz="4" w:space="0"/>
              <w:left w:val="single" w:color="000000" w:sz="4" w:space="0"/>
              <w:bottom w:val="single" w:color="000000" w:sz="4" w:space="0"/>
              <w:right w:val="single" w:color="000000" w:sz="4" w:space="0"/>
            </w:tcBorders>
            <w:noWrap/>
            <w:vAlign w:val="center"/>
          </w:tcPr>
          <w:p w14:paraId="4D79DE9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内容要求</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6E3428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单位</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1F544E4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数量</w:t>
            </w:r>
          </w:p>
        </w:tc>
      </w:tr>
      <w:tr w14:paraId="135B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6BE5159">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B6157F1">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账号搭建</w:t>
            </w:r>
          </w:p>
        </w:tc>
        <w:tc>
          <w:tcPr>
            <w:tcW w:w="3883" w:type="dxa"/>
            <w:tcBorders>
              <w:top w:val="single" w:color="000000" w:sz="4" w:space="0"/>
              <w:left w:val="single" w:color="000000" w:sz="4" w:space="0"/>
              <w:bottom w:val="single" w:color="000000" w:sz="4" w:space="0"/>
              <w:right w:val="single" w:color="000000" w:sz="4" w:space="0"/>
            </w:tcBorders>
            <w:noWrap w:val="0"/>
            <w:vAlign w:val="center"/>
          </w:tcPr>
          <w:p w14:paraId="446E3EAD">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丰惠文旅账号矩阵搭建及生产资料提升：</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微信公众号、视频号</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抖音</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号及海外youtube平台</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的账号注册、实名认证、头像更改、简介设置</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、框架搭建</w:t>
            </w:r>
            <w:r>
              <w:rPr>
                <w:rFonts w:hint="eastAsia" w:ascii="宋体" w:hAnsi="宋体" w:cs="宋体"/>
                <w:i w:val="0"/>
                <w:iCs w:val="0"/>
                <w:snapToGrid w:val="0"/>
                <w:color w:val="auto"/>
                <w:kern w:val="0"/>
                <w:sz w:val="21"/>
                <w:szCs w:val="21"/>
                <w:highlight w:val="none"/>
                <w:u w:val="none"/>
                <w:lang w:val="en-US" w:eastAsia="zh-CN" w:bidi="ar"/>
              </w:rPr>
              <w:t>等生产资料筹划</w:t>
            </w:r>
            <w:r>
              <w:rPr>
                <w:rFonts w:hint="eastAsia" w:ascii="宋体" w:hAnsi="宋体" w:eastAsia="宋体" w:cs="宋体"/>
                <w:i w:val="0"/>
                <w:iCs w:val="0"/>
                <w:snapToGrid w:val="0"/>
                <w:color w:val="auto"/>
                <w:kern w:val="0"/>
                <w:sz w:val="21"/>
                <w:szCs w:val="21"/>
                <w:highlight w:val="none"/>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977D03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次</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CD43449">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5</w:t>
            </w:r>
          </w:p>
        </w:tc>
      </w:tr>
      <w:tr w14:paraId="4F8B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04E4D68">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D97AE62">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账号</w:t>
            </w:r>
            <w:r>
              <w:rPr>
                <w:rFonts w:hint="eastAsia" w:ascii="宋体" w:hAnsi="宋体" w:cs="宋体"/>
                <w:i w:val="0"/>
                <w:iCs w:val="0"/>
                <w:snapToGrid w:val="0"/>
                <w:color w:val="auto"/>
                <w:kern w:val="0"/>
                <w:sz w:val="21"/>
                <w:szCs w:val="21"/>
                <w:highlight w:val="none"/>
                <w:u w:val="none"/>
                <w:lang w:val="en-US" w:eastAsia="zh-CN" w:bidi="ar"/>
              </w:rPr>
              <w:t>定位</w:t>
            </w:r>
          </w:p>
        </w:tc>
        <w:tc>
          <w:tcPr>
            <w:tcW w:w="3883" w:type="dxa"/>
            <w:tcBorders>
              <w:top w:val="single" w:color="000000" w:sz="4" w:space="0"/>
              <w:left w:val="single" w:color="000000" w:sz="4" w:space="0"/>
              <w:bottom w:val="single" w:color="000000" w:sz="4" w:space="0"/>
              <w:right w:val="single" w:color="000000" w:sz="4" w:space="0"/>
            </w:tcBorders>
            <w:noWrap w:val="0"/>
            <w:vAlign w:val="center"/>
          </w:tcPr>
          <w:p w14:paraId="72EFA3C9">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cs="宋体"/>
                <w:i w:val="0"/>
                <w:iCs w:val="0"/>
                <w:snapToGrid w:val="0"/>
                <w:color w:val="auto"/>
                <w:kern w:val="0"/>
                <w:sz w:val="21"/>
                <w:szCs w:val="21"/>
                <w:highlight w:val="none"/>
                <w:u w:val="none"/>
                <w:lang w:val="en-US" w:eastAsia="zh-CN" w:bidi="ar"/>
              </w:rPr>
              <w:t>对丰惠文旅</w:t>
            </w:r>
            <w:r>
              <w:rPr>
                <w:rFonts w:hint="eastAsia" w:ascii="宋体" w:hAnsi="宋体" w:eastAsia="宋体" w:cs="宋体"/>
                <w:i w:val="0"/>
                <w:iCs w:val="0"/>
                <w:snapToGrid w:val="0"/>
                <w:color w:val="auto"/>
                <w:kern w:val="0"/>
                <w:sz w:val="21"/>
                <w:szCs w:val="21"/>
                <w:highlight w:val="none"/>
                <w:u w:val="none"/>
                <w:lang w:val="en-US" w:eastAsia="zh-CN" w:bidi="ar"/>
              </w:rPr>
              <w:t>微信公众号、视频号及抖音账号进行整体定位，</w:t>
            </w:r>
            <w:r>
              <w:rPr>
                <w:rFonts w:hint="eastAsia" w:ascii="宋体" w:hAnsi="宋体" w:cs="宋体"/>
                <w:i w:val="0"/>
                <w:iCs w:val="0"/>
                <w:snapToGrid w:val="0"/>
                <w:color w:val="auto"/>
                <w:kern w:val="0"/>
                <w:sz w:val="21"/>
                <w:szCs w:val="21"/>
                <w:highlight w:val="none"/>
                <w:u w:val="none"/>
                <w:lang w:val="en-US" w:eastAsia="zh-CN" w:bidi="ar"/>
              </w:rPr>
              <w:t>做好账号内容运营、视频拍摄、数据分析、账号引流，实现新媒体宣传矩阵全方位宣传丰惠文旅，带动丰惠千年古城复兴。</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E559D28">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次</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1F6505F">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w:t>
            </w:r>
          </w:p>
        </w:tc>
      </w:tr>
      <w:tr w14:paraId="2DD16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707F74C">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cs="宋体"/>
                <w:i w:val="0"/>
                <w:iCs w:val="0"/>
                <w:snapToGrid w:val="0"/>
                <w:color w:val="auto"/>
                <w:kern w:val="0"/>
                <w:sz w:val="21"/>
                <w:szCs w:val="21"/>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31D6A0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文旅视频号</w:t>
            </w:r>
            <w:r>
              <w:rPr>
                <w:rFonts w:hint="eastAsia" w:ascii="宋体" w:hAnsi="宋体" w:cs="宋体"/>
                <w:i w:val="0"/>
                <w:iCs w:val="0"/>
                <w:snapToGrid w:val="0"/>
                <w:color w:val="auto"/>
                <w:kern w:val="0"/>
                <w:sz w:val="21"/>
                <w:szCs w:val="21"/>
                <w:highlight w:val="none"/>
                <w:u w:val="none"/>
                <w:lang w:val="en-US" w:eastAsia="zh-CN" w:bidi="ar"/>
              </w:rPr>
              <w:t>策划</w:t>
            </w:r>
            <w:r>
              <w:rPr>
                <w:rFonts w:hint="eastAsia" w:ascii="宋体" w:hAnsi="宋体" w:eastAsia="宋体" w:cs="宋体"/>
                <w:i w:val="0"/>
                <w:iCs w:val="0"/>
                <w:snapToGrid w:val="0"/>
                <w:color w:val="auto"/>
                <w:kern w:val="0"/>
                <w:sz w:val="21"/>
                <w:szCs w:val="21"/>
                <w:highlight w:val="none"/>
                <w:u w:val="none"/>
                <w:lang w:val="en-US" w:eastAsia="zh-CN" w:bidi="ar"/>
              </w:rPr>
              <w:t>发布</w:t>
            </w:r>
          </w:p>
        </w:tc>
        <w:tc>
          <w:tcPr>
            <w:tcW w:w="3883" w:type="dxa"/>
            <w:tcBorders>
              <w:top w:val="single" w:color="000000" w:sz="4" w:space="0"/>
              <w:left w:val="single" w:color="000000" w:sz="4" w:space="0"/>
              <w:bottom w:val="single" w:color="000000" w:sz="4" w:space="0"/>
              <w:right w:val="single" w:color="000000" w:sz="4" w:space="0"/>
            </w:tcBorders>
            <w:noWrap w:val="0"/>
            <w:vAlign w:val="center"/>
          </w:tcPr>
          <w:p w14:paraId="3352990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以视频号为</w:t>
            </w:r>
            <w:r>
              <w:rPr>
                <w:rFonts w:hint="eastAsia" w:ascii="宋体" w:hAnsi="宋体" w:cs="宋体"/>
                <w:i w:val="0"/>
                <w:iCs w:val="0"/>
                <w:snapToGrid w:val="0"/>
                <w:color w:val="auto"/>
                <w:kern w:val="0"/>
                <w:sz w:val="21"/>
                <w:szCs w:val="21"/>
                <w:highlight w:val="none"/>
                <w:u w:val="none"/>
                <w:lang w:val="en-US" w:eastAsia="zh-CN" w:bidi="ar"/>
              </w:rPr>
              <w:t>载体，用短视频+热点形式，切入</w:t>
            </w:r>
            <w:r>
              <w:rPr>
                <w:rFonts w:hint="eastAsia" w:ascii="宋体" w:hAnsi="宋体" w:eastAsia="宋体" w:cs="宋体"/>
                <w:i w:val="0"/>
                <w:iCs w:val="0"/>
                <w:snapToGrid w:val="0"/>
                <w:color w:val="auto"/>
                <w:kern w:val="0"/>
                <w:sz w:val="21"/>
                <w:szCs w:val="21"/>
                <w:highlight w:val="none"/>
                <w:u w:val="none"/>
                <w:lang w:val="en-US" w:eastAsia="zh-CN" w:bidi="ar"/>
              </w:rPr>
              <w:t>专题</w:t>
            </w:r>
            <w:r>
              <w:rPr>
                <w:rFonts w:hint="eastAsia" w:ascii="宋体" w:hAnsi="宋体" w:cs="宋体"/>
                <w:i w:val="0"/>
                <w:iCs w:val="0"/>
                <w:snapToGrid w:val="0"/>
                <w:color w:val="auto"/>
                <w:kern w:val="0"/>
                <w:sz w:val="21"/>
                <w:szCs w:val="21"/>
                <w:highlight w:val="none"/>
                <w:u w:val="none"/>
                <w:lang w:val="en-US" w:eastAsia="zh-CN" w:bidi="ar"/>
              </w:rPr>
              <w:t>全方位</w:t>
            </w:r>
            <w:r>
              <w:rPr>
                <w:rFonts w:hint="eastAsia" w:ascii="宋体" w:hAnsi="宋体" w:eastAsia="宋体" w:cs="宋体"/>
                <w:i w:val="0"/>
                <w:iCs w:val="0"/>
                <w:snapToGrid w:val="0"/>
                <w:color w:val="auto"/>
                <w:kern w:val="0"/>
                <w:sz w:val="21"/>
                <w:szCs w:val="21"/>
                <w:highlight w:val="none"/>
                <w:u w:val="none"/>
                <w:lang w:val="en-US" w:eastAsia="zh-CN" w:bidi="ar"/>
              </w:rPr>
              <w:t>内容制作、封面选择、主题选择</w:t>
            </w:r>
            <w:r>
              <w:rPr>
                <w:rFonts w:hint="eastAsia" w:ascii="宋体" w:hAnsi="宋体" w:cs="宋体"/>
                <w:i w:val="0"/>
                <w:iCs w:val="0"/>
                <w:snapToGrid w:val="0"/>
                <w:color w:val="auto"/>
                <w:kern w:val="0"/>
                <w:sz w:val="21"/>
                <w:szCs w:val="21"/>
                <w:highlight w:val="none"/>
                <w:u w:val="none"/>
                <w:lang w:val="en-US" w:eastAsia="zh-CN" w:bidi="ar"/>
              </w:rPr>
              <w:t>，</w:t>
            </w:r>
            <w:r>
              <w:rPr>
                <w:rFonts w:hint="eastAsia" w:ascii="宋体" w:hAnsi="宋体" w:eastAsia="宋体" w:cs="宋体"/>
                <w:i w:val="0"/>
                <w:iCs w:val="0"/>
                <w:snapToGrid w:val="0"/>
                <w:color w:val="auto"/>
                <w:kern w:val="0"/>
                <w:sz w:val="21"/>
                <w:szCs w:val="21"/>
                <w:highlight w:val="none"/>
                <w:u w:val="none"/>
                <w:lang w:val="en-US" w:eastAsia="zh-CN" w:bidi="ar"/>
              </w:rPr>
              <w:t>达到强烈的视觉享受，并让用户在看到我们账号主页时，就能领会账号风格。让这个系列成为日常更新的内容，达到对外宣传和互动的效果</w:t>
            </w:r>
            <w:r>
              <w:rPr>
                <w:rFonts w:hint="eastAsia" w:ascii="宋体" w:hAnsi="宋体" w:cs="宋体"/>
                <w:i w:val="0"/>
                <w:iCs w:val="0"/>
                <w:snapToGrid w:val="0"/>
                <w:color w:val="auto"/>
                <w:kern w:val="0"/>
                <w:sz w:val="21"/>
                <w:szCs w:val="21"/>
                <w:highlight w:val="none"/>
                <w:u w:val="none"/>
                <w:lang w:val="en-US" w:eastAsia="zh-CN" w:bidi="ar"/>
              </w:rPr>
              <w:t>，带动丰惠千年古城复兴</w:t>
            </w:r>
            <w:r>
              <w:rPr>
                <w:rFonts w:hint="eastAsia" w:ascii="宋体" w:hAnsi="宋体" w:eastAsia="宋体" w:cs="宋体"/>
                <w:i w:val="0"/>
                <w:iCs w:val="0"/>
                <w:snapToGrid w:val="0"/>
                <w:color w:val="auto"/>
                <w:kern w:val="0"/>
                <w:sz w:val="21"/>
                <w:szCs w:val="21"/>
                <w:highlight w:val="none"/>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A5E8F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ACBF38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36</w:t>
            </w:r>
          </w:p>
        </w:tc>
      </w:tr>
      <w:tr w14:paraId="69B7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E1AFA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snapToGrid w:val="0"/>
                <w:color w:val="auto"/>
                <w:kern w:val="0"/>
                <w:sz w:val="21"/>
                <w:szCs w:val="21"/>
                <w:highlight w:val="none"/>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17EDFAE">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snapToGrid w:val="0"/>
                <w:color w:val="auto"/>
                <w:kern w:val="0"/>
                <w:sz w:val="21"/>
                <w:szCs w:val="21"/>
                <w:highlight w:val="none"/>
                <w:u w:val="none"/>
                <w:lang w:val="en-US" w:eastAsia="zh-CN" w:bidi="ar"/>
              </w:rPr>
              <w:t>文旅公众号</w:t>
            </w:r>
            <w:r>
              <w:rPr>
                <w:rFonts w:hint="eastAsia" w:ascii="宋体" w:hAnsi="宋体" w:cs="宋体"/>
                <w:i w:val="0"/>
                <w:iCs w:val="0"/>
                <w:snapToGrid w:val="0"/>
                <w:color w:val="auto"/>
                <w:kern w:val="0"/>
                <w:sz w:val="21"/>
                <w:szCs w:val="21"/>
                <w:highlight w:val="none"/>
                <w:u w:val="none"/>
                <w:lang w:val="en-US" w:eastAsia="zh-CN" w:bidi="ar"/>
              </w:rPr>
              <w:t>策划</w:t>
            </w:r>
            <w:r>
              <w:rPr>
                <w:rFonts w:hint="eastAsia" w:ascii="宋体" w:hAnsi="宋体" w:eastAsia="宋体" w:cs="宋体"/>
                <w:i w:val="0"/>
                <w:iCs w:val="0"/>
                <w:snapToGrid w:val="0"/>
                <w:color w:val="auto"/>
                <w:kern w:val="0"/>
                <w:sz w:val="21"/>
                <w:szCs w:val="21"/>
                <w:highlight w:val="none"/>
                <w:u w:val="none"/>
                <w:lang w:val="en-US" w:eastAsia="zh-CN" w:bidi="ar"/>
              </w:rPr>
              <w:t>发</w:t>
            </w:r>
            <w:r>
              <w:rPr>
                <w:rFonts w:hint="eastAsia" w:ascii="宋体" w:hAnsi="宋体" w:cs="宋体"/>
                <w:i w:val="0"/>
                <w:iCs w:val="0"/>
                <w:snapToGrid w:val="0"/>
                <w:color w:val="auto"/>
                <w:kern w:val="0"/>
                <w:sz w:val="21"/>
                <w:szCs w:val="21"/>
                <w:highlight w:val="none"/>
                <w:u w:val="none"/>
                <w:lang w:val="en-US" w:eastAsia="zh-CN" w:bidi="ar"/>
              </w:rPr>
              <w:t>布</w:t>
            </w:r>
          </w:p>
        </w:tc>
        <w:tc>
          <w:tcPr>
            <w:tcW w:w="3883" w:type="dxa"/>
            <w:tcBorders>
              <w:top w:val="single" w:color="000000" w:sz="4" w:space="0"/>
              <w:left w:val="single" w:color="000000" w:sz="4" w:space="0"/>
              <w:bottom w:val="single" w:color="000000" w:sz="4" w:space="0"/>
              <w:right w:val="single" w:color="000000" w:sz="4" w:space="0"/>
            </w:tcBorders>
            <w:noWrap w:val="0"/>
            <w:vAlign w:val="center"/>
          </w:tcPr>
          <w:p w14:paraId="61CCFA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结合视频号</w:t>
            </w:r>
            <w:r>
              <w:rPr>
                <w:rFonts w:hint="eastAsia" w:ascii="宋体" w:hAnsi="宋体" w:cs="宋体"/>
                <w:i w:val="0"/>
                <w:iCs w:val="0"/>
                <w:snapToGrid w:val="0"/>
                <w:color w:val="auto"/>
                <w:kern w:val="0"/>
                <w:sz w:val="21"/>
                <w:szCs w:val="21"/>
                <w:highlight w:val="none"/>
                <w:u w:val="none"/>
                <w:lang w:val="en-US" w:eastAsia="zh-CN" w:bidi="ar"/>
              </w:rPr>
              <w:t>的</w:t>
            </w:r>
            <w:r>
              <w:rPr>
                <w:rFonts w:hint="eastAsia" w:ascii="宋体" w:hAnsi="宋体" w:eastAsia="宋体" w:cs="宋体"/>
                <w:i w:val="0"/>
                <w:iCs w:val="0"/>
                <w:snapToGrid w:val="0"/>
                <w:color w:val="auto"/>
                <w:kern w:val="0"/>
                <w:sz w:val="21"/>
                <w:szCs w:val="21"/>
                <w:highlight w:val="none"/>
                <w:u w:val="none"/>
                <w:lang w:val="en-US" w:eastAsia="zh-CN" w:bidi="ar"/>
              </w:rPr>
              <w:t>专题，用图文的形式进行矩阵呈现，采用文字+图片的形式，让内容在官方文旅公号上得到展现。同时，也可以根据时间对主题进行拆分， 让内容应景，让读者感受图文盛宴。</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7DBE5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条</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0A89EBE3">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snapToGrid w:val="0"/>
                <w:color w:val="auto"/>
                <w:kern w:val="0"/>
                <w:sz w:val="21"/>
                <w:szCs w:val="21"/>
                <w:highlight w:val="none"/>
                <w:u w:val="none"/>
                <w:lang w:val="en-US" w:eastAsia="zh-CN" w:bidi="ar"/>
              </w:rPr>
              <w:t>160</w:t>
            </w:r>
          </w:p>
        </w:tc>
      </w:tr>
      <w:tr w14:paraId="049D6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E24C9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790092B">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snapToGrid w:val="0"/>
                <w:color w:val="auto"/>
                <w:kern w:val="0"/>
                <w:sz w:val="21"/>
                <w:szCs w:val="21"/>
                <w:highlight w:val="none"/>
                <w:u w:val="none"/>
                <w:lang w:val="en-US" w:eastAsia="zh-CN" w:bidi="ar"/>
              </w:rPr>
              <w:t>文旅抖音号</w:t>
            </w:r>
            <w:r>
              <w:rPr>
                <w:rFonts w:hint="eastAsia" w:ascii="宋体" w:hAnsi="宋体" w:cs="宋体"/>
                <w:i w:val="0"/>
                <w:iCs w:val="0"/>
                <w:snapToGrid w:val="0"/>
                <w:color w:val="auto"/>
                <w:kern w:val="0"/>
                <w:sz w:val="21"/>
                <w:szCs w:val="21"/>
                <w:highlight w:val="none"/>
                <w:u w:val="none"/>
                <w:lang w:val="en-US" w:eastAsia="zh-CN" w:bidi="ar"/>
              </w:rPr>
              <w:t>策划</w:t>
            </w:r>
            <w:r>
              <w:rPr>
                <w:rFonts w:hint="eastAsia" w:ascii="宋体" w:hAnsi="宋体" w:eastAsia="宋体" w:cs="宋体"/>
                <w:i w:val="0"/>
                <w:iCs w:val="0"/>
                <w:snapToGrid w:val="0"/>
                <w:color w:val="auto"/>
                <w:kern w:val="0"/>
                <w:sz w:val="21"/>
                <w:szCs w:val="21"/>
                <w:highlight w:val="none"/>
                <w:u w:val="none"/>
                <w:lang w:val="en-US" w:eastAsia="zh-CN" w:bidi="ar"/>
              </w:rPr>
              <w:t>发布</w:t>
            </w:r>
          </w:p>
        </w:tc>
        <w:tc>
          <w:tcPr>
            <w:tcW w:w="3883" w:type="dxa"/>
            <w:tcBorders>
              <w:top w:val="single" w:color="000000" w:sz="4" w:space="0"/>
              <w:left w:val="single" w:color="000000" w:sz="4" w:space="0"/>
              <w:bottom w:val="single" w:color="000000" w:sz="4" w:space="0"/>
              <w:right w:val="single" w:color="000000" w:sz="4" w:space="0"/>
            </w:tcBorders>
            <w:noWrap w:val="0"/>
            <w:vAlign w:val="center"/>
          </w:tcPr>
          <w:p w14:paraId="3CF1E8D9">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snapToGrid w:val="0"/>
                <w:color w:val="auto"/>
                <w:kern w:val="0"/>
                <w:sz w:val="21"/>
                <w:szCs w:val="21"/>
                <w:highlight w:val="none"/>
                <w:u w:val="none"/>
                <w:lang w:val="en-US" w:eastAsia="zh-CN" w:bidi="ar"/>
              </w:rPr>
              <w:t>注册</w:t>
            </w:r>
            <w:r>
              <w:rPr>
                <w:rFonts w:hint="eastAsia" w:ascii="宋体" w:hAnsi="宋体" w:eastAsia="宋体" w:cs="宋体"/>
                <w:i w:val="0"/>
                <w:iCs w:val="0"/>
                <w:snapToGrid w:val="0"/>
                <w:color w:val="auto"/>
                <w:kern w:val="0"/>
                <w:sz w:val="21"/>
                <w:szCs w:val="21"/>
                <w:highlight w:val="none"/>
                <w:u w:val="none"/>
                <w:lang w:val="en-US" w:eastAsia="zh-CN" w:bidi="ar"/>
              </w:rPr>
              <w:t>抖音号</w:t>
            </w:r>
            <w:r>
              <w:rPr>
                <w:rFonts w:hint="eastAsia" w:ascii="宋体" w:hAnsi="宋体" w:cs="宋体"/>
                <w:i w:val="0"/>
                <w:iCs w:val="0"/>
                <w:snapToGrid w:val="0"/>
                <w:color w:val="auto"/>
                <w:kern w:val="0"/>
                <w:sz w:val="21"/>
                <w:szCs w:val="21"/>
                <w:highlight w:val="none"/>
                <w:u w:val="none"/>
                <w:lang w:val="en-US" w:eastAsia="zh-CN" w:bidi="ar"/>
              </w:rPr>
              <w:t>，</w:t>
            </w:r>
            <w:r>
              <w:rPr>
                <w:rFonts w:hint="eastAsia" w:ascii="宋体" w:hAnsi="宋体" w:eastAsia="宋体" w:cs="宋体"/>
                <w:i w:val="0"/>
                <w:iCs w:val="0"/>
                <w:snapToGrid w:val="0"/>
                <w:color w:val="auto"/>
                <w:kern w:val="0"/>
                <w:sz w:val="21"/>
                <w:szCs w:val="21"/>
                <w:highlight w:val="none"/>
                <w:u w:val="none"/>
                <w:lang w:val="en-US" w:eastAsia="zh-CN" w:bidi="ar"/>
              </w:rPr>
              <w:t>按期更新日常</w:t>
            </w:r>
            <w:r>
              <w:rPr>
                <w:rFonts w:hint="eastAsia" w:ascii="宋体" w:hAnsi="宋体" w:cs="宋体"/>
                <w:i w:val="0"/>
                <w:iCs w:val="0"/>
                <w:snapToGrid w:val="0"/>
                <w:color w:val="auto"/>
                <w:kern w:val="0"/>
                <w:sz w:val="21"/>
                <w:szCs w:val="21"/>
                <w:highlight w:val="none"/>
                <w:u w:val="none"/>
                <w:lang w:val="en-US" w:eastAsia="zh-CN" w:bidi="ar"/>
              </w:rPr>
              <w:t>活动、风景、民俗</w:t>
            </w:r>
            <w:r>
              <w:rPr>
                <w:rFonts w:hint="eastAsia" w:ascii="宋体" w:hAnsi="宋体" w:eastAsia="宋体" w:cs="宋体"/>
                <w:i w:val="0"/>
                <w:iCs w:val="0"/>
                <w:snapToGrid w:val="0"/>
                <w:color w:val="auto"/>
                <w:kern w:val="0"/>
                <w:sz w:val="21"/>
                <w:szCs w:val="21"/>
                <w:highlight w:val="none"/>
                <w:u w:val="none"/>
                <w:lang w:val="en-US" w:eastAsia="zh-CN" w:bidi="ar"/>
              </w:rPr>
              <w:t>及专题内容，并根据具体细节进行精细化内容制作。</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16961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6D04DBE0">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snapToGrid w:val="0"/>
                <w:color w:val="auto"/>
                <w:kern w:val="0"/>
                <w:sz w:val="21"/>
                <w:szCs w:val="21"/>
                <w:highlight w:val="none"/>
                <w:u w:val="none"/>
                <w:lang w:val="en-US" w:eastAsia="zh-CN" w:bidi="ar"/>
              </w:rPr>
              <w:t>36</w:t>
            </w:r>
          </w:p>
        </w:tc>
      </w:tr>
      <w:tr w14:paraId="2E7ED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012E71C">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A957AFF">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文旅海外youtube平台账号宣发</w:t>
            </w:r>
          </w:p>
        </w:tc>
        <w:tc>
          <w:tcPr>
            <w:tcW w:w="3883" w:type="dxa"/>
            <w:tcBorders>
              <w:top w:val="single" w:color="000000" w:sz="4" w:space="0"/>
              <w:left w:val="single" w:color="000000" w:sz="4" w:space="0"/>
              <w:bottom w:val="single" w:color="000000" w:sz="4" w:space="0"/>
              <w:right w:val="single" w:color="000000" w:sz="4" w:space="0"/>
            </w:tcBorders>
            <w:noWrap w:val="0"/>
            <w:vAlign w:val="center"/>
          </w:tcPr>
          <w:p w14:paraId="6BF081FB">
            <w:pPr>
              <w:keepNext w:val="0"/>
              <w:keepLines w:val="0"/>
              <w:widowControl/>
              <w:suppressLineNumbers w:val="0"/>
              <w:jc w:val="center"/>
              <w:textAlignment w:val="center"/>
              <w:rPr>
                <w:rFonts w:hint="default"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注册海外youtube平台账号，</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按期更新日常</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活动、风景、民俗</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及专题内容，并根据具体细节进行精细化内容制作</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。一年内粉丝量达5000以上。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EA28015">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条</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B9E21E6">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100</w:t>
            </w:r>
          </w:p>
        </w:tc>
      </w:tr>
    </w:tbl>
    <w:p w14:paraId="5AD97A25">
      <w:pPr>
        <w:pStyle w:val="3"/>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1"/>
          <w:lang w:val="en-US" w:eastAsia="zh-CN" w:bidi="ar-SA"/>
        </w:rPr>
      </w:pPr>
    </w:p>
    <w:p w14:paraId="42959348">
      <w:pPr>
        <w:pStyle w:val="3"/>
        <w:keepNext w:val="0"/>
        <w:keepLines w:val="0"/>
        <w:pageBreakBefore w:val="0"/>
        <w:widowControl w:val="0"/>
        <w:numPr>
          <w:ilvl w:val="0"/>
          <w:numId w:val="0"/>
        </w:numPr>
        <w:kinsoku/>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kern w:val="2"/>
          <w:sz w:val="24"/>
          <w:szCs w:val="21"/>
          <w:lang w:val="en-US" w:eastAsia="zh-CN" w:bidi="ar-SA"/>
        </w:rPr>
      </w:pPr>
      <w:r>
        <w:rPr>
          <w:rFonts w:hint="eastAsia" w:ascii="宋体" w:hAnsi="宋体" w:cs="宋体"/>
          <w:b/>
          <w:bCs/>
          <w:kern w:val="2"/>
          <w:sz w:val="24"/>
          <w:szCs w:val="21"/>
          <w:lang w:val="en-US" w:eastAsia="zh-CN" w:bidi="ar-SA"/>
        </w:rPr>
        <w:t>二、</w:t>
      </w:r>
      <w:r>
        <w:rPr>
          <w:rFonts w:hint="eastAsia" w:ascii="宋体" w:hAnsi="宋体" w:eastAsia="宋体" w:cs="宋体"/>
          <w:b/>
          <w:bCs/>
          <w:kern w:val="2"/>
          <w:sz w:val="24"/>
          <w:szCs w:val="21"/>
          <w:lang w:val="en-US" w:eastAsia="zh-CN" w:bidi="ar-SA"/>
        </w:rPr>
        <w:t>宣传内容：</w:t>
      </w:r>
    </w:p>
    <w:p w14:paraId="271B0697">
      <w:pPr>
        <w:pStyle w:val="3"/>
        <w:keepNext w:val="0"/>
        <w:keepLines w:val="0"/>
        <w:pageBreakBefore w:val="0"/>
        <w:widowControl w:val="0"/>
        <w:numPr>
          <w:ilvl w:val="0"/>
          <w:numId w:val="0"/>
        </w:numPr>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包括但不限于丰惠历史人文、山川地理、节会活动、旅游景点、老街店铺、非遗美食等。</w:t>
      </w:r>
    </w:p>
    <w:p w14:paraId="12BDA374">
      <w:pPr>
        <w:pStyle w:val="80"/>
        <w:pageBreakBefore w:val="0"/>
        <w:widowControl w:val="0"/>
        <w:kinsoku/>
        <w:wordWrap/>
        <w:overflowPunct/>
        <w:topLinePunct w:val="0"/>
        <w:autoSpaceDE/>
        <w:autoSpaceDN/>
        <w:bidi w:val="0"/>
        <w:snapToGrid/>
        <w:spacing w:line="360" w:lineRule="auto"/>
        <w:ind w:firstLine="0" w:firstLineChars="0"/>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2.1 账号搭建</w:t>
      </w:r>
      <w:r>
        <w:rPr>
          <w:rFonts w:hint="eastAsia" w:ascii="宋体" w:hAnsi="宋体" w:eastAsia="宋体" w:cs="宋体"/>
          <w:b/>
          <w:color w:val="000000" w:themeColor="text1"/>
          <w:sz w:val="24"/>
          <w:szCs w:val="24"/>
          <w:highlight w:val="none"/>
          <w:lang w:eastAsia="zh-CN"/>
          <w14:textFill>
            <w14:solidFill>
              <w14:schemeClr w14:val="tx1"/>
            </w14:solidFill>
          </w14:textFill>
        </w:rPr>
        <w:t>：</w:t>
      </w:r>
    </w:p>
    <w:p w14:paraId="4101CEA9">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包含微信公众号、视频号</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抖音平台</w:t>
      </w:r>
      <w:r>
        <w:rPr>
          <w:rFonts w:hint="eastAsia" w:ascii="宋体" w:hAnsi="宋体" w:cs="宋体"/>
          <w:color w:val="000000" w:themeColor="text1"/>
          <w:sz w:val="24"/>
          <w:szCs w:val="24"/>
          <w:highlight w:val="none"/>
          <w:lang w:val="en-US" w:eastAsia="zh-CN"/>
          <w14:textFill>
            <w14:solidFill>
              <w14:schemeClr w14:val="tx1"/>
            </w14:solidFill>
          </w14:textFill>
        </w:rPr>
        <w:t>及海外youtube平台</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的账号注册、实名认证、头像更改、简介设置、框架搭建等生产资料筹划</w:t>
      </w:r>
      <w:r>
        <w:rPr>
          <w:rFonts w:hint="eastAsia" w:ascii="宋体" w:hAnsi="宋体" w:cs="宋体"/>
          <w:color w:val="000000" w:themeColor="text1"/>
          <w:sz w:val="24"/>
          <w:szCs w:val="24"/>
          <w:highlight w:val="none"/>
          <w:lang w:val="en-US" w:eastAsia="zh-CN"/>
          <w14:textFill>
            <w14:solidFill>
              <w14:schemeClr w14:val="tx1"/>
            </w14:solidFill>
          </w14:textFill>
        </w:rPr>
        <w:t>、升级</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91C9161">
      <w:pPr>
        <w:keepNext w:val="0"/>
        <w:keepLines w:val="0"/>
        <w:widowControl/>
        <w:suppressLineNumbers w:val="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视频号名字一年能修改 5 次，视频号头像、简介可按照系列内容进行修改。</w:t>
      </w:r>
    </w:p>
    <w:p w14:paraId="73652C23">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2</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 账号</w:t>
      </w:r>
      <w:r>
        <w:rPr>
          <w:rFonts w:hint="eastAsia" w:ascii="宋体" w:hAnsi="宋体" w:cs="宋体"/>
          <w:b/>
          <w:bCs/>
          <w:color w:val="000000" w:themeColor="text1"/>
          <w:sz w:val="24"/>
          <w:szCs w:val="24"/>
          <w:highlight w:val="none"/>
          <w:lang w:val="en-US" w:eastAsia="zh-CN"/>
          <w14:textFill>
            <w14:solidFill>
              <w14:schemeClr w14:val="tx1"/>
            </w14:solidFill>
          </w14:textFill>
        </w:rPr>
        <w:t>定位</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1A8A0541">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(1).</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确定账号目标粉丝的年龄18-60岁、性别不限、以本地为主、辐射周边城市。</w:t>
      </w:r>
    </w:p>
    <w:p w14:paraId="4991A530">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(2).</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对丰惠文旅微信公众号、视频号及抖音账号</w:t>
      </w:r>
      <w:r>
        <w:rPr>
          <w:rFonts w:hint="eastAsia" w:ascii="宋体" w:hAnsi="宋体" w:cs="宋体"/>
          <w:color w:val="000000" w:themeColor="text1"/>
          <w:sz w:val="24"/>
          <w:szCs w:val="24"/>
          <w:highlight w:val="none"/>
          <w:lang w:val="en-US" w:eastAsia="zh-CN" w:bidi="ar"/>
          <w14:textFill>
            <w14:solidFill>
              <w14:schemeClr w14:val="tx1"/>
            </w14:solidFill>
          </w14:textFill>
        </w:rPr>
        <w:t>、海外youtube平台账号</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进行整体定位，做好账号内容运营、视频拍摄、数据分析、账号引流，实现新媒体宣传矩阵全方位宣传丰惠文旅，带动丰惠千年古城复兴。</w:t>
      </w:r>
    </w:p>
    <w:p w14:paraId="1856EA4D">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lang w:val="en-US" w:eastAsia="zh-CN"/>
          <w14:textFill>
            <w14:solidFill>
              <w14:schemeClr w14:val="tx1"/>
            </w14:solidFill>
          </w14:textFill>
        </w:rPr>
        <w:t>文旅视频号运营</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580C99A4">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(1).</w:t>
      </w:r>
      <w:r>
        <w:rPr>
          <w:rFonts w:hint="eastAsia" w:ascii="宋体" w:hAnsi="宋体" w:cs="宋体"/>
          <w:color w:val="000000" w:themeColor="text1"/>
          <w:sz w:val="24"/>
          <w:szCs w:val="24"/>
          <w:highlight w:val="none"/>
          <w:lang w:val="en-US" w:eastAsia="zh-CN" w:bidi="ar"/>
          <w14:textFill>
            <w14:solidFill>
              <w14:schemeClr w14:val="tx1"/>
            </w14:solidFill>
          </w14:textFill>
        </w:rPr>
        <w:t>以视频号为载体，用短视频+热点形式，切入专题全方位内容制作、封面选择、主题选择，达到强烈的视觉享受，并让用户在看到我们账号主页时，就能领会账号风格。</w:t>
      </w:r>
    </w:p>
    <w:p w14:paraId="6BAED459">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(2).</w:t>
      </w:r>
      <w:r>
        <w:rPr>
          <w:rFonts w:hint="eastAsia" w:ascii="宋体" w:hAnsi="宋体" w:cs="宋体"/>
          <w:color w:val="000000" w:themeColor="text1"/>
          <w:sz w:val="24"/>
          <w:szCs w:val="24"/>
          <w:highlight w:val="none"/>
          <w:lang w:val="en-US" w:eastAsia="zh-CN" w:bidi="ar"/>
          <w14:textFill>
            <w14:solidFill>
              <w14:schemeClr w14:val="tx1"/>
            </w14:solidFill>
          </w14:textFill>
        </w:rPr>
        <w:t>让这个系列成为日常更新的内容，一年视频发布量不少于36个，达到对外宣传和互动的效果，带动丰惠千年古城复兴。</w:t>
      </w:r>
    </w:p>
    <w:p w14:paraId="3B3EE5C6">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文旅公众号</w:t>
      </w:r>
      <w:r>
        <w:rPr>
          <w:rFonts w:hint="eastAsia" w:ascii="宋体" w:hAnsi="宋体" w:cs="宋体"/>
          <w:b/>
          <w:bCs/>
          <w:color w:val="000000" w:themeColor="text1"/>
          <w:sz w:val="24"/>
          <w:szCs w:val="24"/>
          <w:highlight w:val="none"/>
          <w:lang w:val="en-US" w:eastAsia="zh-CN"/>
          <w14:textFill>
            <w14:solidFill>
              <w14:schemeClr w14:val="tx1"/>
            </w14:solidFill>
          </w14:textFill>
        </w:rPr>
        <w:t>运营</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51BEE5E">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(1).结合视频号的专题，用图文的形式进行矩阵呈现，采用文字+图片的形式，让内容在官方文旅公号上得到展现。</w:t>
      </w:r>
    </w:p>
    <w:p w14:paraId="2F63B609">
      <w:pPr>
        <w:pageBreakBefore w:val="0"/>
        <w:widowControl w:val="0"/>
        <w:numPr>
          <w:ilvl w:val="0"/>
          <w:numId w:val="0"/>
        </w:numPr>
        <w:kinsoku/>
        <w:wordWrap/>
        <w:overflowPunct/>
        <w:topLinePunct w:val="0"/>
        <w:autoSpaceDE/>
        <w:autoSpaceDN/>
        <w:bidi w:val="0"/>
        <w:snapToGrid/>
        <w:spacing w:line="360" w:lineRule="auto"/>
        <w:textAlignment w:val="auto"/>
        <w:rPr>
          <w:rFonts w:hint="default"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r>
        <w:rPr>
          <w:rFonts w:hint="eastAsia" w:ascii="宋体" w:hAnsi="宋体" w:cs="宋体"/>
          <w:color w:val="000000" w:themeColor="text1"/>
          <w:sz w:val="24"/>
          <w:szCs w:val="24"/>
          <w:highlight w:val="none"/>
          <w:lang w:val="en-US" w:eastAsia="zh-CN" w:bidi="ar"/>
          <w14:textFill>
            <w14:solidFill>
              <w14:schemeClr w14:val="tx1"/>
            </w14:solidFill>
          </w14:textFill>
        </w:rPr>
        <w:t>账号内穿插历史名人故事和当下时事的趣味性科普，丰富账号的可读性和有趣性。</w:t>
      </w:r>
    </w:p>
    <w:p w14:paraId="445AEF2E">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(3).根据时间对主题进行拆分， 让内容应景，年发布量</w:t>
      </w:r>
      <w:r>
        <w:rPr>
          <w:rFonts w:hint="eastAsia" w:ascii="宋体" w:hAnsi="宋体" w:cs="宋体"/>
          <w:color w:val="000000" w:themeColor="text1"/>
          <w:sz w:val="24"/>
          <w:szCs w:val="24"/>
          <w:highlight w:val="none"/>
          <w:lang w:val="en-US" w:eastAsia="zh-CN" w:bidi="ar"/>
          <w14:textFill>
            <w14:solidFill>
              <w14:schemeClr w14:val="tx1"/>
            </w14:solidFill>
          </w14:textFill>
        </w:rPr>
        <w:t>不少于</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160条</w:t>
      </w:r>
      <w:r>
        <w:rPr>
          <w:rFonts w:hint="eastAsia" w:ascii="宋体" w:hAnsi="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让读者感受图文盛宴。</w:t>
      </w:r>
    </w:p>
    <w:p w14:paraId="750E1E02">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2.5 </w:t>
      </w:r>
      <w:r>
        <w:rPr>
          <w:rFonts w:hint="eastAsia" w:ascii="宋体" w:hAnsi="宋体" w:cs="宋体"/>
          <w:b/>
          <w:bCs/>
          <w:color w:val="000000" w:themeColor="text1"/>
          <w:sz w:val="24"/>
          <w:szCs w:val="24"/>
          <w:highlight w:val="none"/>
          <w:lang w:val="en-US" w:eastAsia="zh-CN"/>
          <w14:textFill>
            <w14:solidFill>
              <w14:schemeClr w14:val="tx1"/>
            </w14:solidFill>
          </w14:textFill>
        </w:rPr>
        <w:t>文旅抖音号运营</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72F14102">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(1).注册抖音号，按期更新日常活动、风景、民俗及专题内容</w:t>
      </w:r>
      <w:r>
        <w:rPr>
          <w:rFonts w:hint="eastAsia" w:ascii="宋体" w:hAnsi="宋体" w:cs="宋体"/>
          <w:color w:val="000000" w:themeColor="text1"/>
          <w:sz w:val="24"/>
          <w:szCs w:val="24"/>
          <w:highlight w:val="none"/>
          <w:lang w:val="en-US" w:eastAsia="zh-CN" w:bidi="ar"/>
          <w14:textFill>
            <w14:solidFill>
              <w14:schemeClr w14:val="tx1"/>
            </w14:solidFill>
          </w14:textFill>
        </w:rPr>
        <w:t>。</w:t>
      </w:r>
    </w:p>
    <w:p w14:paraId="4DFA00FB">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(2).根据具体细节进行精细化内容制作</w:t>
      </w:r>
      <w:r>
        <w:rPr>
          <w:rFonts w:hint="eastAsia" w:ascii="宋体" w:hAnsi="宋体" w:cs="宋体"/>
          <w:color w:val="000000" w:themeColor="text1"/>
          <w:sz w:val="24"/>
          <w:szCs w:val="24"/>
          <w:highlight w:val="none"/>
          <w:lang w:val="en-US" w:eastAsia="zh-CN" w:bidi="ar"/>
          <w14:textFill>
            <w14:solidFill>
              <w14:schemeClr w14:val="tx1"/>
            </w14:solidFill>
          </w14:textFill>
        </w:rPr>
        <w:t>，保证视频年发布量不少于36个。</w:t>
      </w:r>
    </w:p>
    <w:p w14:paraId="3FDEDD83">
      <w:pPr>
        <w:pStyle w:val="3"/>
        <w:rPr>
          <w:rFonts w:hint="eastAsia" w:ascii="宋体" w:hAnsi="宋体" w:cs="宋体"/>
          <w:color w:val="000000" w:themeColor="text1"/>
          <w:sz w:val="24"/>
          <w:szCs w:val="24"/>
          <w:highlight w:val="none"/>
          <w:lang w:val="en-US" w:eastAsia="zh-CN" w:bidi="ar"/>
          <w14:textFill>
            <w14:solidFill>
              <w14:schemeClr w14:val="tx1"/>
            </w14:solidFill>
          </w14:textFill>
        </w:rPr>
      </w:pPr>
      <w:r>
        <w:rPr>
          <w:rFonts w:hint="eastAsia" w:ascii="宋体" w:hAnsi="宋体" w:cs="宋体"/>
          <w:color w:val="000000" w:themeColor="text1"/>
          <w:sz w:val="24"/>
          <w:szCs w:val="24"/>
          <w:highlight w:val="none"/>
          <w:lang w:val="en-US" w:eastAsia="zh-CN" w:bidi="ar"/>
          <w14:textFill>
            <w14:solidFill>
              <w14:schemeClr w14:val="tx1"/>
            </w14:solidFill>
          </w14:textFill>
        </w:rPr>
        <w:t>2.6 海外youtube平台账号运营：</w:t>
      </w:r>
    </w:p>
    <w:p w14:paraId="50F76468">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r>
        <w:rPr>
          <w:rFonts w:hint="default"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在海外youtube平台账号上，按期更新日常活动、风景、民俗及专题内容。</w:t>
      </w:r>
    </w:p>
    <w:p w14:paraId="343B484C">
      <w:pPr>
        <w:pageBreakBefore w:val="0"/>
        <w:widowControl w:val="0"/>
        <w:numPr>
          <w:ilvl w:val="0"/>
          <w:numId w:val="0"/>
        </w:numPr>
        <w:kinsoku/>
        <w:wordWrap/>
        <w:overflowPunct/>
        <w:topLinePunct w:val="0"/>
        <w:autoSpaceDE/>
        <w:autoSpaceDN/>
        <w:bidi w:val="0"/>
        <w:snapToGrid/>
        <w:spacing w:line="360" w:lineRule="auto"/>
        <w:textAlignment w:val="auto"/>
        <w:rPr>
          <w:rFonts w:hint="default"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r>
        <w:rPr>
          <w:rFonts w:hint="default"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一年内粉丝量达5000以上。</w:t>
      </w:r>
    </w:p>
    <w:p w14:paraId="74B0BA9A">
      <w:pPr>
        <w:spacing w:line="360" w:lineRule="auto"/>
        <w:rPr>
          <w:rFonts w:ascii="宋体"/>
          <w:b/>
          <w:bCs/>
          <w:sz w:val="24"/>
          <w:highlight w:val="none"/>
        </w:rPr>
      </w:pPr>
      <w:r>
        <w:rPr>
          <w:rFonts w:hint="eastAsia" w:ascii="宋体"/>
          <w:b/>
          <w:bCs/>
          <w:sz w:val="24"/>
          <w:highlight w:val="none"/>
          <w:lang w:val="en-US" w:eastAsia="zh-CN"/>
        </w:rPr>
        <w:t>四</w:t>
      </w:r>
      <w:r>
        <w:rPr>
          <w:rFonts w:hint="eastAsia" w:ascii="宋体"/>
          <w:b/>
          <w:bCs/>
          <w:sz w:val="24"/>
          <w:highlight w:val="none"/>
        </w:rPr>
        <w:t>、服务期限</w:t>
      </w:r>
    </w:p>
    <w:p w14:paraId="6161EFC4">
      <w:pPr>
        <w:spacing w:line="360" w:lineRule="auto"/>
        <w:ind w:firstLine="240" w:firstLineChars="100"/>
        <w:rPr>
          <w:rFonts w:ascii="宋体"/>
          <w:b w:val="0"/>
          <w:bCs w:val="0"/>
          <w:color w:val="auto"/>
          <w:sz w:val="24"/>
          <w:highlight w:val="none"/>
        </w:rPr>
      </w:pPr>
      <w:r>
        <w:rPr>
          <w:rFonts w:hint="eastAsia" w:ascii="宋体"/>
          <w:b w:val="0"/>
          <w:bCs w:val="0"/>
          <w:sz w:val="24"/>
          <w:highlight w:val="none"/>
        </w:rPr>
        <w:t>服务期限</w:t>
      </w:r>
      <w:r>
        <w:rPr>
          <w:rFonts w:hint="eastAsia" w:ascii="宋体"/>
          <w:b w:val="0"/>
          <w:bCs w:val="0"/>
          <w:sz w:val="24"/>
          <w:highlight w:val="none"/>
          <w:lang w:val="en-US" w:eastAsia="zh-CN"/>
        </w:rPr>
        <w:t>一</w:t>
      </w:r>
      <w:r>
        <w:rPr>
          <w:rFonts w:hint="eastAsia" w:ascii="宋体"/>
          <w:b w:val="0"/>
          <w:bCs w:val="0"/>
          <w:sz w:val="24"/>
          <w:highlight w:val="none"/>
        </w:rPr>
        <w:t>年（</w:t>
      </w:r>
      <w:r>
        <w:rPr>
          <w:rFonts w:hint="eastAsia" w:ascii="宋体"/>
          <w:b w:val="0"/>
          <w:bCs w:val="0"/>
          <w:sz w:val="24"/>
          <w:highlight w:val="none"/>
          <w:lang w:val="en-US" w:eastAsia="zh-CN"/>
        </w:rPr>
        <w:t>12</w:t>
      </w:r>
      <w:r>
        <w:rPr>
          <w:rFonts w:hint="eastAsia" w:ascii="宋体"/>
          <w:b w:val="0"/>
          <w:bCs w:val="0"/>
          <w:sz w:val="24"/>
          <w:highlight w:val="none"/>
        </w:rPr>
        <w:t>个月）</w:t>
      </w:r>
      <w:r>
        <w:rPr>
          <w:rFonts w:hint="eastAsia" w:ascii="宋体"/>
          <w:b w:val="0"/>
          <w:bCs w:val="0"/>
          <w:color w:val="auto"/>
          <w:sz w:val="24"/>
          <w:highlight w:val="none"/>
        </w:rPr>
        <w:t>。</w:t>
      </w:r>
    </w:p>
    <w:p w14:paraId="141CAE0F">
      <w:pPr>
        <w:pStyle w:val="4"/>
        <w:numPr>
          <w:ilvl w:val="0"/>
          <w:numId w:val="15"/>
        </w:numPr>
        <w:jc w:val="center"/>
      </w:pPr>
      <w:r>
        <w:rPr>
          <w:rFonts w:hint="eastAsia"/>
          <w:b/>
          <w:bCs/>
          <w:highlight w:val="none"/>
        </w:rPr>
        <w:t>付款方式及要求</w:t>
      </w:r>
    </w:p>
    <w:p w14:paraId="36870F6F">
      <w:pPr>
        <w:numPr>
          <w:ilvl w:val="0"/>
          <w:numId w:val="0"/>
        </w:numPr>
        <w:spacing w:line="480" w:lineRule="auto"/>
        <w:ind w:leftChars="200" w:firstLine="240" w:firstLineChars="1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付款方式</w:t>
      </w:r>
    </w:p>
    <w:p w14:paraId="0B855C20">
      <w:pPr>
        <w:spacing w:line="360" w:lineRule="auto"/>
        <w:ind w:firstLine="240" w:firstLineChars="100"/>
        <w:rPr>
          <w:rFonts w:hint="eastAsia" w:ascii="宋体" w:hAnsi="Times New Roman" w:eastAsia="宋体" w:cs="Times New Roman"/>
          <w:b w:val="0"/>
          <w:bCs w:val="0"/>
          <w:sz w:val="24"/>
          <w:highlight w:val="none"/>
          <w:lang w:val="en-US" w:eastAsia="zh-CN"/>
        </w:rPr>
      </w:pPr>
      <w:r>
        <w:rPr>
          <w:rFonts w:hint="eastAsia" w:ascii="宋体" w:hAnsi="Times New Roman" w:eastAsia="宋体" w:cs="Times New Roman"/>
          <w:b w:val="0"/>
          <w:bCs w:val="0"/>
          <w:sz w:val="24"/>
          <w:highlight w:val="none"/>
          <w:lang w:val="en-US" w:eastAsia="zh-CN"/>
        </w:rPr>
        <w:t>公众号、视频号、抖音号、小红书、海外youtube账号等建立完成并实质性运营后，支付合同价50%；按合同要求完成全部项目内容，并通过甲方验收后，支付剩余资金。</w:t>
      </w:r>
    </w:p>
    <w:p w14:paraId="713F2B85">
      <w:pPr>
        <w:spacing w:line="360" w:lineRule="auto"/>
        <w:ind w:firstLine="240" w:firstLineChars="100"/>
        <w:rPr>
          <w:rFonts w:hint="eastAsia" w:ascii="宋体" w:hAnsi="Times New Roman" w:eastAsia="宋体" w:cs="Times New Roman"/>
          <w:b w:val="0"/>
          <w:bCs w:val="0"/>
          <w:sz w:val="24"/>
          <w:highlight w:val="none"/>
          <w:lang w:val="en-US" w:eastAsia="zh-CN"/>
        </w:rPr>
      </w:pPr>
    </w:p>
    <w:p w14:paraId="053D4EFF">
      <w:pPr>
        <w:spacing w:line="360" w:lineRule="auto"/>
        <w:ind w:firstLine="240" w:firstLineChars="100"/>
        <w:rPr>
          <w:rFonts w:hint="eastAsia" w:ascii="宋体" w:hAnsi="Times New Roman" w:eastAsia="宋体" w:cs="Times New Roman"/>
          <w:b w:val="0"/>
          <w:bCs w:val="0"/>
          <w:sz w:val="24"/>
          <w:highlight w:val="none"/>
        </w:rPr>
      </w:pPr>
    </w:p>
    <w:p w14:paraId="695FB973">
      <w:pPr>
        <w:spacing w:line="500" w:lineRule="exact"/>
        <w:ind w:firstLine="600" w:firstLineChars="250"/>
        <w:rPr>
          <w:rFonts w:hint="default"/>
          <w:lang w:val="en-US" w:eastAsia="zh-CN"/>
        </w:rPr>
      </w:pPr>
      <w:r>
        <w:rPr>
          <w:rFonts w:ascii="宋体" w:hAnsi="宋体"/>
          <w:sz w:val="24"/>
        </w:rPr>
        <w:br w:type="page"/>
      </w:r>
    </w:p>
    <w:p w14:paraId="3BDDE157">
      <w:pPr>
        <w:pStyle w:val="3"/>
        <w:jc w:val="center"/>
        <w:rPr>
          <w:rFonts w:cs="Times New Roman"/>
          <w:color w:val="auto"/>
          <w:sz w:val="36"/>
          <w:szCs w:val="36"/>
          <w:highlight w:val="none"/>
        </w:rPr>
      </w:pPr>
      <w:bookmarkStart w:id="71" w:name="_Toc29756"/>
      <w:r>
        <w:rPr>
          <w:rFonts w:hint="eastAsia" w:cs="宋体"/>
          <w:color w:val="auto"/>
          <w:sz w:val="36"/>
          <w:szCs w:val="36"/>
          <w:highlight w:val="none"/>
        </w:rPr>
        <w:t>第四部分 磋商原则及磋商方法</w:t>
      </w:r>
      <w:bookmarkEnd w:id="69"/>
      <w:bookmarkEnd w:id="71"/>
    </w:p>
    <w:p w14:paraId="0C1FBB71">
      <w:pPr>
        <w:pStyle w:val="4"/>
        <w:numPr>
          <w:ilvl w:val="0"/>
          <w:numId w:val="16"/>
        </w:numPr>
        <w:jc w:val="center"/>
        <w:rPr>
          <w:rFonts w:cs="Times New Roman"/>
          <w:color w:val="auto"/>
          <w:highlight w:val="none"/>
        </w:rPr>
      </w:pPr>
      <w:bookmarkStart w:id="72" w:name="_Toc1265"/>
      <w:r>
        <w:rPr>
          <w:rFonts w:hint="eastAsia"/>
          <w:color w:val="auto"/>
          <w:highlight w:val="none"/>
        </w:rPr>
        <w:t xml:space="preserve"> </w:t>
      </w:r>
      <w:bookmarkStart w:id="73" w:name="_Toc9557"/>
      <w:r>
        <w:rPr>
          <w:rFonts w:hint="eastAsia"/>
          <w:color w:val="auto"/>
          <w:highlight w:val="none"/>
        </w:rPr>
        <w:t>磋商原则</w:t>
      </w:r>
      <w:bookmarkEnd w:id="72"/>
      <w:bookmarkEnd w:id="73"/>
    </w:p>
    <w:p w14:paraId="2B4A907D">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14:paraId="62007652">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4409FCA3">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14:paraId="3E6E3D65">
      <w:pPr>
        <w:pStyle w:val="14"/>
        <w:spacing w:line="360"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14:paraId="7852DB26">
      <w:pPr>
        <w:pStyle w:val="14"/>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14:paraId="192E4FC5">
      <w:pPr>
        <w:pStyle w:val="14"/>
        <w:spacing w:line="360"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w:t>
      </w:r>
      <w:r>
        <w:rPr>
          <w:rFonts w:hAnsi="宋体"/>
          <w:b/>
          <w:bCs/>
          <w:color w:val="auto"/>
          <w:sz w:val="24"/>
          <w:szCs w:val="24"/>
          <w:highlight w:val="none"/>
        </w:rPr>
        <w:t>-</w:t>
      </w:r>
      <w:r>
        <w:rPr>
          <w:rFonts w:hint="eastAsia" w:hAnsi="宋体"/>
          <w:b/>
          <w:bCs/>
          <w:color w:val="auto"/>
          <w:sz w:val="24"/>
          <w:szCs w:val="24"/>
          <w:highlight w:val="none"/>
        </w:rPr>
        <w:t>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14:paraId="556B2AC7">
      <w:pPr>
        <w:pStyle w:val="14"/>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14:paraId="183A6C4C">
      <w:pPr>
        <w:pStyle w:val="60"/>
        <w:spacing w:before="0"/>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14:paraId="25F2C3EB">
      <w:pPr>
        <w:pStyle w:val="60"/>
        <w:spacing w:before="0"/>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6488E9F">
      <w:pPr>
        <w:spacing w:line="360" w:lineRule="auto"/>
        <w:ind w:firstLine="48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14:paraId="123E8C1E">
      <w:pPr>
        <w:pStyle w:val="60"/>
        <w:spacing w:before="0"/>
        <w:ind w:firstLine="480"/>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14:paraId="171DDA45">
      <w:pPr>
        <w:pStyle w:val="60"/>
        <w:tabs>
          <w:tab w:val="left" w:pos="0"/>
        </w:tabs>
        <w:spacing w:before="0"/>
        <w:ind w:firstLine="480"/>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14:paraId="0429ECDD">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14:paraId="5DA6D8C5">
      <w:pPr>
        <w:pStyle w:val="4"/>
        <w:numPr>
          <w:ilvl w:val="0"/>
          <w:numId w:val="16"/>
        </w:numPr>
        <w:jc w:val="center"/>
        <w:rPr>
          <w:rFonts w:cs="Times New Roman"/>
          <w:color w:val="auto"/>
          <w:highlight w:val="none"/>
        </w:rPr>
      </w:pPr>
      <w:r>
        <w:rPr>
          <w:color w:val="auto"/>
          <w:highlight w:val="none"/>
        </w:rPr>
        <w:t xml:space="preserve"> </w:t>
      </w:r>
      <w:bookmarkStart w:id="74" w:name="_Toc7242"/>
      <w:bookmarkStart w:id="75" w:name="_Toc10093"/>
      <w:r>
        <w:rPr>
          <w:rFonts w:hint="eastAsia"/>
          <w:color w:val="auto"/>
          <w:highlight w:val="none"/>
        </w:rPr>
        <w:t>磋商程序</w:t>
      </w:r>
      <w:bookmarkEnd w:id="74"/>
      <w:bookmarkEnd w:id="75"/>
    </w:p>
    <w:p w14:paraId="11B61846">
      <w:pPr>
        <w:snapToGrid w:val="0"/>
        <w:spacing w:line="360" w:lineRule="auto"/>
        <w:ind w:firstLine="48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、对所有响应文件的初审</w:t>
      </w:r>
    </w:p>
    <w:p w14:paraId="5602551B">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资格审查</w:t>
      </w:r>
    </w:p>
    <w:p w14:paraId="2A190F2E">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）开标后，磋商小组将依法对供应商的资格进行审查。</w:t>
      </w:r>
    </w:p>
    <w:p w14:paraId="7C80ABEE">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）磋商小组依据法律法规和磋商文件的规定，对供应商的基本资格条件、特定资格条件进行审查。</w:t>
      </w:r>
    </w:p>
    <w:p w14:paraId="146AE297">
      <w:pPr>
        <w:adjustRightInd w:val="0"/>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）供应商未按照磋商文件要求提供与基本资格条件、特定资格条件相应的有效资格证明材料的，视为供应商不具备磋商文件中规定的资格要求，其磋商无效。并将无效原由告知相关供应商</w:t>
      </w:r>
      <w:r>
        <w:rPr>
          <w:rFonts w:ascii="宋体" w:cs="宋体"/>
          <w:color w:val="auto"/>
          <w:sz w:val="24"/>
          <w:szCs w:val="24"/>
          <w:highlight w:val="none"/>
        </w:rPr>
        <w:t>.</w:t>
      </w:r>
    </w:p>
    <w:p w14:paraId="0A642FFB">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）采购人或采购代理机构将通过“信用中国”网站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渠道查询供应商磋商开标后评标前的信用记录，经查询供应商列入失信被执行人名单、重大税收违法案件当事人名单、政府采购严重违法失信行为记录名单的，其磋商无效。</w:t>
      </w:r>
    </w:p>
    <w:p w14:paraId="0EA27CA0">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）磋商小组出具《供应商资格审查意见表》，供应商未按照磋商文件要求提供与基本资格条件、特定资格条件相应的有效资格证明材料的，视为供应商不具备磋商文件中规定的资格要求，其磋商无效。</w:t>
      </w:r>
    </w:p>
    <w:p w14:paraId="43C675B9">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符合性审查：磋商小组依据磋商文件的规定，从响应文件的有效性、完整性和对磋商文件的响应程度进行审查，以确定是否对磋商文件的要求作出实质性响应。出现以下情况的，视为符合性不通过，磋商无效。</w:t>
      </w:r>
    </w:p>
    <w:p w14:paraId="7774A34D">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）响应文件无法定代表人或其委托授权代表签名或盖章。</w:t>
      </w:r>
    </w:p>
    <w:p w14:paraId="387E8A3D">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）响应文件内容虚假的。</w:t>
      </w:r>
    </w:p>
    <w:p w14:paraId="20775BEE">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）响应文件有采购人不能接受的附加条件的。</w:t>
      </w:r>
    </w:p>
    <w:p w14:paraId="10B622FF">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）磋商有效期、服务期等商务条款不能满足磋商文件要求的。</w:t>
      </w:r>
    </w:p>
    <w:p w14:paraId="392D8CAC">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）投标价格超出预算或最高限价，导致采购单位无法支付的。</w:t>
      </w:r>
    </w:p>
    <w:p w14:paraId="397A6CEA">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）磋商文件明确规定的其他无效条款的。</w:t>
      </w:r>
    </w:p>
    <w:p w14:paraId="785C0CD2">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1.3 </w:t>
      </w:r>
      <w:r>
        <w:rPr>
          <w:rFonts w:hint="eastAsia" w:ascii="宋体" w:hAnsi="宋体" w:cs="宋体"/>
          <w:color w:val="auto"/>
          <w:sz w:val="24"/>
          <w:szCs w:val="24"/>
          <w:highlight w:val="none"/>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25D129">
      <w:pPr>
        <w:pStyle w:val="60"/>
        <w:tabs>
          <w:tab w:val="left" w:pos="0"/>
        </w:tabs>
        <w:spacing w:before="0"/>
        <w:ind w:firstLine="480"/>
        <w:rPr>
          <w:rFonts w:ascii="宋体"/>
          <w:color w:val="auto"/>
          <w:highlight w:val="none"/>
        </w:rPr>
      </w:pPr>
      <w:r>
        <w:rPr>
          <w:rFonts w:ascii="宋体" w:hAnsi="宋体" w:cs="宋体"/>
          <w:color w:val="auto"/>
          <w:highlight w:val="none"/>
        </w:rPr>
        <w:t>1.4</w:t>
      </w:r>
      <w:r>
        <w:rPr>
          <w:rFonts w:hint="eastAsia" w:ascii="宋体" w:hAnsi="宋体" w:cs="宋体"/>
          <w:color w:val="auto"/>
          <w:highlight w:val="none"/>
        </w:rPr>
        <w:t>磋商小组要求供应商澄清、说明或者更正响应文件应当以书面形式发出。供应商的澄清、说明或者更正应当由法定代表人或其授权代表签字或者加盖公章。由授权代表签字的，应当附法定代表人授权书。</w:t>
      </w:r>
    </w:p>
    <w:p w14:paraId="251EAABC">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14:paraId="4CC0BC7E">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初审合格的供应商进入下一步的磋商活动。</w:t>
      </w:r>
    </w:p>
    <w:p w14:paraId="25D20CB9">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磋商小组所有成员应当集中与单一供应商分别进行磋商，并给予所有参加磋商的供应商平等的磋商机会。</w:t>
      </w:r>
    </w:p>
    <w:p w14:paraId="405DBBBA">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color w:val="auto"/>
          <w:sz w:val="24"/>
          <w:szCs w:val="24"/>
          <w:highlight w:val="none"/>
        </w:rPr>
        <w:t xml:space="preserve"> </w:t>
      </w:r>
    </w:p>
    <w:p w14:paraId="77FFAC2C">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在磋商过程中，磋商小组可以根据磋商文件和磋商情况实质性变动采购需求中的技术、服务要求以及合同草案条款。实质性变动的内容，须经采购人代表确认。</w:t>
      </w:r>
    </w:p>
    <w:p w14:paraId="240BF844">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2.5 </w:t>
      </w:r>
      <w:r>
        <w:rPr>
          <w:rFonts w:hint="eastAsia" w:ascii="宋体" w:hAnsi="宋体" w:cs="宋体"/>
          <w:color w:val="auto"/>
          <w:sz w:val="24"/>
          <w:szCs w:val="24"/>
          <w:highlight w:val="none"/>
        </w:rPr>
        <w:t>磋商文件作出的实质性变动是磋商文件的有效组成部分，磋商小组应当及时以书面形式同时通知所有参加磋商的供应商。</w:t>
      </w:r>
    </w:p>
    <w:p w14:paraId="57ADD2E1">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2.6 </w:t>
      </w:r>
      <w:r>
        <w:rPr>
          <w:rFonts w:hint="eastAsia" w:ascii="宋体" w:hAnsi="宋体" w:cs="宋体"/>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1EAC0AA">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2.7 </w:t>
      </w:r>
      <w:r>
        <w:rPr>
          <w:rFonts w:hint="eastAsia" w:ascii="宋体" w:hAnsi="宋体" w:cs="宋体"/>
          <w:color w:val="auto"/>
          <w:sz w:val="24"/>
          <w:szCs w:val="24"/>
          <w:highlight w:val="none"/>
        </w:rPr>
        <w:t>符合《政府采购竞争性磋商采购方式管理暂行办法》（财库〔</w:t>
      </w:r>
      <w:r>
        <w:rPr>
          <w:rFonts w:ascii="宋体" w:hAnsi="宋体" w:cs="宋体"/>
          <w:color w:val="auto"/>
          <w:sz w:val="24"/>
          <w:szCs w:val="24"/>
          <w:highlight w:val="none"/>
        </w:rPr>
        <w:t>2014</w:t>
      </w:r>
      <w:r>
        <w:rPr>
          <w:rFonts w:hint="eastAsia" w:ascii="宋体" w:hAnsi="宋体" w:cs="宋体"/>
          <w:color w:val="auto"/>
          <w:sz w:val="24"/>
          <w:szCs w:val="24"/>
          <w:highlight w:val="none"/>
        </w:rPr>
        <w:t>〕</w:t>
      </w:r>
      <w:r>
        <w:rPr>
          <w:rFonts w:ascii="宋体" w:hAnsi="宋体" w:cs="宋体"/>
          <w:color w:val="auto"/>
          <w:sz w:val="24"/>
          <w:szCs w:val="24"/>
          <w:highlight w:val="none"/>
        </w:rPr>
        <w:t>214</w:t>
      </w:r>
      <w:r>
        <w:rPr>
          <w:rFonts w:hint="eastAsia" w:ascii="宋体" w:hAnsi="宋体" w:cs="宋体"/>
          <w:color w:val="auto"/>
          <w:sz w:val="24"/>
          <w:szCs w:val="24"/>
          <w:highlight w:val="none"/>
        </w:rPr>
        <w:t>号）第三条第四项即“市场竞争不充分的科研项目，以及需要扶持的科技成果转化项目”情形的，提交最后报价的供应商可以为</w:t>
      </w:r>
      <w:r>
        <w:rPr>
          <w:rFonts w:ascii="宋体" w:hAnsi="宋体" w:cs="宋体"/>
          <w:color w:val="auto"/>
          <w:sz w:val="24"/>
          <w:szCs w:val="24"/>
          <w:highlight w:val="none"/>
        </w:rPr>
        <w:t>2</w:t>
      </w:r>
      <w:r>
        <w:rPr>
          <w:rFonts w:hint="eastAsia" w:ascii="宋体" w:hAnsi="宋体" w:cs="宋体"/>
          <w:color w:val="auto"/>
          <w:sz w:val="24"/>
          <w:szCs w:val="24"/>
          <w:highlight w:val="none"/>
        </w:rPr>
        <w:t>家。</w:t>
      </w:r>
    </w:p>
    <w:p w14:paraId="2D023502">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2.8 </w:t>
      </w:r>
      <w:r>
        <w:rPr>
          <w:rFonts w:hint="eastAsia" w:ascii="宋体" w:hAnsi="宋体" w:cs="宋体"/>
          <w:color w:val="auto"/>
          <w:sz w:val="24"/>
          <w:szCs w:val="24"/>
          <w:highlight w:val="none"/>
        </w:rPr>
        <w:t>采用竞争性磋商采购方式采购的政府购买服务项目（含政府和社会资本合作项目），在采购过程中符合要求的供应商（社会资本）只有</w:t>
      </w:r>
      <w:r>
        <w:rPr>
          <w:rFonts w:ascii="宋体" w:hAnsi="宋体" w:cs="宋体"/>
          <w:color w:val="auto"/>
          <w:sz w:val="24"/>
          <w:szCs w:val="24"/>
          <w:highlight w:val="none"/>
        </w:rPr>
        <w:t>2</w:t>
      </w:r>
      <w:r>
        <w:rPr>
          <w:rFonts w:hint="eastAsia" w:ascii="宋体" w:hAnsi="宋体" w:cs="宋体"/>
          <w:color w:val="auto"/>
          <w:sz w:val="24"/>
          <w:szCs w:val="24"/>
          <w:highlight w:val="none"/>
        </w:rPr>
        <w:t>家的，竞争性磋商采购活动可以继续进行。采购过程中符合要求的供应商（社会资本）只有</w:t>
      </w:r>
      <w:r>
        <w:rPr>
          <w:rFonts w:ascii="宋体" w:hAnsi="宋体" w:cs="宋体"/>
          <w:color w:val="auto"/>
          <w:sz w:val="24"/>
          <w:szCs w:val="24"/>
          <w:highlight w:val="none"/>
        </w:rPr>
        <w:t>1</w:t>
      </w:r>
      <w:r>
        <w:rPr>
          <w:rFonts w:hint="eastAsia" w:ascii="宋体" w:hAnsi="宋体" w:cs="宋体"/>
          <w:color w:val="auto"/>
          <w:sz w:val="24"/>
          <w:szCs w:val="24"/>
          <w:highlight w:val="none"/>
        </w:rPr>
        <w:t>家的，采购人（项目实施机构）或者采购代理机构应当终止竞争性磋商采购活动，发布项目终止公告并说明原因，重新开展采购活动。</w:t>
      </w:r>
    </w:p>
    <w:p w14:paraId="44D80786">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14:paraId="5F892DFB">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商务技术汇总后，供应商开启报价文件，磋商小组应当要求所有实质性响应的供应商在规定时间内提交最后报价。</w:t>
      </w:r>
    </w:p>
    <w:p w14:paraId="501AB7BD">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最后报价是供应商响应文件的有效组成部分，</w:t>
      </w:r>
      <w:r>
        <w:rPr>
          <w:rFonts w:hint="eastAsia" w:ascii="宋体" w:hAnsi="宋体" w:cs="宋体"/>
          <w:color w:val="auto"/>
          <w:sz w:val="24"/>
          <w:szCs w:val="24"/>
        </w:rPr>
        <w:t>若最后报价高于</w:t>
      </w:r>
      <w:r>
        <w:rPr>
          <w:rFonts w:hint="eastAsia" w:ascii="宋体" w:hAnsi="宋体" w:cs="宋体"/>
          <w:color w:val="auto"/>
          <w:sz w:val="24"/>
          <w:szCs w:val="24"/>
          <w:lang w:val="en-US" w:eastAsia="zh-CN"/>
        </w:rPr>
        <w:t>报价响应文件报价的</w:t>
      </w:r>
      <w:r>
        <w:rPr>
          <w:rFonts w:hint="eastAsia" w:ascii="宋体" w:hAnsi="宋体" w:cs="宋体"/>
          <w:color w:val="auto"/>
          <w:sz w:val="24"/>
          <w:szCs w:val="24"/>
          <w:highlight w:val="none"/>
        </w:rPr>
        <w:t>，则以第一次报价计入评分。</w:t>
      </w:r>
    </w:p>
    <w:p w14:paraId="7815D412">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已提交响应文件的供应商，在提交最后报价之前，若因磋商文件实质性变动导致供应商无法满足采购需求的，允许供应商退出磋商。</w:t>
      </w:r>
    </w:p>
    <w:p w14:paraId="2B7F18F5">
      <w:pPr>
        <w:pStyle w:val="7"/>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、电子评标</w:t>
      </w:r>
    </w:p>
    <w:p w14:paraId="76B135DB">
      <w:pPr>
        <w:pStyle w:val="7"/>
        <w:spacing w:line="360" w:lineRule="auto"/>
        <w:ind w:firstLine="0"/>
        <w:rPr>
          <w:rFonts w:ascii="宋体"/>
          <w:color w:val="auto"/>
          <w:sz w:val="24"/>
          <w:szCs w:val="24"/>
          <w:highlight w:val="none"/>
        </w:rPr>
      </w:pPr>
      <w:r>
        <w:rPr>
          <w:rFonts w:ascii="宋体" w:hAnsi="宋体" w:cs="宋体"/>
          <w:color w:val="auto"/>
          <w:sz w:val="24"/>
          <w:szCs w:val="24"/>
          <w:highlight w:val="none"/>
        </w:rPr>
        <w:t xml:space="preserve">    4.1</w:t>
      </w:r>
      <w:r>
        <w:rPr>
          <w:rFonts w:hint="eastAsia" w:ascii="宋体" w:hAnsi="宋体" w:cs="宋体"/>
          <w:color w:val="auto"/>
          <w:sz w:val="24"/>
          <w:szCs w:val="24"/>
          <w:highlight w:val="none"/>
        </w:rPr>
        <w:t>磋商活动由采购代理机构主持</w:t>
      </w:r>
      <w:r>
        <w:rPr>
          <w:rFonts w:ascii="宋体" w:cs="宋体"/>
          <w:color w:val="auto"/>
          <w:sz w:val="24"/>
          <w:szCs w:val="24"/>
          <w:highlight w:val="none"/>
        </w:rPr>
        <w:t>,</w:t>
      </w:r>
      <w:r>
        <w:rPr>
          <w:rFonts w:hint="eastAsia" w:ascii="宋体" w:hAnsi="宋体" w:cs="宋体"/>
          <w:color w:val="auto"/>
          <w:sz w:val="24"/>
          <w:szCs w:val="24"/>
          <w:highlight w:val="none"/>
        </w:rPr>
        <w:t>磋商响应截止时间后</w:t>
      </w:r>
      <w:r>
        <w:rPr>
          <w:rFonts w:ascii="宋体" w:cs="宋体"/>
          <w:color w:val="auto"/>
          <w:sz w:val="24"/>
          <w:szCs w:val="24"/>
          <w:highlight w:val="none"/>
        </w:rPr>
        <w:t>,</w:t>
      </w:r>
      <w:r>
        <w:rPr>
          <w:rFonts w:hint="eastAsia" w:ascii="宋体" w:hAnsi="宋体" w:cs="宋体"/>
          <w:color w:val="auto"/>
          <w:sz w:val="24"/>
          <w:szCs w:val="24"/>
          <w:highlight w:val="none"/>
        </w:rPr>
        <w:t>供应商登录政采云平台对电子响应文件进行在线解密；</w:t>
      </w:r>
    </w:p>
    <w:p w14:paraId="15F15ADC">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响应文件解密结束</w:t>
      </w:r>
      <w:r>
        <w:rPr>
          <w:rFonts w:ascii="宋体" w:cs="宋体"/>
          <w:color w:val="auto"/>
          <w:sz w:val="24"/>
          <w:szCs w:val="24"/>
          <w:highlight w:val="none"/>
        </w:rPr>
        <w:t>,</w:t>
      </w:r>
      <w:r>
        <w:rPr>
          <w:rFonts w:hint="eastAsia" w:ascii="宋体" w:hAnsi="宋体" w:cs="宋体"/>
          <w:color w:val="auto"/>
          <w:sz w:val="24"/>
          <w:szCs w:val="24"/>
          <w:highlight w:val="none"/>
        </w:rPr>
        <w:t>开启响应文件</w:t>
      </w:r>
      <w:r>
        <w:rPr>
          <w:rFonts w:ascii="宋体" w:cs="宋体"/>
          <w:color w:val="auto"/>
          <w:sz w:val="24"/>
          <w:szCs w:val="24"/>
          <w:highlight w:val="none"/>
        </w:rPr>
        <w:t>,</w:t>
      </w:r>
      <w:r>
        <w:rPr>
          <w:rFonts w:hint="eastAsia" w:ascii="宋体" w:hAnsi="宋体" w:cs="宋体"/>
          <w:color w:val="auto"/>
          <w:sz w:val="24"/>
          <w:szCs w:val="24"/>
          <w:highlight w:val="none"/>
        </w:rPr>
        <w:t>磋商小组对资格和商务技术响应文件进行资格审查和符合性审查；</w:t>
      </w:r>
    </w:p>
    <w:p w14:paraId="3D9C6BE9">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供应商按递交磋商响应文件的前后顺序决定磋商的顺序</w:t>
      </w:r>
      <w:r>
        <w:rPr>
          <w:rFonts w:ascii="宋体" w:cs="宋体"/>
          <w:color w:val="auto"/>
          <w:sz w:val="24"/>
          <w:szCs w:val="24"/>
          <w:highlight w:val="none"/>
        </w:rPr>
        <w:t>,</w:t>
      </w:r>
      <w:r>
        <w:rPr>
          <w:rFonts w:hint="eastAsia" w:ascii="宋体" w:hAnsi="宋体" w:cs="宋体"/>
          <w:color w:val="auto"/>
          <w:sz w:val="24"/>
          <w:szCs w:val="24"/>
          <w:highlight w:val="none"/>
        </w:rPr>
        <w:t>就价格、服务等认为需要磋商的内容进行磋商</w:t>
      </w:r>
      <w:r>
        <w:rPr>
          <w:rFonts w:ascii="宋体" w:cs="宋体"/>
          <w:color w:val="auto"/>
          <w:sz w:val="24"/>
          <w:szCs w:val="24"/>
          <w:highlight w:val="none"/>
        </w:rPr>
        <w:t>,</w:t>
      </w:r>
      <w:r>
        <w:rPr>
          <w:rFonts w:hint="eastAsia" w:ascii="宋体" w:hAnsi="宋体" w:cs="宋体"/>
          <w:color w:val="auto"/>
          <w:sz w:val="24"/>
          <w:szCs w:val="24"/>
          <w:highlight w:val="none"/>
        </w:rPr>
        <w:t>供应商逐家回答磋商小组的提问</w:t>
      </w:r>
      <w:r>
        <w:rPr>
          <w:rFonts w:ascii="宋体" w:cs="宋体"/>
          <w:color w:val="auto"/>
          <w:sz w:val="24"/>
          <w:szCs w:val="24"/>
          <w:highlight w:val="none"/>
        </w:rPr>
        <w:t>,</w:t>
      </w:r>
      <w:r>
        <w:rPr>
          <w:rFonts w:hint="eastAsia" w:ascii="宋体" w:hAnsi="宋体" w:cs="宋体"/>
          <w:color w:val="auto"/>
          <w:sz w:val="24"/>
          <w:szCs w:val="24"/>
          <w:highlight w:val="none"/>
        </w:rPr>
        <w:t>供应商作出最终承诺；</w:t>
      </w:r>
    </w:p>
    <w:p w14:paraId="2B0C47D2">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磋商小组对商务技术响应文件进行评审；</w:t>
      </w:r>
    </w:p>
    <w:p w14:paraId="2FF3D1CE">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4.5</w:t>
      </w:r>
      <w:r>
        <w:rPr>
          <w:rFonts w:hint="eastAsia" w:ascii="宋体" w:hAnsi="宋体" w:cs="宋体"/>
          <w:color w:val="auto"/>
          <w:sz w:val="24"/>
          <w:szCs w:val="24"/>
          <w:highlight w:val="none"/>
        </w:rPr>
        <w:t>商务技术汇总后，供应商开启报价文件，进行磋商二次报价（最终报价），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630AE368">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4.6</w:t>
      </w:r>
      <w:r>
        <w:rPr>
          <w:rFonts w:hint="eastAsia" w:ascii="宋体" w:hAnsi="宋体" w:cs="宋体"/>
          <w:color w:val="auto"/>
          <w:sz w:val="24"/>
          <w:szCs w:val="24"/>
          <w:highlight w:val="none"/>
        </w:rPr>
        <w:t>在系统上开启最终报价情况；</w:t>
      </w:r>
    </w:p>
    <w:p w14:paraId="6775C422">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4.7</w:t>
      </w:r>
      <w:r>
        <w:rPr>
          <w:rFonts w:hint="eastAsia" w:ascii="宋体" w:hAnsi="宋体" w:cs="宋体"/>
          <w:color w:val="auto"/>
          <w:sz w:val="24"/>
          <w:szCs w:val="24"/>
          <w:highlight w:val="none"/>
        </w:rPr>
        <w:t>磋商小组对报价情况进行评审；</w:t>
      </w:r>
    </w:p>
    <w:p w14:paraId="7299E527">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4.8</w:t>
      </w:r>
      <w:r>
        <w:rPr>
          <w:rFonts w:hint="eastAsia" w:ascii="宋体" w:hAnsi="宋体" w:cs="宋体"/>
          <w:color w:val="auto"/>
          <w:sz w:val="24"/>
          <w:szCs w:val="24"/>
          <w:highlight w:val="none"/>
        </w:rPr>
        <w:t>在系统上公开资格和商务技术评审结果；</w:t>
      </w:r>
    </w:p>
    <w:p w14:paraId="47FA0E63">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4.9</w:t>
      </w:r>
      <w:r>
        <w:rPr>
          <w:rFonts w:hint="eastAsia" w:ascii="宋体" w:hAnsi="宋体" w:cs="宋体"/>
          <w:color w:val="auto"/>
          <w:sz w:val="24"/>
          <w:szCs w:val="24"/>
          <w:highlight w:val="none"/>
        </w:rPr>
        <w:t>在系统上公布评审结果。</w:t>
      </w:r>
    </w:p>
    <w:p w14:paraId="3BB918F5">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4.10</w:t>
      </w:r>
      <w:r>
        <w:rPr>
          <w:rFonts w:hint="eastAsia" w:ascii="宋体" w:hAnsi="宋体" w:cs="宋体"/>
          <w:color w:val="auto"/>
          <w:sz w:val="24"/>
          <w:szCs w:val="24"/>
          <w:highlight w:val="none"/>
        </w:rPr>
        <w:t>开标会结束。</w:t>
      </w:r>
    </w:p>
    <w:p w14:paraId="7B298D92">
      <w:pPr>
        <w:snapToGrid w:val="0"/>
        <w:spacing w:line="360" w:lineRule="auto"/>
        <w:ind w:firstLine="480" w:firstLineChars="200"/>
        <w:rPr>
          <w:rFonts w:ascii="宋体"/>
          <w:b/>
          <w:bCs/>
          <w:color w:val="auto"/>
          <w:sz w:val="24"/>
          <w:szCs w:val="24"/>
          <w:highlight w:val="none"/>
        </w:rPr>
      </w:pPr>
      <w:r>
        <w:rPr>
          <w:rFonts w:hint="eastAsia" w:ascii="宋体" w:hAnsi="宋体" w:cs="宋体"/>
          <w:color w:val="auto"/>
          <w:sz w:val="24"/>
          <w:szCs w:val="24"/>
          <w:highlight w:val="none"/>
        </w:rPr>
        <w:t>特别说明</w:t>
      </w:r>
      <w:r>
        <w:rPr>
          <w:rFonts w:ascii="宋体" w:hAnsi="宋体" w:cs="宋体"/>
          <w:color w:val="auto"/>
          <w:sz w:val="24"/>
          <w:szCs w:val="24"/>
          <w:highlight w:val="none"/>
        </w:rPr>
        <w:t>:</w:t>
      </w:r>
      <w:r>
        <w:rPr>
          <w:rFonts w:hint="eastAsia" w:ascii="宋体" w:hAnsi="宋体" w:cs="宋体"/>
          <w:color w:val="auto"/>
          <w:sz w:val="24"/>
          <w:szCs w:val="24"/>
          <w:highlight w:val="none"/>
        </w:rPr>
        <w:t>政采云如对电子化开标及评审程序有调整的</w:t>
      </w:r>
      <w:r>
        <w:rPr>
          <w:rFonts w:ascii="宋体" w:cs="宋体"/>
          <w:color w:val="auto"/>
          <w:sz w:val="24"/>
          <w:szCs w:val="24"/>
          <w:highlight w:val="none"/>
        </w:rPr>
        <w:t>,</w:t>
      </w:r>
      <w:r>
        <w:rPr>
          <w:rFonts w:hint="eastAsia" w:ascii="宋体" w:hAnsi="宋体" w:cs="宋体"/>
          <w:color w:val="auto"/>
          <w:sz w:val="24"/>
          <w:szCs w:val="24"/>
          <w:highlight w:val="none"/>
        </w:rPr>
        <w:t>按调整后的程序操作。</w:t>
      </w:r>
    </w:p>
    <w:p w14:paraId="2FBE97B0">
      <w:pPr>
        <w:snapToGrid w:val="0"/>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ascii="宋体" w:cs="宋体"/>
          <w:b/>
          <w:bCs/>
          <w:color w:val="auto"/>
          <w:sz w:val="24"/>
          <w:szCs w:val="24"/>
          <w:highlight w:val="none"/>
        </w:rPr>
        <w:t>.</w:t>
      </w:r>
      <w:r>
        <w:rPr>
          <w:rFonts w:hint="eastAsia" w:ascii="宋体" w:hAnsi="宋体" w:cs="宋体"/>
          <w:b/>
          <w:bCs/>
          <w:color w:val="auto"/>
          <w:sz w:val="24"/>
          <w:szCs w:val="24"/>
          <w:highlight w:val="none"/>
        </w:rPr>
        <w:t>综合评分</w:t>
      </w:r>
    </w:p>
    <w:p w14:paraId="2C803C97">
      <w:pPr>
        <w:tabs>
          <w:tab w:val="left" w:pos="-1080"/>
          <w:tab w:val="left" w:pos="180"/>
          <w:tab w:val="left" w:pos="1080"/>
        </w:tabs>
        <w:snapToGrid w:val="0"/>
        <w:spacing w:line="360" w:lineRule="auto"/>
        <w:ind w:firstLine="480"/>
        <w:rPr>
          <w:rFonts w:ascii="宋体"/>
          <w:color w:val="auto"/>
          <w:kern w:val="0"/>
          <w:sz w:val="24"/>
          <w:szCs w:val="24"/>
          <w:highlight w:val="none"/>
        </w:rPr>
      </w:pPr>
      <w:r>
        <w:rPr>
          <w:rFonts w:ascii="宋体" w:hAnsi="宋体" w:cs="宋体"/>
          <w:color w:val="auto"/>
          <w:sz w:val="24"/>
          <w:szCs w:val="24"/>
          <w:highlight w:val="none"/>
        </w:rPr>
        <w:t>5.1</w:t>
      </w:r>
      <w:r>
        <w:rPr>
          <w:rFonts w:hint="eastAsia" w:ascii="宋体" w:hAnsi="宋体" w:cs="宋体"/>
          <w:color w:val="auto"/>
          <w:sz w:val="24"/>
          <w:szCs w:val="24"/>
          <w:highlight w:val="none"/>
        </w:rPr>
        <w:t>本评标办法采用综合评标法，由商务技术分和报价分合计组成，其中商务技术分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80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分、报价分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20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分；满分为</w:t>
      </w:r>
      <w:r>
        <w:rPr>
          <w:rFonts w:ascii="宋体" w:hAnsi="宋体" w:cs="宋体"/>
          <w:color w:val="auto"/>
          <w:sz w:val="24"/>
          <w:szCs w:val="24"/>
          <w:highlight w:val="none"/>
        </w:rPr>
        <w:t>100</w:t>
      </w:r>
      <w:r>
        <w:rPr>
          <w:rFonts w:hint="eastAsia" w:ascii="宋体" w:hAnsi="宋体" w:cs="宋体"/>
          <w:color w:val="auto"/>
          <w:sz w:val="24"/>
          <w:szCs w:val="24"/>
          <w:highlight w:val="none"/>
        </w:rPr>
        <w:t>分。</w:t>
      </w:r>
    </w:p>
    <w:p w14:paraId="29405C26">
      <w:pPr>
        <w:spacing w:line="360" w:lineRule="auto"/>
        <w:ind w:firstLine="480"/>
        <w:rPr>
          <w:rFonts w:ascii="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经初步评审合格的响应文件，磋商小组根据竞争性磋商文件确定的评审标准和方法，对其商务技术部分作进一步评审、比较、打分。</w:t>
      </w:r>
    </w:p>
    <w:p w14:paraId="775AAF48">
      <w:pPr>
        <w:pStyle w:val="14"/>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5.3</w:t>
      </w:r>
      <w:r>
        <w:rPr>
          <w:rFonts w:hint="eastAsia" w:hAnsi="宋体"/>
          <w:color w:val="auto"/>
          <w:sz w:val="24"/>
          <w:szCs w:val="24"/>
          <w:highlight w:val="none"/>
        </w:rPr>
        <w:t>磋商小组成员首先分别对每个供应商商务技术部分进行评审打分，然后计算出算术平均值（保留</w:t>
      </w:r>
      <w:r>
        <w:rPr>
          <w:rFonts w:hAnsi="宋体"/>
          <w:color w:val="auto"/>
          <w:sz w:val="24"/>
          <w:szCs w:val="24"/>
          <w:highlight w:val="none"/>
        </w:rPr>
        <w:t>2</w:t>
      </w:r>
      <w:r>
        <w:rPr>
          <w:rFonts w:hint="eastAsia" w:hAnsi="宋体"/>
          <w:color w:val="auto"/>
          <w:sz w:val="24"/>
          <w:szCs w:val="24"/>
          <w:highlight w:val="none"/>
        </w:rPr>
        <w:t>位小数），即为供应商的商务技术得分，后计算二次报价，计算公式：投标价格分</w:t>
      </w:r>
      <w:r>
        <w:rPr>
          <w:rFonts w:hAnsi="宋体"/>
          <w:color w:val="auto"/>
          <w:sz w:val="24"/>
          <w:szCs w:val="24"/>
          <w:highlight w:val="none"/>
        </w:rPr>
        <w:t>=(</w:t>
      </w:r>
      <w:r>
        <w:rPr>
          <w:rFonts w:hint="eastAsia" w:hAnsi="宋体"/>
          <w:color w:val="auto"/>
          <w:sz w:val="24"/>
          <w:szCs w:val="24"/>
          <w:highlight w:val="none"/>
        </w:rPr>
        <w:t>最佳报价</w:t>
      </w:r>
      <w:r>
        <w:rPr>
          <w:rFonts w:hAnsi="宋体"/>
          <w:color w:val="auto"/>
          <w:sz w:val="24"/>
          <w:szCs w:val="24"/>
          <w:highlight w:val="none"/>
        </w:rPr>
        <w:t>/</w:t>
      </w:r>
      <w:r>
        <w:rPr>
          <w:rFonts w:hint="eastAsia" w:hAnsi="宋体"/>
          <w:color w:val="auto"/>
          <w:sz w:val="24"/>
          <w:szCs w:val="24"/>
          <w:highlight w:val="none"/>
        </w:rPr>
        <w:t>投标报价</w:t>
      </w:r>
      <w:r>
        <w:rPr>
          <w:rFonts w:hAnsi="宋体"/>
          <w:color w:val="auto"/>
          <w:sz w:val="24"/>
          <w:szCs w:val="24"/>
          <w:highlight w:val="none"/>
        </w:rPr>
        <w:t>)*</w:t>
      </w:r>
      <w:r>
        <w:rPr>
          <w:rFonts w:hint="eastAsia" w:hAnsi="宋体"/>
          <w:color w:val="auto"/>
          <w:sz w:val="24"/>
          <w:szCs w:val="24"/>
          <w:highlight w:val="none"/>
        </w:rPr>
        <w:t>价格权值</w:t>
      </w:r>
      <w:r>
        <w:rPr>
          <w:rFonts w:hAnsi="宋体"/>
          <w:color w:val="auto"/>
          <w:sz w:val="24"/>
          <w:szCs w:val="24"/>
          <w:highlight w:val="none"/>
        </w:rPr>
        <w:t>*100</w:t>
      </w:r>
      <w:r>
        <w:rPr>
          <w:rFonts w:hint="eastAsia" w:hAnsi="宋体"/>
          <w:color w:val="auto"/>
          <w:sz w:val="24"/>
          <w:szCs w:val="24"/>
          <w:highlight w:val="none"/>
        </w:rPr>
        <w:t>。，综合得分</w:t>
      </w:r>
      <w:r>
        <w:rPr>
          <w:rFonts w:hAnsi="宋体"/>
          <w:color w:val="auto"/>
          <w:sz w:val="24"/>
          <w:szCs w:val="24"/>
          <w:highlight w:val="none"/>
        </w:rPr>
        <w:t>=</w:t>
      </w:r>
      <w:r>
        <w:rPr>
          <w:rFonts w:hint="eastAsia" w:hAnsi="宋体"/>
          <w:color w:val="auto"/>
          <w:sz w:val="24"/>
          <w:szCs w:val="24"/>
          <w:highlight w:val="none"/>
        </w:rPr>
        <w:t>商务技术分</w:t>
      </w:r>
      <w:r>
        <w:rPr>
          <w:rFonts w:hAnsi="宋体"/>
          <w:color w:val="auto"/>
          <w:sz w:val="24"/>
          <w:szCs w:val="24"/>
          <w:highlight w:val="none"/>
        </w:rPr>
        <w:t>+</w:t>
      </w:r>
      <w:r>
        <w:rPr>
          <w:rFonts w:hint="eastAsia" w:hAnsi="宋体"/>
          <w:color w:val="auto"/>
          <w:sz w:val="24"/>
          <w:szCs w:val="24"/>
          <w:highlight w:val="none"/>
        </w:rPr>
        <w:t>报价分，以综合得分（保留</w:t>
      </w:r>
      <w:r>
        <w:rPr>
          <w:rFonts w:hAnsi="宋体"/>
          <w:color w:val="auto"/>
          <w:sz w:val="24"/>
          <w:szCs w:val="24"/>
          <w:highlight w:val="none"/>
        </w:rPr>
        <w:t>2</w:t>
      </w:r>
      <w:r>
        <w:rPr>
          <w:rFonts w:hint="eastAsia" w:hAnsi="宋体"/>
          <w:color w:val="auto"/>
          <w:sz w:val="24"/>
          <w:szCs w:val="24"/>
          <w:highlight w:val="none"/>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3EBB8666">
      <w:pPr>
        <w:pStyle w:val="14"/>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6</w:t>
      </w:r>
      <w:r>
        <w:rPr>
          <w:rFonts w:hint="eastAsia" w:hAnsi="宋体"/>
          <w:b/>
          <w:bCs/>
          <w:color w:val="auto"/>
          <w:sz w:val="24"/>
          <w:szCs w:val="24"/>
          <w:highlight w:val="none"/>
        </w:rPr>
        <w:t>、修正原则</w:t>
      </w:r>
    </w:p>
    <w:p w14:paraId="7DDED8AE">
      <w:pPr>
        <w:pStyle w:val="60"/>
        <w:spacing w:before="0"/>
        <w:ind w:left="420" w:leftChars="200" w:firstLine="0" w:firstLineChars="0"/>
        <w:rPr>
          <w:rFonts w:ascii="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14:paraId="5C7FEB7A">
      <w:pPr>
        <w:pStyle w:val="60"/>
        <w:tabs>
          <w:tab w:val="left" w:pos="0"/>
        </w:tabs>
        <w:spacing w:before="0"/>
        <w:ind w:firstLine="480"/>
        <w:rPr>
          <w:rFonts w:ascii="宋体"/>
          <w:color w:val="auto"/>
          <w:highlight w:val="none"/>
          <w:lang w:val="zh-CN"/>
        </w:rPr>
      </w:pPr>
      <w:r>
        <w:rPr>
          <w:rFonts w:ascii="宋体" w:hAnsi="宋体" w:cs="宋体"/>
          <w:color w:val="auto"/>
          <w:highlight w:val="none"/>
        </w:rPr>
        <w:t>6.1</w:t>
      </w:r>
      <w:r>
        <w:rPr>
          <w:rFonts w:hint="eastAsia" w:ascii="宋体" w:hAnsi="宋体" w:cs="宋体"/>
          <w:color w:val="auto"/>
          <w:highlight w:val="none"/>
        </w:rPr>
        <w:t>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14:paraId="7BC15E84">
      <w:pPr>
        <w:pStyle w:val="60"/>
        <w:tabs>
          <w:tab w:val="left" w:pos="0"/>
        </w:tabs>
        <w:spacing w:before="0"/>
        <w:ind w:firstLine="480"/>
        <w:rPr>
          <w:rFonts w:ascii="宋体"/>
          <w:color w:val="auto"/>
          <w:highlight w:val="none"/>
          <w:lang w:val="zh-CN"/>
        </w:rPr>
      </w:pPr>
      <w:r>
        <w:rPr>
          <w:rFonts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14:paraId="55A33132">
      <w:pPr>
        <w:pStyle w:val="60"/>
        <w:tabs>
          <w:tab w:val="left" w:pos="0"/>
        </w:tabs>
        <w:spacing w:before="0"/>
        <w:ind w:firstLine="480"/>
        <w:rPr>
          <w:rFonts w:ascii="宋体"/>
          <w:color w:val="auto"/>
          <w:highlight w:val="none"/>
          <w:lang w:val="zh-CN"/>
        </w:rPr>
      </w:pPr>
      <w:r>
        <w:rPr>
          <w:rFonts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14:paraId="3E176517">
      <w:pPr>
        <w:pStyle w:val="60"/>
        <w:tabs>
          <w:tab w:val="left" w:pos="0"/>
        </w:tabs>
        <w:spacing w:before="0"/>
        <w:ind w:firstLine="480"/>
        <w:rPr>
          <w:rFonts w:ascii="宋体"/>
          <w:color w:val="auto"/>
          <w:highlight w:val="none"/>
          <w:lang w:val="zh-CN"/>
        </w:rPr>
      </w:pPr>
      <w:r>
        <w:rPr>
          <w:rFonts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14:paraId="2F7E18F5">
      <w:pPr>
        <w:pStyle w:val="60"/>
        <w:spacing w:before="0"/>
        <w:ind w:firstLine="480"/>
        <w:rPr>
          <w:rFonts w:ascii="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w:t>
      </w:r>
      <w:r>
        <w:rPr>
          <w:rFonts w:ascii="宋体" w:hAnsi="宋体" w:cs="宋体"/>
          <w:color w:val="auto"/>
          <w:highlight w:val="none"/>
          <w:lang w:val="zh-CN"/>
        </w:rPr>
        <w:t>87</w:t>
      </w:r>
      <w:r>
        <w:rPr>
          <w:rFonts w:hint="eastAsia" w:ascii="宋体" w:hAnsi="宋体" w:cs="宋体"/>
          <w:color w:val="auto"/>
          <w:highlight w:val="none"/>
          <w:lang w:val="zh-CN"/>
        </w:rPr>
        <w:t>号令</w:t>
      </w:r>
      <w:r>
        <w:rPr>
          <w:rFonts w:ascii="宋体" w:hAnsi="宋体" w:cs="宋体"/>
          <w:color w:val="auto"/>
          <w:highlight w:val="none"/>
          <w:lang w:val="zh-CN"/>
        </w:rPr>
        <w:t xml:space="preserve"> </w:t>
      </w:r>
      <w:r>
        <w:rPr>
          <w:rFonts w:hint="eastAsia" w:ascii="宋体" w:hAnsi="宋体" w:cs="宋体"/>
          <w:color w:val="auto"/>
          <w:highlight w:val="none"/>
          <w:lang w:val="zh-CN"/>
        </w:rPr>
        <w:t>《政府采购产品和服务招标投标管理办法》第五十一条第二款的规定经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14:paraId="055A85F1">
      <w:pPr>
        <w:pStyle w:val="14"/>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7</w:t>
      </w:r>
      <w:r>
        <w:rPr>
          <w:rFonts w:hint="eastAsia" w:hAnsi="宋体"/>
          <w:b/>
          <w:bCs/>
          <w:color w:val="auto"/>
          <w:sz w:val="24"/>
          <w:szCs w:val="24"/>
          <w:highlight w:val="none"/>
        </w:rPr>
        <w:t>、响应文件的澄清</w:t>
      </w:r>
    </w:p>
    <w:p w14:paraId="0A04C03D">
      <w:pPr>
        <w:pStyle w:val="60"/>
        <w:tabs>
          <w:tab w:val="left" w:pos="0"/>
        </w:tabs>
        <w:spacing w:before="0"/>
        <w:ind w:firstLine="480"/>
        <w:rPr>
          <w:rFonts w:ascii="宋体"/>
          <w:color w:val="auto"/>
          <w:highlight w:val="none"/>
          <w:lang w:val="zh-CN"/>
        </w:rPr>
      </w:pPr>
      <w:r>
        <w:rPr>
          <w:rFonts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487C4C4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14:paraId="6FCD04C3">
      <w:pPr>
        <w:pStyle w:val="4"/>
        <w:numPr>
          <w:ilvl w:val="0"/>
          <w:numId w:val="16"/>
        </w:numPr>
        <w:jc w:val="center"/>
        <w:rPr>
          <w:rFonts w:cs="Times New Roman"/>
          <w:color w:val="auto"/>
          <w:highlight w:val="none"/>
        </w:rPr>
      </w:pPr>
      <w:r>
        <w:rPr>
          <w:color w:val="auto"/>
          <w:highlight w:val="none"/>
        </w:rPr>
        <w:t xml:space="preserve"> </w:t>
      </w:r>
      <w:bookmarkStart w:id="76" w:name="_Toc13661"/>
      <w:bookmarkStart w:id="77" w:name="_Toc12816"/>
      <w:r>
        <w:rPr>
          <w:rFonts w:hint="eastAsia"/>
          <w:color w:val="auto"/>
          <w:highlight w:val="none"/>
        </w:rPr>
        <w:t>注意事项</w:t>
      </w:r>
      <w:bookmarkEnd w:id="76"/>
      <w:bookmarkEnd w:id="77"/>
    </w:p>
    <w:p w14:paraId="08CE106C">
      <w:pPr>
        <w:pStyle w:val="7"/>
        <w:spacing w:line="360" w:lineRule="auto"/>
        <w:rPr>
          <w:b/>
          <w:bCs/>
          <w:color w:val="auto"/>
          <w:sz w:val="24"/>
          <w:szCs w:val="24"/>
          <w:highlight w:val="none"/>
        </w:r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0B21F24B">
      <w:pPr>
        <w:pStyle w:val="4"/>
        <w:numPr>
          <w:ilvl w:val="0"/>
          <w:numId w:val="17"/>
        </w:numPr>
        <w:jc w:val="center"/>
        <w:rPr>
          <w:rFonts w:cs="Times New Roman"/>
          <w:color w:val="auto"/>
          <w:highlight w:val="none"/>
        </w:rPr>
      </w:pPr>
      <w:r>
        <w:rPr>
          <w:color w:val="auto"/>
          <w:highlight w:val="none"/>
        </w:rPr>
        <w:t xml:space="preserve"> </w:t>
      </w:r>
      <w:bookmarkStart w:id="78" w:name="_Toc23103"/>
      <w:bookmarkStart w:id="79" w:name="_Toc13782"/>
      <w:r>
        <w:rPr>
          <w:rFonts w:hint="eastAsia"/>
          <w:color w:val="auto"/>
          <w:highlight w:val="none"/>
        </w:rPr>
        <w:t>评分细则</w:t>
      </w:r>
      <w:bookmarkEnd w:id="78"/>
      <w:bookmarkEnd w:id="79"/>
    </w:p>
    <w:p w14:paraId="6E8B5FD2">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hint="eastAsia" w:ascii="宋体" w:hAnsi="宋体" w:cs="宋体"/>
          <w:b/>
          <w:bCs/>
          <w:color w:val="auto"/>
          <w:sz w:val="24"/>
          <w:szCs w:val="24"/>
          <w:highlight w:val="none"/>
          <w:u w:val="single"/>
        </w:rPr>
        <w:t>20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2415E415">
      <w:pPr>
        <w:spacing w:line="360" w:lineRule="auto"/>
        <w:ind w:firstLine="482" w:firstLineChars="200"/>
        <w:rPr>
          <w:rFonts w:ascii="宋体" w:hAnsi="宋体"/>
          <w:b/>
          <w:bCs/>
          <w:sz w:val="24"/>
          <w:highlight w:val="none"/>
          <w:u w:val="single"/>
        </w:rPr>
      </w:pP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w:t>
      </w:r>
      <w:r>
        <w:rPr>
          <w:rFonts w:ascii="宋体" w:hAnsi="宋体" w:cs="宋体"/>
          <w:sz w:val="24"/>
          <w:highlight w:val="none"/>
        </w:rPr>
        <w:t>本次招标最高限价规定如下：</w:t>
      </w:r>
      <w:r>
        <w:rPr>
          <w:rFonts w:hint="eastAsia" w:ascii="宋体" w:hAnsi="宋体" w:cs="宋体"/>
          <w:sz w:val="24"/>
          <w:szCs w:val="24"/>
          <w:highlight w:val="none"/>
        </w:rPr>
        <w:t>本项目投标报价的最高限价</w:t>
      </w:r>
      <w:r>
        <w:rPr>
          <w:rFonts w:hint="eastAsia" w:ascii="宋体" w:hAnsi="宋体" w:cs="宋体"/>
          <w:b/>
          <w:bCs/>
          <w:sz w:val="24"/>
          <w:szCs w:val="24"/>
          <w:highlight w:val="none"/>
          <w:u w:val="single"/>
        </w:rPr>
        <w:t>为人民币</w:t>
      </w:r>
      <w:r>
        <w:rPr>
          <w:rFonts w:hint="eastAsia" w:ascii="宋体" w:hAnsi="宋体" w:cs="宋体"/>
          <w:b/>
          <w:bCs/>
          <w:sz w:val="24"/>
          <w:szCs w:val="24"/>
          <w:highlight w:val="none"/>
          <w:u w:val="single"/>
          <w:lang w:val="en-US" w:eastAsia="zh-CN"/>
        </w:rPr>
        <w:t>陆拾万元</w:t>
      </w:r>
      <w:r>
        <w:rPr>
          <w:rFonts w:hint="eastAsia" w:ascii="宋体" w:hAnsi="宋体"/>
          <w:b/>
          <w:bCs/>
          <w:sz w:val="24"/>
          <w:highlight w:val="none"/>
          <w:u w:val="single"/>
        </w:rPr>
        <w:t>整（小写</w:t>
      </w:r>
      <w:r>
        <w:rPr>
          <w:rFonts w:hint="eastAsia" w:ascii="宋体" w:hAnsi="宋体"/>
          <w:b/>
          <w:bCs/>
          <w:sz w:val="24"/>
          <w:highlight w:val="none"/>
          <w:u w:val="single"/>
          <w:lang w:val="en-US" w:eastAsia="zh-CN"/>
        </w:rPr>
        <w:t>:600000</w:t>
      </w:r>
      <w:r>
        <w:rPr>
          <w:rFonts w:hint="eastAsia" w:ascii="宋体" w:hAnsi="宋体"/>
          <w:b/>
          <w:bCs/>
          <w:sz w:val="24"/>
          <w:highlight w:val="none"/>
          <w:u w:val="single"/>
        </w:rPr>
        <w:t xml:space="preserve">.00 </w:t>
      </w:r>
      <w:r>
        <w:rPr>
          <w:rFonts w:ascii="宋体" w:hAnsi="宋体"/>
          <w:b/>
          <w:bCs/>
          <w:sz w:val="24"/>
          <w:highlight w:val="none"/>
          <w:u w:val="single"/>
        </w:rPr>
        <w:t>元</w:t>
      </w:r>
      <w:r>
        <w:rPr>
          <w:rFonts w:hint="eastAsia" w:ascii="宋体" w:hAnsi="宋体"/>
          <w:b/>
          <w:bCs/>
          <w:sz w:val="24"/>
          <w:highlight w:val="none"/>
          <w:u w:val="single"/>
        </w:rPr>
        <w:t>）。</w:t>
      </w:r>
    </w:p>
    <w:p w14:paraId="3E9FCD06">
      <w:pPr>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sz w:val="24"/>
        </w:rPr>
        <w:t>最高限价由采购人根据市场价格的调查设定，并且不高于本项目财政预算。</w:t>
      </w:r>
    </w:p>
    <w:p w14:paraId="6A64C14B">
      <w:pPr>
        <w:spacing w:line="360" w:lineRule="auto"/>
        <w:ind w:firstLine="480" w:firstLineChars="200"/>
        <w:rPr>
          <w:rFonts w:hint="eastAsia" w:ascii="宋体" w:hAnsi="宋体"/>
          <w:sz w:val="24"/>
          <w:szCs w:val="21"/>
        </w:rPr>
      </w:pPr>
      <w:r>
        <w:rPr>
          <w:rFonts w:hint="eastAsia" w:ascii="宋体" w:hAnsi="宋体"/>
          <w:sz w:val="24"/>
          <w:szCs w:val="21"/>
        </w:rPr>
        <w:t>2.投标人的报价在最高限价内的，为有效报价。</w:t>
      </w:r>
    </w:p>
    <w:p w14:paraId="6BC9D479">
      <w:pPr>
        <w:spacing w:line="360" w:lineRule="auto"/>
        <w:ind w:firstLine="480" w:firstLineChars="200"/>
        <w:rPr>
          <w:rFonts w:hint="eastAsia" w:ascii="宋体" w:hAnsi="宋体"/>
          <w:sz w:val="24"/>
          <w:szCs w:val="21"/>
        </w:rPr>
      </w:pPr>
      <w:r>
        <w:rPr>
          <w:rFonts w:hint="eastAsia" w:ascii="宋体" w:hAnsi="宋体"/>
          <w:sz w:val="24"/>
          <w:szCs w:val="21"/>
        </w:rPr>
        <w:t>3.本次评标设有最佳报价。最佳报价确定方式：根据所有入围投标人有效报价中的最低报价作为最佳报价。</w:t>
      </w:r>
    </w:p>
    <w:p w14:paraId="0C9CB990">
      <w:pPr>
        <w:spacing w:line="360" w:lineRule="auto"/>
        <w:ind w:firstLine="480" w:firstLineChars="200"/>
        <w:rPr>
          <w:rFonts w:hint="eastAsia" w:ascii="宋体" w:hAnsi="宋体"/>
          <w:sz w:val="24"/>
          <w:szCs w:val="21"/>
        </w:rPr>
      </w:pPr>
      <w:r>
        <w:rPr>
          <w:rFonts w:hint="eastAsia" w:ascii="宋体" w:hAnsi="宋体"/>
          <w:sz w:val="24"/>
          <w:szCs w:val="21"/>
        </w:rPr>
        <w:t>4.最佳报价者的报价分为满分，其他投标人的有效报价与最佳报价相比，按下列方法计算其报价分：</w:t>
      </w:r>
    </w:p>
    <w:p w14:paraId="4CA9224C">
      <w:pPr>
        <w:spacing w:line="360" w:lineRule="auto"/>
        <w:ind w:firstLine="480" w:firstLineChars="200"/>
        <w:rPr>
          <w:rFonts w:hint="eastAsia" w:ascii="宋体" w:hAnsi="宋体"/>
          <w:sz w:val="24"/>
          <w:szCs w:val="21"/>
        </w:rPr>
      </w:pPr>
      <w:r>
        <w:rPr>
          <w:rFonts w:hint="eastAsia" w:ascii="宋体" w:hAnsi="宋体"/>
          <w:sz w:val="24"/>
          <w:szCs w:val="21"/>
        </w:rPr>
        <w:t>投标价格分=(最佳报价/投标报价)*价格权值*100。</w:t>
      </w:r>
    </w:p>
    <w:p w14:paraId="6EC07DB7">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w:t>
      </w:r>
      <w:r>
        <w:rPr>
          <w:rFonts w:hint="eastAsia" w:ascii="宋体" w:hAnsi="宋体" w:cs="宋体"/>
          <w:color w:val="auto"/>
          <w:sz w:val="24"/>
          <w:szCs w:val="24"/>
          <w:highlight w:val="none"/>
          <w:lang w:val="en-US" w:eastAsia="zh-CN"/>
        </w:rPr>
        <w:t>作</w:t>
      </w:r>
      <w:r>
        <w:rPr>
          <w:rFonts w:hint="eastAsia" w:ascii="宋体" w:hAnsi="宋体" w:cs="宋体"/>
          <w:color w:val="auto"/>
          <w:sz w:val="24"/>
          <w:szCs w:val="24"/>
          <w:highlight w:val="none"/>
        </w:rPr>
        <w:t>无效标处理。</w:t>
      </w:r>
    </w:p>
    <w:p w14:paraId="2DB7E397">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w:t>
      </w:r>
      <w:r>
        <w:rPr>
          <w:rFonts w:ascii="宋体" w:cs="宋体"/>
          <w:color w:val="auto"/>
          <w:sz w:val="24"/>
          <w:szCs w:val="24"/>
          <w:highlight w:val="none"/>
        </w:rPr>
        <w:t>,</w:t>
      </w:r>
      <w:r>
        <w:rPr>
          <w:rFonts w:hint="eastAsia" w:ascii="宋体" w:hAnsi="宋体" w:cs="宋体"/>
          <w:color w:val="auto"/>
          <w:sz w:val="24"/>
          <w:szCs w:val="24"/>
          <w:highlight w:val="none"/>
        </w:rPr>
        <w:t>如出现则</w:t>
      </w:r>
      <w:r>
        <w:rPr>
          <w:rFonts w:hint="eastAsia" w:ascii="宋体" w:hAnsi="宋体" w:cs="宋体"/>
          <w:color w:val="auto"/>
          <w:sz w:val="24"/>
          <w:szCs w:val="24"/>
          <w:highlight w:val="none"/>
          <w:lang w:val="en-US" w:eastAsia="zh-CN"/>
        </w:rPr>
        <w:t>作</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14:paraId="7246104E">
      <w:pPr>
        <w:pStyle w:val="3"/>
        <w:spacing w:line="360" w:lineRule="auto"/>
        <w:rPr>
          <w:rFonts w:hint="eastAsia" w:ascii="宋体" w:hAnsi="宋体" w:eastAsia="宋体" w:cs="宋体"/>
          <w:b w:val="0"/>
          <w:bCs w:val="0"/>
          <w:color w:val="auto"/>
          <w:kern w:val="2"/>
          <w:sz w:val="24"/>
          <w:szCs w:val="24"/>
          <w:highlight w:val="none"/>
          <w:lang w:val="en-US" w:eastAsia="zh-CN" w:bidi="ar-SA"/>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宋体" w:hAnsi="宋体" w:eastAsia="宋体" w:cs="宋体"/>
          <w:b w:val="0"/>
          <w:bCs w:val="0"/>
          <w:color w:val="auto"/>
          <w:kern w:val="2"/>
          <w:sz w:val="24"/>
          <w:szCs w:val="24"/>
          <w:highlight w:val="none"/>
          <w:lang w:val="en-US" w:eastAsia="zh-CN" w:bidi="ar-SA"/>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77D16AA4">
      <w:pPr>
        <w:numPr>
          <w:ilvl w:val="0"/>
          <w:numId w:val="18"/>
        </w:numPr>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商务技术文件评标内容及标准（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80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68BC52D3">
      <w:pPr>
        <w:pStyle w:val="4"/>
        <w:rPr>
          <w:rFonts w:hint="eastAsia"/>
        </w:rPr>
      </w:pPr>
    </w:p>
    <w:p w14:paraId="2509FA62">
      <w:pPr>
        <w:numPr>
          <w:ilvl w:val="0"/>
          <w:numId w:val="19"/>
        </w:numPr>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评分细则</w:t>
      </w:r>
    </w:p>
    <w:tbl>
      <w:tblPr>
        <w:tblStyle w:val="29"/>
        <w:tblW w:w="5069" w:type="pct"/>
        <w:jc w:val="center"/>
        <w:tblLayout w:type="fixed"/>
        <w:tblCellMar>
          <w:top w:w="0" w:type="dxa"/>
          <w:left w:w="108" w:type="dxa"/>
          <w:bottom w:w="0" w:type="dxa"/>
          <w:right w:w="108" w:type="dxa"/>
        </w:tblCellMar>
      </w:tblPr>
      <w:tblGrid>
        <w:gridCol w:w="767"/>
        <w:gridCol w:w="1490"/>
        <w:gridCol w:w="5115"/>
        <w:gridCol w:w="1268"/>
      </w:tblGrid>
      <w:tr w14:paraId="6EE48A6C">
        <w:tblPrEx>
          <w:tblCellMar>
            <w:top w:w="0" w:type="dxa"/>
            <w:left w:w="108" w:type="dxa"/>
            <w:bottom w:w="0" w:type="dxa"/>
            <w:right w:w="108" w:type="dxa"/>
          </w:tblCellMar>
        </w:tblPrEx>
        <w:trPr>
          <w:trHeight w:val="721" w:hRule="atLeast"/>
          <w:jc w:val="center"/>
        </w:trPr>
        <w:tc>
          <w:tcPr>
            <w:tcW w:w="443" w:type="pct"/>
            <w:tcBorders>
              <w:top w:val="single" w:color="auto" w:sz="4" w:space="0"/>
              <w:left w:val="single" w:color="auto" w:sz="4" w:space="0"/>
              <w:bottom w:val="single" w:color="auto" w:sz="4" w:space="0"/>
              <w:right w:val="single" w:color="auto" w:sz="4" w:space="0"/>
            </w:tcBorders>
            <w:noWrap w:val="0"/>
            <w:vAlign w:val="center"/>
          </w:tcPr>
          <w:p w14:paraId="3E55BFC5">
            <w:pPr>
              <w:widowControl/>
              <w:jc w:val="center"/>
              <w:textAlignment w:val="center"/>
              <w:rPr>
                <w:rFonts w:hint="eastAsia" w:ascii="宋体" w:hAnsi="宋体" w:eastAsia="宋体" w:cs="宋体"/>
                <w:b/>
                <w:snapToGrid/>
                <w:color w:val="auto"/>
                <w:kern w:val="2"/>
                <w:sz w:val="24"/>
                <w:szCs w:val="24"/>
                <w:highlight w:val="none"/>
                <w:lang w:bidi="ar"/>
              </w:rPr>
            </w:pPr>
            <w:r>
              <w:rPr>
                <w:rFonts w:hint="eastAsia" w:ascii="宋体" w:hAnsi="宋体" w:eastAsia="宋体" w:cs="宋体"/>
                <w:b/>
                <w:snapToGrid/>
                <w:color w:val="auto"/>
                <w:kern w:val="2"/>
                <w:sz w:val="24"/>
                <w:szCs w:val="24"/>
                <w:highlight w:val="none"/>
                <w:lang w:bidi="ar"/>
              </w:rPr>
              <w:t>序号</w:t>
            </w:r>
          </w:p>
        </w:tc>
        <w:tc>
          <w:tcPr>
            <w:tcW w:w="3822" w:type="pct"/>
            <w:gridSpan w:val="2"/>
            <w:tcBorders>
              <w:top w:val="single" w:color="auto" w:sz="4" w:space="0"/>
              <w:left w:val="single" w:color="auto" w:sz="4" w:space="0"/>
              <w:bottom w:val="single" w:color="auto" w:sz="4" w:space="0"/>
              <w:right w:val="single" w:color="auto" w:sz="4" w:space="0"/>
            </w:tcBorders>
            <w:noWrap w:val="0"/>
            <w:vAlign w:val="center"/>
          </w:tcPr>
          <w:p w14:paraId="33B7EFE5">
            <w:pPr>
              <w:widowControl/>
              <w:jc w:val="center"/>
              <w:textAlignment w:val="center"/>
              <w:rPr>
                <w:rFonts w:hint="eastAsia" w:ascii="宋体" w:hAnsi="宋体" w:eastAsia="宋体" w:cs="宋体"/>
                <w:b/>
                <w:snapToGrid/>
                <w:color w:val="auto"/>
                <w:kern w:val="2"/>
                <w:sz w:val="24"/>
                <w:szCs w:val="24"/>
                <w:highlight w:val="none"/>
                <w:lang w:bidi="ar"/>
              </w:rPr>
            </w:pPr>
            <w:r>
              <w:rPr>
                <w:rFonts w:hint="eastAsia" w:ascii="宋体" w:hAnsi="宋体" w:eastAsia="宋体" w:cs="宋体"/>
                <w:b/>
                <w:snapToGrid/>
                <w:color w:val="auto"/>
                <w:kern w:val="2"/>
                <w:sz w:val="24"/>
                <w:szCs w:val="24"/>
                <w:highlight w:val="none"/>
                <w:lang w:bidi="ar"/>
              </w:rPr>
              <w:t>评分内容和标准</w:t>
            </w:r>
          </w:p>
        </w:tc>
        <w:tc>
          <w:tcPr>
            <w:tcW w:w="733" w:type="pct"/>
            <w:tcBorders>
              <w:top w:val="single" w:color="auto" w:sz="4" w:space="0"/>
              <w:left w:val="single" w:color="auto" w:sz="4" w:space="0"/>
              <w:bottom w:val="single" w:color="000000" w:sz="4" w:space="0"/>
              <w:right w:val="single" w:color="auto" w:sz="4" w:space="0"/>
            </w:tcBorders>
            <w:noWrap w:val="0"/>
            <w:vAlign w:val="center"/>
          </w:tcPr>
          <w:p w14:paraId="700C2B37">
            <w:pPr>
              <w:widowControl/>
              <w:jc w:val="center"/>
              <w:textAlignment w:val="center"/>
              <w:rPr>
                <w:rFonts w:hint="eastAsia" w:ascii="宋体" w:hAnsi="宋体" w:eastAsia="宋体" w:cs="宋体"/>
                <w:b/>
                <w:snapToGrid/>
                <w:color w:val="auto"/>
                <w:kern w:val="2"/>
                <w:sz w:val="24"/>
                <w:szCs w:val="24"/>
                <w:highlight w:val="none"/>
                <w:lang w:bidi="ar"/>
              </w:rPr>
            </w:pPr>
            <w:r>
              <w:rPr>
                <w:rFonts w:hint="eastAsia" w:ascii="宋体" w:hAnsi="宋体" w:eastAsia="宋体" w:cs="宋体"/>
                <w:b/>
                <w:snapToGrid/>
                <w:color w:val="auto"/>
                <w:kern w:val="2"/>
                <w:sz w:val="24"/>
                <w:szCs w:val="24"/>
                <w:highlight w:val="none"/>
                <w:lang w:bidi="ar"/>
              </w:rPr>
              <w:t>分值</w:t>
            </w:r>
          </w:p>
        </w:tc>
      </w:tr>
      <w:tr w14:paraId="0F2D9B71">
        <w:tblPrEx>
          <w:tblCellMar>
            <w:top w:w="0" w:type="dxa"/>
            <w:left w:w="108" w:type="dxa"/>
            <w:bottom w:w="0" w:type="dxa"/>
            <w:right w:w="108" w:type="dxa"/>
          </w:tblCellMar>
        </w:tblPrEx>
        <w:trPr>
          <w:trHeight w:val="659" w:hRule="atLeast"/>
          <w:jc w:val="center"/>
        </w:trPr>
        <w:tc>
          <w:tcPr>
            <w:tcW w:w="443" w:type="pct"/>
            <w:vMerge w:val="restart"/>
            <w:tcBorders>
              <w:top w:val="single" w:color="auto" w:sz="4" w:space="0"/>
              <w:left w:val="single" w:color="auto" w:sz="4" w:space="0"/>
              <w:right w:val="single" w:color="auto" w:sz="4" w:space="0"/>
            </w:tcBorders>
            <w:noWrap w:val="0"/>
            <w:vAlign w:val="center"/>
          </w:tcPr>
          <w:p w14:paraId="4FE3619E">
            <w:pPr>
              <w:widowControl/>
              <w:spacing w:line="312" w:lineRule="auto"/>
              <w:jc w:val="center"/>
              <w:rPr>
                <w:rFonts w:hint="default" w:ascii="宋体" w:hAnsi="宋体" w:eastAsia="宋体" w:cs="仿宋"/>
                <w:szCs w:val="21"/>
                <w:lang w:val="en-US" w:eastAsia="zh-CN"/>
              </w:rPr>
            </w:pPr>
            <w:r>
              <w:rPr>
                <w:rFonts w:hint="eastAsia" w:ascii="宋体" w:hAnsi="宋体" w:eastAsia="宋体" w:cs="宋体"/>
                <w:snapToGrid/>
                <w:color w:val="auto"/>
                <w:kern w:val="2"/>
                <w:sz w:val="24"/>
                <w:szCs w:val="21"/>
                <w:highlight w:val="none"/>
                <w:lang w:val="en-US" w:eastAsia="zh-CN"/>
              </w:rPr>
              <w:t>技术分</w:t>
            </w:r>
          </w:p>
        </w:tc>
        <w:tc>
          <w:tcPr>
            <w:tcW w:w="862" w:type="pct"/>
            <w:vMerge w:val="restart"/>
            <w:tcBorders>
              <w:top w:val="single" w:color="auto" w:sz="4" w:space="0"/>
              <w:left w:val="single" w:color="auto" w:sz="4" w:space="0"/>
              <w:right w:val="single" w:color="auto" w:sz="4" w:space="0"/>
            </w:tcBorders>
            <w:noWrap w:val="0"/>
            <w:vAlign w:val="center"/>
          </w:tcPr>
          <w:p w14:paraId="7C6794F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项目理解</w:t>
            </w:r>
          </w:p>
        </w:tc>
        <w:tc>
          <w:tcPr>
            <w:tcW w:w="2960" w:type="pct"/>
            <w:tcBorders>
              <w:top w:val="single" w:color="auto" w:sz="4" w:space="0"/>
              <w:left w:val="single" w:color="auto" w:sz="4" w:space="0"/>
              <w:bottom w:val="single" w:color="auto" w:sz="4" w:space="0"/>
              <w:right w:val="single" w:color="000000" w:sz="4" w:space="0"/>
            </w:tcBorders>
            <w:noWrap w:val="0"/>
            <w:vAlign w:val="center"/>
          </w:tcPr>
          <w:p w14:paraId="758C86C0">
            <w:pPr>
              <w:keepNext w:val="0"/>
              <w:keepLines w:val="0"/>
              <w:widowControl/>
              <w:suppressLineNumbers w:val="0"/>
              <w:ind w:firstLine="480" w:firstLineChars="200"/>
              <w:jc w:val="both"/>
              <w:textAlignment w:val="center"/>
              <w:rPr>
                <w:rStyle w:val="95"/>
                <w:rFonts w:hint="eastAsia" w:ascii="宋体" w:hAnsi="宋体" w:eastAsia="宋体" w:cs="宋体"/>
                <w:color w:val="auto"/>
                <w:highlight w:val="none"/>
                <w:lang w:val="en-US" w:eastAsia="zh-CN" w:bidi="ar"/>
              </w:rPr>
            </w:pPr>
            <w:r>
              <w:rPr>
                <w:rStyle w:val="95"/>
                <w:rFonts w:hint="eastAsia" w:ascii="宋体" w:hAnsi="宋体" w:eastAsia="宋体" w:cs="宋体"/>
                <w:color w:val="auto"/>
                <w:highlight w:val="none"/>
                <w:lang w:val="en-US" w:eastAsia="zh-CN" w:bidi="ar"/>
              </w:rPr>
              <w:t>根据投标人对项目的理解是否合理，需从丰惠古城的历史文化、人文风情以及对本项目的创建理解、整体调研、总体定位等方面根据方案的合理性、理解程度等因素进行综合评分。</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4D8420D9">
            <w:pPr>
              <w:pStyle w:val="4"/>
              <w:jc w:val="center"/>
              <w:rPr>
                <w:rFonts w:hint="default"/>
                <w:lang w:val="en-US" w:eastAsia="zh-CN"/>
              </w:rPr>
            </w:pPr>
            <w:r>
              <w:rPr>
                <w:rStyle w:val="95"/>
                <w:rFonts w:hint="eastAsia"/>
                <w:b w:val="0"/>
                <w:bCs w:val="0"/>
                <w:color w:val="auto"/>
                <w:kern w:val="2"/>
                <w:highlight w:val="none"/>
                <w:lang w:val="en-US" w:eastAsia="zh-CN" w:bidi="ar"/>
              </w:rPr>
              <w:t>5</w:t>
            </w:r>
          </w:p>
        </w:tc>
      </w:tr>
      <w:tr w14:paraId="7F2C708F">
        <w:tblPrEx>
          <w:tblCellMar>
            <w:top w:w="0" w:type="dxa"/>
            <w:left w:w="108" w:type="dxa"/>
            <w:bottom w:w="0" w:type="dxa"/>
            <w:right w:w="108" w:type="dxa"/>
          </w:tblCellMar>
        </w:tblPrEx>
        <w:trPr>
          <w:trHeight w:val="659" w:hRule="atLeast"/>
          <w:jc w:val="center"/>
        </w:trPr>
        <w:tc>
          <w:tcPr>
            <w:tcW w:w="443" w:type="pct"/>
            <w:vMerge w:val="continue"/>
            <w:tcBorders>
              <w:left w:val="single" w:color="auto" w:sz="4" w:space="0"/>
              <w:right w:val="single" w:color="auto" w:sz="4" w:space="0"/>
            </w:tcBorders>
            <w:noWrap w:val="0"/>
            <w:vAlign w:val="center"/>
          </w:tcPr>
          <w:p w14:paraId="3E794729">
            <w:pPr>
              <w:keepNext w:val="0"/>
              <w:keepLines w:val="0"/>
              <w:widowControl/>
              <w:suppressLineNumbers w:val="0"/>
              <w:ind w:firstLine="420" w:firstLineChars="200"/>
              <w:jc w:val="both"/>
              <w:textAlignment w:val="center"/>
            </w:pPr>
          </w:p>
        </w:tc>
        <w:tc>
          <w:tcPr>
            <w:tcW w:w="862" w:type="pct"/>
            <w:vMerge w:val="continue"/>
            <w:tcBorders>
              <w:left w:val="single" w:color="auto" w:sz="4" w:space="0"/>
              <w:right w:val="single" w:color="auto" w:sz="4" w:space="0"/>
            </w:tcBorders>
            <w:noWrap w:val="0"/>
            <w:vAlign w:val="center"/>
          </w:tcPr>
          <w:p w14:paraId="6FCC1061">
            <w:pPr>
              <w:keepNext w:val="0"/>
              <w:keepLines w:val="0"/>
              <w:widowControl/>
              <w:suppressLineNumbers w:val="0"/>
              <w:ind w:firstLine="420" w:firstLineChars="200"/>
              <w:jc w:val="both"/>
              <w:textAlignment w:val="center"/>
            </w:pPr>
          </w:p>
        </w:tc>
        <w:tc>
          <w:tcPr>
            <w:tcW w:w="2960" w:type="pct"/>
            <w:tcBorders>
              <w:top w:val="single" w:color="auto" w:sz="4" w:space="0"/>
              <w:left w:val="single" w:color="auto" w:sz="4" w:space="0"/>
              <w:bottom w:val="single" w:color="auto" w:sz="4" w:space="0"/>
              <w:right w:val="single" w:color="000000" w:sz="4" w:space="0"/>
            </w:tcBorders>
            <w:noWrap w:val="0"/>
            <w:vAlign w:val="center"/>
          </w:tcPr>
          <w:p w14:paraId="78AD8A1A">
            <w:pPr>
              <w:keepNext w:val="0"/>
              <w:keepLines w:val="0"/>
              <w:widowControl/>
              <w:suppressLineNumbers w:val="0"/>
              <w:ind w:firstLine="480" w:firstLineChars="200"/>
              <w:jc w:val="both"/>
              <w:textAlignment w:val="center"/>
              <w:rPr>
                <w:rStyle w:val="95"/>
                <w:rFonts w:hint="default" w:ascii="宋体" w:hAnsi="宋体" w:eastAsia="宋体" w:cs="宋体"/>
                <w:color w:val="auto"/>
                <w:highlight w:val="none"/>
                <w:lang w:val="en-US" w:eastAsia="zh-CN" w:bidi="ar"/>
              </w:rPr>
            </w:pPr>
            <w:r>
              <w:rPr>
                <w:rStyle w:val="95"/>
                <w:rFonts w:hint="eastAsia" w:ascii="宋体" w:hAnsi="宋体" w:cs="宋体"/>
                <w:color w:val="auto"/>
                <w:highlight w:val="none"/>
                <w:lang w:val="en-US" w:eastAsia="zh-CN" w:bidi="ar"/>
              </w:rPr>
              <w:t>根据投标人对项目本体解读（包括丰惠古镇现状分析、运营优势）进行综合评分。</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3648EBCA">
            <w:pPr>
              <w:keepNext w:val="0"/>
              <w:keepLines w:val="0"/>
              <w:widowControl/>
              <w:suppressLineNumbers w:val="0"/>
              <w:ind w:firstLine="480" w:firstLineChars="200"/>
              <w:jc w:val="both"/>
              <w:textAlignment w:val="center"/>
              <w:rPr>
                <w:rStyle w:val="95"/>
                <w:rFonts w:hint="default" w:ascii="宋体" w:hAnsi="宋体" w:eastAsia="宋体" w:cs="宋体"/>
                <w:color w:val="auto"/>
                <w:highlight w:val="none"/>
                <w:lang w:val="en-US" w:eastAsia="zh-CN" w:bidi="ar"/>
              </w:rPr>
            </w:pPr>
            <w:r>
              <w:rPr>
                <w:rStyle w:val="95"/>
                <w:rFonts w:hint="eastAsia" w:ascii="宋体" w:hAnsi="宋体" w:cs="宋体"/>
                <w:color w:val="auto"/>
                <w:highlight w:val="none"/>
                <w:lang w:val="en-US" w:eastAsia="zh-CN" w:bidi="ar"/>
              </w:rPr>
              <w:t>5</w:t>
            </w:r>
          </w:p>
        </w:tc>
      </w:tr>
      <w:tr w14:paraId="0C1861FE">
        <w:tblPrEx>
          <w:tblCellMar>
            <w:top w:w="0" w:type="dxa"/>
            <w:left w:w="108" w:type="dxa"/>
            <w:bottom w:w="0" w:type="dxa"/>
            <w:right w:w="108" w:type="dxa"/>
          </w:tblCellMar>
        </w:tblPrEx>
        <w:trPr>
          <w:trHeight w:val="659" w:hRule="atLeast"/>
          <w:jc w:val="center"/>
        </w:trPr>
        <w:tc>
          <w:tcPr>
            <w:tcW w:w="443" w:type="pct"/>
            <w:vMerge w:val="continue"/>
            <w:tcBorders>
              <w:left w:val="single" w:color="auto" w:sz="4" w:space="0"/>
              <w:right w:val="single" w:color="auto" w:sz="4" w:space="0"/>
            </w:tcBorders>
            <w:noWrap w:val="0"/>
            <w:vAlign w:val="center"/>
          </w:tcPr>
          <w:p w14:paraId="5DBCF5FA">
            <w:pPr>
              <w:keepNext w:val="0"/>
              <w:keepLines w:val="0"/>
              <w:widowControl/>
              <w:suppressLineNumbers w:val="0"/>
              <w:ind w:firstLine="480" w:firstLineChars="200"/>
              <w:jc w:val="both"/>
              <w:textAlignment w:val="center"/>
              <w:rPr>
                <w:rStyle w:val="95"/>
                <w:rFonts w:hint="eastAsia" w:ascii="宋体" w:hAnsi="宋体" w:eastAsia="宋体" w:cs="宋体"/>
                <w:color w:val="auto"/>
                <w:highlight w:val="none"/>
                <w:lang w:val="en-US" w:eastAsia="zh-CN" w:bidi="ar"/>
              </w:rPr>
            </w:pPr>
          </w:p>
        </w:tc>
        <w:tc>
          <w:tcPr>
            <w:tcW w:w="862" w:type="pct"/>
            <w:vMerge w:val="continue"/>
            <w:tcBorders>
              <w:left w:val="single" w:color="auto" w:sz="4" w:space="0"/>
              <w:bottom w:val="single" w:color="auto" w:sz="4" w:space="0"/>
              <w:right w:val="single" w:color="auto" w:sz="4" w:space="0"/>
            </w:tcBorders>
            <w:noWrap w:val="0"/>
            <w:vAlign w:val="center"/>
          </w:tcPr>
          <w:p w14:paraId="67C76BFB">
            <w:pPr>
              <w:keepNext w:val="0"/>
              <w:keepLines w:val="0"/>
              <w:widowControl/>
              <w:suppressLineNumbers w:val="0"/>
              <w:ind w:firstLine="480" w:firstLineChars="200"/>
              <w:jc w:val="both"/>
              <w:textAlignment w:val="center"/>
              <w:rPr>
                <w:rStyle w:val="95"/>
                <w:rFonts w:hint="eastAsia" w:ascii="宋体" w:hAnsi="宋体" w:eastAsia="宋体" w:cs="宋体"/>
                <w:color w:val="auto"/>
                <w:highlight w:val="none"/>
                <w:lang w:val="en-US" w:eastAsia="zh-CN" w:bidi="ar"/>
              </w:rPr>
            </w:pPr>
          </w:p>
        </w:tc>
        <w:tc>
          <w:tcPr>
            <w:tcW w:w="2960" w:type="pct"/>
            <w:tcBorders>
              <w:top w:val="single" w:color="auto" w:sz="4" w:space="0"/>
              <w:left w:val="single" w:color="auto" w:sz="4" w:space="0"/>
              <w:bottom w:val="single" w:color="auto" w:sz="4" w:space="0"/>
              <w:right w:val="single" w:color="000000" w:sz="4" w:space="0"/>
            </w:tcBorders>
            <w:noWrap w:val="0"/>
            <w:vAlign w:val="center"/>
          </w:tcPr>
          <w:p w14:paraId="06AFF09D">
            <w:pPr>
              <w:keepNext w:val="0"/>
              <w:keepLines w:val="0"/>
              <w:widowControl/>
              <w:suppressLineNumbers w:val="0"/>
              <w:ind w:firstLine="480" w:firstLineChars="200"/>
              <w:jc w:val="both"/>
              <w:textAlignment w:val="center"/>
              <w:rPr>
                <w:rStyle w:val="95"/>
                <w:rFonts w:hint="eastAsia" w:ascii="宋体" w:hAnsi="宋体" w:eastAsia="宋体" w:cs="宋体"/>
                <w:color w:val="auto"/>
                <w:highlight w:val="none"/>
                <w:lang w:val="en-US" w:eastAsia="zh-CN" w:bidi="ar"/>
              </w:rPr>
            </w:pPr>
            <w:r>
              <w:rPr>
                <w:rStyle w:val="95"/>
                <w:rFonts w:hint="eastAsia" w:ascii="宋体" w:hAnsi="宋体" w:cs="宋体"/>
                <w:color w:val="auto"/>
                <w:highlight w:val="none"/>
                <w:lang w:val="en-US" w:eastAsia="zh-CN" w:bidi="ar"/>
              </w:rPr>
              <w:t>根据投标人对项目现存问题、需求和对策措施进行综合评分。</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2CFBBB32">
            <w:pPr>
              <w:keepNext w:val="0"/>
              <w:keepLines w:val="0"/>
              <w:widowControl/>
              <w:suppressLineNumbers w:val="0"/>
              <w:ind w:firstLine="480" w:firstLineChars="200"/>
              <w:jc w:val="both"/>
              <w:textAlignment w:val="center"/>
              <w:rPr>
                <w:rStyle w:val="95"/>
                <w:rFonts w:hint="default" w:ascii="宋体" w:hAnsi="宋体" w:eastAsia="宋体" w:cs="宋体"/>
                <w:color w:val="auto"/>
                <w:highlight w:val="none"/>
                <w:lang w:val="en-US" w:eastAsia="zh-CN" w:bidi="ar"/>
              </w:rPr>
            </w:pPr>
            <w:r>
              <w:rPr>
                <w:rStyle w:val="95"/>
                <w:rFonts w:hint="eastAsia" w:ascii="宋体" w:hAnsi="宋体" w:cs="宋体"/>
                <w:color w:val="auto"/>
                <w:highlight w:val="none"/>
                <w:lang w:val="en-US" w:eastAsia="zh-CN" w:bidi="ar"/>
              </w:rPr>
              <w:t>5</w:t>
            </w:r>
          </w:p>
        </w:tc>
      </w:tr>
      <w:tr w14:paraId="417838EA">
        <w:tblPrEx>
          <w:tblCellMar>
            <w:top w:w="0" w:type="dxa"/>
            <w:left w:w="108" w:type="dxa"/>
            <w:bottom w:w="0" w:type="dxa"/>
            <w:right w:w="108" w:type="dxa"/>
          </w:tblCellMar>
        </w:tblPrEx>
        <w:trPr>
          <w:trHeight w:val="714" w:hRule="atLeast"/>
          <w:jc w:val="center"/>
        </w:trPr>
        <w:tc>
          <w:tcPr>
            <w:tcW w:w="443" w:type="pct"/>
            <w:vMerge w:val="continue"/>
            <w:tcBorders>
              <w:left w:val="single" w:color="auto" w:sz="4" w:space="0"/>
              <w:right w:val="single" w:color="auto" w:sz="4" w:space="0"/>
            </w:tcBorders>
            <w:noWrap w:val="0"/>
            <w:vAlign w:val="center"/>
          </w:tcPr>
          <w:p w14:paraId="7FCD796E">
            <w:pPr>
              <w:widowControl/>
              <w:spacing w:line="312" w:lineRule="auto"/>
              <w:jc w:val="center"/>
              <w:rPr>
                <w:rFonts w:hint="eastAsia" w:ascii="宋体" w:hAnsi="宋体" w:eastAsia="宋体" w:cs="仿宋"/>
                <w:szCs w:val="21"/>
                <w:lang w:val="en-US" w:eastAsia="zh-CN"/>
              </w:rPr>
            </w:pPr>
          </w:p>
        </w:tc>
        <w:tc>
          <w:tcPr>
            <w:tcW w:w="862" w:type="pct"/>
            <w:vMerge w:val="restart"/>
            <w:tcBorders>
              <w:top w:val="single" w:color="auto" w:sz="4" w:space="0"/>
              <w:left w:val="single" w:color="auto" w:sz="4" w:space="0"/>
              <w:right w:val="single" w:color="auto" w:sz="4" w:space="0"/>
            </w:tcBorders>
            <w:noWrap w:val="0"/>
            <w:vAlign w:val="center"/>
          </w:tcPr>
          <w:p w14:paraId="12F811E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总体设计</w:t>
            </w:r>
          </w:p>
        </w:tc>
        <w:tc>
          <w:tcPr>
            <w:tcW w:w="2960" w:type="pct"/>
            <w:tcBorders>
              <w:top w:val="single" w:color="auto" w:sz="4" w:space="0"/>
              <w:left w:val="single" w:color="auto" w:sz="4" w:space="0"/>
              <w:bottom w:val="single" w:color="auto" w:sz="4" w:space="0"/>
              <w:right w:val="single" w:color="000000" w:sz="4" w:space="0"/>
            </w:tcBorders>
            <w:noWrap w:val="0"/>
            <w:vAlign w:val="center"/>
          </w:tcPr>
          <w:p w14:paraId="08EB0293">
            <w:pPr>
              <w:keepNext w:val="0"/>
              <w:keepLines w:val="0"/>
              <w:widowControl/>
              <w:suppressLineNumbers w:val="0"/>
              <w:ind w:firstLine="480" w:firstLineChars="200"/>
              <w:jc w:val="both"/>
              <w:textAlignment w:val="center"/>
              <w:rPr>
                <w:rStyle w:val="95"/>
                <w:rFonts w:hint="eastAsia" w:ascii="宋体" w:hAnsi="宋体" w:eastAsia="宋体" w:cs="宋体"/>
                <w:color w:val="auto"/>
                <w:highlight w:val="none"/>
                <w:lang w:val="en-US" w:eastAsia="zh-CN" w:bidi="ar"/>
              </w:rPr>
            </w:pPr>
            <w:r>
              <w:rPr>
                <w:rStyle w:val="95"/>
                <w:rFonts w:hint="eastAsia" w:ascii="宋体" w:hAnsi="宋体" w:eastAsia="宋体" w:cs="宋体"/>
                <w:color w:val="auto"/>
                <w:highlight w:val="none"/>
                <w:lang w:val="en-US" w:eastAsia="zh-CN" w:bidi="ar"/>
              </w:rPr>
              <w:t>根据供应商拟定的针对本项目的重点运营要求，其中包含但不限于</w:t>
            </w:r>
            <w:r>
              <w:rPr>
                <w:rStyle w:val="95"/>
                <w:rFonts w:hint="eastAsia" w:ascii="宋体" w:hAnsi="宋体" w:cs="宋体"/>
                <w:color w:val="auto"/>
                <w:highlight w:val="none"/>
                <w:lang w:val="en-US" w:eastAsia="zh-CN" w:bidi="ar"/>
              </w:rPr>
              <w:t>线上平台发布</w:t>
            </w:r>
            <w:r>
              <w:rPr>
                <w:rStyle w:val="95"/>
                <w:rFonts w:hint="eastAsia" w:ascii="宋体" w:hAnsi="宋体" w:eastAsia="宋体" w:cs="宋体"/>
                <w:color w:val="auto"/>
                <w:highlight w:val="none"/>
                <w:lang w:val="en-US" w:eastAsia="zh-CN" w:bidi="ar"/>
              </w:rPr>
              <w:t>主题选择、内容元素选择等进行评审。</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46DCAEA8">
            <w:pPr>
              <w:spacing w:line="40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5</w:t>
            </w:r>
          </w:p>
        </w:tc>
      </w:tr>
      <w:tr w14:paraId="2C3AF874">
        <w:tblPrEx>
          <w:tblCellMar>
            <w:top w:w="0" w:type="dxa"/>
            <w:left w:w="108" w:type="dxa"/>
            <w:bottom w:w="0" w:type="dxa"/>
            <w:right w:w="108" w:type="dxa"/>
          </w:tblCellMar>
        </w:tblPrEx>
        <w:trPr>
          <w:trHeight w:val="714" w:hRule="atLeast"/>
          <w:jc w:val="center"/>
        </w:trPr>
        <w:tc>
          <w:tcPr>
            <w:tcW w:w="443" w:type="pct"/>
            <w:vMerge w:val="continue"/>
            <w:tcBorders>
              <w:left w:val="single" w:color="auto" w:sz="4" w:space="0"/>
              <w:right w:val="single" w:color="auto" w:sz="4" w:space="0"/>
            </w:tcBorders>
            <w:noWrap w:val="0"/>
            <w:vAlign w:val="center"/>
          </w:tcPr>
          <w:p w14:paraId="429F6ABD">
            <w:pPr>
              <w:keepNext w:val="0"/>
              <w:keepLines w:val="0"/>
              <w:widowControl/>
              <w:suppressLineNumbers w:val="0"/>
              <w:ind w:firstLine="420" w:firstLineChars="200"/>
              <w:jc w:val="both"/>
              <w:textAlignment w:val="center"/>
            </w:pPr>
          </w:p>
        </w:tc>
        <w:tc>
          <w:tcPr>
            <w:tcW w:w="862" w:type="pct"/>
            <w:vMerge w:val="continue"/>
            <w:tcBorders>
              <w:left w:val="single" w:color="auto" w:sz="4" w:space="0"/>
              <w:bottom w:val="single" w:color="auto" w:sz="4" w:space="0"/>
              <w:right w:val="single" w:color="auto" w:sz="4" w:space="0"/>
            </w:tcBorders>
            <w:noWrap w:val="0"/>
            <w:vAlign w:val="center"/>
          </w:tcPr>
          <w:p w14:paraId="34157ACE">
            <w:pPr>
              <w:keepNext w:val="0"/>
              <w:keepLines w:val="0"/>
              <w:widowControl/>
              <w:suppressLineNumbers w:val="0"/>
              <w:ind w:firstLine="420" w:firstLineChars="200"/>
              <w:jc w:val="both"/>
              <w:textAlignment w:val="center"/>
            </w:pPr>
          </w:p>
        </w:tc>
        <w:tc>
          <w:tcPr>
            <w:tcW w:w="2960" w:type="pct"/>
            <w:tcBorders>
              <w:top w:val="single" w:color="auto" w:sz="4" w:space="0"/>
              <w:left w:val="single" w:color="auto" w:sz="4" w:space="0"/>
              <w:bottom w:val="single" w:color="auto" w:sz="4" w:space="0"/>
              <w:right w:val="single" w:color="000000" w:sz="4" w:space="0"/>
            </w:tcBorders>
            <w:noWrap w:val="0"/>
            <w:vAlign w:val="center"/>
          </w:tcPr>
          <w:p w14:paraId="7F45C661">
            <w:pPr>
              <w:keepNext w:val="0"/>
              <w:keepLines w:val="0"/>
              <w:widowControl/>
              <w:suppressLineNumbers w:val="0"/>
              <w:ind w:firstLine="480" w:firstLineChars="200"/>
              <w:jc w:val="both"/>
              <w:textAlignment w:val="center"/>
              <w:rPr>
                <w:rStyle w:val="95"/>
                <w:rFonts w:hint="default" w:ascii="宋体" w:hAnsi="宋体" w:eastAsia="宋体" w:cs="宋体"/>
                <w:color w:val="auto"/>
                <w:highlight w:val="none"/>
                <w:lang w:val="en-US" w:eastAsia="zh-CN" w:bidi="ar"/>
              </w:rPr>
            </w:pPr>
            <w:r>
              <w:rPr>
                <w:rStyle w:val="95"/>
                <w:rFonts w:hint="eastAsia" w:ascii="宋体" w:hAnsi="宋体" w:eastAsia="宋体" w:cs="宋体"/>
                <w:color w:val="auto"/>
                <w:highlight w:val="none"/>
                <w:lang w:val="en-US" w:eastAsia="zh-CN" w:bidi="ar"/>
              </w:rPr>
              <w:t>根据供应商拟定的针对本项目的重点运营要求，其中包含但不限于</w:t>
            </w:r>
            <w:r>
              <w:rPr>
                <w:rStyle w:val="95"/>
                <w:rFonts w:hint="eastAsia" w:ascii="宋体" w:hAnsi="宋体" w:cs="宋体"/>
                <w:color w:val="auto"/>
                <w:highlight w:val="none"/>
                <w:lang w:val="en-US" w:eastAsia="zh-CN" w:bidi="ar"/>
              </w:rPr>
              <w:t>线上系列宣传专题策划、专题开展等进行评审。</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2F60ACC5">
            <w:pPr>
              <w:keepNext w:val="0"/>
              <w:keepLines w:val="0"/>
              <w:widowControl/>
              <w:suppressLineNumbers w:val="0"/>
              <w:ind w:firstLine="480" w:firstLineChars="200"/>
              <w:jc w:val="both"/>
              <w:textAlignment w:val="center"/>
              <w:rPr>
                <w:rStyle w:val="95"/>
                <w:rFonts w:hint="default" w:ascii="宋体" w:hAnsi="宋体" w:eastAsia="宋体" w:cs="宋体"/>
                <w:color w:val="auto"/>
                <w:highlight w:val="none"/>
                <w:lang w:val="en-US" w:eastAsia="zh-CN" w:bidi="ar"/>
              </w:rPr>
            </w:pPr>
            <w:r>
              <w:rPr>
                <w:rStyle w:val="95"/>
                <w:rFonts w:hint="eastAsia" w:ascii="宋体" w:hAnsi="宋体" w:cs="宋体"/>
                <w:color w:val="auto"/>
                <w:highlight w:val="none"/>
                <w:lang w:val="en-US" w:eastAsia="zh-CN" w:bidi="ar"/>
              </w:rPr>
              <w:t>5</w:t>
            </w:r>
          </w:p>
        </w:tc>
      </w:tr>
      <w:tr w14:paraId="5BF51E1C">
        <w:tblPrEx>
          <w:tblCellMar>
            <w:top w:w="0" w:type="dxa"/>
            <w:left w:w="108" w:type="dxa"/>
            <w:bottom w:w="0" w:type="dxa"/>
            <w:right w:w="108" w:type="dxa"/>
          </w:tblCellMar>
        </w:tblPrEx>
        <w:trPr>
          <w:trHeight w:val="1419" w:hRule="atLeast"/>
          <w:jc w:val="center"/>
        </w:trPr>
        <w:tc>
          <w:tcPr>
            <w:tcW w:w="443" w:type="pct"/>
            <w:vMerge w:val="continue"/>
            <w:tcBorders>
              <w:left w:val="single" w:color="auto" w:sz="4" w:space="0"/>
              <w:right w:val="single" w:color="auto" w:sz="4" w:space="0"/>
            </w:tcBorders>
            <w:noWrap w:val="0"/>
            <w:vAlign w:val="center"/>
          </w:tcPr>
          <w:p w14:paraId="76168751">
            <w:pPr>
              <w:widowControl/>
              <w:spacing w:line="312" w:lineRule="auto"/>
              <w:jc w:val="center"/>
              <w:rPr>
                <w:rFonts w:hint="eastAsia" w:ascii="宋体" w:hAnsi="宋体" w:eastAsia="宋体" w:cs="仿宋"/>
                <w:szCs w:val="21"/>
                <w:lang w:eastAsia="zh-CN"/>
              </w:rPr>
            </w:pPr>
          </w:p>
        </w:tc>
        <w:tc>
          <w:tcPr>
            <w:tcW w:w="862" w:type="pct"/>
            <w:tcBorders>
              <w:top w:val="single" w:color="auto" w:sz="4" w:space="0"/>
              <w:left w:val="single" w:color="auto" w:sz="4" w:space="0"/>
              <w:bottom w:val="single" w:color="auto" w:sz="4" w:space="0"/>
              <w:right w:val="single" w:color="auto" w:sz="4" w:space="0"/>
            </w:tcBorders>
            <w:noWrap w:val="0"/>
            <w:vAlign w:val="center"/>
          </w:tcPr>
          <w:p w14:paraId="777903F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运营方案</w:t>
            </w:r>
          </w:p>
        </w:tc>
        <w:tc>
          <w:tcPr>
            <w:tcW w:w="2960" w:type="pct"/>
            <w:tcBorders>
              <w:top w:val="single" w:color="auto" w:sz="4" w:space="0"/>
              <w:left w:val="single" w:color="auto" w:sz="4" w:space="0"/>
              <w:bottom w:val="single" w:color="auto" w:sz="4" w:space="0"/>
              <w:right w:val="single" w:color="auto" w:sz="4" w:space="0"/>
            </w:tcBorders>
            <w:noWrap w:val="0"/>
            <w:vAlign w:val="center"/>
          </w:tcPr>
          <w:p w14:paraId="56C43348">
            <w:pPr>
              <w:keepNext w:val="0"/>
              <w:keepLines w:val="0"/>
              <w:widowControl/>
              <w:suppressLineNumbers w:val="0"/>
              <w:ind w:firstLine="480" w:firstLineChars="200"/>
              <w:jc w:val="both"/>
              <w:textAlignment w:val="center"/>
              <w:rPr>
                <w:rStyle w:val="95"/>
                <w:rFonts w:hint="eastAsia" w:ascii="宋体" w:hAnsi="宋体" w:eastAsia="宋体" w:cs="宋体"/>
                <w:color w:val="auto"/>
                <w:highlight w:val="none"/>
                <w:lang w:val="en-US" w:eastAsia="zh-CN" w:bidi="ar"/>
              </w:rPr>
            </w:pPr>
            <w:r>
              <w:rPr>
                <w:rStyle w:val="95"/>
                <w:rFonts w:hint="eastAsia" w:ascii="宋体" w:hAnsi="宋体" w:eastAsia="宋体" w:cs="宋体"/>
                <w:color w:val="auto"/>
                <w:highlight w:val="none"/>
                <w:lang w:val="en-US" w:eastAsia="zh-CN" w:bidi="ar"/>
              </w:rPr>
              <w:t>根据投标人提供的丰惠古城策划与运营方案，包含但不限于体系搭建思路、微信公众号发文、微信视频号发文、抖音号发文等进行</w:t>
            </w:r>
            <w:r>
              <w:rPr>
                <w:rStyle w:val="95"/>
                <w:rFonts w:hint="eastAsia" w:ascii="宋体" w:hAnsi="宋体" w:cs="宋体"/>
                <w:color w:val="auto"/>
                <w:highlight w:val="none"/>
                <w:lang w:val="en-US" w:eastAsia="zh-CN" w:bidi="ar"/>
              </w:rPr>
              <w:t>评分</w:t>
            </w:r>
            <w:r>
              <w:rPr>
                <w:rStyle w:val="95"/>
                <w:rFonts w:hint="eastAsia" w:ascii="宋体" w:hAnsi="宋体" w:eastAsia="宋体" w:cs="宋体"/>
                <w:color w:val="auto"/>
                <w:highlight w:val="none"/>
                <w:lang w:val="en-US" w:eastAsia="zh-CN" w:bidi="ar"/>
              </w:rPr>
              <w:t>。</w:t>
            </w:r>
          </w:p>
        </w:tc>
        <w:tc>
          <w:tcPr>
            <w:tcW w:w="733" w:type="pct"/>
            <w:tcBorders>
              <w:top w:val="single" w:color="000000" w:sz="4" w:space="0"/>
              <w:left w:val="single" w:color="auto" w:sz="4" w:space="0"/>
              <w:bottom w:val="single" w:color="auto" w:sz="4" w:space="0"/>
              <w:right w:val="single" w:color="auto" w:sz="4" w:space="0"/>
            </w:tcBorders>
            <w:noWrap w:val="0"/>
            <w:vAlign w:val="center"/>
          </w:tcPr>
          <w:p w14:paraId="12F1AC27">
            <w:pPr>
              <w:spacing w:line="400" w:lineRule="exact"/>
              <w:jc w:val="center"/>
              <w:rPr>
                <w:rFonts w:ascii="宋体" w:hAnsi="宋体" w:eastAsia="宋体"/>
                <w:szCs w:val="21"/>
              </w:rPr>
            </w:pPr>
            <w:r>
              <w:rPr>
                <w:rFonts w:hint="eastAsia" w:ascii="宋体" w:hAnsi="宋体" w:eastAsia="宋体"/>
                <w:szCs w:val="21"/>
              </w:rPr>
              <w:t>5</w:t>
            </w:r>
          </w:p>
        </w:tc>
      </w:tr>
      <w:tr w14:paraId="6D373E32">
        <w:tblPrEx>
          <w:tblCellMar>
            <w:top w:w="0" w:type="dxa"/>
            <w:left w:w="108" w:type="dxa"/>
            <w:bottom w:w="0" w:type="dxa"/>
            <w:right w:w="108" w:type="dxa"/>
          </w:tblCellMar>
        </w:tblPrEx>
        <w:trPr>
          <w:trHeight w:val="432" w:hRule="atLeast"/>
          <w:jc w:val="center"/>
        </w:trPr>
        <w:tc>
          <w:tcPr>
            <w:tcW w:w="443" w:type="pct"/>
            <w:vMerge w:val="continue"/>
            <w:tcBorders>
              <w:left w:val="single" w:color="auto" w:sz="4" w:space="0"/>
              <w:right w:val="single" w:color="auto" w:sz="4" w:space="0"/>
            </w:tcBorders>
            <w:noWrap w:val="0"/>
            <w:vAlign w:val="center"/>
          </w:tcPr>
          <w:p w14:paraId="1D47DB9F">
            <w:pPr>
              <w:widowControl/>
              <w:spacing w:line="312" w:lineRule="auto"/>
              <w:jc w:val="center"/>
              <w:rPr>
                <w:rFonts w:hint="eastAsia" w:ascii="宋体" w:hAnsi="宋体" w:eastAsia="宋体" w:cs="仿宋"/>
                <w:szCs w:val="21"/>
                <w:lang w:eastAsia="zh-CN"/>
              </w:rPr>
            </w:pPr>
          </w:p>
        </w:tc>
        <w:tc>
          <w:tcPr>
            <w:tcW w:w="862" w:type="pct"/>
            <w:tcBorders>
              <w:top w:val="single" w:color="auto" w:sz="4" w:space="0"/>
              <w:left w:val="single" w:color="auto" w:sz="4" w:space="0"/>
              <w:bottom w:val="single" w:color="auto" w:sz="4" w:space="0"/>
              <w:right w:val="single" w:color="auto" w:sz="4" w:space="0"/>
            </w:tcBorders>
            <w:noWrap w:val="0"/>
            <w:vAlign w:val="center"/>
          </w:tcPr>
          <w:p w14:paraId="040CC8F6">
            <w:pPr>
              <w:widowControl/>
              <w:jc w:val="center"/>
              <w:textAlignment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运营目</w:t>
            </w:r>
            <w:r>
              <w:rPr>
                <w:rFonts w:hint="eastAsia" w:ascii="宋体" w:hAnsi="宋体" w:cs="宋体"/>
                <w:color w:val="auto"/>
                <w:sz w:val="24"/>
                <w:highlight w:val="none"/>
                <w:lang w:val="en-US" w:eastAsia="zh-CN"/>
              </w:rPr>
              <w:t>标</w:t>
            </w:r>
          </w:p>
        </w:tc>
        <w:tc>
          <w:tcPr>
            <w:tcW w:w="2960" w:type="pct"/>
            <w:tcBorders>
              <w:top w:val="single" w:color="auto" w:sz="4" w:space="0"/>
              <w:left w:val="single" w:color="auto" w:sz="4" w:space="0"/>
              <w:bottom w:val="single" w:color="auto" w:sz="4" w:space="0"/>
              <w:right w:val="single" w:color="auto" w:sz="4" w:space="0"/>
            </w:tcBorders>
            <w:noWrap w:val="0"/>
            <w:vAlign w:val="center"/>
          </w:tcPr>
          <w:p w14:paraId="4E7C01FF">
            <w:pPr>
              <w:keepNext w:val="0"/>
              <w:keepLines w:val="0"/>
              <w:widowControl/>
              <w:suppressLineNumbers w:val="0"/>
              <w:ind w:firstLine="480" w:firstLineChars="200"/>
              <w:jc w:val="both"/>
              <w:textAlignment w:val="center"/>
              <w:rPr>
                <w:rStyle w:val="95"/>
                <w:rFonts w:hint="eastAsia" w:ascii="宋体" w:hAnsi="宋体" w:eastAsia="宋体" w:cs="宋体"/>
                <w:color w:val="auto"/>
                <w:highlight w:val="none"/>
                <w:lang w:val="en-US" w:eastAsia="zh-CN" w:bidi="ar"/>
              </w:rPr>
            </w:pPr>
            <w:r>
              <w:rPr>
                <w:rStyle w:val="95"/>
                <w:rFonts w:hint="eastAsia" w:ascii="宋体" w:hAnsi="宋体" w:eastAsia="宋体" w:cs="宋体"/>
                <w:color w:val="auto"/>
                <w:highlight w:val="none"/>
                <w:lang w:val="en-US" w:eastAsia="zh-CN" w:bidi="ar"/>
              </w:rPr>
              <w:t>根据投标人</w:t>
            </w:r>
            <w:r>
              <w:rPr>
                <w:rStyle w:val="95"/>
                <w:rFonts w:hint="eastAsia" w:ascii="宋体" w:hAnsi="宋体" w:cs="宋体"/>
                <w:color w:val="auto"/>
                <w:highlight w:val="none"/>
                <w:lang w:val="en-US" w:eastAsia="zh-CN" w:bidi="ar"/>
              </w:rPr>
              <w:t>对本项目的运营目标</w:t>
            </w:r>
            <w:r>
              <w:rPr>
                <w:rStyle w:val="95"/>
                <w:rFonts w:hint="eastAsia" w:ascii="宋体" w:hAnsi="宋体" w:eastAsia="宋体" w:cs="宋体"/>
                <w:color w:val="auto"/>
                <w:highlight w:val="none"/>
                <w:lang w:val="en-US" w:eastAsia="zh-CN" w:bidi="ar"/>
              </w:rPr>
              <w:t>进行</w:t>
            </w:r>
            <w:r>
              <w:rPr>
                <w:rStyle w:val="95"/>
                <w:rFonts w:hint="eastAsia" w:ascii="宋体" w:hAnsi="宋体" w:cs="宋体"/>
                <w:color w:val="auto"/>
                <w:highlight w:val="none"/>
                <w:lang w:val="en-US" w:eastAsia="zh-CN" w:bidi="ar"/>
              </w:rPr>
              <w:t>综合评分</w:t>
            </w:r>
            <w:r>
              <w:rPr>
                <w:rStyle w:val="95"/>
                <w:rFonts w:hint="eastAsia" w:ascii="宋体" w:hAnsi="宋体" w:eastAsia="宋体" w:cs="宋体"/>
                <w:color w:val="auto"/>
                <w:highlight w:val="none"/>
                <w:lang w:val="en-US" w:eastAsia="zh-CN" w:bidi="ar"/>
              </w:rPr>
              <w:t>评审。</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24E7200F">
            <w:pPr>
              <w:spacing w:line="400" w:lineRule="exact"/>
              <w:jc w:val="center"/>
              <w:rPr>
                <w:rFonts w:hint="default" w:ascii="宋体" w:hAnsi="宋体" w:eastAsia="宋体"/>
                <w:szCs w:val="21"/>
                <w:lang w:val="en-US" w:eastAsia="zh-CN"/>
              </w:rPr>
            </w:pPr>
            <w:r>
              <w:rPr>
                <w:rFonts w:hint="eastAsia" w:ascii="宋体" w:hAnsi="宋体"/>
                <w:szCs w:val="21"/>
                <w:lang w:val="en-US" w:eastAsia="zh-CN"/>
              </w:rPr>
              <w:t>5</w:t>
            </w:r>
          </w:p>
        </w:tc>
      </w:tr>
      <w:tr w14:paraId="217E78DC">
        <w:tblPrEx>
          <w:tblCellMar>
            <w:top w:w="0" w:type="dxa"/>
            <w:left w:w="108" w:type="dxa"/>
            <w:bottom w:w="0" w:type="dxa"/>
            <w:right w:w="108" w:type="dxa"/>
          </w:tblCellMar>
        </w:tblPrEx>
        <w:trPr>
          <w:trHeight w:val="1004" w:hRule="atLeast"/>
          <w:jc w:val="center"/>
        </w:trPr>
        <w:tc>
          <w:tcPr>
            <w:tcW w:w="443" w:type="pct"/>
            <w:vMerge w:val="continue"/>
            <w:tcBorders>
              <w:left w:val="single" w:color="auto" w:sz="4" w:space="0"/>
              <w:right w:val="single" w:color="auto" w:sz="4" w:space="0"/>
            </w:tcBorders>
            <w:noWrap w:val="0"/>
            <w:vAlign w:val="center"/>
          </w:tcPr>
          <w:p w14:paraId="04D363F9">
            <w:pPr>
              <w:widowControl/>
              <w:spacing w:line="312" w:lineRule="auto"/>
              <w:jc w:val="center"/>
              <w:rPr>
                <w:rFonts w:hint="eastAsia" w:ascii="宋体" w:hAnsi="宋体" w:eastAsia="宋体" w:cs="仿宋"/>
                <w:szCs w:val="21"/>
                <w:lang w:eastAsia="zh-CN"/>
              </w:rPr>
            </w:pPr>
          </w:p>
        </w:tc>
        <w:tc>
          <w:tcPr>
            <w:tcW w:w="862" w:type="pct"/>
            <w:vMerge w:val="restart"/>
            <w:tcBorders>
              <w:top w:val="single" w:color="auto" w:sz="4" w:space="0"/>
              <w:left w:val="single" w:color="auto" w:sz="4" w:space="0"/>
              <w:bottom w:val="single" w:color="auto" w:sz="4" w:space="0"/>
              <w:right w:val="single" w:color="auto" w:sz="4" w:space="0"/>
            </w:tcBorders>
            <w:noWrap w:val="0"/>
            <w:vAlign w:val="center"/>
          </w:tcPr>
          <w:p w14:paraId="4BB2B09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实施</w:t>
            </w:r>
            <w:r>
              <w:rPr>
                <w:rFonts w:hint="eastAsia" w:ascii="宋体" w:hAnsi="宋体" w:eastAsia="宋体" w:cs="宋体"/>
                <w:color w:val="auto"/>
                <w:sz w:val="24"/>
                <w:highlight w:val="none"/>
              </w:rPr>
              <w:t>方案</w:t>
            </w:r>
          </w:p>
        </w:tc>
        <w:tc>
          <w:tcPr>
            <w:tcW w:w="2960" w:type="pct"/>
            <w:tcBorders>
              <w:top w:val="single" w:color="auto" w:sz="4" w:space="0"/>
              <w:left w:val="single" w:color="auto" w:sz="4" w:space="0"/>
              <w:bottom w:val="single" w:color="auto" w:sz="4" w:space="0"/>
              <w:right w:val="single" w:color="auto" w:sz="4" w:space="0"/>
            </w:tcBorders>
            <w:noWrap w:val="0"/>
            <w:vAlign w:val="center"/>
          </w:tcPr>
          <w:p w14:paraId="7A1767D8">
            <w:pPr>
              <w:keepNext w:val="0"/>
              <w:keepLines w:val="0"/>
              <w:widowControl/>
              <w:suppressLineNumbers w:val="0"/>
              <w:ind w:firstLine="480" w:firstLineChars="200"/>
              <w:jc w:val="both"/>
              <w:textAlignment w:val="center"/>
              <w:rPr>
                <w:rStyle w:val="95"/>
                <w:rFonts w:hint="eastAsia" w:ascii="宋体" w:hAnsi="宋体" w:eastAsia="宋体" w:cs="宋体"/>
                <w:color w:val="auto"/>
                <w:highlight w:val="none"/>
                <w:lang w:val="en-US" w:eastAsia="zh-CN" w:bidi="ar"/>
              </w:rPr>
            </w:pPr>
            <w:r>
              <w:rPr>
                <w:rStyle w:val="95"/>
                <w:rFonts w:hint="eastAsia" w:ascii="宋体" w:hAnsi="宋体" w:eastAsia="宋体" w:cs="宋体"/>
                <w:color w:val="auto"/>
                <w:highlight w:val="none"/>
                <w:lang w:val="en-US" w:eastAsia="zh-CN" w:bidi="ar"/>
              </w:rPr>
              <w:t>评委根据投标人提供的基于运营视角，项目实施工作重难点分析，以及对应的解决措施进行打分。</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2CF48BCF">
            <w:pPr>
              <w:spacing w:line="400" w:lineRule="exact"/>
              <w:jc w:val="center"/>
              <w:rPr>
                <w:rFonts w:hint="eastAsia" w:ascii="宋体" w:hAnsi="宋体" w:eastAsia="宋体"/>
                <w:szCs w:val="21"/>
                <w:lang w:eastAsia="zh-CN"/>
              </w:rPr>
            </w:pPr>
            <w:r>
              <w:rPr>
                <w:rFonts w:hint="eastAsia" w:ascii="宋体" w:hAnsi="宋体"/>
                <w:szCs w:val="21"/>
                <w:lang w:val="en-US" w:eastAsia="zh-CN"/>
              </w:rPr>
              <w:t>4</w:t>
            </w:r>
          </w:p>
        </w:tc>
      </w:tr>
      <w:tr w14:paraId="7749DC7A">
        <w:tblPrEx>
          <w:tblCellMar>
            <w:top w:w="0" w:type="dxa"/>
            <w:left w:w="108" w:type="dxa"/>
            <w:bottom w:w="0" w:type="dxa"/>
            <w:right w:w="108" w:type="dxa"/>
          </w:tblCellMar>
        </w:tblPrEx>
        <w:trPr>
          <w:trHeight w:val="590" w:hRule="atLeast"/>
          <w:jc w:val="center"/>
        </w:trPr>
        <w:tc>
          <w:tcPr>
            <w:tcW w:w="443" w:type="pct"/>
            <w:vMerge w:val="continue"/>
            <w:tcBorders>
              <w:left w:val="single" w:color="auto" w:sz="4" w:space="0"/>
              <w:right w:val="single" w:color="auto" w:sz="4" w:space="0"/>
            </w:tcBorders>
            <w:noWrap w:val="0"/>
            <w:vAlign w:val="center"/>
          </w:tcPr>
          <w:p w14:paraId="0276A3B7">
            <w:pPr>
              <w:widowControl/>
              <w:spacing w:line="312" w:lineRule="auto"/>
              <w:jc w:val="center"/>
              <w:rPr>
                <w:rFonts w:ascii="宋体" w:hAnsi="宋体" w:cs="仿宋"/>
                <w:szCs w:val="21"/>
              </w:rPr>
            </w:pPr>
          </w:p>
        </w:tc>
        <w:tc>
          <w:tcPr>
            <w:tcW w:w="862" w:type="pct"/>
            <w:vMerge w:val="continue"/>
            <w:tcBorders>
              <w:top w:val="single" w:color="auto" w:sz="4" w:space="0"/>
              <w:left w:val="single" w:color="auto" w:sz="4" w:space="0"/>
              <w:bottom w:val="single" w:color="auto" w:sz="4" w:space="0"/>
              <w:right w:val="single" w:color="auto" w:sz="4" w:space="0"/>
            </w:tcBorders>
            <w:noWrap w:val="0"/>
            <w:vAlign w:val="center"/>
          </w:tcPr>
          <w:p w14:paraId="7F96381A">
            <w:pPr>
              <w:widowControl/>
              <w:jc w:val="center"/>
              <w:textAlignment w:val="center"/>
              <w:rPr>
                <w:rFonts w:hint="eastAsia" w:ascii="宋体" w:hAnsi="宋体" w:eastAsia="宋体" w:cs="宋体"/>
                <w:color w:val="auto"/>
                <w:sz w:val="24"/>
                <w:highlight w:val="none"/>
              </w:rPr>
            </w:pPr>
          </w:p>
        </w:tc>
        <w:tc>
          <w:tcPr>
            <w:tcW w:w="2960" w:type="pct"/>
            <w:tcBorders>
              <w:top w:val="single" w:color="auto" w:sz="4" w:space="0"/>
              <w:left w:val="single" w:color="auto" w:sz="4" w:space="0"/>
              <w:bottom w:val="single" w:color="auto" w:sz="4" w:space="0"/>
              <w:right w:val="single" w:color="auto" w:sz="4" w:space="0"/>
            </w:tcBorders>
            <w:noWrap w:val="0"/>
            <w:vAlign w:val="center"/>
          </w:tcPr>
          <w:p w14:paraId="5C0622FC">
            <w:pPr>
              <w:keepNext w:val="0"/>
              <w:keepLines w:val="0"/>
              <w:widowControl/>
              <w:suppressLineNumbers w:val="0"/>
              <w:ind w:firstLine="480" w:firstLineChars="200"/>
              <w:jc w:val="both"/>
              <w:textAlignment w:val="center"/>
              <w:rPr>
                <w:rStyle w:val="95"/>
                <w:rFonts w:hint="eastAsia" w:ascii="宋体" w:hAnsi="宋体" w:eastAsia="宋体" w:cs="宋体"/>
                <w:color w:val="auto"/>
                <w:highlight w:val="none"/>
                <w:lang w:val="en-US" w:eastAsia="zh-CN" w:bidi="ar"/>
              </w:rPr>
            </w:pPr>
            <w:r>
              <w:rPr>
                <w:rStyle w:val="95"/>
                <w:rFonts w:hint="eastAsia" w:ascii="宋体" w:hAnsi="宋体" w:eastAsia="宋体" w:cs="宋体"/>
                <w:color w:val="auto"/>
                <w:highlight w:val="none"/>
                <w:lang w:val="en-US" w:eastAsia="zh-CN" w:bidi="ar"/>
              </w:rPr>
              <w:t>评委根据投标人提供丰惠古城运营工作计划安排，从合理性、阶段把控性等角度进行打分。</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7623DF91">
            <w:pPr>
              <w:spacing w:line="400" w:lineRule="exact"/>
              <w:jc w:val="center"/>
              <w:rPr>
                <w:rFonts w:hint="eastAsia" w:ascii="宋体" w:hAnsi="宋体" w:eastAsia="宋体"/>
                <w:szCs w:val="21"/>
                <w:lang w:eastAsia="zh-CN"/>
              </w:rPr>
            </w:pPr>
            <w:r>
              <w:rPr>
                <w:rFonts w:hint="eastAsia" w:ascii="宋体" w:hAnsi="宋体"/>
                <w:szCs w:val="21"/>
                <w:lang w:val="en-US" w:eastAsia="zh-CN"/>
              </w:rPr>
              <w:t>4</w:t>
            </w:r>
          </w:p>
        </w:tc>
      </w:tr>
      <w:tr w14:paraId="2E808246">
        <w:tblPrEx>
          <w:tblCellMar>
            <w:top w:w="0" w:type="dxa"/>
            <w:left w:w="108" w:type="dxa"/>
            <w:bottom w:w="0" w:type="dxa"/>
            <w:right w:w="108" w:type="dxa"/>
          </w:tblCellMar>
        </w:tblPrEx>
        <w:trPr>
          <w:trHeight w:val="590" w:hRule="atLeast"/>
          <w:jc w:val="center"/>
        </w:trPr>
        <w:tc>
          <w:tcPr>
            <w:tcW w:w="443" w:type="pct"/>
            <w:vMerge w:val="continue"/>
            <w:tcBorders>
              <w:left w:val="single" w:color="auto" w:sz="4" w:space="0"/>
              <w:right w:val="single" w:color="auto" w:sz="4" w:space="0"/>
            </w:tcBorders>
            <w:noWrap w:val="0"/>
            <w:vAlign w:val="center"/>
          </w:tcPr>
          <w:p w14:paraId="28A011DB">
            <w:pPr>
              <w:widowControl/>
              <w:spacing w:line="312" w:lineRule="auto"/>
              <w:jc w:val="center"/>
              <w:rPr>
                <w:rFonts w:ascii="宋体" w:hAnsi="宋体" w:cs="仿宋"/>
                <w:szCs w:val="21"/>
              </w:rPr>
            </w:pPr>
          </w:p>
        </w:tc>
        <w:tc>
          <w:tcPr>
            <w:tcW w:w="862" w:type="pct"/>
            <w:vMerge w:val="continue"/>
            <w:tcBorders>
              <w:top w:val="single" w:color="auto" w:sz="4" w:space="0"/>
              <w:left w:val="single" w:color="auto" w:sz="4" w:space="0"/>
              <w:bottom w:val="single" w:color="auto" w:sz="4" w:space="0"/>
              <w:right w:val="single" w:color="auto" w:sz="4" w:space="0"/>
            </w:tcBorders>
            <w:noWrap w:val="0"/>
            <w:vAlign w:val="center"/>
          </w:tcPr>
          <w:p w14:paraId="7ECA5560">
            <w:pPr>
              <w:widowControl/>
              <w:jc w:val="center"/>
              <w:textAlignment w:val="center"/>
              <w:rPr>
                <w:rFonts w:hint="eastAsia" w:ascii="宋体" w:hAnsi="宋体" w:eastAsia="宋体" w:cs="宋体"/>
                <w:color w:val="auto"/>
                <w:sz w:val="24"/>
                <w:highlight w:val="none"/>
              </w:rPr>
            </w:pPr>
          </w:p>
        </w:tc>
        <w:tc>
          <w:tcPr>
            <w:tcW w:w="2960" w:type="pct"/>
            <w:tcBorders>
              <w:top w:val="single" w:color="auto" w:sz="4" w:space="0"/>
              <w:left w:val="single" w:color="auto" w:sz="4" w:space="0"/>
              <w:bottom w:val="single" w:color="auto" w:sz="4" w:space="0"/>
              <w:right w:val="single" w:color="auto" w:sz="4" w:space="0"/>
            </w:tcBorders>
            <w:noWrap w:val="0"/>
            <w:vAlign w:val="center"/>
          </w:tcPr>
          <w:p w14:paraId="5BB409A5">
            <w:pPr>
              <w:keepNext w:val="0"/>
              <w:keepLines w:val="0"/>
              <w:widowControl/>
              <w:suppressLineNumbers w:val="0"/>
              <w:ind w:firstLine="480" w:firstLineChars="200"/>
              <w:jc w:val="both"/>
              <w:textAlignment w:val="center"/>
              <w:rPr>
                <w:rStyle w:val="95"/>
                <w:rFonts w:hint="eastAsia" w:ascii="宋体" w:hAnsi="宋体" w:eastAsia="宋体" w:cs="宋体"/>
                <w:color w:val="auto"/>
                <w:highlight w:val="none"/>
                <w:lang w:val="en-US" w:eastAsia="zh-CN" w:bidi="ar"/>
              </w:rPr>
            </w:pPr>
            <w:r>
              <w:rPr>
                <w:rStyle w:val="95"/>
                <w:rFonts w:hint="eastAsia" w:ascii="宋体" w:hAnsi="宋体" w:eastAsia="宋体" w:cs="宋体"/>
                <w:color w:val="auto"/>
                <w:highlight w:val="none"/>
                <w:lang w:val="en-US" w:eastAsia="zh-CN" w:bidi="ar"/>
              </w:rPr>
              <w:t>根据投标人提供的丰惠古镇专题方案，进行综合性评审打分。</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0458BAA2">
            <w:pPr>
              <w:spacing w:line="400" w:lineRule="exact"/>
              <w:jc w:val="center"/>
              <w:rPr>
                <w:rFonts w:hint="eastAsia" w:ascii="宋体" w:hAnsi="宋体" w:eastAsia="宋体"/>
                <w:szCs w:val="21"/>
                <w:lang w:eastAsia="zh-CN"/>
              </w:rPr>
            </w:pPr>
            <w:r>
              <w:rPr>
                <w:rFonts w:hint="eastAsia" w:ascii="宋体" w:hAnsi="宋体"/>
                <w:szCs w:val="21"/>
                <w:lang w:val="en-US" w:eastAsia="zh-CN"/>
              </w:rPr>
              <w:t>5</w:t>
            </w:r>
          </w:p>
        </w:tc>
      </w:tr>
      <w:tr w14:paraId="1F938C03">
        <w:tblPrEx>
          <w:tblCellMar>
            <w:top w:w="0" w:type="dxa"/>
            <w:left w:w="108" w:type="dxa"/>
            <w:bottom w:w="0" w:type="dxa"/>
            <w:right w:w="108" w:type="dxa"/>
          </w:tblCellMar>
        </w:tblPrEx>
        <w:trPr>
          <w:trHeight w:val="590" w:hRule="atLeast"/>
          <w:jc w:val="center"/>
        </w:trPr>
        <w:tc>
          <w:tcPr>
            <w:tcW w:w="443" w:type="pct"/>
            <w:vMerge w:val="continue"/>
            <w:tcBorders>
              <w:left w:val="single" w:color="auto" w:sz="4" w:space="0"/>
              <w:right w:val="single" w:color="auto" w:sz="4" w:space="0"/>
            </w:tcBorders>
            <w:noWrap w:val="0"/>
            <w:vAlign w:val="center"/>
          </w:tcPr>
          <w:p w14:paraId="09B8961F">
            <w:pPr>
              <w:widowControl/>
              <w:spacing w:line="312" w:lineRule="auto"/>
              <w:jc w:val="center"/>
              <w:rPr>
                <w:rFonts w:ascii="宋体" w:hAnsi="宋体" w:cs="仿宋"/>
                <w:szCs w:val="21"/>
              </w:rPr>
            </w:pPr>
          </w:p>
        </w:tc>
        <w:tc>
          <w:tcPr>
            <w:tcW w:w="862" w:type="pct"/>
            <w:vMerge w:val="continue"/>
            <w:tcBorders>
              <w:top w:val="single" w:color="auto" w:sz="4" w:space="0"/>
              <w:left w:val="single" w:color="auto" w:sz="4" w:space="0"/>
              <w:bottom w:val="single" w:color="auto" w:sz="4" w:space="0"/>
              <w:right w:val="single" w:color="auto" w:sz="4" w:space="0"/>
            </w:tcBorders>
            <w:noWrap w:val="0"/>
            <w:vAlign w:val="center"/>
          </w:tcPr>
          <w:p w14:paraId="094EB561">
            <w:pPr>
              <w:widowControl/>
              <w:jc w:val="center"/>
              <w:textAlignment w:val="center"/>
              <w:rPr>
                <w:rFonts w:hint="eastAsia" w:ascii="宋体" w:hAnsi="宋体" w:eastAsia="宋体" w:cs="宋体"/>
                <w:color w:val="auto"/>
                <w:sz w:val="24"/>
                <w:highlight w:val="none"/>
              </w:rPr>
            </w:pPr>
          </w:p>
        </w:tc>
        <w:tc>
          <w:tcPr>
            <w:tcW w:w="2960" w:type="pct"/>
            <w:tcBorders>
              <w:top w:val="single" w:color="auto" w:sz="4" w:space="0"/>
              <w:left w:val="single" w:color="auto" w:sz="4" w:space="0"/>
              <w:bottom w:val="single" w:color="auto" w:sz="4" w:space="0"/>
              <w:right w:val="single" w:color="auto" w:sz="4" w:space="0"/>
            </w:tcBorders>
            <w:noWrap w:val="0"/>
            <w:vAlign w:val="center"/>
          </w:tcPr>
          <w:p w14:paraId="7C6D553F">
            <w:pPr>
              <w:keepNext w:val="0"/>
              <w:keepLines w:val="0"/>
              <w:widowControl/>
              <w:suppressLineNumbers w:val="0"/>
              <w:ind w:firstLine="480" w:firstLineChars="200"/>
              <w:jc w:val="both"/>
              <w:textAlignment w:val="center"/>
              <w:rPr>
                <w:rStyle w:val="95"/>
                <w:rFonts w:hint="eastAsia" w:ascii="宋体" w:hAnsi="宋体" w:eastAsia="宋体" w:cs="宋体"/>
                <w:color w:val="auto"/>
                <w:highlight w:val="none"/>
                <w:lang w:val="en-US" w:eastAsia="zh-CN" w:bidi="ar"/>
              </w:rPr>
            </w:pPr>
            <w:r>
              <w:rPr>
                <w:rStyle w:val="95"/>
                <w:rFonts w:hint="eastAsia" w:ascii="宋体" w:hAnsi="宋体" w:eastAsia="宋体" w:cs="宋体"/>
                <w:color w:val="auto"/>
                <w:highlight w:val="none"/>
                <w:lang w:val="en-US" w:eastAsia="zh-CN" w:bidi="ar"/>
              </w:rPr>
              <w:t>根据投标人提供的后续服务标准规范化的可行性、针对性进行打分。</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52FBDF00">
            <w:pPr>
              <w:spacing w:line="400" w:lineRule="exact"/>
              <w:jc w:val="center"/>
              <w:rPr>
                <w:rFonts w:hint="eastAsia" w:ascii="宋体" w:hAnsi="宋体" w:eastAsia="宋体"/>
                <w:szCs w:val="21"/>
              </w:rPr>
            </w:pPr>
            <w:r>
              <w:rPr>
                <w:rFonts w:hint="eastAsia" w:ascii="宋体" w:hAnsi="宋体" w:eastAsia="宋体"/>
                <w:szCs w:val="21"/>
              </w:rPr>
              <w:t>5</w:t>
            </w:r>
          </w:p>
        </w:tc>
      </w:tr>
      <w:tr w14:paraId="69E16F42">
        <w:tblPrEx>
          <w:tblCellMar>
            <w:top w:w="0" w:type="dxa"/>
            <w:left w:w="108" w:type="dxa"/>
            <w:bottom w:w="0" w:type="dxa"/>
            <w:right w:w="108" w:type="dxa"/>
          </w:tblCellMar>
        </w:tblPrEx>
        <w:trPr>
          <w:trHeight w:val="211" w:hRule="atLeast"/>
          <w:jc w:val="center"/>
        </w:trPr>
        <w:tc>
          <w:tcPr>
            <w:tcW w:w="443" w:type="pct"/>
            <w:vMerge w:val="continue"/>
            <w:tcBorders>
              <w:left w:val="single" w:color="auto" w:sz="4" w:space="0"/>
              <w:right w:val="single" w:color="auto" w:sz="4" w:space="0"/>
            </w:tcBorders>
            <w:noWrap w:val="0"/>
            <w:vAlign w:val="center"/>
          </w:tcPr>
          <w:p w14:paraId="3D7F956E">
            <w:pPr>
              <w:widowControl/>
              <w:spacing w:line="312" w:lineRule="auto"/>
              <w:jc w:val="center"/>
              <w:rPr>
                <w:rFonts w:hint="eastAsia" w:ascii="宋体" w:hAnsi="宋体" w:eastAsia="宋体" w:cs="仿宋"/>
                <w:szCs w:val="21"/>
                <w:lang w:eastAsia="zh-CN"/>
              </w:rPr>
            </w:pPr>
          </w:p>
        </w:tc>
        <w:tc>
          <w:tcPr>
            <w:tcW w:w="862" w:type="pct"/>
            <w:tcBorders>
              <w:top w:val="single" w:color="auto" w:sz="4" w:space="0"/>
              <w:left w:val="single" w:color="auto" w:sz="4" w:space="0"/>
              <w:right w:val="single" w:color="auto" w:sz="4" w:space="0"/>
            </w:tcBorders>
            <w:noWrap w:val="0"/>
            <w:vAlign w:val="center"/>
          </w:tcPr>
          <w:p w14:paraId="4B8836F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w:t>
            </w:r>
          </w:p>
        </w:tc>
        <w:tc>
          <w:tcPr>
            <w:tcW w:w="2960" w:type="pct"/>
            <w:tcBorders>
              <w:top w:val="single" w:color="auto" w:sz="4" w:space="0"/>
              <w:left w:val="single" w:color="auto" w:sz="4" w:space="0"/>
              <w:bottom w:val="single" w:color="auto" w:sz="4" w:space="0"/>
              <w:right w:val="single" w:color="auto" w:sz="4" w:space="0"/>
            </w:tcBorders>
            <w:noWrap w:val="0"/>
            <w:vAlign w:val="center"/>
          </w:tcPr>
          <w:p w14:paraId="54E9B73C">
            <w:pPr>
              <w:keepNext w:val="0"/>
              <w:keepLines w:val="0"/>
              <w:widowControl/>
              <w:suppressLineNumbers w:val="0"/>
              <w:ind w:firstLine="480" w:firstLineChars="200"/>
              <w:jc w:val="both"/>
              <w:textAlignment w:val="center"/>
              <w:rPr>
                <w:rStyle w:val="95"/>
                <w:rFonts w:hint="eastAsia" w:ascii="宋体" w:hAnsi="宋体" w:eastAsia="宋体" w:cs="宋体"/>
                <w:color w:val="auto"/>
                <w:highlight w:val="none"/>
                <w:lang w:val="en-US" w:eastAsia="zh-CN" w:bidi="ar"/>
              </w:rPr>
            </w:pPr>
            <w:r>
              <w:rPr>
                <w:rStyle w:val="95"/>
                <w:rFonts w:hint="eastAsia" w:ascii="宋体" w:hAnsi="宋体" w:eastAsia="宋体" w:cs="宋体"/>
                <w:color w:val="auto"/>
                <w:highlight w:val="none"/>
                <w:lang w:val="en-US" w:eastAsia="zh-CN" w:bidi="ar"/>
              </w:rPr>
              <w:t>根据服务质量保证制度建设情况的完善性、保障性、可行性等综合评定对比打分。</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596876F9">
            <w:pPr>
              <w:spacing w:line="400" w:lineRule="exact"/>
              <w:jc w:val="center"/>
              <w:rPr>
                <w:rFonts w:hint="eastAsia" w:ascii="宋体" w:hAnsi="宋体" w:eastAsia="宋体"/>
                <w:szCs w:val="21"/>
                <w:lang w:eastAsia="zh-CN"/>
              </w:rPr>
            </w:pPr>
            <w:r>
              <w:rPr>
                <w:rFonts w:hint="eastAsia" w:ascii="宋体" w:hAnsi="宋体"/>
                <w:szCs w:val="21"/>
                <w:lang w:val="en-US" w:eastAsia="zh-CN"/>
              </w:rPr>
              <w:t>4</w:t>
            </w:r>
          </w:p>
        </w:tc>
      </w:tr>
      <w:tr w14:paraId="2CC8459F">
        <w:tblPrEx>
          <w:tblCellMar>
            <w:top w:w="0" w:type="dxa"/>
            <w:left w:w="108" w:type="dxa"/>
            <w:bottom w:w="0" w:type="dxa"/>
            <w:right w:w="108" w:type="dxa"/>
          </w:tblCellMar>
        </w:tblPrEx>
        <w:trPr>
          <w:trHeight w:val="211" w:hRule="atLeast"/>
          <w:jc w:val="center"/>
        </w:trPr>
        <w:tc>
          <w:tcPr>
            <w:tcW w:w="443" w:type="pct"/>
            <w:vMerge w:val="continue"/>
            <w:tcBorders>
              <w:top w:val="single" w:color="auto" w:sz="4" w:space="0"/>
              <w:left w:val="single" w:color="auto" w:sz="4" w:space="0"/>
              <w:bottom w:val="single" w:color="auto" w:sz="4" w:space="0"/>
              <w:right w:val="single" w:color="auto" w:sz="4" w:space="0"/>
            </w:tcBorders>
            <w:noWrap w:val="0"/>
            <w:vAlign w:val="center"/>
          </w:tcPr>
          <w:p w14:paraId="550F6F78">
            <w:pPr>
              <w:keepNext w:val="0"/>
              <w:keepLines w:val="0"/>
              <w:widowControl/>
              <w:suppressLineNumbers w:val="0"/>
              <w:ind w:firstLine="420" w:firstLineChars="200"/>
              <w:jc w:val="both"/>
              <w:textAlignment w:val="center"/>
            </w:pPr>
          </w:p>
        </w:tc>
        <w:tc>
          <w:tcPr>
            <w:tcW w:w="862" w:type="pct"/>
            <w:vMerge w:val="restart"/>
            <w:tcBorders>
              <w:top w:val="single" w:color="auto" w:sz="4" w:space="0"/>
              <w:left w:val="single" w:color="auto" w:sz="4" w:space="0"/>
              <w:right w:val="single" w:color="auto" w:sz="4" w:space="0"/>
            </w:tcBorders>
            <w:noWrap w:val="0"/>
            <w:vAlign w:val="center"/>
          </w:tcPr>
          <w:p w14:paraId="5A24A782">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运营</w:t>
            </w:r>
            <w:r>
              <w:rPr>
                <w:rFonts w:hint="eastAsia" w:ascii="宋体" w:hAnsi="宋体" w:cs="宋体"/>
                <w:color w:val="auto"/>
                <w:sz w:val="24"/>
                <w:highlight w:val="none"/>
                <w:lang w:val="en-US" w:eastAsia="zh-CN"/>
              </w:rPr>
              <w:t>能力</w:t>
            </w:r>
          </w:p>
        </w:tc>
        <w:tc>
          <w:tcPr>
            <w:tcW w:w="5115" w:type="dxa"/>
            <w:tcBorders>
              <w:top w:val="single" w:color="auto" w:sz="4" w:space="0"/>
              <w:left w:val="single" w:color="auto" w:sz="4" w:space="0"/>
              <w:bottom w:val="single" w:color="auto" w:sz="4" w:space="0"/>
              <w:right w:val="single" w:color="auto" w:sz="4" w:space="0"/>
            </w:tcBorders>
            <w:noWrap w:val="0"/>
            <w:vAlign w:val="center"/>
          </w:tcPr>
          <w:p w14:paraId="455FD2C5">
            <w:pPr>
              <w:keepNext w:val="0"/>
              <w:keepLines w:val="0"/>
              <w:widowControl/>
              <w:suppressLineNumbers w:val="0"/>
              <w:ind w:firstLine="480" w:firstLineChars="200"/>
              <w:jc w:val="both"/>
              <w:textAlignment w:val="center"/>
              <w:rPr>
                <w:rStyle w:val="95"/>
                <w:rFonts w:hint="eastAsia" w:ascii="宋体" w:hAnsi="宋体" w:cs="宋体"/>
                <w:color w:val="auto"/>
                <w:highlight w:val="none"/>
                <w:lang w:val="en-US" w:eastAsia="zh-CN" w:bidi="ar"/>
              </w:rPr>
            </w:pPr>
            <w:r>
              <w:rPr>
                <w:rStyle w:val="95"/>
                <w:rFonts w:hint="eastAsia" w:ascii="宋体" w:hAnsi="宋体" w:cs="宋体"/>
                <w:color w:val="auto"/>
                <w:highlight w:val="none"/>
                <w:lang w:val="en-US" w:eastAsia="zh-CN" w:bidi="ar"/>
              </w:rPr>
              <w:t>根据投标人MCN的数据驱动内容、多元内容形态、强大商务能力、新媒体运营能力进行综合评定对比打分。</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19D0FFE1">
            <w:pPr>
              <w:keepNext w:val="0"/>
              <w:keepLines w:val="0"/>
              <w:widowControl/>
              <w:suppressLineNumbers w:val="0"/>
              <w:ind w:firstLine="480" w:firstLineChars="200"/>
              <w:jc w:val="both"/>
              <w:textAlignment w:val="center"/>
              <w:rPr>
                <w:rStyle w:val="95"/>
                <w:rFonts w:hint="eastAsia" w:ascii="宋体" w:hAnsi="宋体" w:cs="宋体"/>
                <w:color w:val="auto"/>
                <w:highlight w:val="none"/>
                <w:lang w:val="en-US" w:eastAsia="zh-CN" w:bidi="ar"/>
              </w:rPr>
            </w:pPr>
            <w:r>
              <w:rPr>
                <w:rStyle w:val="95"/>
                <w:rFonts w:hint="eastAsia" w:ascii="宋体" w:hAnsi="宋体" w:cs="宋体"/>
                <w:color w:val="auto"/>
                <w:highlight w:val="none"/>
                <w:lang w:val="en-US" w:eastAsia="zh-CN" w:bidi="ar"/>
              </w:rPr>
              <w:t>5</w:t>
            </w:r>
          </w:p>
        </w:tc>
      </w:tr>
      <w:tr w14:paraId="50031F15">
        <w:tblPrEx>
          <w:tblCellMar>
            <w:top w:w="0" w:type="dxa"/>
            <w:left w:w="108" w:type="dxa"/>
            <w:bottom w:w="0" w:type="dxa"/>
            <w:right w:w="108" w:type="dxa"/>
          </w:tblCellMar>
        </w:tblPrEx>
        <w:trPr>
          <w:trHeight w:val="211" w:hRule="atLeast"/>
          <w:jc w:val="center"/>
        </w:trPr>
        <w:tc>
          <w:tcPr>
            <w:tcW w:w="443" w:type="pct"/>
            <w:vMerge w:val="continue"/>
            <w:tcBorders>
              <w:top w:val="single" w:color="auto" w:sz="4" w:space="0"/>
              <w:left w:val="single" w:color="auto" w:sz="4" w:space="0"/>
              <w:bottom w:val="single" w:color="auto" w:sz="4" w:space="0"/>
              <w:right w:val="single" w:color="auto" w:sz="4" w:space="0"/>
            </w:tcBorders>
            <w:noWrap w:val="0"/>
            <w:vAlign w:val="center"/>
          </w:tcPr>
          <w:p w14:paraId="0603AB5B">
            <w:pPr>
              <w:keepNext w:val="0"/>
              <w:keepLines w:val="0"/>
              <w:widowControl/>
              <w:suppressLineNumbers w:val="0"/>
              <w:ind w:firstLine="420" w:firstLineChars="200"/>
              <w:jc w:val="both"/>
              <w:textAlignment w:val="center"/>
            </w:pPr>
          </w:p>
        </w:tc>
        <w:tc>
          <w:tcPr>
            <w:tcW w:w="862" w:type="pct"/>
            <w:vMerge w:val="continue"/>
            <w:tcBorders>
              <w:left w:val="single" w:color="auto" w:sz="4" w:space="0"/>
              <w:bottom w:val="single" w:color="auto" w:sz="4" w:space="0"/>
              <w:right w:val="single" w:color="auto" w:sz="4" w:space="0"/>
            </w:tcBorders>
            <w:noWrap w:val="0"/>
            <w:vAlign w:val="center"/>
          </w:tcPr>
          <w:p w14:paraId="0F057FF5">
            <w:pPr>
              <w:keepNext w:val="0"/>
              <w:keepLines w:val="0"/>
              <w:widowControl/>
              <w:suppressLineNumbers w:val="0"/>
              <w:ind w:firstLine="420" w:firstLineChars="200"/>
              <w:jc w:val="both"/>
              <w:textAlignment w:val="center"/>
            </w:pPr>
          </w:p>
        </w:tc>
        <w:tc>
          <w:tcPr>
            <w:tcW w:w="5115" w:type="dxa"/>
            <w:tcBorders>
              <w:top w:val="single" w:color="auto" w:sz="4" w:space="0"/>
              <w:left w:val="single" w:color="auto" w:sz="4" w:space="0"/>
              <w:bottom w:val="single" w:color="auto" w:sz="4" w:space="0"/>
              <w:right w:val="single" w:color="auto" w:sz="4" w:space="0"/>
            </w:tcBorders>
            <w:noWrap w:val="0"/>
            <w:vAlign w:val="center"/>
          </w:tcPr>
          <w:p w14:paraId="52BCE611">
            <w:pPr>
              <w:keepNext w:val="0"/>
              <w:keepLines w:val="0"/>
              <w:widowControl/>
              <w:suppressLineNumbers w:val="0"/>
              <w:ind w:firstLine="480" w:firstLineChars="200"/>
              <w:jc w:val="both"/>
              <w:textAlignment w:val="center"/>
              <w:rPr>
                <w:rStyle w:val="95"/>
                <w:rFonts w:hint="default" w:ascii="宋体" w:hAnsi="宋体" w:cs="宋体"/>
                <w:color w:val="auto"/>
                <w:highlight w:val="none"/>
                <w:lang w:val="en-US" w:eastAsia="zh-CN" w:bidi="ar"/>
              </w:rPr>
            </w:pPr>
            <w:r>
              <w:rPr>
                <w:rStyle w:val="95"/>
                <w:rFonts w:hint="eastAsia" w:ascii="宋体" w:hAnsi="宋体" w:cs="宋体"/>
                <w:color w:val="auto"/>
                <w:highlight w:val="none"/>
                <w:lang w:val="en-US" w:eastAsia="zh-CN" w:bidi="ar"/>
              </w:rPr>
              <w:t>根据投标人拥有流量扶持优势，从服务质量延伸性、优化程度进行综合评定对比打分。</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4AD220A0">
            <w:pPr>
              <w:keepNext w:val="0"/>
              <w:keepLines w:val="0"/>
              <w:widowControl/>
              <w:suppressLineNumbers w:val="0"/>
              <w:ind w:firstLine="480" w:firstLineChars="200"/>
              <w:jc w:val="both"/>
              <w:textAlignment w:val="center"/>
              <w:rPr>
                <w:rStyle w:val="95"/>
                <w:rFonts w:hint="default" w:ascii="宋体" w:hAnsi="宋体" w:cs="宋体"/>
                <w:color w:val="auto"/>
                <w:highlight w:val="none"/>
                <w:lang w:val="en-US" w:eastAsia="zh-CN" w:bidi="ar"/>
              </w:rPr>
            </w:pPr>
            <w:r>
              <w:rPr>
                <w:rStyle w:val="95"/>
                <w:rFonts w:hint="eastAsia" w:ascii="宋体" w:hAnsi="宋体" w:cs="宋体"/>
                <w:color w:val="auto"/>
                <w:highlight w:val="none"/>
                <w:lang w:val="en-US" w:eastAsia="zh-CN" w:bidi="ar"/>
              </w:rPr>
              <w:t>5</w:t>
            </w:r>
          </w:p>
        </w:tc>
      </w:tr>
      <w:tr w14:paraId="60AE80A4">
        <w:tblPrEx>
          <w:tblCellMar>
            <w:top w:w="0" w:type="dxa"/>
            <w:left w:w="108" w:type="dxa"/>
            <w:bottom w:w="0" w:type="dxa"/>
            <w:right w:w="108" w:type="dxa"/>
          </w:tblCellMar>
        </w:tblPrEx>
        <w:trPr>
          <w:trHeight w:val="590" w:hRule="atLeast"/>
          <w:jc w:val="center"/>
        </w:trPr>
        <w:tc>
          <w:tcPr>
            <w:tcW w:w="443" w:type="pct"/>
            <w:vMerge w:val="continue"/>
            <w:tcBorders>
              <w:top w:val="single" w:color="auto" w:sz="4" w:space="0"/>
              <w:left w:val="single" w:color="auto" w:sz="4" w:space="0"/>
              <w:right w:val="single" w:color="auto" w:sz="4" w:space="0"/>
            </w:tcBorders>
            <w:noWrap w:val="0"/>
            <w:vAlign w:val="center"/>
          </w:tcPr>
          <w:p w14:paraId="24B8A497">
            <w:pPr>
              <w:widowControl/>
              <w:spacing w:line="312" w:lineRule="auto"/>
              <w:jc w:val="center"/>
              <w:rPr>
                <w:rFonts w:hint="eastAsia" w:ascii="宋体" w:hAnsi="宋体" w:eastAsia="宋体" w:cs="仿宋"/>
                <w:szCs w:val="21"/>
                <w:lang w:eastAsia="zh-CN"/>
              </w:rPr>
            </w:pPr>
          </w:p>
        </w:tc>
        <w:tc>
          <w:tcPr>
            <w:tcW w:w="862" w:type="pct"/>
            <w:tcBorders>
              <w:top w:val="single" w:color="auto" w:sz="4" w:space="0"/>
              <w:left w:val="single" w:color="auto" w:sz="4" w:space="0"/>
              <w:bottom w:val="single" w:color="auto" w:sz="4" w:space="0"/>
              <w:right w:val="single" w:color="auto" w:sz="4" w:space="0"/>
            </w:tcBorders>
            <w:noWrap w:val="0"/>
            <w:vAlign w:val="center"/>
          </w:tcPr>
          <w:p w14:paraId="485FB3B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人员配置</w:t>
            </w:r>
          </w:p>
        </w:tc>
        <w:tc>
          <w:tcPr>
            <w:tcW w:w="2960" w:type="pct"/>
            <w:tcBorders>
              <w:top w:val="single" w:color="auto" w:sz="4" w:space="0"/>
              <w:left w:val="single" w:color="auto" w:sz="4" w:space="0"/>
              <w:bottom w:val="single" w:color="auto" w:sz="4" w:space="0"/>
              <w:right w:val="single" w:color="auto" w:sz="4" w:space="0"/>
            </w:tcBorders>
            <w:noWrap w:val="0"/>
            <w:vAlign w:val="center"/>
          </w:tcPr>
          <w:p w14:paraId="6DBFAE4B">
            <w:pPr>
              <w:keepNext w:val="0"/>
              <w:keepLines w:val="0"/>
              <w:widowControl/>
              <w:suppressLineNumbers w:val="0"/>
              <w:ind w:firstLine="480" w:firstLineChars="200"/>
              <w:jc w:val="both"/>
              <w:textAlignment w:val="center"/>
              <w:rPr>
                <w:rStyle w:val="95"/>
                <w:rFonts w:hint="eastAsia" w:ascii="宋体" w:hAnsi="宋体" w:eastAsia="宋体" w:cs="宋体"/>
                <w:color w:val="auto"/>
                <w:highlight w:val="none"/>
                <w:lang w:val="en-US" w:eastAsia="zh-CN" w:bidi="ar"/>
              </w:rPr>
            </w:pPr>
            <w:r>
              <w:rPr>
                <w:rStyle w:val="95"/>
                <w:rFonts w:hint="eastAsia" w:ascii="宋体" w:hAnsi="宋体" w:eastAsia="宋体" w:cs="宋体"/>
                <w:color w:val="auto"/>
                <w:highlight w:val="none"/>
                <w:lang w:val="en-US" w:eastAsia="zh-CN" w:bidi="ar"/>
              </w:rPr>
              <w:t>根据供应商提供服务团队的专业性、人员配置分工安排是否合理、过往运营服务履历及经验进行综合评定对比打分。</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519CFBBB">
            <w:pPr>
              <w:spacing w:line="400" w:lineRule="exact"/>
              <w:jc w:val="center"/>
              <w:rPr>
                <w:rFonts w:hint="eastAsia" w:ascii="宋体" w:hAnsi="宋体" w:eastAsia="宋体"/>
                <w:szCs w:val="21"/>
                <w:lang w:eastAsia="zh-CN"/>
              </w:rPr>
            </w:pPr>
            <w:r>
              <w:rPr>
                <w:rFonts w:hint="eastAsia" w:ascii="宋体" w:hAnsi="宋体"/>
                <w:szCs w:val="21"/>
                <w:lang w:val="en-US" w:eastAsia="zh-CN"/>
              </w:rPr>
              <w:t>4</w:t>
            </w:r>
          </w:p>
        </w:tc>
      </w:tr>
      <w:tr w14:paraId="23AB568C">
        <w:tblPrEx>
          <w:tblCellMar>
            <w:top w:w="0" w:type="dxa"/>
            <w:left w:w="108" w:type="dxa"/>
            <w:bottom w:w="0" w:type="dxa"/>
            <w:right w:w="108" w:type="dxa"/>
          </w:tblCellMar>
        </w:tblPrEx>
        <w:trPr>
          <w:trHeight w:val="590" w:hRule="atLeast"/>
          <w:jc w:val="center"/>
        </w:trPr>
        <w:tc>
          <w:tcPr>
            <w:tcW w:w="443" w:type="pct"/>
            <w:vMerge w:val="continue"/>
            <w:tcBorders>
              <w:left w:val="single" w:color="auto" w:sz="4" w:space="0"/>
              <w:bottom w:val="single" w:color="auto" w:sz="4" w:space="0"/>
              <w:right w:val="single" w:color="auto" w:sz="4" w:space="0"/>
            </w:tcBorders>
            <w:noWrap w:val="0"/>
            <w:vAlign w:val="center"/>
          </w:tcPr>
          <w:p w14:paraId="297FAD7C">
            <w:pPr>
              <w:widowControl/>
              <w:spacing w:line="312" w:lineRule="auto"/>
              <w:jc w:val="center"/>
              <w:rPr>
                <w:rFonts w:hint="eastAsia" w:ascii="宋体" w:hAnsi="宋体" w:eastAsia="宋体" w:cs="仿宋"/>
                <w:szCs w:val="21"/>
                <w:lang w:eastAsia="zh-CN"/>
              </w:rPr>
            </w:pPr>
          </w:p>
        </w:tc>
        <w:tc>
          <w:tcPr>
            <w:tcW w:w="862" w:type="pct"/>
            <w:tcBorders>
              <w:top w:val="single" w:color="auto" w:sz="4" w:space="0"/>
              <w:left w:val="single" w:color="auto" w:sz="4" w:space="0"/>
              <w:bottom w:val="single" w:color="auto" w:sz="4" w:space="0"/>
              <w:right w:val="single" w:color="auto" w:sz="4" w:space="0"/>
            </w:tcBorders>
            <w:noWrap w:val="0"/>
            <w:vAlign w:val="center"/>
          </w:tcPr>
          <w:p w14:paraId="4755EFD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档案管理</w:t>
            </w:r>
          </w:p>
        </w:tc>
        <w:tc>
          <w:tcPr>
            <w:tcW w:w="2960" w:type="pct"/>
            <w:tcBorders>
              <w:top w:val="single" w:color="auto" w:sz="4" w:space="0"/>
              <w:left w:val="single" w:color="auto" w:sz="4" w:space="0"/>
              <w:bottom w:val="single" w:color="auto" w:sz="4" w:space="0"/>
              <w:right w:val="single" w:color="auto" w:sz="4" w:space="0"/>
            </w:tcBorders>
            <w:noWrap w:val="0"/>
            <w:vAlign w:val="center"/>
          </w:tcPr>
          <w:p w14:paraId="1AFE515C">
            <w:pPr>
              <w:keepNext w:val="0"/>
              <w:keepLines w:val="0"/>
              <w:widowControl/>
              <w:suppressLineNumbers w:val="0"/>
              <w:ind w:firstLine="480" w:firstLineChars="200"/>
              <w:jc w:val="both"/>
              <w:textAlignment w:val="center"/>
              <w:rPr>
                <w:rStyle w:val="95"/>
                <w:rFonts w:hint="eastAsia" w:ascii="宋体" w:hAnsi="宋体" w:eastAsia="宋体" w:cs="宋体"/>
                <w:color w:val="auto"/>
                <w:highlight w:val="none"/>
                <w:lang w:val="en-US" w:eastAsia="zh-CN" w:bidi="ar"/>
              </w:rPr>
            </w:pPr>
            <w:r>
              <w:rPr>
                <w:rStyle w:val="95"/>
                <w:rFonts w:hint="eastAsia" w:ascii="宋体" w:hAnsi="宋体" w:eastAsia="宋体" w:cs="宋体"/>
                <w:color w:val="auto"/>
                <w:highlight w:val="none"/>
                <w:lang w:val="en-US" w:eastAsia="zh-CN" w:bidi="ar"/>
              </w:rPr>
              <w:t>有完善的档案管理制度，资料的整理归档方案是否符合本项目规范要求等综合评定对比打分。</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19933BA4">
            <w:pPr>
              <w:spacing w:line="400" w:lineRule="exact"/>
              <w:jc w:val="center"/>
              <w:rPr>
                <w:rFonts w:hint="eastAsia" w:ascii="宋体" w:hAnsi="宋体" w:eastAsia="宋体"/>
                <w:szCs w:val="21"/>
                <w:lang w:eastAsia="zh-CN"/>
              </w:rPr>
            </w:pPr>
            <w:r>
              <w:rPr>
                <w:rFonts w:hint="eastAsia" w:ascii="宋体" w:hAnsi="宋体"/>
                <w:szCs w:val="21"/>
                <w:lang w:val="en-US" w:eastAsia="zh-CN"/>
              </w:rPr>
              <w:t>4</w:t>
            </w:r>
          </w:p>
        </w:tc>
      </w:tr>
    </w:tbl>
    <w:p w14:paraId="261A7C05">
      <w:pPr>
        <w:pStyle w:val="3"/>
        <w:rPr>
          <w:rFonts w:hint="eastAsia"/>
        </w:rPr>
      </w:pPr>
    </w:p>
    <w:p w14:paraId="01AE3272">
      <w:pPr>
        <w:pStyle w:val="27"/>
        <w:numPr>
          <w:ilvl w:val="0"/>
          <w:numId w:val="0"/>
        </w:numPr>
      </w:pPr>
    </w:p>
    <w:p w14:paraId="6480B112">
      <w:pPr>
        <w:numPr>
          <w:ilvl w:val="0"/>
          <w:numId w:val="19"/>
        </w:numPr>
        <w:ind w:left="0" w:leftChars="0"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商务要求表</w:t>
      </w:r>
      <w:r>
        <w:rPr>
          <w:rFonts w:hint="eastAsia" w:ascii="宋体" w:hAnsi="宋体" w:cs="宋体"/>
          <w:color w:val="auto"/>
          <w:sz w:val="24"/>
          <w:szCs w:val="24"/>
          <w:highlight w:val="none"/>
        </w:rPr>
        <w:t>（对应评分标准）</w:t>
      </w:r>
    </w:p>
    <w:tbl>
      <w:tblPr>
        <w:tblStyle w:val="29"/>
        <w:tblW w:w="9300"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03"/>
        <w:gridCol w:w="6395"/>
        <w:gridCol w:w="825"/>
      </w:tblGrid>
      <w:tr w14:paraId="33A6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7" w:type="dxa"/>
            <w:noWrap w:val="0"/>
            <w:vAlign w:val="center"/>
          </w:tcPr>
          <w:p w14:paraId="4EF51E2E">
            <w:pPr>
              <w:widowControl/>
              <w:jc w:val="center"/>
              <w:textAlignment w:val="center"/>
              <w:rPr>
                <w:rFonts w:hint="eastAsia" w:ascii="宋体" w:hAnsi="宋体" w:eastAsia="宋体" w:cs="宋体"/>
                <w:b/>
                <w:snapToGrid/>
                <w:color w:val="auto"/>
                <w:kern w:val="2"/>
                <w:sz w:val="24"/>
                <w:szCs w:val="24"/>
                <w:highlight w:val="none"/>
                <w:lang w:bidi="ar"/>
              </w:rPr>
            </w:pPr>
            <w:r>
              <w:rPr>
                <w:rFonts w:hint="eastAsia" w:ascii="宋体" w:hAnsi="宋体" w:eastAsia="宋体" w:cs="宋体"/>
                <w:b/>
                <w:snapToGrid/>
                <w:color w:val="auto"/>
                <w:kern w:val="2"/>
                <w:sz w:val="24"/>
                <w:szCs w:val="24"/>
                <w:highlight w:val="none"/>
                <w:lang w:bidi="ar"/>
              </w:rPr>
              <w:t>序号</w:t>
            </w:r>
          </w:p>
        </w:tc>
        <w:tc>
          <w:tcPr>
            <w:tcW w:w="1203" w:type="dxa"/>
            <w:noWrap w:val="0"/>
            <w:vAlign w:val="center"/>
          </w:tcPr>
          <w:p w14:paraId="37D2B308">
            <w:pPr>
              <w:widowControl/>
              <w:jc w:val="center"/>
              <w:textAlignment w:val="center"/>
              <w:rPr>
                <w:rFonts w:hint="eastAsia" w:ascii="宋体" w:hAnsi="宋体" w:eastAsia="宋体" w:cs="宋体"/>
                <w:b/>
                <w:snapToGrid/>
                <w:color w:val="auto"/>
                <w:kern w:val="2"/>
                <w:sz w:val="24"/>
                <w:szCs w:val="24"/>
                <w:highlight w:val="none"/>
                <w:lang w:bidi="ar"/>
              </w:rPr>
            </w:pPr>
            <w:r>
              <w:rPr>
                <w:rFonts w:hint="eastAsia" w:ascii="宋体" w:hAnsi="宋体" w:eastAsia="宋体" w:cs="宋体"/>
                <w:b/>
                <w:snapToGrid/>
                <w:color w:val="auto"/>
                <w:kern w:val="2"/>
                <w:sz w:val="24"/>
                <w:szCs w:val="24"/>
                <w:highlight w:val="none"/>
                <w:lang w:bidi="ar"/>
              </w:rPr>
              <w:t>评审因素</w:t>
            </w:r>
          </w:p>
        </w:tc>
        <w:tc>
          <w:tcPr>
            <w:tcW w:w="6395" w:type="dxa"/>
            <w:noWrap w:val="0"/>
            <w:vAlign w:val="center"/>
          </w:tcPr>
          <w:p w14:paraId="43F3D341">
            <w:pPr>
              <w:widowControl/>
              <w:jc w:val="center"/>
              <w:textAlignment w:val="center"/>
              <w:rPr>
                <w:rFonts w:hint="eastAsia" w:ascii="宋体" w:hAnsi="宋体" w:eastAsia="宋体" w:cs="宋体"/>
                <w:b/>
                <w:snapToGrid/>
                <w:color w:val="auto"/>
                <w:kern w:val="2"/>
                <w:sz w:val="24"/>
                <w:szCs w:val="24"/>
                <w:highlight w:val="none"/>
                <w:lang w:bidi="ar"/>
              </w:rPr>
            </w:pPr>
            <w:r>
              <w:rPr>
                <w:rFonts w:hint="eastAsia" w:ascii="宋体" w:hAnsi="宋体" w:eastAsia="宋体" w:cs="宋体"/>
                <w:b/>
                <w:snapToGrid/>
                <w:color w:val="auto"/>
                <w:kern w:val="2"/>
                <w:sz w:val="24"/>
                <w:szCs w:val="24"/>
                <w:highlight w:val="none"/>
                <w:lang w:bidi="ar"/>
              </w:rPr>
              <w:t>评分标准说明</w:t>
            </w:r>
          </w:p>
        </w:tc>
        <w:tc>
          <w:tcPr>
            <w:tcW w:w="825" w:type="dxa"/>
            <w:noWrap w:val="0"/>
            <w:vAlign w:val="center"/>
          </w:tcPr>
          <w:p w14:paraId="6A1E9ABD">
            <w:pPr>
              <w:widowControl/>
              <w:jc w:val="center"/>
              <w:textAlignment w:val="center"/>
              <w:rPr>
                <w:rFonts w:hint="eastAsia" w:ascii="宋体" w:hAnsi="宋体" w:eastAsia="宋体" w:cs="宋体"/>
                <w:b/>
                <w:snapToGrid/>
                <w:color w:val="auto"/>
                <w:kern w:val="2"/>
                <w:sz w:val="24"/>
                <w:szCs w:val="24"/>
                <w:highlight w:val="none"/>
                <w:lang w:bidi="ar"/>
              </w:rPr>
            </w:pPr>
            <w:r>
              <w:rPr>
                <w:rFonts w:hint="eastAsia" w:ascii="宋体" w:hAnsi="宋体" w:eastAsia="宋体" w:cs="宋体"/>
                <w:b/>
                <w:snapToGrid/>
                <w:color w:val="auto"/>
                <w:kern w:val="2"/>
                <w:sz w:val="24"/>
                <w:szCs w:val="24"/>
                <w:highlight w:val="none"/>
                <w:lang w:bidi="ar"/>
              </w:rPr>
              <w:t>总分</w:t>
            </w:r>
          </w:p>
        </w:tc>
      </w:tr>
      <w:tr w14:paraId="2902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77" w:type="dxa"/>
            <w:vMerge w:val="restart"/>
            <w:noWrap w:val="0"/>
            <w:vAlign w:val="center"/>
          </w:tcPr>
          <w:p w14:paraId="1CD79F35">
            <w:pPr>
              <w:jc w:val="center"/>
              <w:rPr>
                <w:rFonts w:hint="eastAsia" w:ascii="宋体" w:hAnsi="宋体" w:cs="宋体"/>
                <w:color w:val="auto"/>
                <w:sz w:val="24"/>
                <w:szCs w:val="24"/>
                <w:highlight w:val="none"/>
              </w:rPr>
            </w:pPr>
            <w:r>
              <w:rPr>
                <w:rFonts w:hint="eastAsia" w:ascii="宋体" w:hAnsi="宋体" w:eastAsia="宋体" w:cs="宋体"/>
                <w:snapToGrid/>
                <w:color w:val="auto"/>
                <w:kern w:val="2"/>
                <w:sz w:val="24"/>
                <w:szCs w:val="21"/>
                <w:highlight w:val="none"/>
              </w:rPr>
              <w:t>资信</w:t>
            </w:r>
            <w:r>
              <w:rPr>
                <w:rFonts w:hint="eastAsia" w:ascii="宋体" w:hAnsi="宋体" w:cs="宋体"/>
                <w:color w:val="auto"/>
                <w:sz w:val="24"/>
                <w:szCs w:val="24"/>
                <w:highlight w:val="none"/>
              </w:rPr>
              <w:t xml:space="preserve">   </w:t>
            </w:r>
          </w:p>
        </w:tc>
        <w:tc>
          <w:tcPr>
            <w:tcW w:w="1203" w:type="dxa"/>
            <w:noWrap w:val="0"/>
            <w:vAlign w:val="center"/>
          </w:tcPr>
          <w:p w14:paraId="3FA5D76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供应商业绩</w:t>
            </w:r>
          </w:p>
        </w:tc>
        <w:tc>
          <w:tcPr>
            <w:tcW w:w="6395" w:type="dxa"/>
            <w:noWrap w:val="0"/>
            <w:vAlign w:val="center"/>
          </w:tcPr>
          <w:p w14:paraId="146D1F5D">
            <w:pPr>
              <w:keepNext w:val="0"/>
              <w:keepLines w:val="0"/>
              <w:widowControl/>
              <w:suppressLineNumbers w:val="0"/>
              <w:ind w:firstLine="480" w:firstLineChars="200"/>
              <w:jc w:val="both"/>
              <w:textAlignment w:val="center"/>
              <w:rPr>
                <w:rStyle w:val="95"/>
                <w:rFonts w:hint="eastAsia" w:ascii="宋体" w:hAnsi="宋体" w:eastAsia="宋体" w:cs="宋体"/>
                <w:color w:val="000000" w:themeColor="text1"/>
                <w:highlight w:val="none"/>
                <w:lang w:val="en-US" w:eastAsia="zh-CN" w:bidi="ar"/>
                <w14:textFill>
                  <w14:solidFill>
                    <w14:schemeClr w14:val="tx1"/>
                  </w14:solidFill>
                </w14:textFill>
              </w:rPr>
            </w:pPr>
            <w:r>
              <w:rPr>
                <w:rStyle w:val="95"/>
                <w:rFonts w:hint="eastAsia" w:ascii="宋体" w:hAnsi="宋体" w:eastAsia="宋体" w:cs="宋体"/>
                <w:color w:val="000000" w:themeColor="text1"/>
                <w:highlight w:val="none"/>
                <w:lang w:val="en-US" w:eastAsia="zh-CN" w:bidi="ar"/>
                <w14:textFill>
                  <w14:solidFill>
                    <w14:schemeClr w14:val="tx1"/>
                  </w14:solidFill>
                </w14:textFill>
              </w:rPr>
              <w:t>投标人自202</w:t>
            </w:r>
            <w:r>
              <w:rPr>
                <w:rStyle w:val="95"/>
                <w:rFonts w:hint="eastAsia" w:ascii="宋体" w:hAnsi="宋体" w:cs="宋体"/>
                <w:color w:val="000000" w:themeColor="text1"/>
                <w:highlight w:val="none"/>
                <w:lang w:val="en-US" w:eastAsia="zh-CN" w:bidi="ar"/>
                <w14:textFill>
                  <w14:solidFill>
                    <w14:schemeClr w14:val="tx1"/>
                  </w14:solidFill>
                </w14:textFill>
              </w:rPr>
              <w:t>2</w:t>
            </w:r>
            <w:r>
              <w:rPr>
                <w:rStyle w:val="95"/>
                <w:rFonts w:hint="eastAsia" w:ascii="宋体" w:hAnsi="宋体" w:eastAsia="宋体" w:cs="宋体"/>
                <w:color w:val="000000" w:themeColor="text1"/>
                <w:highlight w:val="none"/>
                <w:lang w:val="en-US" w:eastAsia="zh-CN" w:bidi="ar"/>
                <w14:textFill>
                  <w14:solidFill>
                    <w14:schemeClr w14:val="tx1"/>
                  </w14:solidFill>
                </w14:textFill>
              </w:rPr>
              <w:t>年1月1日以来（以合同签订时间为准）承接过类似业绩，每个得</w:t>
            </w:r>
            <w:r>
              <w:rPr>
                <w:rStyle w:val="95"/>
                <w:rFonts w:ascii="宋体" w:hAnsi="宋体" w:eastAsia="宋体" w:cs="宋体"/>
                <w:color w:val="000000" w:themeColor="text1"/>
                <w:highlight w:val="none"/>
                <w:lang w:val="en-US" w:eastAsia="zh-CN" w:bidi="ar"/>
                <w14:textFill>
                  <w14:solidFill>
                    <w14:schemeClr w14:val="tx1"/>
                  </w14:solidFill>
                </w14:textFill>
              </w:rPr>
              <w:t>1</w:t>
            </w:r>
            <w:r>
              <w:rPr>
                <w:rStyle w:val="95"/>
                <w:rFonts w:hint="eastAsia" w:ascii="宋体" w:hAnsi="宋体" w:eastAsia="宋体" w:cs="宋体"/>
                <w:color w:val="000000" w:themeColor="text1"/>
                <w:highlight w:val="none"/>
                <w:lang w:val="en-US" w:eastAsia="zh-CN" w:bidi="ar"/>
                <w14:textFill>
                  <w14:solidFill>
                    <w14:schemeClr w14:val="tx1"/>
                  </w14:solidFill>
                </w14:textFill>
              </w:rPr>
              <w:t>分，最高得</w:t>
            </w:r>
            <w:r>
              <w:rPr>
                <w:rStyle w:val="95"/>
                <w:rFonts w:hint="eastAsia" w:ascii="宋体" w:hAnsi="宋体" w:cs="宋体"/>
                <w:color w:val="000000" w:themeColor="text1"/>
                <w:highlight w:val="none"/>
                <w:lang w:val="en-US" w:eastAsia="zh-CN" w:bidi="ar"/>
                <w14:textFill>
                  <w14:solidFill>
                    <w14:schemeClr w14:val="tx1"/>
                  </w14:solidFill>
                </w14:textFill>
              </w:rPr>
              <w:t>3</w:t>
            </w:r>
            <w:r>
              <w:rPr>
                <w:rStyle w:val="95"/>
                <w:rFonts w:hint="eastAsia" w:ascii="宋体" w:hAnsi="宋体" w:eastAsia="宋体" w:cs="宋体"/>
                <w:color w:val="000000" w:themeColor="text1"/>
                <w:highlight w:val="none"/>
                <w:lang w:val="en-US" w:eastAsia="zh-CN" w:bidi="ar"/>
                <w14:textFill>
                  <w14:solidFill>
                    <w14:schemeClr w14:val="tx1"/>
                  </w14:solidFill>
                </w14:textFill>
              </w:rPr>
              <w:t>分。</w:t>
            </w:r>
          </w:p>
          <w:p w14:paraId="0796372F">
            <w:pPr>
              <w:keepNext w:val="0"/>
              <w:keepLines w:val="0"/>
              <w:widowControl/>
              <w:suppressLineNumbers w:val="0"/>
              <w:ind w:firstLine="480" w:firstLineChars="200"/>
              <w:jc w:val="both"/>
              <w:textAlignment w:val="center"/>
              <w:rPr>
                <w:rStyle w:val="95"/>
                <w:rFonts w:ascii="宋体" w:hAnsi="宋体" w:eastAsia="宋体" w:cs="宋体"/>
                <w:color w:val="000000" w:themeColor="text1"/>
                <w:highlight w:val="none"/>
                <w:lang w:val="en-US" w:eastAsia="zh-CN" w:bidi="ar"/>
                <w14:textFill>
                  <w14:solidFill>
                    <w14:schemeClr w14:val="tx1"/>
                  </w14:solidFill>
                </w14:textFill>
              </w:rPr>
            </w:pPr>
            <w:r>
              <w:rPr>
                <w:rStyle w:val="95"/>
                <w:rFonts w:hint="eastAsia" w:ascii="宋体" w:hAnsi="宋体" w:cs="宋体"/>
                <w:color w:val="000000" w:themeColor="text1"/>
                <w:highlight w:val="none"/>
                <w:lang w:val="en-US" w:eastAsia="zh-CN" w:bidi="ar"/>
                <w14:textFill>
                  <w14:solidFill>
                    <w14:schemeClr w14:val="tx1"/>
                  </w14:solidFill>
                </w14:textFill>
              </w:rPr>
              <w:t>（</w:t>
            </w:r>
            <w:r>
              <w:rPr>
                <w:rStyle w:val="95"/>
                <w:rFonts w:hint="eastAsia" w:ascii="宋体" w:hAnsi="宋体" w:eastAsia="宋体" w:cs="宋体"/>
                <w:color w:val="000000" w:themeColor="text1"/>
                <w:highlight w:val="none"/>
                <w:lang w:val="en-US" w:eastAsia="zh-CN" w:bidi="ar"/>
                <w14:textFill>
                  <w14:solidFill>
                    <w14:schemeClr w14:val="tx1"/>
                  </w14:solidFill>
                </w14:textFill>
              </w:rPr>
              <w:t>证明材料：提供合同复印件加盖公章</w:t>
            </w:r>
            <w:r>
              <w:rPr>
                <w:rStyle w:val="95"/>
                <w:rFonts w:hint="eastAsia" w:ascii="宋体" w:hAnsi="宋体" w:cs="宋体"/>
                <w:color w:val="000000" w:themeColor="text1"/>
                <w:highlight w:val="none"/>
                <w:lang w:val="en-US" w:eastAsia="zh-CN" w:bidi="ar"/>
                <w14:textFill>
                  <w14:solidFill>
                    <w14:schemeClr w14:val="tx1"/>
                  </w14:solidFill>
                </w14:textFill>
              </w:rPr>
              <w:t>）</w:t>
            </w:r>
          </w:p>
        </w:tc>
        <w:tc>
          <w:tcPr>
            <w:tcW w:w="825" w:type="dxa"/>
            <w:noWrap w:val="0"/>
            <w:vAlign w:val="center"/>
          </w:tcPr>
          <w:p w14:paraId="275C7CD4">
            <w:pPr>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p>
        </w:tc>
      </w:tr>
      <w:tr w14:paraId="6D02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77" w:type="dxa"/>
            <w:vMerge w:val="continue"/>
            <w:noWrap w:val="0"/>
            <w:vAlign w:val="center"/>
          </w:tcPr>
          <w:p w14:paraId="54117662">
            <w:pPr>
              <w:jc w:val="center"/>
              <w:rPr>
                <w:rFonts w:hint="eastAsia" w:ascii="宋体" w:hAnsi="宋体" w:cs="宋体"/>
                <w:color w:val="auto"/>
                <w:sz w:val="24"/>
                <w:szCs w:val="24"/>
                <w:highlight w:val="none"/>
              </w:rPr>
            </w:pPr>
          </w:p>
        </w:tc>
        <w:tc>
          <w:tcPr>
            <w:tcW w:w="1203" w:type="dxa"/>
            <w:noWrap w:val="0"/>
            <w:vAlign w:val="center"/>
          </w:tcPr>
          <w:p w14:paraId="01835898">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证书</w:t>
            </w:r>
            <w:r>
              <w:rPr>
                <w:rFonts w:hint="eastAsia" w:ascii="宋体" w:hAnsi="宋体" w:eastAsia="宋体" w:cs="宋体"/>
                <w:color w:val="auto"/>
                <w:sz w:val="24"/>
                <w:highlight w:val="none"/>
              </w:rPr>
              <w:t>认证</w:t>
            </w:r>
          </w:p>
        </w:tc>
        <w:tc>
          <w:tcPr>
            <w:tcW w:w="6395" w:type="dxa"/>
            <w:noWrap w:val="0"/>
            <w:vAlign w:val="center"/>
          </w:tcPr>
          <w:p w14:paraId="0E78873E">
            <w:pPr>
              <w:keepNext w:val="0"/>
              <w:keepLines w:val="0"/>
              <w:widowControl/>
              <w:suppressLineNumbers w:val="0"/>
              <w:jc w:val="both"/>
              <w:textAlignment w:val="center"/>
              <w:rPr>
                <w:rStyle w:val="95"/>
                <w:rFonts w:hint="eastAsia" w:ascii="宋体" w:hAnsi="宋体" w:eastAsia="宋体" w:cs="宋体"/>
                <w:color w:val="auto"/>
                <w:highlight w:val="none"/>
                <w:lang w:val="en-US" w:eastAsia="zh-CN" w:bidi="ar"/>
              </w:rPr>
            </w:pPr>
            <w:r>
              <w:rPr>
                <w:rStyle w:val="95"/>
                <w:rFonts w:hint="eastAsia" w:ascii="宋体" w:hAnsi="宋体" w:eastAsia="宋体" w:cs="宋体"/>
                <w:color w:val="auto"/>
                <w:highlight w:val="none"/>
                <w:lang w:val="en-US" w:eastAsia="zh-CN" w:bidi="ar"/>
              </w:rPr>
              <w:t>投标人具有</w:t>
            </w:r>
            <w:r>
              <w:rPr>
                <w:rStyle w:val="95"/>
                <w:rFonts w:hint="eastAsia" w:ascii="宋体" w:hAnsi="宋体" w:cs="宋体"/>
                <w:color w:val="auto"/>
                <w:highlight w:val="none"/>
                <w:lang w:val="en-US" w:eastAsia="zh-CN" w:bidi="ar"/>
              </w:rPr>
              <w:t>中国国家认证认可</w:t>
            </w:r>
            <w:r>
              <w:rPr>
                <w:rStyle w:val="95"/>
                <w:rFonts w:hint="eastAsia" w:ascii="宋体" w:hAnsi="宋体" w:eastAsia="宋体" w:cs="宋体"/>
                <w:color w:val="auto"/>
                <w:highlight w:val="none"/>
                <w:lang w:val="en-US" w:eastAsia="zh-CN" w:bidi="ar"/>
              </w:rPr>
              <w:t>的广播电视许可证</w:t>
            </w:r>
            <w:r>
              <w:rPr>
                <w:rStyle w:val="95"/>
                <w:rFonts w:hint="eastAsia" w:ascii="宋体" w:hAnsi="宋体" w:cs="宋体"/>
                <w:color w:val="auto"/>
                <w:highlight w:val="none"/>
                <w:lang w:val="en-US" w:eastAsia="zh-CN" w:bidi="ar"/>
              </w:rPr>
              <w:t>、出版物许可证</w:t>
            </w:r>
            <w:r>
              <w:rPr>
                <w:rStyle w:val="95"/>
                <w:rFonts w:hint="eastAsia" w:ascii="宋体" w:hAnsi="宋体" w:eastAsia="宋体" w:cs="宋体"/>
                <w:color w:val="auto"/>
                <w:highlight w:val="none"/>
                <w:lang w:val="en-US" w:eastAsia="zh-CN" w:bidi="ar"/>
              </w:rPr>
              <w:t>。全部都有的得</w:t>
            </w:r>
            <w:r>
              <w:rPr>
                <w:rStyle w:val="95"/>
                <w:rFonts w:hint="eastAsia" w:ascii="宋体" w:hAnsi="宋体" w:cs="宋体"/>
                <w:color w:val="auto"/>
                <w:highlight w:val="none"/>
                <w:lang w:val="en-US" w:eastAsia="zh-CN" w:bidi="ar"/>
              </w:rPr>
              <w:t>2</w:t>
            </w:r>
            <w:r>
              <w:rPr>
                <w:rStyle w:val="95"/>
                <w:rFonts w:hint="eastAsia" w:ascii="宋体" w:hAnsi="宋体" w:eastAsia="宋体" w:cs="宋体"/>
                <w:color w:val="auto"/>
                <w:highlight w:val="none"/>
                <w:lang w:val="en-US" w:eastAsia="zh-CN" w:bidi="ar"/>
              </w:rPr>
              <w:t>分，有</w:t>
            </w:r>
            <w:r>
              <w:rPr>
                <w:rStyle w:val="95"/>
                <w:rFonts w:hint="eastAsia" w:ascii="宋体" w:hAnsi="宋体" w:cs="宋体"/>
                <w:color w:val="auto"/>
                <w:highlight w:val="none"/>
                <w:lang w:val="en-US" w:eastAsia="zh-CN" w:bidi="ar"/>
              </w:rPr>
              <w:t>1</w:t>
            </w:r>
            <w:r>
              <w:rPr>
                <w:rStyle w:val="95"/>
                <w:rFonts w:hint="eastAsia" w:ascii="宋体" w:hAnsi="宋体" w:eastAsia="宋体" w:cs="宋体"/>
                <w:color w:val="auto"/>
                <w:highlight w:val="none"/>
                <w:lang w:val="en-US" w:eastAsia="zh-CN" w:bidi="ar"/>
              </w:rPr>
              <w:t>个的得</w:t>
            </w:r>
            <w:r>
              <w:rPr>
                <w:rStyle w:val="95"/>
                <w:rFonts w:hint="eastAsia" w:ascii="宋体" w:hAnsi="宋体" w:cs="宋体"/>
                <w:color w:val="auto"/>
                <w:highlight w:val="none"/>
                <w:lang w:val="en-US" w:eastAsia="zh-CN" w:bidi="ar"/>
              </w:rPr>
              <w:t>1</w:t>
            </w:r>
            <w:r>
              <w:rPr>
                <w:rStyle w:val="95"/>
                <w:rFonts w:hint="eastAsia" w:ascii="宋体" w:hAnsi="宋体" w:eastAsia="宋体" w:cs="宋体"/>
                <w:color w:val="auto"/>
                <w:highlight w:val="none"/>
                <w:lang w:val="en-US" w:eastAsia="zh-CN" w:bidi="ar"/>
              </w:rPr>
              <w:t>分，没有不得分。（投标文件中须提供有效期内的证书扫描件及全国认证认可信息公共服务平台网站（http://www.cnca.gov.cn/）查询页面截图并加盖投标人公章，未提供或提供不全不得分）</w:t>
            </w:r>
          </w:p>
        </w:tc>
        <w:tc>
          <w:tcPr>
            <w:tcW w:w="825" w:type="dxa"/>
            <w:noWrap w:val="0"/>
            <w:vAlign w:val="center"/>
          </w:tcPr>
          <w:p w14:paraId="34F3331A">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szCs w:val="21"/>
                <w:lang w:val="en-US" w:eastAsia="zh-CN"/>
              </w:rPr>
              <w:t>2</w:t>
            </w:r>
          </w:p>
        </w:tc>
      </w:tr>
    </w:tbl>
    <w:p w14:paraId="2F87CC2E">
      <w:pPr>
        <w:pStyle w:val="4"/>
        <w:numPr>
          <w:ilvl w:val="0"/>
          <w:numId w:val="0"/>
        </w:numPr>
      </w:pPr>
    </w:p>
    <w:p w14:paraId="44264B77">
      <w:pPr>
        <w:spacing w:line="360" w:lineRule="auto"/>
        <w:rPr>
          <w:rFonts w:ascii="宋体"/>
          <w:color w:val="auto"/>
          <w:sz w:val="24"/>
          <w:szCs w:val="24"/>
          <w:highlight w:val="none"/>
        </w:rPr>
      </w:pPr>
      <w:r>
        <w:rPr>
          <w:rFonts w:hint="eastAsia" w:ascii="宋体" w:hAnsi="宋体" w:cs="宋体"/>
          <w:color w:val="auto"/>
          <w:sz w:val="24"/>
          <w:szCs w:val="24"/>
          <w:highlight w:val="none"/>
        </w:rPr>
        <w:t>注：</w:t>
      </w:r>
    </w:p>
    <w:p w14:paraId="54F0AAB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11E0F043">
      <w:pPr>
        <w:spacing w:line="360" w:lineRule="auto"/>
        <w:ind w:firstLine="480" w:firstLineChars="200"/>
        <w:rPr>
          <w:rFonts w:cs="宋体"/>
          <w:color w:val="auto"/>
          <w:sz w:val="36"/>
          <w:szCs w:val="36"/>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bookmarkStart w:id="80" w:name="_Toc8033"/>
      <w:bookmarkStart w:id="81" w:name="_Toc4517"/>
      <w:r>
        <w:rPr>
          <w:rFonts w:hint="eastAsia" w:cs="宋体"/>
          <w:color w:val="auto"/>
          <w:sz w:val="36"/>
          <w:szCs w:val="36"/>
          <w:highlight w:val="none"/>
        </w:rPr>
        <w:br w:type="page"/>
      </w:r>
    </w:p>
    <w:p w14:paraId="6A7F4343">
      <w:pPr>
        <w:pStyle w:val="3"/>
        <w:jc w:val="center"/>
        <w:rPr>
          <w:rFonts w:ascii="宋体" w:cs="Times New Roman"/>
          <w:color w:val="auto"/>
          <w:highlight w:val="none"/>
        </w:rPr>
      </w:pPr>
      <w:bookmarkStart w:id="82" w:name="_Toc7544"/>
      <w:r>
        <w:rPr>
          <w:rFonts w:hint="eastAsia" w:cs="宋体"/>
          <w:color w:val="auto"/>
          <w:sz w:val="36"/>
          <w:szCs w:val="36"/>
          <w:highlight w:val="none"/>
        </w:rPr>
        <w:t>第五部分</w:t>
      </w:r>
      <w:r>
        <w:rPr>
          <w:color w:val="auto"/>
          <w:sz w:val="36"/>
          <w:szCs w:val="36"/>
          <w:highlight w:val="none"/>
        </w:rPr>
        <w:t xml:space="preserve"> </w:t>
      </w:r>
      <w:r>
        <w:rPr>
          <w:rFonts w:hint="eastAsia" w:cs="宋体"/>
          <w:color w:val="auto"/>
          <w:sz w:val="36"/>
          <w:szCs w:val="36"/>
          <w:highlight w:val="none"/>
        </w:rPr>
        <w:t>采购合同</w:t>
      </w:r>
      <w:bookmarkEnd w:id="80"/>
      <w:bookmarkEnd w:id="81"/>
      <w:bookmarkEnd w:id="82"/>
    </w:p>
    <w:p w14:paraId="6078A359">
      <w:pPr>
        <w:spacing w:line="500" w:lineRule="exact"/>
        <w:ind w:firstLine="600" w:firstLineChars="25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合同编号：（202</w:t>
      </w:r>
      <w:r>
        <w:rPr>
          <w:rFonts w:hint="eastAsia" w:cs="Times New Roman"/>
          <w:b w:val="0"/>
          <w:bCs/>
          <w:sz w:val="24"/>
          <w:lang w:val="en-US" w:eastAsia="zh-CN"/>
        </w:rPr>
        <w:t>5</w:t>
      </w:r>
      <w:r>
        <w:rPr>
          <w:rFonts w:hint="eastAsia" w:ascii="Times New Roman" w:hAnsi="Times New Roman" w:eastAsia="宋体" w:cs="Times New Roman"/>
          <w:b w:val="0"/>
          <w:bCs/>
          <w:sz w:val="24"/>
          <w:lang w:val="en-US" w:eastAsia="zh-CN"/>
        </w:rPr>
        <w:t>）第</w:t>
      </w:r>
      <w:r>
        <w:rPr>
          <w:rFonts w:hint="eastAsia" w:ascii="Times New Roman" w:hAnsi="Times New Roman" w:eastAsia="宋体" w:cs="Times New Roman"/>
          <w:b w:val="0"/>
          <w:bCs/>
          <w:sz w:val="24"/>
          <w:u w:val="single"/>
          <w:lang w:val="en-US" w:eastAsia="zh-CN"/>
        </w:rPr>
        <w:t>　　</w:t>
      </w:r>
      <w:r>
        <w:rPr>
          <w:rFonts w:hint="eastAsia" w:ascii="Times New Roman" w:hAnsi="Times New Roman" w:eastAsia="宋体" w:cs="Times New Roman"/>
          <w:b w:val="0"/>
          <w:bCs/>
          <w:sz w:val="24"/>
          <w:lang w:val="en-US" w:eastAsia="zh-CN"/>
        </w:rPr>
        <w:t>号</w:t>
      </w:r>
    </w:p>
    <w:p w14:paraId="18C9B9DC">
      <w:pPr>
        <w:spacing w:line="500" w:lineRule="exact"/>
        <w:ind w:firstLine="600" w:firstLineChars="25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签订日期：202</w:t>
      </w:r>
      <w:r>
        <w:rPr>
          <w:rFonts w:hint="eastAsia" w:cs="Times New Roman"/>
          <w:b w:val="0"/>
          <w:bCs/>
          <w:sz w:val="24"/>
          <w:lang w:val="en-US" w:eastAsia="zh-CN"/>
        </w:rPr>
        <w:t>5</w:t>
      </w:r>
      <w:r>
        <w:rPr>
          <w:rFonts w:hint="eastAsia" w:ascii="Times New Roman" w:hAnsi="Times New Roman" w:eastAsia="宋体" w:cs="Times New Roman"/>
          <w:b w:val="0"/>
          <w:bCs/>
          <w:sz w:val="24"/>
          <w:lang w:val="en-US" w:eastAsia="zh-CN"/>
        </w:rPr>
        <w:t>年</w:t>
      </w:r>
      <w:r>
        <w:rPr>
          <w:rFonts w:hint="eastAsia" w:ascii="Times New Roman" w:hAnsi="Times New Roman" w:eastAsia="宋体" w:cs="Times New Roman"/>
          <w:b w:val="0"/>
          <w:bCs/>
          <w:sz w:val="24"/>
          <w:u w:val="single"/>
          <w:lang w:val="en-US" w:eastAsia="zh-CN"/>
        </w:rPr>
        <w:t>　　</w:t>
      </w:r>
      <w:r>
        <w:rPr>
          <w:rFonts w:hint="eastAsia" w:ascii="Times New Roman" w:hAnsi="Times New Roman" w:eastAsia="宋体" w:cs="Times New Roman"/>
          <w:b w:val="0"/>
          <w:bCs/>
          <w:sz w:val="24"/>
          <w:lang w:val="en-US" w:eastAsia="zh-CN"/>
        </w:rPr>
        <w:t>月</w:t>
      </w:r>
      <w:r>
        <w:rPr>
          <w:rFonts w:hint="eastAsia" w:ascii="Times New Roman" w:hAnsi="Times New Roman" w:eastAsia="宋体" w:cs="Times New Roman"/>
          <w:b w:val="0"/>
          <w:bCs/>
          <w:sz w:val="24"/>
          <w:u w:val="single"/>
          <w:lang w:val="en-US" w:eastAsia="zh-CN"/>
        </w:rPr>
        <w:t>　　</w:t>
      </w:r>
      <w:r>
        <w:rPr>
          <w:rFonts w:hint="eastAsia" w:ascii="Times New Roman" w:hAnsi="Times New Roman" w:eastAsia="宋体" w:cs="Times New Roman"/>
          <w:b w:val="0"/>
          <w:bCs/>
          <w:sz w:val="24"/>
          <w:lang w:val="en-US" w:eastAsia="zh-CN"/>
        </w:rPr>
        <w:t>日</w:t>
      </w:r>
    </w:p>
    <w:p w14:paraId="34B98BDA">
      <w:pPr>
        <w:spacing w:line="500" w:lineRule="exact"/>
        <w:ind w:firstLine="600" w:firstLineChars="250"/>
        <w:rPr>
          <w:rFonts w:hint="eastAsia" w:ascii="Times New Roman" w:hAnsi="Times New Roman" w:eastAsia="宋体" w:cs="Times New Roman"/>
          <w:b w:val="0"/>
          <w:bCs/>
          <w:sz w:val="24"/>
          <w:u w:val="single"/>
          <w:lang w:val="en-US" w:eastAsia="zh-CN"/>
        </w:rPr>
      </w:pPr>
      <w:r>
        <w:rPr>
          <w:rFonts w:hint="eastAsia" w:ascii="Times New Roman" w:hAnsi="Times New Roman" w:eastAsia="宋体" w:cs="Times New Roman"/>
          <w:b w:val="0"/>
          <w:bCs/>
          <w:sz w:val="24"/>
          <w:lang w:val="en-US" w:eastAsia="zh-CN"/>
        </w:rPr>
        <w:t>甲方：</w:t>
      </w:r>
      <w:r>
        <w:rPr>
          <w:rFonts w:hint="eastAsia" w:ascii="Times New Roman" w:hAnsi="Times New Roman" w:eastAsia="宋体" w:cs="Times New Roman"/>
          <w:b w:val="0"/>
          <w:bCs/>
          <w:sz w:val="24"/>
          <w:u w:val="single"/>
          <w:lang w:val="en-US" w:eastAsia="zh-CN"/>
        </w:rPr>
        <w:t>　　　　　　　　　　　　　　　　　　　　　　　</w:t>
      </w:r>
    </w:p>
    <w:p w14:paraId="58D421C6">
      <w:pPr>
        <w:spacing w:line="500" w:lineRule="exact"/>
        <w:ind w:firstLine="600" w:firstLineChars="25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乙方：</w:t>
      </w:r>
      <w:r>
        <w:rPr>
          <w:rFonts w:hint="eastAsia" w:ascii="Times New Roman" w:hAnsi="Times New Roman" w:eastAsia="宋体" w:cs="Times New Roman"/>
          <w:b w:val="0"/>
          <w:bCs/>
          <w:sz w:val="24"/>
          <w:u w:val="single"/>
          <w:lang w:val="en-US" w:eastAsia="zh-CN"/>
        </w:rPr>
        <w:t>　　　　　　　　　　　　　　　　　　　　　　　</w:t>
      </w:r>
    </w:p>
    <w:p w14:paraId="00C52FB7">
      <w:pPr>
        <w:spacing w:line="500" w:lineRule="exact"/>
        <w:ind w:firstLine="600" w:firstLineChars="25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根据《中华人民共和国民法典》、</w:t>
      </w:r>
      <w:r>
        <w:rPr>
          <w:rFonts w:hint="eastAsia" w:cs="Times New Roman"/>
          <w:b w:val="0"/>
          <w:bCs/>
          <w:sz w:val="24"/>
          <w:lang w:val="en-US" w:eastAsia="zh-CN"/>
        </w:rPr>
        <w:t>国企</w:t>
      </w:r>
      <w:r>
        <w:rPr>
          <w:rFonts w:hint="eastAsia" w:ascii="Times New Roman" w:hAnsi="Times New Roman" w:eastAsia="宋体" w:cs="Times New Roman"/>
          <w:b w:val="0"/>
          <w:bCs/>
          <w:sz w:val="24"/>
          <w:lang w:val="en-US" w:eastAsia="zh-CN"/>
        </w:rPr>
        <w:t>采购编号</w:t>
      </w:r>
      <w:r>
        <w:rPr>
          <w:rFonts w:hint="eastAsia" w:ascii="Times New Roman" w:hAnsi="Times New Roman" w:eastAsia="宋体" w:cs="Times New Roman"/>
          <w:b w:val="0"/>
          <w:bCs/>
          <w:sz w:val="24"/>
          <w:highlight w:val="none"/>
          <w:lang w:val="en-US" w:eastAsia="zh-CN"/>
        </w:rPr>
        <w:t>为</w:t>
      </w:r>
      <w:r>
        <w:rPr>
          <w:rFonts w:hint="eastAsia" w:cs="Times New Roman"/>
          <w:b w:val="0"/>
          <w:bCs/>
          <w:sz w:val="24"/>
          <w:highlight w:val="none"/>
          <w:lang w:val="en-US" w:eastAsia="zh-CN"/>
        </w:rPr>
        <w:t>ZJGX-2025-008</w:t>
      </w:r>
      <w:r>
        <w:rPr>
          <w:rFonts w:hint="eastAsia" w:ascii="Times New Roman" w:hAnsi="Times New Roman" w:eastAsia="宋体" w:cs="Times New Roman"/>
          <w:b w:val="0"/>
          <w:bCs/>
          <w:sz w:val="24"/>
          <w:highlight w:val="none"/>
          <w:lang w:val="en-US" w:eastAsia="zh-CN"/>
        </w:rPr>
        <w:t>招标文</w:t>
      </w:r>
      <w:r>
        <w:rPr>
          <w:rFonts w:hint="eastAsia" w:ascii="Times New Roman" w:hAnsi="Times New Roman" w:eastAsia="宋体" w:cs="Times New Roman"/>
          <w:b w:val="0"/>
          <w:bCs/>
          <w:sz w:val="24"/>
          <w:lang w:val="en-US" w:eastAsia="zh-CN"/>
        </w:rPr>
        <w:t>件、中标人响应文件的规定，经公开招标采购，签订本合同。</w:t>
      </w:r>
    </w:p>
    <w:p w14:paraId="1AE61A9E">
      <w:pPr>
        <w:autoSpaceDE w:val="0"/>
        <w:autoSpaceDN w:val="0"/>
        <w:adjustRightInd w:val="0"/>
        <w:spacing w:line="360" w:lineRule="auto"/>
        <w:jc w:val="left"/>
        <w:rPr>
          <w:rFonts w:hint="eastAsia" w:ascii="宋体" w:hAnsi="宋体" w:cs="宋体"/>
          <w:b/>
          <w:bCs/>
          <w:sz w:val="24"/>
          <w:lang w:eastAsia="zh-CN"/>
        </w:rPr>
      </w:pPr>
      <w:r>
        <w:rPr>
          <w:rFonts w:hint="eastAsia" w:ascii="宋体" w:hAnsi="宋体" w:cs="宋体"/>
          <w:b/>
          <w:bCs/>
          <w:sz w:val="24"/>
          <w:lang w:eastAsia="zh-CN"/>
        </w:rPr>
        <w:t>一、项目内容：</w:t>
      </w:r>
    </w:p>
    <w:p w14:paraId="1512646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运维丰惠文旅公众号1个，每周完成3次以上推文，一年完成160条以上推文，并派专人现场驻点运营。持续运维丰惠文旅视频号1个，以“书香浓、忆流年、醉古城、赋青春”为脉络，一年制作完成24条以上短视频，同步根据节会活动、专题赛事等，制作完成12条以上短视频，总体每年完成36条以上视频推送。同步在抖音号、小红书、海外youtube等平台做文旅推广、流量聚集。详见附件。</w:t>
      </w:r>
    </w:p>
    <w:p w14:paraId="4B44F3C9">
      <w:pPr>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项目清单：</w:t>
      </w:r>
    </w:p>
    <w:tbl>
      <w:tblPr>
        <w:tblStyle w:val="29"/>
        <w:tblW w:w="88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350"/>
        <w:gridCol w:w="3883"/>
        <w:gridCol w:w="1275"/>
        <w:gridCol w:w="1695"/>
      </w:tblGrid>
      <w:tr w14:paraId="2221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3487CBE">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1"/>
                <w:szCs w:val="21"/>
                <w:highlight w:val="none"/>
                <w:u w:val="none"/>
                <w:lang w:val="en-US" w:eastAsia="zh-CN" w:bidi="ar"/>
                <w14:textFill>
                  <w14:solidFill>
                    <w14:schemeClr w14:val="tx1"/>
                  </w14:solidFill>
                </w14:textFill>
              </w:rPr>
              <w:t>序号</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A69075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1"/>
                <w:szCs w:val="21"/>
                <w:highlight w:val="none"/>
                <w:u w:val="none"/>
                <w:lang w:val="en-US" w:eastAsia="zh-CN" w:bidi="ar"/>
                <w14:textFill>
                  <w14:solidFill>
                    <w14:schemeClr w14:val="tx1"/>
                  </w14:solidFill>
                </w14:textFill>
              </w:rPr>
              <w:t>服务名称</w:t>
            </w:r>
          </w:p>
        </w:tc>
        <w:tc>
          <w:tcPr>
            <w:tcW w:w="3883" w:type="dxa"/>
            <w:tcBorders>
              <w:top w:val="single" w:color="000000" w:sz="4" w:space="0"/>
              <w:left w:val="single" w:color="000000" w:sz="4" w:space="0"/>
              <w:bottom w:val="single" w:color="000000" w:sz="4" w:space="0"/>
              <w:right w:val="single" w:color="000000" w:sz="4" w:space="0"/>
            </w:tcBorders>
            <w:noWrap/>
            <w:vAlign w:val="center"/>
          </w:tcPr>
          <w:p w14:paraId="76F6576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1"/>
                <w:szCs w:val="21"/>
                <w:highlight w:val="none"/>
                <w:u w:val="none"/>
                <w:lang w:val="en-US" w:eastAsia="zh-CN" w:bidi="ar"/>
                <w14:textFill>
                  <w14:solidFill>
                    <w14:schemeClr w14:val="tx1"/>
                  </w14:solidFill>
                </w14:textFill>
              </w:rPr>
              <w:t>内容要求</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310EBAF">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1"/>
                <w:szCs w:val="21"/>
                <w:highlight w:val="none"/>
                <w:u w:val="none"/>
                <w:lang w:val="en-US" w:eastAsia="zh-CN" w:bidi="ar"/>
                <w14:textFill>
                  <w14:solidFill>
                    <w14:schemeClr w14:val="tx1"/>
                  </w14:solidFill>
                </w14:textFill>
              </w:rPr>
              <w:t>单位</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1639A674">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1"/>
                <w:szCs w:val="21"/>
                <w:highlight w:val="none"/>
                <w:u w:val="none"/>
                <w:lang w:val="en-US" w:eastAsia="zh-CN" w:bidi="ar"/>
                <w14:textFill>
                  <w14:solidFill>
                    <w14:schemeClr w14:val="tx1"/>
                  </w14:solidFill>
                </w14:textFill>
              </w:rPr>
              <w:t>数量</w:t>
            </w:r>
          </w:p>
        </w:tc>
      </w:tr>
      <w:tr w14:paraId="7C411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0A7FAF9">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5D2C275">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账号搭建</w:t>
            </w:r>
          </w:p>
        </w:tc>
        <w:tc>
          <w:tcPr>
            <w:tcW w:w="3883" w:type="dxa"/>
            <w:tcBorders>
              <w:top w:val="single" w:color="000000" w:sz="4" w:space="0"/>
              <w:left w:val="single" w:color="000000" w:sz="4" w:space="0"/>
              <w:bottom w:val="single" w:color="000000" w:sz="4" w:space="0"/>
              <w:right w:val="single" w:color="000000" w:sz="4" w:space="0"/>
            </w:tcBorders>
            <w:noWrap w:val="0"/>
            <w:vAlign w:val="center"/>
          </w:tcPr>
          <w:p w14:paraId="5D20D481">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丰惠文旅账号矩阵搭建及生产资料提升：</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微信公众号、视频号</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抖音</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号及海外youtube平台</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的账号注册、实名认证、头像更改、简介设置</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、框架搭建等生产资料筹划</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0B80982">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次</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B238801">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5</w:t>
            </w:r>
          </w:p>
        </w:tc>
      </w:tr>
      <w:tr w14:paraId="2E79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1ECA707">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FB4E926">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账号</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定位</w:t>
            </w:r>
          </w:p>
        </w:tc>
        <w:tc>
          <w:tcPr>
            <w:tcW w:w="3883" w:type="dxa"/>
            <w:tcBorders>
              <w:top w:val="single" w:color="000000" w:sz="4" w:space="0"/>
              <w:left w:val="single" w:color="000000" w:sz="4" w:space="0"/>
              <w:bottom w:val="single" w:color="000000" w:sz="4" w:space="0"/>
              <w:right w:val="single" w:color="000000" w:sz="4" w:space="0"/>
            </w:tcBorders>
            <w:noWrap w:val="0"/>
            <w:vAlign w:val="center"/>
          </w:tcPr>
          <w:p w14:paraId="7AFFA30A">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对丰惠文旅</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微信公众号、视频号及抖音账号进行整体定位，</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做好账号内容运营、视频拍摄、数据分析、账号引流，实现新媒体宣传矩阵全方位宣传丰惠文旅，带动丰惠千年古城复兴。</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B435890">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次</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6DDDC2C">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1</w:t>
            </w:r>
          </w:p>
        </w:tc>
      </w:tr>
      <w:tr w14:paraId="016CA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1A52C63">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59EDCCB">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文旅视频号</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策划</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发布</w:t>
            </w:r>
          </w:p>
        </w:tc>
        <w:tc>
          <w:tcPr>
            <w:tcW w:w="3883" w:type="dxa"/>
            <w:tcBorders>
              <w:top w:val="single" w:color="000000" w:sz="4" w:space="0"/>
              <w:left w:val="single" w:color="000000" w:sz="4" w:space="0"/>
              <w:bottom w:val="single" w:color="000000" w:sz="4" w:space="0"/>
              <w:right w:val="single" w:color="000000" w:sz="4" w:space="0"/>
            </w:tcBorders>
            <w:noWrap w:val="0"/>
            <w:vAlign w:val="center"/>
          </w:tcPr>
          <w:p w14:paraId="78A05BEC">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以视频号为</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载体，用短视频+热点形式，切入</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专题</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全方位</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内容制作、封面选择、主题选择</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达到强烈的视觉享受，并让用户在看到我们账号主页时，就能领会账号风格。让这个系列成为日常更新的内容，达到对外宣传和互动的效果</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，带动丰惠千年古城复兴</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B5FAC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个</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0B5F1367">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36</w:t>
            </w:r>
          </w:p>
        </w:tc>
      </w:tr>
      <w:tr w14:paraId="1EC4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271D6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1C87670">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文旅公众号</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策划</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发</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布</w:t>
            </w:r>
          </w:p>
        </w:tc>
        <w:tc>
          <w:tcPr>
            <w:tcW w:w="3883" w:type="dxa"/>
            <w:tcBorders>
              <w:top w:val="single" w:color="000000" w:sz="4" w:space="0"/>
              <w:left w:val="single" w:color="000000" w:sz="4" w:space="0"/>
              <w:bottom w:val="single" w:color="000000" w:sz="4" w:space="0"/>
              <w:right w:val="single" w:color="000000" w:sz="4" w:space="0"/>
            </w:tcBorders>
            <w:noWrap w:val="0"/>
            <w:vAlign w:val="center"/>
          </w:tcPr>
          <w:p w14:paraId="465450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结合视频号</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的</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专题，用图文的形式进行矩阵呈现，采用文字+图片的形式，让内容在官方文旅公号上得到展现。同时，也可以根据时间对主题进行拆分， 让内容应景，让读者感受图文盛宴。</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2D412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条</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0FA941E">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160</w:t>
            </w:r>
          </w:p>
        </w:tc>
      </w:tr>
      <w:tr w14:paraId="7AE94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98FC6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169FE3E">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文旅抖音号</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策划</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发布</w:t>
            </w:r>
          </w:p>
        </w:tc>
        <w:tc>
          <w:tcPr>
            <w:tcW w:w="3883" w:type="dxa"/>
            <w:tcBorders>
              <w:top w:val="single" w:color="000000" w:sz="4" w:space="0"/>
              <w:left w:val="single" w:color="000000" w:sz="4" w:space="0"/>
              <w:bottom w:val="single" w:color="000000" w:sz="4" w:space="0"/>
              <w:right w:val="single" w:color="000000" w:sz="4" w:space="0"/>
            </w:tcBorders>
            <w:noWrap w:val="0"/>
            <w:vAlign w:val="center"/>
          </w:tcPr>
          <w:p w14:paraId="1F76341B">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注册</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抖音号</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按期更新日常</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活动、风景、民俗</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及专题内容，并根据具体细节进行精细化内容制作。</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AF903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个</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6FAF2A9">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36</w:t>
            </w:r>
          </w:p>
        </w:tc>
      </w:tr>
      <w:tr w14:paraId="47A5E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32ACC33">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FD4E2AB">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文旅海外youtube平台账号宣发</w:t>
            </w:r>
          </w:p>
        </w:tc>
        <w:tc>
          <w:tcPr>
            <w:tcW w:w="3883" w:type="dxa"/>
            <w:tcBorders>
              <w:top w:val="single" w:color="000000" w:sz="4" w:space="0"/>
              <w:left w:val="single" w:color="000000" w:sz="4" w:space="0"/>
              <w:bottom w:val="single" w:color="000000" w:sz="4" w:space="0"/>
              <w:right w:val="single" w:color="000000" w:sz="4" w:space="0"/>
            </w:tcBorders>
            <w:noWrap w:val="0"/>
            <w:vAlign w:val="center"/>
          </w:tcPr>
          <w:p w14:paraId="1E5E5212">
            <w:pPr>
              <w:keepNext w:val="0"/>
              <w:keepLines w:val="0"/>
              <w:widowControl/>
              <w:suppressLineNumbers w:val="0"/>
              <w:jc w:val="center"/>
              <w:textAlignment w:val="center"/>
              <w:rPr>
                <w:rFonts w:hint="default"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注册海外youtube平台账号，</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按期更新日常</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活动、风景、民俗</w:t>
            </w:r>
            <w:r>
              <w:rPr>
                <w:rFonts w:hint="eastAsia"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t>及专题内容，并根据具体细节进行精细化内容制作</w:t>
            </w: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。一年内粉丝量达5000以上。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A869B48">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条</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67E5ECAC">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snapToGrid w:val="0"/>
                <w:color w:val="000000" w:themeColor="text1"/>
                <w:kern w:val="0"/>
                <w:sz w:val="21"/>
                <w:szCs w:val="21"/>
                <w:highlight w:val="none"/>
                <w:u w:val="none"/>
                <w:lang w:val="en-US" w:eastAsia="zh-CN" w:bidi="ar"/>
                <w14:textFill>
                  <w14:solidFill>
                    <w14:schemeClr w14:val="tx1"/>
                  </w14:solidFill>
                </w14:textFill>
              </w:rPr>
              <w:t>100</w:t>
            </w:r>
          </w:p>
        </w:tc>
      </w:tr>
    </w:tbl>
    <w:p w14:paraId="319DCF6B">
      <w:pPr>
        <w:pStyle w:val="3"/>
        <w:keepNext w:val="0"/>
        <w:keepLines w:val="0"/>
        <w:pageBreakBefore w:val="0"/>
        <w:widowControl w:val="0"/>
        <w:numPr>
          <w:ilvl w:val="0"/>
          <w:numId w:val="0"/>
        </w:numPr>
        <w:kinsoku/>
        <w:overflowPunct/>
        <w:topLinePunct w:val="0"/>
        <w:autoSpaceDE/>
        <w:autoSpaceDN/>
        <w:bidi w:val="0"/>
        <w:adjustRightInd/>
        <w:snapToGrid/>
        <w:spacing w:line="560" w:lineRule="exact"/>
        <w:ind w:firstLine="241" w:firstLineChars="100"/>
        <w:textAlignment w:val="auto"/>
        <w:rPr>
          <w:rFonts w:hint="eastAsia" w:ascii="宋体" w:hAnsi="宋体" w:eastAsia="宋体" w:cs="宋体"/>
          <w:b/>
          <w:bCs/>
          <w:kern w:val="2"/>
          <w:sz w:val="24"/>
          <w:szCs w:val="21"/>
          <w:lang w:val="en-US" w:eastAsia="zh-CN" w:bidi="ar-SA"/>
        </w:rPr>
      </w:pPr>
      <w:r>
        <w:rPr>
          <w:rFonts w:hint="eastAsia" w:ascii="宋体" w:hAnsi="宋体" w:cs="宋体"/>
          <w:b/>
          <w:bCs/>
          <w:kern w:val="2"/>
          <w:sz w:val="24"/>
          <w:szCs w:val="21"/>
          <w:lang w:val="en-US" w:eastAsia="zh-CN" w:bidi="ar-SA"/>
        </w:rPr>
        <w:t>二、</w:t>
      </w:r>
      <w:r>
        <w:rPr>
          <w:rFonts w:hint="eastAsia" w:ascii="宋体" w:hAnsi="宋体" w:eastAsia="宋体" w:cs="宋体"/>
          <w:b/>
          <w:bCs/>
          <w:kern w:val="2"/>
          <w:sz w:val="24"/>
          <w:szCs w:val="21"/>
          <w:lang w:val="en-US" w:eastAsia="zh-CN" w:bidi="ar-SA"/>
        </w:rPr>
        <w:t>宣传内容：</w:t>
      </w:r>
    </w:p>
    <w:p w14:paraId="7D7C8A5E">
      <w:pPr>
        <w:pStyle w:val="3"/>
        <w:keepNext w:val="0"/>
        <w:keepLines w:val="0"/>
        <w:pageBreakBefore w:val="0"/>
        <w:widowControl w:val="0"/>
        <w:numPr>
          <w:ilvl w:val="0"/>
          <w:numId w:val="0"/>
        </w:numPr>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包括但不限于丰惠历史人文、山川地理、节会活动、旅游景点、老街店铺、非遗美食等。</w:t>
      </w:r>
    </w:p>
    <w:p w14:paraId="77FD7EE8">
      <w:pPr>
        <w:pStyle w:val="80"/>
        <w:pageBreakBefore w:val="0"/>
        <w:widowControl w:val="0"/>
        <w:kinsoku/>
        <w:wordWrap/>
        <w:overflowPunct/>
        <w:topLinePunct w:val="0"/>
        <w:autoSpaceDE/>
        <w:autoSpaceDN/>
        <w:bidi w:val="0"/>
        <w:snapToGrid/>
        <w:spacing w:line="360" w:lineRule="auto"/>
        <w:ind w:firstLine="0" w:firstLineChars="0"/>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2.1 账号搭建</w:t>
      </w:r>
      <w:r>
        <w:rPr>
          <w:rFonts w:hint="eastAsia" w:ascii="宋体" w:hAnsi="宋体" w:eastAsia="宋体" w:cs="宋体"/>
          <w:b/>
          <w:color w:val="000000" w:themeColor="text1"/>
          <w:sz w:val="24"/>
          <w:szCs w:val="24"/>
          <w:highlight w:val="none"/>
          <w:lang w:eastAsia="zh-CN"/>
          <w14:textFill>
            <w14:solidFill>
              <w14:schemeClr w14:val="tx1"/>
            </w14:solidFill>
          </w14:textFill>
        </w:rPr>
        <w:t>：</w:t>
      </w:r>
    </w:p>
    <w:p w14:paraId="26092852">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包含微信公众号、视频号</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抖音平台</w:t>
      </w:r>
      <w:r>
        <w:rPr>
          <w:rFonts w:hint="eastAsia" w:ascii="宋体" w:hAnsi="宋体" w:cs="宋体"/>
          <w:color w:val="000000" w:themeColor="text1"/>
          <w:sz w:val="24"/>
          <w:szCs w:val="24"/>
          <w:highlight w:val="none"/>
          <w:lang w:val="en-US" w:eastAsia="zh-CN"/>
          <w14:textFill>
            <w14:solidFill>
              <w14:schemeClr w14:val="tx1"/>
            </w14:solidFill>
          </w14:textFill>
        </w:rPr>
        <w:t>及海外youtube平台</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的账号注册、实名认证、头像更改、简介设置、框架搭建等生产资料筹划</w:t>
      </w:r>
      <w:r>
        <w:rPr>
          <w:rFonts w:hint="eastAsia" w:ascii="宋体" w:hAnsi="宋体" w:cs="宋体"/>
          <w:color w:val="000000" w:themeColor="text1"/>
          <w:sz w:val="24"/>
          <w:szCs w:val="24"/>
          <w:highlight w:val="none"/>
          <w:lang w:val="en-US" w:eastAsia="zh-CN"/>
          <w14:textFill>
            <w14:solidFill>
              <w14:schemeClr w14:val="tx1"/>
            </w14:solidFill>
          </w14:textFill>
        </w:rPr>
        <w:t>、升级</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9046B79">
      <w:pPr>
        <w:keepNext w:val="0"/>
        <w:keepLines w:val="0"/>
        <w:widowControl/>
        <w:suppressLineNumbers w:val="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视频号名字一年能修改 5 次，视频号头像、简介可按照系列内容进行修改。</w:t>
      </w:r>
    </w:p>
    <w:p w14:paraId="409B5F3F">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2</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 账号</w:t>
      </w:r>
      <w:r>
        <w:rPr>
          <w:rFonts w:hint="eastAsia" w:ascii="宋体" w:hAnsi="宋体" w:cs="宋体"/>
          <w:b/>
          <w:bCs/>
          <w:color w:val="000000" w:themeColor="text1"/>
          <w:sz w:val="24"/>
          <w:szCs w:val="24"/>
          <w:highlight w:val="none"/>
          <w:lang w:val="en-US" w:eastAsia="zh-CN"/>
          <w14:textFill>
            <w14:solidFill>
              <w14:schemeClr w14:val="tx1"/>
            </w14:solidFill>
          </w14:textFill>
        </w:rPr>
        <w:t>定位</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53951E0A">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(1).</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确定账号目标粉丝的年龄18-60岁、性别不限、以本地为主、辐射周边城市。</w:t>
      </w:r>
    </w:p>
    <w:p w14:paraId="05069563">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(2).</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对丰惠文旅微信公众号、视频号及抖音账号</w:t>
      </w:r>
      <w:r>
        <w:rPr>
          <w:rFonts w:hint="eastAsia" w:ascii="宋体" w:hAnsi="宋体" w:cs="宋体"/>
          <w:color w:val="000000" w:themeColor="text1"/>
          <w:sz w:val="24"/>
          <w:szCs w:val="24"/>
          <w:highlight w:val="none"/>
          <w:lang w:val="en-US" w:eastAsia="zh-CN" w:bidi="ar"/>
          <w14:textFill>
            <w14:solidFill>
              <w14:schemeClr w14:val="tx1"/>
            </w14:solidFill>
          </w14:textFill>
        </w:rPr>
        <w:t>、海外youtube平台账号</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进行整体定位，做好账号内容运营、视频拍摄、数据分析、账号引流，实现新媒体宣传矩阵全方位宣传丰惠文旅，带动丰惠千年古城复兴。</w:t>
      </w:r>
    </w:p>
    <w:p w14:paraId="133B6787">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lang w:val="en-US" w:eastAsia="zh-CN"/>
          <w14:textFill>
            <w14:solidFill>
              <w14:schemeClr w14:val="tx1"/>
            </w14:solidFill>
          </w14:textFill>
        </w:rPr>
        <w:t>文旅视频号运营</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15146E1">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(1).</w:t>
      </w:r>
      <w:r>
        <w:rPr>
          <w:rFonts w:hint="eastAsia" w:ascii="宋体" w:hAnsi="宋体" w:cs="宋体"/>
          <w:color w:val="000000" w:themeColor="text1"/>
          <w:sz w:val="24"/>
          <w:szCs w:val="24"/>
          <w:highlight w:val="none"/>
          <w:lang w:val="en-US" w:eastAsia="zh-CN" w:bidi="ar"/>
          <w14:textFill>
            <w14:solidFill>
              <w14:schemeClr w14:val="tx1"/>
            </w14:solidFill>
          </w14:textFill>
        </w:rPr>
        <w:t>以视频号为载体，用短视频+热点形式，切入专题全方位内容制作、封面选择、主题选择，达到强烈的视觉享受，并让用户在看到我们账号主页时，就能领会账号风格。</w:t>
      </w:r>
    </w:p>
    <w:p w14:paraId="09AA9889">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(2).</w:t>
      </w:r>
      <w:r>
        <w:rPr>
          <w:rFonts w:hint="eastAsia" w:ascii="宋体" w:hAnsi="宋体" w:cs="宋体"/>
          <w:color w:val="000000" w:themeColor="text1"/>
          <w:sz w:val="24"/>
          <w:szCs w:val="24"/>
          <w:highlight w:val="none"/>
          <w:lang w:val="en-US" w:eastAsia="zh-CN" w:bidi="ar"/>
          <w14:textFill>
            <w14:solidFill>
              <w14:schemeClr w14:val="tx1"/>
            </w14:solidFill>
          </w14:textFill>
        </w:rPr>
        <w:t>让这个系列成为日常更新的内容，一年视频发布量不少于36个，达到对外宣传和互动的效果，带动丰惠千年古城复兴。</w:t>
      </w:r>
    </w:p>
    <w:p w14:paraId="4635A3B6">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文旅公众号</w:t>
      </w:r>
      <w:r>
        <w:rPr>
          <w:rFonts w:hint="eastAsia" w:ascii="宋体" w:hAnsi="宋体" w:cs="宋体"/>
          <w:b/>
          <w:bCs/>
          <w:color w:val="000000" w:themeColor="text1"/>
          <w:sz w:val="24"/>
          <w:szCs w:val="24"/>
          <w:highlight w:val="none"/>
          <w:lang w:val="en-US" w:eastAsia="zh-CN"/>
          <w14:textFill>
            <w14:solidFill>
              <w14:schemeClr w14:val="tx1"/>
            </w14:solidFill>
          </w14:textFill>
        </w:rPr>
        <w:t>运营</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57268B8B">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(1).结合视频号的专题，用图文的形式进行矩阵呈现，采用文字+图片的形式，让内容在官方文旅公号上得到展现。</w:t>
      </w:r>
    </w:p>
    <w:p w14:paraId="2A216091">
      <w:pPr>
        <w:pageBreakBefore w:val="0"/>
        <w:widowControl w:val="0"/>
        <w:numPr>
          <w:ilvl w:val="0"/>
          <w:numId w:val="0"/>
        </w:numPr>
        <w:kinsoku/>
        <w:wordWrap/>
        <w:overflowPunct/>
        <w:topLinePunct w:val="0"/>
        <w:autoSpaceDE/>
        <w:autoSpaceDN/>
        <w:bidi w:val="0"/>
        <w:snapToGrid/>
        <w:spacing w:line="360" w:lineRule="auto"/>
        <w:textAlignment w:val="auto"/>
        <w:rPr>
          <w:rFonts w:hint="default"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r>
        <w:rPr>
          <w:rFonts w:hint="eastAsia" w:ascii="宋体" w:hAnsi="宋体" w:cs="宋体"/>
          <w:color w:val="000000" w:themeColor="text1"/>
          <w:sz w:val="24"/>
          <w:szCs w:val="24"/>
          <w:highlight w:val="none"/>
          <w:lang w:val="en-US" w:eastAsia="zh-CN" w:bidi="ar"/>
          <w14:textFill>
            <w14:solidFill>
              <w14:schemeClr w14:val="tx1"/>
            </w14:solidFill>
          </w14:textFill>
        </w:rPr>
        <w:t>账号内穿插历史名人故事和当下时事的趣味性科普，丰富账号的可读性和有趣性。</w:t>
      </w:r>
    </w:p>
    <w:p w14:paraId="788F2C02">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(3).根据时间对主题进行拆分， 让内容应景，年发布量</w:t>
      </w:r>
      <w:r>
        <w:rPr>
          <w:rFonts w:hint="eastAsia" w:ascii="宋体" w:hAnsi="宋体" w:cs="宋体"/>
          <w:color w:val="000000" w:themeColor="text1"/>
          <w:sz w:val="24"/>
          <w:szCs w:val="24"/>
          <w:highlight w:val="none"/>
          <w:lang w:val="en-US" w:eastAsia="zh-CN" w:bidi="ar"/>
          <w14:textFill>
            <w14:solidFill>
              <w14:schemeClr w14:val="tx1"/>
            </w14:solidFill>
          </w14:textFill>
        </w:rPr>
        <w:t>不少于</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160条</w:t>
      </w:r>
      <w:r>
        <w:rPr>
          <w:rFonts w:hint="eastAsia" w:ascii="宋体" w:hAnsi="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让读者感受图文盛宴。</w:t>
      </w:r>
    </w:p>
    <w:p w14:paraId="48763DBD">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2.5 </w:t>
      </w:r>
      <w:r>
        <w:rPr>
          <w:rFonts w:hint="eastAsia" w:ascii="宋体" w:hAnsi="宋体" w:cs="宋体"/>
          <w:b/>
          <w:bCs/>
          <w:color w:val="000000" w:themeColor="text1"/>
          <w:sz w:val="24"/>
          <w:szCs w:val="24"/>
          <w:highlight w:val="none"/>
          <w:lang w:val="en-US" w:eastAsia="zh-CN"/>
          <w14:textFill>
            <w14:solidFill>
              <w14:schemeClr w14:val="tx1"/>
            </w14:solidFill>
          </w14:textFill>
        </w:rPr>
        <w:t>文旅抖音号运营</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000D9760">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(1).注册抖音号，按期更新日常活动、风景、民俗及专题内容</w:t>
      </w:r>
      <w:r>
        <w:rPr>
          <w:rFonts w:hint="eastAsia" w:ascii="宋体" w:hAnsi="宋体" w:cs="宋体"/>
          <w:color w:val="000000" w:themeColor="text1"/>
          <w:sz w:val="24"/>
          <w:szCs w:val="24"/>
          <w:highlight w:val="none"/>
          <w:lang w:val="en-US" w:eastAsia="zh-CN" w:bidi="ar"/>
          <w14:textFill>
            <w14:solidFill>
              <w14:schemeClr w14:val="tx1"/>
            </w14:solidFill>
          </w14:textFill>
        </w:rPr>
        <w:t>。</w:t>
      </w:r>
    </w:p>
    <w:p w14:paraId="025012BA">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(2).根据具体细节进行精细化内容制作</w:t>
      </w:r>
      <w:r>
        <w:rPr>
          <w:rFonts w:hint="eastAsia" w:ascii="宋体" w:hAnsi="宋体" w:cs="宋体"/>
          <w:color w:val="000000" w:themeColor="text1"/>
          <w:sz w:val="24"/>
          <w:szCs w:val="24"/>
          <w:highlight w:val="none"/>
          <w:lang w:val="en-US" w:eastAsia="zh-CN" w:bidi="ar"/>
          <w14:textFill>
            <w14:solidFill>
              <w14:schemeClr w14:val="tx1"/>
            </w14:solidFill>
          </w14:textFill>
        </w:rPr>
        <w:t>，保证视频年发布量不少于36个。</w:t>
      </w:r>
    </w:p>
    <w:p w14:paraId="4D7416A2">
      <w:pPr>
        <w:pStyle w:val="3"/>
        <w:rPr>
          <w:rFonts w:hint="eastAsia" w:ascii="宋体" w:hAnsi="宋体" w:cs="宋体"/>
          <w:color w:val="000000" w:themeColor="text1"/>
          <w:sz w:val="24"/>
          <w:szCs w:val="24"/>
          <w:highlight w:val="none"/>
          <w:lang w:val="en-US" w:eastAsia="zh-CN" w:bidi="ar"/>
          <w14:textFill>
            <w14:solidFill>
              <w14:schemeClr w14:val="tx1"/>
            </w14:solidFill>
          </w14:textFill>
        </w:rPr>
      </w:pPr>
      <w:r>
        <w:rPr>
          <w:rFonts w:hint="eastAsia" w:ascii="宋体" w:hAnsi="宋体" w:cs="宋体"/>
          <w:color w:val="000000" w:themeColor="text1"/>
          <w:sz w:val="24"/>
          <w:szCs w:val="24"/>
          <w:highlight w:val="none"/>
          <w:lang w:val="en-US" w:eastAsia="zh-CN" w:bidi="ar"/>
          <w14:textFill>
            <w14:solidFill>
              <w14:schemeClr w14:val="tx1"/>
            </w14:solidFill>
          </w14:textFill>
        </w:rPr>
        <w:t>2.6 海外youtube平台账号运营：</w:t>
      </w:r>
    </w:p>
    <w:p w14:paraId="06858640">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r>
        <w:rPr>
          <w:rFonts w:hint="default"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在海外youtube平台账号上，按期更新日常活动、风景、民俗及专题内容。</w:t>
      </w:r>
    </w:p>
    <w:p w14:paraId="278E3B39">
      <w:pPr>
        <w:pageBreakBefore w:val="0"/>
        <w:widowControl w:val="0"/>
        <w:numPr>
          <w:ilvl w:val="0"/>
          <w:numId w:val="0"/>
        </w:numPr>
        <w:kinsoku/>
        <w:wordWrap/>
        <w:overflowPunct/>
        <w:topLinePunct w:val="0"/>
        <w:autoSpaceDE/>
        <w:autoSpaceDN/>
        <w:bidi w:val="0"/>
        <w:snapToGrid/>
        <w:spacing w:line="360" w:lineRule="auto"/>
        <w:textAlignment w:val="auto"/>
        <w:rPr>
          <w:rFonts w:hint="default"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r>
        <w:rPr>
          <w:rFonts w:hint="default"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一年内粉丝量达5000以上。</w:t>
      </w:r>
    </w:p>
    <w:p w14:paraId="47E823AA">
      <w:pPr>
        <w:spacing w:line="460" w:lineRule="exact"/>
        <w:jc w:val="left"/>
        <w:outlineLvl w:val="1"/>
        <w:rPr>
          <w:rFonts w:hint="eastAsia" w:ascii="宋体" w:hAnsi="Times New Roman" w:eastAsia="宋体" w:cs="Times New Roman"/>
          <w:b/>
          <w:bCs w:val="0"/>
          <w:sz w:val="24"/>
          <w:lang w:val="en-US" w:eastAsia="zh-CN"/>
        </w:rPr>
      </w:pPr>
      <w:r>
        <w:rPr>
          <w:rFonts w:hint="eastAsia" w:ascii="宋体" w:cs="Times New Roman"/>
          <w:b/>
          <w:bCs w:val="0"/>
          <w:sz w:val="24"/>
          <w:lang w:val="en-US" w:eastAsia="zh-CN"/>
        </w:rPr>
        <w:t>三</w:t>
      </w:r>
      <w:r>
        <w:rPr>
          <w:rFonts w:hint="eastAsia" w:ascii="宋体" w:hAnsi="Times New Roman" w:eastAsia="宋体" w:cs="Times New Roman"/>
          <w:b/>
          <w:bCs w:val="0"/>
          <w:sz w:val="24"/>
          <w:lang w:val="en-US" w:eastAsia="zh-CN"/>
        </w:rPr>
        <w:t>、合同期限</w:t>
      </w:r>
    </w:p>
    <w:p w14:paraId="181C3361">
      <w:pPr>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服务期限</w:t>
      </w:r>
      <w:r>
        <w:rPr>
          <w:rFonts w:hint="eastAsia" w:ascii="宋体" w:hAnsi="宋体" w:cs="Times New Roman"/>
          <w:color w:val="auto"/>
          <w:sz w:val="24"/>
          <w:lang w:val="en-US" w:eastAsia="zh-CN"/>
        </w:rPr>
        <w:t>一</w:t>
      </w:r>
      <w:r>
        <w:rPr>
          <w:rFonts w:hint="eastAsia" w:ascii="宋体" w:hAnsi="宋体" w:eastAsia="宋体" w:cs="Times New Roman"/>
          <w:color w:val="auto"/>
          <w:sz w:val="24"/>
          <w:lang w:val="en-US" w:eastAsia="zh-CN"/>
        </w:rPr>
        <w:t>年（</w:t>
      </w:r>
      <w:r>
        <w:rPr>
          <w:rFonts w:hint="eastAsia" w:ascii="宋体" w:hAnsi="宋体" w:cs="Times New Roman"/>
          <w:color w:val="auto"/>
          <w:sz w:val="24"/>
          <w:lang w:val="en-US" w:eastAsia="zh-CN"/>
        </w:rPr>
        <w:t>12</w:t>
      </w:r>
      <w:r>
        <w:rPr>
          <w:rFonts w:hint="eastAsia" w:ascii="宋体" w:hAnsi="宋体" w:eastAsia="宋体" w:cs="Times New Roman"/>
          <w:color w:val="auto"/>
          <w:sz w:val="24"/>
          <w:lang w:val="en-US" w:eastAsia="zh-CN"/>
        </w:rPr>
        <w:t>个月）。自202</w:t>
      </w:r>
      <w:r>
        <w:rPr>
          <w:rFonts w:hint="eastAsia" w:ascii="宋体" w:hAnsi="宋体" w:cs="Times New Roman"/>
          <w:color w:val="auto"/>
          <w:sz w:val="24"/>
          <w:lang w:val="en-US" w:eastAsia="zh-CN"/>
        </w:rPr>
        <w:t>5</w:t>
      </w:r>
      <w:r>
        <w:rPr>
          <w:rFonts w:hint="eastAsia" w:ascii="宋体" w:hAnsi="宋体" w:eastAsia="宋体" w:cs="Times New Roman"/>
          <w:color w:val="auto"/>
          <w:sz w:val="24"/>
          <w:lang w:val="en-US" w:eastAsia="zh-CN"/>
        </w:rPr>
        <w:t>年  月    日至202</w:t>
      </w:r>
      <w:r>
        <w:rPr>
          <w:rFonts w:hint="eastAsia" w:ascii="宋体" w:hAnsi="宋体" w:cs="Times New Roman"/>
          <w:color w:val="auto"/>
          <w:sz w:val="24"/>
          <w:lang w:val="en-US" w:eastAsia="zh-CN"/>
        </w:rPr>
        <w:t>6</w:t>
      </w:r>
      <w:r>
        <w:rPr>
          <w:rFonts w:hint="eastAsia" w:ascii="宋体" w:hAnsi="宋体" w:eastAsia="宋体" w:cs="Times New Roman"/>
          <w:color w:val="auto"/>
          <w:sz w:val="24"/>
          <w:lang w:val="en-US" w:eastAsia="zh-CN"/>
        </w:rPr>
        <w:t xml:space="preserve">年  月   日。服务期限到期后经采购方和供应商协商一致，并经财政同意，可续签一年。 </w:t>
      </w:r>
    </w:p>
    <w:p w14:paraId="406A8A1D">
      <w:pPr>
        <w:spacing w:line="460" w:lineRule="exact"/>
        <w:jc w:val="left"/>
        <w:outlineLvl w:val="1"/>
        <w:rPr>
          <w:rFonts w:hint="eastAsia" w:ascii="宋体"/>
          <w:b/>
          <w:bCs w:val="0"/>
          <w:sz w:val="24"/>
        </w:rPr>
      </w:pPr>
      <w:bookmarkStart w:id="83" w:name="_Toc23637"/>
      <w:bookmarkStart w:id="84" w:name="_Toc22145"/>
      <w:bookmarkStart w:id="85" w:name="_Toc30623"/>
      <w:bookmarkStart w:id="86" w:name="_Toc4669"/>
      <w:bookmarkStart w:id="87" w:name="_Toc7690"/>
      <w:r>
        <w:rPr>
          <w:rFonts w:hint="eastAsia" w:ascii="宋体"/>
          <w:b/>
          <w:bCs w:val="0"/>
          <w:sz w:val="24"/>
          <w:lang w:val="en-US" w:eastAsia="zh-CN"/>
        </w:rPr>
        <w:t>四</w:t>
      </w:r>
      <w:r>
        <w:rPr>
          <w:rFonts w:hint="eastAsia" w:ascii="宋体"/>
          <w:b/>
          <w:bCs w:val="0"/>
          <w:sz w:val="24"/>
        </w:rPr>
        <w:t>、合同金额</w:t>
      </w:r>
      <w:bookmarkEnd w:id="83"/>
      <w:bookmarkEnd w:id="84"/>
    </w:p>
    <w:p w14:paraId="25C7A2B0">
      <w:pPr>
        <w:spacing w:line="480" w:lineRule="exact"/>
        <w:ind w:firstLine="480" w:firstLineChars="200"/>
        <w:jc w:val="left"/>
        <w:rPr>
          <w:rFonts w:hint="eastAsia" w:ascii="宋体"/>
          <w:bCs/>
          <w:sz w:val="24"/>
          <w:u w:val="single"/>
        </w:rPr>
      </w:pPr>
      <w:r>
        <w:rPr>
          <w:rFonts w:hint="eastAsia" w:ascii="宋体"/>
          <w:bCs/>
          <w:sz w:val="24"/>
        </w:rPr>
        <w:t>合同总金额：</w:t>
      </w:r>
      <w:r>
        <w:rPr>
          <w:rFonts w:hint="eastAsia" w:ascii="宋体"/>
          <w:bCs/>
          <w:sz w:val="24"/>
          <w:lang w:val="en-US" w:eastAsia="zh-CN"/>
        </w:rPr>
        <w:t>人民币</w:t>
      </w:r>
      <w:r>
        <w:rPr>
          <w:rFonts w:hint="eastAsia" w:ascii="宋体"/>
          <w:bCs/>
          <w:sz w:val="24"/>
        </w:rPr>
        <w:t xml:space="preserve"> </w:t>
      </w:r>
      <w:r>
        <w:rPr>
          <w:rFonts w:hint="eastAsia" w:ascii="宋体"/>
          <w:bCs/>
          <w:sz w:val="24"/>
          <w:u w:val="single"/>
        </w:rPr>
        <w:t xml:space="preserve">                  </w:t>
      </w:r>
      <w:r>
        <w:rPr>
          <w:rFonts w:hint="eastAsia" w:ascii="宋体"/>
          <w:bCs/>
          <w:sz w:val="24"/>
          <w:u w:val="single"/>
          <w:lang w:val="en-US" w:eastAsia="zh-CN"/>
        </w:rPr>
        <w:t xml:space="preserve">   </w:t>
      </w:r>
      <w:r>
        <w:rPr>
          <w:rFonts w:hint="eastAsia" w:ascii="宋体"/>
          <w:bCs/>
          <w:sz w:val="24"/>
          <w:u w:val="single"/>
        </w:rPr>
        <w:t xml:space="preserve">    整（￥：         ）</w:t>
      </w:r>
    </w:p>
    <w:p w14:paraId="36A665B6">
      <w:pPr>
        <w:pStyle w:val="36"/>
        <w:rPr>
          <w:rFonts w:hint="eastAsia"/>
        </w:rPr>
      </w:pPr>
      <w:r>
        <w:rPr>
          <w:rFonts w:hint="eastAsia" w:hAnsi="宋体"/>
          <w:color w:val="000000"/>
          <w:sz w:val="24"/>
          <w:szCs w:val="24"/>
          <w:lang w:val="en-US" w:eastAsia="zh-CN"/>
        </w:rPr>
        <w:t>合同价应</w:t>
      </w:r>
      <w:r>
        <w:rPr>
          <w:rFonts w:hint="eastAsia" w:hAnsi="宋体"/>
          <w:color w:val="000000"/>
          <w:sz w:val="24"/>
          <w:szCs w:val="24"/>
        </w:rPr>
        <w:t>包含项目所需全部服务，不得缺漏，是履行合同的最终价格（服务费、交通费、成果编辑、数据汇总、人工费、税金、招标代理费以及成交供应商认为有必要计入的其它费用等一切费用）。</w:t>
      </w:r>
    </w:p>
    <w:p w14:paraId="7B45F3B7">
      <w:pPr>
        <w:spacing w:line="460" w:lineRule="exact"/>
        <w:jc w:val="left"/>
        <w:outlineLvl w:val="1"/>
        <w:rPr>
          <w:rFonts w:hint="eastAsia" w:ascii="宋体"/>
          <w:b/>
          <w:bCs w:val="0"/>
          <w:sz w:val="24"/>
        </w:rPr>
      </w:pPr>
      <w:bookmarkStart w:id="88" w:name="_Toc22827"/>
      <w:bookmarkStart w:id="89" w:name="_Toc8244"/>
      <w:r>
        <w:rPr>
          <w:rFonts w:hint="eastAsia" w:ascii="宋体"/>
          <w:b/>
          <w:bCs w:val="0"/>
          <w:sz w:val="24"/>
          <w:lang w:val="en-US" w:eastAsia="zh-CN"/>
        </w:rPr>
        <w:t>五</w:t>
      </w:r>
      <w:r>
        <w:rPr>
          <w:rFonts w:hint="eastAsia" w:ascii="宋体"/>
          <w:b/>
          <w:bCs w:val="0"/>
          <w:sz w:val="24"/>
        </w:rPr>
        <w:t>、付款方式</w:t>
      </w:r>
      <w:bookmarkEnd w:id="88"/>
      <w:bookmarkEnd w:id="89"/>
    </w:p>
    <w:p w14:paraId="576F5E27">
      <w:pPr>
        <w:spacing w:line="360" w:lineRule="auto"/>
        <w:ind w:firstLine="240" w:firstLineChars="100"/>
        <w:rPr>
          <w:rFonts w:hint="eastAsia" w:ascii="宋体" w:hAnsi="Times New Roman" w:eastAsia="宋体" w:cs="Times New Roman"/>
          <w:b w:val="0"/>
          <w:bCs w:val="0"/>
          <w:sz w:val="24"/>
          <w:highlight w:val="none"/>
          <w:lang w:val="en-US" w:eastAsia="zh-CN"/>
        </w:rPr>
      </w:pPr>
      <w:r>
        <w:rPr>
          <w:rFonts w:hint="eastAsia" w:ascii="宋体" w:hAnsi="Times New Roman" w:eastAsia="宋体" w:cs="Times New Roman"/>
          <w:b w:val="0"/>
          <w:bCs w:val="0"/>
          <w:sz w:val="24"/>
          <w:highlight w:val="none"/>
          <w:lang w:val="en-US" w:eastAsia="zh-CN"/>
        </w:rPr>
        <w:t>公众号、视频号、抖音号、小红书、海外youtube账号等建立完成并实质性运营后，支付合同价50%；按合同要求完成全部项目内容，并通过甲方验收后，支付剩余资金。</w:t>
      </w:r>
    </w:p>
    <w:p w14:paraId="61B43672">
      <w:pPr>
        <w:spacing w:line="400" w:lineRule="exact"/>
        <w:rPr>
          <w:rFonts w:ascii="宋体" w:hAnsi="宋体"/>
          <w:b/>
          <w:color w:val="auto"/>
          <w:sz w:val="24"/>
          <w:highlight w:val="none"/>
        </w:rPr>
      </w:pPr>
      <w:r>
        <w:rPr>
          <w:rFonts w:hint="eastAsia" w:ascii="宋体" w:hAnsi="宋体" w:cs="宋体"/>
          <w:b/>
          <w:bCs/>
          <w:color w:val="auto"/>
          <w:sz w:val="24"/>
          <w:highlight w:val="none"/>
          <w:lang w:val="en-US" w:eastAsia="zh-CN"/>
        </w:rPr>
        <w:t>六</w:t>
      </w:r>
      <w:r>
        <w:rPr>
          <w:rFonts w:ascii="宋体" w:hAnsi="宋体" w:cs="宋体"/>
          <w:b/>
          <w:bCs/>
          <w:color w:val="auto"/>
          <w:sz w:val="24"/>
          <w:highlight w:val="none"/>
        </w:rPr>
        <w:t>、履约保证金</w:t>
      </w:r>
    </w:p>
    <w:p w14:paraId="706A517A">
      <w:pPr>
        <w:spacing w:line="360" w:lineRule="auto"/>
        <w:ind w:firstLine="480" w:firstLineChars="200"/>
        <w:rPr>
          <w:rFonts w:hint="eastAsia"/>
        </w:rPr>
      </w:pPr>
      <w:r>
        <w:rPr>
          <w:rFonts w:hint="eastAsia" w:ascii="宋体" w:hAnsi="宋体" w:eastAsia="宋体" w:cs="Times New Roman"/>
          <w:color w:val="auto"/>
          <w:sz w:val="24"/>
          <w:lang w:val="en-US" w:eastAsia="zh-CN"/>
        </w:rPr>
        <w:t>为保证本合同的正确履行，乙方向甲方交纳人民币 合同金额1%的履约保证金。履约保证金在合同签订前缴纳至甲方指定账户。履约保证金在乙方按合同约定提供服务至服务期满后予以无息退还。</w:t>
      </w:r>
    </w:p>
    <w:p w14:paraId="7FB36FD9">
      <w:pPr>
        <w:pStyle w:val="38"/>
        <w:outlineLvl w:val="1"/>
        <w:rPr>
          <w:rFonts w:hint="eastAsia"/>
          <w:bCs/>
          <w:sz w:val="24"/>
          <w:szCs w:val="22"/>
          <w:lang w:val="en-US" w:eastAsia="zh-CN"/>
        </w:rPr>
      </w:pPr>
      <w:bookmarkStart w:id="90" w:name="_Toc28283"/>
      <w:bookmarkStart w:id="91" w:name="_Toc28178"/>
      <w:r>
        <w:rPr>
          <w:rFonts w:hint="eastAsia"/>
          <w:b/>
          <w:bCs w:val="0"/>
          <w:sz w:val="24"/>
          <w:szCs w:val="22"/>
          <w:lang w:val="en-US" w:eastAsia="zh-CN"/>
        </w:rPr>
        <w:t>七、合同的变更与终止</w:t>
      </w:r>
      <w:bookmarkEnd w:id="90"/>
      <w:bookmarkEnd w:id="91"/>
    </w:p>
    <w:p w14:paraId="06F8B472">
      <w:pPr>
        <w:spacing w:line="460" w:lineRule="exact"/>
        <w:ind w:firstLine="480" w:firstLineChars="200"/>
        <w:jc w:val="left"/>
        <w:outlineLvl w:val="2"/>
        <w:rPr>
          <w:rFonts w:hint="eastAsia" w:ascii="宋体"/>
          <w:bCs/>
          <w:sz w:val="24"/>
          <w:szCs w:val="22"/>
          <w:lang w:val="en-US" w:eastAsia="zh-CN"/>
        </w:rPr>
      </w:pPr>
      <w:bookmarkStart w:id="92" w:name="_Toc7044"/>
      <w:bookmarkStart w:id="93" w:name="_Toc7953"/>
      <w:r>
        <w:rPr>
          <w:rFonts w:hint="eastAsia" w:ascii="宋体"/>
          <w:bCs/>
          <w:sz w:val="24"/>
          <w:szCs w:val="22"/>
          <w:lang w:val="en-US" w:eastAsia="zh-CN"/>
        </w:rPr>
        <w:t>1、合同的变更与提前终止必须采用书面形式。</w:t>
      </w:r>
      <w:bookmarkEnd w:id="92"/>
      <w:bookmarkEnd w:id="93"/>
    </w:p>
    <w:p w14:paraId="7BB9EF7A">
      <w:pPr>
        <w:spacing w:line="460" w:lineRule="exact"/>
        <w:ind w:firstLine="480" w:firstLineChars="200"/>
        <w:jc w:val="left"/>
        <w:rPr>
          <w:rFonts w:hint="eastAsia" w:ascii="宋体"/>
          <w:bCs/>
          <w:sz w:val="24"/>
          <w:szCs w:val="22"/>
          <w:lang w:val="en-US" w:eastAsia="zh-CN"/>
        </w:rPr>
      </w:pPr>
      <w:r>
        <w:rPr>
          <w:rFonts w:hint="eastAsia" w:ascii="宋体"/>
          <w:bCs/>
          <w:sz w:val="24"/>
          <w:szCs w:val="22"/>
          <w:lang w:val="en-US" w:eastAsia="zh-CN"/>
        </w:rPr>
        <w:t>2、在合同规定的履行期限届满需经需方交接验收合格后合同方能终止。</w:t>
      </w:r>
    </w:p>
    <w:p w14:paraId="3A2EA1BF">
      <w:pPr>
        <w:spacing w:line="460" w:lineRule="exact"/>
        <w:ind w:firstLine="480" w:firstLineChars="200"/>
        <w:jc w:val="left"/>
        <w:rPr>
          <w:rFonts w:hint="default" w:ascii="宋体"/>
          <w:bCs/>
          <w:sz w:val="24"/>
          <w:szCs w:val="22"/>
          <w:lang w:val="en-US" w:eastAsia="zh-CN"/>
        </w:rPr>
      </w:pPr>
      <w:r>
        <w:rPr>
          <w:rFonts w:hint="eastAsia" w:ascii="宋体"/>
          <w:bCs/>
          <w:sz w:val="24"/>
          <w:szCs w:val="22"/>
          <w:lang w:val="en-US" w:eastAsia="zh-CN"/>
        </w:rPr>
        <w:t>3、在合同履行过程中，如遇不可抗的因素，双方协商以补充合同方式解决，合同内容变更、提前终止必须提前一个月书面通知对方。</w:t>
      </w:r>
    </w:p>
    <w:p w14:paraId="429947B5">
      <w:pPr>
        <w:spacing w:line="460" w:lineRule="exact"/>
        <w:jc w:val="left"/>
        <w:outlineLvl w:val="1"/>
        <w:rPr>
          <w:rFonts w:hint="eastAsia" w:ascii="宋体"/>
          <w:b/>
          <w:bCs w:val="0"/>
          <w:sz w:val="24"/>
        </w:rPr>
      </w:pPr>
      <w:bookmarkStart w:id="94" w:name="_Toc9081"/>
      <w:bookmarkStart w:id="95" w:name="_Toc21002"/>
      <w:r>
        <w:rPr>
          <w:rFonts w:hint="eastAsia" w:ascii="宋体"/>
          <w:b/>
          <w:bCs w:val="0"/>
          <w:sz w:val="24"/>
          <w:lang w:val="en-US" w:eastAsia="zh-CN"/>
        </w:rPr>
        <w:t>八</w:t>
      </w:r>
      <w:r>
        <w:rPr>
          <w:rFonts w:hint="eastAsia" w:ascii="宋体"/>
          <w:b/>
          <w:bCs w:val="0"/>
          <w:sz w:val="24"/>
        </w:rPr>
        <w:t>、合同解除</w:t>
      </w:r>
      <w:bookmarkEnd w:id="94"/>
      <w:bookmarkEnd w:id="95"/>
    </w:p>
    <w:p w14:paraId="2D6DB400">
      <w:pPr>
        <w:spacing w:line="460" w:lineRule="exact"/>
        <w:ind w:left="360" w:firstLine="540" w:firstLineChars="225"/>
        <w:jc w:val="left"/>
        <w:rPr>
          <w:rFonts w:hint="eastAsia" w:ascii="宋体"/>
          <w:bCs/>
          <w:sz w:val="24"/>
        </w:rPr>
      </w:pPr>
      <w:r>
        <w:rPr>
          <w:rFonts w:hint="eastAsia" w:ascii="宋体"/>
          <w:bCs/>
          <w:sz w:val="24"/>
        </w:rPr>
        <w:t>1、乙方严重失职造成甲方管理的重大损失，甲方可以解除合同，并按违约责任要求赔偿。</w:t>
      </w:r>
    </w:p>
    <w:p w14:paraId="67FAB887">
      <w:pPr>
        <w:spacing w:line="460" w:lineRule="exact"/>
        <w:ind w:left="360" w:firstLine="540" w:firstLineChars="225"/>
        <w:jc w:val="left"/>
        <w:rPr>
          <w:rFonts w:hint="eastAsia" w:ascii="宋体"/>
          <w:bCs/>
          <w:sz w:val="24"/>
        </w:rPr>
      </w:pPr>
      <w:r>
        <w:rPr>
          <w:rFonts w:hint="eastAsia" w:ascii="宋体"/>
          <w:bCs/>
          <w:sz w:val="24"/>
        </w:rPr>
        <w:t>2、乙方发生严重违约后，在收到需方书面通知一个月内仍不能采取补救措施及行动，需方可以单方面解除合同。</w:t>
      </w:r>
    </w:p>
    <w:p w14:paraId="1E5A47C7">
      <w:pPr>
        <w:spacing w:line="460" w:lineRule="exact"/>
        <w:jc w:val="left"/>
        <w:outlineLvl w:val="1"/>
        <w:rPr>
          <w:rFonts w:hint="eastAsia" w:ascii="宋体"/>
          <w:b/>
          <w:bCs w:val="0"/>
          <w:sz w:val="24"/>
        </w:rPr>
      </w:pPr>
      <w:bookmarkStart w:id="96" w:name="_Toc24880"/>
      <w:bookmarkStart w:id="97" w:name="_Toc6430"/>
      <w:r>
        <w:rPr>
          <w:rFonts w:hint="eastAsia" w:ascii="宋体"/>
          <w:b/>
          <w:bCs w:val="0"/>
          <w:sz w:val="24"/>
          <w:lang w:val="en-US" w:eastAsia="zh-CN"/>
        </w:rPr>
        <w:t>九</w:t>
      </w:r>
      <w:r>
        <w:rPr>
          <w:rFonts w:hint="eastAsia" w:ascii="宋体"/>
          <w:b/>
          <w:bCs w:val="0"/>
          <w:sz w:val="24"/>
        </w:rPr>
        <w:t>、违约责任</w:t>
      </w:r>
      <w:bookmarkEnd w:id="96"/>
      <w:bookmarkEnd w:id="97"/>
    </w:p>
    <w:p w14:paraId="23541353">
      <w:pPr>
        <w:spacing w:line="460" w:lineRule="exact"/>
        <w:ind w:left="360" w:firstLine="540" w:firstLineChars="225"/>
        <w:jc w:val="left"/>
        <w:rPr>
          <w:rFonts w:hint="eastAsia" w:ascii="宋体"/>
          <w:bCs/>
          <w:sz w:val="24"/>
        </w:rPr>
      </w:pPr>
      <w:r>
        <w:rPr>
          <w:rFonts w:hint="eastAsia" w:ascii="宋体"/>
          <w:bCs/>
          <w:sz w:val="24"/>
        </w:rPr>
        <w:t>1、为确保管理工作高质量完成，乙方必须安排人员，专职落实管理，否则甲方有权终止合同。</w:t>
      </w:r>
    </w:p>
    <w:p w14:paraId="3D02C5B9">
      <w:pPr>
        <w:spacing w:line="460" w:lineRule="exact"/>
        <w:ind w:left="360" w:firstLine="540" w:firstLineChars="225"/>
        <w:jc w:val="left"/>
        <w:rPr>
          <w:rFonts w:hint="eastAsia" w:ascii="宋体"/>
          <w:bCs/>
          <w:sz w:val="24"/>
        </w:rPr>
      </w:pPr>
      <w:r>
        <w:rPr>
          <w:rFonts w:hint="eastAsia" w:ascii="宋体"/>
          <w:bCs/>
          <w:sz w:val="24"/>
        </w:rPr>
        <w:t>2、乙方在承包期内，如无充分理由终止承包合同或因工作不力造成严重社会影响，如新闻媒体曝光、创建活动中失分等，甲方有权终止承包合同。</w:t>
      </w:r>
    </w:p>
    <w:p w14:paraId="484FA279">
      <w:pPr>
        <w:spacing w:line="460" w:lineRule="exact"/>
        <w:ind w:left="360" w:firstLine="540" w:firstLineChars="225"/>
        <w:jc w:val="left"/>
        <w:rPr>
          <w:rFonts w:ascii="宋体"/>
          <w:bCs/>
          <w:sz w:val="24"/>
        </w:rPr>
      </w:pPr>
      <w:r>
        <w:rPr>
          <w:rFonts w:hint="eastAsia" w:ascii="宋体"/>
          <w:bCs/>
          <w:sz w:val="24"/>
        </w:rPr>
        <w:t>3、在合同期内，因甲方主管部门管理体制调整的，甲方有权中止合同，按实支付管理费用。在乙方因管理不到位终止合同的情况，将对乙方公司收取合同价10%的违约金。</w:t>
      </w:r>
    </w:p>
    <w:p w14:paraId="7D200079">
      <w:pPr>
        <w:spacing w:line="460" w:lineRule="exact"/>
        <w:jc w:val="left"/>
        <w:outlineLvl w:val="1"/>
        <w:rPr>
          <w:rFonts w:hint="eastAsia" w:ascii="宋体"/>
          <w:b/>
          <w:bCs w:val="0"/>
          <w:sz w:val="24"/>
          <w:highlight w:val="none"/>
        </w:rPr>
      </w:pPr>
      <w:bookmarkStart w:id="98" w:name="_Toc15080"/>
      <w:bookmarkStart w:id="99" w:name="_Toc24852"/>
      <w:r>
        <w:rPr>
          <w:rFonts w:hint="eastAsia" w:ascii="宋体"/>
          <w:b/>
          <w:bCs w:val="0"/>
          <w:sz w:val="24"/>
          <w:highlight w:val="none"/>
        </w:rPr>
        <w:t>十、争议解决</w:t>
      </w:r>
      <w:bookmarkEnd w:id="98"/>
      <w:bookmarkEnd w:id="99"/>
    </w:p>
    <w:p w14:paraId="39DCB2EF">
      <w:pPr>
        <w:spacing w:line="460" w:lineRule="exact"/>
        <w:ind w:firstLine="180" w:firstLineChars="75"/>
        <w:jc w:val="left"/>
        <w:rPr>
          <w:rFonts w:hint="eastAsia" w:ascii="宋体"/>
          <w:bCs/>
          <w:sz w:val="24"/>
          <w:highlight w:val="none"/>
        </w:rPr>
      </w:pPr>
      <w:r>
        <w:rPr>
          <w:rFonts w:hint="eastAsia" w:ascii="宋体"/>
          <w:bCs/>
          <w:sz w:val="24"/>
          <w:highlight w:val="none"/>
        </w:rPr>
        <w:t xml:space="preserve">    在履行合同中，如双方发生争议，双方本着互谅互让的原则友好协商解决，协商不成可向合同执行地人民法院提起诉讼。</w:t>
      </w:r>
    </w:p>
    <w:p w14:paraId="03E07E3F">
      <w:pPr>
        <w:pStyle w:val="28"/>
        <w:numPr>
          <w:ilvl w:val="0"/>
          <w:numId w:val="0"/>
        </w:numPr>
        <w:ind w:leftChars="0"/>
        <w:rPr>
          <w:rFonts w:hint="eastAsia"/>
        </w:rPr>
      </w:pPr>
      <w:r>
        <w:rPr>
          <w:rFonts w:hint="eastAsia"/>
          <w:b/>
          <w:bCs/>
          <w:color w:val="auto"/>
          <w:lang w:val="en-US" w:eastAsia="zh-CN"/>
        </w:rPr>
        <w:t>十一、</w:t>
      </w:r>
      <w:r>
        <w:rPr>
          <w:rFonts w:hint="eastAsia"/>
          <w:color w:val="auto"/>
          <w:lang w:val="en-US" w:eastAsia="zh-CN"/>
        </w:rPr>
        <w:t>本项目货物如涉及柴油动力移动源，柴油动力移动源应当符合低排放要求。</w:t>
      </w:r>
    </w:p>
    <w:p w14:paraId="19F03B18">
      <w:pPr>
        <w:spacing w:line="460" w:lineRule="exact"/>
        <w:ind w:firstLine="480" w:firstLineChars="200"/>
        <w:jc w:val="left"/>
        <w:rPr>
          <w:rFonts w:hint="eastAsia" w:ascii="宋体"/>
          <w:bCs/>
          <w:sz w:val="24"/>
          <w:highlight w:val="none"/>
        </w:rPr>
      </w:pPr>
      <w:r>
        <w:rPr>
          <w:rFonts w:hint="eastAsia" w:ascii="宋体"/>
          <w:bCs/>
          <w:sz w:val="24"/>
          <w:highlight w:val="none"/>
        </w:rPr>
        <w:t>本合同一式四份，甲乙双方各执二份。本合同经双方授权代表签字盖章后生效。</w:t>
      </w:r>
    </w:p>
    <w:tbl>
      <w:tblPr>
        <w:tblStyle w:val="2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398"/>
        <w:gridCol w:w="1662"/>
        <w:gridCol w:w="2769"/>
      </w:tblGrid>
      <w:tr w14:paraId="22A3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1476" w:type="dxa"/>
            <w:noWrap w:val="0"/>
            <w:vAlign w:val="center"/>
          </w:tcPr>
          <w:p w14:paraId="3EF6590C">
            <w:pPr>
              <w:spacing w:line="400" w:lineRule="exact"/>
              <w:jc w:val="center"/>
              <w:rPr>
                <w:rFonts w:hint="eastAsia" w:ascii="宋体"/>
                <w:bCs/>
                <w:sz w:val="24"/>
                <w:highlight w:val="none"/>
              </w:rPr>
            </w:pPr>
            <w:r>
              <w:rPr>
                <w:rFonts w:hint="eastAsia" w:ascii="宋体"/>
                <w:bCs/>
                <w:sz w:val="24"/>
                <w:highlight w:val="none"/>
              </w:rPr>
              <w:t>甲方</w:t>
            </w:r>
          </w:p>
        </w:tc>
        <w:tc>
          <w:tcPr>
            <w:tcW w:w="2398" w:type="dxa"/>
            <w:noWrap w:val="0"/>
            <w:vAlign w:val="center"/>
          </w:tcPr>
          <w:p w14:paraId="5C7B7203">
            <w:pPr>
              <w:spacing w:line="400" w:lineRule="exact"/>
              <w:jc w:val="center"/>
              <w:rPr>
                <w:rFonts w:hint="eastAsia" w:ascii="宋体"/>
                <w:bCs/>
                <w:sz w:val="24"/>
                <w:highlight w:val="none"/>
              </w:rPr>
            </w:pPr>
            <w:r>
              <w:rPr>
                <w:rFonts w:hint="eastAsia" w:ascii="宋体"/>
                <w:bCs/>
                <w:sz w:val="24"/>
                <w:highlight w:val="none"/>
              </w:rPr>
              <w:t>（盖章）</w:t>
            </w:r>
          </w:p>
        </w:tc>
        <w:tc>
          <w:tcPr>
            <w:tcW w:w="1662" w:type="dxa"/>
            <w:noWrap w:val="0"/>
            <w:vAlign w:val="center"/>
          </w:tcPr>
          <w:p w14:paraId="6BA41F09">
            <w:pPr>
              <w:spacing w:line="400" w:lineRule="exact"/>
              <w:jc w:val="center"/>
              <w:rPr>
                <w:rFonts w:hint="eastAsia" w:ascii="宋体"/>
                <w:bCs/>
                <w:sz w:val="24"/>
                <w:highlight w:val="none"/>
              </w:rPr>
            </w:pPr>
            <w:r>
              <w:rPr>
                <w:rFonts w:hint="eastAsia" w:ascii="宋体"/>
                <w:bCs/>
                <w:sz w:val="24"/>
                <w:highlight w:val="none"/>
              </w:rPr>
              <w:t>乙方</w:t>
            </w:r>
          </w:p>
        </w:tc>
        <w:tc>
          <w:tcPr>
            <w:tcW w:w="2769" w:type="dxa"/>
            <w:noWrap w:val="0"/>
            <w:vAlign w:val="center"/>
          </w:tcPr>
          <w:p w14:paraId="09D4637F">
            <w:pPr>
              <w:spacing w:line="400" w:lineRule="exact"/>
              <w:jc w:val="center"/>
              <w:rPr>
                <w:rFonts w:hint="eastAsia" w:ascii="宋体"/>
                <w:bCs/>
                <w:sz w:val="24"/>
                <w:highlight w:val="none"/>
              </w:rPr>
            </w:pPr>
            <w:r>
              <w:rPr>
                <w:rFonts w:hint="eastAsia" w:ascii="宋体"/>
                <w:bCs/>
                <w:sz w:val="24"/>
                <w:highlight w:val="none"/>
              </w:rPr>
              <w:t>（盖章）</w:t>
            </w:r>
          </w:p>
        </w:tc>
      </w:tr>
      <w:tr w14:paraId="1CC6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476" w:type="dxa"/>
            <w:noWrap w:val="0"/>
            <w:vAlign w:val="center"/>
          </w:tcPr>
          <w:p w14:paraId="52D11394">
            <w:pPr>
              <w:spacing w:line="400" w:lineRule="exact"/>
              <w:jc w:val="center"/>
              <w:rPr>
                <w:rFonts w:hint="eastAsia" w:ascii="宋体"/>
                <w:bCs/>
                <w:sz w:val="24"/>
                <w:highlight w:val="none"/>
              </w:rPr>
            </w:pPr>
            <w:r>
              <w:rPr>
                <w:rFonts w:hint="eastAsia" w:ascii="宋体"/>
                <w:bCs/>
                <w:sz w:val="24"/>
                <w:highlight w:val="none"/>
              </w:rPr>
              <w:t>代表签名</w:t>
            </w:r>
          </w:p>
        </w:tc>
        <w:tc>
          <w:tcPr>
            <w:tcW w:w="2398" w:type="dxa"/>
            <w:noWrap w:val="0"/>
            <w:vAlign w:val="center"/>
          </w:tcPr>
          <w:p w14:paraId="19EA7A25">
            <w:pPr>
              <w:spacing w:line="400" w:lineRule="exact"/>
              <w:jc w:val="center"/>
              <w:rPr>
                <w:rFonts w:hint="eastAsia" w:ascii="宋体"/>
                <w:bCs/>
                <w:sz w:val="24"/>
                <w:highlight w:val="none"/>
              </w:rPr>
            </w:pPr>
          </w:p>
        </w:tc>
        <w:tc>
          <w:tcPr>
            <w:tcW w:w="1662" w:type="dxa"/>
            <w:noWrap w:val="0"/>
            <w:vAlign w:val="center"/>
          </w:tcPr>
          <w:p w14:paraId="6E521620">
            <w:pPr>
              <w:spacing w:line="400" w:lineRule="exact"/>
              <w:jc w:val="center"/>
              <w:rPr>
                <w:rFonts w:hint="eastAsia" w:ascii="宋体"/>
                <w:bCs/>
                <w:sz w:val="24"/>
                <w:highlight w:val="none"/>
              </w:rPr>
            </w:pPr>
            <w:r>
              <w:rPr>
                <w:rFonts w:hint="eastAsia" w:ascii="宋体"/>
                <w:bCs/>
                <w:sz w:val="24"/>
                <w:highlight w:val="none"/>
              </w:rPr>
              <w:t>代表签名</w:t>
            </w:r>
          </w:p>
        </w:tc>
        <w:tc>
          <w:tcPr>
            <w:tcW w:w="2769" w:type="dxa"/>
            <w:noWrap w:val="0"/>
            <w:vAlign w:val="center"/>
          </w:tcPr>
          <w:p w14:paraId="3D26E0DA">
            <w:pPr>
              <w:spacing w:line="400" w:lineRule="exact"/>
              <w:jc w:val="center"/>
              <w:rPr>
                <w:rFonts w:hint="eastAsia" w:ascii="宋体"/>
                <w:bCs/>
                <w:sz w:val="24"/>
                <w:highlight w:val="none"/>
              </w:rPr>
            </w:pPr>
          </w:p>
        </w:tc>
      </w:tr>
      <w:tr w14:paraId="70A6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476" w:type="dxa"/>
            <w:noWrap w:val="0"/>
            <w:vAlign w:val="center"/>
          </w:tcPr>
          <w:p w14:paraId="4A2995D3">
            <w:pPr>
              <w:spacing w:line="400" w:lineRule="exact"/>
              <w:jc w:val="center"/>
              <w:rPr>
                <w:rFonts w:hint="eastAsia" w:ascii="宋体"/>
                <w:bCs/>
                <w:sz w:val="24"/>
                <w:highlight w:val="none"/>
              </w:rPr>
            </w:pPr>
            <w:r>
              <w:rPr>
                <w:rFonts w:hint="eastAsia" w:ascii="宋体"/>
                <w:bCs/>
                <w:sz w:val="24"/>
                <w:highlight w:val="none"/>
              </w:rPr>
              <w:t>地址</w:t>
            </w:r>
          </w:p>
        </w:tc>
        <w:tc>
          <w:tcPr>
            <w:tcW w:w="2398" w:type="dxa"/>
            <w:noWrap w:val="0"/>
            <w:vAlign w:val="center"/>
          </w:tcPr>
          <w:p w14:paraId="55160D58">
            <w:pPr>
              <w:spacing w:line="400" w:lineRule="exact"/>
              <w:jc w:val="center"/>
              <w:rPr>
                <w:rFonts w:hint="eastAsia" w:ascii="宋体"/>
                <w:bCs/>
                <w:sz w:val="24"/>
                <w:highlight w:val="none"/>
              </w:rPr>
            </w:pPr>
          </w:p>
        </w:tc>
        <w:tc>
          <w:tcPr>
            <w:tcW w:w="1662" w:type="dxa"/>
            <w:noWrap w:val="0"/>
            <w:vAlign w:val="center"/>
          </w:tcPr>
          <w:p w14:paraId="6DC12903">
            <w:pPr>
              <w:spacing w:line="400" w:lineRule="exact"/>
              <w:jc w:val="center"/>
              <w:rPr>
                <w:rFonts w:hint="eastAsia" w:ascii="宋体"/>
                <w:bCs/>
                <w:sz w:val="24"/>
                <w:highlight w:val="none"/>
              </w:rPr>
            </w:pPr>
            <w:r>
              <w:rPr>
                <w:rFonts w:hint="eastAsia" w:ascii="宋体"/>
                <w:bCs/>
                <w:sz w:val="24"/>
                <w:highlight w:val="none"/>
              </w:rPr>
              <w:t>地址</w:t>
            </w:r>
          </w:p>
        </w:tc>
        <w:tc>
          <w:tcPr>
            <w:tcW w:w="2769" w:type="dxa"/>
            <w:noWrap w:val="0"/>
            <w:vAlign w:val="center"/>
          </w:tcPr>
          <w:p w14:paraId="14BDA4ED">
            <w:pPr>
              <w:spacing w:line="400" w:lineRule="exact"/>
              <w:jc w:val="center"/>
              <w:rPr>
                <w:rFonts w:hint="eastAsia" w:ascii="宋体"/>
                <w:bCs/>
                <w:sz w:val="24"/>
                <w:highlight w:val="none"/>
              </w:rPr>
            </w:pPr>
          </w:p>
        </w:tc>
      </w:tr>
      <w:tr w14:paraId="0C9A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476" w:type="dxa"/>
            <w:noWrap w:val="0"/>
            <w:vAlign w:val="center"/>
          </w:tcPr>
          <w:p w14:paraId="4B2BFFC4">
            <w:pPr>
              <w:spacing w:line="400" w:lineRule="exact"/>
              <w:jc w:val="center"/>
              <w:rPr>
                <w:rFonts w:hint="eastAsia" w:ascii="宋体"/>
                <w:bCs/>
                <w:sz w:val="24"/>
                <w:highlight w:val="none"/>
              </w:rPr>
            </w:pPr>
            <w:r>
              <w:rPr>
                <w:rFonts w:hint="eastAsia" w:ascii="宋体"/>
                <w:bCs/>
                <w:sz w:val="24"/>
                <w:highlight w:val="none"/>
              </w:rPr>
              <w:t>电话</w:t>
            </w:r>
          </w:p>
        </w:tc>
        <w:tc>
          <w:tcPr>
            <w:tcW w:w="2398" w:type="dxa"/>
            <w:noWrap w:val="0"/>
            <w:vAlign w:val="center"/>
          </w:tcPr>
          <w:p w14:paraId="44513F05">
            <w:pPr>
              <w:spacing w:line="400" w:lineRule="exact"/>
              <w:jc w:val="center"/>
              <w:rPr>
                <w:rFonts w:hint="eastAsia" w:ascii="宋体"/>
                <w:bCs/>
                <w:sz w:val="24"/>
                <w:highlight w:val="none"/>
              </w:rPr>
            </w:pPr>
          </w:p>
        </w:tc>
        <w:tc>
          <w:tcPr>
            <w:tcW w:w="1662" w:type="dxa"/>
            <w:noWrap w:val="0"/>
            <w:vAlign w:val="center"/>
          </w:tcPr>
          <w:p w14:paraId="144A0712">
            <w:pPr>
              <w:spacing w:line="400" w:lineRule="exact"/>
              <w:jc w:val="center"/>
              <w:rPr>
                <w:rFonts w:hint="eastAsia" w:ascii="宋体"/>
                <w:bCs/>
                <w:sz w:val="24"/>
                <w:highlight w:val="none"/>
              </w:rPr>
            </w:pPr>
            <w:r>
              <w:rPr>
                <w:rFonts w:hint="eastAsia" w:ascii="宋体"/>
                <w:bCs/>
                <w:sz w:val="24"/>
                <w:highlight w:val="none"/>
              </w:rPr>
              <w:t>电话</w:t>
            </w:r>
          </w:p>
        </w:tc>
        <w:tc>
          <w:tcPr>
            <w:tcW w:w="2769" w:type="dxa"/>
            <w:noWrap w:val="0"/>
            <w:vAlign w:val="center"/>
          </w:tcPr>
          <w:p w14:paraId="6862997F">
            <w:pPr>
              <w:spacing w:line="400" w:lineRule="exact"/>
              <w:jc w:val="center"/>
              <w:rPr>
                <w:rFonts w:hint="eastAsia" w:ascii="宋体"/>
                <w:bCs/>
                <w:sz w:val="24"/>
                <w:highlight w:val="none"/>
              </w:rPr>
            </w:pPr>
          </w:p>
        </w:tc>
      </w:tr>
      <w:tr w14:paraId="2166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476" w:type="dxa"/>
            <w:noWrap w:val="0"/>
            <w:vAlign w:val="center"/>
          </w:tcPr>
          <w:p w14:paraId="452464A2">
            <w:pPr>
              <w:spacing w:line="400" w:lineRule="exact"/>
              <w:jc w:val="center"/>
              <w:rPr>
                <w:rFonts w:hint="eastAsia" w:ascii="宋体"/>
                <w:bCs/>
                <w:sz w:val="24"/>
                <w:highlight w:val="none"/>
              </w:rPr>
            </w:pPr>
            <w:r>
              <w:rPr>
                <w:rFonts w:hint="eastAsia" w:ascii="宋体"/>
                <w:bCs/>
                <w:sz w:val="24"/>
                <w:highlight w:val="none"/>
              </w:rPr>
              <w:t>开户银行</w:t>
            </w:r>
          </w:p>
        </w:tc>
        <w:tc>
          <w:tcPr>
            <w:tcW w:w="2398" w:type="dxa"/>
            <w:noWrap w:val="0"/>
            <w:vAlign w:val="center"/>
          </w:tcPr>
          <w:p w14:paraId="725B7460">
            <w:pPr>
              <w:spacing w:line="400" w:lineRule="exact"/>
              <w:jc w:val="center"/>
              <w:rPr>
                <w:rFonts w:hint="eastAsia" w:ascii="宋体"/>
                <w:bCs/>
                <w:sz w:val="24"/>
                <w:highlight w:val="none"/>
              </w:rPr>
            </w:pPr>
          </w:p>
        </w:tc>
        <w:tc>
          <w:tcPr>
            <w:tcW w:w="1662" w:type="dxa"/>
            <w:noWrap w:val="0"/>
            <w:vAlign w:val="center"/>
          </w:tcPr>
          <w:p w14:paraId="7B2C5BF7">
            <w:pPr>
              <w:spacing w:line="400" w:lineRule="exact"/>
              <w:jc w:val="center"/>
              <w:rPr>
                <w:rFonts w:hint="eastAsia" w:ascii="宋体"/>
                <w:bCs/>
                <w:sz w:val="24"/>
                <w:highlight w:val="none"/>
              </w:rPr>
            </w:pPr>
            <w:r>
              <w:rPr>
                <w:rFonts w:hint="eastAsia" w:ascii="宋体"/>
                <w:bCs/>
                <w:sz w:val="24"/>
                <w:highlight w:val="none"/>
              </w:rPr>
              <w:t>开户银行</w:t>
            </w:r>
          </w:p>
        </w:tc>
        <w:tc>
          <w:tcPr>
            <w:tcW w:w="2769" w:type="dxa"/>
            <w:noWrap w:val="0"/>
            <w:vAlign w:val="center"/>
          </w:tcPr>
          <w:p w14:paraId="6D442FC8">
            <w:pPr>
              <w:spacing w:line="400" w:lineRule="exact"/>
              <w:jc w:val="center"/>
              <w:rPr>
                <w:rFonts w:hint="eastAsia" w:ascii="宋体"/>
                <w:bCs/>
                <w:sz w:val="24"/>
                <w:highlight w:val="none"/>
              </w:rPr>
            </w:pPr>
          </w:p>
        </w:tc>
      </w:tr>
      <w:tr w14:paraId="021B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476" w:type="dxa"/>
            <w:noWrap w:val="0"/>
            <w:vAlign w:val="center"/>
          </w:tcPr>
          <w:p w14:paraId="618F3EF8">
            <w:pPr>
              <w:spacing w:line="400" w:lineRule="exact"/>
              <w:jc w:val="center"/>
              <w:rPr>
                <w:rFonts w:hint="eastAsia" w:ascii="宋体"/>
                <w:bCs/>
                <w:sz w:val="24"/>
                <w:highlight w:val="none"/>
              </w:rPr>
            </w:pPr>
            <w:r>
              <w:rPr>
                <w:rFonts w:hint="eastAsia" w:ascii="宋体"/>
                <w:bCs/>
                <w:sz w:val="24"/>
                <w:highlight w:val="none"/>
                <w:lang w:val="en-US" w:eastAsia="zh-CN"/>
              </w:rPr>
              <w:t>账</w:t>
            </w:r>
            <w:r>
              <w:rPr>
                <w:rFonts w:hint="eastAsia" w:ascii="宋体"/>
                <w:bCs/>
                <w:sz w:val="24"/>
                <w:highlight w:val="none"/>
              </w:rPr>
              <w:t>号</w:t>
            </w:r>
          </w:p>
        </w:tc>
        <w:tc>
          <w:tcPr>
            <w:tcW w:w="2398" w:type="dxa"/>
            <w:noWrap w:val="0"/>
            <w:vAlign w:val="center"/>
          </w:tcPr>
          <w:p w14:paraId="79EC7EAC">
            <w:pPr>
              <w:spacing w:line="400" w:lineRule="exact"/>
              <w:jc w:val="center"/>
              <w:rPr>
                <w:rFonts w:hint="eastAsia" w:ascii="宋体"/>
                <w:bCs/>
                <w:sz w:val="24"/>
                <w:highlight w:val="none"/>
              </w:rPr>
            </w:pPr>
          </w:p>
        </w:tc>
        <w:tc>
          <w:tcPr>
            <w:tcW w:w="1662" w:type="dxa"/>
            <w:noWrap w:val="0"/>
            <w:vAlign w:val="center"/>
          </w:tcPr>
          <w:p w14:paraId="160136F8">
            <w:pPr>
              <w:spacing w:line="400" w:lineRule="exact"/>
              <w:jc w:val="center"/>
              <w:rPr>
                <w:rFonts w:hint="eastAsia" w:ascii="宋体" w:eastAsia="宋体"/>
                <w:bCs/>
                <w:sz w:val="24"/>
                <w:highlight w:val="none"/>
                <w:lang w:val="en-US" w:eastAsia="zh-CN"/>
              </w:rPr>
            </w:pPr>
            <w:r>
              <w:rPr>
                <w:rFonts w:hint="eastAsia" w:ascii="宋体"/>
                <w:bCs/>
                <w:sz w:val="24"/>
                <w:highlight w:val="none"/>
                <w:lang w:val="en-US" w:eastAsia="zh-CN"/>
              </w:rPr>
              <w:t>账号</w:t>
            </w:r>
          </w:p>
        </w:tc>
        <w:tc>
          <w:tcPr>
            <w:tcW w:w="2769" w:type="dxa"/>
            <w:noWrap w:val="0"/>
            <w:vAlign w:val="center"/>
          </w:tcPr>
          <w:p w14:paraId="1A578CA2">
            <w:pPr>
              <w:spacing w:line="400" w:lineRule="exact"/>
              <w:jc w:val="center"/>
              <w:rPr>
                <w:rFonts w:hint="eastAsia" w:ascii="宋体"/>
                <w:bCs/>
                <w:sz w:val="24"/>
                <w:highlight w:val="none"/>
              </w:rPr>
            </w:pPr>
          </w:p>
        </w:tc>
      </w:tr>
    </w:tbl>
    <w:p w14:paraId="658A7A7D">
      <w:pPr>
        <w:rPr>
          <w:rFonts w:hint="eastAsia"/>
          <w:bCs/>
          <w:highlight w:val="none"/>
        </w:rPr>
      </w:pPr>
    </w:p>
    <w:p w14:paraId="6B693CA6">
      <w:pPr>
        <w:rPr>
          <w:rFonts w:hint="eastAsia"/>
          <w:bCs/>
          <w:highlight w:val="none"/>
        </w:rPr>
      </w:pPr>
    </w:p>
    <w:p w14:paraId="706281F2">
      <w:pPr>
        <w:pStyle w:val="3"/>
        <w:jc w:val="center"/>
        <w:rPr>
          <w:rFonts w:cs="Times New Roman"/>
          <w:color w:val="auto"/>
          <w:sz w:val="36"/>
          <w:szCs w:val="36"/>
          <w:highlight w:val="none"/>
        </w:rPr>
      </w:pPr>
      <w:r>
        <w:rPr>
          <w:rFonts w:hint="eastAsia" w:ascii="宋体"/>
          <w:bCs/>
          <w:sz w:val="24"/>
          <w:highlight w:val="none"/>
          <w:lang w:val="en-US" w:eastAsia="zh-CN"/>
        </w:rPr>
        <w:t xml:space="preserve">   </w:t>
      </w:r>
      <w:bookmarkEnd w:id="85"/>
      <w:bookmarkEnd w:id="86"/>
      <w:bookmarkEnd w:id="87"/>
      <w:r>
        <w:rPr>
          <w:rFonts w:hint="eastAsia" w:cs="宋体"/>
          <w:color w:val="auto"/>
          <w:sz w:val="36"/>
          <w:szCs w:val="36"/>
          <w:highlight w:val="none"/>
        </w:rPr>
        <w:t>第六部分</w:t>
      </w:r>
      <w:r>
        <w:rPr>
          <w:color w:val="auto"/>
          <w:sz w:val="36"/>
          <w:szCs w:val="36"/>
          <w:highlight w:val="none"/>
        </w:rPr>
        <w:t xml:space="preserve"> </w:t>
      </w:r>
      <w:r>
        <w:rPr>
          <w:rFonts w:hint="eastAsia" w:cs="宋体"/>
          <w:color w:val="auto"/>
          <w:sz w:val="36"/>
          <w:szCs w:val="36"/>
          <w:highlight w:val="none"/>
        </w:rPr>
        <w:t>应提交的有关格式范例</w:t>
      </w:r>
    </w:p>
    <w:p w14:paraId="0C730CF6">
      <w:pPr>
        <w:rPr>
          <w:color w:val="auto"/>
          <w:highlight w:val="none"/>
        </w:rPr>
      </w:pPr>
    </w:p>
    <w:p w14:paraId="02F8701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“资格文件”、“技术文件”、“商务文件”、“报价文件”须分</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个</w:t>
      </w:r>
      <w:r>
        <w:rPr>
          <w:rFonts w:ascii="宋体" w:hAnsi="宋体" w:cs="宋体"/>
          <w:b/>
          <w:bCs/>
          <w:color w:val="auto"/>
          <w:sz w:val="24"/>
          <w:szCs w:val="24"/>
          <w:highlight w:val="none"/>
        </w:rPr>
        <w:t>PDF</w:t>
      </w:r>
      <w:r>
        <w:rPr>
          <w:rFonts w:hint="eastAsia" w:ascii="宋体" w:hAnsi="宋体" w:cs="宋体"/>
          <w:b/>
          <w:bCs/>
          <w:color w:val="auto"/>
          <w:sz w:val="24"/>
          <w:szCs w:val="24"/>
          <w:highlight w:val="none"/>
        </w:rPr>
        <w:t>格式分别导入。</w:t>
      </w:r>
    </w:p>
    <w:p w14:paraId="794EACA6">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1861EF72">
      <w:pPr>
        <w:spacing w:line="360" w:lineRule="auto"/>
        <w:ind w:firstLine="482" w:firstLineChars="200"/>
        <w:rPr>
          <w:rFonts w:ascii="宋体"/>
          <w:b/>
          <w:bCs/>
          <w:color w:val="auto"/>
          <w:sz w:val="24"/>
          <w:szCs w:val="24"/>
          <w:highlight w:val="none"/>
        </w:rPr>
      </w:pPr>
    </w:p>
    <w:p w14:paraId="7A720C6F">
      <w:pPr>
        <w:spacing w:line="360" w:lineRule="auto"/>
        <w:jc w:val="center"/>
        <w:rPr>
          <w:rFonts w:ascii="宋体"/>
          <w:b/>
          <w:bCs/>
          <w:color w:val="auto"/>
          <w:kern w:val="0"/>
          <w:sz w:val="36"/>
          <w:szCs w:val="36"/>
          <w:highlight w:val="none"/>
        </w:rPr>
      </w:pPr>
      <w:r>
        <w:rPr>
          <w:rFonts w:ascii="宋体"/>
          <w:b/>
          <w:bCs/>
          <w:color w:val="auto"/>
          <w:sz w:val="24"/>
          <w:szCs w:val="24"/>
          <w:highlight w:val="none"/>
        </w:rPr>
        <w:br w:type="page"/>
      </w:r>
      <w:r>
        <w:rPr>
          <w:rFonts w:hint="eastAsia" w:ascii="宋体" w:hAnsi="宋体" w:cs="宋体"/>
          <w:b/>
          <w:bCs/>
          <w:color w:val="auto"/>
          <w:kern w:val="0"/>
          <w:sz w:val="36"/>
          <w:szCs w:val="36"/>
          <w:highlight w:val="none"/>
        </w:rPr>
        <w:t>资格文件部分</w:t>
      </w:r>
    </w:p>
    <w:p w14:paraId="371067EC">
      <w:pPr>
        <w:spacing w:line="360" w:lineRule="auto"/>
        <w:jc w:val="center"/>
        <w:rPr>
          <w:rFonts w:ascii="宋体"/>
          <w:b/>
          <w:bCs/>
          <w:color w:val="auto"/>
          <w:kern w:val="0"/>
          <w:sz w:val="36"/>
          <w:szCs w:val="36"/>
          <w:highlight w:val="none"/>
        </w:rPr>
      </w:pPr>
    </w:p>
    <w:p w14:paraId="06367E82">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5DC73FF6">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）法定代表人授权书；（格式见附件）</w:t>
      </w:r>
    </w:p>
    <w:p w14:paraId="059F27B9">
      <w:pPr>
        <w:spacing w:line="360" w:lineRule="auto"/>
        <w:ind w:firstLine="480" w:firstLineChars="200"/>
        <w:rPr>
          <w:rFonts w:ascii="宋体" w:hAnsi="宋体" w:cs="宋体"/>
          <w:sz w:val="24"/>
          <w:szCs w:val="24"/>
        </w:rPr>
      </w:pPr>
      <w:r>
        <w:rPr>
          <w:rFonts w:hint="eastAsia" w:ascii="宋体" w:hAnsi="宋体" w:cs="宋体"/>
          <w:sz w:val="24"/>
          <w:szCs w:val="24"/>
        </w:rPr>
        <w:t>（2）营业执照</w:t>
      </w:r>
      <w:r>
        <w:rPr>
          <w:rFonts w:ascii="宋体" w:hAnsi="宋体" w:cs="宋体"/>
          <w:sz w:val="24"/>
          <w:szCs w:val="24"/>
        </w:rPr>
        <w:t>(</w:t>
      </w:r>
      <w:r>
        <w:rPr>
          <w:rFonts w:hint="eastAsia" w:ascii="宋体" w:hAnsi="宋体" w:cs="宋体"/>
          <w:sz w:val="24"/>
          <w:szCs w:val="24"/>
        </w:rPr>
        <w:t>或事业法人登记证或其他工商等登记证明材料</w:t>
      </w:r>
      <w:r>
        <w:rPr>
          <w:rFonts w:ascii="宋体" w:hAnsi="宋体" w:cs="宋体"/>
          <w:sz w:val="24"/>
          <w:szCs w:val="24"/>
        </w:rPr>
        <w:t>)</w:t>
      </w:r>
      <w:r>
        <w:rPr>
          <w:rFonts w:hint="eastAsia" w:ascii="宋体" w:hAnsi="宋体" w:cs="宋体"/>
          <w:sz w:val="24"/>
          <w:szCs w:val="24"/>
        </w:rPr>
        <w:t>复印件、税务登记证</w:t>
      </w:r>
      <w:r>
        <w:rPr>
          <w:rFonts w:ascii="宋体" w:hAnsi="宋体" w:cs="宋体"/>
          <w:sz w:val="24"/>
          <w:szCs w:val="24"/>
        </w:rPr>
        <w:t>(</w:t>
      </w:r>
      <w:r>
        <w:rPr>
          <w:rFonts w:hint="eastAsia" w:ascii="宋体" w:hAnsi="宋体" w:cs="宋体"/>
          <w:sz w:val="24"/>
          <w:szCs w:val="24"/>
        </w:rPr>
        <w:t>或其它缴纳证明材料</w:t>
      </w:r>
      <w:r>
        <w:rPr>
          <w:rFonts w:ascii="宋体" w:hAnsi="宋体" w:cs="宋体"/>
          <w:sz w:val="24"/>
          <w:szCs w:val="24"/>
        </w:rPr>
        <w:t>)</w:t>
      </w:r>
      <w:r>
        <w:rPr>
          <w:rFonts w:hint="eastAsia" w:ascii="宋体" w:hAnsi="宋体" w:cs="宋体"/>
          <w:sz w:val="24"/>
          <w:szCs w:val="24"/>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72F80B0D">
      <w:pPr>
        <w:spacing w:line="360" w:lineRule="auto"/>
        <w:ind w:firstLine="480" w:firstLineChars="200"/>
        <w:rPr>
          <w:rFonts w:ascii="宋体"/>
          <w:sz w:val="24"/>
          <w:szCs w:val="24"/>
        </w:rPr>
      </w:pPr>
      <w:r>
        <w:rPr>
          <w:rFonts w:hint="eastAsia" w:ascii="宋体" w:hAnsi="宋体" w:cs="宋体"/>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723CA334">
      <w:pPr>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（3）具有履行合同所必需的产品和专业技术能力的承诺函；</w:t>
      </w:r>
    </w:p>
    <w:p w14:paraId="70082155">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（4）投标人承诺函（格式见附件）</w:t>
      </w:r>
      <w:r>
        <w:rPr>
          <w:rFonts w:hint="eastAsia" w:ascii="宋体" w:hAnsi="宋体" w:cs="宋体"/>
          <w:sz w:val="24"/>
          <w:szCs w:val="24"/>
          <w:lang w:eastAsia="zh-CN"/>
        </w:rPr>
        <w:t>；</w:t>
      </w:r>
    </w:p>
    <w:p w14:paraId="4027E9CA">
      <w:pPr>
        <w:pStyle w:val="4"/>
        <w:rPr>
          <w:rFonts w:hint="eastAsia" w:ascii="宋体" w:hAnsi="宋体" w:eastAsia="宋体" w:cs="宋体"/>
          <w:b w:val="0"/>
          <w:bCs w:val="0"/>
          <w:kern w:val="2"/>
          <w:sz w:val="24"/>
          <w:szCs w:val="24"/>
          <w:lang w:val="en-US" w:eastAsia="zh-CN" w:bidi="ar-SA"/>
        </w:rPr>
      </w:pPr>
    </w:p>
    <w:p w14:paraId="59288A88">
      <w:pPr>
        <w:pStyle w:val="10"/>
        <w:ind w:firstLine="486"/>
        <w:rPr>
          <w:rFonts w:cs="Times New Roman"/>
          <w:color w:val="auto"/>
          <w:highlight w:val="none"/>
        </w:rPr>
      </w:pPr>
    </w:p>
    <w:p w14:paraId="5FBF5E1E">
      <w:pPr>
        <w:rPr>
          <w:rFonts w:ascii="宋体"/>
          <w:color w:val="auto"/>
          <w:highlight w:val="none"/>
        </w:rPr>
      </w:pPr>
      <w:r>
        <w:rPr>
          <w:rFonts w:ascii="宋体"/>
          <w:color w:val="auto"/>
          <w:highlight w:val="none"/>
        </w:rPr>
        <w:br w:type="page"/>
      </w:r>
      <w:bookmarkStart w:id="100" w:name="_Toc24699"/>
    </w:p>
    <w:p w14:paraId="66617EF0">
      <w:pPr>
        <w:rPr>
          <w:b/>
          <w:bCs/>
          <w:color w:val="auto"/>
          <w:sz w:val="24"/>
          <w:szCs w:val="24"/>
          <w:highlight w:val="none"/>
        </w:rPr>
      </w:pPr>
      <w:r>
        <w:rPr>
          <w:rFonts w:hint="eastAsia" w:cs="宋体"/>
          <w:b/>
          <w:bCs/>
          <w:color w:val="auto"/>
          <w:sz w:val="24"/>
          <w:szCs w:val="24"/>
          <w:highlight w:val="none"/>
        </w:rPr>
        <w:t>附件一：</w:t>
      </w:r>
    </w:p>
    <w:p w14:paraId="06376E80">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法定代表人授权书</w:t>
      </w:r>
      <w:bookmarkEnd w:id="100"/>
    </w:p>
    <w:p w14:paraId="5D60114E">
      <w:pPr>
        <w:pStyle w:val="7"/>
        <w:spacing w:line="360" w:lineRule="auto"/>
        <w:rPr>
          <w:rFonts w:ascii="宋体"/>
          <w:color w:val="auto"/>
          <w:highlight w:val="none"/>
        </w:rPr>
      </w:pPr>
    </w:p>
    <w:p w14:paraId="3E28F0E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绍兴市上虞惠盛城镇建设开发有限公司</w:t>
      </w:r>
      <w:r>
        <w:rPr>
          <w:rFonts w:hint="eastAsia" w:ascii="宋体" w:hAnsi="宋体" w:cs="宋体"/>
          <w:color w:val="auto"/>
          <w:sz w:val="24"/>
          <w:szCs w:val="24"/>
          <w:highlight w:val="none"/>
        </w:rPr>
        <w:t>：</w:t>
      </w:r>
    </w:p>
    <w:p w14:paraId="485393A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浙江国信工程管理咨询有限公司</w:t>
      </w:r>
      <w:r>
        <w:rPr>
          <w:rFonts w:hint="eastAsia" w:ascii="宋体" w:hAnsi="宋体" w:cs="宋体"/>
          <w:color w:val="auto"/>
          <w:sz w:val="24"/>
          <w:szCs w:val="24"/>
          <w:highlight w:val="none"/>
        </w:rPr>
        <w:t>：</w:t>
      </w:r>
    </w:p>
    <w:p w14:paraId="1ADBF8A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（供应商全称）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14:paraId="25F23300">
      <w:pPr>
        <w:spacing w:line="360" w:lineRule="auto"/>
        <w:ind w:firstLine="480" w:firstLineChars="200"/>
        <w:rPr>
          <w:rFonts w:ascii="宋体"/>
          <w:color w:val="auto"/>
          <w:sz w:val="24"/>
          <w:szCs w:val="24"/>
          <w:highlight w:val="none"/>
        </w:rPr>
      </w:pPr>
    </w:p>
    <w:p w14:paraId="223EF42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法定代表人签字：</w:t>
      </w:r>
    </w:p>
    <w:p w14:paraId="6CC4C06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供应商全称：（盖章）</w:t>
      </w:r>
    </w:p>
    <w:p w14:paraId="73F2104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日期：</w:t>
      </w:r>
    </w:p>
    <w:p w14:paraId="57D119D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附：</w:t>
      </w:r>
    </w:p>
    <w:p w14:paraId="6C138C8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授权代表姓名：</w:t>
      </w:r>
    </w:p>
    <w:p w14:paraId="0C4C589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职务：</w:t>
      </w:r>
    </w:p>
    <w:p w14:paraId="4131AE4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详细通讯地址：</w:t>
      </w:r>
    </w:p>
    <w:p w14:paraId="1997BF0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p>
    <w:p w14:paraId="656E0D0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电话：</w:t>
      </w:r>
    </w:p>
    <w:p w14:paraId="0E0520F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邮政编码：</w:t>
      </w:r>
    </w:p>
    <w:p w14:paraId="54E7A608">
      <w:pPr>
        <w:pStyle w:val="14"/>
        <w:snapToGrid w:val="0"/>
        <w:spacing w:line="360" w:lineRule="auto"/>
        <w:rPr>
          <w:rFonts w:hAnsi="宋体" w:cs="Times New Roman"/>
          <w:color w:val="auto"/>
          <w:sz w:val="24"/>
          <w:szCs w:val="24"/>
          <w:highlight w:val="none"/>
        </w:rPr>
      </w:pPr>
    </w:p>
    <w:p w14:paraId="1199B356">
      <w:pPr>
        <w:pStyle w:val="14"/>
        <w:snapToGrid w:val="0"/>
        <w:spacing w:line="360" w:lineRule="auto"/>
        <w:rPr>
          <w:rFonts w:hAnsi="宋体" w:cs="Times New Roman"/>
          <w:color w:val="auto"/>
          <w:sz w:val="24"/>
          <w:szCs w:val="24"/>
          <w:highlight w:val="none"/>
        </w:rPr>
      </w:pPr>
    </w:p>
    <w:p w14:paraId="4020490F">
      <w:pPr>
        <w:pStyle w:val="14"/>
        <w:snapToGrid w:val="0"/>
        <w:spacing w:line="360" w:lineRule="auto"/>
        <w:rPr>
          <w:rFonts w:hAnsi="宋体" w:cs="Times New Roman"/>
          <w:color w:val="auto"/>
          <w:sz w:val="24"/>
          <w:szCs w:val="24"/>
          <w:highlight w:val="none"/>
        </w:rPr>
      </w:pPr>
    </w:p>
    <w:p w14:paraId="1612A40D">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附：授权代表身份证复印件（正反面）</w:t>
      </w:r>
    </w:p>
    <w:p w14:paraId="294D3926">
      <w:pPr>
        <w:spacing w:line="360" w:lineRule="auto"/>
        <w:rPr>
          <w:rFonts w:ascii="宋体"/>
          <w:b/>
          <w:bCs/>
          <w:color w:val="auto"/>
          <w:sz w:val="24"/>
          <w:szCs w:val="24"/>
          <w:highlight w:val="none"/>
        </w:rPr>
      </w:pPr>
    </w:p>
    <w:p w14:paraId="038F5E88">
      <w:pPr>
        <w:pStyle w:val="10"/>
        <w:ind w:firstLine="486"/>
        <w:rPr>
          <w:rFonts w:cs="Times New Roman"/>
          <w:color w:val="auto"/>
          <w:highlight w:val="none"/>
        </w:rPr>
      </w:pPr>
    </w:p>
    <w:p w14:paraId="4B435537">
      <w:pPr>
        <w:snapToGrid w:val="0"/>
        <w:spacing w:before="50" w:after="167" w:afterLines="50"/>
        <w:jc w:val="left"/>
        <w:rPr>
          <w:rFonts w:hint="eastAsia" w:ascii="宋体" w:hAnsi="宋体" w:eastAsia="宋体" w:cs="宋体"/>
          <w:b/>
          <w:bCs/>
          <w:color w:val="000000"/>
          <w:kern w:val="2"/>
          <w:sz w:val="24"/>
          <w:szCs w:val="24"/>
          <w:highlight w:val="none"/>
          <w:lang w:val="zh-CN" w:eastAsia="zh-CN" w:bidi="ar-SA"/>
        </w:rPr>
      </w:pPr>
      <w:r>
        <w:rPr>
          <w:rFonts w:ascii="宋体"/>
          <w:b/>
          <w:bCs/>
          <w:color w:val="auto"/>
          <w:sz w:val="24"/>
          <w:szCs w:val="24"/>
          <w:highlight w:val="none"/>
        </w:rPr>
        <w:br w:type="page"/>
      </w:r>
      <w:r>
        <w:rPr>
          <w:rFonts w:hint="eastAsia" w:ascii="宋体" w:hAnsi="宋体" w:eastAsia="宋体" w:cs="宋体"/>
          <w:b/>
          <w:bCs/>
          <w:color w:val="000000"/>
          <w:kern w:val="2"/>
          <w:sz w:val="24"/>
          <w:szCs w:val="24"/>
          <w:highlight w:val="none"/>
          <w:lang w:val="zh-CN" w:eastAsia="zh-CN" w:bidi="ar-SA"/>
        </w:rPr>
        <w:t>附件二：</w:t>
      </w:r>
    </w:p>
    <w:p w14:paraId="59D70DD8">
      <w:pPr>
        <w:spacing w:line="360" w:lineRule="auto"/>
        <w:jc w:val="center"/>
        <w:rPr>
          <w:rFonts w:hint="eastAsia" w:ascii="宋体" w:hAnsi="宋体" w:eastAsia="宋体" w:cs="宋体"/>
          <w:b/>
          <w:bCs/>
          <w:sz w:val="32"/>
          <w:szCs w:val="32"/>
          <w:highlight w:val="none"/>
        </w:rPr>
      </w:pPr>
      <w:r>
        <w:rPr>
          <w:rFonts w:hint="eastAsia" w:ascii="宋体" w:hAnsi="宋体" w:cs="宋体"/>
          <w:b/>
          <w:bCs/>
          <w:sz w:val="32"/>
          <w:szCs w:val="32"/>
          <w:highlight w:val="none"/>
        </w:rPr>
        <w:t>投 标</w:t>
      </w:r>
      <w:r>
        <w:rPr>
          <w:rFonts w:hint="eastAsia" w:ascii="宋体" w:hAnsi="宋体" w:eastAsia="宋体" w:cs="宋体"/>
          <w:b/>
          <w:bCs/>
          <w:sz w:val="32"/>
          <w:szCs w:val="32"/>
          <w:highlight w:val="none"/>
        </w:rPr>
        <w:t xml:space="preserve"> </w:t>
      </w:r>
      <w:r>
        <w:rPr>
          <w:rFonts w:hint="eastAsia" w:ascii="宋体" w:hAnsi="宋体" w:cs="宋体"/>
          <w:b/>
          <w:bCs/>
          <w:sz w:val="32"/>
          <w:szCs w:val="32"/>
          <w:highlight w:val="none"/>
          <w:lang w:eastAsia="zh-CN"/>
        </w:rPr>
        <w:t>人</w:t>
      </w:r>
      <w:r>
        <w:rPr>
          <w:rFonts w:hint="eastAsia" w:ascii="宋体" w:hAnsi="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承</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诺</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函</w:t>
      </w:r>
    </w:p>
    <w:p w14:paraId="77EE2ED1">
      <w:pPr>
        <w:pStyle w:val="23"/>
        <w:rPr>
          <w:highlight w:val="none"/>
        </w:rPr>
      </w:pPr>
    </w:p>
    <w:p w14:paraId="05C40813">
      <w:pPr>
        <w:rPr>
          <w:highlight w:val="none"/>
        </w:rPr>
      </w:pPr>
    </w:p>
    <w:p w14:paraId="5A406A8C">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绍兴市上虞惠盛城镇建设开发有限公司</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748712DF">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浙江国信工程管理咨询有限公司</w:t>
      </w:r>
      <w:r>
        <w:rPr>
          <w:rFonts w:hint="eastAsia" w:ascii="宋体" w:hAnsi="宋体" w:eastAsia="宋体" w:cs="宋体"/>
          <w:color w:val="auto"/>
          <w:sz w:val="24"/>
          <w:highlight w:val="none"/>
        </w:rPr>
        <w:t>：</w:t>
      </w:r>
    </w:p>
    <w:p w14:paraId="4ADDFE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102C822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r>
        <w:rPr>
          <w:rFonts w:hint="eastAsia" w:ascii="宋体" w:hAnsi="宋体" w:eastAsia="宋体" w:cs="宋体"/>
          <w:sz w:val="24"/>
          <w:highlight w:val="none"/>
        </w:rPr>
        <w:t>：</w:t>
      </w:r>
    </w:p>
    <w:p w14:paraId="55A129E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1、我方已详细审查全部招标文件，同意招标文件的各项要求。</w:t>
      </w:r>
    </w:p>
    <w:p w14:paraId="741CA97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2、我方向贵方提交的所有投标文件、资料都是准确的和真实的。</w:t>
      </w:r>
    </w:p>
    <w:p w14:paraId="7DBCE75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3、若中标，我方将按招标文件规定履行合同责任和义务。</w:t>
      </w:r>
    </w:p>
    <w:p w14:paraId="7340D2E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4、我方不是采购人的附属机构；在获知本项目采购信息后，与采购人聘请的为此项目提供咨询服务的公司及其附属机构没有任何联系。</w:t>
      </w:r>
    </w:p>
    <w:p w14:paraId="7C4943F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5、投标文件自开标日起有效期为90天。</w:t>
      </w:r>
    </w:p>
    <w:p w14:paraId="750BE6C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6、我方参与本项目前3年内的经营活动中没有重大违法记录；</w:t>
      </w:r>
    </w:p>
    <w:p w14:paraId="6F1B953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7、我方通过“信用中国”网站（www.creditchina.gov.cn）、中国政府采购网（www.ccgp.gov.cn）查询，未被列入失信被执行人、重大税收违法案件当事人名单、政府采购严重违法失信行为记录名单。</w:t>
      </w:r>
    </w:p>
    <w:p w14:paraId="27974B7E">
      <w:pPr>
        <w:pStyle w:val="60"/>
        <w:numPr>
          <w:ilvl w:val="0"/>
          <w:numId w:val="0"/>
        </w:numPr>
        <w:spacing w:before="0"/>
        <w:ind w:firstLine="480" w:firstLineChars="200"/>
        <w:jc w:val="left"/>
        <w:rPr>
          <w:rFonts w:hint="eastAsia" w:ascii="宋体" w:hAnsi="宋体" w:cs="宋体"/>
          <w:szCs w:val="24"/>
          <w:highlight w:val="none"/>
          <w:lang w:val="en-US" w:eastAsia="zh-CN"/>
        </w:rPr>
      </w:pPr>
      <w:r>
        <w:rPr>
          <w:rFonts w:hint="eastAsia" w:ascii="宋体" w:hAnsi="宋体" w:eastAsia="宋体" w:cs="宋体"/>
          <w:sz w:val="24"/>
          <w:highlight w:val="none"/>
        </w:rPr>
        <w:t>8、</w:t>
      </w:r>
      <w:r>
        <w:rPr>
          <w:rFonts w:hint="eastAsia" w:ascii="宋体" w:hAnsi="宋体" w:cs="宋体"/>
          <w:szCs w:val="24"/>
          <w:highlight w:val="none"/>
          <w:lang w:val="en-US" w:eastAsia="zh-CN"/>
        </w:rPr>
        <w:t>具有良好的商业信誉和健全的财务会计制度；</w:t>
      </w:r>
    </w:p>
    <w:p w14:paraId="24CD5D2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9、具有依法缴纳税收和社会保障资金的良好记录</w:t>
      </w:r>
      <w:r>
        <w:rPr>
          <w:rFonts w:hint="eastAsia" w:ascii="宋体" w:hAnsi="宋体" w:eastAsia="宋体" w:cs="宋体"/>
          <w:sz w:val="24"/>
          <w:highlight w:val="none"/>
        </w:rPr>
        <w:t>；</w:t>
      </w:r>
    </w:p>
    <w:p w14:paraId="283BAD39">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10、</w:t>
      </w:r>
      <w:r>
        <w:rPr>
          <w:rFonts w:hint="eastAsia" w:ascii="宋体" w:hAnsi="宋体" w:eastAsia="宋体" w:cs="宋体"/>
          <w:sz w:val="24"/>
          <w:highlight w:val="none"/>
        </w:rPr>
        <w:t>以上事项如有虚假或隐瞒，我方愿意承担一切后果，并不再寻求任何旨在减轻或免除法律责任的辩解。</w:t>
      </w:r>
    </w:p>
    <w:p w14:paraId="69A60EDD">
      <w:pPr>
        <w:spacing w:line="360" w:lineRule="auto"/>
        <w:ind w:firstLine="480" w:firstLineChars="200"/>
        <w:rPr>
          <w:rFonts w:hint="eastAsia" w:ascii="宋体" w:hAnsi="宋体" w:eastAsia="宋体" w:cs="宋体"/>
          <w:sz w:val="24"/>
          <w:highlight w:val="none"/>
        </w:rPr>
      </w:pPr>
    </w:p>
    <w:p w14:paraId="5CCBF9AD">
      <w:pPr>
        <w:pStyle w:val="10"/>
        <w:rPr>
          <w:rFonts w:hint="eastAsia" w:ascii="宋体" w:hAnsi="宋体" w:eastAsia="宋体" w:cs="宋体"/>
          <w:highlight w:val="none"/>
        </w:rPr>
      </w:pPr>
    </w:p>
    <w:p w14:paraId="57DF3C1E">
      <w:pPr>
        <w:spacing w:line="360" w:lineRule="auto"/>
        <w:ind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法定代表人签名（或签名章）：                       </w:t>
      </w:r>
    </w:p>
    <w:p w14:paraId="5B1C3A8E">
      <w:pPr>
        <w:spacing w:line="360" w:lineRule="auto"/>
        <w:ind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日 期：</w:t>
      </w:r>
    </w:p>
    <w:p w14:paraId="173BCFF3">
      <w:pPr>
        <w:spacing w:line="360" w:lineRule="auto"/>
        <w:ind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投标人全称（公章）：</w:t>
      </w:r>
    </w:p>
    <w:p w14:paraId="36CF729B">
      <w:pPr>
        <w:spacing w:line="360" w:lineRule="auto"/>
        <w:jc w:val="left"/>
        <w:rPr>
          <w:rFonts w:hint="eastAsia" w:ascii="宋体" w:hAnsi="宋体" w:cs="宋体"/>
          <w:b/>
          <w:bCs/>
          <w:color w:val="auto"/>
          <w:sz w:val="24"/>
          <w:szCs w:val="24"/>
          <w:highlight w:val="none"/>
          <w:lang w:val="zh-CN"/>
        </w:rPr>
      </w:pPr>
    </w:p>
    <w:p w14:paraId="5659D9CF">
      <w:pPr>
        <w:rPr>
          <w:rFonts w:ascii="宋体"/>
          <w:color w:val="auto"/>
          <w:sz w:val="24"/>
          <w:szCs w:val="24"/>
          <w:highlight w:val="none"/>
        </w:rPr>
      </w:pPr>
    </w:p>
    <w:p w14:paraId="04332130">
      <w:pPr>
        <w:pStyle w:val="7"/>
      </w:pPr>
    </w:p>
    <w:p w14:paraId="674AB61E">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技术文件</w:t>
      </w:r>
    </w:p>
    <w:p w14:paraId="41157F62">
      <w:pPr>
        <w:spacing w:line="360" w:lineRule="auto"/>
        <w:jc w:val="center"/>
        <w:rPr>
          <w:rFonts w:ascii="宋体"/>
          <w:b/>
          <w:bCs/>
          <w:color w:val="auto"/>
          <w:kern w:val="0"/>
          <w:sz w:val="36"/>
          <w:szCs w:val="36"/>
          <w:highlight w:val="none"/>
        </w:rPr>
      </w:pPr>
    </w:p>
    <w:p w14:paraId="34AD1849">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43597E3B">
      <w:pPr>
        <w:pStyle w:val="10"/>
        <w:ind w:left="426" w:firstLine="486"/>
        <w:rPr>
          <w:rFonts w:cs="Times New Roman"/>
          <w:color w:val="auto"/>
          <w:highlight w:val="none"/>
        </w:rPr>
      </w:pPr>
    </w:p>
    <w:p w14:paraId="24A80886">
      <w:pPr>
        <w:numPr>
          <w:ilvl w:val="0"/>
          <w:numId w:val="2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评分对应表（格式见附件，主要用于评委对应评分内容）</w:t>
      </w:r>
    </w:p>
    <w:p w14:paraId="677B7141">
      <w:pPr>
        <w:numPr>
          <w:ilvl w:val="0"/>
          <w:numId w:val="2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磋商项目明细清单（格式见附件）；</w:t>
      </w:r>
    </w:p>
    <w:p w14:paraId="610D380B">
      <w:pPr>
        <w:numPr>
          <w:ilvl w:val="0"/>
          <w:numId w:val="2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技术响应及建议表（格式见附件）</w:t>
      </w:r>
    </w:p>
    <w:p w14:paraId="25FA0C38">
      <w:pPr>
        <w:numPr>
          <w:ilvl w:val="0"/>
          <w:numId w:val="2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项目理解</w:t>
      </w:r>
      <w:r>
        <w:rPr>
          <w:rFonts w:hint="eastAsia" w:ascii="宋体" w:hAnsi="宋体" w:eastAsia="宋体" w:cs="宋体"/>
          <w:snapToGrid/>
          <w:color w:val="auto"/>
          <w:kern w:val="2"/>
          <w:sz w:val="24"/>
          <w:szCs w:val="24"/>
          <w:highlight w:val="none"/>
          <w:lang w:eastAsia="zh-CN"/>
        </w:rPr>
        <w:t>；</w:t>
      </w:r>
    </w:p>
    <w:p w14:paraId="2B904BF5">
      <w:pPr>
        <w:numPr>
          <w:ilvl w:val="0"/>
          <w:numId w:val="2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总体设计</w:t>
      </w:r>
      <w:r>
        <w:rPr>
          <w:rFonts w:hint="eastAsia" w:ascii="宋体" w:hAnsi="宋体" w:eastAsia="宋体" w:cs="宋体"/>
          <w:snapToGrid/>
          <w:color w:val="auto"/>
          <w:kern w:val="2"/>
          <w:sz w:val="24"/>
          <w:szCs w:val="24"/>
          <w:highlight w:val="none"/>
          <w:lang w:eastAsia="zh-CN"/>
        </w:rPr>
        <w:t>；</w:t>
      </w:r>
    </w:p>
    <w:p w14:paraId="76ECD05F">
      <w:pPr>
        <w:numPr>
          <w:ilvl w:val="0"/>
          <w:numId w:val="20"/>
        </w:numPr>
        <w:adjustRightInd w:val="0"/>
        <w:spacing w:after="120" w:line="360" w:lineRule="auto"/>
        <w:ind w:left="150" w:leftChars="0" w:firstLine="480" w:firstLineChars="0"/>
        <w:rPr>
          <w:rFonts w:hint="eastAsia" w:eastAsia="宋体"/>
          <w:highlight w:val="none"/>
          <w:lang w:eastAsia="zh-CN"/>
        </w:rPr>
      </w:pPr>
      <w:r>
        <w:rPr>
          <w:rFonts w:hint="eastAsia" w:ascii="宋体" w:hAnsi="宋体" w:eastAsia="宋体" w:cs="宋体"/>
          <w:snapToGrid/>
          <w:color w:val="auto"/>
          <w:kern w:val="2"/>
          <w:sz w:val="24"/>
          <w:szCs w:val="24"/>
          <w:highlight w:val="none"/>
          <w:lang w:val="en-US" w:eastAsia="zh-CN"/>
        </w:rPr>
        <w:t>运营方案</w:t>
      </w:r>
      <w:r>
        <w:rPr>
          <w:rFonts w:hint="eastAsia" w:ascii="宋体" w:hAnsi="宋体" w:eastAsia="宋体" w:cs="宋体"/>
          <w:snapToGrid/>
          <w:color w:val="auto"/>
          <w:kern w:val="2"/>
          <w:sz w:val="24"/>
          <w:szCs w:val="24"/>
          <w:highlight w:val="none"/>
          <w:lang w:eastAsia="zh-CN"/>
        </w:rPr>
        <w:t>；</w:t>
      </w:r>
    </w:p>
    <w:p w14:paraId="2271EEC0">
      <w:pPr>
        <w:numPr>
          <w:ilvl w:val="0"/>
          <w:numId w:val="20"/>
        </w:numPr>
        <w:tabs>
          <w:tab w:val="left" w:pos="1176"/>
        </w:tabs>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eastAsia="zh-CN"/>
        </w:rPr>
      </w:pPr>
      <w:r>
        <w:rPr>
          <w:rFonts w:hint="eastAsia" w:ascii="宋体" w:hAnsi="宋体" w:eastAsia="宋体" w:cs="宋体"/>
          <w:color w:val="auto"/>
          <w:sz w:val="24"/>
          <w:highlight w:val="none"/>
          <w:lang w:val="en-US" w:eastAsia="zh-CN"/>
        </w:rPr>
        <w:t>运营目标</w:t>
      </w:r>
      <w:r>
        <w:rPr>
          <w:rFonts w:hint="eastAsia" w:ascii="宋体" w:hAnsi="宋体" w:eastAsia="宋体" w:cs="宋体"/>
          <w:snapToGrid/>
          <w:color w:val="auto"/>
          <w:kern w:val="2"/>
          <w:sz w:val="24"/>
          <w:szCs w:val="24"/>
          <w:highlight w:val="none"/>
          <w:lang w:eastAsia="zh-CN"/>
        </w:rPr>
        <w:t>；</w:t>
      </w:r>
    </w:p>
    <w:p w14:paraId="3C9E62B8">
      <w:pPr>
        <w:numPr>
          <w:ilvl w:val="0"/>
          <w:numId w:val="2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eastAsia="zh-CN"/>
        </w:rPr>
      </w:pPr>
      <w:r>
        <w:rPr>
          <w:rFonts w:hint="eastAsia" w:ascii="宋体" w:hAnsi="宋体" w:eastAsia="宋体" w:cs="宋体"/>
          <w:color w:val="auto"/>
          <w:sz w:val="24"/>
          <w:highlight w:val="none"/>
          <w:lang w:val="en-US" w:eastAsia="zh-CN"/>
        </w:rPr>
        <w:t>实施</w:t>
      </w:r>
      <w:r>
        <w:rPr>
          <w:rFonts w:hint="eastAsia" w:ascii="宋体" w:hAnsi="宋体" w:eastAsia="宋体" w:cs="宋体"/>
          <w:color w:val="auto"/>
          <w:sz w:val="24"/>
          <w:highlight w:val="none"/>
        </w:rPr>
        <w:t>方案</w:t>
      </w:r>
      <w:r>
        <w:rPr>
          <w:rFonts w:hint="eastAsia" w:ascii="宋体" w:hAnsi="宋体" w:eastAsia="宋体" w:cs="宋体"/>
          <w:snapToGrid/>
          <w:color w:val="auto"/>
          <w:kern w:val="2"/>
          <w:sz w:val="24"/>
          <w:szCs w:val="24"/>
          <w:highlight w:val="none"/>
          <w:lang w:eastAsia="zh-CN"/>
        </w:rPr>
        <w:t>；</w:t>
      </w:r>
    </w:p>
    <w:p w14:paraId="339EC9F4">
      <w:pPr>
        <w:numPr>
          <w:ilvl w:val="0"/>
          <w:numId w:val="2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eastAsia="zh-CN"/>
        </w:rPr>
      </w:pPr>
      <w:r>
        <w:rPr>
          <w:rFonts w:hint="eastAsia" w:ascii="宋体" w:hAnsi="宋体" w:eastAsia="宋体" w:cs="宋体"/>
          <w:color w:val="auto"/>
          <w:sz w:val="24"/>
          <w:highlight w:val="none"/>
        </w:rPr>
        <w:t>服务质量</w:t>
      </w:r>
      <w:r>
        <w:rPr>
          <w:rFonts w:hint="eastAsia" w:ascii="宋体" w:hAnsi="宋体" w:eastAsia="宋体" w:cs="宋体"/>
          <w:snapToGrid/>
          <w:color w:val="auto"/>
          <w:kern w:val="2"/>
          <w:sz w:val="24"/>
          <w:szCs w:val="24"/>
          <w:highlight w:val="none"/>
          <w:lang w:eastAsia="zh-CN"/>
        </w:rPr>
        <w:t>；</w:t>
      </w:r>
    </w:p>
    <w:p w14:paraId="2AC88E9D">
      <w:pPr>
        <w:numPr>
          <w:ilvl w:val="0"/>
          <w:numId w:val="20"/>
        </w:numPr>
        <w:adjustRightInd w:val="0"/>
        <w:spacing w:after="120" w:line="360" w:lineRule="auto"/>
        <w:ind w:left="150" w:leftChars="0" w:firstLine="480"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运营能力；</w:t>
      </w:r>
    </w:p>
    <w:p w14:paraId="4F9D7F05">
      <w:pPr>
        <w:numPr>
          <w:ilvl w:val="0"/>
          <w:numId w:val="2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eastAsia="zh-CN"/>
        </w:rPr>
      </w:pPr>
      <w:r>
        <w:rPr>
          <w:rFonts w:hint="eastAsia" w:ascii="宋体" w:hAnsi="宋体" w:eastAsia="宋体" w:cs="宋体"/>
          <w:color w:val="auto"/>
          <w:sz w:val="24"/>
          <w:highlight w:val="none"/>
        </w:rPr>
        <w:t>人员配置</w:t>
      </w:r>
      <w:r>
        <w:rPr>
          <w:rFonts w:hint="eastAsia" w:ascii="宋体" w:hAnsi="宋体" w:eastAsia="宋体" w:cs="宋体"/>
          <w:snapToGrid/>
          <w:color w:val="auto"/>
          <w:kern w:val="2"/>
          <w:sz w:val="24"/>
          <w:szCs w:val="24"/>
          <w:highlight w:val="none"/>
          <w:lang w:eastAsia="zh-CN"/>
        </w:rPr>
        <w:t>；</w:t>
      </w:r>
    </w:p>
    <w:p w14:paraId="44D0B56C">
      <w:pPr>
        <w:numPr>
          <w:ilvl w:val="0"/>
          <w:numId w:val="20"/>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color w:val="auto"/>
          <w:sz w:val="24"/>
          <w:highlight w:val="none"/>
        </w:rPr>
        <w:t>档案管理</w:t>
      </w:r>
      <w:r>
        <w:rPr>
          <w:rFonts w:hint="eastAsia" w:ascii="宋体" w:hAnsi="宋体" w:eastAsia="宋体" w:cs="宋体"/>
          <w:snapToGrid/>
          <w:color w:val="auto"/>
          <w:kern w:val="2"/>
          <w:sz w:val="24"/>
          <w:szCs w:val="24"/>
          <w:highlight w:val="none"/>
          <w:lang w:val="en-US" w:eastAsia="zh-CN"/>
        </w:rPr>
        <w:t>；</w:t>
      </w:r>
    </w:p>
    <w:p w14:paraId="08490311">
      <w:pPr>
        <w:numPr>
          <w:ilvl w:val="0"/>
          <w:numId w:val="20"/>
        </w:numPr>
        <w:adjustRightInd w:val="0"/>
        <w:spacing w:after="120" w:line="360" w:lineRule="auto"/>
        <w:ind w:left="150" w:leftChars="0" w:firstLine="480" w:firstLineChars="0"/>
        <w:rPr>
          <w:rFonts w:ascii="宋体" w:hAnsi="宋体" w:eastAsia="宋体" w:cs="宋体"/>
          <w:color w:val="auto"/>
          <w:highlight w:val="none"/>
        </w:rPr>
      </w:pPr>
      <w:r>
        <w:rPr>
          <w:rFonts w:hint="eastAsia" w:ascii="宋体" w:hAnsi="宋体" w:eastAsia="宋体" w:cs="宋体"/>
          <w:snapToGrid/>
          <w:color w:val="auto"/>
          <w:kern w:val="2"/>
          <w:sz w:val="24"/>
          <w:szCs w:val="24"/>
          <w:highlight w:val="none"/>
          <w:lang w:val="en-US" w:eastAsia="zh-CN"/>
        </w:rPr>
        <w:t>评分标准中要求提供的相关资料。</w:t>
      </w:r>
    </w:p>
    <w:p w14:paraId="6121FE8F">
      <w:pPr>
        <w:pStyle w:val="22"/>
      </w:pPr>
    </w:p>
    <w:p w14:paraId="70818F21"/>
    <w:p w14:paraId="7F185BBC">
      <w:pPr>
        <w:pStyle w:val="3"/>
      </w:pPr>
    </w:p>
    <w:p w14:paraId="0251757C"/>
    <w:p w14:paraId="5FE1FAD6">
      <w:pPr>
        <w:pStyle w:val="22"/>
      </w:pPr>
    </w:p>
    <w:p w14:paraId="43F1B295">
      <w:pPr>
        <w:snapToGrid w:val="0"/>
        <w:spacing w:before="50" w:after="5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br w:type="textWrapping"/>
      </w:r>
    </w:p>
    <w:p w14:paraId="35A3CDF5">
      <w:pP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br w:type="page"/>
      </w:r>
    </w:p>
    <w:p w14:paraId="4A06A9C4">
      <w:pPr>
        <w:spacing w:line="360" w:lineRule="auto"/>
        <w:ind w:firstLine="3614" w:firstLineChars="1000"/>
        <w:jc w:val="both"/>
        <w:rPr>
          <w:rFonts w:ascii="宋体"/>
          <w:b/>
          <w:bCs/>
          <w:color w:val="auto"/>
          <w:kern w:val="0"/>
          <w:sz w:val="36"/>
          <w:szCs w:val="36"/>
          <w:highlight w:val="none"/>
        </w:rPr>
      </w:pPr>
      <w:r>
        <w:rPr>
          <w:rFonts w:hint="eastAsia" w:ascii="宋体" w:hAnsi="宋体" w:cs="宋体"/>
          <w:b/>
          <w:bCs/>
          <w:color w:val="auto"/>
          <w:kern w:val="0"/>
          <w:sz w:val="36"/>
          <w:szCs w:val="36"/>
          <w:highlight w:val="none"/>
        </w:rPr>
        <w:t>商务文件</w:t>
      </w:r>
    </w:p>
    <w:p w14:paraId="37DB29AE">
      <w:pPr>
        <w:spacing w:line="360" w:lineRule="auto"/>
        <w:jc w:val="center"/>
        <w:rPr>
          <w:rFonts w:ascii="宋体"/>
          <w:b/>
          <w:bCs/>
          <w:color w:val="auto"/>
          <w:kern w:val="0"/>
          <w:sz w:val="36"/>
          <w:szCs w:val="36"/>
          <w:highlight w:val="none"/>
        </w:rPr>
      </w:pPr>
    </w:p>
    <w:p w14:paraId="314DCD4D">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6DA3194D">
      <w:pPr>
        <w:pStyle w:val="10"/>
        <w:ind w:left="426" w:firstLine="486"/>
        <w:rPr>
          <w:rFonts w:cs="Times New Roman"/>
          <w:color w:val="auto"/>
          <w:highlight w:val="none"/>
        </w:rPr>
      </w:pPr>
    </w:p>
    <w:p w14:paraId="40210416">
      <w:pPr>
        <w:numPr>
          <w:ilvl w:val="0"/>
          <w:numId w:val="21"/>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商务响应表（格式见附件）；</w:t>
      </w:r>
    </w:p>
    <w:p w14:paraId="36B144A6">
      <w:pPr>
        <w:numPr>
          <w:ilvl w:val="0"/>
          <w:numId w:val="21"/>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rPr>
        <w:t>投标人资信分自评表（格式见附件）；</w:t>
      </w:r>
    </w:p>
    <w:p w14:paraId="1AEB12D0">
      <w:pPr>
        <w:numPr>
          <w:ilvl w:val="0"/>
          <w:numId w:val="21"/>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供应商业绩；</w:t>
      </w:r>
    </w:p>
    <w:p w14:paraId="0BD5CBD7">
      <w:pPr>
        <w:numPr>
          <w:ilvl w:val="0"/>
          <w:numId w:val="21"/>
        </w:numPr>
        <w:adjustRightInd w:val="0"/>
        <w:spacing w:after="120" w:line="360" w:lineRule="auto"/>
        <w:ind w:left="150" w:leftChars="0" w:firstLine="480" w:firstLineChars="0"/>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lang w:val="en-US" w:eastAsia="zh-CN"/>
        </w:rPr>
        <w:t>证书</w:t>
      </w:r>
      <w:r>
        <w:rPr>
          <w:rFonts w:hint="eastAsia" w:ascii="宋体" w:hAnsi="宋体" w:cs="宋体"/>
          <w:snapToGrid/>
          <w:color w:val="auto"/>
          <w:kern w:val="2"/>
          <w:sz w:val="24"/>
          <w:szCs w:val="24"/>
          <w:highlight w:val="none"/>
          <w:lang w:val="en-US" w:eastAsia="zh-CN"/>
        </w:rPr>
        <w:t>认证</w:t>
      </w:r>
      <w:r>
        <w:rPr>
          <w:rFonts w:hint="eastAsia" w:ascii="宋体" w:hAnsi="宋体" w:eastAsia="宋体" w:cs="宋体"/>
          <w:snapToGrid/>
          <w:color w:val="auto"/>
          <w:kern w:val="2"/>
          <w:sz w:val="24"/>
          <w:szCs w:val="24"/>
          <w:highlight w:val="none"/>
          <w:lang w:val="en-US" w:eastAsia="zh-CN"/>
        </w:rPr>
        <w:t>。</w:t>
      </w:r>
    </w:p>
    <w:p w14:paraId="15356C1E">
      <w:pPr>
        <w:pStyle w:val="22"/>
      </w:pPr>
    </w:p>
    <w:p w14:paraId="42CD06EF"/>
    <w:p w14:paraId="70CB63CB">
      <w:pPr>
        <w:pStyle w:val="3"/>
      </w:pPr>
    </w:p>
    <w:p w14:paraId="68516BC6"/>
    <w:p w14:paraId="4A15239E">
      <w:pPr>
        <w:pStyle w:val="22"/>
      </w:pPr>
    </w:p>
    <w:p w14:paraId="03347015">
      <w:pPr>
        <w:rPr>
          <w:rFonts w:hint="eastAsia" w:ascii="宋体" w:hAnsi="宋体" w:cs="宋体"/>
          <w:b/>
          <w:bCs/>
          <w:color w:val="auto"/>
          <w:sz w:val="24"/>
          <w:szCs w:val="24"/>
          <w:highlight w:val="none"/>
          <w:lang w:val="zh-CN"/>
        </w:rPr>
      </w:pPr>
      <w:bookmarkStart w:id="101" w:name="_Toc10131"/>
      <w:r>
        <w:rPr>
          <w:rFonts w:hint="eastAsia" w:ascii="宋体" w:hAnsi="宋体" w:cs="宋体"/>
          <w:b/>
          <w:bCs/>
          <w:color w:val="auto"/>
          <w:sz w:val="24"/>
          <w:szCs w:val="24"/>
          <w:highlight w:val="none"/>
          <w:lang w:val="zh-CN"/>
        </w:rPr>
        <w:br w:type="page"/>
      </w:r>
    </w:p>
    <w:p w14:paraId="03AC53F9">
      <w:pPr>
        <w:snapToGrid w:val="0"/>
        <w:spacing w:before="50" w:after="50"/>
        <w:jc w:val="left"/>
        <w:rPr>
          <w:rFonts w:ascii="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val="zh-CN"/>
        </w:rPr>
        <w:t>：</w:t>
      </w:r>
    </w:p>
    <w:p w14:paraId="6EF97E9C">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评分对应表</w:t>
      </w:r>
    </w:p>
    <w:p w14:paraId="082817C2">
      <w:pPr>
        <w:snapToGrid w:val="0"/>
        <w:spacing w:before="50"/>
        <w:jc w:val="center"/>
        <w:rPr>
          <w:rFonts w:ascii="宋体"/>
          <w:b/>
          <w:bCs/>
          <w:color w:val="auto"/>
          <w:sz w:val="32"/>
          <w:szCs w:val="32"/>
          <w:highlight w:val="none"/>
        </w:rPr>
      </w:pPr>
    </w:p>
    <w:p w14:paraId="7379C99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7091AA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9"/>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223B0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5326D21">
            <w:pPr>
              <w:jc w:val="center"/>
              <w:rPr>
                <w:rFonts w:ascii="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EC3F18A">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2BF44AE4">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1B747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9F2470E">
            <w:pPr>
              <w:jc w:val="center"/>
              <w:rPr>
                <w:rFonts w:ascii="宋体"/>
                <w:color w:val="auto"/>
                <w:sz w:val="24"/>
                <w:szCs w:val="24"/>
                <w:highlight w:val="none"/>
              </w:rPr>
            </w:pPr>
            <w:r>
              <w:rPr>
                <w:rFonts w:hint="eastAsia" w:ascii="宋体" w:hAnsi="宋体" w:cs="宋体"/>
                <w:color w:val="auto"/>
                <w:sz w:val="24"/>
                <w:szCs w:val="24"/>
                <w:highlight w:val="none"/>
              </w:rPr>
              <w:t>对应评分办法及评分标准</w:t>
            </w:r>
          </w:p>
          <w:p w14:paraId="0C836874">
            <w:pPr>
              <w:jc w:val="center"/>
              <w:rPr>
                <w:rFonts w:ascii="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782734DF">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EA7E880">
            <w:pPr>
              <w:jc w:val="center"/>
              <w:rPr>
                <w:rFonts w:ascii="宋体"/>
                <w:color w:val="auto"/>
                <w:sz w:val="24"/>
                <w:szCs w:val="24"/>
                <w:highlight w:val="none"/>
              </w:rPr>
            </w:pPr>
          </w:p>
        </w:tc>
      </w:tr>
      <w:tr w14:paraId="490C0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2EEC55C">
            <w:pPr>
              <w:jc w:val="center"/>
              <w:rPr>
                <w:rFonts w:ascii="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51C7AE3C">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7536E44">
            <w:pPr>
              <w:jc w:val="center"/>
              <w:rPr>
                <w:rFonts w:ascii="宋体"/>
                <w:color w:val="auto"/>
                <w:sz w:val="24"/>
                <w:szCs w:val="24"/>
                <w:highlight w:val="none"/>
              </w:rPr>
            </w:pPr>
          </w:p>
        </w:tc>
      </w:tr>
      <w:tr w14:paraId="0CBD6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EE8B324">
            <w:pPr>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AB0F570">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29954FB">
            <w:pPr>
              <w:jc w:val="center"/>
              <w:rPr>
                <w:rFonts w:ascii="宋体"/>
                <w:color w:val="auto"/>
                <w:sz w:val="24"/>
                <w:szCs w:val="24"/>
                <w:highlight w:val="none"/>
              </w:rPr>
            </w:pPr>
          </w:p>
        </w:tc>
      </w:tr>
      <w:tr w14:paraId="513BF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44246BB">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0BF9C1A">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BD1FFF3">
            <w:pPr>
              <w:spacing w:line="360" w:lineRule="auto"/>
              <w:ind w:firstLine="480" w:firstLineChars="200"/>
              <w:jc w:val="center"/>
              <w:rPr>
                <w:rFonts w:ascii="宋体"/>
                <w:color w:val="auto"/>
                <w:sz w:val="24"/>
                <w:szCs w:val="24"/>
                <w:highlight w:val="none"/>
              </w:rPr>
            </w:pPr>
          </w:p>
        </w:tc>
      </w:tr>
      <w:tr w14:paraId="34BDE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316AB0B">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62FB62A">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55956FF">
            <w:pPr>
              <w:spacing w:line="360" w:lineRule="auto"/>
              <w:ind w:firstLine="480" w:firstLineChars="200"/>
              <w:jc w:val="center"/>
              <w:rPr>
                <w:rFonts w:ascii="宋体"/>
                <w:color w:val="auto"/>
                <w:sz w:val="24"/>
                <w:szCs w:val="24"/>
                <w:highlight w:val="none"/>
              </w:rPr>
            </w:pPr>
          </w:p>
        </w:tc>
      </w:tr>
      <w:tr w14:paraId="623FC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952F31F">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09EC829">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4D3EA41">
            <w:pPr>
              <w:spacing w:line="360" w:lineRule="auto"/>
              <w:ind w:firstLine="480" w:firstLineChars="200"/>
              <w:jc w:val="center"/>
              <w:rPr>
                <w:rFonts w:ascii="宋体"/>
                <w:color w:val="auto"/>
                <w:sz w:val="24"/>
                <w:szCs w:val="24"/>
                <w:highlight w:val="none"/>
              </w:rPr>
            </w:pPr>
          </w:p>
        </w:tc>
      </w:tr>
      <w:tr w14:paraId="0B80B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FA20B51">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6DEF9AD">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FFA9F23">
            <w:pPr>
              <w:spacing w:line="360" w:lineRule="auto"/>
              <w:ind w:firstLine="480" w:firstLineChars="200"/>
              <w:jc w:val="center"/>
              <w:rPr>
                <w:rFonts w:ascii="宋体"/>
                <w:color w:val="auto"/>
                <w:sz w:val="24"/>
                <w:szCs w:val="24"/>
                <w:highlight w:val="none"/>
              </w:rPr>
            </w:pPr>
          </w:p>
        </w:tc>
      </w:tr>
      <w:tr w14:paraId="54FD5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B0ACDA5">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6C6AFCD">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8E993B6">
            <w:pPr>
              <w:spacing w:line="360" w:lineRule="auto"/>
              <w:ind w:firstLine="480" w:firstLineChars="200"/>
              <w:jc w:val="center"/>
              <w:rPr>
                <w:rFonts w:ascii="宋体"/>
                <w:color w:val="auto"/>
                <w:sz w:val="24"/>
                <w:szCs w:val="24"/>
                <w:highlight w:val="none"/>
              </w:rPr>
            </w:pPr>
          </w:p>
        </w:tc>
      </w:tr>
    </w:tbl>
    <w:p w14:paraId="1F1F60DD">
      <w:pPr>
        <w:spacing w:line="360" w:lineRule="auto"/>
        <w:ind w:firstLine="480" w:firstLineChars="200"/>
        <w:rPr>
          <w:rFonts w:ascii="宋体"/>
          <w:color w:val="auto"/>
          <w:sz w:val="24"/>
          <w:szCs w:val="24"/>
          <w:highlight w:val="none"/>
        </w:rPr>
      </w:pPr>
    </w:p>
    <w:p w14:paraId="6327F230">
      <w:pPr>
        <w:spacing w:line="360" w:lineRule="auto"/>
        <w:ind w:left="3780" w:leftChars="1800" w:firstLine="480" w:firstLineChars="200"/>
        <w:rPr>
          <w:rFonts w:ascii="宋体"/>
          <w:color w:val="auto"/>
          <w:sz w:val="24"/>
          <w:szCs w:val="24"/>
          <w:highlight w:val="none"/>
        </w:rPr>
      </w:pPr>
    </w:p>
    <w:p w14:paraId="191E408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E5ECF3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385AE4BB">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B8FEAF8">
      <w:pPr>
        <w:rPr>
          <w:color w:val="auto"/>
          <w:highlight w:val="none"/>
          <w:lang w:val="zh-CN"/>
        </w:rPr>
      </w:pPr>
    </w:p>
    <w:p w14:paraId="753F8C47">
      <w:pPr>
        <w:rPr>
          <w:rFonts w:hint="eastAsia" w:cs="宋体"/>
          <w:b/>
          <w:bCs/>
          <w:color w:val="auto"/>
          <w:sz w:val="24"/>
          <w:szCs w:val="24"/>
          <w:highlight w:val="none"/>
          <w:lang w:val="zh-CN"/>
        </w:rPr>
      </w:pPr>
    </w:p>
    <w:p w14:paraId="2DFB8B3A">
      <w:pPr>
        <w:rPr>
          <w:rFonts w:hint="eastAsia" w:cs="宋体"/>
          <w:b/>
          <w:bCs/>
          <w:color w:val="auto"/>
          <w:sz w:val="24"/>
          <w:szCs w:val="24"/>
          <w:highlight w:val="none"/>
          <w:lang w:val="zh-CN"/>
        </w:rPr>
      </w:pPr>
    </w:p>
    <w:p w14:paraId="13EF0327">
      <w:pPr>
        <w:rPr>
          <w:rFonts w:hint="eastAsia" w:cs="宋体"/>
          <w:b/>
          <w:bCs/>
          <w:color w:val="auto"/>
          <w:sz w:val="24"/>
          <w:szCs w:val="24"/>
          <w:highlight w:val="none"/>
          <w:lang w:val="zh-CN"/>
        </w:rPr>
      </w:pPr>
    </w:p>
    <w:p w14:paraId="7059C84C">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四</w:t>
      </w:r>
      <w:r>
        <w:rPr>
          <w:rFonts w:hint="eastAsia" w:cs="宋体"/>
          <w:b/>
          <w:bCs/>
          <w:color w:val="auto"/>
          <w:sz w:val="24"/>
          <w:szCs w:val="24"/>
          <w:highlight w:val="none"/>
        </w:rPr>
        <w:t>：</w:t>
      </w:r>
    </w:p>
    <w:bookmarkEnd w:id="101"/>
    <w:p w14:paraId="2EC4CD5D">
      <w:pPr>
        <w:snapToGrid w:val="0"/>
        <w:spacing w:before="50"/>
        <w:jc w:val="center"/>
        <w:rPr>
          <w:rFonts w:ascii="宋体"/>
          <w:b/>
          <w:bCs/>
          <w:color w:val="auto"/>
          <w:sz w:val="32"/>
          <w:szCs w:val="32"/>
          <w:highlight w:val="none"/>
        </w:rPr>
      </w:pPr>
      <w:r>
        <w:rPr>
          <w:rFonts w:hint="eastAsia" w:ascii="宋体"/>
          <w:b/>
          <w:bCs/>
          <w:color w:val="auto"/>
          <w:sz w:val="32"/>
          <w:szCs w:val="32"/>
          <w:highlight w:val="none"/>
        </w:rPr>
        <w:t>投标人资信分自评表</w:t>
      </w:r>
    </w:p>
    <w:p w14:paraId="7EAD90F1">
      <w:pPr>
        <w:snapToGrid w:val="0"/>
        <w:spacing w:before="50"/>
        <w:jc w:val="center"/>
        <w:rPr>
          <w:rFonts w:ascii="宋体"/>
          <w:b/>
          <w:bCs/>
          <w:color w:val="auto"/>
          <w:sz w:val="32"/>
          <w:szCs w:val="32"/>
          <w:highlight w:val="none"/>
        </w:rPr>
      </w:pPr>
    </w:p>
    <w:p w14:paraId="600C98E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60830EF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9"/>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15629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68DA8B8">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14:paraId="4BA13467">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14:paraId="7820FC2D">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14:paraId="5990EB8C">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14:paraId="46989023">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1BC62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E62A37D">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14:paraId="4D0EC635">
            <w:pPr>
              <w:jc w:val="center"/>
              <w:rPr>
                <w:rFonts w:ascii="宋体"/>
                <w:color w:val="auto"/>
                <w:sz w:val="24"/>
                <w:szCs w:val="24"/>
                <w:highlight w:val="none"/>
              </w:rPr>
            </w:pPr>
          </w:p>
        </w:tc>
        <w:tc>
          <w:tcPr>
            <w:tcW w:w="1462" w:type="dxa"/>
          </w:tcPr>
          <w:p w14:paraId="0711AFEC">
            <w:pPr>
              <w:jc w:val="center"/>
              <w:rPr>
                <w:rFonts w:ascii="宋体"/>
                <w:color w:val="auto"/>
                <w:sz w:val="24"/>
                <w:szCs w:val="24"/>
                <w:highlight w:val="none"/>
              </w:rPr>
            </w:pPr>
          </w:p>
        </w:tc>
        <w:tc>
          <w:tcPr>
            <w:tcW w:w="2415" w:type="dxa"/>
            <w:tcBorders>
              <w:right w:val="single" w:color="auto" w:sz="4" w:space="0"/>
            </w:tcBorders>
          </w:tcPr>
          <w:p w14:paraId="44BF16F3">
            <w:pPr>
              <w:jc w:val="center"/>
              <w:rPr>
                <w:rFonts w:ascii="宋体"/>
                <w:color w:val="auto"/>
                <w:sz w:val="24"/>
                <w:szCs w:val="24"/>
                <w:highlight w:val="none"/>
              </w:rPr>
            </w:pPr>
          </w:p>
        </w:tc>
        <w:tc>
          <w:tcPr>
            <w:tcW w:w="1746" w:type="dxa"/>
            <w:tcBorders>
              <w:left w:val="single" w:color="auto" w:sz="4" w:space="0"/>
            </w:tcBorders>
          </w:tcPr>
          <w:p w14:paraId="65760937">
            <w:pPr>
              <w:jc w:val="center"/>
              <w:rPr>
                <w:rFonts w:ascii="宋体"/>
                <w:color w:val="auto"/>
                <w:sz w:val="24"/>
                <w:szCs w:val="24"/>
                <w:highlight w:val="none"/>
              </w:rPr>
            </w:pPr>
          </w:p>
        </w:tc>
      </w:tr>
      <w:tr w14:paraId="485A6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C2E4726">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14:paraId="2A4DE0D1">
            <w:pPr>
              <w:jc w:val="center"/>
              <w:rPr>
                <w:rFonts w:ascii="宋体"/>
                <w:color w:val="auto"/>
                <w:sz w:val="24"/>
                <w:szCs w:val="24"/>
                <w:highlight w:val="none"/>
              </w:rPr>
            </w:pPr>
          </w:p>
        </w:tc>
        <w:tc>
          <w:tcPr>
            <w:tcW w:w="1462" w:type="dxa"/>
          </w:tcPr>
          <w:p w14:paraId="10B4E517">
            <w:pPr>
              <w:jc w:val="center"/>
              <w:rPr>
                <w:rFonts w:ascii="宋体"/>
                <w:color w:val="auto"/>
                <w:sz w:val="24"/>
                <w:szCs w:val="24"/>
                <w:highlight w:val="none"/>
              </w:rPr>
            </w:pPr>
          </w:p>
        </w:tc>
        <w:tc>
          <w:tcPr>
            <w:tcW w:w="2415" w:type="dxa"/>
            <w:tcBorders>
              <w:right w:val="single" w:color="auto" w:sz="4" w:space="0"/>
            </w:tcBorders>
          </w:tcPr>
          <w:p w14:paraId="100EDBCD">
            <w:pPr>
              <w:jc w:val="center"/>
              <w:rPr>
                <w:rFonts w:ascii="宋体"/>
                <w:color w:val="auto"/>
                <w:sz w:val="24"/>
                <w:szCs w:val="24"/>
                <w:highlight w:val="none"/>
              </w:rPr>
            </w:pPr>
          </w:p>
        </w:tc>
        <w:tc>
          <w:tcPr>
            <w:tcW w:w="1746" w:type="dxa"/>
            <w:tcBorders>
              <w:left w:val="single" w:color="auto" w:sz="4" w:space="0"/>
            </w:tcBorders>
          </w:tcPr>
          <w:p w14:paraId="5D22C1B3">
            <w:pPr>
              <w:jc w:val="center"/>
              <w:rPr>
                <w:rFonts w:ascii="宋体"/>
                <w:color w:val="auto"/>
                <w:sz w:val="24"/>
                <w:szCs w:val="24"/>
                <w:highlight w:val="none"/>
              </w:rPr>
            </w:pPr>
          </w:p>
        </w:tc>
      </w:tr>
      <w:tr w14:paraId="7055C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378A662">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14:paraId="4DE3604C">
            <w:pPr>
              <w:jc w:val="center"/>
              <w:rPr>
                <w:rFonts w:ascii="宋体"/>
                <w:color w:val="auto"/>
                <w:sz w:val="24"/>
                <w:szCs w:val="24"/>
                <w:highlight w:val="none"/>
              </w:rPr>
            </w:pPr>
          </w:p>
        </w:tc>
        <w:tc>
          <w:tcPr>
            <w:tcW w:w="1462" w:type="dxa"/>
          </w:tcPr>
          <w:p w14:paraId="27601490">
            <w:pPr>
              <w:jc w:val="center"/>
              <w:rPr>
                <w:rFonts w:ascii="宋体"/>
                <w:color w:val="auto"/>
                <w:sz w:val="24"/>
                <w:szCs w:val="24"/>
                <w:highlight w:val="none"/>
              </w:rPr>
            </w:pPr>
          </w:p>
        </w:tc>
        <w:tc>
          <w:tcPr>
            <w:tcW w:w="2415" w:type="dxa"/>
            <w:tcBorders>
              <w:right w:val="single" w:color="auto" w:sz="4" w:space="0"/>
            </w:tcBorders>
          </w:tcPr>
          <w:p w14:paraId="1BF82A95">
            <w:pPr>
              <w:jc w:val="center"/>
              <w:rPr>
                <w:rFonts w:ascii="宋体"/>
                <w:color w:val="auto"/>
                <w:sz w:val="24"/>
                <w:szCs w:val="24"/>
                <w:highlight w:val="none"/>
              </w:rPr>
            </w:pPr>
          </w:p>
        </w:tc>
        <w:tc>
          <w:tcPr>
            <w:tcW w:w="1746" w:type="dxa"/>
            <w:tcBorders>
              <w:left w:val="single" w:color="auto" w:sz="4" w:space="0"/>
            </w:tcBorders>
          </w:tcPr>
          <w:p w14:paraId="4D97EB2E">
            <w:pPr>
              <w:jc w:val="center"/>
              <w:rPr>
                <w:rFonts w:ascii="宋体"/>
                <w:color w:val="auto"/>
                <w:sz w:val="24"/>
                <w:szCs w:val="24"/>
                <w:highlight w:val="none"/>
              </w:rPr>
            </w:pPr>
          </w:p>
        </w:tc>
      </w:tr>
      <w:tr w14:paraId="53F75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D88B3B9">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14:paraId="526232FD">
            <w:pPr>
              <w:jc w:val="center"/>
              <w:rPr>
                <w:rFonts w:ascii="宋体"/>
                <w:color w:val="auto"/>
                <w:sz w:val="24"/>
                <w:szCs w:val="24"/>
                <w:highlight w:val="none"/>
              </w:rPr>
            </w:pPr>
          </w:p>
        </w:tc>
        <w:tc>
          <w:tcPr>
            <w:tcW w:w="1462" w:type="dxa"/>
          </w:tcPr>
          <w:p w14:paraId="2CF37C9D">
            <w:pPr>
              <w:jc w:val="center"/>
              <w:rPr>
                <w:rFonts w:ascii="宋体"/>
                <w:color w:val="auto"/>
                <w:sz w:val="24"/>
                <w:szCs w:val="24"/>
                <w:highlight w:val="none"/>
              </w:rPr>
            </w:pPr>
          </w:p>
        </w:tc>
        <w:tc>
          <w:tcPr>
            <w:tcW w:w="2415" w:type="dxa"/>
            <w:tcBorders>
              <w:right w:val="single" w:color="auto" w:sz="4" w:space="0"/>
            </w:tcBorders>
          </w:tcPr>
          <w:p w14:paraId="3E38A5C1">
            <w:pPr>
              <w:jc w:val="center"/>
              <w:rPr>
                <w:rFonts w:ascii="宋体"/>
                <w:color w:val="auto"/>
                <w:sz w:val="24"/>
                <w:szCs w:val="24"/>
                <w:highlight w:val="none"/>
              </w:rPr>
            </w:pPr>
          </w:p>
        </w:tc>
        <w:tc>
          <w:tcPr>
            <w:tcW w:w="1746" w:type="dxa"/>
            <w:tcBorders>
              <w:left w:val="single" w:color="auto" w:sz="4" w:space="0"/>
            </w:tcBorders>
          </w:tcPr>
          <w:p w14:paraId="30C63C55">
            <w:pPr>
              <w:jc w:val="center"/>
              <w:rPr>
                <w:rFonts w:ascii="宋体"/>
                <w:color w:val="auto"/>
                <w:sz w:val="24"/>
                <w:szCs w:val="24"/>
                <w:highlight w:val="none"/>
              </w:rPr>
            </w:pPr>
          </w:p>
        </w:tc>
      </w:tr>
      <w:tr w14:paraId="34F9D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F9401D8">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14:paraId="3D490962">
            <w:pPr>
              <w:jc w:val="center"/>
              <w:rPr>
                <w:rFonts w:ascii="宋体"/>
                <w:color w:val="auto"/>
                <w:sz w:val="24"/>
                <w:szCs w:val="24"/>
                <w:highlight w:val="none"/>
              </w:rPr>
            </w:pPr>
          </w:p>
        </w:tc>
        <w:tc>
          <w:tcPr>
            <w:tcW w:w="1462" w:type="dxa"/>
          </w:tcPr>
          <w:p w14:paraId="4A10A580">
            <w:pPr>
              <w:jc w:val="center"/>
              <w:rPr>
                <w:rFonts w:ascii="宋体"/>
                <w:color w:val="auto"/>
                <w:sz w:val="24"/>
                <w:szCs w:val="24"/>
                <w:highlight w:val="none"/>
              </w:rPr>
            </w:pPr>
          </w:p>
        </w:tc>
        <w:tc>
          <w:tcPr>
            <w:tcW w:w="2415" w:type="dxa"/>
            <w:tcBorders>
              <w:right w:val="single" w:color="auto" w:sz="4" w:space="0"/>
            </w:tcBorders>
          </w:tcPr>
          <w:p w14:paraId="544F7B10">
            <w:pPr>
              <w:jc w:val="center"/>
              <w:rPr>
                <w:rFonts w:ascii="宋体"/>
                <w:color w:val="auto"/>
                <w:sz w:val="24"/>
                <w:szCs w:val="24"/>
                <w:highlight w:val="none"/>
              </w:rPr>
            </w:pPr>
          </w:p>
        </w:tc>
        <w:tc>
          <w:tcPr>
            <w:tcW w:w="1746" w:type="dxa"/>
            <w:tcBorders>
              <w:left w:val="single" w:color="auto" w:sz="4" w:space="0"/>
            </w:tcBorders>
          </w:tcPr>
          <w:p w14:paraId="3FA76BDB">
            <w:pPr>
              <w:jc w:val="center"/>
              <w:rPr>
                <w:rFonts w:ascii="宋体"/>
                <w:color w:val="auto"/>
                <w:sz w:val="24"/>
                <w:szCs w:val="24"/>
                <w:highlight w:val="none"/>
              </w:rPr>
            </w:pPr>
          </w:p>
        </w:tc>
      </w:tr>
      <w:tr w14:paraId="47948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9080E79">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14:paraId="44A3C27C">
            <w:pPr>
              <w:jc w:val="center"/>
              <w:rPr>
                <w:rFonts w:ascii="宋体"/>
                <w:color w:val="auto"/>
                <w:sz w:val="24"/>
                <w:szCs w:val="24"/>
                <w:highlight w:val="none"/>
              </w:rPr>
            </w:pPr>
          </w:p>
        </w:tc>
        <w:tc>
          <w:tcPr>
            <w:tcW w:w="1462" w:type="dxa"/>
          </w:tcPr>
          <w:p w14:paraId="1100A01E">
            <w:pPr>
              <w:jc w:val="center"/>
              <w:rPr>
                <w:rFonts w:ascii="宋体"/>
                <w:color w:val="auto"/>
                <w:sz w:val="24"/>
                <w:szCs w:val="24"/>
                <w:highlight w:val="none"/>
              </w:rPr>
            </w:pPr>
          </w:p>
        </w:tc>
        <w:tc>
          <w:tcPr>
            <w:tcW w:w="2415" w:type="dxa"/>
            <w:tcBorders>
              <w:right w:val="single" w:color="auto" w:sz="4" w:space="0"/>
            </w:tcBorders>
          </w:tcPr>
          <w:p w14:paraId="5C98AEB0">
            <w:pPr>
              <w:jc w:val="center"/>
              <w:rPr>
                <w:rFonts w:ascii="宋体"/>
                <w:color w:val="auto"/>
                <w:sz w:val="24"/>
                <w:szCs w:val="24"/>
                <w:highlight w:val="none"/>
              </w:rPr>
            </w:pPr>
          </w:p>
        </w:tc>
        <w:tc>
          <w:tcPr>
            <w:tcW w:w="1746" w:type="dxa"/>
            <w:tcBorders>
              <w:left w:val="single" w:color="auto" w:sz="4" w:space="0"/>
            </w:tcBorders>
          </w:tcPr>
          <w:p w14:paraId="6331DE67">
            <w:pPr>
              <w:jc w:val="center"/>
              <w:rPr>
                <w:rFonts w:ascii="宋体"/>
                <w:color w:val="auto"/>
                <w:sz w:val="24"/>
                <w:szCs w:val="24"/>
                <w:highlight w:val="none"/>
              </w:rPr>
            </w:pPr>
          </w:p>
        </w:tc>
      </w:tr>
      <w:tr w14:paraId="2B41F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4EB25B9">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14:paraId="64861C11">
            <w:pPr>
              <w:jc w:val="center"/>
              <w:rPr>
                <w:rFonts w:ascii="宋体"/>
                <w:color w:val="auto"/>
                <w:sz w:val="24"/>
                <w:szCs w:val="24"/>
                <w:highlight w:val="none"/>
              </w:rPr>
            </w:pPr>
          </w:p>
        </w:tc>
        <w:tc>
          <w:tcPr>
            <w:tcW w:w="1462" w:type="dxa"/>
          </w:tcPr>
          <w:p w14:paraId="4A2C4FF7">
            <w:pPr>
              <w:jc w:val="center"/>
              <w:rPr>
                <w:rFonts w:ascii="宋体"/>
                <w:color w:val="auto"/>
                <w:sz w:val="24"/>
                <w:szCs w:val="24"/>
                <w:highlight w:val="none"/>
              </w:rPr>
            </w:pPr>
          </w:p>
        </w:tc>
        <w:tc>
          <w:tcPr>
            <w:tcW w:w="2415" w:type="dxa"/>
            <w:tcBorders>
              <w:right w:val="single" w:color="auto" w:sz="4" w:space="0"/>
            </w:tcBorders>
          </w:tcPr>
          <w:p w14:paraId="63C728B1">
            <w:pPr>
              <w:jc w:val="center"/>
              <w:rPr>
                <w:rFonts w:ascii="宋体"/>
                <w:color w:val="auto"/>
                <w:sz w:val="24"/>
                <w:szCs w:val="24"/>
                <w:highlight w:val="none"/>
              </w:rPr>
            </w:pPr>
          </w:p>
        </w:tc>
        <w:tc>
          <w:tcPr>
            <w:tcW w:w="1746" w:type="dxa"/>
            <w:tcBorders>
              <w:left w:val="single" w:color="auto" w:sz="4" w:space="0"/>
            </w:tcBorders>
          </w:tcPr>
          <w:p w14:paraId="4425483C">
            <w:pPr>
              <w:jc w:val="center"/>
              <w:rPr>
                <w:rFonts w:ascii="宋体"/>
                <w:color w:val="auto"/>
                <w:sz w:val="24"/>
                <w:szCs w:val="24"/>
                <w:highlight w:val="none"/>
              </w:rPr>
            </w:pPr>
          </w:p>
        </w:tc>
      </w:tr>
      <w:tr w14:paraId="03818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2D7290A">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14:paraId="2E3E5CA5">
            <w:pPr>
              <w:jc w:val="center"/>
              <w:rPr>
                <w:rFonts w:ascii="宋体"/>
                <w:color w:val="auto"/>
                <w:sz w:val="24"/>
                <w:szCs w:val="24"/>
                <w:highlight w:val="none"/>
              </w:rPr>
            </w:pPr>
          </w:p>
        </w:tc>
        <w:tc>
          <w:tcPr>
            <w:tcW w:w="1462" w:type="dxa"/>
          </w:tcPr>
          <w:p w14:paraId="557E579E">
            <w:pPr>
              <w:jc w:val="center"/>
              <w:rPr>
                <w:rFonts w:ascii="宋体"/>
                <w:color w:val="auto"/>
                <w:sz w:val="24"/>
                <w:szCs w:val="24"/>
                <w:highlight w:val="none"/>
              </w:rPr>
            </w:pPr>
          </w:p>
        </w:tc>
        <w:tc>
          <w:tcPr>
            <w:tcW w:w="2415" w:type="dxa"/>
            <w:tcBorders>
              <w:right w:val="single" w:color="auto" w:sz="4" w:space="0"/>
            </w:tcBorders>
          </w:tcPr>
          <w:p w14:paraId="508ABBCE">
            <w:pPr>
              <w:jc w:val="center"/>
              <w:rPr>
                <w:rFonts w:ascii="宋体"/>
                <w:color w:val="auto"/>
                <w:sz w:val="24"/>
                <w:szCs w:val="24"/>
                <w:highlight w:val="none"/>
              </w:rPr>
            </w:pPr>
          </w:p>
        </w:tc>
        <w:tc>
          <w:tcPr>
            <w:tcW w:w="1746" w:type="dxa"/>
            <w:tcBorders>
              <w:left w:val="single" w:color="auto" w:sz="4" w:space="0"/>
            </w:tcBorders>
          </w:tcPr>
          <w:p w14:paraId="6B8B8328">
            <w:pPr>
              <w:jc w:val="center"/>
              <w:rPr>
                <w:rFonts w:ascii="宋体"/>
                <w:color w:val="auto"/>
                <w:sz w:val="24"/>
                <w:szCs w:val="24"/>
                <w:highlight w:val="none"/>
              </w:rPr>
            </w:pPr>
          </w:p>
        </w:tc>
      </w:tr>
    </w:tbl>
    <w:p w14:paraId="00B56137">
      <w:pPr>
        <w:spacing w:line="360" w:lineRule="auto"/>
        <w:ind w:firstLine="480" w:firstLineChars="200"/>
        <w:rPr>
          <w:rFonts w:ascii="宋体"/>
          <w:color w:val="auto"/>
          <w:sz w:val="24"/>
          <w:szCs w:val="24"/>
          <w:highlight w:val="none"/>
        </w:rPr>
      </w:pPr>
    </w:p>
    <w:p w14:paraId="4D418CEE">
      <w:pPr>
        <w:spacing w:line="360" w:lineRule="auto"/>
        <w:ind w:left="3780" w:leftChars="1800" w:firstLine="480" w:firstLineChars="200"/>
        <w:rPr>
          <w:rFonts w:ascii="宋体"/>
          <w:color w:val="auto"/>
          <w:sz w:val="24"/>
          <w:szCs w:val="24"/>
          <w:highlight w:val="none"/>
        </w:rPr>
      </w:pPr>
    </w:p>
    <w:p w14:paraId="18821C0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83DBD1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82E3F6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0FA0FD6E">
      <w:pPr>
        <w:snapToGrid w:val="0"/>
        <w:spacing w:before="50"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val="zh-CN"/>
        </w:rPr>
        <w:t>：</w:t>
      </w:r>
    </w:p>
    <w:p w14:paraId="0FE0B683">
      <w:pPr>
        <w:spacing w:line="360" w:lineRule="auto"/>
        <w:jc w:val="center"/>
        <w:outlineLvl w:val="9"/>
        <w:rPr>
          <w:rFonts w:ascii="宋体" w:hAnsi="宋体"/>
          <w:b/>
          <w:bCs/>
          <w:color w:val="000000"/>
          <w:sz w:val="32"/>
          <w:szCs w:val="32"/>
        </w:rPr>
      </w:pPr>
      <w:bookmarkStart w:id="102" w:name="_Toc30705"/>
      <w:bookmarkStart w:id="103" w:name="_Toc26031"/>
      <w:bookmarkStart w:id="104" w:name="_Toc14349"/>
      <w:r>
        <w:rPr>
          <w:rFonts w:hint="eastAsia" w:ascii="宋体" w:hAnsi="宋体" w:cs="宋体"/>
          <w:b/>
          <w:bCs/>
          <w:color w:val="000000"/>
          <w:sz w:val="32"/>
          <w:szCs w:val="32"/>
        </w:rPr>
        <w:t>投标项目明细清单</w:t>
      </w:r>
      <w:bookmarkEnd w:id="102"/>
      <w:bookmarkEnd w:id="103"/>
      <w:bookmarkEnd w:id="104"/>
    </w:p>
    <w:p w14:paraId="1DDF0DBE">
      <w:pPr>
        <w:spacing w:line="360" w:lineRule="auto"/>
        <w:ind w:firstLine="480" w:firstLineChars="200"/>
        <w:rPr>
          <w:rFonts w:ascii="宋体" w:hAnsi="宋体"/>
          <w:color w:val="000000"/>
          <w:sz w:val="24"/>
          <w:szCs w:val="24"/>
        </w:rPr>
      </w:pPr>
    </w:p>
    <w:p w14:paraId="172F7E7C">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项目名称：</w:t>
      </w:r>
    </w:p>
    <w:p w14:paraId="29B58566">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采购编号：</w:t>
      </w:r>
    </w:p>
    <w:tbl>
      <w:tblPr>
        <w:tblStyle w:val="2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E7DF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noWrap w:val="0"/>
            <w:vAlign w:val="center"/>
          </w:tcPr>
          <w:p w14:paraId="58A74A0F">
            <w:pPr>
              <w:snapToGrid w:val="0"/>
              <w:spacing w:before="50" w:after="50"/>
              <w:jc w:val="center"/>
              <w:rPr>
                <w:rFonts w:ascii="宋体" w:hAnsi="宋体"/>
                <w:color w:val="000000"/>
                <w:sz w:val="24"/>
                <w:szCs w:val="24"/>
              </w:rPr>
            </w:pPr>
            <w:r>
              <w:rPr>
                <w:rFonts w:hint="eastAsia" w:ascii="宋体" w:hAnsi="宋体" w:cs="宋体"/>
                <w:color w:val="000000"/>
                <w:sz w:val="24"/>
                <w:szCs w:val="24"/>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4BD8CE50">
            <w:pPr>
              <w:snapToGrid w:val="0"/>
              <w:spacing w:before="50" w:after="50"/>
              <w:jc w:val="center"/>
              <w:rPr>
                <w:rFonts w:ascii="宋体" w:hAnsi="宋体"/>
                <w:color w:val="000000"/>
                <w:sz w:val="24"/>
                <w:szCs w:val="24"/>
              </w:rPr>
            </w:pPr>
            <w:r>
              <w:rPr>
                <w:rFonts w:hint="eastAsia" w:ascii="宋体" w:hAnsi="宋体" w:cs="宋体"/>
                <w:color w:val="000000"/>
                <w:sz w:val="24"/>
                <w:szCs w:val="24"/>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4ADFDE81">
            <w:pPr>
              <w:snapToGrid w:val="0"/>
              <w:spacing w:before="50" w:after="50"/>
              <w:jc w:val="center"/>
              <w:rPr>
                <w:rFonts w:ascii="宋体" w:hAnsi="宋体"/>
                <w:color w:val="000000"/>
                <w:sz w:val="24"/>
                <w:szCs w:val="24"/>
              </w:rPr>
            </w:pPr>
            <w:r>
              <w:rPr>
                <w:rFonts w:hint="eastAsia" w:ascii="宋体" w:hAnsi="宋体" w:cs="宋体"/>
                <w:color w:val="000000"/>
                <w:sz w:val="24"/>
                <w:szCs w:val="24"/>
              </w:rPr>
              <w:t>工作人员数量</w:t>
            </w:r>
          </w:p>
        </w:tc>
        <w:tc>
          <w:tcPr>
            <w:tcW w:w="2830" w:type="dxa"/>
            <w:tcBorders>
              <w:top w:val="single" w:color="auto" w:sz="4" w:space="0"/>
              <w:left w:val="single" w:color="auto" w:sz="4" w:space="0"/>
              <w:bottom w:val="single" w:color="auto" w:sz="4" w:space="0"/>
            </w:tcBorders>
            <w:noWrap w:val="0"/>
            <w:vAlign w:val="center"/>
          </w:tcPr>
          <w:p w14:paraId="15AD49BB">
            <w:pPr>
              <w:snapToGrid w:val="0"/>
              <w:spacing w:before="50" w:after="50"/>
              <w:jc w:val="center"/>
              <w:rPr>
                <w:rFonts w:ascii="宋体" w:hAnsi="宋体"/>
                <w:color w:val="000000"/>
                <w:sz w:val="24"/>
                <w:szCs w:val="24"/>
              </w:rPr>
            </w:pPr>
            <w:r>
              <w:rPr>
                <w:rFonts w:hint="eastAsia" w:ascii="宋体" w:hAnsi="宋体" w:cs="宋体"/>
                <w:color w:val="000000"/>
                <w:sz w:val="24"/>
                <w:szCs w:val="24"/>
              </w:rPr>
              <w:t>工作量</w:t>
            </w:r>
          </w:p>
        </w:tc>
      </w:tr>
      <w:tr w14:paraId="367BB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noWrap w:val="0"/>
            <w:vAlign w:val="center"/>
          </w:tcPr>
          <w:p w14:paraId="09374E9D">
            <w:pPr>
              <w:snapToGrid w:val="0"/>
              <w:spacing w:before="50" w:after="50"/>
              <w:jc w:val="center"/>
              <w:rPr>
                <w:rFonts w:ascii="宋体" w:hAnsi="宋体"/>
                <w:color w:val="000000"/>
                <w:sz w:val="24"/>
                <w:szCs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01B5066F">
            <w:pPr>
              <w:snapToGrid w:val="0"/>
              <w:spacing w:before="50" w:after="50"/>
              <w:jc w:val="center"/>
              <w:rPr>
                <w:rFonts w:ascii="宋体" w:hAnsi="宋体"/>
                <w:color w:val="000000"/>
                <w:sz w:val="24"/>
                <w:szCs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3536AB93">
            <w:pPr>
              <w:snapToGrid w:val="0"/>
              <w:spacing w:before="50" w:after="50"/>
              <w:ind w:left="480" w:hanging="480"/>
              <w:jc w:val="center"/>
              <w:rPr>
                <w:rFonts w:ascii="宋体" w:hAnsi="宋体"/>
                <w:color w:val="000000"/>
                <w:sz w:val="24"/>
                <w:szCs w:val="24"/>
              </w:rPr>
            </w:pPr>
          </w:p>
        </w:tc>
        <w:tc>
          <w:tcPr>
            <w:tcW w:w="2830" w:type="dxa"/>
            <w:tcBorders>
              <w:top w:val="single" w:color="auto" w:sz="4" w:space="0"/>
              <w:left w:val="single" w:color="auto" w:sz="4" w:space="0"/>
              <w:bottom w:val="single" w:color="auto" w:sz="4" w:space="0"/>
            </w:tcBorders>
            <w:noWrap w:val="0"/>
            <w:vAlign w:val="center"/>
          </w:tcPr>
          <w:p w14:paraId="3C850AE9">
            <w:pPr>
              <w:snapToGrid w:val="0"/>
              <w:spacing w:before="50" w:after="50"/>
              <w:jc w:val="center"/>
              <w:rPr>
                <w:rFonts w:ascii="宋体" w:hAnsi="宋体"/>
                <w:color w:val="000000"/>
                <w:sz w:val="24"/>
                <w:szCs w:val="24"/>
              </w:rPr>
            </w:pPr>
          </w:p>
        </w:tc>
      </w:tr>
      <w:tr w14:paraId="64771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noWrap w:val="0"/>
            <w:vAlign w:val="center"/>
          </w:tcPr>
          <w:p w14:paraId="03461EBB">
            <w:pPr>
              <w:snapToGrid w:val="0"/>
              <w:spacing w:before="50" w:after="50"/>
              <w:jc w:val="center"/>
              <w:rPr>
                <w:rFonts w:ascii="宋体" w:hAnsi="宋体"/>
                <w:color w:val="000000"/>
                <w:sz w:val="24"/>
                <w:szCs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395AD3DB">
            <w:pPr>
              <w:snapToGrid w:val="0"/>
              <w:spacing w:before="50" w:after="50"/>
              <w:jc w:val="center"/>
              <w:rPr>
                <w:rFonts w:ascii="宋体" w:hAnsi="宋体"/>
                <w:color w:val="000000"/>
                <w:sz w:val="24"/>
                <w:szCs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42617368">
            <w:pPr>
              <w:snapToGrid w:val="0"/>
              <w:spacing w:before="50" w:after="50"/>
              <w:ind w:left="480" w:hanging="480"/>
              <w:jc w:val="center"/>
              <w:rPr>
                <w:rFonts w:ascii="宋体" w:hAnsi="宋体"/>
                <w:color w:val="000000"/>
                <w:sz w:val="24"/>
                <w:szCs w:val="24"/>
              </w:rPr>
            </w:pPr>
          </w:p>
        </w:tc>
        <w:tc>
          <w:tcPr>
            <w:tcW w:w="2830" w:type="dxa"/>
            <w:tcBorders>
              <w:top w:val="single" w:color="auto" w:sz="4" w:space="0"/>
              <w:left w:val="single" w:color="auto" w:sz="4" w:space="0"/>
              <w:bottom w:val="single" w:color="auto" w:sz="4" w:space="0"/>
            </w:tcBorders>
            <w:noWrap w:val="0"/>
            <w:vAlign w:val="center"/>
          </w:tcPr>
          <w:p w14:paraId="0D9FCA81">
            <w:pPr>
              <w:snapToGrid w:val="0"/>
              <w:spacing w:before="50" w:after="50"/>
              <w:jc w:val="center"/>
              <w:rPr>
                <w:rFonts w:ascii="宋体" w:hAnsi="宋体"/>
                <w:color w:val="000000"/>
                <w:sz w:val="24"/>
                <w:szCs w:val="24"/>
              </w:rPr>
            </w:pPr>
          </w:p>
        </w:tc>
      </w:tr>
    </w:tbl>
    <w:p w14:paraId="7A677CB8">
      <w:pPr>
        <w:snapToGrid w:val="0"/>
        <w:spacing w:before="156" w:beforeLines="50" w:line="360" w:lineRule="auto"/>
        <w:ind w:firstLine="480" w:firstLineChars="200"/>
        <w:rPr>
          <w:rFonts w:ascii="宋体" w:hAnsi="宋体" w:cs="宋体"/>
          <w:color w:val="000000"/>
          <w:sz w:val="24"/>
          <w:szCs w:val="24"/>
        </w:rPr>
      </w:pPr>
    </w:p>
    <w:p w14:paraId="019FCDC2">
      <w:pPr>
        <w:snapToGrid w:val="0"/>
        <w:spacing w:before="156" w:beforeLines="50" w:line="360" w:lineRule="auto"/>
        <w:ind w:firstLine="480" w:firstLineChars="200"/>
        <w:rPr>
          <w:rFonts w:ascii="宋体" w:hAnsi="宋体" w:cs="宋体"/>
          <w:color w:val="000000"/>
          <w:sz w:val="24"/>
          <w:szCs w:val="24"/>
        </w:rPr>
      </w:pPr>
      <w:r>
        <w:rPr>
          <w:rFonts w:hint="eastAsia" w:ascii="宋体" w:hAnsi="宋体" w:cs="宋体"/>
          <w:color w:val="000000"/>
          <w:sz w:val="24"/>
          <w:szCs w:val="24"/>
        </w:rPr>
        <w:t>注：此表不作要求。</w:t>
      </w:r>
    </w:p>
    <w:p w14:paraId="334E750F">
      <w:pPr>
        <w:pStyle w:val="10"/>
        <w:rPr>
          <w:rFonts w:cs="Times New Roman"/>
          <w:color w:val="000000"/>
        </w:rPr>
      </w:pPr>
    </w:p>
    <w:p w14:paraId="4B8A6788">
      <w:pPr>
        <w:pStyle w:val="10"/>
        <w:rPr>
          <w:rFonts w:cs="Times New Roman"/>
          <w:color w:val="000000"/>
        </w:rPr>
      </w:pPr>
    </w:p>
    <w:p w14:paraId="6C840D42">
      <w:pPr>
        <w:pStyle w:val="10"/>
        <w:rPr>
          <w:rFonts w:cs="Times New Roman"/>
          <w:color w:val="000000"/>
        </w:rPr>
      </w:pPr>
    </w:p>
    <w:p w14:paraId="59731822">
      <w:pPr>
        <w:snapToGrid w:val="0"/>
        <w:spacing w:before="156" w:beforeLines="50"/>
        <w:rPr>
          <w:rFonts w:ascii="宋体" w:hAnsi="宋体"/>
          <w:color w:val="000000"/>
          <w:sz w:val="24"/>
          <w:szCs w:val="24"/>
        </w:rPr>
      </w:pPr>
    </w:p>
    <w:p w14:paraId="16C67912">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法定代表人签名（或签名章）：</w:t>
      </w:r>
      <w:r>
        <w:rPr>
          <w:rFonts w:ascii="宋体" w:hAnsi="宋体" w:cs="宋体"/>
          <w:color w:val="000000"/>
          <w:sz w:val="24"/>
          <w:szCs w:val="24"/>
        </w:rPr>
        <w:t xml:space="preserve">                       </w:t>
      </w:r>
    </w:p>
    <w:p w14:paraId="06B91A9E">
      <w:pPr>
        <w:spacing w:line="360" w:lineRule="auto"/>
        <w:ind w:left="3780" w:leftChars="1800" w:firstLine="480" w:firstLineChars="200"/>
        <w:rPr>
          <w:rFonts w:ascii="宋体" w:hAnsi="宋体"/>
          <w:color w:val="000000"/>
          <w:sz w:val="24"/>
          <w:szCs w:val="24"/>
        </w:rPr>
      </w:pP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14:paraId="4F8C8B6A">
      <w:pPr>
        <w:snapToGrid w:val="0"/>
        <w:spacing w:before="50" w:after="50"/>
        <w:ind w:firstLine="4320" w:firstLineChars="1800"/>
        <w:rPr>
          <w:rFonts w:ascii="宋体"/>
          <w:color w:val="auto"/>
          <w:spacing w:val="20"/>
          <w:sz w:val="24"/>
          <w:szCs w:val="24"/>
          <w:highlight w:val="none"/>
        </w:rPr>
      </w:pPr>
      <w:r>
        <w:rPr>
          <w:rFonts w:hint="eastAsia" w:ascii="宋体" w:hAnsi="宋体" w:cs="宋体"/>
          <w:color w:val="000000"/>
          <w:sz w:val="24"/>
          <w:szCs w:val="24"/>
        </w:rPr>
        <w:t>供应商全称（公章）：</w:t>
      </w:r>
      <w:r>
        <w:rPr>
          <w:rFonts w:ascii="宋体" w:hAnsi="宋体"/>
          <w:color w:val="000000"/>
          <w:sz w:val="24"/>
          <w:szCs w:val="24"/>
        </w:rPr>
        <w:br w:type="page"/>
      </w:r>
    </w:p>
    <w:p w14:paraId="1A6349EB">
      <w:pPr>
        <w:rPr>
          <w:b/>
          <w:bCs/>
          <w:color w:val="auto"/>
          <w:sz w:val="24"/>
          <w:szCs w:val="24"/>
          <w:highlight w:val="none"/>
        </w:rPr>
      </w:pPr>
      <w:bookmarkStart w:id="105" w:name="_Toc2823"/>
      <w:r>
        <w:rPr>
          <w:rFonts w:hint="eastAsia" w:cs="宋体"/>
          <w:b/>
          <w:bCs/>
          <w:color w:val="auto"/>
          <w:sz w:val="24"/>
          <w:szCs w:val="24"/>
          <w:highlight w:val="none"/>
        </w:rPr>
        <w:t>附件</w:t>
      </w:r>
      <w:r>
        <w:rPr>
          <w:rFonts w:hint="eastAsia" w:cs="宋体"/>
          <w:b/>
          <w:bCs/>
          <w:color w:val="auto"/>
          <w:sz w:val="24"/>
          <w:szCs w:val="24"/>
          <w:highlight w:val="none"/>
          <w:lang w:val="en-US" w:eastAsia="zh-CN"/>
        </w:rPr>
        <w:t>六</w:t>
      </w:r>
      <w:r>
        <w:rPr>
          <w:rFonts w:hint="eastAsia" w:cs="宋体"/>
          <w:b/>
          <w:bCs/>
          <w:color w:val="auto"/>
          <w:sz w:val="24"/>
          <w:szCs w:val="24"/>
          <w:highlight w:val="none"/>
        </w:rPr>
        <w:t>：</w:t>
      </w:r>
    </w:p>
    <w:p w14:paraId="0499367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105"/>
    </w:p>
    <w:p w14:paraId="1B0768C7">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0452E4B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171BC71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0913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FE09B6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14:paraId="69A1324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14:paraId="70DFF8D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14:paraId="147094A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14:paraId="6F4881F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14:paraId="5E17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8D8FCB0">
            <w:pPr>
              <w:snapToGrid w:val="0"/>
              <w:spacing w:before="50" w:after="50"/>
              <w:jc w:val="center"/>
              <w:rPr>
                <w:rFonts w:ascii="宋体"/>
                <w:color w:val="auto"/>
                <w:sz w:val="24"/>
                <w:szCs w:val="24"/>
                <w:highlight w:val="none"/>
              </w:rPr>
            </w:pPr>
          </w:p>
        </w:tc>
        <w:tc>
          <w:tcPr>
            <w:tcW w:w="1440" w:type="dxa"/>
            <w:vAlign w:val="center"/>
          </w:tcPr>
          <w:p w14:paraId="08A50F2F">
            <w:pPr>
              <w:snapToGrid w:val="0"/>
              <w:spacing w:before="50" w:after="50"/>
              <w:jc w:val="center"/>
              <w:rPr>
                <w:rFonts w:ascii="宋体"/>
                <w:color w:val="auto"/>
                <w:sz w:val="24"/>
                <w:szCs w:val="24"/>
                <w:highlight w:val="none"/>
              </w:rPr>
            </w:pPr>
          </w:p>
        </w:tc>
        <w:tc>
          <w:tcPr>
            <w:tcW w:w="1980" w:type="dxa"/>
            <w:vAlign w:val="center"/>
          </w:tcPr>
          <w:p w14:paraId="3EB04DE0">
            <w:pPr>
              <w:snapToGrid w:val="0"/>
              <w:spacing w:before="50" w:after="50"/>
              <w:jc w:val="center"/>
              <w:rPr>
                <w:rFonts w:ascii="宋体"/>
                <w:color w:val="auto"/>
                <w:sz w:val="24"/>
                <w:szCs w:val="24"/>
                <w:highlight w:val="none"/>
              </w:rPr>
            </w:pPr>
          </w:p>
        </w:tc>
        <w:tc>
          <w:tcPr>
            <w:tcW w:w="2520" w:type="dxa"/>
            <w:vAlign w:val="center"/>
          </w:tcPr>
          <w:p w14:paraId="498CF779">
            <w:pPr>
              <w:snapToGrid w:val="0"/>
              <w:spacing w:before="50" w:after="50"/>
              <w:jc w:val="center"/>
              <w:rPr>
                <w:rFonts w:ascii="宋体"/>
                <w:color w:val="auto"/>
                <w:sz w:val="24"/>
                <w:szCs w:val="24"/>
                <w:highlight w:val="none"/>
              </w:rPr>
            </w:pPr>
          </w:p>
        </w:tc>
        <w:tc>
          <w:tcPr>
            <w:tcW w:w="1953" w:type="dxa"/>
            <w:vAlign w:val="center"/>
          </w:tcPr>
          <w:p w14:paraId="1136D78C">
            <w:pPr>
              <w:snapToGrid w:val="0"/>
              <w:spacing w:before="50" w:after="50"/>
              <w:jc w:val="center"/>
              <w:rPr>
                <w:rFonts w:ascii="宋体"/>
                <w:color w:val="auto"/>
                <w:sz w:val="24"/>
                <w:szCs w:val="24"/>
                <w:highlight w:val="none"/>
              </w:rPr>
            </w:pPr>
          </w:p>
        </w:tc>
      </w:tr>
      <w:tr w14:paraId="6D6C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2D482FC">
            <w:pPr>
              <w:snapToGrid w:val="0"/>
              <w:spacing w:before="50" w:after="50"/>
              <w:jc w:val="center"/>
              <w:rPr>
                <w:rFonts w:ascii="宋体"/>
                <w:color w:val="auto"/>
                <w:sz w:val="24"/>
                <w:szCs w:val="24"/>
                <w:highlight w:val="none"/>
              </w:rPr>
            </w:pPr>
          </w:p>
        </w:tc>
        <w:tc>
          <w:tcPr>
            <w:tcW w:w="1440" w:type="dxa"/>
            <w:vAlign w:val="center"/>
          </w:tcPr>
          <w:p w14:paraId="78D4B1F3">
            <w:pPr>
              <w:snapToGrid w:val="0"/>
              <w:spacing w:before="50" w:after="50"/>
              <w:jc w:val="center"/>
              <w:rPr>
                <w:rFonts w:ascii="宋体"/>
                <w:color w:val="auto"/>
                <w:sz w:val="24"/>
                <w:szCs w:val="24"/>
                <w:highlight w:val="none"/>
              </w:rPr>
            </w:pPr>
          </w:p>
        </w:tc>
        <w:tc>
          <w:tcPr>
            <w:tcW w:w="1980" w:type="dxa"/>
            <w:vAlign w:val="center"/>
          </w:tcPr>
          <w:p w14:paraId="7B0E5B7D">
            <w:pPr>
              <w:snapToGrid w:val="0"/>
              <w:spacing w:before="50" w:after="50"/>
              <w:jc w:val="center"/>
              <w:rPr>
                <w:rFonts w:ascii="宋体"/>
                <w:color w:val="auto"/>
                <w:sz w:val="24"/>
                <w:szCs w:val="24"/>
                <w:highlight w:val="none"/>
              </w:rPr>
            </w:pPr>
          </w:p>
        </w:tc>
        <w:tc>
          <w:tcPr>
            <w:tcW w:w="2520" w:type="dxa"/>
            <w:vAlign w:val="center"/>
          </w:tcPr>
          <w:p w14:paraId="6F3CEBB5">
            <w:pPr>
              <w:snapToGrid w:val="0"/>
              <w:spacing w:before="50" w:after="50"/>
              <w:jc w:val="center"/>
              <w:rPr>
                <w:rFonts w:ascii="宋体"/>
                <w:color w:val="auto"/>
                <w:sz w:val="24"/>
                <w:szCs w:val="24"/>
                <w:highlight w:val="none"/>
              </w:rPr>
            </w:pPr>
          </w:p>
        </w:tc>
        <w:tc>
          <w:tcPr>
            <w:tcW w:w="1953" w:type="dxa"/>
            <w:vAlign w:val="center"/>
          </w:tcPr>
          <w:p w14:paraId="5FF13A1F">
            <w:pPr>
              <w:snapToGrid w:val="0"/>
              <w:spacing w:before="50" w:after="50"/>
              <w:jc w:val="center"/>
              <w:rPr>
                <w:rFonts w:ascii="宋体"/>
                <w:color w:val="auto"/>
                <w:sz w:val="24"/>
                <w:szCs w:val="24"/>
                <w:highlight w:val="none"/>
              </w:rPr>
            </w:pPr>
          </w:p>
        </w:tc>
      </w:tr>
      <w:tr w14:paraId="0D20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D7DD848">
            <w:pPr>
              <w:snapToGrid w:val="0"/>
              <w:spacing w:before="50" w:after="50"/>
              <w:jc w:val="center"/>
              <w:rPr>
                <w:rFonts w:ascii="宋体"/>
                <w:color w:val="auto"/>
                <w:sz w:val="24"/>
                <w:szCs w:val="24"/>
                <w:highlight w:val="none"/>
              </w:rPr>
            </w:pPr>
          </w:p>
        </w:tc>
        <w:tc>
          <w:tcPr>
            <w:tcW w:w="1440" w:type="dxa"/>
            <w:vAlign w:val="center"/>
          </w:tcPr>
          <w:p w14:paraId="114DE571">
            <w:pPr>
              <w:snapToGrid w:val="0"/>
              <w:spacing w:before="50" w:after="50"/>
              <w:jc w:val="center"/>
              <w:rPr>
                <w:rFonts w:ascii="宋体"/>
                <w:color w:val="auto"/>
                <w:sz w:val="24"/>
                <w:szCs w:val="24"/>
                <w:highlight w:val="none"/>
              </w:rPr>
            </w:pPr>
          </w:p>
        </w:tc>
        <w:tc>
          <w:tcPr>
            <w:tcW w:w="1980" w:type="dxa"/>
            <w:vAlign w:val="center"/>
          </w:tcPr>
          <w:p w14:paraId="3CF81CA6">
            <w:pPr>
              <w:snapToGrid w:val="0"/>
              <w:spacing w:before="50" w:after="50"/>
              <w:jc w:val="center"/>
              <w:rPr>
                <w:rFonts w:ascii="宋体"/>
                <w:color w:val="auto"/>
                <w:sz w:val="24"/>
                <w:szCs w:val="24"/>
                <w:highlight w:val="none"/>
              </w:rPr>
            </w:pPr>
          </w:p>
        </w:tc>
        <w:tc>
          <w:tcPr>
            <w:tcW w:w="2520" w:type="dxa"/>
            <w:vAlign w:val="center"/>
          </w:tcPr>
          <w:p w14:paraId="2CDD0EED">
            <w:pPr>
              <w:snapToGrid w:val="0"/>
              <w:spacing w:before="50" w:after="50"/>
              <w:jc w:val="center"/>
              <w:rPr>
                <w:rFonts w:ascii="宋体"/>
                <w:color w:val="auto"/>
                <w:sz w:val="24"/>
                <w:szCs w:val="24"/>
                <w:highlight w:val="none"/>
              </w:rPr>
            </w:pPr>
          </w:p>
        </w:tc>
        <w:tc>
          <w:tcPr>
            <w:tcW w:w="1953" w:type="dxa"/>
            <w:vAlign w:val="center"/>
          </w:tcPr>
          <w:p w14:paraId="378671FF">
            <w:pPr>
              <w:snapToGrid w:val="0"/>
              <w:spacing w:before="50" w:after="50"/>
              <w:jc w:val="center"/>
              <w:rPr>
                <w:rFonts w:ascii="宋体"/>
                <w:color w:val="auto"/>
                <w:sz w:val="24"/>
                <w:szCs w:val="24"/>
                <w:highlight w:val="none"/>
              </w:rPr>
            </w:pPr>
          </w:p>
        </w:tc>
      </w:tr>
      <w:tr w14:paraId="585C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4F1C740">
            <w:pPr>
              <w:snapToGrid w:val="0"/>
              <w:spacing w:before="50" w:after="50"/>
              <w:jc w:val="center"/>
              <w:rPr>
                <w:rFonts w:ascii="宋体"/>
                <w:color w:val="auto"/>
                <w:sz w:val="24"/>
                <w:szCs w:val="24"/>
                <w:highlight w:val="none"/>
              </w:rPr>
            </w:pPr>
          </w:p>
        </w:tc>
        <w:tc>
          <w:tcPr>
            <w:tcW w:w="1440" w:type="dxa"/>
            <w:vAlign w:val="center"/>
          </w:tcPr>
          <w:p w14:paraId="7F8FBFE8">
            <w:pPr>
              <w:snapToGrid w:val="0"/>
              <w:spacing w:before="50" w:after="50"/>
              <w:jc w:val="center"/>
              <w:rPr>
                <w:rFonts w:ascii="宋体"/>
                <w:color w:val="auto"/>
                <w:sz w:val="24"/>
                <w:szCs w:val="24"/>
                <w:highlight w:val="none"/>
              </w:rPr>
            </w:pPr>
          </w:p>
        </w:tc>
        <w:tc>
          <w:tcPr>
            <w:tcW w:w="1980" w:type="dxa"/>
            <w:vAlign w:val="center"/>
          </w:tcPr>
          <w:p w14:paraId="7ECB1CDB">
            <w:pPr>
              <w:snapToGrid w:val="0"/>
              <w:spacing w:before="50" w:after="50"/>
              <w:jc w:val="center"/>
              <w:rPr>
                <w:rFonts w:ascii="宋体"/>
                <w:color w:val="auto"/>
                <w:sz w:val="24"/>
                <w:szCs w:val="24"/>
                <w:highlight w:val="none"/>
              </w:rPr>
            </w:pPr>
          </w:p>
        </w:tc>
        <w:tc>
          <w:tcPr>
            <w:tcW w:w="2520" w:type="dxa"/>
            <w:vAlign w:val="center"/>
          </w:tcPr>
          <w:p w14:paraId="32E494A0">
            <w:pPr>
              <w:snapToGrid w:val="0"/>
              <w:spacing w:before="50" w:after="50"/>
              <w:jc w:val="center"/>
              <w:rPr>
                <w:rFonts w:ascii="宋体"/>
                <w:color w:val="auto"/>
                <w:sz w:val="24"/>
                <w:szCs w:val="24"/>
                <w:highlight w:val="none"/>
              </w:rPr>
            </w:pPr>
          </w:p>
        </w:tc>
        <w:tc>
          <w:tcPr>
            <w:tcW w:w="1953" w:type="dxa"/>
            <w:vAlign w:val="center"/>
          </w:tcPr>
          <w:p w14:paraId="3BAF279F">
            <w:pPr>
              <w:snapToGrid w:val="0"/>
              <w:spacing w:before="50" w:after="50"/>
              <w:jc w:val="center"/>
              <w:rPr>
                <w:rFonts w:ascii="宋体"/>
                <w:color w:val="auto"/>
                <w:sz w:val="24"/>
                <w:szCs w:val="24"/>
                <w:highlight w:val="none"/>
              </w:rPr>
            </w:pPr>
          </w:p>
        </w:tc>
      </w:tr>
      <w:tr w14:paraId="2154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270BDEB">
            <w:pPr>
              <w:snapToGrid w:val="0"/>
              <w:spacing w:before="50" w:after="50"/>
              <w:jc w:val="center"/>
              <w:rPr>
                <w:rFonts w:ascii="宋体"/>
                <w:color w:val="auto"/>
                <w:sz w:val="24"/>
                <w:szCs w:val="24"/>
                <w:highlight w:val="none"/>
              </w:rPr>
            </w:pPr>
          </w:p>
        </w:tc>
        <w:tc>
          <w:tcPr>
            <w:tcW w:w="1440" w:type="dxa"/>
            <w:vAlign w:val="center"/>
          </w:tcPr>
          <w:p w14:paraId="01DB0671">
            <w:pPr>
              <w:snapToGrid w:val="0"/>
              <w:spacing w:before="50" w:after="50"/>
              <w:jc w:val="center"/>
              <w:rPr>
                <w:rFonts w:ascii="宋体"/>
                <w:color w:val="auto"/>
                <w:sz w:val="24"/>
                <w:szCs w:val="24"/>
                <w:highlight w:val="none"/>
              </w:rPr>
            </w:pPr>
          </w:p>
        </w:tc>
        <w:tc>
          <w:tcPr>
            <w:tcW w:w="1980" w:type="dxa"/>
            <w:vAlign w:val="center"/>
          </w:tcPr>
          <w:p w14:paraId="61AF2BF7">
            <w:pPr>
              <w:snapToGrid w:val="0"/>
              <w:spacing w:before="50" w:after="50"/>
              <w:jc w:val="center"/>
              <w:rPr>
                <w:rFonts w:ascii="宋体"/>
                <w:color w:val="auto"/>
                <w:sz w:val="24"/>
                <w:szCs w:val="24"/>
                <w:highlight w:val="none"/>
              </w:rPr>
            </w:pPr>
          </w:p>
        </w:tc>
        <w:tc>
          <w:tcPr>
            <w:tcW w:w="2520" w:type="dxa"/>
            <w:vAlign w:val="center"/>
          </w:tcPr>
          <w:p w14:paraId="64925E6E">
            <w:pPr>
              <w:snapToGrid w:val="0"/>
              <w:spacing w:before="50" w:after="50"/>
              <w:jc w:val="center"/>
              <w:rPr>
                <w:rFonts w:ascii="宋体"/>
                <w:color w:val="auto"/>
                <w:sz w:val="24"/>
                <w:szCs w:val="24"/>
                <w:highlight w:val="none"/>
              </w:rPr>
            </w:pPr>
          </w:p>
        </w:tc>
        <w:tc>
          <w:tcPr>
            <w:tcW w:w="1953" w:type="dxa"/>
            <w:vAlign w:val="center"/>
          </w:tcPr>
          <w:p w14:paraId="732BD857">
            <w:pPr>
              <w:snapToGrid w:val="0"/>
              <w:spacing w:before="50" w:after="50"/>
              <w:jc w:val="center"/>
              <w:rPr>
                <w:rFonts w:ascii="宋体"/>
                <w:color w:val="auto"/>
                <w:sz w:val="24"/>
                <w:szCs w:val="24"/>
                <w:highlight w:val="none"/>
              </w:rPr>
            </w:pPr>
          </w:p>
        </w:tc>
      </w:tr>
      <w:tr w14:paraId="01FD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6E272EC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14:paraId="3FE90FA4">
            <w:pPr>
              <w:spacing w:line="360" w:lineRule="auto"/>
              <w:jc w:val="center"/>
              <w:rPr>
                <w:rFonts w:ascii="宋体"/>
                <w:color w:val="auto"/>
                <w:sz w:val="24"/>
                <w:szCs w:val="24"/>
                <w:highlight w:val="none"/>
              </w:rPr>
            </w:pPr>
          </w:p>
        </w:tc>
      </w:tr>
    </w:tbl>
    <w:p w14:paraId="7E5C77FA">
      <w:pPr>
        <w:snapToGrid w:val="0"/>
        <w:spacing w:line="360" w:lineRule="auto"/>
        <w:rPr>
          <w:rFonts w:ascii="宋体"/>
          <w:color w:val="auto"/>
          <w:sz w:val="24"/>
          <w:szCs w:val="24"/>
          <w:highlight w:val="none"/>
        </w:rPr>
      </w:pPr>
    </w:p>
    <w:p w14:paraId="4ADA23A2">
      <w:pPr>
        <w:pStyle w:val="14"/>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14:paraId="6DFCE7FF">
      <w:pPr>
        <w:rPr>
          <w:rFonts w:ascii="宋体"/>
          <w:color w:val="auto"/>
          <w:sz w:val="24"/>
          <w:szCs w:val="24"/>
          <w:highlight w:val="none"/>
        </w:rPr>
      </w:pPr>
    </w:p>
    <w:p w14:paraId="7CED2A09">
      <w:pPr>
        <w:pStyle w:val="10"/>
        <w:rPr>
          <w:rFonts w:cs="Times New Roman"/>
          <w:color w:val="auto"/>
          <w:highlight w:val="none"/>
        </w:rPr>
      </w:pPr>
    </w:p>
    <w:p w14:paraId="40DF4408">
      <w:pPr>
        <w:snapToGrid w:val="0"/>
        <w:spacing w:line="360" w:lineRule="auto"/>
        <w:rPr>
          <w:rFonts w:ascii="宋体"/>
          <w:color w:val="auto"/>
          <w:sz w:val="24"/>
          <w:szCs w:val="24"/>
          <w:highlight w:val="none"/>
        </w:rPr>
      </w:pPr>
    </w:p>
    <w:p w14:paraId="037BDC0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149F67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2E0233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60780ED3">
      <w:pPr>
        <w:rPr>
          <w:color w:val="auto"/>
          <w:sz w:val="24"/>
          <w:szCs w:val="24"/>
          <w:highlight w:val="none"/>
        </w:rPr>
      </w:pPr>
      <w:r>
        <w:rPr>
          <w:color w:val="auto"/>
          <w:sz w:val="24"/>
          <w:szCs w:val="24"/>
          <w:highlight w:val="none"/>
        </w:rPr>
        <w:br w:type="page"/>
      </w:r>
    </w:p>
    <w:p w14:paraId="4F323C2A">
      <w:pPr>
        <w:rPr>
          <w:b/>
          <w:bCs/>
          <w:color w:val="auto"/>
          <w:sz w:val="24"/>
          <w:szCs w:val="24"/>
          <w:highlight w:val="none"/>
        </w:rPr>
      </w:pPr>
      <w:r>
        <w:rPr>
          <w:rFonts w:hint="eastAsia" w:cs="宋体"/>
          <w:b/>
          <w:bCs/>
          <w:color w:val="auto"/>
          <w:sz w:val="24"/>
          <w:szCs w:val="24"/>
          <w:highlight w:val="none"/>
        </w:rPr>
        <w:t>附件</w:t>
      </w:r>
      <w:r>
        <w:rPr>
          <w:rFonts w:hint="eastAsia" w:cs="宋体"/>
          <w:b/>
          <w:bCs/>
          <w:color w:val="auto"/>
          <w:sz w:val="24"/>
          <w:szCs w:val="24"/>
          <w:highlight w:val="none"/>
          <w:lang w:val="en-US" w:eastAsia="zh-CN"/>
        </w:rPr>
        <w:t>七</w:t>
      </w:r>
      <w:r>
        <w:rPr>
          <w:rFonts w:hint="eastAsia" w:cs="宋体"/>
          <w:b/>
          <w:bCs/>
          <w:color w:val="auto"/>
          <w:sz w:val="24"/>
          <w:szCs w:val="24"/>
          <w:highlight w:val="none"/>
        </w:rPr>
        <w:t>：</w:t>
      </w:r>
    </w:p>
    <w:p w14:paraId="7CE8337A">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14:paraId="6D8D3532">
      <w:pPr>
        <w:snapToGrid w:val="0"/>
        <w:spacing w:before="50"/>
        <w:jc w:val="center"/>
        <w:rPr>
          <w:rFonts w:ascii="宋体"/>
          <w:b/>
          <w:bCs/>
          <w:color w:val="auto"/>
          <w:sz w:val="32"/>
          <w:szCs w:val="32"/>
          <w:highlight w:val="none"/>
        </w:rPr>
      </w:pPr>
    </w:p>
    <w:p w14:paraId="68EAFAD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A96A97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9"/>
        <w:tblW w:w="92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3"/>
        <w:gridCol w:w="2644"/>
        <w:gridCol w:w="1234"/>
        <w:gridCol w:w="2957"/>
      </w:tblGrid>
      <w:tr w14:paraId="34201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2403" w:type="dxa"/>
            <w:tcBorders>
              <w:top w:val="single" w:color="auto" w:sz="4" w:space="0"/>
              <w:bottom w:val="single" w:color="auto" w:sz="4" w:space="0"/>
              <w:right w:val="single" w:color="auto" w:sz="4" w:space="0"/>
            </w:tcBorders>
            <w:vAlign w:val="center"/>
          </w:tcPr>
          <w:p w14:paraId="182CC48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644" w:type="dxa"/>
            <w:tcBorders>
              <w:top w:val="single" w:color="auto" w:sz="4" w:space="0"/>
              <w:left w:val="single" w:color="auto" w:sz="4" w:space="0"/>
              <w:bottom w:val="single" w:color="auto" w:sz="4" w:space="0"/>
              <w:right w:val="single" w:color="auto" w:sz="4" w:space="0"/>
            </w:tcBorders>
            <w:vAlign w:val="center"/>
          </w:tcPr>
          <w:p w14:paraId="449593A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34" w:type="dxa"/>
            <w:tcBorders>
              <w:top w:val="single" w:color="auto" w:sz="4" w:space="0"/>
              <w:left w:val="single" w:color="auto" w:sz="4" w:space="0"/>
              <w:bottom w:val="single" w:color="auto" w:sz="4" w:space="0"/>
              <w:right w:val="single" w:color="auto" w:sz="4" w:space="0"/>
            </w:tcBorders>
            <w:vAlign w:val="center"/>
          </w:tcPr>
          <w:p w14:paraId="009D6AF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14:paraId="7174E52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2957" w:type="dxa"/>
            <w:tcBorders>
              <w:top w:val="single" w:color="auto" w:sz="4" w:space="0"/>
              <w:left w:val="single" w:color="auto" w:sz="4" w:space="0"/>
              <w:bottom w:val="single" w:color="auto" w:sz="4" w:space="0"/>
            </w:tcBorders>
            <w:vAlign w:val="center"/>
          </w:tcPr>
          <w:p w14:paraId="3290E2A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14:paraId="0D714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33F2B47D">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7F88976A">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7B37575">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40C07230">
            <w:pPr>
              <w:snapToGrid w:val="0"/>
              <w:spacing w:before="50" w:after="50"/>
              <w:jc w:val="center"/>
              <w:rPr>
                <w:rFonts w:ascii="宋体"/>
                <w:color w:val="auto"/>
                <w:sz w:val="24"/>
                <w:szCs w:val="24"/>
                <w:highlight w:val="none"/>
              </w:rPr>
            </w:pPr>
          </w:p>
        </w:tc>
      </w:tr>
      <w:tr w14:paraId="1F776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3C6C6B16">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1DC83FD9">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44F42D3">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475F4018">
            <w:pPr>
              <w:snapToGrid w:val="0"/>
              <w:spacing w:before="50" w:after="50"/>
              <w:jc w:val="center"/>
              <w:rPr>
                <w:rFonts w:ascii="宋体"/>
                <w:color w:val="auto"/>
                <w:sz w:val="24"/>
                <w:szCs w:val="24"/>
                <w:highlight w:val="none"/>
              </w:rPr>
            </w:pPr>
          </w:p>
        </w:tc>
      </w:tr>
      <w:tr w14:paraId="0357D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2403" w:type="dxa"/>
            <w:tcBorders>
              <w:top w:val="single" w:color="auto" w:sz="4" w:space="0"/>
              <w:bottom w:val="single" w:color="auto" w:sz="4" w:space="0"/>
              <w:right w:val="single" w:color="auto" w:sz="4" w:space="0"/>
            </w:tcBorders>
            <w:vAlign w:val="center"/>
          </w:tcPr>
          <w:p w14:paraId="443B58C9">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15B58FF9">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6D57A6A">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6B3D7275">
            <w:pPr>
              <w:snapToGrid w:val="0"/>
              <w:spacing w:before="50" w:after="50"/>
              <w:jc w:val="center"/>
              <w:rPr>
                <w:rFonts w:ascii="宋体"/>
                <w:color w:val="auto"/>
                <w:sz w:val="24"/>
                <w:szCs w:val="24"/>
                <w:highlight w:val="none"/>
              </w:rPr>
            </w:pPr>
          </w:p>
        </w:tc>
      </w:tr>
      <w:tr w14:paraId="5C69B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252A6973">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75400644">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578D2EF">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AEA8769">
            <w:pPr>
              <w:snapToGrid w:val="0"/>
              <w:spacing w:before="50" w:after="50"/>
              <w:jc w:val="center"/>
              <w:rPr>
                <w:rFonts w:ascii="宋体"/>
                <w:color w:val="auto"/>
                <w:sz w:val="24"/>
                <w:szCs w:val="24"/>
                <w:highlight w:val="none"/>
              </w:rPr>
            </w:pPr>
          </w:p>
        </w:tc>
      </w:tr>
      <w:tr w14:paraId="6C392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88FB455">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27419B2D">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B714742">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56034B2">
            <w:pPr>
              <w:snapToGrid w:val="0"/>
              <w:spacing w:before="50" w:after="50"/>
              <w:jc w:val="center"/>
              <w:rPr>
                <w:rFonts w:ascii="宋体"/>
                <w:color w:val="auto"/>
                <w:sz w:val="24"/>
                <w:szCs w:val="24"/>
                <w:highlight w:val="none"/>
              </w:rPr>
            </w:pPr>
          </w:p>
        </w:tc>
      </w:tr>
      <w:tr w14:paraId="7BF4D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3E110C48">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0A54F342">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468F45E">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0D8422BC">
            <w:pPr>
              <w:snapToGrid w:val="0"/>
              <w:spacing w:before="50" w:after="50"/>
              <w:jc w:val="center"/>
              <w:rPr>
                <w:rFonts w:ascii="宋体"/>
                <w:color w:val="auto"/>
                <w:sz w:val="24"/>
                <w:szCs w:val="24"/>
                <w:highlight w:val="none"/>
              </w:rPr>
            </w:pPr>
          </w:p>
        </w:tc>
      </w:tr>
      <w:tr w14:paraId="111A8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26E7CB93">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3199C6D0">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2708C72">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9CCB107">
            <w:pPr>
              <w:snapToGrid w:val="0"/>
              <w:spacing w:before="50" w:after="50"/>
              <w:jc w:val="center"/>
              <w:rPr>
                <w:rFonts w:ascii="宋体"/>
                <w:color w:val="auto"/>
                <w:sz w:val="24"/>
                <w:szCs w:val="24"/>
                <w:highlight w:val="none"/>
              </w:rPr>
            </w:pPr>
          </w:p>
        </w:tc>
      </w:tr>
      <w:tr w14:paraId="6899A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403" w:type="dxa"/>
            <w:tcBorders>
              <w:top w:val="single" w:color="auto" w:sz="4" w:space="0"/>
              <w:bottom w:val="single" w:color="auto" w:sz="4" w:space="0"/>
              <w:right w:val="single" w:color="auto" w:sz="4" w:space="0"/>
            </w:tcBorders>
            <w:vAlign w:val="center"/>
          </w:tcPr>
          <w:p w14:paraId="53E07772">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59B92D1F">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F27D66A">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69CF13A1">
            <w:pPr>
              <w:snapToGrid w:val="0"/>
              <w:spacing w:before="50" w:after="50"/>
              <w:jc w:val="center"/>
              <w:rPr>
                <w:rFonts w:ascii="宋体"/>
                <w:color w:val="auto"/>
                <w:sz w:val="24"/>
                <w:szCs w:val="24"/>
                <w:highlight w:val="none"/>
              </w:rPr>
            </w:pPr>
          </w:p>
        </w:tc>
      </w:tr>
      <w:tr w14:paraId="4E738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74556CF3">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0724B1E1">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93BACDD">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7BC1740">
            <w:pPr>
              <w:snapToGrid w:val="0"/>
              <w:spacing w:before="50" w:after="50"/>
              <w:jc w:val="center"/>
              <w:rPr>
                <w:rFonts w:ascii="宋体"/>
                <w:color w:val="auto"/>
                <w:sz w:val="24"/>
                <w:szCs w:val="24"/>
                <w:highlight w:val="none"/>
              </w:rPr>
            </w:pPr>
          </w:p>
        </w:tc>
      </w:tr>
      <w:tr w14:paraId="011F8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1BBDE7CF">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7A97109D">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47629FB">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9E68B1E">
            <w:pPr>
              <w:snapToGrid w:val="0"/>
              <w:spacing w:before="50" w:after="50"/>
              <w:jc w:val="center"/>
              <w:rPr>
                <w:rFonts w:ascii="宋体"/>
                <w:color w:val="auto"/>
                <w:sz w:val="24"/>
                <w:szCs w:val="24"/>
                <w:highlight w:val="none"/>
              </w:rPr>
            </w:pPr>
          </w:p>
        </w:tc>
      </w:tr>
      <w:tr w14:paraId="4B80E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403" w:type="dxa"/>
            <w:tcBorders>
              <w:top w:val="single" w:color="auto" w:sz="4" w:space="0"/>
              <w:bottom w:val="single" w:color="auto" w:sz="4" w:space="0"/>
              <w:right w:val="single" w:color="auto" w:sz="4" w:space="0"/>
            </w:tcBorders>
            <w:vAlign w:val="center"/>
          </w:tcPr>
          <w:p w14:paraId="17490170">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238B6037">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54EEC5D">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9E41C40">
            <w:pPr>
              <w:snapToGrid w:val="0"/>
              <w:spacing w:before="50" w:after="50"/>
              <w:jc w:val="center"/>
              <w:rPr>
                <w:rFonts w:ascii="宋体"/>
                <w:color w:val="auto"/>
                <w:sz w:val="24"/>
                <w:szCs w:val="24"/>
                <w:highlight w:val="none"/>
              </w:rPr>
            </w:pPr>
          </w:p>
        </w:tc>
      </w:tr>
    </w:tbl>
    <w:p w14:paraId="26F0D28F">
      <w:pPr>
        <w:spacing w:line="360" w:lineRule="auto"/>
        <w:ind w:left="3780" w:leftChars="1800" w:firstLine="480" w:firstLineChars="200"/>
        <w:rPr>
          <w:rFonts w:ascii="宋体"/>
          <w:color w:val="auto"/>
          <w:sz w:val="24"/>
          <w:szCs w:val="24"/>
          <w:highlight w:val="none"/>
        </w:rPr>
      </w:pPr>
    </w:p>
    <w:p w14:paraId="694D218A">
      <w:pPr>
        <w:snapToGrid w:val="0"/>
        <w:spacing w:before="163" w:before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注：根据商务要求表及投标实际情况自行填写。</w:t>
      </w:r>
    </w:p>
    <w:p w14:paraId="54A09C84">
      <w:pPr>
        <w:spacing w:line="360" w:lineRule="auto"/>
        <w:ind w:left="3780" w:leftChars="1800" w:firstLine="480" w:firstLineChars="200"/>
        <w:rPr>
          <w:rFonts w:ascii="宋体"/>
          <w:color w:val="auto"/>
          <w:sz w:val="24"/>
          <w:szCs w:val="24"/>
          <w:highlight w:val="none"/>
        </w:rPr>
      </w:pPr>
    </w:p>
    <w:p w14:paraId="347A979B">
      <w:pPr>
        <w:spacing w:line="360" w:lineRule="auto"/>
        <w:ind w:left="3780" w:leftChars="1800" w:firstLine="480" w:firstLineChars="200"/>
        <w:rPr>
          <w:rFonts w:ascii="宋体"/>
          <w:color w:val="auto"/>
          <w:sz w:val="24"/>
          <w:szCs w:val="24"/>
          <w:highlight w:val="none"/>
        </w:rPr>
      </w:pPr>
    </w:p>
    <w:p w14:paraId="5B8162D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B867ED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4172070D">
      <w:pPr>
        <w:spacing w:line="360" w:lineRule="auto"/>
        <w:ind w:left="3780" w:leftChars="18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700E6F3A">
      <w:pPr>
        <w:rPr>
          <w:rFonts w:hint="eastAsia" w:ascii="宋体" w:hAnsi="宋体" w:cs="宋体"/>
          <w:b/>
          <w:bCs/>
          <w:snapToGrid/>
          <w:color w:val="auto"/>
          <w:kern w:val="2"/>
          <w:sz w:val="24"/>
          <w:szCs w:val="24"/>
          <w:highlight w:val="none"/>
          <w:lang w:val="zh-CN"/>
        </w:rPr>
      </w:pPr>
      <w:bookmarkStart w:id="106" w:name="_Toc25034"/>
      <w:bookmarkStart w:id="107" w:name="_Toc124340443"/>
      <w:bookmarkStart w:id="108" w:name="_Toc26348"/>
      <w:bookmarkStart w:id="109" w:name="_Toc13261"/>
      <w:bookmarkStart w:id="110" w:name="_Toc9311"/>
      <w:bookmarkStart w:id="111" w:name="_Toc7864"/>
      <w:bookmarkStart w:id="112" w:name="_Toc124342870"/>
      <w:bookmarkStart w:id="113" w:name="_Toc122450176"/>
      <w:bookmarkStart w:id="114" w:name="_Toc122439948"/>
      <w:bookmarkStart w:id="115" w:name="_Toc16198"/>
      <w:bookmarkStart w:id="116" w:name="_Toc18470"/>
      <w:bookmarkStart w:id="117" w:name="_Toc30134"/>
      <w:r>
        <w:rPr>
          <w:rFonts w:hint="eastAsia" w:ascii="宋体" w:hAnsi="宋体" w:cs="宋体"/>
          <w:b/>
          <w:bCs/>
          <w:snapToGrid/>
          <w:color w:val="auto"/>
          <w:kern w:val="2"/>
          <w:sz w:val="24"/>
          <w:szCs w:val="24"/>
          <w:highlight w:val="none"/>
          <w:lang w:val="zh-CN"/>
        </w:rPr>
        <w:br w:type="page"/>
      </w:r>
    </w:p>
    <w:p w14:paraId="307B0134">
      <w:pPr>
        <w:snapToGrid w:val="0"/>
        <w:spacing w:before="50" w:after="50"/>
        <w:outlineLvl w:val="0"/>
        <w:rPr>
          <w:rFonts w:hint="eastAsia" w:ascii="宋体" w:hAnsi="宋体" w:cs="宋体"/>
          <w:b/>
          <w:bCs/>
          <w:snapToGrid/>
          <w:color w:val="auto"/>
          <w:kern w:val="2"/>
          <w:sz w:val="24"/>
          <w:szCs w:val="24"/>
          <w:highlight w:val="none"/>
          <w:lang w:val="zh-CN"/>
        </w:rPr>
      </w:pPr>
      <w:r>
        <w:rPr>
          <w:rFonts w:hint="eastAsia" w:ascii="宋体" w:hAnsi="宋体" w:cs="宋体"/>
          <w:b/>
          <w:bCs/>
          <w:snapToGrid/>
          <w:color w:val="auto"/>
          <w:kern w:val="2"/>
          <w:sz w:val="24"/>
          <w:szCs w:val="24"/>
          <w:highlight w:val="none"/>
          <w:lang w:val="zh-CN"/>
        </w:rPr>
        <w:t>附件八：</w:t>
      </w:r>
      <w:bookmarkEnd w:id="106"/>
      <w:bookmarkEnd w:id="107"/>
      <w:bookmarkEnd w:id="108"/>
      <w:bookmarkEnd w:id="109"/>
      <w:bookmarkEnd w:id="110"/>
      <w:bookmarkEnd w:id="111"/>
      <w:bookmarkEnd w:id="112"/>
      <w:bookmarkEnd w:id="113"/>
      <w:bookmarkEnd w:id="114"/>
      <w:bookmarkEnd w:id="115"/>
      <w:bookmarkEnd w:id="116"/>
      <w:bookmarkEnd w:id="117"/>
    </w:p>
    <w:p w14:paraId="5B579BB7">
      <w:pPr>
        <w:spacing w:line="360" w:lineRule="auto"/>
        <w:jc w:val="center"/>
        <w:outlineLvl w:val="0"/>
        <w:rPr>
          <w:rFonts w:hint="eastAsia" w:ascii="宋体" w:hAnsi="宋体" w:cs="宋体"/>
          <w:b/>
          <w:bCs/>
          <w:snapToGrid/>
          <w:color w:val="auto"/>
          <w:kern w:val="2"/>
          <w:sz w:val="32"/>
          <w:szCs w:val="32"/>
          <w:highlight w:val="none"/>
        </w:rPr>
      </w:pPr>
      <w:bookmarkStart w:id="118" w:name="_Toc8182"/>
      <w:bookmarkStart w:id="119" w:name="_Toc124340444"/>
      <w:bookmarkStart w:id="120" w:name="_Toc122439949"/>
      <w:bookmarkStart w:id="121" w:name="_Toc122450177"/>
      <w:bookmarkStart w:id="122" w:name="_Toc19669"/>
      <w:bookmarkStart w:id="123" w:name="_Toc124342871"/>
      <w:r>
        <w:rPr>
          <w:rFonts w:hint="eastAsia" w:ascii="宋体" w:hAnsi="宋体" w:cs="宋体"/>
          <w:b/>
          <w:bCs/>
          <w:snapToGrid/>
          <w:color w:val="auto"/>
          <w:kern w:val="2"/>
          <w:sz w:val="32"/>
          <w:szCs w:val="32"/>
          <w:highlight w:val="none"/>
        </w:rPr>
        <w:t>项目组人员清单</w:t>
      </w:r>
      <w:bookmarkEnd w:id="118"/>
      <w:bookmarkEnd w:id="119"/>
      <w:bookmarkEnd w:id="120"/>
      <w:bookmarkEnd w:id="121"/>
      <w:bookmarkEnd w:id="122"/>
      <w:bookmarkEnd w:id="123"/>
    </w:p>
    <w:p w14:paraId="26500211">
      <w:pPr>
        <w:snapToGrid w:val="0"/>
        <w:spacing w:before="120" w:beforeLines="50" w:after="50"/>
        <w:jc w:val="center"/>
        <w:rPr>
          <w:rFonts w:hint="eastAsia" w:ascii="宋体" w:hAnsi="宋体" w:cs="宋体"/>
          <w:b/>
          <w:snapToGrid/>
          <w:color w:val="auto"/>
          <w:kern w:val="2"/>
          <w:sz w:val="30"/>
          <w:szCs w:val="30"/>
          <w:highlight w:val="none"/>
        </w:rPr>
      </w:pPr>
    </w:p>
    <w:p w14:paraId="4915E477">
      <w:pPr>
        <w:spacing w:line="360" w:lineRule="auto"/>
        <w:ind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项目名称：</w:t>
      </w:r>
    </w:p>
    <w:p w14:paraId="1F9F73B2">
      <w:pPr>
        <w:spacing w:line="360" w:lineRule="auto"/>
        <w:ind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采购编号：</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612F8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14:paraId="570AC8B6">
            <w:pPr>
              <w:snapToGrid w:val="0"/>
              <w:spacing w:before="50" w:after="50"/>
              <w:jc w:val="center"/>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1561AD2">
            <w:pPr>
              <w:snapToGrid w:val="0"/>
              <w:spacing w:before="50" w:after="50"/>
              <w:jc w:val="center"/>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60094642">
            <w:pPr>
              <w:snapToGrid w:val="0"/>
              <w:spacing w:before="50" w:after="50"/>
              <w:jc w:val="center"/>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98EEA8">
            <w:pPr>
              <w:snapToGrid w:val="0"/>
              <w:spacing w:before="50" w:after="50"/>
              <w:jc w:val="center"/>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B3E0B08">
            <w:pPr>
              <w:snapToGrid w:val="0"/>
              <w:spacing w:before="50" w:after="50"/>
              <w:jc w:val="center"/>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3D4B29B">
            <w:pPr>
              <w:snapToGrid w:val="0"/>
              <w:spacing w:before="50" w:after="50"/>
              <w:jc w:val="center"/>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劳动合同编号</w:t>
            </w:r>
          </w:p>
        </w:tc>
      </w:tr>
      <w:tr w14:paraId="15EDA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3BBE1348">
            <w:pPr>
              <w:snapToGrid w:val="0"/>
              <w:spacing w:before="120" w:beforeLines="50" w:after="50" w:line="460" w:lineRule="exact"/>
              <w:rPr>
                <w:rFonts w:hint="eastAsia" w:ascii="宋体" w:hAnsi="宋体" w:cs="宋体"/>
                <w:snapToGrid/>
                <w:color w:val="auto"/>
                <w:kern w:val="2"/>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7BA7E04">
            <w:pPr>
              <w:snapToGrid w:val="0"/>
              <w:spacing w:before="120" w:beforeLines="50" w:after="50" w:line="460" w:lineRule="exact"/>
              <w:rPr>
                <w:rFonts w:hint="eastAsia" w:ascii="宋体" w:hAnsi="宋体" w:cs="宋体"/>
                <w:snapToGrid/>
                <w:color w:val="auto"/>
                <w:kern w:val="2"/>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1E1C573">
            <w:pPr>
              <w:snapToGrid w:val="0"/>
              <w:spacing w:before="120" w:beforeLines="50" w:after="50" w:line="460" w:lineRule="exact"/>
              <w:rPr>
                <w:rFonts w:hint="eastAsia" w:ascii="宋体" w:hAnsi="宋体" w:cs="宋体"/>
                <w:snapToGrid/>
                <w:color w:val="auto"/>
                <w:kern w:val="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29723DF">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AAD9442">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32F9CE9">
            <w:pPr>
              <w:snapToGrid w:val="0"/>
              <w:spacing w:before="120" w:beforeLines="50" w:after="50" w:line="460" w:lineRule="exact"/>
              <w:rPr>
                <w:rFonts w:hint="eastAsia" w:ascii="宋体" w:hAnsi="宋体" w:cs="宋体"/>
                <w:snapToGrid/>
                <w:color w:val="auto"/>
                <w:kern w:val="2"/>
                <w:sz w:val="24"/>
                <w:szCs w:val="24"/>
                <w:highlight w:val="none"/>
              </w:rPr>
            </w:pPr>
          </w:p>
        </w:tc>
      </w:tr>
      <w:tr w14:paraId="62E0A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70B86C8E">
            <w:pPr>
              <w:snapToGrid w:val="0"/>
              <w:spacing w:before="120" w:beforeLines="50" w:after="50" w:line="460" w:lineRule="exact"/>
              <w:rPr>
                <w:rFonts w:hint="eastAsia" w:ascii="宋体" w:hAnsi="宋体" w:cs="宋体"/>
                <w:snapToGrid/>
                <w:color w:val="auto"/>
                <w:kern w:val="2"/>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B762BA7">
            <w:pPr>
              <w:snapToGrid w:val="0"/>
              <w:spacing w:before="120" w:beforeLines="50" w:after="50" w:line="460" w:lineRule="exact"/>
              <w:rPr>
                <w:rFonts w:hint="eastAsia" w:ascii="宋体" w:hAnsi="宋体" w:cs="宋体"/>
                <w:snapToGrid/>
                <w:color w:val="auto"/>
                <w:kern w:val="2"/>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4030E24">
            <w:pPr>
              <w:snapToGrid w:val="0"/>
              <w:spacing w:before="120" w:beforeLines="50" w:after="50" w:line="460" w:lineRule="exact"/>
              <w:rPr>
                <w:rFonts w:hint="eastAsia" w:ascii="宋体" w:hAnsi="宋体" w:cs="宋体"/>
                <w:snapToGrid/>
                <w:color w:val="auto"/>
                <w:kern w:val="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BF42485">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7226847">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4B3A0C0">
            <w:pPr>
              <w:snapToGrid w:val="0"/>
              <w:spacing w:before="120" w:beforeLines="50" w:after="50" w:line="460" w:lineRule="exact"/>
              <w:rPr>
                <w:rFonts w:hint="eastAsia" w:ascii="宋体" w:hAnsi="宋体" w:cs="宋体"/>
                <w:snapToGrid/>
                <w:color w:val="auto"/>
                <w:kern w:val="2"/>
                <w:sz w:val="24"/>
                <w:szCs w:val="24"/>
                <w:highlight w:val="none"/>
              </w:rPr>
            </w:pPr>
          </w:p>
        </w:tc>
      </w:tr>
      <w:tr w14:paraId="042AC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1F80646F">
            <w:pPr>
              <w:snapToGrid w:val="0"/>
              <w:spacing w:before="120" w:beforeLines="50" w:after="50" w:line="460" w:lineRule="exact"/>
              <w:rPr>
                <w:rFonts w:hint="eastAsia" w:ascii="宋体" w:hAnsi="宋体" w:cs="宋体"/>
                <w:snapToGrid/>
                <w:color w:val="auto"/>
                <w:kern w:val="2"/>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F6C5D7A">
            <w:pPr>
              <w:snapToGrid w:val="0"/>
              <w:spacing w:before="120" w:beforeLines="50" w:after="50" w:line="460" w:lineRule="exact"/>
              <w:rPr>
                <w:rFonts w:hint="eastAsia" w:ascii="宋体" w:hAnsi="宋体" w:cs="宋体"/>
                <w:snapToGrid/>
                <w:color w:val="auto"/>
                <w:kern w:val="2"/>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DB58CD6">
            <w:pPr>
              <w:snapToGrid w:val="0"/>
              <w:spacing w:before="120" w:beforeLines="50" w:after="50" w:line="460" w:lineRule="exact"/>
              <w:ind w:left="5250" w:leftChars="2500"/>
              <w:rPr>
                <w:rFonts w:hint="eastAsia" w:ascii="宋体" w:hAnsi="宋体" w:cs="宋体"/>
                <w:snapToGrid/>
                <w:color w:val="auto"/>
                <w:kern w:val="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90CE4FD">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0556CA3">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23B4EB4">
            <w:pPr>
              <w:snapToGrid w:val="0"/>
              <w:spacing w:before="120" w:beforeLines="50" w:after="50" w:line="460" w:lineRule="exact"/>
              <w:rPr>
                <w:rFonts w:hint="eastAsia" w:ascii="宋体" w:hAnsi="宋体" w:cs="宋体"/>
                <w:snapToGrid/>
                <w:color w:val="auto"/>
                <w:kern w:val="2"/>
                <w:sz w:val="24"/>
                <w:szCs w:val="24"/>
                <w:highlight w:val="none"/>
              </w:rPr>
            </w:pPr>
          </w:p>
        </w:tc>
      </w:tr>
      <w:tr w14:paraId="0193C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0EF69DC5">
            <w:pPr>
              <w:snapToGrid w:val="0"/>
              <w:spacing w:before="120" w:beforeLines="50" w:after="50" w:line="460" w:lineRule="exact"/>
              <w:rPr>
                <w:rFonts w:hint="eastAsia" w:ascii="宋体" w:hAnsi="宋体" w:cs="宋体"/>
                <w:snapToGrid/>
                <w:color w:val="auto"/>
                <w:kern w:val="2"/>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2EBAE59">
            <w:pPr>
              <w:snapToGrid w:val="0"/>
              <w:spacing w:before="120" w:beforeLines="50" w:after="50" w:line="460" w:lineRule="exact"/>
              <w:rPr>
                <w:rFonts w:hint="eastAsia" w:ascii="宋体" w:hAnsi="宋体" w:cs="宋体"/>
                <w:snapToGrid/>
                <w:color w:val="auto"/>
                <w:kern w:val="2"/>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2B3E052">
            <w:pPr>
              <w:snapToGrid w:val="0"/>
              <w:spacing w:before="120" w:beforeLines="50" w:after="50" w:line="460" w:lineRule="exact"/>
              <w:rPr>
                <w:rFonts w:hint="eastAsia" w:ascii="宋体" w:hAnsi="宋体" w:cs="宋体"/>
                <w:snapToGrid/>
                <w:color w:val="auto"/>
                <w:kern w:val="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23417FE">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B12C673">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8CB44A0">
            <w:pPr>
              <w:snapToGrid w:val="0"/>
              <w:spacing w:before="120" w:beforeLines="50" w:after="50" w:line="460" w:lineRule="exact"/>
              <w:rPr>
                <w:rFonts w:hint="eastAsia" w:ascii="宋体" w:hAnsi="宋体" w:cs="宋体"/>
                <w:snapToGrid/>
                <w:color w:val="auto"/>
                <w:kern w:val="2"/>
                <w:sz w:val="24"/>
                <w:szCs w:val="24"/>
                <w:highlight w:val="none"/>
              </w:rPr>
            </w:pPr>
          </w:p>
        </w:tc>
      </w:tr>
      <w:tr w14:paraId="57A08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43718269">
            <w:pPr>
              <w:snapToGrid w:val="0"/>
              <w:spacing w:before="120" w:beforeLines="50" w:after="50" w:line="460" w:lineRule="exact"/>
              <w:rPr>
                <w:rFonts w:hint="eastAsia" w:ascii="宋体" w:hAnsi="宋体" w:cs="宋体"/>
                <w:snapToGrid/>
                <w:color w:val="auto"/>
                <w:kern w:val="2"/>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7562B61">
            <w:pPr>
              <w:snapToGrid w:val="0"/>
              <w:spacing w:before="120" w:beforeLines="50" w:after="50" w:line="460" w:lineRule="exact"/>
              <w:rPr>
                <w:rFonts w:hint="eastAsia" w:ascii="宋体" w:hAnsi="宋体" w:cs="宋体"/>
                <w:snapToGrid/>
                <w:color w:val="auto"/>
                <w:kern w:val="2"/>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4940ED8">
            <w:pPr>
              <w:snapToGrid w:val="0"/>
              <w:spacing w:before="120" w:beforeLines="50" w:after="50" w:line="460" w:lineRule="exact"/>
              <w:rPr>
                <w:rFonts w:hint="eastAsia" w:ascii="宋体" w:hAnsi="宋体" w:cs="宋体"/>
                <w:snapToGrid/>
                <w:color w:val="auto"/>
                <w:kern w:val="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F085AA3">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65B60CC">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9497B38">
            <w:pPr>
              <w:snapToGrid w:val="0"/>
              <w:spacing w:before="120" w:beforeLines="50" w:after="50" w:line="460" w:lineRule="exact"/>
              <w:rPr>
                <w:rFonts w:hint="eastAsia" w:ascii="宋体" w:hAnsi="宋体" w:cs="宋体"/>
                <w:snapToGrid/>
                <w:color w:val="auto"/>
                <w:kern w:val="2"/>
                <w:sz w:val="24"/>
                <w:szCs w:val="24"/>
                <w:highlight w:val="none"/>
              </w:rPr>
            </w:pPr>
          </w:p>
        </w:tc>
      </w:tr>
      <w:tr w14:paraId="36468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49C900A6">
            <w:pPr>
              <w:snapToGrid w:val="0"/>
              <w:spacing w:before="120" w:beforeLines="50" w:after="50" w:line="460" w:lineRule="exact"/>
              <w:rPr>
                <w:rFonts w:hint="eastAsia" w:ascii="宋体" w:hAnsi="宋体" w:cs="宋体"/>
                <w:snapToGrid/>
                <w:color w:val="auto"/>
                <w:kern w:val="2"/>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3ED1A3D">
            <w:pPr>
              <w:snapToGrid w:val="0"/>
              <w:spacing w:before="120" w:beforeLines="50" w:after="50" w:line="460" w:lineRule="exact"/>
              <w:rPr>
                <w:rFonts w:hint="eastAsia" w:ascii="宋体" w:hAnsi="宋体" w:cs="宋体"/>
                <w:snapToGrid/>
                <w:color w:val="auto"/>
                <w:kern w:val="2"/>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ECEE4FC">
            <w:pPr>
              <w:snapToGrid w:val="0"/>
              <w:spacing w:before="120" w:beforeLines="50" w:after="50" w:line="460" w:lineRule="exact"/>
              <w:rPr>
                <w:rFonts w:hint="eastAsia" w:ascii="宋体" w:hAnsi="宋体" w:cs="宋体"/>
                <w:snapToGrid/>
                <w:color w:val="auto"/>
                <w:kern w:val="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EB94AEC">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FE35099">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050868B">
            <w:pPr>
              <w:snapToGrid w:val="0"/>
              <w:spacing w:before="120" w:beforeLines="50" w:after="50" w:line="460" w:lineRule="exact"/>
              <w:rPr>
                <w:rFonts w:hint="eastAsia" w:ascii="宋体" w:hAnsi="宋体" w:cs="宋体"/>
                <w:snapToGrid/>
                <w:color w:val="auto"/>
                <w:kern w:val="2"/>
                <w:sz w:val="24"/>
                <w:szCs w:val="24"/>
                <w:highlight w:val="none"/>
              </w:rPr>
            </w:pPr>
          </w:p>
        </w:tc>
      </w:tr>
      <w:tr w14:paraId="0A47A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6CBE2EF9">
            <w:pPr>
              <w:snapToGrid w:val="0"/>
              <w:spacing w:before="120" w:beforeLines="50" w:after="50" w:line="460" w:lineRule="exact"/>
              <w:rPr>
                <w:rFonts w:hint="eastAsia" w:ascii="宋体" w:hAnsi="宋体" w:cs="宋体"/>
                <w:snapToGrid/>
                <w:color w:val="auto"/>
                <w:kern w:val="2"/>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9A8CFC9">
            <w:pPr>
              <w:snapToGrid w:val="0"/>
              <w:spacing w:before="120" w:beforeLines="50" w:after="50" w:line="460" w:lineRule="exact"/>
              <w:rPr>
                <w:rFonts w:hint="eastAsia" w:ascii="宋体" w:hAnsi="宋体" w:cs="宋体"/>
                <w:snapToGrid/>
                <w:color w:val="auto"/>
                <w:kern w:val="2"/>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14F02A7">
            <w:pPr>
              <w:snapToGrid w:val="0"/>
              <w:spacing w:before="120" w:beforeLines="50" w:after="50" w:line="460" w:lineRule="exact"/>
              <w:rPr>
                <w:rFonts w:hint="eastAsia" w:ascii="宋体" w:hAnsi="宋体" w:cs="宋体"/>
                <w:snapToGrid/>
                <w:color w:val="auto"/>
                <w:kern w:val="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3174CC8">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9206154">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3367C54">
            <w:pPr>
              <w:snapToGrid w:val="0"/>
              <w:spacing w:before="120" w:beforeLines="50" w:after="50" w:line="460" w:lineRule="exact"/>
              <w:rPr>
                <w:rFonts w:hint="eastAsia" w:ascii="宋体" w:hAnsi="宋体" w:cs="宋体"/>
                <w:snapToGrid/>
                <w:color w:val="auto"/>
                <w:kern w:val="2"/>
                <w:sz w:val="24"/>
                <w:szCs w:val="24"/>
                <w:highlight w:val="none"/>
              </w:rPr>
            </w:pPr>
          </w:p>
        </w:tc>
      </w:tr>
      <w:tr w14:paraId="6DEDE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5DDDFB0F">
            <w:pPr>
              <w:snapToGrid w:val="0"/>
              <w:spacing w:before="120" w:beforeLines="50" w:after="50" w:line="460" w:lineRule="exact"/>
              <w:rPr>
                <w:rFonts w:hint="eastAsia" w:ascii="宋体" w:hAnsi="宋体" w:cs="宋体"/>
                <w:snapToGrid/>
                <w:color w:val="auto"/>
                <w:kern w:val="2"/>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D9A91F8">
            <w:pPr>
              <w:snapToGrid w:val="0"/>
              <w:spacing w:before="120" w:beforeLines="50" w:after="50" w:line="460" w:lineRule="exact"/>
              <w:rPr>
                <w:rFonts w:hint="eastAsia" w:ascii="宋体" w:hAnsi="宋体" w:cs="宋体"/>
                <w:snapToGrid/>
                <w:color w:val="auto"/>
                <w:kern w:val="2"/>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3ED9019">
            <w:pPr>
              <w:snapToGrid w:val="0"/>
              <w:spacing w:before="120" w:beforeLines="50" w:after="50" w:line="460" w:lineRule="exact"/>
              <w:rPr>
                <w:rFonts w:hint="eastAsia" w:ascii="宋体" w:hAnsi="宋体" w:cs="宋体"/>
                <w:snapToGrid/>
                <w:color w:val="auto"/>
                <w:kern w:val="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8853F7">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4D8ACC0">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68477C4">
            <w:pPr>
              <w:snapToGrid w:val="0"/>
              <w:spacing w:before="120" w:beforeLines="50" w:after="50" w:line="460" w:lineRule="exact"/>
              <w:rPr>
                <w:rFonts w:hint="eastAsia" w:ascii="宋体" w:hAnsi="宋体" w:cs="宋体"/>
                <w:snapToGrid/>
                <w:color w:val="auto"/>
                <w:kern w:val="2"/>
                <w:sz w:val="24"/>
                <w:szCs w:val="24"/>
                <w:highlight w:val="none"/>
              </w:rPr>
            </w:pPr>
          </w:p>
        </w:tc>
      </w:tr>
      <w:tr w14:paraId="1F167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6D1ECEF0">
            <w:pPr>
              <w:snapToGrid w:val="0"/>
              <w:spacing w:before="120" w:beforeLines="50" w:after="50" w:line="460" w:lineRule="exact"/>
              <w:rPr>
                <w:rFonts w:hint="eastAsia" w:ascii="宋体" w:hAnsi="宋体" w:cs="宋体"/>
                <w:snapToGrid/>
                <w:color w:val="auto"/>
                <w:kern w:val="2"/>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0AA52A8">
            <w:pPr>
              <w:snapToGrid w:val="0"/>
              <w:spacing w:before="120" w:beforeLines="50" w:after="50" w:line="460" w:lineRule="exact"/>
              <w:rPr>
                <w:rFonts w:hint="eastAsia" w:ascii="宋体" w:hAnsi="宋体" w:cs="宋体"/>
                <w:snapToGrid/>
                <w:color w:val="auto"/>
                <w:kern w:val="2"/>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C6AF2E4">
            <w:pPr>
              <w:snapToGrid w:val="0"/>
              <w:spacing w:before="120" w:beforeLines="50" w:after="50" w:line="460" w:lineRule="exact"/>
              <w:rPr>
                <w:rFonts w:hint="eastAsia" w:ascii="宋体" w:hAnsi="宋体" w:cs="宋体"/>
                <w:snapToGrid/>
                <w:color w:val="auto"/>
                <w:kern w:val="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787807A">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CEE9E7F">
            <w:pPr>
              <w:snapToGrid w:val="0"/>
              <w:spacing w:before="120" w:beforeLines="50" w:after="50" w:line="460" w:lineRule="exact"/>
              <w:rPr>
                <w:rFonts w:hint="eastAsia" w:ascii="宋体" w:hAnsi="宋体" w:cs="宋体"/>
                <w:snapToGrid/>
                <w:color w:val="auto"/>
                <w:kern w:val="2"/>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07F4BD0">
            <w:pPr>
              <w:snapToGrid w:val="0"/>
              <w:spacing w:before="120" w:beforeLines="50" w:after="50" w:line="460" w:lineRule="exact"/>
              <w:rPr>
                <w:rFonts w:hint="eastAsia" w:ascii="宋体" w:hAnsi="宋体" w:cs="宋体"/>
                <w:snapToGrid/>
                <w:color w:val="auto"/>
                <w:kern w:val="2"/>
                <w:sz w:val="24"/>
                <w:szCs w:val="24"/>
                <w:highlight w:val="none"/>
              </w:rPr>
            </w:pPr>
          </w:p>
        </w:tc>
      </w:tr>
    </w:tbl>
    <w:p w14:paraId="03EDC551">
      <w:pPr>
        <w:adjustRightInd w:val="0"/>
        <w:snapToGrid w:val="0"/>
        <w:spacing w:line="360" w:lineRule="auto"/>
        <w:jc w:val="left"/>
        <w:rPr>
          <w:rFonts w:hint="eastAsia" w:ascii="宋体" w:hAnsi="宋体" w:cs="宋体"/>
          <w:snapToGrid/>
          <w:color w:val="auto"/>
          <w:kern w:val="2"/>
          <w:sz w:val="24"/>
          <w:szCs w:val="24"/>
          <w:highlight w:val="none"/>
        </w:rPr>
      </w:pPr>
    </w:p>
    <w:p w14:paraId="772AE40B">
      <w:pPr>
        <w:adjustRightInd w:val="0"/>
        <w:snapToGrid w:val="0"/>
        <w:spacing w:line="360" w:lineRule="auto"/>
        <w:ind w:firstLine="480" w:firstLineChars="200"/>
        <w:jc w:val="left"/>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 xml:space="preserve">注：在填写时，如本表格不适合投标单位的实际情况，可根据本表格式自行划表填写。 </w:t>
      </w:r>
    </w:p>
    <w:p w14:paraId="3CF8AB1E">
      <w:pPr>
        <w:snapToGrid w:val="0"/>
        <w:spacing w:before="50" w:after="120" w:afterLines="50" w:line="460" w:lineRule="exact"/>
        <w:jc w:val="left"/>
        <w:rPr>
          <w:rFonts w:hint="eastAsia" w:ascii="宋体" w:hAnsi="宋体" w:cs="宋体"/>
          <w:snapToGrid/>
          <w:color w:val="auto"/>
          <w:kern w:val="2"/>
          <w:sz w:val="24"/>
          <w:szCs w:val="24"/>
          <w:highlight w:val="none"/>
        </w:rPr>
      </w:pPr>
    </w:p>
    <w:p w14:paraId="479C0FFB">
      <w:pPr>
        <w:spacing w:after="120"/>
        <w:ind w:left="420" w:leftChars="200"/>
        <w:rPr>
          <w:rFonts w:hint="eastAsia" w:ascii="宋体" w:hAnsi="宋体" w:cs="宋体"/>
          <w:snapToGrid/>
          <w:color w:val="auto"/>
          <w:kern w:val="2"/>
          <w:szCs w:val="24"/>
          <w:highlight w:val="none"/>
        </w:rPr>
      </w:pPr>
    </w:p>
    <w:p w14:paraId="6656A0EA">
      <w:pPr>
        <w:spacing w:line="360" w:lineRule="auto"/>
        <w:ind w:left="3780" w:leftChars="180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 xml:space="preserve">法定代表人签名（或签名章）：                       </w:t>
      </w:r>
    </w:p>
    <w:p w14:paraId="0BF85385">
      <w:pPr>
        <w:spacing w:line="360" w:lineRule="auto"/>
        <w:ind w:left="3780" w:leftChars="180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日 期：</w:t>
      </w:r>
    </w:p>
    <w:p w14:paraId="169A59E5">
      <w:pPr>
        <w:spacing w:line="360" w:lineRule="auto"/>
        <w:ind w:left="3780" w:leftChars="180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投标人全称（公章）：</w:t>
      </w:r>
    </w:p>
    <w:p w14:paraId="1856DD6E">
      <w:pPr>
        <w:spacing w:line="336" w:lineRule="auto"/>
        <w:jc w:val="center"/>
        <w:rPr>
          <w:rFonts w:ascii="宋体"/>
          <w:b/>
          <w:bCs/>
          <w:color w:val="auto"/>
          <w:kern w:val="0"/>
          <w:sz w:val="36"/>
          <w:szCs w:val="36"/>
          <w:highlight w:val="none"/>
        </w:rPr>
      </w:pPr>
      <w:r>
        <w:rPr>
          <w:rFonts w:ascii="宋体"/>
          <w:color w:val="auto"/>
          <w:sz w:val="24"/>
          <w:szCs w:val="24"/>
          <w:highlight w:val="none"/>
        </w:rPr>
        <w:br w:type="page"/>
      </w:r>
      <w:r>
        <w:rPr>
          <w:rFonts w:hint="eastAsia" w:ascii="宋体" w:hAnsi="宋体" w:cs="宋体"/>
          <w:b/>
          <w:bCs/>
          <w:color w:val="auto"/>
          <w:kern w:val="0"/>
          <w:sz w:val="36"/>
          <w:szCs w:val="36"/>
          <w:highlight w:val="none"/>
        </w:rPr>
        <w:t>报价文件</w:t>
      </w:r>
    </w:p>
    <w:p w14:paraId="3172BA7B">
      <w:pPr>
        <w:spacing w:line="360" w:lineRule="auto"/>
        <w:jc w:val="center"/>
        <w:rPr>
          <w:rFonts w:ascii="宋体"/>
          <w:b/>
          <w:bCs/>
          <w:color w:val="auto"/>
          <w:kern w:val="0"/>
          <w:sz w:val="36"/>
          <w:szCs w:val="36"/>
          <w:highlight w:val="none"/>
        </w:rPr>
      </w:pPr>
    </w:p>
    <w:p w14:paraId="343D7C1F">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273E8EEF">
      <w:pPr>
        <w:pStyle w:val="10"/>
        <w:ind w:firstLine="723"/>
        <w:rPr>
          <w:rFonts w:cs="Times New Roman"/>
          <w:b/>
          <w:bCs/>
          <w:color w:val="auto"/>
          <w:kern w:val="0"/>
          <w:sz w:val="36"/>
          <w:szCs w:val="36"/>
          <w:highlight w:val="none"/>
        </w:rPr>
      </w:pPr>
    </w:p>
    <w:p w14:paraId="71ADE08D">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14:paraId="1788230C">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14:paraId="76D38E3C">
      <w:pPr>
        <w:spacing w:line="360" w:lineRule="auto"/>
        <w:rPr>
          <w:rFonts w:ascii="宋体"/>
          <w:sz w:val="24"/>
          <w:szCs w:val="24"/>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r>
        <w:rPr>
          <w:rFonts w:hint="eastAsia" w:ascii="宋体" w:hAnsi="宋体" w:cs="宋体"/>
          <w:sz w:val="24"/>
          <w:szCs w:val="24"/>
        </w:rPr>
        <w:t>。</w:t>
      </w:r>
    </w:p>
    <w:p w14:paraId="2770D774">
      <w:pPr>
        <w:rPr>
          <w:rFonts w:ascii="宋体"/>
          <w:color w:val="auto"/>
          <w:highlight w:val="none"/>
        </w:rPr>
      </w:pPr>
    </w:p>
    <w:p w14:paraId="473B6C39">
      <w:pPr>
        <w:rPr>
          <w:rFonts w:ascii="宋体"/>
          <w:color w:val="auto"/>
          <w:highlight w:val="none"/>
        </w:rPr>
      </w:pPr>
      <w:r>
        <w:rPr>
          <w:rFonts w:ascii="宋体"/>
          <w:color w:val="auto"/>
          <w:highlight w:val="none"/>
        </w:rPr>
        <w:br w:type="page"/>
      </w:r>
    </w:p>
    <w:p w14:paraId="3FA7F18D">
      <w:pPr>
        <w:rPr>
          <w:rFonts w:ascii="宋体"/>
          <w:b/>
          <w:bCs/>
          <w:color w:val="auto"/>
          <w:highlight w:val="none"/>
          <w:lang w:val="zh-CN"/>
        </w:rPr>
      </w:pPr>
      <w:bookmarkStart w:id="124" w:name="_Toc3094"/>
      <w:r>
        <w:rPr>
          <w:rFonts w:hint="eastAsia" w:cs="宋体"/>
          <w:b/>
          <w:bCs/>
          <w:color w:val="auto"/>
          <w:sz w:val="24"/>
          <w:szCs w:val="24"/>
          <w:highlight w:val="none"/>
          <w:lang w:val="zh-CN"/>
        </w:rPr>
        <w:t>附件</w:t>
      </w:r>
      <w:bookmarkStart w:id="125" w:name="_Toc130094924"/>
      <w:bookmarkStart w:id="126" w:name="_Toc98731770"/>
      <w:r>
        <w:rPr>
          <w:rFonts w:hint="eastAsia" w:cs="宋体"/>
          <w:b/>
          <w:bCs/>
          <w:color w:val="auto"/>
          <w:sz w:val="24"/>
          <w:szCs w:val="24"/>
          <w:highlight w:val="none"/>
          <w:lang w:val="en-US" w:eastAsia="zh-CN"/>
        </w:rPr>
        <w:t>九</w:t>
      </w:r>
      <w:r>
        <w:rPr>
          <w:rFonts w:hint="eastAsia" w:cs="宋体"/>
          <w:b/>
          <w:bCs/>
          <w:color w:val="auto"/>
          <w:sz w:val="24"/>
          <w:szCs w:val="24"/>
          <w:highlight w:val="none"/>
        </w:rPr>
        <w:t>：</w:t>
      </w:r>
    </w:p>
    <w:p w14:paraId="533F7FC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124"/>
      <w:bookmarkEnd w:id="125"/>
      <w:bookmarkEnd w:id="126"/>
    </w:p>
    <w:p w14:paraId="234EB339">
      <w:pPr>
        <w:spacing w:line="360" w:lineRule="auto"/>
        <w:ind w:firstLine="480" w:firstLineChars="200"/>
        <w:rPr>
          <w:rFonts w:ascii="宋体"/>
          <w:color w:val="auto"/>
          <w:sz w:val="24"/>
          <w:szCs w:val="24"/>
          <w:highlight w:val="none"/>
          <w:u w:val="single"/>
        </w:rPr>
      </w:pPr>
    </w:p>
    <w:p w14:paraId="241A453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绍兴市上虞惠盛城镇建设开发有限公司</w:t>
      </w:r>
      <w:r>
        <w:rPr>
          <w:rFonts w:hint="eastAsia" w:ascii="宋体" w:hAnsi="宋体" w:cs="宋体"/>
          <w:color w:val="auto"/>
          <w:sz w:val="24"/>
          <w:szCs w:val="24"/>
          <w:highlight w:val="none"/>
        </w:rPr>
        <w:t>：</w:t>
      </w:r>
    </w:p>
    <w:p w14:paraId="030C4FE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浙江国信工程管理咨询有限公司</w:t>
      </w:r>
      <w:r>
        <w:rPr>
          <w:rFonts w:hint="eastAsia" w:ascii="宋体" w:hAnsi="宋体" w:cs="宋体"/>
          <w:color w:val="auto"/>
          <w:sz w:val="24"/>
          <w:szCs w:val="24"/>
          <w:highlight w:val="none"/>
        </w:rPr>
        <w:t>：</w:t>
      </w:r>
    </w:p>
    <w:p w14:paraId="0156B0C7">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1A9FE429">
      <w:pPr>
        <w:spacing w:line="360" w:lineRule="auto"/>
        <w:ind w:firstLine="504"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14:paraId="47388F53">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14:paraId="51E5115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14:paraId="18462BA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14:paraId="37955F27">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14:paraId="1AAB39A3">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14:paraId="0520D24F">
      <w:pPr>
        <w:pStyle w:val="14"/>
        <w:snapToGrid w:val="0"/>
        <w:spacing w:line="360" w:lineRule="auto"/>
        <w:ind w:left="480"/>
        <w:jc w:val="left"/>
        <w:rPr>
          <w:rFonts w:hAnsi="宋体"/>
          <w:color w:val="auto"/>
          <w:sz w:val="24"/>
          <w:szCs w:val="24"/>
          <w:highlight w:val="none"/>
        </w:rPr>
      </w:pPr>
      <w:r>
        <w:rPr>
          <w:rFonts w:hAnsi="宋体"/>
          <w:color w:val="auto"/>
          <w:sz w:val="24"/>
          <w:szCs w:val="24"/>
          <w:highlight w:val="none"/>
        </w:rPr>
        <w:t xml:space="preserve"> </w:t>
      </w:r>
    </w:p>
    <w:p w14:paraId="066A766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14:paraId="2A918732">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14:paraId="677B930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067D013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14:paraId="7CCCE7F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14:paraId="3E06F59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570272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E8ED83D">
      <w:pPr>
        <w:spacing w:line="360" w:lineRule="auto"/>
        <w:ind w:firstLine="5280" w:firstLineChars="2200"/>
        <w:rPr>
          <w:rFonts w:ascii="宋体"/>
          <w:color w:val="auto"/>
          <w:sz w:val="24"/>
          <w:szCs w:val="24"/>
          <w:highlight w:val="none"/>
        </w:rPr>
      </w:pPr>
    </w:p>
    <w:p w14:paraId="3C9A4959">
      <w:pPr>
        <w:rPr>
          <w:color w:val="auto"/>
          <w:sz w:val="24"/>
          <w:szCs w:val="24"/>
          <w:highlight w:val="none"/>
          <w:lang w:val="zh-CN"/>
        </w:rPr>
      </w:pPr>
      <w:bookmarkStart w:id="127" w:name="_Toc12011"/>
      <w:r>
        <w:rPr>
          <w:color w:val="auto"/>
          <w:sz w:val="24"/>
          <w:szCs w:val="24"/>
          <w:highlight w:val="none"/>
          <w:lang w:val="zh-CN"/>
        </w:rPr>
        <w:br w:type="page"/>
      </w:r>
    </w:p>
    <w:p w14:paraId="3D4A45CF">
      <w:pPr>
        <w:rPr>
          <w:b/>
          <w:bCs/>
          <w:color w:val="auto"/>
          <w:sz w:val="24"/>
          <w:szCs w:val="24"/>
          <w:highlight w:val="none"/>
          <w:lang w:val="zh-CN"/>
        </w:rPr>
      </w:pPr>
      <w:r>
        <w:rPr>
          <w:rFonts w:hint="eastAsia" w:cs="宋体"/>
          <w:b/>
          <w:bCs/>
          <w:color w:val="auto"/>
          <w:sz w:val="24"/>
          <w:szCs w:val="24"/>
          <w:highlight w:val="none"/>
          <w:lang w:val="zh-CN"/>
        </w:rPr>
        <w:t>附件</w:t>
      </w:r>
      <w:bookmarkStart w:id="128" w:name="_Toc130094925"/>
      <w:bookmarkStart w:id="129" w:name="_Toc98731771"/>
      <w:r>
        <w:rPr>
          <w:rFonts w:hint="eastAsia" w:cs="宋体"/>
          <w:b/>
          <w:bCs/>
          <w:color w:val="auto"/>
          <w:sz w:val="24"/>
          <w:szCs w:val="24"/>
          <w:highlight w:val="none"/>
          <w:lang w:eastAsia="zh-CN"/>
        </w:rPr>
        <w:t>十</w:t>
      </w:r>
      <w:r>
        <w:rPr>
          <w:rFonts w:hint="eastAsia" w:cs="宋体"/>
          <w:b/>
          <w:bCs/>
          <w:color w:val="auto"/>
          <w:sz w:val="24"/>
          <w:szCs w:val="24"/>
          <w:highlight w:val="none"/>
        </w:rPr>
        <w:t>：</w:t>
      </w:r>
    </w:p>
    <w:p w14:paraId="5713DE9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报价一览表</w:t>
      </w:r>
      <w:bookmarkEnd w:id="127"/>
      <w:bookmarkEnd w:id="128"/>
      <w:bookmarkEnd w:id="129"/>
    </w:p>
    <w:p w14:paraId="63E6D9FB">
      <w:pPr>
        <w:pStyle w:val="14"/>
        <w:spacing w:line="360" w:lineRule="auto"/>
        <w:rPr>
          <w:rFonts w:hAnsi="宋体" w:cs="Times New Roman"/>
          <w:color w:val="auto"/>
          <w:sz w:val="24"/>
          <w:szCs w:val="24"/>
          <w:highlight w:val="none"/>
        </w:rPr>
      </w:pPr>
    </w:p>
    <w:p w14:paraId="2356676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47A4A7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9"/>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6862"/>
      </w:tblGrid>
      <w:tr w14:paraId="3663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jc w:val="center"/>
        </w:trPr>
        <w:tc>
          <w:tcPr>
            <w:tcW w:w="2137" w:type="dxa"/>
            <w:noWrap w:val="0"/>
            <w:vAlign w:val="center"/>
          </w:tcPr>
          <w:p w14:paraId="794B4136">
            <w:pPr>
              <w:pStyle w:val="14"/>
              <w:spacing w:line="360" w:lineRule="auto"/>
              <w:jc w:val="center"/>
              <w:rPr>
                <w:rFonts w:hint="eastAsia" w:hAnsi="宋体" w:cs="宋体"/>
                <w:b/>
                <w:bCs/>
                <w:sz w:val="24"/>
              </w:rPr>
            </w:pPr>
            <w:r>
              <w:rPr>
                <w:rFonts w:hint="eastAsia" w:hAnsi="宋体" w:cs="宋体"/>
                <w:b/>
                <w:bCs/>
                <w:sz w:val="24"/>
              </w:rPr>
              <w:t>投标总价</w:t>
            </w:r>
          </w:p>
        </w:tc>
        <w:tc>
          <w:tcPr>
            <w:tcW w:w="6862" w:type="dxa"/>
            <w:noWrap w:val="0"/>
            <w:vAlign w:val="center"/>
          </w:tcPr>
          <w:p w14:paraId="43D8CFF7">
            <w:pPr>
              <w:pStyle w:val="14"/>
              <w:spacing w:line="360" w:lineRule="auto"/>
              <w:jc w:val="center"/>
              <w:rPr>
                <w:rFonts w:hint="eastAsia" w:hAnsi="宋体" w:cs="宋体"/>
                <w:b/>
                <w:bCs/>
                <w:sz w:val="24"/>
              </w:rPr>
            </w:pPr>
            <w:r>
              <w:rPr>
                <w:rFonts w:hint="eastAsia" w:hAnsi="宋体" w:cs="宋体"/>
                <w:b/>
                <w:bCs/>
                <w:sz w:val="24"/>
              </w:rPr>
              <w:t>大写：</w:t>
            </w:r>
            <w:r>
              <w:rPr>
                <w:rFonts w:hint="eastAsia" w:hAnsi="宋体" w:cs="宋体"/>
                <w:b/>
                <w:bCs/>
                <w:sz w:val="24"/>
                <w:u w:val="single"/>
              </w:rPr>
              <w:t xml:space="preserve">　　　　            </w:t>
            </w:r>
            <w:r>
              <w:rPr>
                <w:rFonts w:hint="eastAsia" w:hAnsi="宋体" w:cs="宋体"/>
                <w:b/>
                <w:bCs/>
                <w:sz w:val="24"/>
              </w:rPr>
              <w:t>元（小写：</w:t>
            </w:r>
            <w:r>
              <w:rPr>
                <w:rFonts w:hint="eastAsia" w:hAnsi="宋体" w:cs="宋体"/>
                <w:b/>
                <w:bCs/>
                <w:sz w:val="24"/>
                <w:u w:val="single"/>
              </w:rPr>
              <w:t xml:space="preserve">　　　　 </w:t>
            </w:r>
            <w:r>
              <w:rPr>
                <w:rFonts w:hint="eastAsia" w:hAnsi="宋体" w:cs="宋体"/>
                <w:b/>
                <w:bCs/>
                <w:sz w:val="24"/>
              </w:rPr>
              <w:t>）</w:t>
            </w:r>
          </w:p>
        </w:tc>
      </w:tr>
      <w:tr w14:paraId="78F0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atLeast"/>
          <w:jc w:val="center"/>
        </w:trPr>
        <w:tc>
          <w:tcPr>
            <w:tcW w:w="8999" w:type="dxa"/>
            <w:gridSpan w:val="2"/>
            <w:noWrap w:val="0"/>
            <w:vAlign w:val="center"/>
          </w:tcPr>
          <w:p w14:paraId="7B3638F7">
            <w:pPr>
              <w:pStyle w:val="14"/>
              <w:spacing w:line="360" w:lineRule="auto"/>
              <w:ind w:firstLine="480" w:firstLineChars="200"/>
              <w:rPr>
                <w:rFonts w:hint="eastAsia" w:hAnsi="宋体" w:cs="宋体"/>
                <w:b/>
                <w:bCs/>
                <w:sz w:val="24"/>
              </w:rPr>
            </w:pPr>
            <w:r>
              <w:rPr>
                <w:rFonts w:hint="eastAsia" w:hAnsi="宋体"/>
                <w:color w:val="000000"/>
                <w:sz w:val="24"/>
                <w:szCs w:val="24"/>
              </w:rPr>
              <w:t>投标报价应包含项目所需全部服务，不得缺漏，是履行合同的最终价格（服务费、交通费、成果编辑、数据汇总、人工费、税金、招标代理费以及成交供应商认为有必要计入的其它费用等一切费用）。投标报价为供应商所能承受的最低、最终报价，供应商不得再要求追加任何费用。</w:t>
            </w:r>
            <w:r>
              <w:rPr>
                <w:rFonts w:hint="eastAsia" w:hAnsi="宋体"/>
                <w:b/>
                <w:bCs/>
                <w:color w:val="000000"/>
                <w:sz w:val="24"/>
                <w:szCs w:val="24"/>
              </w:rPr>
              <w:t>凡供应商在报价中未列明但又为本次采购所必备的项目或遗漏项目，采购方将一律视为已包括在合同价中，在合同执行中将不予考虑。</w:t>
            </w:r>
          </w:p>
        </w:tc>
      </w:tr>
    </w:tbl>
    <w:p w14:paraId="7C23FD1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085AAAB9">
      <w:pPr>
        <w:spacing w:line="360" w:lineRule="auto"/>
        <w:jc w:val="left"/>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 xml:space="preserve">注: </w:t>
      </w:r>
    </w:p>
    <w:p w14:paraId="521D0F0E">
      <w:pPr>
        <w:spacing w:line="360" w:lineRule="auto"/>
        <w:ind w:firstLine="480" w:firstLineChars="200"/>
        <w:jc w:val="left"/>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报价一经涂改，应在涂改处加盖单位公章或者由法定代表人或授权委托人签字或盖章，否则其投标作无效标处理。</w:t>
      </w:r>
    </w:p>
    <w:p w14:paraId="781D34C7">
      <w:pPr>
        <w:pStyle w:val="14"/>
        <w:spacing w:line="360" w:lineRule="auto"/>
        <w:rPr>
          <w:rFonts w:hAnsi="宋体" w:cs="Times New Roman"/>
          <w:color w:val="auto"/>
          <w:sz w:val="24"/>
          <w:szCs w:val="24"/>
          <w:highlight w:val="none"/>
        </w:rPr>
      </w:pPr>
    </w:p>
    <w:p w14:paraId="19774A86">
      <w:pPr>
        <w:pStyle w:val="14"/>
        <w:spacing w:line="360" w:lineRule="auto"/>
        <w:rPr>
          <w:rFonts w:hAnsi="宋体" w:cs="Times New Roman"/>
          <w:color w:val="auto"/>
          <w:sz w:val="24"/>
          <w:szCs w:val="24"/>
          <w:highlight w:val="none"/>
        </w:rPr>
      </w:pPr>
    </w:p>
    <w:p w14:paraId="6A927D13">
      <w:pPr>
        <w:pStyle w:val="14"/>
        <w:spacing w:line="360" w:lineRule="auto"/>
        <w:rPr>
          <w:rFonts w:hAnsi="宋体" w:cs="Times New Roman"/>
          <w:color w:val="auto"/>
          <w:sz w:val="24"/>
          <w:szCs w:val="24"/>
          <w:highlight w:val="none"/>
        </w:rPr>
      </w:pPr>
    </w:p>
    <w:p w14:paraId="1622A96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2EDB7E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575407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217D6B3">
      <w:pPr>
        <w:snapToGrid w:val="0"/>
        <w:spacing w:line="360" w:lineRule="auto"/>
        <w:ind w:firstLine="435"/>
        <w:rPr>
          <w:rFonts w:ascii="宋体"/>
          <w:color w:val="auto"/>
          <w:highlight w:val="none"/>
        </w:rPr>
      </w:pPr>
    </w:p>
    <w:p w14:paraId="7849821D">
      <w:pPr>
        <w:snapToGrid w:val="0"/>
        <w:spacing w:line="360" w:lineRule="auto"/>
        <w:ind w:firstLine="435"/>
        <w:rPr>
          <w:rFonts w:ascii="宋体"/>
          <w:color w:val="auto"/>
          <w:highlight w:val="none"/>
        </w:rPr>
      </w:pPr>
    </w:p>
    <w:p w14:paraId="3CAC5950">
      <w:pPr>
        <w:spacing w:line="360" w:lineRule="auto"/>
        <w:jc w:val="left"/>
        <w:rPr>
          <w:rFonts w:ascii="宋体"/>
          <w:b/>
          <w:bCs/>
          <w:color w:val="auto"/>
          <w:sz w:val="24"/>
          <w:szCs w:val="24"/>
          <w:highlight w:val="none"/>
          <w:lang w:val="zh-CN"/>
        </w:rPr>
      </w:pPr>
      <w:r>
        <w:rPr>
          <w:rFonts w:ascii="宋体"/>
          <w:color w:val="auto"/>
          <w:highlight w:val="none"/>
        </w:rPr>
        <w:br w:type="page"/>
      </w:r>
      <w:bookmarkStart w:id="130" w:name="_Toc7196"/>
      <w:r>
        <w:rPr>
          <w:rFonts w:hint="eastAsia" w:ascii="宋体" w:hAnsi="宋体" w:cs="宋体"/>
          <w:b/>
          <w:bCs/>
          <w:color w:val="auto"/>
          <w:sz w:val="24"/>
          <w:szCs w:val="24"/>
          <w:highlight w:val="none"/>
          <w:lang w:val="zh-CN"/>
        </w:rPr>
        <w:t>附件十</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lang w:val="zh-CN"/>
        </w:rPr>
        <w:t>：</w:t>
      </w:r>
    </w:p>
    <w:p w14:paraId="6410347B">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磋商报价明细表</w:t>
      </w:r>
    </w:p>
    <w:p w14:paraId="1424A5D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2EBD4D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9"/>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27"/>
        <w:gridCol w:w="1065"/>
        <w:gridCol w:w="1755"/>
        <w:gridCol w:w="480"/>
        <w:gridCol w:w="1049"/>
        <w:gridCol w:w="1148"/>
        <w:gridCol w:w="1124"/>
      </w:tblGrid>
      <w:tr w14:paraId="6B0B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3DD62609">
            <w:pPr>
              <w:pStyle w:val="14"/>
              <w:spacing w:line="360" w:lineRule="auto"/>
              <w:jc w:val="center"/>
              <w:rPr>
                <w:rFonts w:hAnsi="宋体"/>
                <w:color w:val="auto"/>
                <w:sz w:val="22"/>
                <w:szCs w:val="22"/>
                <w:highlight w:val="none"/>
              </w:rPr>
            </w:pPr>
            <w:r>
              <w:rPr>
                <w:rFonts w:hint="eastAsia" w:hAnsi="宋体"/>
                <w:color w:val="auto"/>
                <w:sz w:val="22"/>
                <w:szCs w:val="22"/>
                <w:highlight w:val="none"/>
              </w:rPr>
              <w:t>序</w:t>
            </w:r>
          </w:p>
          <w:p w14:paraId="0C91337F">
            <w:pPr>
              <w:pStyle w:val="14"/>
              <w:spacing w:line="360" w:lineRule="auto"/>
              <w:jc w:val="center"/>
              <w:rPr>
                <w:rFonts w:hAnsi="宋体"/>
                <w:color w:val="auto"/>
                <w:sz w:val="22"/>
                <w:szCs w:val="22"/>
                <w:highlight w:val="none"/>
              </w:rPr>
            </w:pPr>
            <w:r>
              <w:rPr>
                <w:rFonts w:hint="eastAsia" w:hAnsi="宋体"/>
                <w:color w:val="auto"/>
                <w:sz w:val="22"/>
                <w:szCs w:val="22"/>
                <w:highlight w:val="none"/>
              </w:rPr>
              <w:t>号</w:t>
            </w:r>
          </w:p>
        </w:tc>
        <w:tc>
          <w:tcPr>
            <w:tcW w:w="1927" w:type="dxa"/>
            <w:vMerge w:val="restart"/>
            <w:vAlign w:val="center"/>
          </w:tcPr>
          <w:p w14:paraId="6C082975">
            <w:pPr>
              <w:pStyle w:val="14"/>
              <w:spacing w:line="360" w:lineRule="auto"/>
              <w:jc w:val="center"/>
              <w:rPr>
                <w:rFonts w:hAnsi="宋体"/>
                <w:color w:val="auto"/>
                <w:sz w:val="22"/>
                <w:szCs w:val="22"/>
                <w:highlight w:val="none"/>
              </w:rPr>
            </w:pPr>
            <w:r>
              <w:rPr>
                <w:rFonts w:hint="eastAsia" w:hAnsi="宋体"/>
                <w:color w:val="auto"/>
                <w:sz w:val="22"/>
                <w:szCs w:val="22"/>
                <w:highlight w:val="none"/>
              </w:rPr>
              <w:t>名称</w:t>
            </w:r>
          </w:p>
        </w:tc>
        <w:tc>
          <w:tcPr>
            <w:tcW w:w="1065" w:type="dxa"/>
            <w:vMerge w:val="restart"/>
            <w:vAlign w:val="center"/>
          </w:tcPr>
          <w:p w14:paraId="6C2C16BD">
            <w:pPr>
              <w:pStyle w:val="14"/>
              <w:spacing w:line="360" w:lineRule="auto"/>
              <w:jc w:val="center"/>
              <w:rPr>
                <w:rFonts w:hAnsi="宋体"/>
                <w:color w:val="auto"/>
                <w:sz w:val="22"/>
                <w:szCs w:val="22"/>
                <w:highlight w:val="none"/>
              </w:rPr>
            </w:pPr>
            <w:r>
              <w:rPr>
                <w:rFonts w:hint="eastAsia" w:hAnsi="宋体"/>
                <w:color w:val="auto"/>
                <w:sz w:val="22"/>
                <w:szCs w:val="22"/>
                <w:highlight w:val="none"/>
              </w:rPr>
              <w:t>内容</w:t>
            </w:r>
          </w:p>
        </w:tc>
        <w:tc>
          <w:tcPr>
            <w:tcW w:w="1755" w:type="dxa"/>
            <w:vMerge w:val="restart"/>
            <w:vAlign w:val="center"/>
          </w:tcPr>
          <w:p w14:paraId="7DAFDF12">
            <w:pPr>
              <w:pStyle w:val="14"/>
              <w:spacing w:line="360" w:lineRule="auto"/>
              <w:jc w:val="center"/>
              <w:rPr>
                <w:rFonts w:hAnsi="宋体"/>
                <w:color w:val="auto"/>
                <w:sz w:val="22"/>
                <w:szCs w:val="22"/>
                <w:highlight w:val="none"/>
              </w:rPr>
            </w:pPr>
            <w:r>
              <w:rPr>
                <w:rFonts w:hint="eastAsia" w:hAnsi="宋体"/>
                <w:color w:val="auto"/>
                <w:sz w:val="22"/>
                <w:szCs w:val="22"/>
                <w:highlight w:val="none"/>
              </w:rPr>
              <w:t>其他</w:t>
            </w:r>
          </w:p>
        </w:tc>
        <w:tc>
          <w:tcPr>
            <w:tcW w:w="480" w:type="dxa"/>
            <w:vMerge w:val="restart"/>
            <w:vAlign w:val="center"/>
          </w:tcPr>
          <w:p w14:paraId="3F59801D">
            <w:pPr>
              <w:pStyle w:val="14"/>
              <w:spacing w:line="360" w:lineRule="auto"/>
              <w:jc w:val="center"/>
              <w:rPr>
                <w:rFonts w:hAnsi="宋体"/>
                <w:color w:val="auto"/>
                <w:sz w:val="22"/>
                <w:szCs w:val="22"/>
                <w:highlight w:val="none"/>
              </w:rPr>
            </w:pPr>
            <w:r>
              <w:rPr>
                <w:rFonts w:hint="eastAsia" w:hAnsi="宋体"/>
                <w:color w:val="auto"/>
                <w:sz w:val="22"/>
                <w:szCs w:val="22"/>
                <w:highlight w:val="none"/>
              </w:rPr>
              <w:t>单</w:t>
            </w:r>
          </w:p>
          <w:p w14:paraId="61BA8CCB">
            <w:pPr>
              <w:pStyle w:val="14"/>
              <w:spacing w:line="360" w:lineRule="auto"/>
              <w:jc w:val="center"/>
              <w:rPr>
                <w:rFonts w:hAnsi="宋体"/>
                <w:color w:val="auto"/>
                <w:sz w:val="22"/>
                <w:szCs w:val="22"/>
                <w:highlight w:val="none"/>
              </w:rPr>
            </w:pPr>
            <w:r>
              <w:rPr>
                <w:rFonts w:hint="eastAsia" w:hAnsi="宋体"/>
                <w:color w:val="auto"/>
                <w:sz w:val="22"/>
                <w:szCs w:val="22"/>
                <w:highlight w:val="none"/>
              </w:rPr>
              <w:t>位</w:t>
            </w:r>
          </w:p>
        </w:tc>
        <w:tc>
          <w:tcPr>
            <w:tcW w:w="1049" w:type="dxa"/>
            <w:vMerge w:val="restart"/>
            <w:vAlign w:val="center"/>
          </w:tcPr>
          <w:p w14:paraId="043E9FDD">
            <w:pPr>
              <w:pStyle w:val="14"/>
              <w:spacing w:line="360" w:lineRule="auto"/>
              <w:jc w:val="center"/>
              <w:rPr>
                <w:rFonts w:hAnsi="宋体"/>
                <w:color w:val="auto"/>
                <w:sz w:val="22"/>
                <w:szCs w:val="22"/>
                <w:highlight w:val="none"/>
              </w:rPr>
            </w:pPr>
            <w:r>
              <w:rPr>
                <w:rFonts w:hint="eastAsia" w:hAnsi="宋体"/>
                <w:color w:val="auto"/>
                <w:sz w:val="22"/>
                <w:szCs w:val="22"/>
                <w:highlight w:val="none"/>
              </w:rPr>
              <w:t>数量</w:t>
            </w:r>
          </w:p>
        </w:tc>
        <w:tc>
          <w:tcPr>
            <w:tcW w:w="2272" w:type="dxa"/>
            <w:gridSpan w:val="2"/>
            <w:vAlign w:val="center"/>
          </w:tcPr>
          <w:p w14:paraId="4A5E515B">
            <w:pPr>
              <w:pStyle w:val="14"/>
              <w:spacing w:line="360" w:lineRule="auto"/>
              <w:jc w:val="center"/>
              <w:rPr>
                <w:rFonts w:hAnsi="宋体"/>
                <w:color w:val="auto"/>
                <w:sz w:val="22"/>
                <w:szCs w:val="22"/>
                <w:highlight w:val="none"/>
              </w:rPr>
            </w:pPr>
            <w:r>
              <w:rPr>
                <w:rFonts w:hint="eastAsia" w:hAnsi="宋体"/>
                <w:color w:val="auto"/>
                <w:sz w:val="22"/>
                <w:szCs w:val="22"/>
                <w:highlight w:val="none"/>
              </w:rPr>
              <w:t>投标报价（元）</w:t>
            </w:r>
          </w:p>
        </w:tc>
      </w:tr>
      <w:tr w14:paraId="33FA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0D6B936A">
            <w:pPr>
              <w:pStyle w:val="14"/>
              <w:spacing w:line="360" w:lineRule="auto"/>
              <w:jc w:val="center"/>
              <w:rPr>
                <w:rFonts w:hAnsi="宋体"/>
                <w:color w:val="auto"/>
                <w:sz w:val="22"/>
                <w:szCs w:val="22"/>
                <w:highlight w:val="none"/>
              </w:rPr>
            </w:pPr>
          </w:p>
        </w:tc>
        <w:tc>
          <w:tcPr>
            <w:tcW w:w="1927" w:type="dxa"/>
            <w:vMerge w:val="continue"/>
            <w:vAlign w:val="center"/>
          </w:tcPr>
          <w:p w14:paraId="17F1E598">
            <w:pPr>
              <w:pStyle w:val="14"/>
              <w:spacing w:line="360" w:lineRule="auto"/>
              <w:jc w:val="center"/>
              <w:rPr>
                <w:rFonts w:hAnsi="宋体"/>
                <w:color w:val="auto"/>
                <w:sz w:val="22"/>
                <w:szCs w:val="22"/>
                <w:highlight w:val="none"/>
              </w:rPr>
            </w:pPr>
          </w:p>
        </w:tc>
        <w:tc>
          <w:tcPr>
            <w:tcW w:w="1065" w:type="dxa"/>
            <w:vMerge w:val="continue"/>
            <w:vAlign w:val="center"/>
          </w:tcPr>
          <w:p w14:paraId="14677DFF">
            <w:pPr>
              <w:pStyle w:val="14"/>
              <w:spacing w:line="360" w:lineRule="auto"/>
              <w:jc w:val="center"/>
              <w:rPr>
                <w:rFonts w:hAnsi="宋体"/>
                <w:color w:val="auto"/>
                <w:sz w:val="22"/>
                <w:szCs w:val="22"/>
                <w:highlight w:val="none"/>
              </w:rPr>
            </w:pPr>
          </w:p>
        </w:tc>
        <w:tc>
          <w:tcPr>
            <w:tcW w:w="1755" w:type="dxa"/>
            <w:vMerge w:val="continue"/>
            <w:vAlign w:val="center"/>
          </w:tcPr>
          <w:p w14:paraId="1C23E742">
            <w:pPr>
              <w:pStyle w:val="14"/>
              <w:spacing w:line="360" w:lineRule="auto"/>
              <w:jc w:val="center"/>
              <w:rPr>
                <w:rFonts w:hAnsi="宋体"/>
                <w:color w:val="auto"/>
                <w:sz w:val="22"/>
                <w:szCs w:val="22"/>
                <w:highlight w:val="none"/>
              </w:rPr>
            </w:pPr>
          </w:p>
        </w:tc>
        <w:tc>
          <w:tcPr>
            <w:tcW w:w="480" w:type="dxa"/>
            <w:vMerge w:val="continue"/>
            <w:vAlign w:val="center"/>
          </w:tcPr>
          <w:p w14:paraId="2A9E20A0">
            <w:pPr>
              <w:pStyle w:val="14"/>
              <w:spacing w:line="360" w:lineRule="auto"/>
              <w:jc w:val="center"/>
              <w:rPr>
                <w:rFonts w:hAnsi="宋体"/>
                <w:color w:val="auto"/>
                <w:sz w:val="22"/>
                <w:szCs w:val="22"/>
                <w:highlight w:val="none"/>
              </w:rPr>
            </w:pPr>
          </w:p>
        </w:tc>
        <w:tc>
          <w:tcPr>
            <w:tcW w:w="1049" w:type="dxa"/>
            <w:vMerge w:val="continue"/>
            <w:vAlign w:val="center"/>
          </w:tcPr>
          <w:p w14:paraId="7958D5AC">
            <w:pPr>
              <w:pStyle w:val="14"/>
              <w:spacing w:line="360" w:lineRule="auto"/>
              <w:jc w:val="center"/>
              <w:rPr>
                <w:rFonts w:hAnsi="宋体"/>
                <w:color w:val="auto"/>
                <w:sz w:val="22"/>
                <w:szCs w:val="22"/>
                <w:highlight w:val="none"/>
              </w:rPr>
            </w:pPr>
          </w:p>
        </w:tc>
        <w:tc>
          <w:tcPr>
            <w:tcW w:w="1148" w:type="dxa"/>
            <w:vAlign w:val="center"/>
          </w:tcPr>
          <w:p w14:paraId="0E1833C5">
            <w:pPr>
              <w:pStyle w:val="14"/>
              <w:spacing w:line="360" w:lineRule="auto"/>
              <w:jc w:val="center"/>
              <w:rPr>
                <w:rFonts w:hAnsi="宋体"/>
                <w:color w:val="auto"/>
                <w:sz w:val="22"/>
                <w:szCs w:val="22"/>
                <w:highlight w:val="none"/>
              </w:rPr>
            </w:pPr>
            <w:r>
              <w:rPr>
                <w:rFonts w:hint="eastAsia" w:hAnsi="宋体"/>
                <w:color w:val="auto"/>
                <w:sz w:val="22"/>
                <w:szCs w:val="22"/>
                <w:highlight w:val="none"/>
              </w:rPr>
              <w:t>单价</w:t>
            </w:r>
          </w:p>
        </w:tc>
        <w:tc>
          <w:tcPr>
            <w:tcW w:w="1124" w:type="dxa"/>
            <w:vAlign w:val="center"/>
          </w:tcPr>
          <w:p w14:paraId="67AEEC11">
            <w:pPr>
              <w:pStyle w:val="14"/>
              <w:spacing w:line="360" w:lineRule="auto"/>
              <w:jc w:val="center"/>
              <w:rPr>
                <w:rFonts w:hAnsi="宋体"/>
                <w:color w:val="auto"/>
                <w:sz w:val="22"/>
                <w:szCs w:val="22"/>
                <w:highlight w:val="none"/>
              </w:rPr>
            </w:pPr>
            <w:r>
              <w:rPr>
                <w:rFonts w:hint="eastAsia" w:hAnsi="宋体"/>
                <w:color w:val="auto"/>
                <w:sz w:val="22"/>
                <w:szCs w:val="22"/>
                <w:highlight w:val="none"/>
              </w:rPr>
              <w:t>小计</w:t>
            </w:r>
          </w:p>
        </w:tc>
      </w:tr>
      <w:tr w14:paraId="6DC4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685E1661">
            <w:pPr>
              <w:pStyle w:val="14"/>
              <w:jc w:val="center"/>
              <w:rPr>
                <w:rFonts w:hAnsi="宋体"/>
                <w:color w:val="auto"/>
                <w:sz w:val="22"/>
                <w:szCs w:val="22"/>
                <w:highlight w:val="none"/>
              </w:rPr>
            </w:pPr>
            <w:r>
              <w:rPr>
                <w:rFonts w:hint="eastAsia" w:hAnsi="宋体"/>
                <w:color w:val="auto"/>
                <w:sz w:val="22"/>
                <w:szCs w:val="22"/>
                <w:highlight w:val="none"/>
              </w:rPr>
              <w:t>1</w:t>
            </w:r>
          </w:p>
        </w:tc>
        <w:tc>
          <w:tcPr>
            <w:tcW w:w="1927" w:type="dxa"/>
            <w:vAlign w:val="center"/>
          </w:tcPr>
          <w:p w14:paraId="5D239B85">
            <w:pPr>
              <w:pStyle w:val="14"/>
              <w:rPr>
                <w:rFonts w:hAnsi="宋体"/>
                <w:color w:val="auto"/>
                <w:sz w:val="22"/>
                <w:szCs w:val="22"/>
                <w:highlight w:val="none"/>
              </w:rPr>
            </w:pPr>
          </w:p>
        </w:tc>
        <w:tc>
          <w:tcPr>
            <w:tcW w:w="1065" w:type="dxa"/>
            <w:vAlign w:val="center"/>
          </w:tcPr>
          <w:p w14:paraId="6A1B7653">
            <w:pPr>
              <w:pStyle w:val="14"/>
              <w:spacing w:line="360" w:lineRule="auto"/>
              <w:rPr>
                <w:rFonts w:hAnsi="宋体"/>
                <w:b/>
                <w:bCs/>
                <w:color w:val="auto"/>
                <w:sz w:val="22"/>
                <w:szCs w:val="22"/>
                <w:highlight w:val="none"/>
              </w:rPr>
            </w:pPr>
          </w:p>
        </w:tc>
        <w:tc>
          <w:tcPr>
            <w:tcW w:w="1755" w:type="dxa"/>
            <w:vAlign w:val="center"/>
          </w:tcPr>
          <w:p w14:paraId="2495DDEC">
            <w:pPr>
              <w:pStyle w:val="14"/>
              <w:spacing w:line="360" w:lineRule="auto"/>
              <w:rPr>
                <w:rFonts w:hAnsi="宋体"/>
                <w:b/>
                <w:bCs/>
                <w:color w:val="auto"/>
                <w:sz w:val="22"/>
                <w:szCs w:val="22"/>
                <w:highlight w:val="none"/>
              </w:rPr>
            </w:pPr>
          </w:p>
        </w:tc>
        <w:tc>
          <w:tcPr>
            <w:tcW w:w="480" w:type="dxa"/>
            <w:vAlign w:val="center"/>
          </w:tcPr>
          <w:p w14:paraId="16F12842">
            <w:pPr>
              <w:pStyle w:val="14"/>
              <w:spacing w:line="360" w:lineRule="auto"/>
              <w:rPr>
                <w:rFonts w:hint="eastAsia" w:hAnsi="宋体" w:eastAsia="宋体"/>
                <w:b w:val="0"/>
                <w:bCs w:val="0"/>
                <w:color w:val="auto"/>
                <w:sz w:val="22"/>
                <w:szCs w:val="22"/>
                <w:highlight w:val="none"/>
                <w:lang w:val="en-US" w:eastAsia="zh-CN"/>
              </w:rPr>
            </w:pPr>
          </w:p>
        </w:tc>
        <w:tc>
          <w:tcPr>
            <w:tcW w:w="1049" w:type="dxa"/>
            <w:vAlign w:val="center"/>
          </w:tcPr>
          <w:p w14:paraId="2FE67F74">
            <w:pPr>
              <w:pStyle w:val="14"/>
              <w:spacing w:line="360" w:lineRule="auto"/>
              <w:rPr>
                <w:rFonts w:hint="default" w:hAnsi="宋体" w:eastAsia="宋体"/>
                <w:b w:val="0"/>
                <w:bCs w:val="0"/>
                <w:color w:val="auto"/>
                <w:sz w:val="22"/>
                <w:szCs w:val="22"/>
                <w:highlight w:val="none"/>
                <w:lang w:val="en-US" w:eastAsia="zh-CN"/>
              </w:rPr>
            </w:pPr>
          </w:p>
        </w:tc>
        <w:tc>
          <w:tcPr>
            <w:tcW w:w="1148" w:type="dxa"/>
          </w:tcPr>
          <w:p w14:paraId="13155146">
            <w:pPr>
              <w:pStyle w:val="14"/>
              <w:spacing w:line="360" w:lineRule="auto"/>
              <w:rPr>
                <w:rFonts w:hAnsi="宋体"/>
                <w:color w:val="auto"/>
                <w:sz w:val="22"/>
                <w:szCs w:val="22"/>
                <w:highlight w:val="none"/>
              </w:rPr>
            </w:pPr>
          </w:p>
        </w:tc>
        <w:tc>
          <w:tcPr>
            <w:tcW w:w="1124" w:type="dxa"/>
          </w:tcPr>
          <w:p w14:paraId="609B652C">
            <w:pPr>
              <w:pStyle w:val="14"/>
              <w:spacing w:line="360" w:lineRule="auto"/>
              <w:rPr>
                <w:rFonts w:hAnsi="宋体"/>
                <w:color w:val="auto"/>
                <w:sz w:val="22"/>
                <w:szCs w:val="22"/>
                <w:highlight w:val="none"/>
              </w:rPr>
            </w:pPr>
          </w:p>
        </w:tc>
      </w:tr>
      <w:tr w14:paraId="2853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53707278">
            <w:pPr>
              <w:pStyle w:val="14"/>
              <w:jc w:val="center"/>
              <w:rPr>
                <w:rFonts w:hAnsi="宋体"/>
                <w:color w:val="auto"/>
                <w:sz w:val="22"/>
                <w:szCs w:val="22"/>
                <w:highlight w:val="none"/>
              </w:rPr>
            </w:pPr>
            <w:r>
              <w:rPr>
                <w:rFonts w:hint="eastAsia" w:hAnsi="宋体"/>
                <w:color w:val="auto"/>
                <w:sz w:val="22"/>
                <w:szCs w:val="22"/>
                <w:highlight w:val="none"/>
              </w:rPr>
              <w:t>2</w:t>
            </w:r>
          </w:p>
        </w:tc>
        <w:tc>
          <w:tcPr>
            <w:tcW w:w="1927" w:type="dxa"/>
            <w:vAlign w:val="center"/>
          </w:tcPr>
          <w:p w14:paraId="5DB2AA1B">
            <w:pPr>
              <w:pStyle w:val="14"/>
              <w:rPr>
                <w:rFonts w:hAnsi="宋体"/>
                <w:color w:val="auto"/>
                <w:sz w:val="22"/>
                <w:szCs w:val="22"/>
                <w:highlight w:val="none"/>
              </w:rPr>
            </w:pPr>
          </w:p>
        </w:tc>
        <w:tc>
          <w:tcPr>
            <w:tcW w:w="1065" w:type="dxa"/>
            <w:vAlign w:val="center"/>
          </w:tcPr>
          <w:p w14:paraId="4483D3E0">
            <w:pPr>
              <w:pStyle w:val="14"/>
              <w:spacing w:line="360" w:lineRule="auto"/>
              <w:rPr>
                <w:rFonts w:hAnsi="宋体"/>
                <w:b/>
                <w:bCs/>
                <w:color w:val="auto"/>
                <w:sz w:val="22"/>
                <w:szCs w:val="22"/>
                <w:highlight w:val="none"/>
              </w:rPr>
            </w:pPr>
          </w:p>
        </w:tc>
        <w:tc>
          <w:tcPr>
            <w:tcW w:w="1755" w:type="dxa"/>
            <w:vAlign w:val="center"/>
          </w:tcPr>
          <w:p w14:paraId="6CDD436C">
            <w:pPr>
              <w:pStyle w:val="14"/>
              <w:spacing w:line="360" w:lineRule="auto"/>
              <w:rPr>
                <w:rFonts w:hAnsi="宋体"/>
                <w:b/>
                <w:bCs/>
                <w:color w:val="auto"/>
                <w:sz w:val="22"/>
                <w:szCs w:val="22"/>
                <w:highlight w:val="none"/>
              </w:rPr>
            </w:pPr>
          </w:p>
        </w:tc>
        <w:tc>
          <w:tcPr>
            <w:tcW w:w="480" w:type="dxa"/>
            <w:vAlign w:val="center"/>
          </w:tcPr>
          <w:p w14:paraId="18D16F36">
            <w:pPr>
              <w:pStyle w:val="14"/>
              <w:spacing w:line="360" w:lineRule="auto"/>
              <w:rPr>
                <w:rFonts w:hint="eastAsia" w:hAnsi="宋体" w:eastAsia="宋体"/>
                <w:b w:val="0"/>
                <w:bCs w:val="0"/>
                <w:color w:val="auto"/>
                <w:sz w:val="22"/>
                <w:szCs w:val="22"/>
                <w:highlight w:val="none"/>
                <w:lang w:val="en-US" w:eastAsia="zh-CN"/>
              </w:rPr>
            </w:pPr>
          </w:p>
        </w:tc>
        <w:tc>
          <w:tcPr>
            <w:tcW w:w="1049" w:type="dxa"/>
            <w:vAlign w:val="center"/>
          </w:tcPr>
          <w:p w14:paraId="5D907777">
            <w:pPr>
              <w:pStyle w:val="14"/>
              <w:spacing w:line="360" w:lineRule="auto"/>
              <w:rPr>
                <w:rFonts w:hint="default" w:hAnsi="宋体" w:eastAsia="宋体"/>
                <w:b w:val="0"/>
                <w:bCs w:val="0"/>
                <w:color w:val="auto"/>
                <w:sz w:val="22"/>
                <w:szCs w:val="22"/>
                <w:highlight w:val="none"/>
                <w:lang w:val="en-US" w:eastAsia="zh-CN"/>
              </w:rPr>
            </w:pPr>
          </w:p>
        </w:tc>
        <w:tc>
          <w:tcPr>
            <w:tcW w:w="1148" w:type="dxa"/>
          </w:tcPr>
          <w:p w14:paraId="48971C23">
            <w:pPr>
              <w:pStyle w:val="14"/>
              <w:spacing w:line="360" w:lineRule="auto"/>
              <w:rPr>
                <w:rFonts w:hAnsi="宋体"/>
                <w:color w:val="auto"/>
                <w:sz w:val="22"/>
                <w:szCs w:val="22"/>
                <w:highlight w:val="none"/>
              </w:rPr>
            </w:pPr>
          </w:p>
        </w:tc>
        <w:tc>
          <w:tcPr>
            <w:tcW w:w="1124" w:type="dxa"/>
          </w:tcPr>
          <w:p w14:paraId="21ABD21E">
            <w:pPr>
              <w:pStyle w:val="14"/>
              <w:spacing w:line="360" w:lineRule="auto"/>
              <w:rPr>
                <w:rFonts w:hAnsi="宋体"/>
                <w:color w:val="auto"/>
                <w:sz w:val="22"/>
                <w:szCs w:val="22"/>
                <w:highlight w:val="none"/>
              </w:rPr>
            </w:pPr>
          </w:p>
        </w:tc>
      </w:tr>
      <w:tr w14:paraId="16AD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03AD3953">
            <w:pPr>
              <w:pStyle w:val="14"/>
              <w:jc w:val="center"/>
              <w:rPr>
                <w:rFonts w:hAnsi="宋体"/>
                <w:color w:val="auto"/>
                <w:sz w:val="22"/>
                <w:szCs w:val="22"/>
                <w:highlight w:val="none"/>
              </w:rPr>
            </w:pPr>
            <w:r>
              <w:rPr>
                <w:rFonts w:hint="eastAsia" w:hAnsi="宋体"/>
                <w:color w:val="auto"/>
                <w:sz w:val="22"/>
                <w:szCs w:val="22"/>
                <w:highlight w:val="none"/>
              </w:rPr>
              <w:t>3</w:t>
            </w:r>
          </w:p>
        </w:tc>
        <w:tc>
          <w:tcPr>
            <w:tcW w:w="1927" w:type="dxa"/>
            <w:vAlign w:val="center"/>
          </w:tcPr>
          <w:p w14:paraId="689E6AF4">
            <w:pPr>
              <w:pStyle w:val="14"/>
              <w:rPr>
                <w:rFonts w:hAnsi="宋体"/>
                <w:color w:val="auto"/>
                <w:sz w:val="22"/>
                <w:szCs w:val="22"/>
                <w:highlight w:val="none"/>
              </w:rPr>
            </w:pPr>
          </w:p>
        </w:tc>
        <w:tc>
          <w:tcPr>
            <w:tcW w:w="1065" w:type="dxa"/>
            <w:vAlign w:val="center"/>
          </w:tcPr>
          <w:p w14:paraId="2DC8745F">
            <w:pPr>
              <w:pStyle w:val="14"/>
              <w:spacing w:line="360" w:lineRule="auto"/>
              <w:rPr>
                <w:rFonts w:hAnsi="宋体"/>
                <w:b/>
                <w:bCs/>
                <w:color w:val="auto"/>
                <w:sz w:val="22"/>
                <w:szCs w:val="22"/>
                <w:highlight w:val="none"/>
              </w:rPr>
            </w:pPr>
          </w:p>
        </w:tc>
        <w:tc>
          <w:tcPr>
            <w:tcW w:w="1755" w:type="dxa"/>
            <w:vAlign w:val="center"/>
          </w:tcPr>
          <w:p w14:paraId="7ED5B93C">
            <w:pPr>
              <w:pStyle w:val="14"/>
              <w:spacing w:line="360" w:lineRule="auto"/>
              <w:rPr>
                <w:rFonts w:hAnsi="宋体"/>
                <w:b/>
                <w:bCs/>
                <w:color w:val="auto"/>
                <w:sz w:val="22"/>
                <w:szCs w:val="22"/>
                <w:highlight w:val="none"/>
              </w:rPr>
            </w:pPr>
          </w:p>
        </w:tc>
        <w:tc>
          <w:tcPr>
            <w:tcW w:w="480" w:type="dxa"/>
            <w:vAlign w:val="center"/>
          </w:tcPr>
          <w:p w14:paraId="6138EA30">
            <w:pPr>
              <w:pStyle w:val="14"/>
              <w:spacing w:line="360" w:lineRule="auto"/>
              <w:rPr>
                <w:rFonts w:hAnsi="宋体"/>
                <w:b/>
                <w:bCs/>
                <w:color w:val="auto"/>
                <w:sz w:val="22"/>
                <w:szCs w:val="22"/>
                <w:highlight w:val="none"/>
              </w:rPr>
            </w:pPr>
          </w:p>
        </w:tc>
        <w:tc>
          <w:tcPr>
            <w:tcW w:w="1049" w:type="dxa"/>
            <w:vAlign w:val="center"/>
          </w:tcPr>
          <w:p w14:paraId="6E520D2E">
            <w:pPr>
              <w:pStyle w:val="14"/>
              <w:spacing w:line="360" w:lineRule="auto"/>
              <w:rPr>
                <w:rFonts w:hAnsi="宋体"/>
                <w:b/>
                <w:bCs/>
                <w:color w:val="auto"/>
                <w:sz w:val="22"/>
                <w:szCs w:val="22"/>
                <w:highlight w:val="none"/>
              </w:rPr>
            </w:pPr>
          </w:p>
        </w:tc>
        <w:tc>
          <w:tcPr>
            <w:tcW w:w="1148" w:type="dxa"/>
          </w:tcPr>
          <w:p w14:paraId="596B1408">
            <w:pPr>
              <w:pStyle w:val="14"/>
              <w:spacing w:line="360" w:lineRule="auto"/>
              <w:rPr>
                <w:rFonts w:hAnsi="宋体"/>
                <w:color w:val="auto"/>
                <w:sz w:val="22"/>
                <w:szCs w:val="22"/>
                <w:highlight w:val="none"/>
              </w:rPr>
            </w:pPr>
          </w:p>
        </w:tc>
        <w:tc>
          <w:tcPr>
            <w:tcW w:w="1124" w:type="dxa"/>
          </w:tcPr>
          <w:p w14:paraId="392A89B6">
            <w:pPr>
              <w:pStyle w:val="14"/>
              <w:spacing w:line="360" w:lineRule="auto"/>
              <w:rPr>
                <w:rFonts w:hAnsi="宋体"/>
                <w:color w:val="auto"/>
                <w:sz w:val="22"/>
                <w:szCs w:val="22"/>
                <w:highlight w:val="none"/>
              </w:rPr>
            </w:pPr>
          </w:p>
        </w:tc>
      </w:tr>
      <w:tr w14:paraId="6634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2E0F5DFD">
            <w:pPr>
              <w:pStyle w:val="14"/>
              <w:spacing w:line="360" w:lineRule="auto"/>
              <w:rPr>
                <w:rFonts w:hAnsi="宋体"/>
                <w:color w:val="auto"/>
                <w:sz w:val="22"/>
                <w:szCs w:val="22"/>
                <w:highlight w:val="none"/>
              </w:rPr>
            </w:pPr>
            <w:r>
              <w:rPr>
                <w:rFonts w:hint="eastAsia" w:hAnsi="宋体"/>
                <w:color w:val="auto"/>
                <w:sz w:val="22"/>
                <w:szCs w:val="22"/>
                <w:highlight w:val="none"/>
              </w:rPr>
              <w:t>…</w:t>
            </w:r>
          </w:p>
        </w:tc>
        <w:tc>
          <w:tcPr>
            <w:tcW w:w="1927" w:type="dxa"/>
            <w:vAlign w:val="center"/>
          </w:tcPr>
          <w:p w14:paraId="33DD4A3C">
            <w:pPr>
              <w:pStyle w:val="14"/>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1065" w:type="dxa"/>
            <w:vAlign w:val="center"/>
          </w:tcPr>
          <w:p w14:paraId="2CB2F321">
            <w:pPr>
              <w:jc w:val="center"/>
              <w:rPr>
                <w:rFonts w:ascii="宋体" w:hAnsi="宋体" w:cs="宋体"/>
                <w:color w:val="auto"/>
                <w:sz w:val="22"/>
                <w:szCs w:val="22"/>
                <w:highlight w:val="none"/>
              </w:rPr>
            </w:pPr>
          </w:p>
        </w:tc>
        <w:tc>
          <w:tcPr>
            <w:tcW w:w="1755" w:type="dxa"/>
            <w:vAlign w:val="center"/>
          </w:tcPr>
          <w:p w14:paraId="010EE9F6">
            <w:pPr>
              <w:jc w:val="center"/>
              <w:rPr>
                <w:rFonts w:ascii="宋体" w:hAnsi="宋体" w:cs="宋体"/>
                <w:color w:val="auto"/>
                <w:sz w:val="22"/>
                <w:szCs w:val="22"/>
                <w:highlight w:val="none"/>
              </w:rPr>
            </w:pPr>
          </w:p>
        </w:tc>
        <w:tc>
          <w:tcPr>
            <w:tcW w:w="480" w:type="dxa"/>
            <w:vAlign w:val="center"/>
          </w:tcPr>
          <w:p w14:paraId="7E92153B">
            <w:pPr>
              <w:pStyle w:val="14"/>
              <w:spacing w:line="360" w:lineRule="auto"/>
              <w:jc w:val="center"/>
              <w:rPr>
                <w:rFonts w:hAnsi="宋体"/>
                <w:color w:val="auto"/>
                <w:sz w:val="22"/>
                <w:szCs w:val="22"/>
                <w:highlight w:val="none"/>
              </w:rPr>
            </w:pPr>
          </w:p>
        </w:tc>
        <w:tc>
          <w:tcPr>
            <w:tcW w:w="1049" w:type="dxa"/>
            <w:vAlign w:val="center"/>
          </w:tcPr>
          <w:p w14:paraId="2BB19B29">
            <w:pPr>
              <w:pStyle w:val="14"/>
              <w:spacing w:line="360" w:lineRule="auto"/>
              <w:jc w:val="center"/>
              <w:rPr>
                <w:rFonts w:hAnsi="宋体"/>
                <w:color w:val="auto"/>
                <w:sz w:val="22"/>
                <w:szCs w:val="22"/>
                <w:highlight w:val="none"/>
              </w:rPr>
            </w:pPr>
          </w:p>
        </w:tc>
        <w:tc>
          <w:tcPr>
            <w:tcW w:w="1148" w:type="dxa"/>
          </w:tcPr>
          <w:p w14:paraId="2DF91C05">
            <w:pPr>
              <w:pStyle w:val="14"/>
              <w:spacing w:line="360" w:lineRule="auto"/>
              <w:rPr>
                <w:rFonts w:hAnsi="宋体"/>
                <w:color w:val="auto"/>
                <w:sz w:val="22"/>
                <w:szCs w:val="22"/>
                <w:highlight w:val="none"/>
              </w:rPr>
            </w:pPr>
          </w:p>
        </w:tc>
        <w:tc>
          <w:tcPr>
            <w:tcW w:w="1124" w:type="dxa"/>
          </w:tcPr>
          <w:p w14:paraId="281DBBF1">
            <w:pPr>
              <w:pStyle w:val="14"/>
              <w:spacing w:line="360" w:lineRule="auto"/>
              <w:rPr>
                <w:rFonts w:hAnsi="宋体"/>
                <w:color w:val="auto"/>
                <w:sz w:val="22"/>
                <w:szCs w:val="22"/>
                <w:highlight w:val="none"/>
              </w:rPr>
            </w:pPr>
          </w:p>
        </w:tc>
      </w:tr>
      <w:tr w14:paraId="5999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416" w:type="dxa"/>
            <w:gridSpan w:val="2"/>
            <w:vAlign w:val="center"/>
          </w:tcPr>
          <w:p w14:paraId="7F266CFE">
            <w:pPr>
              <w:pStyle w:val="14"/>
              <w:spacing w:line="360" w:lineRule="auto"/>
              <w:jc w:val="center"/>
              <w:rPr>
                <w:rFonts w:hAnsi="宋体"/>
                <w:color w:val="auto"/>
                <w:sz w:val="22"/>
                <w:szCs w:val="22"/>
                <w:highlight w:val="none"/>
              </w:rPr>
            </w:pPr>
            <w:r>
              <w:rPr>
                <w:rFonts w:hint="eastAsia" w:hAnsi="宋体"/>
                <w:color w:val="auto"/>
                <w:sz w:val="22"/>
                <w:szCs w:val="22"/>
                <w:highlight w:val="none"/>
              </w:rPr>
              <w:t>投标总价</w:t>
            </w:r>
          </w:p>
        </w:tc>
        <w:tc>
          <w:tcPr>
            <w:tcW w:w="6621" w:type="dxa"/>
            <w:gridSpan w:val="6"/>
            <w:vAlign w:val="center"/>
          </w:tcPr>
          <w:p w14:paraId="57D87376">
            <w:pPr>
              <w:pStyle w:val="14"/>
              <w:spacing w:line="360" w:lineRule="auto"/>
              <w:jc w:val="center"/>
              <w:rPr>
                <w:rFonts w:hAnsi="宋体"/>
                <w:color w:val="auto"/>
                <w:sz w:val="22"/>
                <w:szCs w:val="22"/>
                <w:highlight w:val="none"/>
              </w:rPr>
            </w:pPr>
            <w:r>
              <w:rPr>
                <w:rFonts w:hint="eastAsia" w:hAnsi="宋体"/>
                <w:color w:val="auto"/>
                <w:sz w:val="22"/>
                <w:szCs w:val="22"/>
                <w:highlight w:val="none"/>
              </w:rPr>
              <w:t>大写：　　　　                元（小写：　　　　　）</w:t>
            </w:r>
          </w:p>
        </w:tc>
      </w:tr>
      <w:tr w14:paraId="5172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779B6452">
            <w:pPr>
              <w:pStyle w:val="14"/>
              <w:spacing w:line="360" w:lineRule="auto"/>
              <w:ind w:firstLine="480" w:firstLineChars="200"/>
              <w:jc w:val="left"/>
              <w:rPr>
                <w:rFonts w:hAnsi="宋体"/>
                <w:color w:val="auto"/>
                <w:sz w:val="22"/>
                <w:szCs w:val="22"/>
                <w:highlight w:val="none"/>
              </w:rPr>
            </w:pPr>
            <w:r>
              <w:rPr>
                <w:rFonts w:hint="eastAsia" w:hAnsi="宋体"/>
                <w:color w:val="000000"/>
                <w:sz w:val="24"/>
                <w:szCs w:val="24"/>
              </w:rPr>
              <w:t>投标报价应包含项目所需全部服务，不得缺漏，是履行合同的最终价格（服务费、交通费、成果编辑、数据汇总、人工费、税金、招标代理费以及成交供应商认为有必要计入的其它费用等一切费用）。投标报价为供应商所能承受的最低、最终报价，供应商不得再要求追加任何费用。</w:t>
            </w:r>
            <w:r>
              <w:rPr>
                <w:rFonts w:hint="eastAsia" w:hAnsi="宋体"/>
                <w:b/>
                <w:bCs/>
                <w:color w:val="000000"/>
                <w:sz w:val="24"/>
                <w:szCs w:val="24"/>
              </w:rPr>
              <w:t>凡供应商在报价中未列明但又为本次采购所必备的项目或遗漏项目，采购方将一律视为已包括在合同价中，在合同执行中将不予考虑。</w:t>
            </w:r>
          </w:p>
        </w:tc>
      </w:tr>
    </w:tbl>
    <w:p w14:paraId="20322099">
      <w:pPr>
        <w:adjustRightInd w:val="0"/>
        <w:snapToGrid w:val="0"/>
        <w:spacing w:line="360" w:lineRule="auto"/>
        <w:jc w:val="left"/>
        <w:rPr>
          <w:rFonts w:hint="eastAsia" w:ascii="宋体" w:hAnsi="宋体"/>
          <w:snapToGrid/>
          <w:color w:val="auto"/>
          <w:kern w:val="2"/>
          <w:sz w:val="24"/>
          <w:szCs w:val="24"/>
          <w:highlight w:val="none"/>
        </w:rPr>
      </w:pPr>
      <w:r>
        <w:rPr>
          <w:rFonts w:hint="eastAsia" w:hAnsi="宋体"/>
          <w:color w:val="auto"/>
          <w:sz w:val="24"/>
          <w:szCs w:val="24"/>
          <w:highlight w:val="none"/>
        </w:rPr>
        <w:t>注：</w:t>
      </w:r>
      <w:r>
        <w:rPr>
          <w:rFonts w:hint="eastAsia" w:ascii="宋体" w:hAnsi="宋体" w:cs="宋体"/>
          <w:snapToGrid/>
          <w:color w:val="auto"/>
          <w:kern w:val="2"/>
          <w:sz w:val="24"/>
          <w:szCs w:val="24"/>
          <w:highlight w:val="none"/>
        </w:rPr>
        <w:t xml:space="preserve">注： </w:t>
      </w:r>
      <w:r>
        <w:rPr>
          <w:rFonts w:hint="eastAsia" w:ascii="宋体" w:hAnsi="宋体"/>
          <w:snapToGrid/>
          <w:color w:val="auto"/>
          <w:kern w:val="2"/>
          <w:sz w:val="24"/>
          <w:szCs w:val="24"/>
          <w:highlight w:val="none"/>
        </w:rPr>
        <w:t xml:space="preserve">1.表中所列服务为对应本项目需求的全部服务内容。如有漏项或缺项，投标供应商承担全部责任。 </w:t>
      </w:r>
    </w:p>
    <w:p w14:paraId="0F0F3F27">
      <w:pPr>
        <w:spacing w:line="460" w:lineRule="exact"/>
        <w:ind w:right="-315" w:rightChars="-150"/>
        <w:rPr>
          <w:rFonts w:hint="eastAsia" w:ascii="宋体" w:hAnsi="宋体"/>
          <w:snapToGrid/>
          <w:color w:val="auto"/>
          <w:kern w:val="2"/>
          <w:sz w:val="24"/>
          <w:szCs w:val="24"/>
          <w:highlight w:val="none"/>
        </w:rPr>
      </w:pPr>
      <w:r>
        <w:rPr>
          <w:rFonts w:hint="eastAsia" w:ascii="宋体" w:hAnsi="宋体"/>
          <w:snapToGrid/>
          <w:color w:val="auto"/>
          <w:kern w:val="2"/>
          <w:sz w:val="24"/>
          <w:szCs w:val="24"/>
          <w:highlight w:val="none"/>
        </w:rPr>
        <w:t xml:space="preserve">2.上述单价为综合单价，应包含一切税费。 </w:t>
      </w:r>
    </w:p>
    <w:p w14:paraId="0B9A3D32">
      <w:pPr>
        <w:spacing w:line="460" w:lineRule="exact"/>
        <w:ind w:right="-315" w:rightChars="-150"/>
        <w:rPr>
          <w:rFonts w:hint="eastAsia" w:ascii="宋体" w:hAnsi="宋体"/>
          <w:snapToGrid/>
          <w:color w:val="auto"/>
          <w:kern w:val="2"/>
          <w:sz w:val="24"/>
          <w:szCs w:val="24"/>
          <w:highlight w:val="none"/>
        </w:rPr>
      </w:pPr>
      <w:r>
        <w:rPr>
          <w:rFonts w:hint="eastAsia" w:ascii="宋体" w:hAnsi="宋体"/>
          <w:snapToGrid/>
          <w:color w:val="auto"/>
          <w:kern w:val="2"/>
          <w:sz w:val="24"/>
          <w:szCs w:val="24"/>
          <w:highlight w:val="none"/>
        </w:rPr>
        <w:t xml:space="preserve">3.供应商根据项目实际填写，表中单项，项目招标要求不涉及的可留空或自行调整。 </w:t>
      </w:r>
    </w:p>
    <w:p w14:paraId="494A7C5F">
      <w:pPr>
        <w:pStyle w:val="10"/>
        <w:ind w:left="0" w:leftChars="0" w:firstLine="0" w:firstLineChars="0"/>
      </w:pPr>
    </w:p>
    <w:p w14:paraId="563690F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4233B54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BCE20F1">
      <w:pPr>
        <w:spacing w:line="360" w:lineRule="auto"/>
        <w:ind w:left="3780" w:leftChars="1800"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供应商全称（公章）：</w:t>
      </w:r>
      <w:bookmarkEnd w:id="13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TimesNewRomanPSMT">
    <w:altName w:val="Times New Roman"/>
    <w:panose1 w:val="02020503050405090304"/>
    <w:charset w:val="00"/>
    <w:family w:val="roman"/>
    <w:pitch w:val="default"/>
    <w:sig w:usb0="00000000" w:usb1="00000000" w:usb2="00000001" w:usb3="00000000" w:csb0="400001BF" w:csb1="DFF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4F3DA">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4C2C7">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9AEE84">
                          <w:pPr>
                            <w:pStyle w:val="19"/>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7A9AEE84">
                    <w:pPr>
                      <w:pStyle w:val="1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D5049">
    <w:pPr>
      <w:pStyle w:val="19"/>
      <w:rPr>
        <w:rStyle w:val="33"/>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44989074">
                          <w:pPr>
                            <w:pStyle w:val="19"/>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44989074">
                    <w:pPr>
                      <w:pStyle w:val="19"/>
                    </w:pPr>
                    <w:r>
                      <w:fldChar w:fldCharType="begin"/>
                    </w:r>
                    <w:r>
                      <w:instrText xml:space="preserve"> PAGE  \* MERGEFORMAT </w:instrText>
                    </w:r>
                    <w:r>
                      <w:fldChar w:fldCharType="separate"/>
                    </w:r>
                    <w:r>
                      <w:t>59</w:t>
                    </w:r>
                    <w:r>
                      <w:fldChar w:fldCharType="end"/>
                    </w:r>
                  </w:p>
                </w:txbxContent>
              </v:textbox>
            </v:shape>
          </w:pict>
        </mc:Fallback>
      </mc:AlternateContent>
    </w:r>
  </w:p>
  <w:p w14:paraId="36238AF2">
    <w:pPr>
      <w:pStyle w:val="19"/>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9332E">
    <w:pPr>
      <w:pStyle w:val="2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48085"/>
    <w:multiLevelType w:val="singleLevel"/>
    <w:tmpl w:val="86248085"/>
    <w:lvl w:ilvl="0" w:tentative="0">
      <w:start w:val="1"/>
      <w:numFmt w:val="decimalEnclosedCircleChinese"/>
      <w:suff w:val="nothing"/>
      <w:lvlText w:val="%1　"/>
      <w:lvlJc w:val="left"/>
      <w:pPr>
        <w:ind w:left="150" w:firstLine="1134"/>
      </w:pPr>
      <w:rPr>
        <w:rFonts w:hint="eastAsia"/>
      </w:rPr>
    </w:lvl>
  </w:abstractNum>
  <w:abstractNum w:abstractNumId="1">
    <w:nsid w:val="8F3F5F02"/>
    <w:multiLevelType w:val="singleLevel"/>
    <w:tmpl w:val="8F3F5F02"/>
    <w:lvl w:ilvl="0" w:tentative="0">
      <w:start w:val="2"/>
      <w:numFmt w:val="chineseCounting"/>
      <w:suff w:val="space"/>
      <w:lvlText w:val="第%1章"/>
      <w:lvlJc w:val="left"/>
      <w:rPr>
        <w:rFonts w:hint="eastAsia"/>
      </w:rPr>
    </w:lvl>
  </w:abstractNum>
  <w:abstractNum w:abstractNumId="2">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3">
    <w:nsid w:val="9E7D436F"/>
    <w:multiLevelType w:val="singleLevel"/>
    <w:tmpl w:val="9E7D436F"/>
    <w:lvl w:ilvl="0" w:tentative="0">
      <w:start w:val="1"/>
      <w:numFmt w:val="chineseCounting"/>
      <w:suff w:val="nothing"/>
      <w:lvlText w:val="%1、"/>
      <w:lvlJc w:val="left"/>
      <w:rPr>
        <w:rFonts w:hint="eastAsia"/>
      </w:rPr>
    </w:lvl>
  </w:abstractNum>
  <w:abstractNum w:abstractNumId="4">
    <w:nsid w:val="C69CBD57"/>
    <w:multiLevelType w:val="singleLevel"/>
    <w:tmpl w:val="C69CBD57"/>
    <w:lvl w:ilvl="0" w:tentative="0">
      <w:start w:val="1"/>
      <w:numFmt w:val="decimalEnclosedCircleChinese"/>
      <w:suff w:val="nothing"/>
      <w:lvlText w:val="%1　"/>
      <w:lvlJc w:val="left"/>
      <w:pPr>
        <w:ind w:left="150" w:firstLine="1134"/>
      </w:pPr>
      <w:rPr>
        <w:rFonts w:hint="eastAsia"/>
      </w:rPr>
    </w:lvl>
  </w:abstractNum>
  <w:abstractNum w:abstractNumId="5">
    <w:nsid w:val="D0A1F5ED"/>
    <w:multiLevelType w:val="singleLevel"/>
    <w:tmpl w:val="D0A1F5ED"/>
    <w:lvl w:ilvl="0" w:tentative="0">
      <w:start w:val="1"/>
      <w:numFmt w:val="decimalEnclosedCircleChinese"/>
      <w:suff w:val="nothing"/>
      <w:lvlText w:val="%1　"/>
      <w:lvlJc w:val="left"/>
      <w:pPr>
        <w:ind w:left="150" w:firstLine="1134"/>
      </w:pPr>
      <w:rPr>
        <w:rFonts w:hint="eastAsia"/>
      </w:rPr>
    </w:lvl>
  </w:abstractNum>
  <w:abstractNum w:abstractNumId="6">
    <w:nsid w:val="D6E7DEE4"/>
    <w:multiLevelType w:val="singleLevel"/>
    <w:tmpl w:val="D6E7DEE4"/>
    <w:lvl w:ilvl="0" w:tentative="0">
      <w:start w:val="1"/>
      <w:numFmt w:val="decimalEnclosedCircleChinese"/>
      <w:suff w:val="nothing"/>
      <w:lvlText w:val="%1　"/>
      <w:lvlJc w:val="left"/>
      <w:pPr>
        <w:ind w:left="150" w:firstLine="1134"/>
      </w:pPr>
      <w:rPr>
        <w:rFonts w:hint="eastAsia"/>
      </w:rPr>
    </w:lvl>
  </w:abstractNum>
  <w:abstractNum w:abstractNumId="7">
    <w:nsid w:val="F4396F3A"/>
    <w:multiLevelType w:val="singleLevel"/>
    <w:tmpl w:val="F4396F3A"/>
    <w:lvl w:ilvl="0" w:tentative="0">
      <w:start w:val="2"/>
      <w:numFmt w:val="chineseCounting"/>
      <w:suff w:val="nothing"/>
      <w:lvlText w:val="%1、"/>
      <w:lvlJc w:val="left"/>
      <w:rPr>
        <w:rFonts w:hint="eastAsia"/>
      </w:rPr>
    </w:lvl>
  </w:abstractNum>
  <w:abstractNum w:abstractNumId="8">
    <w:nsid w:val="0F94D94E"/>
    <w:multiLevelType w:val="singleLevel"/>
    <w:tmpl w:val="0F94D94E"/>
    <w:lvl w:ilvl="0" w:tentative="0">
      <w:start w:val="1"/>
      <w:numFmt w:val="decimal"/>
      <w:suff w:val="nothing"/>
      <w:lvlText w:val="%1、"/>
      <w:lvlJc w:val="left"/>
    </w:lvl>
  </w:abstractNum>
  <w:abstractNum w:abstractNumId="9">
    <w:nsid w:val="12F353C5"/>
    <w:multiLevelType w:val="singleLevel"/>
    <w:tmpl w:val="12F353C5"/>
    <w:lvl w:ilvl="0" w:tentative="0">
      <w:start w:val="1"/>
      <w:numFmt w:val="chineseCounting"/>
      <w:suff w:val="nothing"/>
      <w:lvlText w:val="%1、"/>
      <w:lvlJc w:val="left"/>
      <w:rPr>
        <w:rFonts w:hint="eastAsia"/>
      </w:rPr>
    </w:lvl>
  </w:abstractNum>
  <w:abstractNum w:abstractNumId="10">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1">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2">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3">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4">
    <w:nsid w:val="31213A5A"/>
    <w:multiLevelType w:val="singleLevel"/>
    <w:tmpl w:val="31213A5A"/>
    <w:lvl w:ilvl="0" w:tentative="0">
      <w:start w:val="4"/>
      <w:numFmt w:val="chineseCounting"/>
      <w:suff w:val="nothing"/>
      <w:lvlText w:val="%1、"/>
      <w:lvlJc w:val="left"/>
      <w:rPr>
        <w:rFonts w:hint="eastAsia"/>
      </w:rPr>
    </w:lvl>
  </w:abstractNum>
  <w:abstractNum w:abstractNumId="15">
    <w:nsid w:val="4245BE21"/>
    <w:multiLevelType w:val="singleLevel"/>
    <w:tmpl w:val="4245BE21"/>
    <w:lvl w:ilvl="0" w:tentative="0">
      <w:start w:val="1"/>
      <w:numFmt w:val="decimalEnclosedCircleChinese"/>
      <w:suff w:val="nothing"/>
      <w:lvlText w:val="%1　"/>
      <w:lvlJc w:val="left"/>
      <w:pPr>
        <w:ind w:firstLine="1134"/>
      </w:pPr>
      <w:rPr>
        <w:rFonts w:hint="eastAsia"/>
      </w:rPr>
    </w:lvl>
  </w:abstractNum>
  <w:abstractNum w:abstractNumId="16">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7">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8">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9">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20">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16"/>
  </w:num>
  <w:num w:numId="2">
    <w:abstractNumId w:val="18"/>
  </w:num>
  <w:num w:numId="3">
    <w:abstractNumId w:val="11"/>
  </w:num>
  <w:num w:numId="4">
    <w:abstractNumId w:val="20"/>
  </w:num>
  <w:num w:numId="5">
    <w:abstractNumId w:val="12"/>
  </w:num>
  <w:num w:numId="6">
    <w:abstractNumId w:val="19"/>
  </w:num>
  <w:num w:numId="7">
    <w:abstractNumId w:val="9"/>
  </w:num>
  <w:num w:numId="8">
    <w:abstractNumId w:val="10"/>
  </w:num>
  <w:num w:numId="9">
    <w:abstractNumId w:val="17"/>
  </w:num>
  <w:num w:numId="10">
    <w:abstractNumId w:val="0"/>
  </w:num>
  <w:num w:numId="11">
    <w:abstractNumId w:val="6"/>
  </w:num>
  <w:num w:numId="12">
    <w:abstractNumId w:val="15"/>
  </w:num>
  <w:num w:numId="13">
    <w:abstractNumId w:val="2"/>
  </w:num>
  <w:num w:numId="14">
    <w:abstractNumId w:val="13"/>
  </w:num>
  <w:num w:numId="15">
    <w:abstractNumId w:val="1"/>
  </w:num>
  <w:num w:numId="16">
    <w:abstractNumId w:val="3"/>
  </w:num>
  <w:num w:numId="17">
    <w:abstractNumId w:val="14"/>
  </w:num>
  <w:num w:numId="18">
    <w:abstractNumId w:val="7"/>
  </w:num>
  <w:num w:numId="19">
    <w:abstractNumId w:val="8"/>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NDIwYTI4Yjk5ZjBkNDI2N2FiZWM1YzhhY2VkNDIifQ=="/>
  </w:docVars>
  <w:rsids>
    <w:rsidRoot w:val="5AA412FE"/>
    <w:rsid w:val="00003EF7"/>
    <w:rsid w:val="000122B4"/>
    <w:rsid w:val="00027C5B"/>
    <w:rsid w:val="00043EEC"/>
    <w:rsid w:val="00046957"/>
    <w:rsid w:val="0005045A"/>
    <w:rsid w:val="00084F39"/>
    <w:rsid w:val="00085ECB"/>
    <w:rsid w:val="000B3BC7"/>
    <w:rsid w:val="000D30BB"/>
    <w:rsid w:val="000F06EE"/>
    <w:rsid w:val="001039CA"/>
    <w:rsid w:val="0012684B"/>
    <w:rsid w:val="001339E2"/>
    <w:rsid w:val="00161E6F"/>
    <w:rsid w:val="00181149"/>
    <w:rsid w:val="00221416"/>
    <w:rsid w:val="00223E24"/>
    <w:rsid w:val="00234866"/>
    <w:rsid w:val="00234D57"/>
    <w:rsid w:val="00255FD2"/>
    <w:rsid w:val="00264C08"/>
    <w:rsid w:val="00273F1A"/>
    <w:rsid w:val="0027526D"/>
    <w:rsid w:val="00284949"/>
    <w:rsid w:val="00297FF4"/>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6795B"/>
    <w:rsid w:val="006A22A1"/>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C2439"/>
    <w:rsid w:val="008E3963"/>
    <w:rsid w:val="00913BA9"/>
    <w:rsid w:val="00913DF5"/>
    <w:rsid w:val="00922646"/>
    <w:rsid w:val="009241BF"/>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C144DF"/>
    <w:rsid w:val="00C15659"/>
    <w:rsid w:val="00C32FC8"/>
    <w:rsid w:val="00C4588E"/>
    <w:rsid w:val="00C70180"/>
    <w:rsid w:val="00C755F3"/>
    <w:rsid w:val="00C93598"/>
    <w:rsid w:val="00C94384"/>
    <w:rsid w:val="00C97640"/>
    <w:rsid w:val="00CA29A3"/>
    <w:rsid w:val="00CA75C3"/>
    <w:rsid w:val="00CB75F1"/>
    <w:rsid w:val="00CC3A61"/>
    <w:rsid w:val="00CD31BD"/>
    <w:rsid w:val="00CE2482"/>
    <w:rsid w:val="00CF226E"/>
    <w:rsid w:val="00CF3752"/>
    <w:rsid w:val="00D208F6"/>
    <w:rsid w:val="00D33839"/>
    <w:rsid w:val="00D40761"/>
    <w:rsid w:val="00D46536"/>
    <w:rsid w:val="00D5715C"/>
    <w:rsid w:val="00D64C89"/>
    <w:rsid w:val="00D73BB8"/>
    <w:rsid w:val="00D84F46"/>
    <w:rsid w:val="00DB44DD"/>
    <w:rsid w:val="00DB66E9"/>
    <w:rsid w:val="00DD3B00"/>
    <w:rsid w:val="00DE1633"/>
    <w:rsid w:val="00DE7CF8"/>
    <w:rsid w:val="00E109DA"/>
    <w:rsid w:val="00E30080"/>
    <w:rsid w:val="00E53562"/>
    <w:rsid w:val="00E666D2"/>
    <w:rsid w:val="00F47432"/>
    <w:rsid w:val="00F673E5"/>
    <w:rsid w:val="00FD3C5B"/>
    <w:rsid w:val="00FD77B5"/>
    <w:rsid w:val="01044A81"/>
    <w:rsid w:val="01233A9E"/>
    <w:rsid w:val="012F2443"/>
    <w:rsid w:val="0147778C"/>
    <w:rsid w:val="0149271B"/>
    <w:rsid w:val="014D28C9"/>
    <w:rsid w:val="01790BD4"/>
    <w:rsid w:val="01A77E95"/>
    <w:rsid w:val="01C20BC1"/>
    <w:rsid w:val="01C31672"/>
    <w:rsid w:val="020236B3"/>
    <w:rsid w:val="021A27AB"/>
    <w:rsid w:val="02710CE9"/>
    <w:rsid w:val="02F834C3"/>
    <w:rsid w:val="02FB0AA9"/>
    <w:rsid w:val="02FB1EF4"/>
    <w:rsid w:val="036E7D95"/>
    <w:rsid w:val="03A870EA"/>
    <w:rsid w:val="03E70B83"/>
    <w:rsid w:val="04233155"/>
    <w:rsid w:val="044134E4"/>
    <w:rsid w:val="050751F7"/>
    <w:rsid w:val="052D21DD"/>
    <w:rsid w:val="05726DA2"/>
    <w:rsid w:val="06082700"/>
    <w:rsid w:val="062417C2"/>
    <w:rsid w:val="067D1D1C"/>
    <w:rsid w:val="06E96BF0"/>
    <w:rsid w:val="06F537E7"/>
    <w:rsid w:val="07010B40"/>
    <w:rsid w:val="07401E45"/>
    <w:rsid w:val="074C3C28"/>
    <w:rsid w:val="07A64DFD"/>
    <w:rsid w:val="090B4CBB"/>
    <w:rsid w:val="09502F56"/>
    <w:rsid w:val="09A27D61"/>
    <w:rsid w:val="0ABC596C"/>
    <w:rsid w:val="0ABF65E6"/>
    <w:rsid w:val="0B065E39"/>
    <w:rsid w:val="0B5605CC"/>
    <w:rsid w:val="0BE65DF4"/>
    <w:rsid w:val="0C387BBC"/>
    <w:rsid w:val="0C7A6A78"/>
    <w:rsid w:val="0D094597"/>
    <w:rsid w:val="0DB7679B"/>
    <w:rsid w:val="0E090AFD"/>
    <w:rsid w:val="0E22642F"/>
    <w:rsid w:val="0E2D1637"/>
    <w:rsid w:val="0E975183"/>
    <w:rsid w:val="0EA20DB9"/>
    <w:rsid w:val="0EA5368B"/>
    <w:rsid w:val="0EBC0BF0"/>
    <w:rsid w:val="0EE77887"/>
    <w:rsid w:val="0EEA1524"/>
    <w:rsid w:val="0EFA6547"/>
    <w:rsid w:val="0F4946D0"/>
    <w:rsid w:val="0F9E5390"/>
    <w:rsid w:val="104145F9"/>
    <w:rsid w:val="10615A49"/>
    <w:rsid w:val="10B64C1C"/>
    <w:rsid w:val="10BA6CED"/>
    <w:rsid w:val="10C9129C"/>
    <w:rsid w:val="10E16B8A"/>
    <w:rsid w:val="112014D4"/>
    <w:rsid w:val="113C27FB"/>
    <w:rsid w:val="115B12AF"/>
    <w:rsid w:val="11856E52"/>
    <w:rsid w:val="11AF1066"/>
    <w:rsid w:val="11CF6577"/>
    <w:rsid w:val="11D6202A"/>
    <w:rsid w:val="11FC515E"/>
    <w:rsid w:val="120F1F86"/>
    <w:rsid w:val="12313422"/>
    <w:rsid w:val="12541D09"/>
    <w:rsid w:val="12792BFB"/>
    <w:rsid w:val="129F37E3"/>
    <w:rsid w:val="12E30368"/>
    <w:rsid w:val="12EA61CA"/>
    <w:rsid w:val="12FC45DD"/>
    <w:rsid w:val="13495BED"/>
    <w:rsid w:val="13996BB3"/>
    <w:rsid w:val="141D25CF"/>
    <w:rsid w:val="14A405FA"/>
    <w:rsid w:val="1514752E"/>
    <w:rsid w:val="15237771"/>
    <w:rsid w:val="15435254"/>
    <w:rsid w:val="15576C06"/>
    <w:rsid w:val="155D552F"/>
    <w:rsid w:val="15703332"/>
    <w:rsid w:val="157D7686"/>
    <w:rsid w:val="15830AE2"/>
    <w:rsid w:val="15A07E8D"/>
    <w:rsid w:val="15BC6282"/>
    <w:rsid w:val="15C54CCC"/>
    <w:rsid w:val="15D46CBD"/>
    <w:rsid w:val="1600646C"/>
    <w:rsid w:val="1648774C"/>
    <w:rsid w:val="16781C9B"/>
    <w:rsid w:val="1697322A"/>
    <w:rsid w:val="16B952CB"/>
    <w:rsid w:val="16EB43B2"/>
    <w:rsid w:val="174437E2"/>
    <w:rsid w:val="17463BEB"/>
    <w:rsid w:val="177D42D7"/>
    <w:rsid w:val="17D3547E"/>
    <w:rsid w:val="17E05DED"/>
    <w:rsid w:val="17F0221E"/>
    <w:rsid w:val="17F35B20"/>
    <w:rsid w:val="184E2BF6"/>
    <w:rsid w:val="187256D3"/>
    <w:rsid w:val="18972950"/>
    <w:rsid w:val="19061AA7"/>
    <w:rsid w:val="190D09AE"/>
    <w:rsid w:val="194A559B"/>
    <w:rsid w:val="196F11D7"/>
    <w:rsid w:val="19940C3D"/>
    <w:rsid w:val="19B03AD9"/>
    <w:rsid w:val="1A00750A"/>
    <w:rsid w:val="1A156465"/>
    <w:rsid w:val="1A686CC5"/>
    <w:rsid w:val="1AFB0A1E"/>
    <w:rsid w:val="1B155261"/>
    <w:rsid w:val="1B4A7538"/>
    <w:rsid w:val="1B4F1500"/>
    <w:rsid w:val="1B6755DD"/>
    <w:rsid w:val="1BC45F57"/>
    <w:rsid w:val="1BDB27A5"/>
    <w:rsid w:val="1BDF645C"/>
    <w:rsid w:val="1C177D71"/>
    <w:rsid w:val="1C604743"/>
    <w:rsid w:val="1CC874BD"/>
    <w:rsid w:val="1CFF0A9F"/>
    <w:rsid w:val="1CFF0AC4"/>
    <w:rsid w:val="1D2A2A3C"/>
    <w:rsid w:val="1D375D0D"/>
    <w:rsid w:val="1DC74A1D"/>
    <w:rsid w:val="1E157011"/>
    <w:rsid w:val="1E8C459E"/>
    <w:rsid w:val="1E934307"/>
    <w:rsid w:val="1EAC07D7"/>
    <w:rsid w:val="1EDA1EFB"/>
    <w:rsid w:val="1EDC25ED"/>
    <w:rsid w:val="1F2B0346"/>
    <w:rsid w:val="1F354586"/>
    <w:rsid w:val="1F431821"/>
    <w:rsid w:val="1F890C4B"/>
    <w:rsid w:val="1FD10B66"/>
    <w:rsid w:val="1FDA3069"/>
    <w:rsid w:val="1FE252E8"/>
    <w:rsid w:val="20005C4C"/>
    <w:rsid w:val="203217E6"/>
    <w:rsid w:val="20325FB5"/>
    <w:rsid w:val="205B73C3"/>
    <w:rsid w:val="20626028"/>
    <w:rsid w:val="20B44398"/>
    <w:rsid w:val="20BE47F2"/>
    <w:rsid w:val="20D34487"/>
    <w:rsid w:val="20EB4820"/>
    <w:rsid w:val="20EE157B"/>
    <w:rsid w:val="213F1A3E"/>
    <w:rsid w:val="215A3622"/>
    <w:rsid w:val="219416B8"/>
    <w:rsid w:val="21BB6C09"/>
    <w:rsid w:val="21FF3D3B"/>
    <w:rsid w:val="220A1EFE"/>
    <w:rsid w:val="2231339B"/>
    <w:rsid w:val="22514430"/>
    <w:rsid w:val="226704C8"/>
    <w:rsid w:val="22B61C24"/>
    <w:rsid w:val="22D7095E"/>
    <w:rsid w:val="2313099B"/>
    <w:rsid w:val="234B0952"/>
    <w:rsid w:val="23720885"/>
    <w:rsid w:val="239F10A8"/>
    <w:rsid w:val="23B23D14"/>
    <w:rsid w:val="24054003"/>
    <w:rsid w:val="241D0788"/>
    <w:rsid w:val="24516432"/>
    <w:rsid w:val="24534FAF"/>
    <w:rsid w:val="248E2E3A"/>
    <w:rsid w:val="25DF4195"/>
    <w:rsid w:val="26451EEA"/>
    <w:rsid w:val="26704F2E"/>
    <w:rsid w:val="269A56FB"/>
    <w:rsid w:val="276C4FA7"/>
    <w:rsid w:val="27DC3878"/>
    <w:rsid w:val="28AF339E"/>
    <w:rsid w:val="28C62F56"/>
    <w:rsid w:val="28D55F18"/>
    <w:rsid w:val="28DA203A"/>
    <w:rsid w:val="28E84A2F"/>
    <w:rsid w:val="28F0407A"/>
    <w:rsid w:val="29152822"/>
    <w:rsid w:val="29193189"/>
    <w:rsid w:val="291A7D32"/>
    <w:rsid w:val="29320499"/>
    <w:rsid w:val="29655706"/>
    <w:rsid w:val="29837904"/>
    <w:rsid w:val="29AC284E"/>
    <w:rsid w:val="2A2953D2"/>
    <w:rsid w:val="2AB06233"/>
    <w:rsid w:val="2AD11B33"/>
    <w:rsid w:val="2B363774"/>
    <w:rsid w:val="2B42499D"/>
    <w:rsid w:val="2B6C01DB"/>
    <w:rsid w:val="2B794137"/>
    <w:rsid w:val="2B8F74B6"/>
    <w:rsid w:val="2BF7A349"/>
    <w:rsid w:val="2C0E641B"/>
    <w:rsid w:val="2C263A29"/>
    <w:rsid w:val="2CAE51CD"/>
    <w:rsid w:val="2CFB251F"/>
    <w:rsid w:val="2D254B40"/>
    <w:rsid w:val="2D346E5C"/>
    <w:rsid w:val="2D693995"/>
    <w:rsid w:val="2E1B3283"/>
    <w:rsid w:val="2E664953"/>
    <w:rsid w:val="2E6C48E9"/>
    <w:rsid w:val="2EB5699C"/>
    <w:rsid w:val="2EDC3B4E"/>
    <w:rsid w:val="2F6E3D48"/>
    <w:rsid w:val="2FC040E2"/>
    <w:rsid w:val="2FCA4F61"/>
    <w:rsid w:val="2FE37DD1"/>
    <w:rsid w:val="300C0145"/>
    <w:rsid w:val="30474804"/>
    <w:rsid w:val="30955632"/>
    <w:rsid w:val="30FB7A19"/>
    <w:rsid w:val="310261A7"/>
    <w:rsid w:val="3153482E"/>
    <w:rsid w:val="31774C75"/>
    <w:rsid w:val="318D0B53"/>
    <w:rsid w:val="31E131E4"/>
    <w:rsid w:val="322070BA"/>
    <w:rsid w:val="32A55811"/>
    <w:rsid w:val="32A75185"/>
    <w:rsid w:val="33340B4D"/>
    <w:rsid w:val="335F41BA"/>
    <w:rsid w:val="339E023F"/>
    <w:rsid w:val="33BA34B0"/>
    <w:rsid w:val="34367DA9"/>
    <w:rsid w:val="3477488D"/>
    <w:rsid w:val="349413EA"/>
    <w:rsid w:val="34C54BE3"/>
    <w:rsid w:val="34C574CF"/>
    <w:rsid w:val="34D77C81"/>
    <w:rsid w:val="350D6182"/>
    <w:rsid w:val="35BC1826"/>
    <w:rsid w:val="367C4935"/>
    <w:rsid w:val="369C7BCC"/>
    <w:rsid w:val="36CE34E8"/>
    <w:rsid w:val="36CE6123"/>
    <w:rsid w:val="37020770"/>
    <w:rsid w:val="37180CA8"/>
    <w:rsid w:val="37405F8C"/>
    <w:rsid w:val="37B838EA"/>
    <w:rsid w:val="37BA3B0D"/>
    <w:rsid w:val="37C63D34"/>
    <w:rsid w:val="38641F42"/>
    <w:rsid w:val="38C9005C"/>
    <w:rsid w:val="3904514B"/>
    <w:rsid w:val="39352153"/>
    <w:rsid w:val="39606472"/>
    <w:rsid w:val="397D1296"/>
    <w:rsid w:val="397D12D1"/>
    <w:rsid w:val="39AC7BA4"/>
    <w:rsid w:val="39BF365D"/>
    <w:rsid w:val="39FB6A6E"/>
    <w:rsid w:val="39FC282B"/>
    <w:rsid w:val="3A1251E1"/>
    <w:rsid w:val="3A164E28"/>
    <w:rsid w:val="3A960B97"/>
    <w:rsid w:val="3A9C1064"/>
    <w:rsid w:val="3AB4211C"/>
    <w:rsid w:val="3AC3717D"/>
    <w:rsid w:val="3ACF16E5"/>
    <w:rsid w:val="3AFE1F63"/>
    <w:rsid w:val="3B0E1F66"/>
    <w:rsid w:val="3B1064BD"/>
    <w:rsid w:val="3B111C96"/>
    <w:rsid w:val="3B2C33D8"/>
    <w:rsid w:val="3B2C358C"/>
    <w:rsid w:val="3B637FD8"/>
    <w:rsid w:val="3BD22FA3"/>
    <w:rsid w:val="3BE04637"/>
    <w:rsid w:val="3BF15362"/>
    <w:rsid w:val="3C6D4B9E"/>
    <w:rsid w:val="3CD27730"/>
    <w:rsid w:val="3CD967E3"/>
    <w:rsid w:val="3CF4361D"/>
    <w:rsid w:val="3D2008B6"/>
    <w:rsid w:val="3D390470"/>
    <w:rsid w:val="3D4D11D6"/>
    <w:rsid w:val="3D593B6E"/>
    <w:rsid w:val="3D8C47B0"/>
    <w:rsid w:val="3DC76F84"/>
    <w:rsid w:val="3DCE50EF"/>
    <w:rsid w:val="3DDF7E2A"/>
    <w:rsid w:val="3E1918E3"/>
    <w:rsid w:val="3E33621B"/>
    <w:rsid w:val="3E3363C7"/>
    <w:rsid w:val="3E3759DF"/>
    <w:rsid w:val="3E8149CF"/>
    <w:rsid w:val="3E96513D"/>
    <w:rsid w:val="3E98229E"/>
    <w:rsid w:val="3EA64B1B"/>
    <w:rsid w:val="3EE57000"/>
    <w:rsid w:val="3EE902D6"/>
    <w:rsid w:val="3F4049BE"/>
    <w:rsid w:val="3F826EAF"/>
    <w:rsid w:val="3F894898"/>
    <w:rsid w:val="3FFF1148"/>
    <w:rsid w:val="4009784F"/>
    <w:rsid w:val="40E80A95"/>
    <w:rsid w:val="41131941"/>
    <w:rsid w:val="411E7DFD"/>
    <w:rsid w:val="41A2189A"/>
    <w:rsid w:val="41C50CBF"/>
    <w:rsid w:val="41F734B9"/>
    <w:rsid w:val="420270E5"/>
    <w:rsid w:val="42234900"/>
    <w:rsid w:val="42293D69"/>
    <w:rsid w:val="42310D45"/>
    <w:rsid w:val="42316547"/>
    <w:rsid w:val="42576CD6"/>
    <w:rsid w:val="42776FEA"/>
    <w:rsid w:val="42914373"/>
    <w:rsid w:val="4297507F"/>
    <w:rsid w:val="42A44E8B"/>
    <w:rsid w:val="432B287F"/>
    <w:rsid w:val="43393B20"/>
    <w:rsid w:val="43495ACF"/>
    <w:rsid w:val="43627D9A"/>
    <w:rsid w:val="436C497E"/>
    <w:rsid w:val="43830114"/>
    <w:rsid w:val="43F54CF5"/>
    <w:rsid w:val="44056110"/>
    <w:rsid w:val="440920A4"/>
    <w:rsid w:val="440A3726"/>
    <w:rsid w:val="445D7CFA"/>
    <w:rsid w:val="448D6A38"/>
    <w:rsid w:val="454809AA"/>
    <w:rsid w:val="454D3269"/>
    <w:rsid w:val="4561381A"/>
    <w:rsid w:val="45D17C73"/>
    <w:rsid w:val="461426D0"/>
    <w:rsid w:val="462E5DF2"/>
    <w:rsid w:val="46562959"/>
    <w:rsid w:val="467F690A"/>
    <w:rsid w:val="46B85F59"/>
    <w:rsid w:val="46C644C3"/>
    <w:rsid w:val="46E961D3"/>
    <w:rsid w:val="47953C4F"/>
    <w:rsid w:val="47AF4D11"/>
    <w:rsid w:val="47BE14A1"/>
    <w:rsid w:val="47EF50CB"/>
    <w:rsid w:val="480C5CBF"/>
    <w:rsid w:val="48164618"/>
    <w:rsid w:val="483B2FB7"/>
    <w:rsid w:val="48621071"/>
    <w:rsid w:val="487E0030"/>
    <w:rsid w:val="48950672"/>
    <w:rsid w:val="48AA54D8"/>
    <w:rsid w:val="48C23463"/>
    <w:rsid w:val="48EB7FCA"/>
    <w:rsid w:val="48F86243"/>
    <w:rsid w:val="492D7C31"/>
    <w:rsid w:val="495C25B9"/>
    <w:rsid w:val="498B48F2"/>
    <w:rsid w:val="499D0869"/>
    <w:rsid w:val="49A50688"/>
    <w:rsid w:val="49C134CC"/>
    <w:rsid w:val="4A396CAF"/>
    <w:rsid w:val="4A3E14BB"/>
    <w:rsid w:val="4A6A3171"/>
    <w:rsid w:val="4A802994"/>
    <w:rsid w:val="4AAC19DB"/>
    <w:rsid w:val="4ACC4412"/>
    <w:rsid w:val="4AD245F0"/>
    <w:rsid w:val="4AD8457E"/>
    <w:rsid w:val="4B0C6773"/>
    <w:rsid w:val="4B212B74"/>
    <w:rsid w:val="4B442253"/>
    <w:rsid w:val="4B5C045F"/>
    <w:rsid w:val="4B7E1D99"/>
    <w:rsid w:val="4BD27220"/>
    <w:rsid w:val="4BE44EED"/>
    <w:rsid w:val="4C215AB1"/>
    <w:rsid w:val="4C347AA3"/>
    <w:rsid w:val="4D6E11CA"/>
    <w:rsid w:val="4D6F21D5"/>
    <w:rsid w:val="4D706CF0"/>
    <w:rsid w:val="4D782815"/>
    <w:rsid w:val="4D8D2223"/>
    <w:rsid w:val="4DBE4790"/>
    <w:rsid w:val="4DD202EA"/>
    <w:rsid w:val="4EDE5651"/>
    <w:rsid w:val="4EEF6B88"/>
    <w:rsid w:val="4EF549D4"/>
    <w:rsid w:val="4F702FD7"/>
    <w:rsid w:val="4F856AFC"/>
    <w:rsid w:val="4FA72F38"/>
    <w:rsid w:val="4FE827FC"/>
    <w:rsid w:val="4FFC17B4"/>
    <w:rsid w:val="50521606"/>
    <w:rsid w:val="509E5922"/>
    <w:rsid w:val="513F4B38"/>
    <w:rsid w:val="5184447F"/>
    <w:rsid w:val="518C687F"/>
    <w:rsid w:val="51F03A65"/>
    <w:rsid w:val="52302EF2"/>
    <w:rsid w:val="52457D83"/>
    <w:rsid w:val="5257222D"/>
    <w:rsid w:val="525C5D72"/>
    <w:rsid w:val="52A03EC3"/>
    <w:rsid w:val="52AC0F0E"/>
    <w:rsid w:val="52B96A43"/>
    <w:rsid w:val="52BF4BDF"/>
    <w:rsid w:val="52CB5612"/>
    <w:rsid w:val="52FE55DB"/>
    <w:rsid w:val="53204191"/>
    <w:rsid w:val="53651757"/>
    <w:rsid w:val="538A03E0"/>
    <w:rsid w:val="53C704E7"/>
    <w:rsid w:val="53E87428"/>
    <w:rsid w:val="53E94252"/>
    <w:rsid w:val="53FA1456"/>
    <w:rsid w:val="5447281C"/>
    <w:rsid w:val="547D6C5E"/>
    <w:rsid w:val="548C054F"/>
    <w:rsid w:val="54926736"/>
    <w:rsid w:val="54A90D98"/>
    <w:rsid w:val="54AA7343"/>
    <w:rsid w:val="54BA6725"/>
    <w:rsid w:val="54E44556"/>
    <w:rsid w:val="54F65EBA"/>
    <w:rsid w:val="5534422B"/>
    <w:rsid w:val="55AF412E"/>
    <w:rsid w:val="55D10548"/>
    <w:rsid w:val="55D27624"/>
    <w:rsid w:val="55E94291"/>
    <w:rsid w:val="56324628"/>
    <w:rsid w:val="56336B0D"/>
    <w:rsid w:val="567A6E51"/>
    <w:rsid w:val="56931C75"/>
    <w:rsid w:val="56F203B4"/>
    <w:rsid w:val="57430FD1"/>
    <w:rsid w:val="57472D83"/>
    <w:rsid w:val="574864B9"/>
    <w:rsid w:val="57824E3F"/>
    <w:rsid w:val="578A2D50"/>
    <w:rsid w:val="579A11F6"/>
    <w:rsid w:val="57C16A9A"/>
    <w:rsid w:val="57FC55AA"/>
    <w:rsid w:val="580928E7"/>
    <w:rsid w:val="583E1CF5"/>
    <w:rsid w:val="58551F7D"/>
    <w:rsid w:val="587F072F"/>
    <w:rsid w:val="58BA7B17"/>
    <w:rsid w:val="58D345D7"/>
    <w:rsid w:val="59262959"/>
    <w:rsid w:val="595C5ED3"/>
    <w:rsid w:val="596B480F"/>
    <w:rsid w:val="59725B9E"/>
    <w:rsid w:val="59BC506B"/>
    <w:rsid w:val="59F33874"/>
    <w:rsid w:val="5A007FC9"/>
    <w:rsid w:val="5A1D0200"/>
    <w:rsid w:val="5A5654C0"/>
    <w:rsid w:val="5AA412FE"/>
    <w:rsid w:val="5ABA7A19"/>
    <w:rsid w:val="5AC72F10"/>
    <w:rsid w:val="5B136F0D"/>
    <w:rsid w:val="5B56778E"/>
    <w:rsid w:val="5B807AEC"/>
    <w:rsid w:val="5B840C5F"/>
    <w:rsid w:val="5B964D28"/>
    <w:rsid w:val="5BC44F00"/>
    <w:rsid w:val="5BE556CE"/>
    <w:rsid w:val="5C0D1BAE"/>
    <w:rsid w:val="5C2F5FC8"/>
    <w:rsid w:val="5D002209"/>
    <w:rsid w:val="5D217374"/>
    <w:rsid w:val="5D9A56C3"/>
    <w:rsid w:val="5DE81AA6"/>
    <w:rsid w:val="5DE943DE"/>
    <w:rsid w:val="5E2B51A2"/>
    <w:rsid w:val="5E6728E2"/>
    <w:rsid w:val="5E8F0FA0"/>
    <w:rsid w:val="5EB62375"/>
    <w:rsid w:val="5EC473C0"/>
    <w:rsid w:val="5EF724E5"/>
    <w:rsid w:val="5F027C2C"/>
    <w:rsid w:val="5F103E8F"/>
    <w:rsid w:val="5F436DCC"/>
    <w:rsid w:val="5F5B667A"/>
    <w:rsid w:val="5F6067D6"/>
    <w:rsid w:val="5FD125EC"/>
    <w:rsid w:val="603D2D4A"/>
    <w:rsid w:val="60636EB5"/>
    <w:rsid w:val="60D51B08"/>
    <w:rsid w:val="60FE1C18"/>
    <w:rsid w:val="610536CD"/>
    <w:rsid w:val="610552EA"/>
    <w:rsid w:val="61162C50"/>
    <w:rsid w:val="61183586"/>
    <w:rsid w:val="61490A69"/>
    <w:rsid w:val="617203D0"/>
    <w:rsid w:val="619A0388"/>
    <w:rsid w:val="61D94A0C"/>
    <w:rsid w:val="61EC0543"/>
    <w:rsid w:val="622320AD"/>
    <w:rsid w:val="62460B06"/>
    <w:rsid w:val="625F138F"/>
    <w:rsid w:val="626C41FD"/>
    <w:rsid w:val="626D20D5"/>
    <w:rsid w:val="62922E0D"/>
    <w:rsid w:val="62F7205C"/>
    <w:rsid w:val="631840FD"/>
    <w:rsid w:val="634B16C2"/>
    <w:rsid w:val="636F39C0"/>
    <w:rsid w:val="638717D9"/>
    <w:rsid w:val="63DD630A"/>
    <w:rsid w:val="643F38B4"/>
    <w:rsid w:val="64981C38"/>
    <w:rsid w:val="64A14715"/>
    <w:rsid w:val="64AE2EEE"/>
    <w:rsid w:val="64E71BB9"/>
    <w:rsid w:val="64EF0B80"/>
    <w:rsid w:val="64F70EA9"/>
    <w:rsid w:val="65064BCC"/>
    <w:rsid w:val="654F1A47"/>
    <w:rsid w:val="6559389C"/>
    <w:rsid w:val="655D3BA6"/>
    <w:rsid w:val="65702D62"/>
    <w:rsid w:val="65C03700"/>
    <w:rsid w:val="65EC15AB"/>
    <w:rsid w:val="666B40A1"/>
    <w:rsid w:val="667E057F"/>
    <w:rsid w:val="669C4314"/>
    <w:rsid w:val="66CB47FD"/>
    <w:rsid w:val="66DA71B9"/>
    <w:rsid w:val="66E01BB5"/>
    <w:rsid w:val="66E15F37"/>
    <w:rsid w:val="66E75E1D"/>
    <w:rsid w:val="671B6AB8"/>
    <w:rsid w:val="67996221"/>
    <w:rsid w:val="681E7F53"/>
    <w:rsid w:val="683230C8"/>
    <w:rsid w:val="689523C8"/>
    <w:rsid w:val="68C46127"/>
    <w:rsid w:val="6958090C"/>
    <w:rsid w:val="69610B03"/>
    <w:rsid w:val="699E7386"/>
    <w:rsid w:val="69A14E77"/>
    <w:rsid w:val="69A714AC"/>
    <w:rsid w:val="6A0E22D7"/>
    <w:rsid w:val="6A1671DC"/>
    <w:rsid w:val="6B2D5DC9"/>
    <w:rsid w:val="6B584AFC"/>
    <w:rsid w:val="6B59453E"/>
    <w:rsid w:val="6BE66EA4"/>
    <w:rsid w:val="6C9F6F7B"/>
    <w:rsid w:val="6CE93F64"/>
    <w:rsid w:val="6D137960"/>
    <w:rsid w:val="6D7B0DC1"/>
    <w:rsid w:val="6D88336F"/>
    <w:rsid w:val="6DBA25D7"/>
    <w:rsid w:val="6DC26515"/>
    <w:rsid w:val="6E627A21"/>
    <w:rsid w:val="6E632386"/>
    <w:rsid w:val="6E957640"/>
    <w:rsid w:val="6EE33674"/>
    <w:rsid w:val="6EE442D1"/>
    <w:rsid w:val="6F4C3024"/>
    <w:rsid w:val="6FA32AFD"/>
    <w:rsid w:val="6FEC0000"/>
    <w:rsid w:val="701337DF"/>
    <w:rsid w:val="702A6D7B"/>
    <w:rsid w:val="70BA3726"/>
    <w:rsid w:val="71A224E9"/>
    <w:rsid w:val="71D074AE"/>
    <w:rsid w:val="72310D3B"/>
    <w:rsid w:val="72625F50"/>
    <w:rsid w:val="72741EBA"/>
    <w:rsid w:val="72EA0AEA"/>
    <w:rsid w:val="72F3295B"/>
    <w:rsid w:val="72F655C2"/>
    <w:rsid w:val="73253CFE"/>
    <w:rsid w:val="733E6DC5"/>
    <w:rsid w:val="734A6100"/>
    <w:rsid w:val="73767D80"/>
    <w:rsid w:val="738854C1"/>
    <w:rsid w:val="73D56FFD"/>
    <w:rsid w:val="73EB3D22"/>
    <w:rsid w:val="74064BED"/>
    <w:rsid w:val="74533BD1"/>
    <w:rsid w:val="74733422"/>
    <w:rsid w:val="747948CE"/>
    <w:rsid w:val="7496678D"/>
    <w:rsid w:val="750C4780"/>
    <w:rsid w:val="75126D7A"/>
    <w:rsid w:val="759A04FF"/>
    <w:rsid w:val="75A3343A"/>
    <w:rsid w:val="75A65E27"/>
    <w:rsid w:val="75BA5477"/>
    <w:rsid w:val="760F280F"/>
    <w:rsid w:val="76104C5D"/>
    <w:rsid w:val="769918E2"/>
    <w:rsid w:val="76BFAF13"/>
    <w:rsid w:val="76EE0B02"/>
    <w:rsid w:val="77004391"/>
    <w:rsid w:val="77537603"/>
    <w:rsid w:val="77703384"/>
    <w:rsid w:val="779865F5"/>
    <w:rsid w:val="780F0580"/>
    <w:rsid w:val="785513ED"/>
    <w:rsid w:val="78606499"/>
    <w:rsid w:val="78937CF7"/>
    <w:rsid w:val="789D1ACE"/>
    <w:rsid w:val="78B47B29"/>
    <w:rsid w:val="78BC142D"/>
    <w:rsid w:val="78FBF684"/>
    <w:rsid w:val="791B1956"/>
    <w:rsid w:val="799C2E68"/>
    <w:rsid w:val="799C4845"/>
    <w:rsid w:val="79ED6971"/>
    <w:rsid w:val="79FE2D83"/>
    <w:rsid w:val="7A057571"/>
    <w:rsid w:val="7A263419"/>
    <w:rsid w:val="7A410003"/>
    <w:rsid w:val="7A4B711F"/>
    <w:rsid w:val="7AA33536"/>
    <w:rsid w:val="7AC9528C"/>
    <w:rsid w:val="7AE8472F"/>
    <w:rsid w:val="7B0462C4"/>
    <w:rsid w:val="7B1A3000"/>
    <w:rsid w:val="7B4D35F3"/>
    <w:rsid w:val="7B7D91F1"/>
    <w:rsid w:val="7BCD5242"/>
    <w:rsid w:val="7BED0CD8"/>
    <w:rsid w:val="7BF369A8"/>
    <w:rsid w:val="7BF88BF8"/>
    <w:rsid w:val="7BFE1E83"/>
    <w:rsid w:val="7C727ADF"/>
    <w:rsid w:val="7CB7F70C"/>
    <w:rsid w:val="7CF32A66"/>
    <w:rsid w:val="7D673C72"/>
    <w:rsid w:val="7D6FFF83"/>
    <w:rsid w:val="7D7113C7"/>
    <w:rsid w:val="7D71438E"/>
    <w:rsid w:val="7D73622C"/>
    <w:rsid w:val="7D934365"/>
    <w:rsid w:val="7DBF21A5"/>
    <w:rsid w:val="7DE93C59"/>
    <w:rsid w:val="7DFBF8B8"/>
    <w:rsid w:val="7E2E33C0"/>
    <w:rsid w:val="7E6D67B0"/>
    <w:rsid w:val="7E72183B"/>
    <w:rsid w:val="7E9C7095"/>
    <w:rsid w:val="7EA31138"/>
    <w:rsid w:val="7EC17569"/>
    <w:rsid w:val="7ED71E7C"/>
    <w:rsid w:val="7EF24F07"/>
    <w:rsid w:val="7EFF7F74"/>
    <w:rsid w:val="7F3217A8"/>
    <w:rsid w:val="7F3F6140"/>
    <w:rsid w:val="7F516B1D"/>
    <w:rsid w:val="7F8A3392"/>
    <w:rsid w:val="7FB33084"/>
    <w:rsid w:val="7FE24F7C"/>
    <w:rsid w:val="B69FF366"/>
    <w:rsid w:val="B7BE0BB5"/>
    <w:rsid w:val="CBC53426"/>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4"/>
    <w:autoRedefine/>
    <w:qFormat/>
    <w:uiPriority w:val="99"/>
    <w:pPr>
      <w:keepNext/>
      <w:keepLines/>
      <w:spacing w:line="576" w:lineRule="auto"/>
      <w:outlineLvl w:val="0"/>
    </w:pPr>
    <w:rPr>
      <w:rFonts w:ascii="Calibri" w:hAnsi="Calibri" w:cs="Calibri"/>
      <w:b/>
      <w:bCs/>
      <w:kern w:val="44"/>
      <w:sz w:val="44"/>
      <w:szCs w:val="44"/>
    </w:rPr>
  </w:style>
  <w:style w:type="paragraph" w:styleId="4">
    <w:name w:val="heading 2"/>
    <w:basedOn w:val="1"/>
    <w:next w:val="1"/>
    <w:link w:val="45"/>
    <w:qFormat/>
    <w:uiPriority w:val="99"/>
    <w:pPr>
      <w:keepNext/>
      <w:spacing w:line="216" w:lineRule="auto"/>
      <w:outlineLvl w:val="1"/>
    </w:pPr>
    <w:rPr>
      <w:rFonts w:ascii="宋体" w:hAnsi="Calibri" w:cs="宋体"/>
      <w:b/>
      <w:bCs/>
      <w:sz w:val="28"/>
      <w:szCs w:val="28"/>
    </w:rPr>
  </w:style>
  <w:style w:type="paragraph" w:styleId="5">
    <w:name w:val="heading 3"/>
    <w:basedOn w:val="1"/>
    <w:next w:val="1"/>
    <w:link w:val="46"/>
    <w:autoRedefine/>
    <w:qFormat/>
    <w:uiPriority w:val="99"/>
    <w:pPr>
      <w:keepNext/>
      <w:numPr>
        <w:ilvl w:val="0"/>
        <w:numId w:val="1"/>
      </w:numPr>
      <w:spacing w:line="216" w:lineRule="auto"/>
      <w:outlineLvl w:val="2"/>
    </w:pPr>
    <w:rPr>
      <w:rFonts w:ascii="宋体" w:hAnsi="Calibri" w:cs="宋体"/>
      <w:b/>
      <w:bCs/>
      <w:sz w:val="28"/>
      <w:szCs w:val="28"/>
    </w:rPr>
  </w:style>
  <w:style w:type="paragraph" w:styleId="6">
    <w:name w:val="heading 4"/>
    <w:basedOn w:val="1"/>
    <w:next w:val="1"/>
    <w:autoRedefine/>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10"/>
    <w:pPr>
      <w:widowControl/>
      <w:overflowPunct w:val="0"/>
      <w:autoSpaceDE w:val="0"/>
      <w:autoSpaceDN w:val="0"/>
      <w:adjustRightInd w:val="0"/>
      <w:jc w:val="center"/>
      <w:textAlignment w:val="baseline"/>
    </w:pPr>
    <w:rPr>
      <w:b/>
      <w:kern w:val="0"/>
      <w:sz w:val="24"/>
      <w:szCs w:val="20"/>
      <w:lang w:val="en-GB"/>
    </w:rPr>
  </w:style>
  <w:style w:type="paragraph" w:styleId="7">
    <w:name w:val="Normal Indent"/>
    <w:basedOn w:val="1"/>
    <w:next w:val="1"/>
    <w:qFormat/>
    <w:uiPriority w:val="99"/>
    <w:pPr>
      <w:ind w:firstLine="420"/>
    </w:pPr>
  </w:style>
  <w:style w:type="paragraph" w:styleId="8">
    <w:name w:val="annotation text"/>
    <w:basedOn w:val="1"/>
    <w:autoRedefine/>
    <w:semiHidden/>
    <w:unhideWhenUsed/>
    <w:qFormat/>
    <w:uiPriority w:val="99"/>
    <w:pPr>
      <w:jc w:val="left"/>
    </w:pPr>
  </w:style>
  <w:style w:type="paragraph" w:styleId="9">
    <w:name w:val="Body Text"/>
    <w:basedOn w:val="1"/>
    <w:next w:val="1"/>
    <w:link w:val="47"/>
    <w:qFormat/>
    <w:uiPriority w:val="99"/>
  </w:style>
  <w:style w:type="paragraph" w:styleId="10">
    <w:name w:val="Body Text Indent"/>
    <w:basedOn w:val="1"/>
    <w:next w:val="11"/>
    <w:link w:val="53"/>
    <w:autoRedefine/>
    <w:qFormat/>
    <w:uiPriority w:val="99"/>
    <w:pPr>
      <w:adjustRightInd w:val="0"/>
      <w:spacing w:line="360" w:lineRule="auto"/>
      <w:ind w:firstLine="490"/>
      <w:jc w:val="left"/>
    </w:pPr>
    <w:rPr>
      <w:rFonts w:ascii="宋体" w:hAnsi="宋体" w:cs="宋体"/>
      <w:sz w:val="24"/>
      <w:szCs w:val="24"/>
    </w:rPr>
  </w:style>
  <w:style w:type="paragraph" w:styleId="11">
    <w:name w:val="envelope return"/>
    <w:basedOn w:val="1"/>
    <w:autoRedefine/>
    <w:qFormat/>
    <w:uiPriority w:val="0"/>
    <w:pPr>
      <w:snapToGrid w:val="0"/>
    </w:pPr>
    <w:rPr>
      <w:rFonts w:ascii="Arial" w:hAnsi="Arial"/>
    </w:rPr>
  </w:style>
  <w:style w:type="paragraph" w:styleId="12">
    <w:name w:val="Block Text"/>
    <w:basedOn w:val="1"/>
    <w:qFormat/>
    <w:uiPriority w:val="0"/>
    <w:pPr>
      <w:spacing w:before="120" w:line="360" w:lineRule="auto"/>
      <w:ind w:left="824" w:right="202"/>
    </w:pPr>
    <w:rPr>
      <w:rFonts w:ascii="宋体" w:hAnsi="宋体"/>
      <w:sz w:val="24"/>
      <w:szCs w:val="21"/>
    </w:rPr>
  </w:style>
  <w:style w:type="paragraph" w:styleId="13">
    <w:name w:val="toc 3"/>
    <w:basedOn w:val="1"/>
    <w:next w:val="1"/>
    <w:semiHidden/>
    <w:qFormat/>
    <w:uiPriority w:val="99"/>
    <w:pPr>
      <w:ind w:left="840" w:leftChars="400"/>
    </w:pPr>
  </w:style>
  <w:style w:type="paragraph" w:styleId="14">
    <w:name w:val="Plain Text"/>
    <w:basedOn w:val="1"/>
    <w:next w:val="1"/>
    <w:link w:val="54"/>
    <w:qFormat/>
    <w:uiPriority w:val="99"/>
    <w:rPr>
      <w:rFonts w:ascii="宋体" w:hAnsi="Courier New" w:cs="宋体"/>
    </w:rPr>
  </w:style>
  <w:style w:type="paragraph" w:styleId="15">
    <w:name w:val="Date"/>
    <w:basedOn w:val="1"/>
    <w:next w:val="1"/>
    <w:link w:val="55"/>
    <w:qFormat/>
    <w:uiPriority w:val="99"/>
    <w:pPr>
      <w:ind w:left="100" w:leftChars="2500"/>
    </w:pPr>
    <w:rPr>
      <w:rFonts w:ascii="宋体" w:hAnsi="宋体" w:cs="宋体"/>
      <w:color w:val="000000"/>
      <w:sz w:val="24"/>
      <w:szCs w:val="24"/>
    </w:rPr>
  </w:style>
  <w:style w:type="paragraph" w:styleId="16">
    <w:name w:val="Body Text Indent 2"/>
    <w:basedOn w:val="1"/>
    <w:next w:val="17"/>
    <w:qFormat/>
    <w:uiPriority w:val="0"/>
    <w:pPr>
      <w:spacing w:line="560" w:lineRule="exact"/>
      <w:ind w:firstLine="560"/>
    </w:pPr>
    <w:rPr>
      <w:rFonts w:ascii="仿宋_GB2312" w:hAnsi="宋体" w:eastAsia="仿宋_GB2312"/>
      <w:sz w:val="28"/>
      <w:szCs w:val="20"/>
    </w:rPr>
  </w:style>
  <w:style w:type="paragraph" w:styleId="17">
    <w:name w:val="index 9"/>
    <w:basedOn w:val="1"/>
    <w:next w:val="1"/>
    <w:semiHidden/>
    <w:qFormat/>
    <w:uiPriority w:val="0"/>
    <w:pPr>
      <w:ind w:left="1600" w:leftChars="1600"/>
    </w:pPr>
  </w:style>
  <w:style w:type="paragraph" w:styleId="18">
    <w:name w:val="Balloon Text"/>
    <w:basedOn w:val="1"/>
    <w:link w:val="56"/>
    <w:autoRedefine/>
    <w:semiHidden/>
    <w:qFormat/>
    <w:uiPriority w:val="99"/>
    <w:rPr>
      <w:sz w:val="18"/>
      <w:szCs w:val="18"/>
    </w:rPr>
  </w:style>
  <w:style w:type="paragraph" w:styleId="19">
    <w:name w:val="footer"/>
    <w:basedOn w:val="1"/>
    <w:link w:val="57"/>
    <w:autoRedefine/>
    <w:qFormat/>
    <w:uiPriority w:val="99"/>
    <w:pPr>
      <w:tabs>
        <w:tab w:val="center" w:pos="4153"/>
        <w:tab w:val="right" w:pos="8306"/>
      </w:tabs>
      <w:snapToGrid w:val="0"/>
      <w:jc w:val="left"/>
    </w:pPr>
    <w:rPr>
      <w:sz w:val="18"/>
      <w:szCs w:val="18"/>
    </w:rPr>
  </w:style>
  <w:style w:type="paragraph" w:styleId="20">
    <w:name w:val="header"/>
    <w:basedOn w:val="1"/>
    <w:link w:val="58"/>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1">
    <w:name w:val="toc 1"/>
    <w:basedOn w:val="1"/>
    <w:next w:val="1"/>
    <w:autoRedefine/>
    <w:semiHidden/>
    <w:qFormat/>
    <w:uiPriority w:val="99"/>
  </w:style>
  <w:style w:type="paragraph" w:styleId="22">
    <w:name w:val="toc 4"/>
    <w:basedOn w:val="1"/>
    <w:next w:val="1"/>
    <w:qFormat/>
    <w:uiPriority w:val="39"/>
    <w:pPr>
      <w:ind w:left="1260" w:leftChars="600"/>
    </w:pPr>
    <w:rPr>
      <w:szCs w:val="24"/>
    </w:rPr>
  </w:style>
  <w:style w:type="paragraph" w:styleId="23">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24">
    <w:name w:val="toc 2"/>
    <w:basedOn w:val="1"/>
    <w:next w:val="1"/>
    <w:autoRedefine/>
    <w:semiHidden/>
    <w:qFormat/>
    <w:uiPriority w:val="99"/>
    <w:pPr>
      <w:ind w:left="420" w:leftChars="200"/>
    </w:p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autoRedefine/>
    <w:qFormat/>
    <w:uiPriority w:val="99"/>
    <w:pPr>
      <w:widowControl/>
      <w:spacing w:before="100" w:beforeAutospacing="1" w:after="100" w:afterAutospacing="1"/>
      <w:jc w:val="left"/>
    </w:pPr>
    <w:rPr>
      <w:rFonts w:ascii="宋体" w:hAnsi="宋体" w:cs="宋体"/>
      <w:sz w:val="24"/>
      <w:szCs w:val="24"/>
    </w:rPr>
  </w:style>
  <w:style w:type="paragraph" w:styleId="27">
    <w:name w:val="Body Text First Indent"/>
    <w:basedOn w:val="9"/>
    <w:next w:val="23"/>
    <w:link w:val="59"/>
    <w:autoRedefine/>
    <w:qFormat/>
    <w:uiPriority w:val="99"/>
    <w:pPr>
      <w:ind w:firstLine="420" w:firstLineChars="100"/>
    </w:pPr>
  </w:style>
  <w:style w:type="paragraph" w:styleId="28">
    <w:name w:val="Body Text First Indent 2"/>
    <w:basedOn w:val="10"/>
    <w:next w:val="27"/>
    <w:autoRedefine/>
    <w:qFormat/>
    <w:uiPriority w:val="0"/>
    <w:pPr>
      <w:ind w:firstLine="420"/>
    </w:pPr>
  </w:style>
  <w:style w:type="table" w:styleId="30">
    <w:name w:val="Table Grid"/>
    <w:basedOn w:val="29"/>
    <w:autoRedefine/>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99"/>
    <w:rPr>
      <w:b/>
      <w:bCs/>
    </w:rPr>
  </w:style>
  <w:style w:type="character" w:styleId="33">
    <w:name w:val="page number"/>
    <w:basedOn w:val="31"/>
    <w:qFormat/>
    <w:uiPriority w:val="99"/>
  </w:style>
  <w:style w:type="character" w:styleId="34">
    <w:name w:val="Emphasis"/>
    <w:qFormat/>
    <w:locked/>
    <w:uiPriority w:val="0"/>
    <w:rPr>
      <w:rFonts w:ascii="Times New Roman" w:hAnsi="Times New Roman" w:eastAsia="宋体" w:cs="Times New Roman"/>
      <w:color w:val="CC0033"/>
    </w:rPr>
  </w:style>
  <w:style w:type="character" w:styleId="35">
    <w:name w:val="Hyperlink"/>
    <w:basedOn w:val="31"/>
    <w:qFormat/>
    <w:uiPriority w:val="99"/>
    <w:rPr>
      <w:color w:val="0000FF"/>
      <w:u w:val="single"/>
    </w:rPr>
  </w:style>
  <w:style w:type="paragraph" w:customStyle="1" w:styleId="36">
    <w:name w:val="BodyText1I2"/>
    <w:basedOn w:val="37"/>
    <w:qFormat/>
    <w:uiPriority w:val="0"/>
    <w:pPr>
      <w:ind w:firstLine="420"/>
    </w:pPr>
    <w:rPr>
      <w:sz w:val="21"/>
    </w:rPr>
  </w:style>
  <w:style w:type="paragraph" w:customStyle="1" w:styleId="37">
    <w:name w:val="BodyTextIndent"/>
    <w:basedOn w:val="1"/>
    <w:next w:val="36"/>
    <w:qFormat/>
    <w:uiPriority w:val="0"/>
    <w:pPr>
      <w:spacing w:line="360" w:lineRule="auto"/>
      <w:ind w:firstLine="490"/>
      <w:jc w:val="left"/>
    </w:pPr>
    <w:rPr>
      <w:rFonts w:ascii="宋体" w:hAnsi="宋体"/>
      <w:sz w:val="24"/>
    </w:rPr>
  </w:style>
  <w:style w:type="paragraph" w:customStyle="1" w:styleId="38">
    <w:name w:val="表格文字"/>
    <w:basedOn w:val="1"/>
    <w:next w:val="9"/>
    <w:qFormat/>
    <w:uiPriority w:val="0"/>
    <w:pPr>
      <w:adjustRightInd w:val="0"/>
      <w:spacing w:line="420" w:lineRule="atLeast"/>
      <w:textAlignment w:val="baseline"/>
    </w:pPr>
  </w:style>
  <w:style w:type="paragraph" w:styleId="39">
    <w:name w:val="Quote"/>
    <w:basedOn w:val="1"/>
    <w:next w:val="1"/>
    <w:qFormat/>
    <w:uiPriority w:val="0"/>
    <w:pPr>
      <w:wordWrap w:val="0"/>
      <w:spacing w:before="200" w:after="160"/>
      <w:ind w:left="864" w:right="864"/>
      <w:jc w:val="center"/>
    </w:pPr>
    <w:rPr>
      <w:i/>
    </w:rPr>
  </w:style>
  <w:style w:type="paragraph" w:customStyle="1" w:styleId="40">
    <w:name w:val="Body Text First Indent1"/>
    <w:basedOn w:val="9"/>
    <w:qFormat/>
    <w:uiPriority w:val="0"/>
    <w:pPr>
      <w:tabs>
        <w:tab w:val="left" w:pos="1275"/>
      </w:tabs>
      <w:ind w:firstLine="420" w:firstLineChars="100"/>
    </w:pPr>
  </w:style>
  <w:style w:type="paragraph" w:customStyle="1" w:styleId="4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42">
    <w:name w:val="正文缩进1"/>
    <w:basedOn w:val="1"/>
    <w:qFormat/>
    <w:uiPriority w:val="0"/>
    <w:pPr>
      <w:ind w:firstLine="420" w:firstLineChars="200"/>
    </w:pPr>
  </w:style>
  <w:style w:type="paragraph" w:customStyle="1" w:styleId="43">
    <w:name w:val="正文（首行缩进2字符）"/>
    <w:basedOn w:val="1"/>
    <w:qFormat/>
    <w:uiPriority w:val="0"/>
    <w:pPr>
      <w:spacing w:line="360" w:lineRule="auto"/>
      <w:ind w:firstLine="480" w:firstLineChars="200"/>
    </w:pPr>
    <w:rPr>
      <w:sz w:val="24"/>
      <w:szCs w:val="20"/>
    </w:rPr>
  </w:style>
  <w:style w:type="character" w:customStyle="1" w:styleId="44">
    <w:name w:val="标题 1 Char"/>
    <w:basedOn w:val="31"/>
    <w:link w:val="3"/>
    <w:qFormat/>
    <w:locked/>
    <w:uiPriority w:val="99"/>
    <w:rPr>
      <w:b/>
      <w:bCs/>
      <w:kern w:val="44"/>
      <w:sz w:val="44"/>
      <w:szCs w:val="44"/>
    </w:rPr>
  </w:style>
  <w:style w:type="character" w:customStyle="1" w:styleId="45">
    <w:name w:val="标题 2 Char"/>
    <w:basedOn w:val="31"/>
    <w:link w:val="4"/>
    <w:qFormat/>
    <w:locked/>
    <w:uiPriority w:val="99"/>
    <w:rPr>
      <w:rFonts w:ascii="宋体" w:cs="宋体"/>
      <w:b/>
      <w:bCs/>
      <w:kern w:val="2"/>
      <w:sz w:val="28"/>
      <w:szCs w:val="28"/>
    </w:rPr>
  </w:style>
  <w:style w:type="character" w:customStyle="1" w:styleId="46">
    <w:name w:val="标题 3 Char"/>
    <w:basedOn w:val="31"/>
    <w:link w:val="5"/>
    <w:qFormat/>
    <w:locked/>
    <w:uiPriority w:val="99"/>
    <w:rPr>
      <w:rFonts w:ascii="宋体" w:cs="宋体"/>
      <w:b/>
      <w:bCs/>
      <w:kern w:val="2"/>
      <w:sz w:val="28"/>
      <w:szCs w:val="28"/>
    </w:rPr>
  </w:style>
  <w:style w:type="character" w:customStyle="1" w:styleId="47">
    <w:name w:val="正文文本 Char"/>
    <w:basedOn w:val="31"/>
    <w:link w:val="9"/>
    <w:semiHidden/>
    <w:qFormat/>
    <w:uiPriority w:val="99"/>
    <w:rPr>
      <w:rFonts w:ascii="Times New Roman" w:hAnsi="Times New Roman"/>
      <w:szCs w:val="21"/>
    </w:rPr>
  </w:style>
  <w:style w:type="paragraph" w:customStyle="1" w:styleId="48">
    <w:name w:val="样式 表格正文 + 两端对齐"/>
    <w:basedOn w:val="1"/>
    <w:next w:val="49"/>
    <w:qFormat/>
    <w:uiPriority w:val="99"/>
    <w:pPr>
      <w:spacing w:line="300" w:lineRule="auto"/>
    </w:pPr>
    <w:rPr>
      <w:sz w:val="24"/>
      <w:szCs w:val="24"/>
    </w:rPr>
  </w:style>
  <w:style w:type="paragraph" w:customStyle="1" w:styleId="49">
    <w:name w:val="正文1"/>
    <w:basedOn w:val="1"/>
    <w:next w:val="50"/>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50">
    <w:name w:val="自动更正"/>
    <w:next w:val="5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1">
    <w:name w:val="xl39"/>
    <w:basedOn w:val="1"/>
    <w:next w:val="52"/>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52">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53">
    <w:name w:val="正文文本缩进 Char"/>
    <w:basedOn w:val="31"/>
    <w:link w:val="10"/>
    <w:semiHidden/>
    <w:qFormat/>
    <w:uiPriority w:val="99"/>
    <w:rPr>
      <w:rFonts w:ascii="Times New Roman" w:hAnsi="Times New Roman"/>
      <w:szCs w:val="21"/>
    </w:rPr>
  </w:style>
  <w:style w:type="character" w:customStyle="1" w:styleId="54">
    <w:name w:val="纯文本 Char"/>
    <w:basedOn w:val="31"/>
    <w:link w:val="14"/>
    <w:semiHidden/>
    <w:qFormat/>
    <w:uiPriority w:val="99"/>
    <w:rPr>
      <w:rFonts w:ascii="宋体" w:hAnsi="Courier New" w:cs="Courier New"/>
      <w:szCs w:val="21"/>
    </w:rPr>
  </w:style>
  <w:style w:type="character" w:customStyle="1" w:styleId="55">
    <w:name w:val="日期 Char"/>
    <w:basedOn w:val="31"/>
    <w:link w:val="15"/>
    <w:autoRedefine/>
    <w:semiHidden/>
    <w:qFormat/>
    <w:uiPriority w:val="99"/>
    <w:rPr>
      <w:rFonts w:ascii="Times New Roman" w:hAnsi="Times New Roman"/>
      <w:szCs w:val="21"/>
    </w:rPr>
  </w:style>
  <w:style w:type="character" w:customStyle="1" w:styleId="56">
    <w:name w:val="批注框文本 Char"/>
    <w:basedOn w:val="31"/>
    <w:link w:val="18"/>
    <w:autoRedefine/>
    <w:qFormat/>
    <w:locked/>
    <w:uiPriority w:val="99"/>
    <w:rPr>
      <w:kern w:val="2"/>
      <w:sz w:val="18"/>
      <w:szCs w:val="18"/>
    </w:rPr>
  </w:style>
  <w:style w:type="character" w:customStyle="1" w:styleId="57">
    <w:name w:val="页脚 Char"/>
    <w:basedOn w:val="31"/>
    <w:link w:val="19"/>
    <w:autoRedefine/>
    <w:semiHidden/>
    <w:qFormat/>
    <w:uiPriority w:val="99"/>
    <w:rPr>
      <w:rFonts w:ascii="Times New Roman" w:hAnsi="Times New Roman"/>
      <w:sz w:val="18"/>
      <w:szCs w:val="18"/>
    </w:rPr>
  </w:style>
  <w:style w:type="character" w:customStyle="1" w:styleId="58">
    <w:name w:val="页眉 Char"/>
    <w:basedOn w:val="31"/>
    <w:link w:val="20"/>
    <w:autoRedefine/>
    <w:semiHidden/>
    <w:qFormat/>
    <w:uiPriority w:val="99"/>
    <w:rPr>
      <w:rFonts w:ascii="Times New Roman" w:hAnsi="Times New Roman"/>
      <w:sz w:val="18"/>
      <w:szCs w:val="18"/>
    </w:rPr>
  </w:style>
  <w:style w:type="character" w:customStyle="1" w:styleId="59">
    <w:name w:val="正文首行缩进 Char"/>
    <w:basedOn w:val="47"/>
    <w:link w:val="27"/>
    <w:autoRedefine/>
    <w:semiHidden/>
    <w:qFormat/>
    <w:uiPriority w:val="99"/>
    <w:rPr>
      <w:rFonts w:ascii="Times New Roman" w:hAnsi="Times New Roman"/>
      <w:szCs w:val="21"/>
    </w:rPr>
  </w:style>
  <w:style w:type="paragraph" w:customStyle="1" w:styleId="60">
    <w:name w:val="正文2"/>
    <w:basedOn w:val="1"/>
    <w:autoRedefine/>
    <w:qFormat/>
    <w:uiPriority w:val="99"/>
    <w:pPr>
      <w:adjustRightInd w:val="0"/>
      <w:spacing w:before="156" w:line="360" w:lineRule="auto"/>
      <w:ind w:firstLine="510" w:firstLineChars="200"/>
    </w:pPr>
    <w:rPr>
      <w:sz w:val="24"/>
      <w:szCs w:val="24"/>
    </w:rPr>
  </w:style>
  <w:style w:type="paragraph" w:customStyle="1" w:styleId="61">
    <w:name w:val="List Paragraph1"/>
    <w:basedOn w:val="1"/>
    <w:autoRedefine/>
    <w:qFormat/>
    <w:uiPriority w:val="99"/>
    <w:pPr>
      <w:widowControl/>
      <w:ind w:firstLine="420" w:firstLineChars="200"/>
      <w:jc w:val="left"/>
    </w:pPr>
    <w:rPr>
      <w:rFonts w:ascii="Calibri" w:hAnsi="Calibri" w:cs="Calibri"/>
    </w:rPr>
  </w:style>
  <w:style w:type="character" w:customStyle="1" w:styleId="62">
    <w:name w:val="style81"/>
    <w:autoRedefine/>
    <w:qFormat/>
    <w:uiPriority w:val="99"/>
    <w:rPr>
      <w:sz w:val="20"/>
      <w:szCs w:val="20"/>
    </w:rPr>
  </w:style>
  <w:style w:type="paragraph" w:customStyle="1" w:styleId="63">
    <w:name w:val="列出段落1"/>
    <w:basedOn w:val="1"/>
    <w:autoRedefine/>
    <w:qFormat/>
    <w:uiPriority w:val="99"/>
    <w:pPr>
      <w:ind w:firstLine="420"/>
      <w:jc w:val="left"/>
    </w:pPr>
  </w:style>
  <w:style w:type="paragraph" w:customStyle="1" w:styleId="64">
    <w:name w:val="表格"/>
    <w:basedOn w:val="1"/>
    <w:autoRedefine/>
    <w:qFormat/>
    <w:uiPriority w:val="99"/>
    <w:pPr>
      <w:autoSpaceDE w:val="0"/>
      <w:autoSpaceDN w:val="0"/>
      <w:jc w:val="center"/>
      <w:textAlignment w:val="baseline"/>
    </w:pPr>
    <w:rPr>
      <w:color w:val="000000"/>
      <w:kern w:val="0"/>
    </w:rPr>
  </w:style>
  <w:style w:type="character" w:customStyle="1" w:styleId="65">
    <w:name w:val="02 Char"/>
    <w:link w:val="66"/>
    <w:autoRedefine/>
    <w:qFormat/>
    <w:locked/>
    <w:uiPriority w:val="99"/>
    <w:rPr>
      <w:rFonts w:ascii="宋体" w:cs="宋体"/>
      <w:b/>
      <w:bCs/>
      <w:color w:val="FF0000"/>
      <w:kern w:val="2"/>
      <w:sz w:val="28"/>
      <w:szCs w:val="28"/>
    </w:rPr>
  </w:style>
  <w:style w:type="paragraph" w:customStyle="1" w:styleId="66">
    <w:name w:val="02"/>
    <w:basedOn w:val="4"/>
    <w:link w:val="65"/>
    <w:autoRedefine/>
    <w:qFormat/>
    <w:uiPriority w:val="99"/>
    <w:pPr>
      <w:jc w:val="center"/>
    </w:pPr>
    <w:rPr>
      <w:color w:val="FF0000"/>
    </w:rPr>
  </w:style>
  <w:style w:type="character" w:customStyle="1" w:styleId="67">
    <w:name w:val="03 Char"/>
    <w:link w:val="68"/>
    <w:qFormat/>
    <w:locked/>
    <w:uiPriority w:val="99"/>
    <w:rPr>
      <w:rFonts w:ascii="宋体" w:cs="宋体"/>
      <w:b/>
      <w:bCs/>
      <w:kern w:val="2"/>
      <w:sz w:val="28"/>
      <w:szCs w:val="28"/>
    </w:rPr>
  </w:style>
  <w:style w:type="paragraph" w:customStyle="1" w:styleId="68">
    <w:name w:val="03"/>
    <w:basedOn w:val="5"/>
    <w:link w:val="67"/>
    <w:autoRedefine/>
    <w:qFormat/>
    <w:uiPriority w:val="99"/>
    <w:pPr>
      <w:numPr>
        <w:ilvl w:val="0"/>
        <w:numId w:val="0"/>
      </w:numPr>
    </w:pPr>
  </w:style>
  <w:style w:type="character" w:customStyle="1" w:styleId="69">
    <w:name w:val="宋体小四 Char"/>
    <w:link w:val="70"/>
    <w:autoRedefine/>
    <w:qFormat/>
    <w:locked/>
    <w:uiPriority w:val="99"/>
    <w:rPr>
      <w:rFonts w:ascii="宋体" w:eastAsia="宋体" w:cs="宋体"/>
      <w:kern w:val="2"/>
      <w:sz w:val="24"/>
      <w:szCs w:val="24"/>
    </w:rPr>
  </w:style>
  <w:style w:type="paragraph" w:customStyle="1" w:styleId="70">
    <w:name w:val="宋体小四"/>
    <w:basedOn w:val="1"/>
    <w:link w:val="69"/>
    <w:autoRedefine/>
    <w:qFormat/>
    <w:uiPriority w:val="99"/>
    <w:pPr>
      <w:spacing w:line="360" w:lineRule="auto"/>
      <w:ind w:firstLine="480" w:firstLineChars="200"/>
    </w:pPr>
    <w:rPr>
      <w:rFonts w:ascii="宋体" w:hAnsi="宋体" w:cs="宋体"/>
      <w:sz w:val="24"/>
      <w:szCs w:val="24"/>
    </w:rPr>
  </w:style>
  <w:style w:type="character" w:customStyle="1" w:styleId="71">
    <w:name w:val="fontstyle01"/>
    <w:basedOn w:val="31"/>
    <w:autoRedefine/>
    <w:qFormat/>
    <w:uiPriority w:val="99"/>
    <w:rPr>
      <w:rFonts w:ascii="宋体" w:eastAsia="宋体" w:cs="宋体"/>
      <w:color w:val="000000"/>
      <w:sz w:val="22"/>
      <w:szCs w:val="22"/>
    </w:rPr>
  </w:style>
  <w:style w:type="paragraph" w:customStyle="1" w:styleId="72">
    <w:name w:val="正文首行缩进2字符"/>
    <w:basedOn w:val="1"/>
    <w:autoRedefine/>
    <w:qFormat/>
    <w:uiPriority w:val="99"/>
    <w:pPr>
      <w:spacing w:line="360" w:lineRule="auto"/>
      <w:ind w:firstLine="200" w:firstLineChars="200"/>
    </w:pPr>
  </w:style>
  <w:style w:type="paragraph" w:customStyle="1" w:styleId="73">
    <w:name w:val="居中表格内容标题"/>
    <w:basedOn w:val="74"/>
    <w:qFormat/>
    <w:uiPriority w:val="0"/>
    <w:pPr>
      <w:jc w:val="center"/>
    </w:pPr>
    <w:rPr>
      <w:b/>
    </w:rPr>
  </w:style>
  <w:style w:type="paragraph" w:customStyle="1" w:styleId="74">
    <w:name w:val="居中表格内容"/>
    <w:basedOn w:val="1"/>
    <w:next w:val="1"/>
    <w:autoRedefine/>
    <w:qFormat/>
    <w:uiPriority w:val="0"/>
    <w:pPr>
      <w:jc w:val="left"/>
    </w:pPr>
    <w:rPr>
      <w:szCs w:val="28"/>
    </w:rPr>
  </w:style>
  <w:style w:type="paragraph" w:customStyle="1" w:styleId="75">
    <w:name w:val="Body text|1"/>
    <w:basedOn w:val="1"/>
    <w:autoRedefine/>
    <w:qFormat/>
    <w:uiPriority w:val="0"/>
    <w:pPr>
      <w:spacing w:line="374" w:lineRule="auto"/>
      <w:ind w:firstLine="400"/>
    </w:pPr>
    <w:rPr>
      <w:rFonts w:ascii="宋体" w:hAnsi="宋体" w:cs="宋体"/>
      <w:sz w:val="30"/>
      <w:szCs w:val="30"/>
      <w:lang w:val="zh-TW" w:eastAsia="zh-TW" w:bidi="zh-TW"/>
    </w:rPr>
  </w:style>
  <w:style w:type="paragraph" w:customStyle="1" w:styleId="76">
    <w:name w:val="Body text|2"/>
    <w:basedOn w:val="1"/>
    <w:qFormat/>
    <w:uiPriority w:val="0"/>
    <w:pPr>
      <w:spacing w:line="360" w:lineRule="auto"/>
      <w:ind w:firstLine="660"/>
    </w:pPr>
    <w:rPr>
      <w:sz w:val="32"/>
      <w:szCs w:val="32"/>
      <w:lang w:val="zh-TW" w:eastAsia="zh-TW" w:bidi="zh-TW"/>
    </w:rPr>
  </w:style>
  <w:style w:type="character" w:customStyle="1" w:styleId="77">
    <w:name w:val="NormalCharacter"/>
    <w:autoRedefine/>
    <w:semiHidden/>
    <w:qFormat/>
    <w:uiPriority w:val="0"/>
  </w:style>
  <w:style w:type="paragraph" w:customStyle="1" w:styleId="78">
    <w:name w:val="CM26"/>
    <w:basedOn w:val="1"/>
    <w:next w:val="1"/>
    <w:autoRedefine/>
    <w:qFormat/>
    <w:uiPriority w:val="0"/>
    <w:pPr>
      <w:autoSpaceDE w:val="0"/>
      <w:autoSpaceDN w:val="0"/>
      <w:adjustRightInd w:val="0"/>
      <w:spacing w:line="400" w:lineRule="atLeast"/>
      <w:jc w:val="left"/>
    </w:pPr>
    <w:rPr>
      <w:rFonts w:ascii="宋体" w:hAnsi="宋体"/>
      <w:kern w:val="0"/>
      <w:sz w:val="24"/>
    </w:rPr>
  </w:style>
  <w:style w:type="paragraph" w:customStyle="1" w:styleId="79">
    <w:name w:val="xc正文"/>
    <w:basedOn w:val="1"/>
    <w:qFormat/>
    <w:uiPriority w:val="0"/>
    <w:pPr>
      <w:ind w:firstLine="200" w:firstLineChars="200"/>
    </w:pPr>
    <w:rPr>
      <w:szCs w:val="24"/>
    </w:rPr>
  </w:style>
  <w:style w:type="paragraph" w:styleId="80">
    <w:name w:val="List Paragraph"/>
    <w:basedOn w:val="1"/>
    <w:autoRedefine/>
    <w:qFormat/>
    <w:uiPriority w:val="1"/>
    <w:pPr>
      <w:ind w:firstLine="420" w:firstLineChars="200"/>
    </w:pPr>
    <w:rPr>
      <w:szCs w:val="24"/>
    </w:rPr>
  </w:style>
  <w:style w:type="character" w:customStyle="1" w:styleId="81">
    <w:name w:val="fontstyle21"/>
    <w:autoRedefine/>
    <w:qFormat/>
    <w:uiPriority w:val="0"/>
    <w:rPr>
      <w:rFonts w:hint="default" w:ascii="TimesNewRomanPSMT" w:hAnsi="TimesNewRomanPSMT"/>
      <w:color w:val="000000"/>
      <w:sz w:val="32"/>
      <w:szCs w:val="32"/>
    </w:rPr>
  </w:style>
  <w:style w:type="paragraph" w:customStyle="1" w:styleId="82">
    <w:name w:val="_Style 16"/>
    <w:next w:val="1"/>
    <w:autoRedefine/>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83">
    <w:name w:val="_Style 76"/>
    <w:basedOn w:val="1"/>
    <w:next w:val="80"/>
    <w:autoRedefine/>
    <w:qFormat/>
    <w:uiPriority w:val="34"/>
    <w:pPr>
      <w:ind w:firstLine="420" w:firstLineChars="200"/>
    </w:pPr>
    <w:rPr>
      <w:szCs w:val="24"/>
    </w:rPr>
  </w:style>
  <w:style w:type="paragraph" w:customStyle="1" w:styleId="84">
    <w:name w:val="纯文本1"/>
    <w:basedOn w:val="1"/>
    <w:autoRedefine/>
    <w:qFormat/>
    <w:uiPriority w:val="0"/>
    <w:pPr>
      <w:ind w:firstLine="280" w:firstLineChars="100"/>
    </w:pPr>
    <w:rPr>
      <w:rFonts w:hAnsi="宋体" w:cs="Courier New"/>
    </w:rPr>
  </w:style>
  <w:style w:type="paragraph" w:customStyle="1" w:styleId="85">
    <w:name w:val="居中表名"/>
    <w:basedOn w:val="1"/>
    <w:next w:val="1"/>
    <w:autoRedefine/>
    <w:qFormat/>
    <w:uiPriority w:val="0"/>
    <w:pPr>
      <w:jc w:val="center"/>
    </w:pPr>
    <w:rPr>
      <w:rFonts w:eastAsia="黑体"/>
      <w:b/>
      <w:szCs w:val="28"/>
    </w:rPr>
  </w:style>
  <w:style w:type="paragraph" w:customStyle="1" w:styleId="86">
    <w:name w:val="列表段落1"/>
    <w:basedOn w:val="1"/>
    <w:autoRedefine/>
    <w:qFormat/>
    <w:uiPriority w:val="0"/>
    <w:pPr>
      <w:ind w:firstLine="420"/>
    </w:pPr>
  </w:style>
  <w:style w:type="paragraph" w:customStyle="1" w:styleId="87">
    <w:name w:val="[Normal]"/>
    <w:qFormat/>
    <w:uiPriority w:val="0"/>
    <w:rPr>
      <w:rFonts w:ascii="宋体" w:hAnsi="宋体" w:eastAsia="宋体" w:cs="Times New Roman"/>
      <w:sz w:val="24"/>
      <w:szCs w:val="22"/>
      <w:lang w:val="zh-CN" w:eastAsia="zh-CN" w:bidi="ar-SA"/>
    </w:rPr>
  </w:style>
  <w:style w:type="paragraph" w:customStyle="1" w:styleId="88">
    <w:name w:val="列出段落2"/>
    <w:basedOn w:val="1"/>
    <w:qFormat/>
    <w:uiPriority w:val="1"/>
    <w:pPr>
      <w:ind w:firstLine="420" w:firstLineChars="200"/>
    </w:pPr>
    <w:rPr>
      <w:szCs w:val="24"/>
    </w:rPr>
  </w:style>
  <w:style w:type="character" w:customStyle="1" w:styleId="89">
    <w:name w:val="font21"/>
    <w:autoRedefine/>
    <w:qFormat/>
    <w:uiPriority w:val="0"/>
    <w:rPr>
      <w:rFonts w:hint="eastAsia" w:ascii="宋体" w:hAnsi="宋体" w:eastAsia="宋体" w:cs="宋体"/>
      <w:b/>
      <w:color w:val="FF0000"/>
      <w:sz w:val="24"/>
      <w:szCs w:val="24"/>
      <w:u w:val="none"/>
    </w:rPr>
  </w:style>
  <w:style w:type="paragraph" w:customStyle="1" w:styleId="90">
    <w:name w:val="样式6"/>
    <w:basedOn w:val="14"/>
    <w:autoRedefine/>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91">
    <w:name w:val="Plain Text"/>
    <w:basedOn w:val="1"/>
    <w:autoRedefine/>
    <w:qFormat/>
    <w:uiPriority w:val="0"/>
    <w:rPr>
      <w:rFonts w:hint="eastAsia" w:ascii="宋体" w:hAnsi="Courier New"/>
      <w:szCs w:val="20"/>
    </w:rPr>
  </w:style>
  <w:style w:type="paragraph" w:customStyle="1" w:styleId="92">
    <w:name w:val="p0"/>
    <w:basedOn w:val="1"/>
    <w:qFormat/>
    <w:uiPriority w:val="99"/>
    <w:pPr>
      <w:widowControl/>
    </w:pPr>
    <w:rPr>
      <w:kern w:val="0"/>
      <w:szCs w:val="21"/>
    </w:rPr>
  </w:style>
  <w:style w:type="paragraph" w:customStyle="1" w:styleId="93">
    <w:name w:val="标准正文"/>
    <w:basedOn w:val="1"/>
    <w:autoRedefine/>
    <w:qFormat/>
    <w:uiPriority w:val="0"/>
    <w:pPr>
      <w:tabs>
        <w:tab w:val="left" w:pos="780"/>
      </w:tabs>
      <w:spacing w:line="360" w:lineRule="auto"/>
      <w:ind w:left="200" w:leftChars="200" w:firstLine="200" w:firstLineChars="200"/>
    </w:pPr>
    <w:rPr>
      <w:snapToGrid/>
      <w:kern w:val="2"/>
      <w:sz w:val="24"/>
      <w:szCs w:val="24"/>
    </w:rPr>
  </w:style>
  <w:style w:type="paragraph" w:customStyle="1" w:styleId="94">
    <w:name w:val="BodyText"/>
    <w:basedOn w:val="1"/>
    <w:next w:val="1"/>
    <w:autoRedefine/>
    <w:qFormat/>
    <w:uiPriority w:val="0"/>
    <w:pPr>
      <w:tabs>
        <w:tab w:val="left" w:pos="567"/>
      </w:tabs>
      <w:spacing w:before="120" w:line="240" w:lineRule="atLeast"/>
      <w:jc w:val="both"/>
      <w:textAlignment w:val="baseline"/>
    </w:pPr>
    <w:rPr>
      <w:rFonts w:ascii="宋体" w:hAnsi="宋体"/>
      <w:color w:val="000000"/>
      <w:kern w:val="2"/>
      <w:sz w:val="24"/>
      <w:lang w:val="en-US" w:eastAsia="zh-CN" w:bidi="ar-SA"/>
    </w:rPr>
  </w:style>
  <w:style w:type="character" w:customStyle="1" w:styleId="95">
    <w:name w:val="font01"/>
    <w:basedOn w:val="3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49</Pages>
  <Words>22353</Words>
  <Characters>23865</Characters>
  <Lines>267</Lines>
  <Paragraphs>75</Paragraphs>
  <TotalTime>0</TotalTime>
  <ScaleCrop>false</ScaleCrop>
  <LinksUpToDate>false</LinksUpToDate>
  <CharactersWithSpaces>24869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2021-12-07T03:03:00Z</dcterms:created>
  <dc:creator>陈圣楠</dc:creator>
  <cp:lastModifiedBy>沅沅</cp:lastModifiedBy>
  <cp:lastPrinted>2022-01-07T05:58:00Z</cp:lastPrinted>
  <dcterms:modified xsi:type="dcterms:W3CDTF">2025-01-21T08:17:53Z</dcterms:modified>
  <dc:title>上虞区自然资源变更监测项目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3E0293FB6C6649BEBC7D2928DDAB370F_13</vt:lpwstr>
  </property>
  <property fmtid="{D5CDD505-2E9C-101B-9397-08002B2CF9AE}" pid="4" name="commondata">
    <vt:lpwstr>eyJoZGlkIjoiNjY1YWU2ZTk2MGU1NDNlZGY5MzE0NzM2ODJlNDA4NTkifQ==</vt:lpwstr>
  </property>
  <property fmtid="{D5CDD505-2E9C-101B-9397-08002B2CF9AE}" pid="5" name="KSOTemplateDocerSaveRecord">
    <vt:lpwstr>eyJoZGlkIjoiOTk3NDIwYTI4Yjk5ZjBkNDI2N2FiZWM1YzhhY2VkNDIiLCJ1c2VySWQiOiIxNTE2OTc4MDAyIn0=</vt:lpwstr>
  </property>
</Properties>
</file>