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BF47C">
      <w:pPr>
        <w:spacing w:line="360" w:lineRule="auto"/>
        <w:jc w:val="center"/>
        <w:rPr>
          <w:rFonts w:asciiTheme="minorEastAsia" w:hAnsiTheme="minorEastAsia" w:eastAsiaTheme="minorEastAsia" w:cstheme="minorEastAsia"/>
          <w:color w:val="auto"/>
          <w:sz w:val="48"/>
          <w:szCs w:val="48"/>
          <w:highlight w:val="none"/>
        </w:rPr>
      </w:pPr>
    </w:p>
    <w:p w14:paraId="76F04031">
      <w:pPr>
        <w:spacing w:line="360" w:lineRule="auto"/>
        <w:jc w:val="center"/>
        <w:rPr>
          <w:rFonts w:hint="eastAsia" w:asciiTheme="minorEastAsia" w:hAnsiTheme="minorEastAsia" w:eastAsiaTheme="minorEastAsia" w:cstheme="minorEastAsia"/>
          <w:color w:val="auto"/>
          <w:sz w:val="44"/>
          <w:szCs w:val="44"/>
          <w:highlight w:val="none"/>
          <w:lang w:val="en-US" w:eastAsia="zh-CN"/>
        </w:rPr>
      </w:pPr>
      <w:r>
        <w:rPr>
          <w:rFonts w:hint="eastAsia" w:asciiTheme="minorEastAsia" w:hAnsiTheme="minorEastAsia" w:eastAsiaTheme="minorEastAsia" w:cstheme="minorEastAsia"/>
          <w:color w:val="auto"/>
          <w:sz w:val="44"/>
          <w:szCs w:val="44"/>
          <w:highlight w:val="none"/>
          <w:lang w:eastAsia="zh-CN"/>
        </w:rPr>
        <w:t>G15沈海高速宁波西坞至麻岙岭改扩建工程—电力及通信线路迁改工程（康亭村）（土建部分）</w:t>
      </w:r>
      <w:r>
        <w:rPr>
          <w:rFonts w:hint="eastAsia" w:asciiTheme="minorEastAsia" w:hAnsiTheme="minorEastAsia" w:eastAsiaTheme="minorEastAsia" w:cstheme="minorEastAsia"/>
          <w:color w:val="auto"/>
          <w:sz w:val="44"/>
          <w:szCs w:val="44"/>
          <w:highlight w:val="none"/>
        </w:rPr>
        <w:t>竞争性</w:t>
      </w:r>
      <w:r>
        <w:rPr>
          <w:rFonts w:hint="eastAsia" w:asciiTheme="minorEastAsia" w:hAnsiTheme="minorEastAsia" w:eastAsiaTheme="minorEastAsia" w:cstheme="minorEastAsia"/>
          <w:color w:val="auto"/>
          <w:sz w:val="44"/>
          <w:szCs w:val="44"/>
          <w:highlight w:val="none"/>
          <w:lang w:val="en-US" w:eastAsia="zh-CN"/>
        </w:rPr>
        <w:t>磋商</w:t>
      </w:r>
    </w:p>
    <w:p w14:paraId="625E787D">
      <w:pPr>
        <w:spacing w:line="360" w:lineRule="auto"/>
        <w:jc w:val="center"/>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eastAsiaTheme="minorEastAsia" w:cstheme="minorEastAsia"/>
          <w:color w:val="auto"/>
          <w:sz w:val="44"/>
          <w:szCs w:val="44"/>
          <w:highlight w:val="none"/>
          <w:lang w:eastAsia="zh-CN"/>
        </w:rPr>
        <w:t>采购文件</w:t>
      </w:r>
    </w:p>
    <w:p w14:paraId="72793726">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（电子交易项目）</w:t>
      </w:r>
    </w:p>
    <w:p w14:paraId="2E4335EF">
      <w:pPr>
        <w:tabs>
          <w:tab w:val="left" w:pos="610"/>
          <w:tab w:val="center" w:pos="4595"/>
        </w:tabs>
        <w:snapToGrid w:val="0"/>
        <w:spacing w:line="360" w:lineRule="auto"/>
        <w:jc w:val="left"/>
        <w:rPr>
          <w:rFonts w:hint="default"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lang w:eastAsia="zh-CN"/>
        </w:rPr>
        <w:tab/>
      </w:r>
      <w:r>
        <w:rPr>
          <w:rFonts w:hint="eastAsia" w:asciiTheme="minorEastAsia" w:hAnsiTheme="minorEastAsia" w:eastAsiaTheme="minorEastAsia" w:cstheme="minorEastAsia"/>
          <w:color w:val="auto"/>
          <w:sz w:val="30"/>
          <w:szCs w:val="30"/>
          <w:highlight w:val="none"/>
          <w:lang w:eastAsia="zh-CN"/>
        </w:rPr>
        <w:tab/>
      </w: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color w:val="auto"/>
          <w:sz w:val="30"/>
          <w:szCs w:val="30"/>
          <w:highlight w:val="none"/>
          <w:lang w:val="en-US" w:eastAsia="zh-CN"/>
        </w:rPr>
        <w:t>FHGQZB(2025)048D</w:t>
      </w:r>
    </w:p>
    <w:p w14:paraId="7DE12D7F">
      <w:pPr>
        <w:spacing w:line="360" w:lineRule="auto"/>
        <w:rPr>
          <w:rFonts w:asciiTheme="minorEastAsia" w:hAnsiTheme="minorEastAsia" w:eastAsiaTheme="minorEastAsia" w:cstheme="minorEastAsia"/>
          <w:color w:val="auto"/>
          <w:sz w:val="28"/>
          <w:szCs w:val="20"/>
          <w:highlight w:val="none"/>
        </w:rPr>
      </w:pPr>
    </w:p>
    <w:p w14:paraId="56AA1812">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0DAA8679">
      <w:pPr>
        <w:spacing w:line="360" w:lineRule="auto"/>
        <w:jc w:val="center"/>
        <w:rPr>
          <w:rFonts w:asciiTheme="minorEastAsia" w:hAnsiTheme="minorEastAsia" w:eastAsiaTheme="minorEastAsia" w:cstheme="minorEastAsia"/>
          <w:b/>
          <w:color w:val="auto"/>
          <w:sz w:val="44"/>
          <w:szCs w:val="44"/>
          <w:highlight w:val="none"/>
        </w:rPr>
      </w:pPr>
    </w:p>
    <w:p w14:paraId="188C5B48">
      <w:pPr>
        <w:pStyle w:val="35"/>
        <w:ind w:firstLine="560"/>
        <w:rPr>
          <w:rFonts w:asciiTheme="minorEastAsia" w:hAnsiTheme="minorEastAsia" w:eastAsiaTheme="minorEastAsia" w:cstheme="minorEastAsia"/>
          <w:color w:val="auto"/>
          <w:highlight w:val="none"/>
        </w:rPr>
      </w:pPr>
    </w:p>
    <w:p w14:paraId="695A15B7">
      <w:pPr>
        <w:pStyle w:val="35"/>
        <w:ind w:firstLine="560"/>
        <w:rPr>
          <w:rFonts w:asciiTheme="minorEastAsia" w:hAnsiTheme="minorEastAsia" w:eastAsiaTheme="minorEastAsia" w:cstheme="minorEastAsia"/>
          <w:color w:val="auto"/>
          <w:highlight w:val="none"/>
        </w:rPr>
      </w:pPr>
    </w:p>
    <w:p w14:paraId="22E6F8DA">
      <w:pPr>
        <w:spacing w:line="360" w:lineRule="auto"/>
        <w:rPr>
          <w:rFonts w:asciiTheme="minorEastAsia" w:hAnsiTheme="minorEastAsia" w:eastAsiaTheme="minorEastAsia" w:cstheme="minorEastAsia"/>
          <w:color w:val="auto"/>
          <w:sz w:val="24"/>
          <w:highlight w:val="none"/>
        </w:rPr>
      </w:pPr>
    </w:p>
    <w:p w14:paraId="7F206C65">
      <w:pPr>
        <w:pStyle w:val="9"/>
        <w:rPr>
          <w:color w:val="auto"/>
          <w:highlight w:val="none"/>
        </w:rPr>
      </w:pPr>
    </w:p>
    <w:p w14:paraId="76195B09">
      <w:pPr>
        <w:spacing w:line="360" w:lineRule="auto"/>
        <w:jc w:val="center"/>
        <w:rPr>
          <w:rFonts w:asciiTheme="minorEastAsia" w:hAnsiTheme="minorEastAsia" w:eastAsiaTheme="minorEastAsia" w:cstheme="minorEastAsia"/>
          <w:color w:val="auto"/>
          <w:sz w:val="24"/>
          <w:highlight w:val="none"/>
        </w:rPr>
      </w:pPr>
    </w:p>
    <w:p w14:paraId="24DB4FFE">
      <w:pPr>
        <w:spacing w:line="360" w:lineRule="auto"/>
        <w:rPr>
          <w:rFonts w:asciiTheme="minorEastAsia" w:hAnsiTheme="minorEastAsia" w:eastAsiaTheme="minorEastAsia" w:cstheme="minorEastAsia"/>
          <w:color w:val="auto"/>
          <w:sz w:val="32"/>
          <w:szCs w:val="32"/>
          <w:highlight w:val="none"/>
        </w:rPr>
      </w:pPr>
    </w:p>
    <w:p w14:paraId="30A9D092">
      <w:pPr>
        <w:spacing w:line="360" w:lineRule="auto"/>
        <w:ind w:firstLine="960" w:firstLineChars="3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宁波市奉化区惠海地下管线投资有限公司</w:t>
      </w:r>
    </w:p>
    <w:p w14:paraId="3AACB5C0">
      <w:pPr>
        <w:snapToGrid w:val="0"/>
        <w:spacing w:line="360" w:lineRule="auto"/>
        <w:ind w:firstLine="960" w:firstLineChars="300"/>
        <w:jc w:val="both"/>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rPr>
        <w:t>采购代理机构：</w:t>
      </w:r>
      <w:r>
        <w:rPr>
          <w:rFonts w:hint="eastAsia" w:asciiTheme="minorEastAsia" w:hAnsiTheme="minorEastAsia" w:eastAsiaTheme="minorEastAsia" w:cstheme="minorEastAsia"/>
          <w:color w:val="auto"/>
          <w:sz w:val="32"/>
          <w:szCs w:val="32"/>
          <w:highlight w:val="none"/>
          <w:lang w:val="en-US" w:eastAsia="zh-CN"/>
        </w:rPr>
        <w:t>浙江天诚工程咨询有限公司</w:t>
      </w:r>
    </w:p>
    <w:p w14:paraId="15BC1E87">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二零二</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年</w:t>
      </w:r>
    </w:p>
    <w:p w14:paraId="208F876E">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3EF74D64">
      <w:pPr>
        <w:spacing w:line="360" w:lineRule="auto"/>
        <w:jc w:val="center"/>
        <w:rPr>
          <w:rFonts w:asciiTheme="minorEastAsia" w:hAnsiTheme="minorEastAsia" w:eastAsiaTheme="minorEastAsia" w:cstheme="minorEastAsia"/>
          <w:color w:val="auto"/>
          <w:sz w:val="24"/>
          <w:highlight w:val="none"/>
        </w:rPr>
      </w:pPr>
    </w:p>
    <w:p w14:paraId="2B2DA5A4">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51834BD0">
      <w:pPr>
        <w:spacing w:line="360" w:lineRule="auto"/>
        <w:rPr>
          <w:rFonts w:asciiTheme="minorEastAsia" w:hAnsiTheme="minorEastAsia" w:eastAsiaTheme="minorEastAsia" w:cstheme="minorEastAsia"/>
          <w:color w:val="auto"/>
          <w:sz w:val="32"/>
          <w:szCs w:val="32"/>
          <w:highlight w:val="none"/>
        </w:rPr>
      </w:pPr>
    </w:p>
    <w:p w14:paraId="400F80A0">
      <w:pPr>
        <w:spacing w:line="360" w:lineRule="auto"/>
        <w:rPr>
          <w:rFonts w:asciiTheme="minorEastAsia" w:hAnsiTheme="minorEastAsia" w:eastAsiaTheme="minorEastAsia" w:cstheme="minorEastAsia"/>
          <w:color w:val="auto"/>
          <w:sz w:val="32"/>
          <w:szCs w:val="32"/>
          <w:highlight w:val="none"/>
        </w:rPr>
      </w:pPr>
    </w:p>
    <w:p w14:paraId="78B9340D">
      <w:pPr>
        <w:spacing w:line="360" w:lineRule="auto"/>
        <w:ind w:firstLine="732" w:firstLineChars="229"/>
        <w:rPr>
          <w:rFonts w:asciiTheme="minorEastAsia" w:hAnsiTheme="minorEastAsia" w:eastAsiaTheme="minorEastAsia" w:cstheme="minorEastAsia"/>
          <w:color w:val="auto"/>
          <w:sz w:val="32"/>
          <w:szCs w:val="32"/>
          <w:highlight w:val="none"/>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第一部分  竞争性磋商公告</w:t>
      </w:r>
    </w:p>
    <w:p w14:paraId="0082FBB1">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响应须知</w:t>
      </w:r>
    </w:p>
    <w:p w14:paraId="141039E1">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4AC813C0">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评审办法</w:t>
      </w:r>
    </w:p>
    <w:p w14:paraId="42C29BE5">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合同文本</w:t>
      </w:r>
    </w:p>
    <w:p w14:paraId="74E43D83">
      <w:pPr>
        <w:spacing w:line="360" w:lineRule="auto"/>
        <w:ind w:firstLine="732" w:firstLineChars="22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2EF19DDB">
      <w:pPr>
        <w:spacing w:line="360" w:lineRule="auto"/>
        <w:ind w:firstLine="549" w:firstLineChars="229"/>
        <w:rPr>
          <w:rFonts w:asciiTheme="minorEastAsia" w:hAnsiTheme="minorEastAsia" w:eastAsiaTheme="minorEastAsia" w:cstheme="minorEastAsia"/>
          <w:color w:val="auto"/>
          <w:sz w:val="24"/>
          <w:highlight w:val="none"/>
        </w:rPr>
      </w:pPr>
    </w:p>
    <w:p w14:paraId="7ACC4E77">
      <w:pPr>
        <w:spacing w:line="360" w:lineRule="auto"/>
        <w:ind w:firstLine="480" w:firstLineChars="229"/>
        <w:rPr>
          <w:rFonts w:asciiTheme="minorEastAsia" w:hAnsiTheme="minorEastAsia" w:eastAsiaTheme="minorEastAsia" w:cstheme="minorEastAsia"/>
          <w:color w:val="auto"/>
          <w:sz w:val="24"/>
          <w:highlight w:val="none"/>
        </w:rPr>
      </w:pPr>
      <w:r>
        <w:rPr>
          <w:rFonts w:hint="eastAsia" w:ascii="宋体" w:hAnsi="宋体" w:cs="宋体"/>
          <w:bCs/>
          <w:snapToGrid w:val="0"/>
          <w:color w:val="auto"/>
          <w:kern w:val="2"/>
          <w:sz w:val="21"/>
          <w:szCs w:val="21"/>
          <w:highlight w:val="none"/>
          <w:u w:val="none"/>
          <w:lang w:val="en-US" w:eastAsia="zh-CN" w:bidi="ar-SA"/>
        </w:rPr>
        <w:t xml:space="preserve"> </w:t>
      </w:r>
    </w:p>
    <w:p w14:paraId="2264205F">
      <w:pPr>
        <w:spacing w:line="360" w:lineRule="auto"/>
        <w:rPr>
          <w:rFonts w:asciiTheme="minorEastAsia" w:hAnsiTheme="minorEastAsia" w:eastAsiaTheme="minorEastAsia" w:cstheme="minorEastAsia"/>
          <w:color w:val="auto"/>
          <w:sz w:val="24"/>
          <w:highlight w:val="none"/>
        </w:rPr>
      </w:pPr>
    </w:p>
    <w:p w14:paraId="00AF585A">
      <w:pPr>
        <w:spacing w:line="360" w:lineRule="auto"/>
        <w:ind w:firstLine="549" w:firstLineChars="229"/>
        <w:rPr>
          <w:rFonts w:asciiTheme="minorEastAsia" w:hAnsiTheme="minorEastAsia" w:eastAsiaTheme="minorEastAsia" w:cstheme="minorEastAsia"/>
          <w:color w:val="auto"/>
          <w:sz w:val="24"/>
          <w:highlight w:val="none"/>
        </w:rPr>
      </w:pPr>
    </w:p>
    <w:p w14:paraId="7AAC312A">
      <w:pPr>
        <w:tabs>
          <w:tab w:val="left" w:pos="2548"/>
        </w:tabs>
        <w:spacing w:line="360" w:lineRule="auto"/>
        <w:ind w:firstLine="549" w:firstLineChars="229"/>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ab/>
      </w:r>
      <w:r>
        <w:rPr>
          <w:rFonts w:hint="eastAsia" w:asciiTheme="minorEastAsia" w:hAnsiTheme="minorEastAsia" w:eastAsiaTheme="minorEastAsia" w:cstheme="minorEastAsia"/>
          <w:color w:val="auto"/>
          <w:sz w:val="24"/>
          <w:highlight w:val="none"/>
          <w:lang w:val="en-US" w:eastAsia="zh-CN"/>
        </w:rPr>
        <w:t xml:space="preserve">  </w:t>
      </w:r>
    </w:p>
    <w:p w14:paraId="7E1D6949">
      <w:pPr>
        <w:spacing w:line="360" w:lineRule="auto"/>
        <w:ind w:firstLine="549" w:firstLineChars="229"/>
        <w:rPr>
          <w:rFonts w:asciiTheme="minorEastAsia" w:hAnsiTheme="minorEastAsia" w:eastAsiaTheme="minorEastAsia" w:cstheme="minorEastAsia"/>
          <w:color w:val="auto"/>
          <w:sz w:val="24"/>
          <w:highlight w:val="none"/>
        </w:rPr>
      </w:pPr>
    </w:p>
    <w:p w14:paraId="2999776E">
      <w:pPr>
        <w:spacing w:line="360" w:lineRule="auto"/>
        <w:ind w:firstLine="549" w:firstLineChars="229"/>
        <w:rPr>
          <w:rFonts w:asciiTheme="minorEastAsia" w:hAnsiTheme="minorEastAsia" w:eastAsiaTheme="minorEastAsia" w:cstheme="minorEastAsia"/>
          <w:color w:val="auto"/>
          <w:sz w:val="24"/>
          <w:highlight w:val="none"/>
        </w:rPr>
      </w:pPr>
    </w:p>
    <w:p w14:paraId="1662333F">
      <w:pPr>
        <w:spacing w:line="360" w:lineRule="auto"/>
        <w:ind w:firstLine="549" w:firstLineChars="229"/>
        <w:rPr>
          <w:rFonts w:asciiTheme="minorEastAsia" w:hAnsiTheme="minorEastAsia" w:eastAsiaTheme="minorEastAsia" w:cstheme="minorEastAsia"/>
          <w:color w:val="auto"/>
          <w:sz w:val="24"/>
          <w:highlight w:val="none"/>
        </w:rPr>
      </w:pPr>
    </w:p>
    <w:p w14:paraId="4E802CBF">
      <w:pPr>
        <w:spacing w:line="360" w:lineRule="auto"/>
        <w:ind w:firstLine="549" w:firstLineChars="229"/>
        <w:rPr>
          <w:rFonts w:asciiTheme="minorEastAsia" w:hAnsiTheme="minorEastAsia" w:eastAsiaTheme="minorEastAsia" w:cstheme="minorEastAsia"/>
          <w:color w:val="auto"/>
          <w:sz w:val="24"/>
          <w:highlight w:val="none"/>
        </w:rPr>
      </w:pPr>
    </w:p>
    <w:p w14:paraId="2C063451">
      <w:pPr>
        <w:spacing w:line="360" w:lineRule="auto"/>
        <w:ind w:firstLine="549" w:firstLineChars="229"/>
        <w:rPr>
          <w:rFonts w:asciiTheme="minorEastAsia" w:hAnsiTheme="minorEastAsia" w:eastAsiaTheme="minorEastAsia" w:cstheme="minorEastAsia"/>
          <w:color w:val="auto"/>
          <w:sz w:val="24"/>
          <w:highlight w:val="none"/>
        </w:rPr>
      </w:pPr>
    </w:p>
    <w:p w14:paraId="27C48F4D">
      <w:pPr>
        <w:spacing w:line="360" w:lineRule="auto"/>
        <w:ind w:firstLine="549" w:firstLineChars="229"/>
        <w:rPr>
          <w:rFonts w:asciiTheme="minorEastAsia" w:hAnsiTheme="minorEastAsia" w:eastAsiaTheme="minorEastAsia" w:cstheme="minorEastAsia"/>
          <w:color w:val="auto"/>
          <w:sz w:val="24"/>
          <w:highlight w:val="none"/>
        </w:rPr>
      </w:pPr>
    </w:p>
    <w:p w14:paraId="1DCECA6E">
      <w:pPr>
        <w:spacing w:line="360" w:lineRule="auto"/>
        <w:rPr>
          <w:rFonts w:asciiTheme="minorEastAsia" w:hAnsiTheme="minorEastAsia" w:eastAsiaTheme="minorEastAsia" w:cstheme="minorEastAsia"/>
          <w:color w:val="auto"/>
          <w:sz w:val="24"/>
          <w:highlight w:val="none"/>
        </w:rPr>
      </w:pPr>
    </w:p>
    <w:p w14:paraId="1522105E">
      <w:pPr>
        <w:spacing w:line="360" w:lineRule="auto"/>
        <w:jc w:val="center"/>
        <w:outlineLvl w:val="0"/>
        <w:rPr>
          <w:rFonts w:asciiTheme="minorEastAsia" w:hAnsiTheme="minorEastAsia" w:eastAsiaTheme="minorEastAsia" w:cstheme="minorEastAsia"/>
          <w:b/>
          <w:color w:val="auto"/>
          <w:sz w:val="24"/>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竞争性磋商公告</w:t>
      </w:r>
    </w:p>
    <w:p w14:paraId="6E56AB4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6A63B2E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bCs/>
          <w:snapToGrid w:val="0"/>
          <w:color w:val="auto"/>
          <w:kern w:val="2"/>
          <w:sz w:val="21"/>
          <w:szCs w:val="21"/>
          <w:highlight w:val="none"/>
          <w:u w:val="single"/>
          <w:lang w:val="en-US" w:eastAsia="zh-CN" w:bidi="ar-SA"/>
        </w:rPr>
        <w:t>G15沈海高速宁波西坞至麻岙岭改扩建工程—电力及通信线路迁改工程（康亭村）（土建部分）</w:t>
      </w:r>
      <w:r>
        <w:rPr>
          <w:rFonts w:hint="eastAsia" w:ascii="宋体" w:hAnsi="宋体" w:eastAsia="宋体" w:cs="宋体"/>
          <w:color w:val="auto"/>
          <w:sz w:val="21"/>
          <w:szCs w:val="21"/>
          <w:highlight w:val="none"/>
        </w:rPr>
        <w:t>的潜在供应商应在</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 xml:space="preserve">平台（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"https://www.zcygov.cn/）获取（下载）招标文件，并于2022年00月00日14点30分00秒" </w:instrText>
      </w:r>
      <w:r>
        <w:rPr>
          <w:rFonts w:hint="eastAsia" w:ascii="宋体" w:hAnsi="宋体" w:eastAsia="宋体" w:cs="宋体"/>
          <w:color w:val="auto"/>
          <w:sz w:val="21"/>
          <w:szCs w:val="21"/>
          <w:highlight w:val="none"/>
        </w:rPr>
        <w:fldChar w:fldCharType="separate"/>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）获取（下载）采购文件，并于202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03</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03</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秒</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递交（上传）响应文件。</w:t>
      </w:r>
    </w:p>
    <w:p w14:paraId="52016FFF">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2344BB14">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default" w:ascii="宋体" w:hAnsi="宋体" w:eastAsia="宋体" w:cs="宋体"/>
          <w:bCs/>
          <w:snapToGrid w:val="0"/>
          <w:color w:val="auto"/>
          <w:kern w:val="2"/>
          <w:sz w:val="22"/>
          <w:szCs w:val="22"/>
          <w:highlight w:val="none"/>
          <w:lang w:val="en-US" w:eastAsia="zh-CN" w:bidi="ar-SA"/>
        </w:rPr>
      </w:pPr>
      <w:r>
        <w:rPr>
          <w:rFonts w:hint="eastAsia" w:ascii="宋体" w:hAnsi="宋体" w:eastAsia="宋体" w:cs="宋体"/>
          <w:b/>
          <w:color w:val="auto"/>
          <w:sz w:val="21"/>
          <w:szCs w:val="21"/>
          <w:highlight w:val="none"/>
        </w:rPr>
        <w:t>项目编号：</w:t>
      </w:r>
      <w:r>
        <w:rPr>
          <w:rFonts w:hint="eastAsia" w:ascii="宋体" w:hAnsi="宋体" w:cs="宋体"/>
          <w:b/>
          <w:color w:val="auto"/>
          <w:sz w:val="21"/>
          <w:szCs w:val="21"/>
          <w:highlight w:val="none"/>
          <w:lang w:val="en-US" w:eastAsia="zh-CN"/>
        </w:rPr>
        <w:t xml:space="preserve"> </w:t>
      </w:r>
      <w:r>
        <w:rPr>
          <w:rFonts w:hint="eastAsia" w:ascii="宋体" w:hAnsi="宋体" w:cs="宋体"/>
          <w:bCs/>
          <w:snapToGrid w:val="0"/>
          <w:color w:val="auto"/>
          <w:kern w:val="2"/>
          <w:sz w:val="22"/>
          <w:szCs w:val="22"/>
          <w:highlight w:val="none"/>
          <w:lang w:val="en-US" w:eastAsia="zh-CN" w:bidi="ar-SA"/>
        </w:rPr>
        <w:t>FHGQZB(2025)048</w:t>
      </w:r>
      <w:bookmarkStart w:id="465" w:name="_GoBack"/>
      <w:bookmarkEnd w:id="465"/>
      <w:r>
        <w:rPr>
          <w:rFonts w:hint="eastAsia" w:ascii="宋体" w:hAnsi="宋体" w:cs="宋体"/>
          <w:bCs/>
          <w:snapToGrid w:val="0"/>
          <w:color w:val="auto"/>
          <w:kern w:val="2"/>
          <w:sz w:val="22"/>
          <w:szCs w:val="22"/>
          <w:highlight w:val="none"/>
          <w:lang w:val="en-US" w:eastAsia="zh-CN" w:bidi="ar-SA"/>
        </w:rPr>
        <w:t>D</w:t>
      </w:r>
    </w:p>
    <w:p w14:paraId="47F8A5B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项目名称：</w:t>
      </w:r>
      <w:r>
        <w:rPr>
          <w:rFonts w:hint="eastAsia" w:ascii="宋体" w:hAnsi="宋体" w:cs="宋体"/>
          <w:bCs/>
          <w:snapToGrid w:val="0"/>
          <w:color w:val="auto"/>
          <w:kern w:val="2"/>
          <w:sz w:val="21"/>
          <w:szCs w:val="21"/>
          <w:highlight w:val="none"/>
          <w:lang w:val="en-US" w:eastAsia="zh-CN" w:bidi="ar-SA"/>
        </w:rPr>
        <w:t>G15沈海高速宁波西坞至麻岙岭改扩建工程—电力及通信线路迁改工程（康亭村）（土建部分）</w:t>
      </w:r>
      <w:r>
        <w:rPr>
          <w:rFonts w:hint="eastAsia" w:ascii="宋体" w:hAnsi="宋体" w:eastAsia="宋体" w:cs="宋体"/>
          <w:bCs/>
          <w:snapToGrid w:val="0"/>
          <w:color w:val="auto"/>
          <w:kern w:val="2"/>
          <w:sz w:val="21"/>
          <w:szCs w:val="21"/>
          <w:highlight w:val="none"/>
          <w:lang w:val="en-US" w:eastAsia="zh-CN" w:bidi="ar-SA"/>
        </w:rPr>
        <w:t xml:space="preserve">  </w:t>
      </w:r>
    </w:p>
    <w:p w14:paraId="5161D7CA">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Theme="minorEastAsia" w:hAnsiTheme="minorEastAsia" w:eastAsiaTheme="minorEastAsia" w:cstheme="minorEastAsia"/>
          <w:bCs/>
          <w:snapToGrid w:val="0"/>
          <w:color w:val="auto"/>
          <w:kern w:val="2"/>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rPr>
        <w:t>预算金额（元）：</w:t>
      </w:r>
      <w:r>
        <w:rPr>
          <w:rFonts w:hint="eastAsia" w:asciiTheme="minorEastAsia" w:hAnsiTheme="minorEastAsia" w:eastAsiaTheme="minorEastAsia" w:cstheme="minorEastAsia"/>
          <w:color w:val="auto"/>
          <w:sz w:val="22"/>
          <w:szCs w:val="22"/>
          <w:highlight w:val="none"/>
          <w:lang w:val="en-US" w:eastAsia="zh-CN"/>
        </w:rPr>
        <w:t>2431117</w:t>
      </w:r>
    </w:p>
    <w:p w14:paraId="539EE389">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最高限价（元）：</w:t>
      </w:r>
      <w:r>
        <w:rPr>
          <w:rFonts w:hint="eastAsia" w:asciiTheme="minorEastAsia" w:hAnsiTheme="minorEastAsia" w:eastAsiaTheme="minorEastAsia" w:cstheme="minorEastAsia"/>
          <w:bCs/>
          <w:snapToGrid w:val="0"/>
          <w:color w:val="auto"/>
          <w:kern w:val="2"/>
          <w:sz w:val="22"/>
          <w:szCs w:val="22"/>
          <w:highlight w:val="none"/>
          <w:lang w:val="en-US" w:eastAsia="zh-CN" w:bidi="ar-SA"/>
        </w:rPr>
        <w:t>2285250</w:t>
      </w:r>
      <w:r>
        <w:rPr>
          <w:rFonts w:hint="eastAsia" w:asciiTheme="minorEastAsia" w:hAnsiTheme="minorEastAsia" w:eastAsiaTheme="minorEastAsia" w:cstheme="minorEastAsia"/>
          <w:bCs/>
          <w:snapToGrid w:val="0"/>
          <w:color w:val="auto"/>
          <w:kern w:val="2"/>
          <w:sz w:val="21"/>
          <w:szCs w:val="21"/>
          <w:highlight w:val="none"/>
          <w:lang w:val="en-US" w:eastAsia="zh-CN" w:bidi="ar-SA"/>
        </w:rPr>
        <w:t xml:space="preserve">，最高综合折扣：94%  </w:t>
      </w:r>
    </w:p>
    <w:p w14:paraId="293A05C1">
      <w:pPr>
        <w:pStyle w:val="7"/>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采购需求：</w:t>
      </w:r>
      <w:r>
        <w:rPr>
          <w:rFonts w:hint="eastAsia" w:hAnsi="宋体" w:cs="宋体"/>
          <w:bCs/>
          <w:snapToGrid w:val="0"/>
          <w:color w:val="auto"/>
          <w:kern w:val="2"/>
          <w:sz w:val="21"/>
          <w:szCs w:val="21"/>
          <w:highlight w:val="none"/>
          <w:lang w:val="en-US" w:eastAsia="zh-CN" w:bidi="ar-SA"/>
        </w:rPr>
        <w:t>G15沈海高速宁波西坞至麻岙岭改扩建工程—电力及通信线路迁改工程（康亭村）（土建部分）</w:t>
      </w:r>
      <w:r>
        <w:rPr>
          <w:rFonts w:hint="eastAsia" w:ascii="宋体" w:hAnsi="宋体" w:eastAsia="宋体" w:cs="宋体"/>
          <w:bCs/>
          <w:snapToGrid w:val="0"/>
          <w:color w:val="auto"/>
          <w:kern w:val="2"/>
          <w:sz w:val="22"/>
          <w:szCs w:val="22"/>
          <w:highlight w:val="none"/>
          <w:lang w:val="en-US" w:eastAsia="zh-CN" w:bidi="ar-SA"/>
        </w:rPr>
        <w:t xml:space="preserve"> </w:t>
      </w:r>
      <w:r>
        <w:rPr>
          <w:rFonts w:hint="eastAsia" w:ascii="宋体" w:hAnsi="宋体" w:eastAsia="宋体" w:cs="宋体"/>
          <w:bCs/>
          <w:snapToGrid w:val="0"/>
          <w:color w:val="auto"/>
          <w:kern w:val="2"/>
          <w:sz w:val="21"/>
          <w:szCs w:val="21"/>
          <w:highlight w:val="none"/>
          <w:lang w:val="en-US" w:eastAsia="zh-CN" w:bidi="ar-SA"/>
        </w:rPr>
        <w:t>，详见采购文件第三部分采购需求。</w:t>
      </w:r>
    </w:p>
    <w:p w14:paraId="199E47DB">
      <w:pPr>
        <w:pStyle w:val="51"/>
        <w:keepNext w:val="0"/>
        <w:keepLines w:val="0"/>
        <w:pageBreakBefore w:val="0"/>
        <w:kinsoku/>
        <w:wordWrap/>
        <w:overflowPunct/>
        <w:topLinePunct w:val="0"/>
        <w:autoSpaceDE/>
        <w:autoSpaceDN/>
        <w:bidi w:val="0"/>
        <w:adjustRightInd/>
        <w:spacing w:before="0" w:line="360" w:lineRule="auto"/>
        <w:ind w:firstLine="422" w:firstLineChars="200"/>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snapToGrid w:val="0"/>
          <w:color w:val="auto"/>
          <w:kern w:val="28"/>
          <w:sz w:val="21"/>
          <w:szCs w:val="21"/>
          <w:highlight w:val="none"/>
          <w:lang w:val="en-US" w:eastAsia="zh-CN" w:bidi="ar-SA"/>
        </w:rPr>
        <w:t>详见采购文件。</w:t>
      </w:r>
    </w:p>
    <w:p w14:paraId="0C50ED38">
      <w:pPr>
        <w:pStyle w:val="7"/>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rPr>
        <w:t>是，</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7A33EC48">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26F1734C">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03B0B9B0">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 xml:space="preserve">    2.落实政府采购政策需满足的资格要求：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14:paraId="65B1FE1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08130B11">
      <w:pPr>
        <w:keepNext w:val="0"/>
        <w:keepLines w:val="0"/>
        <w:pageBreakBefore w:val="0"/>
        <w:shd w:val="clear"/>
        <w:kinsoku/>
        <w:wordWrap/>
        <w:overflowPunct/>
        <w:topLinePunct w:val="0"/>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3.1供应商须具有电力工程施工总承包三级及以上资质（或输变电工程专业承包叁级及以上</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08E9AC03">
      <w:pPr>
        <w:keepNext w:val="0"/>
        <w:keepLines w:val="0"/>
        <w:pageBreakBefore w:val="0"/>
        <w:shd w:val="clear"/>
        <w:kinsoku/>
        <w:wordWrap/>
        <w:overflowPunct/>
        <w:topLinePunct w:val="0"/>
        <w:bidi w:val="0"/>
        <w:spacing w:line="360" w:lineRule="auto"/>
        <w:ind w:firstLine="420" w:firstLineChars="200"/>
        <w:textAlignment w:val="auto"/>
        <w:rPr>
          <w:color w:val="auto"/>
          <w:highlight w:val="none"/>
        </w:rPr>
      </w:pPr>
      <w:r>
        <w:rPr>
          <w:rFonts w:hint="eastAsia" w:ascii="宋体" w:hAnsi="宋体" w:cs="宋体"/>
          <w:color w:val="auto"/>
          <w:szCs w:val="21"/>
          <w:highlight w:val="none"/>
        </w:rPr>
        <w:t>3.2供应商须具有通信工程施工总承包叁级及以上资质；</w:t>
      </w:r>
    </w:p>
    <w:p w14:paraId="35B7FC44">
      <w:pPr>
        <w:keepNext w:val="0"/>
        <w:keepLines w:val="0"/>
        <w:pageBreakBefore w:val="0"/>
        <w:shd w:val="clear"/>
        <w:kinsoku/>
        <w:wordWrap/>
        <w:overflowPunct/>
        <w:topLinePunct w:val="0"/>
        <w:bidi w:val="0"/>
        <w:spacing w:line="360" w:lineRule="auto"/>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3.3供应商须具有有效的建筑施工企业安全生产许可证。</w:t>
      </w:r>
    </w:p>
    <w:p w14:paraId="6B27E93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592631">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三、获取采购文件 </w:t>
      </w:r>
    </w:p>
    <w:p w14:paraId="5CA328BF">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cs="宋体"/>
          <w:color w:val="auto"/>
          <w:sz w:val="21"/>
          <w:szCs w:val="21"/>
          <w:highlight w:val="none"/>
          <w:u w:val="single"/>
          <w:lang w:val="en-US" w:eastAsia="zh-CN"/>
        </w:rPr>
        <w:t>2025年02月21日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28</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 ，下午12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00至23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59（北京时间）。</w:t>
      </w:r>
    </w:p>
    <w:p w14:paraId="7F9689AA">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w:t>
      </w:r>
    </w:p>
    <w:p w14:paraId="22BE3AB6">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 xml:space="preserve">在线申请获取采购文件（进入“项目采购”应用，在获取采购文件菜单中选择项目，申请获取采购文件）。 </w:t>
      </w:r>
    </w:p>
    <w:p w14:paraId="495661D6">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7DEAB396">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四、首次提交响应文件截止时间、磋商时间和地点</w:t>
      </w:r>
    </w:p>
    <w:p w14:paraId="38D1CE88">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首次提交响应文件截止时间：</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03</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03</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56192BDA">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提交响应文件地点（网址）：</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w:t>
      </w:r>
    </w:p>
    <w:p w14:paraId="2CE238CE">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首次提交响应文件开启时间：</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03</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03</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rPr>
        <w:t>。</w:t>
      </w:r>
    </w:p>
    <w:p w14:paraId="632CCE90">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首次提交响应文件开启地点（网址）：</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w:t>
      </w:r>
    </w:p>
    <w:p w14:paraId="2CD8DCD1">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首次提交响应文件开启地点（线下）：</w:t>
      </w:r>
      <w:r>
        <w:rPr>
          <w:rFonts w:hint="eastAsia" w:ascii="宋体" w:hAnsi="宋体" w:eastAsia="宋体" w:cs="宋体"/>
          <w:bCs/>
          <w:color w:val="auto"/>
          <w:sz w:val="21"/>
          <w:szCs w:val="21"/>
          <w:highlight w:val="none"/>
        </w:rPr>
        <w:t>宁波市奉化区公共资源交易中心开标</w:t>
      </w:r>
      <w:r>
        <w:rPr>
          <w:rFonts w:hint="eastAsia" w:ascii="宋体" w:hAnsi="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（宁波市奉化区大成东路277号4楼）</w:t>
      </w:r>
    </w:p>
    <w:p w14:paraId="6F2F70AF">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6B39B1B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5F944678">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3EBA1709">
      <w:pPr>
        <w:keepNext w:val="0"/>
        <w:keepLines w:val="0"/>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eastAsia="宋体" w:cs="宋体"/>
          <w:color w:val="auto"/>
          <w:sz w:val="21"/>
          <w:szCs w:val="21"/>
          <w:highlight w:val="none"/>
          <w:lang w:val="en-US" w:eastAsia="zh-CN"/>
        </w:rPr>
        <w:t>监管部</w:t>
      </w:r>
      <w:r>
        <w:rPr>
          <w:rFonts w:hint="eastAsia" w:asciiTheme="minorEastAsia" w:hAnsiTheme="minorEastAsia" w:eastAsiaTheme="minorEastAsia" w:cstheme="minorEastAsia"/>
          <w:color w:val="auto"/>
          <w:sz w:val="21"/>
          <w:szCs w:val="21"/>
          <w:highlight w:val="none"/>
          <w:lang w:val="en-US" w:eastAsia="zh-CN"/>
        </w:rPr>
        <w:t>门</w:t>
      </w:r>
      <w:r>
        <w:rPr>
          <w:rFonts w:hint="eastAsia" w:asciiTheme="minorEastAsia" w:hAnsiTheme="minorEastAsia" w:eastAsiaTheme="minorEastAsia" w:cstheme="minorEastAsia"/>
          <w:color w:val="auto"/>
          <w:sz w:val="21"/>
          <w:szCs w:val="21"/>
          <w:highlight w:val="none"/>
        </w:rPr>
        <w:t>投诉。</w:t>
      </w:r>
    </w:p>
    <w:p w14:paraId="05255B0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rPr>
        <w:t>2.其他事项：（1）需要落实的政府采购政策：包括节约资源、保护环境、支持创新、促进中小企业发展等。详见采购文件的第二部分总则。（2）电子交易的说明：①电子交易：本项目以数据电文形式，依托“</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www.lecaiyun.com</w:t>
      </w:r>
      <w:r>
        <w:rPr>
          <w:rFonts w:hint="eastAsia" w:asciiTheme="minorEastAsia" w:hAnsiTheme="minorEastAsia" w:eastAsiaTheme="minorEastAsia" w:cstheme="minorEastAsia"/>
          <w:color w:val="auto"/>
          <w:sz w:val="21"/>
          <w:szCs w:val="21"/>
          <w:highlight w:val="none"/>
        </w:rPr>
        <w:t>）”进行磋商活动，不接受纸质响应文件；②磋商准备：注册账号--点击“商家入驻”，进行政府采购供应商资料填写；申领CA数字证书---申领流程详见“</w:t>
      </w:r>
      <w:r>
        <w:rPr>
          <w:rFonts w:hint="eastAsia" w:asciiTheme="minorEastAsia" w:hAnsiTheme="minorEastAsia" w:eastAsiaTheme="minorEastAsia" w:cstheme="minorEastAsia"/>
          <w:color w:val="auto"/>
          <w:sz w:val="21"/>
          <w:szCs w:val="21"/>
          <w:highlight w:val="none"/>
          <w:lang w:eastAsia="zh-CN"/>
        </w:rPr>
        <w:t>浙江企业采购信息服务网</w:t>
      </w:r>
      <w:r>
        <w:rPr>
          <w:rFonts w:hint="eastAsia" w:asciiTheme="minorEastAsia" w:hAnsiTheme="minorEastAsia" w:eastAsiaTheme="minorEastAsia" w:cstheme="minorEastAsia"/>
          <w:color w:val="auto"/>
          <w:sz w:val="21"/>
          <w:szCs w:val="21"/>
          <w:highlight w:val="none"/>
        </w:rPr>
        <w:t>-下载专区-电子交易客户端-CA驱动和申领流程”；安装“</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电子交易客户端”----前往“</w:t>
      </w:r>
      <w:r>
        <w:rPr>
          <w:rFonts w:hint="eastAsia" w:asciiTheme="minorEastAsia" w:hAnsiTheme="minorEastAsia" w:eastAsiaTheme="minorEastAsia" w:cstheme="minorEastAsia"/>
          <w:color w:val="auto"/>
          <w:sz w:val="21"/>
          <w:szCs w:val="21"/>
          <w:highlight w:val="none"/>
          <w:lang w:eastAsia="zh-CN"/>
        </w:rPr>
        <w:t>浙江企业采购信息服务网</w:t>
      </w:r>
      <w:r>
        <w:rPr>
          <w:rFonts w:hint="eastAsia" w:asciiTheme="minorEastAsia" w:hAnsiTheme="minorEastAsia" w:eastAsiaTheme="minorEastAsia" w:cstheme="minorEastAsia"/>
          <w:color w:val="auto"/>
          <w:sz w:val="21"/>
          <w:szCs w:val="21"/>
          <w:highlight w:val="none"/>
        </w:rPr>
        <w:t>-下载专区-电子交易客户端</w:t>
      </w:r>
      <w:r>
        <w:rPr>
          <w:rFonts w:hint="eastAsia" w:asciiTheme="minorEastAsia" w:hAnsiTheme="minorEastAsia" w:eastAsiaTheme="minorEastAsia" w:cstheme="minorEastAsia"/>
          <w:color w:val="auto"/>
          <w:sz w:val="21"/>
          <w:szCs w:val="21"/>
          <w:highlight w:val="none"/>
          <w:lang w:eastAsia="zh-CN"/>
        </w:rPr>
        <w:t>（https://b.zhengcaiyun.cn/luban/category?parentId=550045&amp;childrenCode=qicaiCategory17&amp;utm=luban.luban-PC-39026.959-pc-websitegroup-navBar-front.8.ebdec73052c711ef9ade896d008b9248）</w:t>
      </w:r>
      <w:r>
        <w:rPr>
          <w:rFonts w:hint="eastAsia" w:asciiTheme="minorEastAsia" w:hAnsiTheme="minorEastAsia" w:eastAsiaTheme="minorEastAsia" w:cstheme="minorEastAsia"/>
          <w:color w:val="auto"/>
          <w:sz w:val="21"/>
          <w:szCs w:val="21"/>
          <w:highlight w:val="none"/>
        </w:rPr>
        <w:t>”进行下载并安装；</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在磋商前应确保成为浙江省政府采购网正式注册入库供应商，并完成CA数字证书办理。完成CA数字证书办理在资料齐全的情况下预计7个工作日左右，请各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合理预估时间，及时办理。③采购文件的获取：使用账号登录或者使用CA登录</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平台；进入“项目采购”应用，在获取采购文件菜单中选择项目，获取采购文件；④响应文件的制作：在“</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电子交易客户端”中完成“填写基本信息”、“导入响应文件”、“标书关联”、“标书检查”、“电子签名”、“生成电子标书”等操作；⑤采购人、采购代理机构将依托</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平台完成本项目的电子交易活动，平台不接受未按上</w:t>
      </w:r>
      <w:r>
        <w:rPr>
          <w:rFonts w:hint="eastAsia" w:ascii="宋体" w:hAnsi="宋体" w:eastAsia="宋体" w:cs="宋体"/>
          <w:color w:val="auto"/>
          <w:sz w:val="21"/>
          <w:szCs w:val="21"/>
          <w:highlight w:val="none"/>
        </w:rPr>
        <w:t>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按照平台提示和采购文件的规定在半小时内完成在线解密。⑨具体操作指南：详见</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平台“服务中心-帮助文档-项目采购-操作流程-电子招投标-政府采购项目电子交易管理操作指南-供应商”。</w:t>
      </w:r>
    </w:p>
    <w:p w14:paraId="7F0D6233">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540EE39D">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34671BD8">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称：宁波市奉化区惠海地下管线投资有限公司</w:t>
      </w:r>
    </w:p>
    <w:p w14:paraId="6A349128">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址：浙江省宁波市奉化区岳林街道中山东路518号金城大厦A座18楼</w:t>
      </w:r>
    </w:p>
    <w:p w14:paraId="6D9A19B3">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6CBAFCBF">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项目联系人（询问）：袁</w:t>
      </w:r>
      <w:r>
        <w:rPr>
          <w:rFonts w:hint="eastAsia" w:ascii="宋体" w:hAnsi="宋体" w:cs="宋体"/>
          <w:color w:val="auto"/>
          <w:sz w:val="21"/>
          <w:szCs w:val="21"/>
          <w:highlight w:val="none"/>
          <w:lang w:val="en-US" w:eastAsia="zh-CN"/>
        </w:rPr>
        <w:t>先生</w:t>
      </w:r>
    </w:p>
    <w:p w14:paraId="1F6BB9BB">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项目联系方式（询问）：13003743437</w:t>
      </w:r>
    </w:p>
    <w:p w14:paraId="14A16A2C">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质疑联系人：陈工</w:t>
      </w:r>
    </w:p>
    <w:p w14:paraId="40F2C374">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cs="宋体"/>
          <w:color w:val="auto"/>
          <w:sz w:val="21"/>
          <w:szCs w:val="21"/>
          <w:highlight w:val="none"/>
          <w:lang w:val="en-US" w:eastAsia="zh-CN"/>
        </w:rPr>
        <w:t>0574-88523337</w:t>
      </w:r>
      <w:r>
        <w:rPr>
          <w:rFonts w:hint="eastAsia" w:ascii="宋体" w:hAnsi="宋体" w:eastAsia="宋体" w:cs="宋体"/>
          <w:color w:val="auto"/>
          <w:sz w:val="21"/>
          <w:szCs w:val="21"/>
          <w:highlight w:val="none"/>
        </w:rPr>
        <w:t xml:space="preserve">  </w:t>
      </w:r>
    </w:p>
    <w:p w14:paraId="6E120CE3">
      <w:pPr>
        <w:keepNext w:val="0"/>
        <w:keepLines w:val="0"/>
        <w:pageBreakBefore w:val="0"/>
        <w:widowControl w:val="0"/>
        <w:kinsoku/>
        <w:wordWrap/>
        <w:overflowPunct/>
        <w:topLinePunct w:val="0"/>
        <w:bidi w:val="0"/>
        <w:snapToGrid/>
        <w:spacing w:line="360" w:lineRule="auto"/>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Cs w:val="21"/>
          <w:highlight w:val="none"/>
        </w:rPr>
        <w:t xml:space="preserve"> 2.采购代理机构信息            </w:t>
      </w:r>
    </w:p>
    <w:p w14:paraId="734AA86D">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浙江天诚工程咨询有限公司</w:t>
      </w:r>
    </w:p>
    <w:p w14:paraId="4BAB348C">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：宁波市江南路599号科技大厦4楼</w:t>
      </w:r>
    </w:p>
    <w:p w14:paraId="0B3A58AE">
      <w:pPr>
        <w:keepNext w:val="0"/>
        <w:keepLines w:val="0"/>
        <w:pageBreakBefore w:val="0"/>
        <w:widowControl w:val="0"/>
        <w:kinsoku/>
        <w:wordWrap/>
        <w:overflowPunct/>
        <w:topLinePunct w:val="0"/>
        <w:bidi w:val="0"/>
        <w:snapToGrid/>
        <w:spacing w:line="360" w:lineRule="auto"/>
        <w:ind w:firstLine="480"/>
        <w:textAlignment w:val="auto"/>
        <w:rPr>
          <w:rFonts w:ascii="宋体" w:hAnsi="宋体" w:cs="宋体"/>
          <w:color w:val="auto"/>
          <w:szCs w:val="21"/>
          <w:highlight w:val="none"/>
        </w:rPr>
      </w:pPr>
      <w:r>
        <w:rPr>
          <w:rFonts w:hint="eastAsia" w:ascii="宋体" w:hAnsi="宋体" w:cs="宋体"/>
          <w:color w:val="auto"/>
          <w:szCs w:val="21"/>
          <w:highlight w:val="none"/>
        </w:rPr>
        <w:t xml:space="preserve">传 真：/             </w:t>
      </w:r>
    </w:p>
    <w:p w14:paraId="7DF002BA">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胡淼</w:t>
      </w:r>
    </w:p>
    <w:p w14:paraId="50EABCD9">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13429280817</w:t>
      </w:r>
    </w:p>
    <w:p w14:paraId="666EAA4B">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毛春叶</w:t>
      </w:r>
      <w:r>
        <w:rPr>
          <w:rFonts w:hint="eastAsia" w:ascii="宋体" w:hAnsi="宋体" w:cs="宋体"/>
          <w:color w:val="auto"/>
          <w:szCs w:val="21"/>
          <w:highlight w:val="none"/>
        </w:rPr>
        <w:t xml:space="preserve"> </w:t>
      </w:r>
    </w:p>
    <w:p w14:paraId="325C5471">
      <w:pPr>
        <w:keepNext w:val="0"/>
        <w:keepLines w:val="0"/>
        <w:pageBreakBefore w:val="0"/>
        <w:widowControl w:val="0"/>
        <w:kinsoku/>
        <w:wordWrap/>
        <w:overflowPunct/>
        <w:topLinePunct w:val="0"/>
        <w:bidi w:val="0"/>
        <w:snapToGrid/>
        <w:spacing w:line="360" w:lineRule="auto"/>
        <w:ind w:firstLine="48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质疑联系方式：</w:t>
      </w:r>
      <w:r>
        <w:rPr>
          <w:rFonts w:hint="eastAsia" w:ascii="宋体" w:hAnsi="宋体" w:cs="宋体"/>
          <w:color w:val="auto"/>
          <w:szCs w:val="21"/>
          <w:highlight w:val="none"/>
          <w:lang w:val="en-US" w:eastAsia="zh-CN"/>
        </w:rPr>
        <w:t>13515841343</w:t>
      </w:r>
    </w:p>
    <w:p w14:paraId="59DA1444">
      <w:pPr>
        <w:pStyle w:val="1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3.监督管理部门            </w:t>
      </w:r>
    </w:p>
    <w:p w14:paraId="3B9788D3">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称：宁波市奉化区城市开发建设集团有限公司纪检监察室</w:t>
      </w:r>
    </w:p>
    <w:p w14:paraId="29B1997A">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址：宁波市奉化区中山东路518号金城大厦B座</w:t>
      </w:r>
    </w:p>
    <w:p w14:paraId="6C20F9B1">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lang w:val="en-US" w:eastAsia="zh-CN"/>
        </w:rPr>
        <w:t>/</w:t>
      </w:r>
    </w:p>
    <w:p w14:paraId="0DFA8063">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 ：应女士</w:t>
      </w:r>
    </w:p>
    <w:p w14:paraId="40745830">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监督投诉电话：0574-88680587          </w:t>
      </w:r>
    </w:p>
    <w:p w14:paraId="63828F2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p>
    <w:p w14:paraId="79229C8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），点击右侧咨询小采，获取采小蜜智能服务管家帮助，或拨打</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服务热线95763获取热线服务帮助。</w:t>
      </w:r>
    </w:p>
    <w:p w14:paraId="5C4C735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0CD8D47D">
      <w:pPr>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18DDB88D">
      <w:pPr>
        <w:spacing w:line="360" w:lineRule="auto"/>
        <w:jc w:val="both"/>
        <w:outlineLvl w:val="0"/>
        <w:rPr>
          <w:rFonts w:hint="eastAsia" w:asciiTheme="minorEastAsia" w:hAnsiTheme="minorEastAsia" w:eastAsiaTheme="minorEastAsia" w:cstheme="minorEastAsia"/>
          <w:b/>
          <w:color w:val="auto"/>
          <w:sz w:val="36"/>
          <w:szCs w:val="20"/>
          <w:highlight w:val="none"/>
        </w:rPr>
      </w:pPr>
    </w:p>
    <w:p w14:paraId="3F034D8B">
      <w:pPr>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4BC66E8C">
      <w:pPr>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响应须知</w:t>
      </w:r>
      <w:bookmarkEnd w:id="9"/>
    </w:p>
    <w:p w14:paraId="44230E56">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24"/>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4F0FF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7ECF48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1DD5A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5DAAC32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D0F6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3" w:hRule="atLeast"/>
          <w:tblHeader/>
        </w:trPr>
        <w:tc>
          <w:tcPr>
            <w:tcW w:w="629" w:type="dxa"/>
            <w:tcBorders>
              <w:top w:val="single" w:color="auto" w:sz="4" w:space="0"/>
              <w:left w:val="single" w:color="auto" w:sz="4" w:space="0"/>
              <w:bottom w:val="single" w:color="auto" w:sz="4" w:space="0"/>
              <w:right w:val="single" w:color="auto" w:sz="4" w:space="0"/>
            </w:tcBorders>
          </w:tcPr>
          <w:p w14:paraId="62938CE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0F95AB2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550CFBD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2345B3C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2C0AD69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409CE37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F1D5FD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5FE8226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color w:val="auto"/>
                <w:sz w:val="21"/>
                <w:szCs w:val="21"/>
                <w:highlight w:val="none"/>
              </w:rPr>
              <w:t>报价一览表是报价的唯一载体</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响应文件中</w:t>
            </w:r>
            <w:r>
              <w:rPr>
                <w:rFonts w:hint="eastAsia" w:ascii="宋体" w:hAnsi="宋体" w:cs="宋体"/>
                <w:b/>
                <w:bCs/>
                <w:color w:val="auto"/>
                <w:kern w:val="0"/>
                <w:sz w:val="21"/>
                <w:szCs w:val="21"/>
                <w:highlight w:val="none"/>
                <w:lang w:val="en-US" w:eastAsia="zh-CN"/>
              </w:rPr>
              <w:t>价格采用综合折扣报价。</w:t>
            </w:r>
          </w:p>
          <w:p w14:paraId="6A3C14A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响应报价出现下列情形的，响应无效：</w:t>
            </w:r>
          </w:p>
          <w:p w14:paraId="5B7B464E">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响应文件出现不是唯一的、有选择性响应报价的；</w:t>
            </w:r>
          </w:p>
          <w:p w14:paraId="609E2F6D">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响应报价超过采购文件中规定的</w:t>
            </w:r>
            <w:r>
              <w:rPr>
                <w:rFonts w:hint="eastAsia" w:ascii="宋体" w:hAnsi="宋体" w:cs="宋体"/>
                <w:b/>
                <w:color w:val="auto"/>
                <w:kern w:val="0"/>
                <w:sz w:val="21"/>
                <w:szCs w:val="21"/>
                <w:highlight w:val="none"/>
                <w:lang w:val="en-US" w:eastAsia="zh-CN"/>
              </w:rPr>
              <w:t>最高综合折扣94%的</w:t>
            </w:r>
            <w:r>
              <w:rPr>
                <w:rFonts w:hint="eastAsia" w:ascii="宋体" w:hAnsi="宋体" w:eastAsia="宋体" w:cs="宋体"/>
                <w:b/>
                <w:color w:val="auto"/>
                <w:kern w:val="0"/>
                <w:sz w:val="21"/>
                <w:szCs w:val="21"/>
                <w:highlight w:val="none"/>
                <w:lang w:val="zh-CN"/>
              </w:rPr>
              <w:t>；</w:t>
            </w:r>
          </w:p>
          <w:p w14:paraId="5CCC9AC1">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报价明显低于其他通过符合性审查供应商的报价，有可能影响服务质量或者不能诚信履约的，未能按要求提供书面说明或者提交相关证明材料证明其报价合理性的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180E0276">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14:paraId="33BD7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5C051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4ABCBC">
            <w:pPr>
              <w:keepNext w:val="0"/>
              <w:keepLines w:val="0"/>
              <w:pageBreakBefore w:val="0"/>
              <w:widowControl w:val="0"/>
              <w:kinsoku/>
              <w:wordWrap/>
              <w:overflowPunct/>
              <w:topLinePunct w:val="0"/>
              <w:autoSpaceDE/>
              <w:autoSpaceDN/>
              <w:bidi w:val="0"/>
              <w:adjustRightInd/>
              <w:snapToGrid w:val="0"/>
              <w:spacing w:line="400" w:lineRule="exact"/>
              <w:ind w:firstLine="632" w:firstLineChars="3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7995BC84">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不同意分包。</w:t>
            </w:r>
          </w:p>
        </w:tc>
      </w:tr>
      <w:tr w14:paraId="28379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5F7F2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610CD4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4117D96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资格证明文件：见采购文件第二部分9.1。</w:t>
            </w:r>
          </w:p>
          <w:p w14:paraId="109C9BA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资格证明文件不全的或者不符合采购文件标明的资格要求的</w:t>
            </w:r>
            <w:r>
              <w:rPr>
                <w:rFonts w:hint="eastAsia" w:ascii="宋体" w:hAnsi="宋体" w:eastAsia="宋体" w:cs="宋体"/>
                <w:color w:val="auto"/>
                <w:sz w:val="21"/>
                <w:szCs w:val="21"/>
                <w:highlight w:val="none"/>
                <w:lang w:val="zh-CN"/>
              </w:rPr>
              <w:t>，视为供应商不具备采购文件中规定的资格要求，响应无效。</w:t>
            </w:r>
          </w:p>
        </w:tc>
      </w:tr>
      <w:tr w14:paraId="2B9CD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10287CAF">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24C41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00A3286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3E5CC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4F99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38FA8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0ACF061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不要求提供。</w:t>
            </w:r>
          </w:p>
        </w:tc>
      </w:tr>
      <w:tr w14:paraId="0C99C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A1EDA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B11977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5B0C8D5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rPr>
              <w:t>不组织。</w:t>
            </w:r>
          </w:p>
        </w:tc>
      </w:tr>
      <w:tr w14:paraId="63D85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C68D6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92BE26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085EA7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本项目不允许采购进口产品。</w:t>
            </w:r>
          </w:p>
        </w:tc>
      </w:tr>
      <w:tr w14:paraId="1AE92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56C3B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EE2679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7EF1065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w:t>
            </w:r>
            <w:r>
              <w:rPr>
                <w:rFonts w:hint="eastAsia" w:ascii="宋体" w:hAnsi="宋体" w:cs="宋体"/>
                <w:bCs/>
                <w:snapToGrid w:val="0"/>
                <w:color w:val="auto"/>
                <w:kern w:val="2"/>
                <w:sz w:val="21"/>
                <w:szCs w:val="21"/>
                <w:highlight w:val="none"/>
                <w:lang w:val="en-US" w:eastAsia="zh-CN" w:bidi="ar-SA"/>
              </w:rPr>
              <w:t>G15沈海高速宁波西坞至麻岙岭改扩建工程—电力及通信线路迁改工程（康亭村）（土建部分）</w:t>
            </w:r>
            <w:r>
              <w:rPr>
                <w:rFonts w:hint="eastAsia" w:ascii="宋体" w:hAnsi="宋体" w:eastAsia="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rPr>
              <w:t>行业；</w:t>
            </w:r>
          </w:p>
        </w:tc>
      </w:tr>
      <w:tr w14:paraId="649D4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2" w:hRule="atLeast"/>
          <w:tblHeader/>
        </w:trPr>
        <w:tc>
          <w:tcPr>
            <w:tcW w:w="629" w:type="dxa"/>
            <w:tcBorders>
              <w:top w:val="single" w:color="auto" w:sz="4" w:space="0"/>
              <w:left w:val="single" w:color="000000" w:sz="8" w:space="0"/>
              <w:right w:val="single" w:color="000000" w:sz="2" w:space="0"/>
            </w:tcBorders>
            <w:vAlign w:val="center"/>
          </w:tcPr>
          <w:p w14:paraId="7B7E52A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1843" w:type="dxa"/>
            <w:tcBorders>
              <w:top w:val="single" w:color="000000" w:sz="8" w:space="0"/>
              <w:left w:val="single" w:color="000000" w:sz="2" w:space="0"/>
              <w:right w:val="single" w:color="000000" w:sz="8" w:space="0"/>
            </w:tcBorders>
            <w:vAlign w:val="center"/>
          </w:tcPr>
          <w:p w14:paraId="65A3D31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3FAD84E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sz w:val="21"/>
                <w:szCs w:val="21"/>
                <w:highlight w:val="none"/>
              </w:rPr>
              <w:t>本采购</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根据国家发改委发改办价格[2003]857号通知和原国家计委计价格[2002]1980号文件规定的</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rPr>
              <w:t>招标费率标准*0.8收取</w:t>
            </w:r>
            <w:r>
              <w:rPr>
                <w:rFonts w:hint="eastAsia" w:ascii="宋体" w:hAnsi="宋体" w:eastAsia="宋体" w:cs="宋体"/>
                <w:color w:val="auto"/>
                <w:sz w:val="21"/>
                <w:szCs w:val="21"/>
                <w:highlight w:val="none"/>
                <w:lang w:eastAsia="zh-CN"/>
              </w:rPr>
              <w:t>代理服务费</w:t>
            </w:r>
            <w:r>
              <w:rPr>
                <w:rFonts w:hint="eastAsia" w:ascii="宋体" w:hAnsi="宋体" w:eastAsia="宋体" w:cs="宋体"/>
                <w:color w:val="auto"/>
                <w:sz w:val="21"/>
                <w:szCs w:val="21"/>
                <w:highlight w:val="none"/>
              </w:rPr>
              <w:t>，按照成交通知书确定的成交总金额，向成交人收取代理服务费。成交人应在本公司发出成交通知书5个工作日内向本采购</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支付代理服务费。代理服务费只收现金、银行票汇款、电汇款。</w:t>
            </w:r>
          </w:p>
        </w:tc>
      </w:tr>
      <w:bookmarkEnd w:id="10"/>
    </w:tbl>
    <w:p w14:paraId="603010B5">
      <w:pPr>
        <w:adjustRightInd/>
        <w:spacing w:line="360" w:lineRule="auto"/>
        <w:outlineLvl w:val="0"/>
        <w:rPr>
          <w:rFonts w:hint="eastAsia" w:asciiTheme="minorEastAsia" w:hAnsiTheme="minorEastAsia" w:eastAsiaTheme="minorEastAsia" w:cstheme="minorEastAsia"/>
          <w:b/>
          <w:color w:val="auto"/>
          <w:sz w:val="32"/>
          <w:szCs w:val="20"/>
          <w:highlight w:val="none"/>
        </w:rPr>
      </w:pPr>
      <w:bookmarkStart w:id="11" w:name="_Toc164416483"/>
      <w:bookmarkStart w:id="12" w:name="第三部分"/>
      <w:bookmarkStart w:id="13" w:name="第四部分"/>
    </w:p>
    <w:bookmarkEnd w:id="11"/>
    <w:bookmarkEnd w:id="12"/>
    <w:p w14:paraId="6EA22C0B">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7BA42D9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适用范围</w:t>
      </w:r>
    </w:p>
    <w:p w14:paraId="30B16387">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文件适用于该项目的</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响应文件开启</w:t>
      </w:r>
      <w:r>
        <w:rPr>
          <w:rFonts w:hint="eastAsia" w:asciiTheme="minorEastAsia" w:hAnsiTheme="minorEastAsia" w:eastAsiaTheme="minorEastAsia" w:cstheme="minorEastAsia"/>
          <w:color w:val="auto"/>
          <w:sz w:val="21"/>
          <w:szCs w:val="21"/>
          <w:highlight w:val="none"/>
        </w:rPr>
        <w:t>、资格审查及信用信息查询、评</w:t>
      </w:r>
      <w:r>
        <w:rPr>
          <w:rFonts w:hint="eastAsia" w:asciiTheme="minorEastAsia" w:hAnsiTheme="minorEastAsia" w:eastAsiaTheme="minorEastAsia" w:cstheme="minorEastAsia"/>
          <w:color w:val="auto"/>
          <w:sz w:val="21"/>
          <w:szCs w:val="21"/>
          <w:highlight w:val="none"/>
          <w:lang w:eastAsia="zh-CN"/>
        </w:rPr>
        <w:t>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成交供应商确定</w:t>
      </w:r>
      <w:r>
        <w:rPr>
          <w:rFonts w:hint="eastAsia" w:asciiTheme="minorEastAsia" w:hAnsiTheme="minorEastAsia" w:eastAsiaTheme="minorEastAsia" w:cstheme="minorEastAsia"/>
          <w:color w:val="auto"/>
          <w:sz w:val="21"/>
          <w:szCs w:val="21"/>
          <w:highlight w:val="none"/>
        </w:rPr>
        <w:t>、合同、验收等行为（法律、法规另有规定的，从其规定）。</w:t>
      </w:r>
    </w:p>
    <w:p w14:paraId="7501795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定义</w:t>
      </w:r>
    </w:p>
    <w:p w14:paraId="62D421C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“采购人”系指竞争性磋商公告中载明的本项目的采购人。</w:t>
      </w:r>
    </w:p>
    <w:p w14:paraId="6789D5B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机构”系指竞争性磋商公告中载明的本项目的采购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p>
    <w:p w14:paraId="01088BA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 “</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”系指是指响应</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、参加</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竞争的法人、其他组织或者自然人。</w:t>
      </w:r>
    </w:p>
    <w:p w14:paraId="28FBBA8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“负责人”系指法人企业的法定负责人，或其他组织为法律、行政法规规定代表单位行使职权的主要负责人，或自然人本人。</w:t>
      </w:r>
    </w:p>
    <w:p w14:paraId="10835C2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2.5“电子签名”系指数据电文中以电子形式所含、所附用于识别签名人身份并表明签名人认可其中内容的数据；“公章”系指单位法定名称章。</w:t>
      </w:r>
    </w:p>
    <w:p w14:paraId="0AFB1DB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2.6“电子交易平台”是指本项目政府采购活动所依托的</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（https://</w:t>
      </w:r>
      <w:r>
        <w:rPr>
          <w:rFonts w:hint="eastAsia" w:asciiTheme="minorEastAsia" w:hAnsiTheme="minorEastAsia" w:eastAsiaTheme="minorEastAsia" w:cstheme="minorEastAsia"/>
          <w:color w:val="auto"/>
          <w:sz w:val="21"/>
          <w:szCs w:val="21"/>
          <w:highlight w:val="none"/>
          <w:lang w:eastAsia="zh-CN"/>
        </w:rPr>
        <w:t>www.lecaiyun.com</w:t>
      </w:r>
      <w:r>
        <w:rPr>
          <w:rFonts w:hint="eastAsia" w:asciiTheme="minorEastAsia" w:hAnsiTheme="minorEastAsia" w:eastAsiaTheme="minorEastAsia" w:cstheme="minorEastAsia"/>
          <w:color w:val="auto"/>
          <w:sz w:val="21"/>
          <w:szCs w:val="21"/>
          <w:highlight w:val="none"/>
        </w:rPr>
        <w:t>/）。</w:t>
      </w:r>
    </w:p>
    <w:p w14:paraId="3E465DD6">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 “▲” 系指实质性要求条款，“</w:t>
      </w:r>
      <w:r>
        <w:rPr>
          <w:rFonts w:hint="eastAsia" w:ascii="宋体" w:hAnsi="宋体" w:eastAsia="宋体" w:cs="宋体"/>
          <w:color w:val="auto"/>
          <w:kern w:val="0"/>
          <w:sz w:val="21"/>
          <w:szCs w:val="21"/>
          <w:highlight w:val="none"/>
        </w:rPr>
        <w:sym w:font="Wingdings" w:char="F0FE"/>
      </w:r>
      <w:r>
        <w:rPr>
          <w:rFonts w:hint="eastAsia" w:asciiTheme="minorEastAsia" w:hAnsiTheme="minorEastAsia" w:eastAsiaTheme="minorEastAsia" w:cstheme="minorEastAsia"/>
          <w:color w:val="auto"/>
          <w:sz w:val="21"/>
          <w:szCs w:val="21"/>
          <w:highlight w:val="none"/>
        </w:rPr>
        <w:t>” 系指适用本项目的要求，“</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 系指不适用本项目的要求。</w:t>
      </w:r>
    </w:p>
    <w:p w14:paraId="73C6C2B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采购项目需要落实的政府采购政策</w:t>
      </w:r>
    </w:p>
    <w:p w14:paraId="6BC001BC">
      <w:pPr>
        <w:numPr>
          <w:ilvl w:val="1"/>
          <w:numId w:val="2"/>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本项目不允许采购进口产品。</w:t>
      </w:r>
    </w:p>
    <w:p w14:paraId="3C3C3F38">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支持绿色发展</w:t>
      </w:r>
    </w:p>
    <w:p w14:paraId="3349045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3.3支持中小企业发展</w:t>
      </w:r>
    </w:p>
    <w:p w14:paraId="69304D8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F53C8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符合中小企业划分标准的个体工商户，在政府采购活动中视同中小企业。</w:t>
      </w:r>
    </w:p>
    <w:p w14:paraId="0D111F6A">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3.3.2</w:t>
      </w:r>
      <w:r>
        <w:rPr>
          <w:rFonts w:hint="eastAsia" w:asciiTheme="minorEastAsia" w:hAnsiTheme="minorEastAsia" w:eastAsiaTheme="minorEastAsia" w:cstheme="minorEastAsia"/>
          <w:color w:val="auto"/>
          <w:kern w:val="0"/>
          <w:sz w:val="21"/>
          <w:szCs w:val="21"/>
          <w:highlight w:val="none"/>
        </w:rPr>
        <w:t>在政府采购活动中，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提供的货物、工程或者服务符合下列情形的，享受中小企业扶持政策：</w:t>
      </w:r>
    </w:p>
    <w:p w14:paraId="5CB61C5C">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3.3.2.1在货物采购项目中，货物由中小企业制造，即货物由中小企业生产且使用该中小企业商号或者注册商标；</w:t>
      </w:r>
    </w:p>
    <w:p w14:paraId="78FD9382">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3.3.2.2在工程采购项目中，工程由中小企业承建，即工程施工单位为中小企业；</w:t>
      </w:r>
    </w:p>
    <w:p w14:paraId="0275E9F1">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3.3.2.3在服务采购项目中，服务由中小企业承接，即提供服务的人员为中小企业依照《中华人民共和国劳动合同法》订立劳动合同的从业人员。</w:t>
      </w:r>
    </w:p>
    <w:p w14:paraId="1D996E6D">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在货物采购项目中，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提供的货物既有中小企业制造货物，也有大型企业制造货物的，不享受中小企业扶持政策。</w:t>
      </w:r>
    </w:p>
    <w:p w14:paraId="65C1238B">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以联合体形式参加政府采购活动，联合体各方均为中小企业的，联合体视同中小企业。其中，联合体各方均为小微企业的，联合体视同小微企业。</w:t>
      </w:r>
    </w:p>
    <w:p w14:paraId="2967896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3.3.3对于未预留份额专门面向中小企业的政府采购货物或服务或工程项目，以及预留份额政府采购货物或服务项目中的非预留部分标项，对小型和微型企业的</w:t>
      </w:r>
      <w:r>
        <w:rPr>
          <w:rFonts w:hint="eastAsia" w:asciiTheme="minorEastAsia" w:hAnsiTheme="minorEastAsia" w:eastAsiaTheme="minorEastAsia" w:cstheme="minorEastAsia"/>
          <w:color w:val="auto"/>
          <w:sz w:val="21"/>
          <w:szCs w:val="21"/>
          <w:highlight w:val="none"/>
          <w:lang w:eastAsia="zh-CN"/>
        </w:rPr>
        <w:t>谈判</w:t>
      </w:r>
      <w:r>
        <w:rPr>
          <w:rFonts w:hint="eastAsia" w:asciiTheme="minorEastAsia" w:hAnsiTheme="minorEastAsia" w:eastAsiaTheme="minorEastAsia" w:cstheme="minorEastAsia"/>
          <w:color w:val="auto"/>
          <w:sz w:val="21"/>
          <w:szCs w:val="21"/>
          <w:highlight w:val="none"/>
        </w:rPr>
        <w:t>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%（工程项目为 2%）的扣除，用扣除后的价格参加评审。组成联合体或者接受分包的小微企业与联合体内其他企业、分包企业之间存在直接控股、管理关系的，不享受价格扣除优惠政策。</w:t>
      </w:r>
    </w:p>
    <w:p w14:paraId="585D2878">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3.3.4符合《关于促进残疾人就业政府采购政策的通知》（财库〔2017〕141号）规定的条件并提供《残疾人福利性单位声明函》的残疾人福利性单位视同小型、微型企业；</w:t>
      </w:r>
    </w:p>
    <w:p w14:paraId="4E26206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D8094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3.3.6可享受中小企业扶持政策的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文件格式要求提供《中小企业声明函》，</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提供的《中小企业声明函》与实际情况不符的，不享受中小企业扶持政策。声明内容不实的，属于提供虚假材料谋取中标、成交的，依法承担法律责任。</w:t>
      </w:r>
    </w:p>
    <w:p w14:paraId="75BEC97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3.3.7中小企业享受扶持政策获得政府采购合同的，小微企业不得将合同分包给大中型企业，中型企业不得将合同分包给大型企业。</w:t>
      </w:r>
    </w:p>
    <w:p w14:paraId="3E10EBF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特别说明</w:t>
      </w:r>
    </w:p>
    <w:p w14:paraId="4108E62B">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rPr>
        <w:t>关于分公司</w:t>
      </w:r>
      <w:r>
        <w:rPr>
          <w:rFonts w:hint="eastAsia" w:asciiTheme="minorEastAsia" w:hAnsiTheme="minorEastAsia" w:eastAsiaTheme="minorEastAsia" w:cstheme="minorEastAsia"/>
          <w:color w:val="auto"/>
          <w:sz w:val="21"/>
          <w:szCs w:val="21"/>
          <w:highlight w:val="none"/>
          <w:lang w:eastAsia="zh-CN"/>
        </w:rPr>
        <w:t>磋商响应</w:t>
      </w:r>
    </w:p>
    <w:p w14:paraId="26D1BF98">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除银行、保险、石油石化、电力、电信等特殊行业外。法人的分支机构由于不能独立承担民事责任，不能以分支机构的身份参加政府采购，只能</w:t>
      </w:r>
      <w:r>
        <w:rPr>
          <w:rFonts w:hint="eastAsia" w:asciiTheme="minorEastAsia" w:hAnsiTheme="minorEastAsia" w:eastAsiaTheme="minorEastAsia" w:cstheme="minorEastAsia"/>
          <w:color w:val="auto"/>
          <w:sz w:val="21"/>
          <w:szCs w:val="21"/>
          <w:highlight w:val="none"/>
          <w:lang w:eastAsia="zh-CN"/>
        </w:rPr>
        <w:t>以</w:t>
      </w:r>
      <w:r>
        <w:rPr>
          <w:rFonts w:hint="eastAsia" w:asciiTheme="minorEastAsia" w:hAnsiTheme="minorEastAsia" w:eastAsiaTheme="minorEastAsia" w:cstheme="minorEastAsia"/>
          <w:color w:val="auto"/>
          <w:sz w:val="21"/>
          <w:szCs w:val="21"/>
          <w:highlight w:val="none"/>
        </w:rPr>
        <w:t xml:space="preserve">法人身份参加。 </w:t>
      </w:r>
    </w:p>
    <w:p w14:paraId="7895080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4.2关于知识产权</w:t>
      </w:r>
    </w:p>
    <w:p w14:paraId="0FE7D80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必须保证，采购人在中华人民共和国境内使用</w:t>
      </w:r>
      <w:r>
        <w:rPr>
          <w:rFonts w:hint="eastAsia" w:asciiTheme="minorEastAsia" w:hAnsiTheme="minorEastAsia" w:eastAsiaTheme="minorEastAsia" w:cstheme="minorEastAsia"/>
          <w:color w:val="auto"/>
          <w:sz w:val="21"/>
          <w:szCs w:val="21"/>
          <w:highlight w:val="none"/>
          <w:lang w:eastAsia="zh-CN"/>
        </w:rPr>
        <w:t>磋商响应</w:t>
      </w:r>
      <w:r>
        <w:rPr>
          <w:rFonts w:hint="eastAsia" w:asciiTheme="minorEastAsia" w:hAnsiTheme="minorEastAsia" w:eastAsiaTheme="minorEastAsia" w:cstheme="minorEastAsia"/>
          <w:color w:val="auto"/>
          <w:sz w:val="21"/>
          <w:szCs w:val="21"/>
          <w:highlight w:val="none"/>
        </w:rPr>
        <w:t>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w:t>
      </w:r>
    </w:p>
    <w:p w14:paraId="3FB40BA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报价应包含所有应向所有权人支付的专利权、商标权或其它知识产权的一切相关费用。</w:t>
      </w:r>
    </w:p>
    <w:p w14:paraId="681CADE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承担所有责任及费用。</w:t>
      </w:r>
    </w:p>
    <w:p w14:paraId="6494C612">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的风险</w:t>
      </w:r>
    </w:p>
    <w:p w14:paraId="3AEAFE6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应详细阅读</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中的全部内容和要求，按照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的要求提交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文件，没有按照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要求提供</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文件和资料导致的风险由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承担,并对所提供的全部资料的真实性承担法律责任。</w:t>
      </w:r>
    </w:p>
    <w:p w14:paraId="527CC74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无论因何种原因导致本次采购活动终止致</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损失的，相关责任人均不承担任何责任。</w:t>
      </w:r>
    </w:p>
    <w:p w14:paraId="5D364F2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询问、质疑、投诉</w:t>
      </w:r>
    </w:p>
    <w:p w14:paraId="6697B18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.1供应商询问</w:t>
      </w:r>
    </w:p>
    <w:p w14:paraId="3FE6A26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7879CD">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.2供应商质疑</w:t>
      </w:r>
    </w:p>
    <w:p w14:paraId="0DCCF45D">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.1提出质疑的供应商应当是参与所质疑项目采购活动的供应商。潜在供应商已依法获取其可质疑的</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文件的，可以对该文件提出质疑。</w:t>
      </w:r>
    </w:p>
    <w:p w14:paraId="2632729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.2供应商认为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提出质疑，否则，采购人或者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不予受理：</w:t>
      </w:r>
    </w:p>
    <w:p w14:paraId="7A463728">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5.2.2.1对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文件提出质疑的，质疑期限为供应商获得</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文件之日或者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文件公告期限届满之日起计算。</w:t>
      </w:r>
    </w:p>
    <w:p w14:paraId="54B1D65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5.2.2.2对采购过程提出质疑的，质疑期限为各采购程序环节结束之日起计算。</w:t>
      </w:r>
    </w:p>
    <w:p w14:paraId="7FD8770F">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5.2.2.3对采购结果提出质疑的，质疑期限自采购结果公告期限届满之日起计算。</w:t>
      </w:r>
    </w:p>
    <w:p w14:paraId="4B75BFD2">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5.2.2.4对同一采购程序环节的质疑，供应商须一次性提出。</w:t>
      </w:r>
    </w:p>
    <w:p w14:paraId="2A283EF6">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w:t>
      </w:r>
      <w:r>
        <w:rPr>
          <w:rFonts w:hint="eastAsia" w:asciiTheme="minorEastAsia" w:hAnsiTheme="minorEastAsia" w:eastAsiaTheme="minorEastAsia" w:cstheme="minorEastAsia"/>
          <w:color w:val="auto"/>
          <w:sz w:val="21"/>
          <w:szCs w:val="21"/>
          <w:highlight w:val="none"/>
          <w:lang w:val="en-US" w:eastAsia="zh-CN"/>
        </w:rPr>
        <w:t>供应商提出质疑应当提交质疑函和必要的证明材料。质疑函应当包括下列内容：</w:t>
      </w:r>
    </w:p>
    <w:p w14:paraId="526FFAB5">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.2.3.1供应商的姓名或者名称、地址、邮编、联系人及联系电话；</w:t>
      </w:r>
    </w:p>
    <w:p w14:paraId="179BC7D1">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.2.3.2质疑项目的名称、编号；</w:t>
      </w:r>
    </w:p>
    <w:p w14:paraId="27BFBF6F">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.2.3.3具体、明确的质疑事项和与质疑事项相关的请求；</w:t>
      </w:r>
    </w:p>
    <w:p w14:paraId="61631672">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.2.3.4事实依据；</w:t>
      </w:r>
    </w:p>
    <w:p w14:paraId="1FD5BAFC">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.2.3.5必要的法律依据；</w:t>
      </w:r>
    </w:p>
    <w:p w14:paraId="514D7170">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.2.3.6提出质疑的日期。</w:t>
      </w:r>
    </w:p>
    <w:p w14:paraId="6DD5D2B3">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5.2.3.7对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文件提出质疑的需要提供在乐采云平台获取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文件的截图。</w:t>
      </w:r>
    </w:p>
    <w:p w14:paraId="3E5086B2">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14:paraId="698F054C">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质疑函范本请到浙江企业采购信息服务网下载专区下载。</w:t>
      </w:r>
    </w:p>
    <w:p w14:paraId="6182226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.4采购人或者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应当在收到供应商的书面质疑后七个工作日内作出答复，并以书面形式通知质疑供应商和其他与质疑处理结果有利害关系的政府采购当事人，但答复的内容不得涉及商业秘密。</w:t>
      </w:r>
    </w:p>
    <w:p w14:paraId="738562EF">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.5询问或者质疑事项可能影响采购结果的，采购人应当暂停签订合同，已经签订合同的，应当中止履行合同。</w:t>
      </w:r>
    </w:p>
    <w:p w14:paraId="68AE0145">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.3供应商投诉</w:t>
      </w:r>
    </w:p>
    <w:p w14:paraId="4EFF7ECB">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5.3.1质疑供应商对采购人、采购代理机构的答复不满意或者采购人、采购代理机构未在规定的时间内作出答复的，可以在答复期满后十五个工作日内向集团纪检部门提出投诉，集团纪检部门应当在收到投诉后三十个工作日内，对投诉事项作出处理决定，并以书面形式通知投诉人和与投诉事项有关的当事人。</w:t>
      </w:r>
    </w:p>
    <w:p w14:paraId="51FB3639">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供应商投诉的事项不得超出已质疑事项的范围，基于质疑答复内容提出的投诉事项除外。</w:t>
      </w:r>
    </w:p>
    <w:p w14:paraId="3E71917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5.3.3供应商投诉应当有明确的请求和必要的证明材料。</w:t>
      </w:r>
    </w:p>
    <w:p w14:paraId="703E2C5D">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5.3.4 以联合体形式参加政府采购活动的，其投诉应当由组成联合体的所有供应商共同提出。</w:t>
      </w:r>
    </w:p>
    <w:p w14:paraId="3BF444AF">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5.3.5投诉人对集团纪检部门的投诉处理决定不服或集团纪检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 </w:t>
      </w:r>
    </w:p>
    <w:p w14:paraId="0FE5280F">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投诉书范本请到浙江企业采购信息服务网下载专区下载。</w:t>
      </w:r>
    </w:p>
    <w:p w14:paraId="13710890">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w:t>
      </w:r>
    </w:p>
    <w:p w14:paraId="2B411230">
      <w:pP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14:paraId="0C201F55">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w:t>
      </w:r>
      <w:r>
        <w:rPr>
          <w:rFonts w:hint="eastAsia" w:asciiTheme="minorEastAsia" w:hAnsiTheme="minorEastAsia" w:eastAsiaTheme="minorEastAsia" w:cstheme="minorEastAsia"/>
          <w:b/>
          <w:color w:val="auto"/>
          <w:sz w:val="32"/>
          <w:szCs w:val="20"/>
          <w:highlight w:val="none"/>
          <w:lang w:eastAsia="zh-CN"/>
        </w:rPr>
        <w:t>竞争性磋商</w:t>
      </w:r>
      <w:r>
        <w:rPr>
          <w:rFonts w:hint="eastAsia" w:asciiTheme="minorEastAsia" w:hAnsiTheme="minorEastAsia" w:eastAsiaTheme="minorEastAsia" w:cstheme="minorEastAsia"/>
          <w:b/>
          <w:color w:val="auto"/>
          <w:sz w:val="32"/>
          <w:szCs w:val="20"/>
          <w:highlight w:val="none"/>
        </w:rPr>
        <w:t>文件的构成、澄清、修改</w:t>
      </w:r>
    </w:p>
    <w:p w14:paraId="6833B14E">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文件的构成</w:t>
      </w:r>
    </w:p>
    <w:p w14:paraId="6C376888">
      <w:pPr>
        <w:pStyle w:val="13"/>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文件包括下列文件及附件：</w:t>
      </w:r>
    </w:p>
    <w:p w14:paraId="260AE220">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6.1.1 竞争性磋商公告；</w:t>
      </w:r>
    </w:p>
    <w:p w14:paraId="26C0AEE0">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6.1.2 </w:t>
      </w:r>
      <w:r>
        <w:rPr>
          <w:rFonts w:hint="eastAsia" w:asciiTheme="minorEastAsia" w:hAnsiTheme="minorEastAsia" w:eastAsiaTheme="minorEastAsia" w:cstheme="minorEastAsia"/>
          <w:color w:val="auto"/>
          <w:sz w:val="21"/>
          <w:szCs w:val="21"/>
          <w:highlight w:val="none"/>
          <w:lang w:val="zh-CN" w:eastAsia="zh-CN"/>
        </w:rPr>
        <w:t>响应</w:t>
      </w:r>
      <w:r>
        <w:rPr>
          <w:rFonts w:hint="eastAsia" w:asciiTheme="minorEastAsia" w:hAnsiTheme="minorEastAsia" w:eastAsiaTheme="minorEastAsia" w:cstheme="minorEastAsia"/>
          <w:color w:val="auto"/>
          <w:sz w:val="21"/>
          <w:szCs w:val="21"/>
          <w:highlight w:val="none"/>
          <w:lang w:val="en-US" w:eastAsia="zh-CN"/>
        </w:rPr>
        <w:t>须知；</w:t>
      </w:r>
    </w:p>
    <w:p w14:paraId="17A8A2C5">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6.1.3 采购需求；</w:t>
      </w:r>
    </w:p>
    <w:p w14:paraId="19F4ED66">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6.1.4 评审办法；</w:t>
      </w:r>
    </w:p>
    <w:p w14:paraId="47651359">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6.1.5 拟签订的合同文本；</w:t>
      </w:r>
    </w:p>
    <w:p w14:paraId="20872F8D">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6.1.6 应提交的有关格式范例。</w:t>
      </w:r>
    </w:p>
    <w:p w14:paraId="410BBB9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.2与本项目有关的</w:t>
      </w:r>
      <w:r>
        <w:rPr>
          <w:rFonts w:hint="eastAsia" w:asciiTheme="minorEastAsia" w:hAnsiTheme="minorEastAsia" w:eastAsiaTheme="minorEastAsia" w:cstheme="minorEastAsia"/>
          <w:bCs/>
          <w:color w:val="auto"/>
          <w:sz w:val="21"/>
          <w:szCs w:val="21"/>
          <w:highlight w:val="none"/>
        </w:rPr>
        <w:t>澄清或者修改的内容为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bCs/>
          <w:color w:val="auto"/>
          <w:sz w:val="21"/>
          <w:szCs w:val="21"/>
          <w:highlight w:val="none"/>
        </w:rPr>
        <w:t>文件的组成部分</w:t>
      </w:r>
      <w:r>
        <w:rPr>
          <w:rFonts w:hint="eastAsia" w:asciiTheme="minorEastAsia" w:hAnsiTheme="minorEastAsia" w:eastAsiaTheme="minorEastAsia" w:cstheme="minorEastAsia"/>
          <w:color w:val="auto"/>
          <w:sz w:val="21"/>
          <w:szCs w:val="21"/>
          <w:highlight w:val="none"/>
        </w:rPr>
        <w:t>。</w:t>
      </w:r>
    </w:p>
    <w:p w14:paraId="73655C5E">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文件的澄清、修改</w:t>
      </w:r>
    </w:p>
    <w:p w14:paraId="4FBCC28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7.1 采购人对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文件进行必要的澄清或者修改的，在采购信息发布网站上发布更正公告。澄清或者修改的内容可能影响响应文件编制的，更正公告在响应截止时间至少5日前发出；不足5日的，顺延提交响应文件截止时间。</w:t>
      </w:r>
    </w:p>
    <w:p w14:paraId="66044DF8">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7.2 更正公告为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文件的组成部分，一经在网站发布，视同已通知所有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文件的收受人，不再采用其它方式传达相关信息, 若因未能及时了解到上述网站上发布的相关信息而导致的一切后果自行承担。</w:t>
      </w:r>
    </w:p>
    <w:p w14:paraId="765C07F3">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7.3 如更正公告有重新发布电子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应下载最新发布的电子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文件制作响应文件。</w:t>
      </w:r>
    </w:p>
    <w:p w14:paraId="34D845F0">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7.4 已获取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文件的潜在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，若有问题需要澄清，应于响应截止时间前，以书面形式向采购代理机构提出。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在规定的时间内未对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文件提出疑问、质疑或要求澄清的，将视其为无异议。对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w:t>
      </w:r>
    </w:p>
    <w:p w14:paraId="5D99EB7D">
      <w:pPr>
        <w:adjustRightInd/>
        <w:spacing w:line="360" w:lineRule="auto"/>
        <w:jc w:val="center"/>
        <w:outlineLvl w:val="0"/>
        <w:rPr>
          <w:rFonts w:hint="eastAsia" w:asciiTheme="minorEastAsia" w:hAnsiTheme="minorEastAsia" w:eastAsiaTheme="minorEastAsia" w:cstheme="minorEastAsia"/>
          <w:b/>
          <w:color w:val="auto"/>
          <w:sz w:val="30"/>
          <w:szCs w:val="20"/>
          <w:highlight w:val="none"/>
          <w:lang w:eastAsia="zh-CN"/>
        </w:rPr>
      </w:pPr>
      <w:r>
        <w:rPr>
          <w:rFonts w:hint="eastAsia" w:asciiTheme="minorEastAsia" w:hAnsiTheme="minorEastAsia" w:eastAsiaTheme="minorEastAsia" w:cstheme="minorEastAsia"/>
          <w:b/>
          <w:color w:val="auto"/>
          <w:sz w:val="30"/>
          <w:szCs w:val="20"/>
          <w:highlight w:val="none"/>
        </w:rPr>
        <w:br w:type="page"/>
      </w:r>
      <w:r>
        <w:rPr>
          <w:rFonts w:hint="eastAsia" w:asciiTheme="minorEastAsia" w:hAnsiTheme="minorEastAsia" w:eastAsiaTheme="minorEastAsia" w:cstheme="minorEastAsia"/>
          <w:b/>
          <w:color w:val="auto"/>
          <w:sz w:val="30"/>
          <w:szCs w:val="20"/>
          <w:highlight w:val="none"/>
        </w:rPr>
        <w:t>三、</w:t>
      </w:r>
      <w:r>
        <w:rPr>
          <w:rFonts w:hint="eastAsia" w:asciiTheme="minorEastAsia" w:hAnsiTheme="minorEastAsia" w:eastAsiaTheme="minorEastAsia" w:cstheme="minorEastAsia"/>
          <w:b/>
          <w:color w:val="auto"/>
          <w:sz w:val="30"/>
          <w:szCs w:val="20"/>
          <w:highlight w:val="none"/>
          <w:lang w:eastAsia="zh-CN"/>
        </w:rPr>
        <w:t>响应</w:t>
      </w:r>
    </w:p>
    <w:p w14:paraId="3F4CC69B">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文件的语言</w:t>
      </w:r>
    </w:p>
    <w:p w14:paraId="4D47B474">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与采购有关的来往通知、函件和文件均应使用中文。</w:t>
      </w:r>
    </w:p>
    <w:p w14:paraId="13DD6206">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文件的组成</w:t>
      </w:r>
    </w:p>
    <w:p w14:paraId="1D941512">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资格文件：</w:t>
      </w:r>
    </w:p>
    <w:p w14:paraId="3E571BF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9.1.1有效的企业法人营业执照（或事业法人登记证）、其他组织（个体工商户）的营业执照或者民办非企业单位登记证书；</w:t>
      </w:r>
    </w:p>
    <w:p w14:paraId="518C76E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9.1.2符合参加政府采购活动应当具备的一般条件的承诺函(格式见第六部分)；</w:t>
      </w:r>
    </w:p>
    <w:p w14:paraId="1C5E48C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9.1.3落实政府采购政策需满足的资格要求（如适用）；</w:t>
      </w:r>
    </w:p>
    <w:p w14:paraId="5B2BD25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9.1.4本项目的特定资格要求。</w:t>
      </w:r>
    </w:p>
    <w:p w14:paraId="3EB3129A">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9.1.5其他资料（如有）</w:t>
      </w:r>
    </w:p>
    <w:p w14:paraId="2AAE5D5A">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val="zh-CN"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商务技术</w:t>
      </w:r>
      <w:r>
        <w:rPr>
          <w:rFonts w:hint="eastAsia" w:asciiTheme="minorEastAsia" w:hAnsiTheme="minorEastAsia" w:eastAsiaTheme="minorEastAsia" w:cstheme="minorEastAsia"/>
          <w:b/>
          <w:bCs/>
          <w:color w:val="auto"/>
          <w:sz w:val="21"/>
          <w:szCs w:val="21"/>
          <w:highlight w:val="none"/>
          <w:lang w:val="zh-CN" w:eastAsia="zh-CN"/>
        </w:rPr>
        <w:t>文件：</w:t>
      </w:r>
    </w:p>
    <w:p w14:paraId="7353037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 评分索引表；</w:t>
      </w:r>
    </w:p>
    <w:p w14:paraId="25C2F6A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9.2.2符合性自查表；</w:t>
      </w:r>
    </w:p>
    <w:p w14:paraId="6F339B8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9.2.3 磋商函；</w:t>
      </w:r>
      <w:r>
        <w:rPr>
          <w:rFonts w:hint="eastAsia" w:asciiTheme="minorEastAsia" w:hAnsiTheme="minorEastAsia" w:eastAsiaTheme="minorEastAsia" w:cstheme="minorEastAsia"/>
          <w:color w:val="auto"/>
          <w:sz w:val="21"/>
          <w:szCs w:val="21"/>
          <w:highlight w:val="none"/>
          <w:lang w:val="zh-CN" w:eastAsia="zh-CN"/>
        </w:rPr>
        <w:t xml:space="preserve"> </w:t>
      </w:r>
    </w:p>
    <w:p w14:paraId="7148E0C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9.2.4 授权委托书或法定代表人（单位负责人、自然人本人）身份证明；</w:t>
      </w:r>
    </w:p>
    <w:p w14:paraId="5ADB25C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9.2.5 供应商情况表；</w:t>
      </w:r>
    </w:p>
    <w:p w14:paraId="3D4DE13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9.2.6 距采购人最近或者能为本项目提供最优服务的网点情况表；</w:t>
      </w:r>
    </w:p>
    <w:p w14:paraId="3489AE1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 评标标准相应的商务技术资料；</w:t>
      </w:r>
    </w:p>
    <w:p w14:paraId="78FA178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9.2.8 商务响应表；</w:t>
      </w:r>
    </w:p>
    <w:p w14:paraId="6B8CE26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9.2.9 技术响应表；</w:t>
      </w:r>
    </w:p>
    <w:p w14:paraId="4A103CE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9.2.10 同类业绩情况一览表；</w:t>
      </w:r>
    </w:p>
    <w:p w14:paraId="4DF3C54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9.2.11</w:t>
      </w:r>
      <w:r>
        <w:rPr>
          <w:rFonts w:hint="eastAsia" w:asciiTheme="minorEastAsia" w:hAnsiTheme="minorEastAsia" w:eastAsiaTheme="minorEastAsia" w:cstheme="minorEastAsia"/>
          <w:color w:val="auto"/>
          <w:sz w:val="21"/>
          <w:szCs w:val="21"/>
          <w:highlight w:val="none"/>
          <w:lang w:val="zh-CN" w:eastAsia="zh-CN"/>
        </w:rPr>
        <w:t>政府采购供应商廉洁自律承诺书；</w:t>
      </w:r>
    </w:p>
    <w:p w14:paraId="07E047C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9.2.12其他资料（如有）。</w:t>
      </w:r>
    </w:p>
    <w:p w14:paraId="69C7C821">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single"/>
          <w:lang w:val="zh-CN"/>
        </w:rPr>
      </w:pPr>
      <w:r>
        <w:rPr>
          <w:rFonts w:hint="eastAsia" w:asciiTheme="minorEastAsia" w:hAnsiTheme="minorEastAsia" w:eastAsiaTheme="minorEastAsia" w:cstheme="minorEastAsia"/>
          <w:b/>
          <w:bCs/>
          <w:color w:val="auto"/>
          <w:kern w:val="0"/>
          <w:sz w:val="21"/>
          <w:szCs w:val="21"/>
          <w:highlight w:val="none"/>
          <w:lang w:val="en-US" w:eastAsia="zh-CN"/>
        </w:rPr>
        <w:t>9</w:t>
      </w: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kern w:val="0"/>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 xml:space="preserve">报价文件： </w:t>
      </w:r>
    </w:p>
    <w:p w14:paraId="6C37D04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9.3.1 报价一览表；</w:t>
      </w:r>
    </w:p>
    <w:p w14:paraId="585DAD3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9.3.2 中小企业声明函（如有）；</w:t>
      </w:r>
    </w:p>
    <w:p w14:paraId="565E07F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9.3.3残疾人福利性单位声明函（如有）；</w:t>
      </w:r>
    </w:p>
    <w:p w14:paraId="28F5B51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9.3.4监狱企业的证明文件（如有）；</w:t>
      </w:r>
    </w:p>
    <w:p w14:paraId="3F1A74B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9.3.5 政府采购统计基础信息表；</w:t>
      </w:r>
    </w:p>
    <w:p w14:paraId="647BAC12">
      <w:pPr>
        <w:pStyle w:val="35"/>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9.3.6其他资料（如有）</w:t>
      </w:r>
    </w:p>
    <w:p w14:paraId="298BBC6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响应文件的编制</w:t>
      </w:r>
    </w:p>
    <w:p w14:paraId="37ACC7B2">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 w:val="21"/>
          <w:szCs w:val="21"/>
          <w:highlight w:val="none"/>
          <w:lang w:val="en-US" w:eastAsia="zh-CN"/>
        </w:rPr>
        <w:t>未有规定格式的资料，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rPr>
        <w:t>应自行编制，但至少须包含9.响应文件组成中的内容。</w:t>
      </w:r>
      <w:r>
        <w:rPr>
          <w:rFonts w:hint="eastAsia" w:asciiTheme="minorEastAsia" w:hAnsiTheme="minorEastAsia" w:eastAsiaTheme="minorEastAsia" w:cstheme="minorEastAsia"/>
          <w:color w:val="auto"/>
          <w:kern w:val="0"/>
          <w:sz w:val="21"/>
          <w:szCs w:val="21"/>
          <w:highlight w:val="none"/>
          <w:lang w:val="zh-CN"/>
        </w:rPr>
        <w:t>混乱的编排导致响应文件被误读或磋商小组查找不到有效文件是供应商的风险。</w:t>
      </w:r>
    </w:p>
    <w:p w14:paraId="4746F977">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.2供应商进行电子投标应安装客户端软件—“乐采云电子交易客户端”（</w:t>
      </w:r>
      <w:r>
        <w:rPr>
          <w:rFonts w:hint="eastAsia" w:asciiTheme="minorEastAsia" w:hAnsiTheme="minorEastAsia" w:eastAsiaTheme="minorEastAsia" w:cstheme="minorEastAsia"/>
          <w:color w:val="auto"/>
          <w:kern w:val="0"/>
          <w:sz w:val="21"/>
          <w:szCs w:val="21"/>
          <w:highlight w:val="none"/>
          <w:lang w:val="en-US" w:eastAsia="zh-CN"/>
        </w:rPr>
        <w:t>下载地址：https://b.zhengcaiyun.cn/luban/category?parentId=550045&amp;childrenCode=qicaiCategory17&amp;utm=luban.luban-PC-39026.959-pc-websitegroup-navBar-front.8.ebdec73052c711ef9ade896d008b9248</w:t>
      </w:r>
      <w:r>
        <w:rPr>
          <w:rFonts w:hint="eastAsia" w:asciiTheme="minorEastAsia" w:hAnsiTheme="minorEastAsia" w:eastAsiaTheme="minorEastAsia" w:cstheme="minorEastAsia"/>
          <w:color w:val="auto"/>
          <w:kern w:val="0"/>
          <w:sz w:val="21"/>
          <w:szCs w:val="21"/>
          <w:highlight w:val="none"/>
          <w:lang w:val="zh-CN"/>
        </w:rPr>
        <w:t>），并按照竞争性磋商文件和电子交易平台的要求编制并加密响应文件。供应商未按规定加密的响应文件，电子交易平台将拒收并提示。</w:t>
      </w:r>
    </w:p>
    <w:p w14:paraId="203AC7AD">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.3使用“乐采云电子交易客户端”需要提前申领CA数字证书，申领流程请自行前往“浙江企业采购信息服务网-下载专区-电子交易客户端-CA驱动和申领流程”进行查阅。</w:t>
      </w:r>
    </w:p>
    <w:p w14:paraId="20527C5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文件的签署、盖章</w:t>
      </w:r>
    </w:p>
    <w:p w14:paraId="446BB9EF">
      <w:pPr>
        <w:pStyle w:val="51"/>
        <w:snapToGrid w:val="0"/>
        <w:spacing w:before="0" w:line="360" w:lineRule="auto"/>
        <w:ind w:firstLine="48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文件第六部分格式要求进行签署、盖章。</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文件未按照</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文件要求签署、盖章的，其</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r>
        <w:rPr>
          <w:rFonts w:hint="eastAsia" w:asciiTheme="minorEastAsia" w:hAnsiTheme="minorEastAsia" w:eastAsiaTheme="minorEastAsia" w:cstheme="minorEastAsia"/>
          <w:color w:val="auto"/>
          <w:sz w:val="21"/>
          <w:szCs w:val="21"/>
          <w:highlight w:val="none"/>
        </w:rPr>
        <w:t>。</w:t>
      </w:r>
    </w:p>
    <w:p w14:paraId="0EFF9019">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.2为确保网上操作合法、有效和安全，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截止时间前完成在“</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”的身份认证，确保在电子投标过程中能够对相关数据电文进行加密和使用电子签名。</w:t>
      </w:r>
    </w:p>
    <w:p w14:paraId="6A7FC5F8">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文件签署、盖章的要求适用于电子签名。</w:t>
      </w:r>
    </w:p>
    <w:p w14:paraId="4CB8E7F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响应文件的提交、补充、修改、撤回</w:t>
      </w:r>
    </w:p>
    <w:p w14:paraId="0F5E9269">
      <w:pPr>
        <w:pStyle w:val="51"/>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 供应商应当在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文件的传输递交，并可以补充、修改或者撤回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文件。补充或者修改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文件的，应当先行撤回原文件，补充、修改后重新传输递交。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截止时间前未完成传输的，视为撤回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截止时间后递交的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文件，电子交易平台将拒收。</w:t>
      </w:r>
    </w:p>
    <w:p w14:paraId="53C511AE">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.2电子交易平台收到</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文件，将妥善保存并即时向供应商发出确认回执通知。在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截止时间前，除供应商补充、修改或者撤回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文件外，任何单位和个人不得解密或提取</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p>
    <w:p w14:paraId="1128BDA0">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.3采购人、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可以视情况延长</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文件提交的截止时间。在上述情况下，</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以前在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截止期方面的全部权利、责任和义务，将适用于延长至新的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w:t>
      </w:r>
    </w:p>
    <w:p w14:paraId="51E10DC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响应有效期</w:t>
      </w:r>
    </w:p>
    <w:p w14:paraId="16B3E7C6">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有效期为从提交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文件的截止之日起90天。▲</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文件中承诺的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有效期少于</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文件中载明的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p>
    <w:p w14:paraId="588D6B93">
      <w:pPr>
        <w:pStyle w:val="51"/>
        <w:spacing w:before="0" w:line="360" w:lineRule="auto"/>
        <w:ind w:firstLine="643"/>
        <w:rPr>
          <w:rFonts w:hint="eastAsia" w:asciiTheme="minorEastAsia" w:hAnsiTheme="minorEastAsia" w:eastAsiaTheme="minorEastAsia" w:cstheme="minorEastAsia"/>
          <w:b/>
          <w:color w:val="auto"/>
          <w:sz w:val="32"/>
          <w:highlight w:val="none"/>
        </w:rPr>
      </w:pPr>
    </w:p>
    <w:p w14:paraId="509BAF85">
      <w:pPr>
        <w:pStyle w:val="51"/>
        <w:spacing w:before="0" w:line="360" w:lineRule="auto"/>
        <w:ind w:left="0" w:leftChars="0"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w:t>
      </w:r>
      <w:r>
        <w:rPr>
          <w:rFonts w:hint="eastAsia" w:asciiTheme="minorEastAsia" w:hAnsiTheme="minorEastAsia" w:eastAsiaTheme="minorEastAsia" w:cstheme="minorEastAsia"/>
          <w:b/>
          <w:color w:val="auto"/>
          <w:sz w:val="32"/>
          <w:highlight w:val="none"/>
          <w:lang w:eastAsia="zh-CN"/>
        </w:rPr>
        <w:t>响应文件开启</w:t>
      </w:r>
      <w:r>
        <w:rPr>
          <w:rFonts w:hint="eastAsia" w:asciiTheme="minorEastAsia" w:hAnsiTheme="minorEastAsia" w:eastAsiaTheme="minorEastAsia" w:cstheme="minorEastAsia"/>
          <w:b/>
          <w:color w:val="auto"/>
          <w:sz w:val="32"/>
          <w:highlight w:val="none"/>
        </w:rPr>
        <w:t>、资格审查与信用信息查询</w:t>
      </w:r>
    </w:p>
    <w:p w14:paraId="17FCA2C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 xml:space="preserve">响应文件开启 </w:t>
      </w:r>
    </w:p>
    <w:p w14:paraId="78DEBACC">
      <w:pPr>
        <w:pStyle w:val="46"/>
        <w:spacing w:before="0" w:line="360" w:lineRule="auto"/>
        <w:ind w:left="0" w:firstLine="420" w:firstLineChars="2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文件规定的时间通过电子交易平台组织</w:t>
      </w:r>
      <w:r>
        <w:rPr>
          <w:rFonts w:hint="eastAsia" w:asciiTheme="minorEastAsia" w:hAnsiTheme="minorEastAsia" w:eastAsiaTheme="minorEastAsia" w:cstheme="minorEastAsia"/>
          <w:color w:val="auto"/>
          <w:sz w:val="21"/>
          <w:szCs w:val="21"/>
          <w:highlight w:val="none"/>
          <w:lang w:val="en-US" w:eastAsia="zh-CN"/>
        </w:rPr>
        <w:t>响应文件开启</w:t>
      </w: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均应当准时在线参加。</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不足3家的，不得开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w:t>
      </w:r>
    </w:p>
    <w:p w14:paraId="262CBDD1">
      <w:pPr>
        <w:pStyle w:val="46"/>
        <w:spacing w:before="0" w:line="360" w:lineRule="auto"/>
        <w:ind w:left="0" w:firstLine="210" w:firstLineChars="1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时，电子交易平台按</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sz w:val="21"/>
          <w:szCs w:val="21"/>
          <w:highlight w:val="none"/>
        </w:rPr>
        <w:t>时间自动提取所有</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依托电子交易平台发起开始解密指令，</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按照平台提示和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文件的规定在半小时内完成在线解密。</w:t>
      </w:r>
    </w:p>
    <w:p w14:paraId="3A114C9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资格审查</w:t>
      </w:r>
    </w:p>
    <w:p w14:paraId="30A94E9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kern w:val="0"/>
          <w:sz w:val="21"/>
          <w:szCs w:val="21"/>
          <w:highlight w:val="none"/>
        </w:rPr>
        <w:t>后，</w:t>
      </w:r>
      <w:r>
        <w:rPr>
          <w:rFonts w:hint="eastAsia" w:asciiTheme="minorEastAsia" w:hAnsiTheme="minorEastAsia" w:eastAsiaTheme="minorEastAsia" w:cstheme="minorEastAsia"/>
          <w:color w:val="auto"/>
          <w:kern w:val="0"/>
          <w:sz w:val="21"/>
          <w:szCs w:val="21"/>
          <w:highlight w:val="none"/>
          <w:lang w:val="en-US" w:eastAsia="zh-CN"/>
        </w:rPr>
        <w:t>采购代理机构</w:t>
      </w:r>
      <w:r>
        <w:rPr>
          <w:rFonts w:hint="eastAsia" w:asciiTheme="minorEastAsia" w:hAnsiTheme="minorEastAsia" w:eastAsiaTheme="minorEastAsia" w:cstheme="minorEastAsia"/>
          <w:color w:val="auto"/>
          <w:kern w:val="0"/>
          <w:sz w:val="21"/>
          <w:szCs w:val="21"/>
          <w:highlight w:val="none"/>
        </w:rPr>
        <w:t>依据法律法规和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文件的规定，对</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的资格条件进行审查。</w:t>
      </w:r>
    </w:p>
    <w:p w14:paraId="59392E4B">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对未通过资格审查的</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，采购人或</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告知其未通过的原因。</w:t>
      </w:r>
    </w:p>
    <w:p w14:paraId="6E6EA135">
      <w:pPr>
        <w:pStyle w:val="51"/>
        <w:spacing w:before="0" w:line="360" w:lineRule="auto"/>
        <w:ind w:firstLine="48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合格</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不足3家的，不再</w:t>
      </w:r>
      <w:r>
        <w:rPr>
          <w:rFonts w:hint="eastAsia" w:asciiTheme="minorEastAsia" w:hAnsiTheme="minorEastAsia" w:eastAsiaTheme="minorEastAsia" w:cstheme="minorEastAsia"/>
          <w:color w:val="auto"/>
          <w:sz w:val="21"/>
          <w:szCs w:val="21"/>
          <w:highlight w:val="none"/>
          <w:lang w:eastAsia="zh-CN"/>
        </w:rPr>
        <w:t>评审，但符合《政府采购竞争性磋商采购方式管理暂行办法》第二十一条第三款和《财政部关于政府采购竞争性磋商采购方式管理暂行办法有关问题的补充通知》规定的情形，采购活动可以继续进行。</w:t>
      </w:r>
    </w:p>
    <w:p w14:paraId="77921D2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信用信息查询</w:t>
      </w:r>
    </w:p>
    <w:p w14:paraId="664F75CD">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.1信用信息查询渠道及截止时间：</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将通过“信用中国”网站(www.creditchina.gov.cn)、中国政府采购网(www.ccgp.gov.cn)渠道查询</w:t>
      </w:r>
      <w:r>
        <w:rPr>
          <w:rFonts w:hint="eastAsia" w:asciiTheme="minorEastAsia" w:hAnsiTheme="minorEastAsia" w:eastAsiaTheme="minorEastAsia" w:cstheme="minorEastAsia"/>
          <w:color w:val="auto"/>
          <w:kern w:val="0"/>
          <w:sz w:val="21"/>
          <w:szCs w:val="21"/>
          <w:highlight w:val="none"/>
          <w:lang w:eastAsia="zh-CN"/>
        </w:rPr>
        <w:t>供应商响应</w:t>
      </w:r>
      <w:r>
        <w:rPr>
          <w:rFonts w:hint="eastAsia" w:asciiTheme="minorEastAsia" w:hAnsiTheme="minorEastAsia" w:eastAsiaTheme="minorEastAsia" w:cstheme="minorEastAsia"/>
          <w:color w:val="auto"/>
          <w:kern w:val="0"/>
          <w:sz w:val="21"/>
          <w:szCs w:val="21"/>
          <w:highlight w:val="none"/>
        </w:rPr>
        <w:t>截止时间当天的信用记录。</w:t>
      </w:r>
    </w:p>
    <w:p w14:paraId="01F1E034">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将被拒绝参与政府采购活动。</w:t>
      </w:r>
    </w:p>
    <w:p w14:paraId="366663F7">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五、评</w:t>
      </w:r>
      <w:r>
        <w:rPr>
          <w:rFonts w:hint="eastAsia" w:asciiTheme="minorEastAsia" w:hAnsiTheme="minorEastAsia" w:eastAsiaTheme="minorEastAsia" w:cstheme="minorEastAsia"/>
          <w:b/>
          <w:color w:val="auto"/>
          <w:sz w:val="36"/>
          <w:szCs w:val="36"/>
          <w:highlight w:val="none"/>
          <w:lang w:eastAsia="zh-CN"/>
        </w:rPr>
        <w:t>审</w:t>
      </w:r>
    </w:p>
    <w:p w14:paraId="74D6849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bookmarkStart w:id="14" w:name="_Toc91899903"/>
      <w:r>
        <w:rPr>
          <w:rFonts w:hint="eastAsia" w:asciiTheme="minorEastAsia" w:hAnsiTheme="minorEastAsia" w:eastAsiaTheme="minorEastAsia" w:cstheme="minorEastAsia"/>
          <w:b/>
          <w:color w:val="auto"/>
          <w:sz w:val="21"/>
          <w:szCs w:val="21"/>
          <w:highlight w:val="none"/>
          <w:lang w:val="en-US" w:eastAsia="zh-CN"/>
        </w:rPr>
        <w:t>磋商小组</w:t>
      </w:r>
    </w:p>
    <w:p w14:paraId="6E7ED01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17.1 本次采购依法组建磋商小组。磋商小组由采购人代表和评审专家组成，评审专家从专家库随机抽取。</w:t>
      </w:r>
    </w:p>
    <w:p w14:paraId="1155A7EA">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17.2 评标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6836A4E9">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 评审专家有下列情形之一的，受到邀请应主动提出回避，采购当事人也可以要求该评审专家回避：</w:t>
      </w:r>
    </w:p>
    <w:p w14:paraId="65E03B9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17.3.1 参加采购活动前三年内，与供应商存在劳动关系，或者担任过供应商的董事、监事，或者是供应商的控股股东或实际控制人；</w:t>
      </w:r>
    </w:p>
    <w:p w14:paraId="6CEE1B7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17.3.2 与供应商的法定代表人或者负责人有夫妻、直系血亲、三代以内旁系血亲或者近姻亲关系；</w:t>
      </w:r>
    </w:p>
    <w:p w14:paraId="7AD8604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17.3.3 任职单位与参加该采购项目供应商存在行政隶属关系；</w:t>
      </w:r>
    </w:p>
    <w:p w14:paraId="34CCD7D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17.3.4 曾经参加过该采购项目的进口产品或招标文件、采购需求、采购方式的论证和咨询服务工作；</w:t>
      </w:r>
    </w:p>
    <w:p w14:paraId="44D018E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17.3.5 是参加该采购项目供应商的上级主管部门、控股或参股单位的工作人员，或与该供应商存在其他经济利益关系；</w:t>
      </w:r>
    </w:p>
    <w:p w14:paraId="1D14007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17.3.6 评标委员会成员之间具有配偶、近亲属关系等；</w:t>
      </w:r>
    </w:p>
    <w:p w14:paraId="2D8D029B">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17.3.7 法律、法规、规章规定应当回避以及其他可能影响政府采购活动公平、公正进行的关系。</w:t>
      </w:r>
    </w:p>
    <w:p w14:paraId="7441347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17.4 评标委员会判断投标文件的有效性、合格性和响应情况，仅依据投标人所递交一切文件的真实表述，不受与本项目无直接关联的外部信息、传言而影响自身的专业判断。</w:t>
      </w:r>
    </w:p>
    <w:p w14:paraId="23EEA1A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1B39349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评标</w:t>
      </w:r>
    </w:p>
    <w:p w14:paraId="73B0253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磋商小组将根据竞争性磋商文件和有关规定，履行评标工作职责，并按照评标方法及评分标准，全面衡量各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对竞争性磋商文件的响应情况。对实质上响应竞争性磋商文件的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，按照评审因素的量化指标推荐综合得分排名第一的为中标候选人。</w:t>
      </w:r>
    </w:p>
    <w:p w14:paraId="0660186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得分相同的，按投标报价由低到高顺序排列。得分且投标报价相同的，投标文件满足招标文件全部实质性要求，且按照评审因素的量化指标评审得分最高的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为排名第一的中标候选人。</w:t>
      </w:r>
    </w:p>
    <w:p w14:paraId="4CC704F8">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详见招标文件第四部分评标办法。</w:t>
      </w:r>
    </w:p>
    <w:p w14:paraId="13048695">
      <w:pPr>
        <w:spacing w:line="360" w:lineRule="auto"/>
        <w:rPr>
          <w:rFonts w:hint="eastAsia" w:asciiTheme="minorEastAsia" w:hAnsiTheme="minorEastAsia" w:eastAsiaTheme="minorEastAsia" w:cstheme="minorEastAsia"/>
          <w:b/>
          <w:color w:val="auto"/>
          <w:sz w:val="24"/>
          <w:highlight w:val="none"/>
        </w:rPr>
      </w:pPr>
    </w:p>
    <w:p w14:paraId="0660FF30">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39393C8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确定成交供应商</w:t>
      </w:r>
    </w:p>
    <w:p w14:paraId="38664D8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color w:val="auto"/>
          <w:kern w:val="0"/>
          <w:sz w:val="21"/>
          <w:szCs w:val="21"/>
          <w:highlight w:val="none"/>
          <w:lang w:val="en-US" w:eastAsia="zh-CN"/>
        </w:rPr>
        <w:t>本项目由磋商小组直接</w:t>
      </w:r>
      <w:r>
        <w:rPr>
          <w:color w:val="auto"/>
          <w:kern w:val="0"/>
          <w:sz w:val="21"/>
          <w:szCs w:val="21"/>
          <w:highlight w:val="none"/>
        </w:rPr>
        <w:t>确定评审报告排序第一的供应商为成交供应商。</w:t>
      </w:r>
    </w:p>
    <w:p w14:paraId="58D1BEC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成交通知与成交结果公告</w:t>
      </w:r>
    </w:p>
    <w:p w14:paraId="7351689A">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20.1自成交供应商确定之日起2个工作日内，采购代理机构通过电子交易平台向成交供应商发出成交通知书，同时编制发布采购结果公告。采购代理机构也可以以纸质形式进行成交通知。</w:t>
      </w:r>
    </w:p>
    <w:p w14:paraId="08B87C1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p>
    <w:p w14:paraId="11F7857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20.3公告期限为1个工作日。</w:t>
      </w:r>
    </w:p>
    <w:p w14:paraId="314B344E">
      <w:pPr>
        <w:snapToGrid w:val="0"/>
        <w:spacing w:line="360" w:lineRule="auto"/>
        <w:jc w:val="both"/>
        <w:rPr>
          <w:rFonts w:hint="eastAsia" w:asciiTheme="minorEastAsia" w:hAnsiTheme="minorEastAsia" w:eastAsiaTheme="minorEastAsia" w:cstheme="minorEastAsia"/>
          <w:b/>
          <w:color w:val="auto"/>
          <w:sz w:val="32"/>
          <w:highlight w:val="none"/>
        </w:rPr>
      </w:pPr>
    </w:p>
    <w:p w14:paraId="79393212">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127423B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合同授予</w:t>
      </w:r>
    </w:p>
    <w:p w14:paraId="782F48AA">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合同主要条款详见第五部分拟签订的合同文本。</w:t>
      </w:r>
    </w:p>
    <w:p w14:paraId="3CDFDDB8">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合同的签订</w:t>
      </w:r>
    </w:p>
    <w:p w14:paraId="19312709">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22.1 采购人与成交供应商应当通过电子交易平台在成交通知书发出之日起三十日内，按照竞争性磋商文件及成交供应商的响应文件确定的事项签订政府采购合同，并在合同签订之日起2个工作日内依法发布合同公告。</w:t>
      </w:r>
    </w:p>
    <w:p w14:paraId="6F9FFCF8">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eastAsia="zh-CN"/>
        </w:rPr>
        <w:t>2</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eastAsia="zh-CN"/>
        </w:rPr>
        <w:t>.2成交供应商按规定的日期、时间、地点，由法定代表人或其授权代表与采购人代表签订合同。如成交人为联合体的，由联合体成员各方法定代表人或其授权代表与采购人代表签订合同。</w:t>
      </w:r>
    </w:p>
    <w:p w14:paraId="52673FF1">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22.3如签订合同并生效后，供应商无故拒绝或延期，除按照合同条款处理外，列入不良行为记录名单，并给予通报。</w:t>
      </w:r>
    </w:p>
    <w:p w14:paraId="32A71BFB">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22.4</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供应商拒绝与采购人签订合同的，列入不良行为记录名单，采购人、采购代理机构重新开展政府采购活动。</w:t>
      </w:r>
    </w:p>
    <w:p w14:paraId="24E2078D">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22.5采购合同由采购人与</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供应商根据竞争性磋商文件、响应文件等内容通过政府采购电子交易平台在线签订，自动备案。</w:t>
      </w:r>
    </w:p>
    <w:p w14:paraId="3B21E172">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2782789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电子交易活动的中止</w:t>
      </w:r>
    </w:p>
    <w:p w14:paraId="6B846417">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可中止电子交易活动：</w:t>
      </w:r>
    </w:p>
    <w:p w14:paraId="1CE97CE0">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.1电子交易平台发生故障而无法登录访问的； </w:t>
      </w:r>
    </w:p>
    <w:p w14:paraId="5C541EE6">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.2电子交易平台应用或数据库出现错误，不能进行正常操作的；</w:t>
      </w:r>
    </w:p>
    <w:p w14:paraId="0BE42BAB">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.3电子交易平台发现严重安全漏洞，有潜在泄密危险的；</w:t>
      </w:r>
    </w:p>
    <w:p w14:paraId="40946349">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.4病毒发作导致不能进行正常操作的； </w:t>
      </w:r>
    </w:p>
    <w:p w14:paraId="3C3700A4">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.5其他无法保证电子交易的公平、公正和安全的情况。</w:t>
      </w:r>
    </w:p>
    <w:p w14:paraId="51638486">
      <w:pPr>
        <w:snapToGrid w:val="0"/>
        <w:spacing w:line="360" w:lineRule="auto"/>
        <w:jc w:val="both"/>
        <w:rPr>
          <w:rFonts w:hint="eastAsia" w:asciiTheme="minorEastAsia" w:hAnsiTheme="minorEastAsia" w:eastAsiaTheme="minorEastAsia" w:cstheme="minorEastAsia"/>
          <w:b/>
          <w:color w:val="auto"/>
          <w:sz w:val="32"/>
          <w:highlight w:val="none"/>
        </w:rPr>
      </w:pPr>
    </w:p>
    <w:p w14:paraId="59F68007">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12168DDE">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验收</w:t>
      </w:r>
    </w:p>
    <w:p w14:paraId="1FC72AE8">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AB2D0E">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严格按照采购合同开展履约验收。采购人成立验收小组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为社会公众提供的公共服务项目验收时，验收小组成员必须包含部分服务对象</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156172C2">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asciiTheme="minorEastAsia" w:hAnsiTheme="minorEastAsia" w:eastAsiaTheme="minorEastAsia" w:cstheme="minorEastAsia"/>
          <w:color w:val="auto"/>
          <w:kern w:val="0"/>
          <w:sz w:val="21"/>
          <w:szCs w:val="21"/>
          <w:highlight w:val="none"/>
          <w:lang w:val="en-US" w:eastAsia="zh-CN"/>
        </w:rPr>
        <w:t>监督管理部门</w:t>
      </w:r>
      <w:r>
        <w:rPr>
          <w:rFonts w:hint="eastAsia" w:asciiTheme="minorEastAsia" w:hAnsiTheme="minorEastAsia" w:eastAsiaTheme="minorEastAsia" w:cstheme="minorEastAsia"/>
          <w:color w:val="auto"/>
          <w:kern w:val="0"/>
          <w:sz w:val="21"/>
          <w:szCs w:val="21"/>
          <w:highlight w:val="none"/>
        </w:rPr>
        <w:t>。</w:t>
      </w:r>
      <w:bookmarkEnd w:id="14"/>
      <w:bookmarkStart w:id="15" w:name="_Hlt68057669"/>
      <w:bookmarkEnd w:id="15"/>
      <w:bookmarkStart w:id="16" w:name="_Hlt68073093"/>
      <w:bookmarkEnd w:id="16"/>
      <w:bookmarkStart w:id="17" w:name="_Hlt68403820"/>
      <w:bookmarkEnd w:id="17"/>
      <w:bookmarkStart w:id="18" w:name="_Hlt75236101"/>
      <w:bookmarkEnd w:id="18"/>
      <w:bookmarkStart w:id="19" w:name="_Hlt74707468"/>
      <w:bookmarkEnd w:id="19"/>
      <w:bookmarkStart w:id="20" w:name="_Hlt75236290"/>
      <w:bookmarkEnd w:id="20"/>
      <w:bookmarkStart w:id="21" w:name="_Hlt68072998"/>
      <w:bookmarkEnd w:id="21"/>
      <w:bookmarkStart w:id="22" w:name="_Hlt74730295"/>
      <w:bookmarkEnd w:id="22"/>
      <w:bookmarkStart w:id="23" w:name="_Hlt68072990"/>
      <w:bookmarkEnd w:id="23"/>
      <w:bookmarkStart w:id="24" w:name="_Hlt74714665"/>
      <w:bookmarkEnd w:id="24"/>
      <w:bookmarkStart w:id="25" w:name="_Hlt75236011"/>
      <w:bookmarkEnd w:id="25"/>
      <w:bookmarkStart w:id="26" w:name="_Hlt74729768"/>
      <w:bookmarkEnd w:id="26"/>
    </w:p>
    <w:p w14:paraId="41A23A9C">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page"/>
      </w:r>
    </w:p>
    <w:p w14:paraId="392AA0C0">
      <w:pPr>
        <w:tabs>
          <w:tab w:val="left" w:pos="0"/>
        </w:tabs>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第三部分   采购需求</w:t>
      </w:r>
    </w:p>
    <w:p w14:paraId="4F14A6CD">
      <w:pPr>
        <w:shd w:val="clear"/>
        <w:spacing w:beforeLines="50" w:line="360" w:lineRule="auto"/>
        <w:ind w:firstLine="422" w:firstLineChars="200"/>
        <w:rPr>
          <w:rFonts w:hint="eastAsia" w:asciiTheme="minorEastAsia" w:hAnsiTheme="minorEastAsia" w:eastAsiaTheme="minorEastAsia" w:cstheme="minorEastAsia"/>
          <w:b/>
          <w:color w:val="auto"/>
          <w:szCs w:val="21"/>
          <w:highlight w:val="none"/>
        </w:rPr>
      </w:pPr>
      <w:bookmarkStart w:id="27" w:name="_Hlk128151554"/>
      <w:r>
        <w:rPr>
          <w:rFonts w:hint="eastAsia" w:asciiTheme="minorEastAsia" w:hAnsiTheme="minorEastAsia" w:eastAsiaTheme="minorEastAsia" w:cstheme="minorEastAsia"/>
          <w:b/>
          <w:color w:val="auto"/>
          <w:szCs w:val="21"/>
          <w:highlight w:val="none"/>
        </w:rPr>
        <w:t>（一）采购范围</w:t>
      </w:r>
    </w:p>
    <w:p w14:paraId="0702ED60">
      <w:pPr>
        <w:shd w:val="clear"/>
        <w:spacing w:beforeLines="50" w:line="360" w:lineRule="auto"/>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施工图范围内的电力排管、电缆井、通信管道、手孔井、路面破修、引上钢管、拉线架设、路面修复等；</w:t>
      </w:r>
    </w:p>
    <w:p w14:paraId="75C13379">
      <w:pPr>
        <w:shd w:val="clear"/>
        <w:spacing w:beforeLines="50" w:line="360" w:lineRule="auto"/>
        <w:ind w:firstLine="422" w:firstLineChars="200"/>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（二）施工图设计内容：</w:t>
      </w:r>
    </w:p>
    <w:p w14:paraId="5067C4C0">
      <w:pPr>
        <w:shd w:val="clear"/>
        <w:spacing w:beforeLines="50" w:line="360" w:lineRule="auto"/>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详见图纸。</w:t>
      </w:r>
    </w:p>
    <w:p w14:paraId="5439454A">
      <w:pPr>
        <w:spacing w:before="156" w:beforeLines="50" w:line="360" w:lineRule="auto"/>
        <w:ind w:firstLine="422"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36A0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4259542">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序号</w:t>
            </w:r>
          </w:p>
        </w:tc>
        <w:tc>
          <w:tcPr>
            <w:tcW w:w="3669" w:type="dxa"/>
            <w:vAlign w:val="center"/>
          </w:tcPr>
          <w:p w14:paraId="52210AEC">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项目内容</w:t>
            </w:r>
          </w:p>
        </w:tc>
        <w:tc>
          <w:tcPr>
            <w:tcW w:w="3103" w:type="dxa"/>
            <w:vAlign w:val="center"/>
          </w:tcPr>
          <w:p w14:paraId="69F245FB">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说明与要求</w:t>
            </w:r>
          </w:p>
        </w:tc>
        <w:tc>
          <w:tcPr>
            <w:tcW w:w="1541" w:type="dxa"/>
            <w:vAlign w:val="center"/>
          </w:tcPr>
          <w:p w14:paraId="5E2959D1">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val="en-US" w:eastAsia="zh-CN"/>
              </w:rPr>
              <w:t>供应商响应</w:t>
            </w:r>
          </w:p>
        </w:tc>
      </w:tr>
      <w:tr w14:paraId="3456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3" w:type="dxa"/>
            <w:vAlign w:val="center"/>
          </w:tcPr>
          <w:p w14:paraId="6777129B">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1</w:t>
            </w:r>
          </w:p>
        </w:tc>
        <w:tc>
          <w:tcPr>
            <w:tcW w:w="3669" w:type="dxa"/>
            <w:vAlign w:val="center"/>
          </w:tcPr>
          <w:p w14:paraId="7D6CBBF2">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施工准备时间</w:t>
            </w:r>
          </w:p>
        </w:tc>
        <w:tc>
          <w:tcPr>
            <w:tcW w:w="3103" w:type="dxa"/>
            <w:vAlign w:val="center"/>
          </w:tcPr>
          <w:p w14:paraId="5644CA9D">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签订合同后 7 天</w:t>
            </w:r>
          </w:p>
        </w:tc>
        <w:tc>
          <w:tcPr>
            <w:tcW w:w="1541" w:type="dxa"/>
            <w:vAlign w:val="center"/>
          </w:tcPr>
          <w:p w14:paraId="2C879710">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7060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3" w:type="dxa"/>
            <w:vAlign w:val="center"/>
          </w:tcPr>
          <w:p w14:paraId="0E72F60F">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2</w:t>
            </w:r>
          </w:p>
        </w:tc>
        <w:tc>
          <w:tcPr>
            <w:tcW w:w="3669" w:type="dxa"/>
            <w:vAlign w:val="center"/>
          </w:tcPr>
          <w:p w14:paraId="3192E291">
            <w:pPr>
              <w:pageBreakBefore w:val="0"/>
              <w:kinsoku/>
              <w:wordWrap/>
              <w:overflowPunct/>
              <w:topLinePunct w:val="0"/>
              <w:bidi w:val="0"/>
              <w:snapToGrid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延误合同工期赔偿标准</w:t>
            </w:r>
          </w:p>
        </w:tc>
        <w:tc>
          <w:tcPr>
            <w:tcW w:w="3103" w:type="dxa"/>
            <w:vAlign w:val="center"/>
          </w:tcPr>
          <w:p w14:paraId="693DCF4C">
            <w:pPr>
              <w:pageBreakBefore w:val="0"/>
              <w:kinsoku/>
              <w:wordWrap/>
              <w:overflowPunct/>
              <w:topLinePunct w:val="0"/>
              <w:bidi w:val="0"/>
              <w:snapToGrid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val="en-US" w:eastAsia="zh-CN"/>
              </w:rPr>
              <w:t>1</w:t>
            </w:r>
            <w:r>
              <w:rPr>
                <w:rFonts w:hint="eastAsia" w:asciiTheme="minorEastAsia" w:hAnsiTheme="minorEastAsia" w:eastAsiaTheme="minorEastAsia" w:cstheme="minorEastAsia"/>
                <w:b w:val="0"/>
                <w:bCs w:val="0"/>
                <w:color w:val="auto"/>
                <w:szCs w:val="21"/>
                <w:highlight w:val="none"/>
                <w:lang w:eastAsia="zh-CN"/>
              </w:rPr>
              <w:t>000 元/天</w:t>
            </w:r>
          </w:p>
        </w:tc>
        <w:tc>
          <w:tcPr>
            <w:tcW w:w="1541" w:type="dxa"/>
            <w:vAlign w:val="center"/>
          </w:tcPr>
          <w:p w14:paraId="31ED2BA2">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638B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73" w:type="dxa"/>
            <w:vAlign w:val="center"/>
          </w:tcPr>
          <w:p w14:paraId="371AB8EA">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3</w:t>
            </w:r>
          </w:p>
        </w:tc>
        <w:tc>
          <w:tcPr>
            <w:tcW w:w="3669" w:type="dxa"/>
            <w:vAlign w:val="center"/>
          </w:tcPr>
          <w:p w14:paraId="15EDBBA8">
            <w:pPr>
              <w:pageBreakBefore w:val="0"/>
              <w:kinsoku/>
              <w:wordWrap/>
              <w:overflowPunct/>
              <w:topLinePunct w:val="0"/>
              <w:bidi w:val="0"/>
              <w:snapToGrid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未达到工程工期违约金限额</w:t>
            </w:r>
          </w:p>
        </w:tc>
        <w:tc>
          <w:tcPr>
            <w:tcW w:w="3103" w:type="dxa"/>
            <w:vAlign w:val="center"/>
          </w:tcPr>
          <w:p w14:paraId="163C1B8C">
            <w:pPr>
              <w:pageBreakBefore w:val="0"/>
              <w:kinsoku/>
              <w:wordWrap/>
              <w:overflowPunct/>
              <w:topLinePunct w:val="0"/>
              <w:bidi w:val="0"/>
              <w:snapToGrid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合同价款的</w:t>
            </w:r>
            <w:r>
              <w:rPr>
                <w:rFonts w:hint="eastAsia" w:asciiTheme="minorEastAsia" w:hAnsiTheme="minorEastAsia" w:eastAsiaTheme="minorEastAsia" w:cstheme="minorEastAsia"/>
                <w:b w:val="0"/>
                <w:bCs w:val="0"/>
                <w:color w:val="auto"/>
                <w:szCs w:val="21"/>
                <w:highlight w:val="none"/>
                <w:u w:val="single"/>
                <w:lang w:eastAsia="zh-CN"/>
              </w:rPr>
              <w:t xml:space="preserve"> </w:t>
            </w:r>
            <w:r>
              <w:rPr>
                <w:rFonts w:hint="eastAsia" w:asciiTheme="minorEastAsia" w:hAnsiTheme="minorEastAsia" w:eastAsiaTheme="minorEastAsia" w:cstheme="minorEastAsia"/>
                <w:b w:val="0"/>
                <w:bCs w:val="0"/>
                <w:color w:val="auto"/>
                <w:szCs w:val="21"/>
                <w:highlight w:val="none"/>
                <w:u w:val="single"/>
                <w:lang w:val="en-US" w:eastAsia="zh-CN"/>
              </w:rPr>
              <w:t>2</w:t>
            </w:r>
            <w:r>
              <w:rPr>
                <w:rFonts w:hint="eastAsia" w:asciiTheme="minorEastAsia" w:hAnsiTheme="minorEastAsia" w:eastAsiaTheme="minorEastAsia" w:cstheme="minorEastAsia"/>
                <w:b w:val="0"/>
                <w:bCs w:val="0"/>
                <w:color w:val="auto"/>
                <w:szCs w:val="21"/>
                <w:highlight w:val="none"/>
                <w:u w:val="single"/>
                <w:lang w:eastAsia="zh-CN"/>
              </w:rPr>
              <w:t xml:space="preserve"> </w:t>
            </w:r>
            <w:r>
              <w:rPr>
                <w:rFonts w:hint="eastAsia" w:asciiTheme="minorEastAsia" w:hAnsiTheme="minorEastAsia" w:eastAsiaTheme="minorEastAsia" w:cstheme="minorEastAsia"/>
                <w:b w:val="0"/>
                <w:bCs w:val="0"/>
                <w:color w:val="auto"/>
                <w:szCs w:val="21"/>
                <w:highlight w:val="none"/>
                <w:lang w:eastAsia="zh-CN"/>
              </w:rPr>
              <w:t>%</w:t>
            </w:r>
          </w:p>
        </w:tc>
        <w:tc>
          <w:tcPr>
            <w:tcW w:w="1541" w:type="dxa"/>
            <w:vAlign w:val="center"/>
          </w:tcPr>
          <w:p w14:paraId="63080C33">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47A7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3" w:type="dxa"/>
            <w:vAlign w:val="center"/>
          </w:tcPr>
          <w:p w14:paraId="0DAF110A">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4</w:t>
            </w:r>
          </w:p>
        </w:tc>
        <w:tc>
          <w:tcPr>
            <w:tcW w:w="3669" w:type="dxa"/>
            <w:vAlign w:val="center"/>
          </w:tcPr>
          <w:p w14:paraId="3452DB89">
            <w:pPr>
              <w:spacing w:line="350" w:lineRule="exact"/>
              <w:jc w:val="center"/>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color w:val="auto"/>
                <w:szCs w:val="21"/>
                <w:highlight w:val="none"/>
              </w:rPr>
              <w:t>未达到工程质量验收标准违约金限额</w:t>
            </w:r>
          </w:p>
        </w:tc>
        <w:tc>
          <w:tcPr>
            <w:tcW w:w="3103" w:type="dxa"/>
            <w:vAlign w:val="center"/>
          </w:tcPr>
          <w:p w14:paraId="03A8F890">
            <w:pPr>
              <w:spacing w:line="350" w:lineRule="exact"/>
              <w:jc w:val="center"/>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color w:val="auto"/>
                <w:szCs w:val="21"/>
                <w:highlight w:val="none"/>
              </w:rPr>
              <w:t>合同价款的</w:t>
            </w:r>
            <w:r>
              <w:rPr>
                <w:rFonts w:hint="eastAsia" w:asciiTheme="minorEastAsia" w:hAnsiTheme="minorEastAsia" w:eastAsiaTheme="minorEastAsia" w:cstheme="minorEastAsia"/>
                <w:color w:val="auto"/>
                <w:szCs w:val="21"/>
                <w:highlight w:val="none"/>
                <w:u w:val="single"/>
              </w:rPr>
              <w:t xml:space="preserve"> 1 </w:t>
            </w:r>
            <w:r>
              <w:rPr>
                <w:rFonts w:hint="eastAsia" w:asciiTheme="minorEastAsia" w:hAnsiTheme="minorEastAsia" w:eastAsiaTheme="minorEastAsia" w:cstheme="minorEastAsia"/>
                <w:color w:val="auto"/>
                <w:szCs w:val="21"/>
                <w:highlight w:val="none"/>
              </w:rPr>
              <w:t>%</w:t>
            </w:r>
          </w:p>
        </w:tc>
        <w:tc>
          <w:tcPr>
            <w:tcW w:w="1541" w:type="dxa"/>
            <w:vAlign w:val="center"/>
          </w:tcPr>
          <w:p w14:paraId="034A06C6">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56AE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3" w:type="dxa"/>
            <w:vAlign w:val="center"/>
          </w:tcPr>
          <w:p w14:paraId="74DD464F">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5</w:t>
            </w:r>
          </w:p>
        </w:tc>
        <w:tc>
          <w:tcPr>
            <w:tcW w:w="3669" w:type="dxa"/>
            <w:vAlign w:val="center"/>
          </w:tcPr>
          <w:p w14:paraId="2B9D39D9">
            <w:pPr>
              <w:spacing w:line="350" w:lineRule="exact"/>
              <w:jc w:val="center"/>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color w:val="auto"/>
                <w:szCs w:val="21"/>
                <w:highlight w:val="none"/>
              </w:rPr>
              <w:t>未履行安全文明施工承诺违约金限额</w:t>
            </w:r>
          </w:p>
        </w:tc>
        <w:tc>
          <w:tcPr>
            <w:tcW w:w="3103" w:type="dxa"/>
            <w:vAlign w:val="center"/>
          </w:tcPr>
          <w:p w14:paraId="3C5D206C">
            <w:pPr>
              <w:spacing w:line="350" w:lineRule="exact"/>
              <w:jc w:val="center"/>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color w:val="auto"/>
                <w:szCs w:val="21"/>
                <w:highlight w:val="none"/>
              </w:rPr>
              <w:t>合同价款的</w:t>
            </w:r>
            <w:r>
              <w:rPr>
                <w:rFonts w:hint="eastAsia" w:asciiTheme="minorEastAsia" w:hAnsiTheme="minorEastAsia" w:eastAsiaTheme="minorEastAsia" w:cstheme="minorEastAsia"/>
                <w:color w:val="auto"/>
                <w:szCs w:val="21"/>
                <w:highlight w:val="none"/>
                <w:u w:val="single"/>
              </w:rPr>
              <w:t xml:space="preserve"> 1 </w:t>
            </w:r>
            <w:r>
              <w:rPr>
                <w:rFonts w:hint="eastAsia" w:asciiTheme="minorEastAsia" w:hAnsiTheme="minorEastAsia" w:eastAsiaTheme="minorEastAsia" w:cstheme="minorEastAsia"/>
                <w:color w:val="auto"/>
                <w:szCs w:val="21"/>
                <w:highlight w:val="none"/>
              </w:rPr>
              <w:t>%</w:t>
            </w:r>
          </w:p>
        </w:tc>
        <w:tc>
          <w:tcPr>
            <w:tcW w:w="1541" w:type="dxa"/>
            <w:vAlign w:val="center"/>
          </w:tcPr>
          <w:p w14:paraId="474C6673">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5B19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749359A">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w:t>
            </w:r>
          </w:p>
        </w:tc>
        <w:tc>
          <w:tcPr>
            <w:tcW w:w="3669" w:type="dxa"/>
            <w:vAlign w:val="center"/>
          </w:tcPr>
          <w:p w14:paraId="715EECBC">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37A8E851">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合同价款的</w:t>
            </w:r>
            <w:r>
              <w:rPr>
                <w:rFonts w:hint="eastAsia" w:asciiTheme="minorEastAsia" w:hAnsiTheme="minorEastAsia" w:eastAsiaTheme="minorEastAsia" w:cstheme="minorEastAsia"/>
                <w:b w:val="0"/>
                <w:bCs w:val="0"/>
                <w:color w:val="auto"/>
                <w:szCs w:val="21"/>
                <w:highlight w:val="none"/>
                <w:u w:val="single"/>
                <w:lang w:eastAsia="zh-CN"/>
              </w:rPr>
              <w:t xml:space="preserve"> </w:t>
            </w:r>
            <w:r>
              <w:rPr>
                <w:rFonts w:hint="eastAsia" w:asciiTheme="minorEastAsia" w:hAnsiTheme="minorEastAsia" w:eastAsiaTheme="minorEastAsia" w:cstheme="minorEastAsia"/>
                <w:b w:val="0"/>
                <w:bCs w:val="0"/>
                <w:color w:val="auto"/>
                <w:szCs w:val="21"/>
                <w:highlight w:val="none"/>
                <w:u w:val="single"/>
                <w:lang w:val="en-US" w:eastAsia="zh-CN"/>
              </w:rPr>
              <w:t>1</w:t>
            </w:r>
            <w:r>
              <w:rPr>
                <w:rFonts w:hint="eastAsia" w:asciiTheme="minorEastAsia" w:hAnsiTheme="minorEastAsia" w:eastAsiaTheme="minorEastAsia" w:cstheme="minorEastAsia"/>
                <w:b w:val="0"/>
                <w:bCs w:val="0"/>
                <w:color w:val="auto"/>
                <w:szCs w:val="21"/>
                <w:highlight w:val="none"/>
                <w:u w:val="single"/>
                <w:lang w:eastAsia="zh-CN"/>
              </w:rPr>
              <w:t xml:space="preserve"> </w:t>
            </w:r>
            <w:r>
              <w:rPr>
                <w:rFonts w:hint="eastAsia" w:asciiTheme="minorEastAsia" w:hAnsiTheme="minorEastAsia" w:eastAsiaTheme="minorEastAsia" w:cstheme="minorEastAsia"/>
                <w:b w:val="0"/>
                <w:bCs w:val="0"/>
                <w:color w:val="auto"/>
                <w:szCs w:val="21"/>
                <w:highlight w:val="none"/>
                <w:lang w:eastAsia="zh-CN"/>
              </w:rPr>
              <w:t>%</w:t>
            </w:r>
          </w:p>
        </w:tc>
        <w:tc>
          <w:tcPr>
            <w:tcW w:w="1541" w:type="dxa"/>
            <w:vAlign w:val="center"/>
          </w:tcPr>
          <w:p w14:paraId="4204F7DA">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7317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9BDCA70">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w:t>
            </w:r>
          </w:p>
        </w:tc>
        <w:tc>
          <w:tcPr>
            <w:tcW w:w="3669" w:type="dxa"/>
            <w:vAlign w:val="center"/>
          </w:tcPr>
          <w:p w14:paraId="124D5089">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安全文明费、提前竣工增加费、其它施工组织措施费</w:t>
            </w:r>
          </w:p>
        </w:tc>
        <w:tc>
          <w:tcPr>
            <w:tcW w:w="3103" w:type="dxa"/>
            <w:vAlign w:val="center"/>
          </w:tcPr>
          <w:p w14:paraId="542BBD56">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施工组织措施项目费按相应工程计取安全文明施工基本费（非市区工程）、冬雨季施工增加费两项，费率按中值计取，其他施工组织项目费均不计取</w:t>
            </w:r>
          </w:p>
        </w:tc>
        <w:tc>
          <w:tcPr>
            <w:tcW w:w="1541" w:type="dxa"/>
            <w:vAlign w:val="center"/>
          </w:tcPr>
          <w:p w14:paraId="7A1E79D2">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0645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3" w:type="dxa"/>
          </w:tcPr>
          <w:p w14:paraId="23AE0F2C">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8</w:t>
            </w:r>
          </w:p>
        </w:tc>
        <w:tc>
          <w:tcPr>
            <w:tcW w:w="3669" w:type="dxa"/>
          </w:tcPr>
          <w:p w14:paraId="445BF4F2">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kern w:val="2"/>
                <w:sz w:val="21"/>
                <w:szCs w:val="21"/>
                <w:highlight w:val="none"/>
              </w:rPr>
              <w:t>是否同意采购文件其它内容</w:t>
            </w:r>
          </w:p>
        </w:tc>
        <w:tc>
          <w:tcPr>
            <w:tcW w:w="3103" w:type="dxa"/>
          </w:tcPr>
          <w:p w14:paraId="0E715FE9">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kern w:val="2"/>
                <w:sz w:val="21"/>
                <w:szCs w:val="21"/>
                <w:highlight w:val="none"/>
              </w:rPr>
              <w:t>要求供应商承诺“同意”</w:t>
            </w:r>
          </w:p>
        </w:tc>
        <w:tc>
          <w:tcPr>
            <w:tcW w:w="1541" w:type="dxa"/>
          </w:tcPr>
          <w:p w14:paraId="2187C89F">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1D32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3" w:type="dxa"/>
          </w:tcPr>
          <w:p w14:paraId="7E32E95C">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9</w:t>
            </w:r>
          </w:p>
        </w:tc>
        <w:tc>
          <w:tcPr>
            <w:tcW w:w="3669" w:type="dxa"/>
          </w:tcPr>
          <w:p w14:paraId="5AD6D4CB">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kern w:val="2"/>
                <w:sz w:val="21"/>
                <w:szCs w:val="21"/>
                <w:highlight w:val="none"/>
              </w:rPr>
              <w:t>是否同意合同条款及合同附件格式</w:t>
            </w:r>
          </w:p>
        </w:tc>
        <w:tc>
          <w:tcPr>
            <w:tcW w:w="3103" w:type="dxa"/>
            <w:vAlign w:val="top"/>
          </w:tcPr>
          <w:p w14:paraId="2E858825">
            <w:pPr>
              <w:spacing w:before="156" w:beforeLines="50" w:line="360" w:lineRule="auto"/>
              <w:jc w:val="cente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1"/>
                <w:szCs w:val="21"/>
                <w:highlight w:val="none"/>
              </w:rPr>
              <w:t>要求供应商承诺“同意”</w:t>
            </w:r>
          </w:p>
        </w:tc>
        <w:tc>
          <w:tcPr>
            <w:tcW w:w="1541" w:type="dxa"/>
            <w:vAlign w:val="top"/>
          </w:tcPr>
          <w:p w14:paraId="6D4189D4">
            <w:pPr>
              <w:spacing w:before="156" w:beforeLines="50" w:line="360" w:lineRule="auto"/>
              <w:jc w:val="cente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pPr>
          </w:p>
        </w:tc>
      </w:tr>
    </w:tbl>
    <w:p w14:paraId="07028265">
      <w:pPr>
        <w:spacing w:before="156" w:beforeLines="50" w:line="360" w:lineRule="auto"/>
        <w:ind w:firstLine="422"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▲注：“供应商响应”一栏中必须填写“同意”，否则其响应文件将被否决。</w:t>
      </w:r>
    </w:p>
    <w:p w14:paraId="79D09A81">
      <w:pPr>
        <w:keepNext w:val="0"/>
        <w:keepLines w:val="0"/>
        <w:pageBreakBefore w:val="0"/>
        <w:widowControl w:val="0"/>
        <w:kinsoku/>
        <w:wordWrap/>
        <w:overflowPunct/>
        <w:topLinePunct w:val="0"/>
        <w:autoSpaceDE/>
        <w:autoSpaceDN/>
        <w:bidi w:val="0"/>
        <w:adjustRightInd/>
        <w:snapToGrid/>
        <w:spacing w:before="156" w:beforeLines="50" w:line="440" w:lineRule="exact"/>
        <w:ind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(四）工程量清单、图纸</w:t>
      </w:r>
    </w:p>
    <w:p w14:paraId="2EBF74E0">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详见采购文件附件：工程造价咨询报告书、图纸</w:t>
      </w:r>
    </w:p>
    <w:p w14:paraId="179CC7CA">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1、工程量清单说明</w:t>
      </w:r>
    </w:p>
    <w:p w14:paraId="106CC472">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1.1本工程量清单应与采购文件中的竞争性磋商须知、合同条款、技术标准和要求及图纸（如有）等一起阅读和理解。</w:t>
      </w:r>
    </w:p>
    <w:p w14:paraId="48A8F490">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7C54BAD6">
      <w:pPr>
        <w:keepNext w:val="0"/>
        <w:keepLines w:val="0"/>
        <w:pageBreakBefore w:val="0"/>
        <w:widowControl w:val="0"/>
        <w:kinsoku/>
        <w:wordWrap/>
        <w:overflowPunct/>
        <w:topLinePunct w:val="0"/>
        <w:autoSpaceDE/>
        <w:autoSpaceDN/>
        <w:bidi w:val="0"/>
        <w:adjustRightInd/>
        <w:snapToGrid/>
        <w:spacing w:before="156" w:beforeLines="50"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4D3C9653">
      <w:pPr>
        <w:keepNext w:val="0"/>
        <w:keepLines w:val="0"/>
        <w:pageBreakBefore w:val="0"/>
        <w:widowControl w:val="0"/>
        <w:tabs>
          <w:tab w:val="left" w:pos="4915"/>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（五）主要人员要求</w:t>
      </w:r>
    </w:p>
    <w:p w14:paraId="242125BB">
      <w:pPr>
        <w:keepNext w:val="0"/>
        <w:keepLines w:val="0"/>
        <w:pageBreakBefore w:val="0"/>
        <w:widowControl w:val="0"/>
        <w:tabs>
          <w:tab w:val="left" w:pos="4915"/>
        </w:tabs>
        <w:kinsoku/>
        <w:wordWrap/>
        <w:overflowPunct/>
        <w:topLinePunct w:val="0"/>
        <w:autoSpaceDE/>
        <w:autoSpaceDN/>
        <w:bidi w:val="0"/>
        <w:adjustRightInd/>
        <w:snapToGrid/>
        <w:spacing w:line="360" w:lineRule="auto"/>
        <w:ind w:firstLine="422" w:firstLineChars="200"/>
        <w:textAlignment w:val="auto"/>
        <w:rPr>
          <w:rFonts w:cs="宋体"/>
          <w:szCs w:val="21"/>
        </w:rPr>
      </w:pPr>
      <w:r>
        <w:rPr>
          <w:rFonts w:hint="eastAsia" w:ascii="宋体" w:hAnsi="宋体" w:cs="宋体"/>
          <w:b/>
          <w:szCs w:val="21"/>
        </w:rPr>
        <w:t>▲</w:t>
      </w:r>
      <w:r>
        <w:rPr>
          <w:rFonts w:hint="eastAsia" w:cs="宋体"/>
          <w:szCs w:val="21"/>
        </w:rPr>
        <w:t>1、项目负责人：具</w:t>
      </w:r>
      <w:r>
        <w:rPr>
          <w:rFonts w:hint="eastAsia" w:ascii="Times New Roman" w:hAnsi="Times New Roman" w:cs="宋体"/>
          <w:szCs w:val="21"/>
        </w:rPr>
        <w:t>有市政公用工程专业注册建造师贰级及以上证书或通信与广电工程专业注册建造师证书，并具有有效的</w:t>
      </w:r>
      <w:r>
        <w:rPr>
          <w:rFonts w:hint="eastAsia" w:cs="宋体"/>
          <w:szCs w:val="21"/>
        </w:rPr>
        <w:t>《安全生产考核合格证书》</w:t>
      </w:r>
      <w:r>
        <w:rPr>
          <w:rFonts w:hint="eastAsia" w:ascii="Times New Roman" w:hAnsi="Times New Roman" w:cs="宋体"/>
          <w:szCs w:val="21"/>
        </w:rPr>
        <w:t>（B证）；（投标文件中提供相关证书证明材料）</w:t>
      </w:r>
    </w:p>
    <w:p w14:paraId="0E6FE485">
      <w:pPr>
        <w:keepNext w:val="0"/>
        <w:keepLines w:val="0"/>
        <w:pageBreakBefore w:val="0"/>
        <w:widowControl w:val="0"/>
        <w:tabs>
          <w:tab w:val="left" w:pos="4915"/>
        </w:tabs>
        <w:kinsoku/>
        <w:wordWrap/>
        <w:overflowPunct/>
        <w:topLinePunct w:val="0"/>
        <w:autoSpaceDE/>
        <w:autoSpaceDN/>
        <w:bidi w:val="0"/>
        <w:adjustRightInd/>
        <w:snapToGrid/>
        <w:spacing w:line="360" w:lineRule="auto"/>
        <w:ind w:firstLine="422" w:firstLineChars="200"/>
        <w:textAlignment w:val="auto"/>
        <w:rPr>
          <w:rFonts w:ascii="Times New Roman" w:hAnsi="Times New Roman" w:cs="宋体"/>
          <w:szCs w:val="21"/>
        </w:rPr>
      </w:pPr>
      <w:r>
        <w:rPr>
          <w:rFonts w:hint="eastAsia" w:ascii="宋体" w:hAnsi="宋体" w:cs="宋体"/>
          <w:b/>
          <w:szCs w:val="21"/>
        </w:rPr>
        <w:t>▲</w:t>
      </w:r>
      <w:r>
        <w:rPr>
          <w:rFonts w:hint="eastAsia" w:cs="宋体"/>
          <w:szCs w:val="21"/>
        </w:rPr>
        <w:t>2</w:t>
      </w:r>
      <w:r>
        <w:rPr>
          <w:rFonts w:cs="宋体"/>
          <w:szCs w:val="21"/>
        </w:rPr>
        <w:t>、</w:t>
      </w:r>
      <w:r>
        <w:rPr>
          <w:rFonts w:hint="eastAsia" w:cs="宋体"/>
          <w:szCs w:val="21"/>
        </w:rPr>
        <w:t>项目专职安全员1名：具备有效的《安全生产考核合格证书》（C证）</w:t>
      </w:r>
      <w:r>
        <w:rPr>
          <w:rFonts w:hint="eastAsia" w:ascii="宋体" w:hAnsi="宋体" w:cs="宋体"/>
          <w:bCs/>
          <w:szCs w:val="21"/>
        </w:rPr>
        <w:t>。</w:t>
      </w:r>
      <w:r>
        <w:rPr>
          <w:rFonts w:hint="eastAsia" w:ascii="Times New Roman" w:hAnsi="Times New Roman" w:cs="宋体"/>
          <w:szCs w:val="21"/>
        </w:rPr>
        <w:t>（投标文件中提供相关证书证明材料）</w:t>
      </w:r>
    </w:p>
    <w:p w14:paraId="6B96552C">
      <w:pPr>
        <w:keepNext w:val="0"/>
        <w:keepLines w:val="0"/>
        <w:pageBreakBefore w:val="0"/>
        <w:widowControl w:val="0"/>
        <w:tabs>
          <w:tab w:val="left" w:pos="4915"/>
        </w:tabs>
        <w:kinsoku/>
        <w:wordWrap/>
        <w:overflowPunct/>
        <w:topLinePunct w:val="0"/>
        <w:autoSpaceDE/>
        <w:autoSpaceDN/>
        <w:bidi w:val="0"/>
        <w:adjustRightInd/>
        <w:snapToGrid/>
        <w:spacing w:line="360" w:lineRule="auto"/>
        <w:ind w:firstLine="420" w:firstLineChars="200"/>
        <w:textAlignment w:val="auto"/>
        <w:rPr>
          <w:rFonts w:ascii="Times New Roman" w:hAnsi="Times New Roman" w:cs="宋体"/>
          <w:szCs w:val="21"/>
        </w:rPr>
      </w:pPr>
      <w:r>
        <w:rPr>
          <w:rFonts w:hint="eastAsia" w:ascii="Times New Roman" w:hAnsi="Times New Roman" w:cs="宋体"/>
          <w:szCs w:val="21"/>
        </w:rPr>
        <w:t>3、其它人员：提供针对本项目拟配备的其它人员（如施工员、质量员、安全员等）。（投标文件中提供相关证书证明材料）。</w:t>
      </w:r>
    </w:p>
    <w:p w14:paraId="037FE32D">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（六）系统设计说明：详见图纸</w:t>
      </w:r>
    </w:p>
    <w:p w14:paraId="1C74EF7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br w:type="page"/>
      </w:r>
    </w:p>
    <w:p w14:paraId="759ADB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color w:val="auto"/>
          <w:sz w:val="21"/>
          <w:szCs w:val="21"/>
          <w:highlight w:val="none"/>
          <w:lang w:val="en-US" w:eastAsia="zh-CN"/>
        </w:rPr>
      </w:pPr>
    </w:p>
    <w:p w14:paraId="1B582DC0">
      <w:pPr>
        <w:spacing w:before="156" w:beforeLines="50" w:line="360" w:lineRule="auto"/>
        <w:ind w:firstLine="422"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（七）商务要求</w:t>
      </w:r>
    </w:p>
    <w:bookmarkEnd w:id="27"/>
    <w:tbl>
      <w:tblPr>
        <w:tblStyle w:val="24"/>
        <w:tblW w:w="9055"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8017"/>
      </w:tblGrid>
      <w:tr w14:paraId="0736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38" w:type="dxa"/>
            <w:noWrap w:val="0"/>
            <w:vAlign w:val="center"/>
          </w:tcPr>
          <w:p w14:paraId="163C18A5">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序号</w:t>
            </w:r>
          </w:p>
        </w:tc>
        <w:tc>
          <w:tcPr>
            <w:tcW w:w="8017" w:type="dxa"/>
            <w:noWrap w:val="0"/>
            <w:vAlign w:val="center"/>
          </w:tcPr>
          <w:p w14:paraId="4F770F35">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商务条款要求</w:t>
            </w:r>
          </w:p>
        </w:tc>
      </w:tr>
      <w:tr w14:paraId="4CDA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038" w:type="dxa"/>
            <w:noWrap w:val="0"/>
            <w:vAlign w:val="center"/>
          </w:tcPr>
          <w:p w14:paraId="30721262">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w:t>
            </w:r>
          </w:p>
        </w:tc>
        <w:tc>
          <w:tcPr>
            <w:tcW w:w="8017" w:type="dxa"/>
            <w:noWrap w:val="0"/>
            <w:vAlign w:val="center"/>
          </w:tcPr>
          <w:p w14:paraId="3B89CD80">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履约保证金：签约合同金额的2%，电汇、银行支票、银行保函、保险公司担保等形式。于签订合同的同时缴纳给采购人，项目竣工验收后退回。</w:t>
            </w:r>
          </w:p>
        </w:tc>
      </w:tr>
      <w:tr w14:paraId="13B3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38" w:type="dxa"/>
            <w:noWrap w:val="0"/>
            <w:vAlign w:val="center"/>
          </w:tcPr>
          <w:p w14:paraId="518A64A3">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w:t>
            </w:r>
          </w:p>
        </w:tc>
        <w:tc>
          <w:tcPr>
            <w:tcW w:w="8017" w:type="dxa"/>
            <w:noWrap w:val="0"/>
            <w:vAlign w:val="center"/>
          </w:tcPr>
          <w:p w14:paraId="50ECED7B">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质量等级要求：达到国家和行业施工验收规范一次性验收合格</w:t>
            </w:r>
          </w:p>
          <w:p w14:paraId="551D53F3">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安全等级要求：合格</w:t>
            </w:r>
          </w:p>
        </w:tc>
      </w:tr>
      <w:tr w14:paraId="0AD9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38" w:type="dxa"/>
            <w:noWrap w:val="0"/>
            <w:vAlign w:val="center"/>
          </w:tcPr>
          <w:p w14:paraId="3940094B">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w:t>
            </w:r>
          </w:p>
        </w:tc>
        <w:tc>
          <w:tcPr>
            <w:tcW w:w="8017" w:type="dxa"/>
            <w:noWrap w:val="0"/>
            <w:vAlign w:val="center"/>
          </w:tcPr>
          <w:p w14:paraId="4382BB6A">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r>
      <w:tr w14:paraId="106C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1038" w:type="dxa"/>
            <w:noWrap w:val="0"/>
            <w:vAlign w:val="center"/>
          </w:tcPr>
          <w:p w14:paraId="5D428EB9">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4</w:t>
            </w:r>
          </w:p>
        </w:tc>
        <w:tc>
          <w:tcPr>
            <w:tcW w:w="8017" w:type="dxa"/>
            <w:noWrap w:val="0"/>
            <w:vAlign w:val="center"/>
          </w:tcPr>
          <w:p w14:paraId="39BE9238">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监理工程师、现场业主代表共同核定的已完合格的工程量）至50%时支付合同价款的30%；工程施工进度（监理工程师、现场业主代表共同核定的已完合格的工程量）至80%时支付合同价款的30%；待工程竣工验收合格后支付至合同价款的80%；待竣工结算经甲方委托的造价咨询机构审核后支付至结算审核价款的98.5%，余款在质保期过后付清。</w:t>
            </w:r>
          </w:p>
        </w:tc>
      </w:tr>
      <w:tr w14:paraId="1685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38" w:type="dxa"/>
            <w:noWrap w:val="0"/>
            <w:vAlign w:val="center"/>
          </w:tcPr>
          <w:p w14:paraId="652E876C">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5</w:t>
            </w:r>
          </w:p>
        </w:tc>
        <w:tc>
          <w:tcPr>
            <w:tcW w:w="8017" w:type="dxa"/>
            <w:noWrap w:val="0"/>
            <w:vAlign w:val="center"/>
          </w:tcPr>
          <w:p w14:paraId="6F9AC8DF">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施工工期：合同签订后90日历天内完工</w:t>
            </w:r>
          </w:p>
          <w:p w14:paraId="31106676">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rPr>
              <w:t>施工地点：业主指定地点。</w:t>
            </w:r>
          </w:p>
        </w:tc>
      </w:tr>
      <w:tr w14:paraId="7021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038" w:type="dxa"/>
            <w:noWrap w:val="0"/>
            <w:vAlign w:val="center"/>
          </w:tcPr>
          <w:p w14:paraId="087C8BE3">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6</w:t>
            </w:r>
          </w:p>
        </w:tc>
        <w:tc>
          <w:tcPr>
            <w:tcW w:w="8017" w:type="dxa"/>
            <w:noWrap w:val="0"/>
            <w:vAlign w:val="center"/>
          </w:tcPr>
          <w:p w14:paraId="240E5F28">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报价方式：按采购文件附件“工程量清单”的价格报统一综合折扣，折扣不得高于94%。</w:t>
            </w:r>
          </w:p>
          <w:p w14:paraId="0DCA7D81">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rPr>
              <w:t>本项目为单价合同，工程量按实结算。</w:t>
            </w:r>
          </w:p>
        </w:tc>
      </w:tr>
      <w:tr w14:paraId="2DE7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38" w:type="dxa"/>
            <w:noWrap w:val="0"/>
            <w:vAlign w:val="center"/>
          </w:tcPr>
          <w:p w14:paraId="54519416">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7</w:t>
            </w:r>
          </w:p>
        </w:tc>
        <w:tc>
          <w:tcPr>
            <w:tcW w:w="8017" w:type="dxa"/>
            <w:noWrap w:val="0"/>
            <w:vAlign w:val="center"/>
          </w:tcPr>
          <w:p w14:paraId="06A7A730">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rPr>
              <w:t>本项目签约合同价计算公式：</w:t>
            </w:r>
            <w:r>
              <w:rPr>
                <w:rFonts w:hint="eastAsia" w:asciiTheme="minorEastAsia" w:hAnsiTheme="minorEastAsia" w:eastAsiaTheme="minorEastAsia" w:cstheme="minorEastAsia"/>
                <w:b w:val="0"/>
                <w:bCs/>
                <w:color w:val="auto"/>
                <w:sz w:val="21"/>
                <w:szCs w:val="21"/>
                <w:highlight w:val="none"/>
                <w:lang w:val="en-US" w:eastAsia="zh-CN"/>
              </w:rPr>
              <w:t>预算金额*中标综合折扣。</w:t>
            </w:r>
          </w:p>
        </w:tc>
      </w:tr>
    </w:tbl>
    <w:p w14:paraId="6389976A">
      <w:pPr>
        <w:rPr>
          <w:rFonts w:hint="eastAsia" w:asciiTheme="minorEastAsia" w:hAnsiTheme="minorEastAsia" w:eastAsiaTheme="minorEastAsia" w:cstheme="minorEastAsia"/>
          <w:b/>
          <w:color w:val="auto"/>
          <w:sz w:val="36"/>
          <w:szCs w:val="36"/>
          <w:highlight w:val="none"/>
        </w:rPr>
      </w:pPr>
    </w:p>
    <w:p w14:paraId="19BCF6B2">
      <w:pPr>
        <w:rPr>
          <w:rFonts w:hint="eastAsia" w:asciiTheme="minorEastAsia" w:hAnsiTheme="minorEastAsia" w:eastAsiaTheme="minorEastAsia" w:cstheme="minorEastAsia"/>
          <w:b/>
          <w:color w:val="auto"/>
          <w:sz w:val="36"/>
          <w:szCs w:val="36"/>
          <w:highlight w:val="none"/>
        </w:rPr>
      </w:pPr>
    </w:p>
    <w:p w14:paraId="1A1E87D0">
      <w:pPr>
        <w:rPr>
          <w:rFonts w:hint="eastAsia" w:asciiTheme="minorEastAsia" w:hAnsiTheme="minorEastAsia" w:eastAsiaTheme="minorEastAsia" w:cstheme="minorEastAsia"/>
          <w:b/>
          <w:color w:val="auto"/>
          <w:sz w:val="36"/>
          <w:szCs w:val="36"/>
          <w:highlight w:val="none"/>
        </w:rPr>
      </w:pPr>
    </w:p>
    <w:p w14:paraId="2DECFE1D">
      <w:pPr>
        <w:rPr>
          <w:rFonts w:hint="eastAsia" w:asciiTheme="minorEastAsia" w:hAnsiTheme="minorEastAsia" w:eastAsiaTheme="minorEastAsia" w:cstheme="minorEastAsia"/>
          <w:b/>
          <w:color w:val="auto"/>
          <w:sz w:val="36"/>
          <w:szCs w:val="36"/>
          <w:highlight w:val="none"/>
        </w:rPr>
      </w:pPr>
    </w:p>
    <w:p w14:paraId="71DB5000">
      <w:pPr>
        <w:rPr>
          <w:rFonts w:hint="eastAsia" w:asciiTheme="minorEastAsia" w:hAnsiTheme="minorEastAsia" w:eastAsiaTheme="minorEastAsia" w:cstheme="minorEastAsia"/>
          <w:b/>
          <w:color w:val="auto"/>
          <w:sz w:val="36"/>
          <w:szCs w:val="36"/>
          <w:highlight w:val="none"/>
        </w:rPr>
      </w:pPr>
    </w:p>
    <w:p w14:paraId="67A97DB6">
      <w:pPr>
        <w:rPr>
          <w:rFonts w:hint="eastAsia" w:asciiTheme="minorEastAsia" w:hAnsiTheme="minorEastAsia" w:eastAsiaTheme="minorEastAsia" w:cstheme="minorEastAsia"/>
          <w:b/>
          <w:color w:val="auto"/>
          <w:sz w:val="36"/>
          <w:szCs w:val="36"/>
          <w:highlight w:val="none"/>
        </w:rPr>
      </w:pPr>
    </w:p>
    <w:p w14:paraId="10AAA82E">
      <w:pPr>
        <w:rPr>
          <w:rFonts w:hint="eastAsia" w:asciiTheme="minorEastAsia" w:hAnsiTheme="minorEastAsia" w:eastAsiaTheme="minorEastAsia" w:cstheme="minorEastAsia"/>
          <w:b/>
          <w:color w:val="auto"/>
          <w:sz w:val="36"/>
          <w:szCs w:val="36"/>
          <w:highlight w:val="none"/>
        </w:rPr>
      </w:pPr>
    </w:p>
    <w:p w14:paraId="38F69D44">
      <w:pPr>
        <w:ind w:firstLine="2530" w:firstLineChars="700"/>
        <w:rPr>
          <w:rFonts w:hint="eastAsia" w:asciiTheme="minorEastAsia" w:hAnsiTheme="minorEastAsia" w:eastAsiaTheme="minorEastAsia" w:cstheme="minorEastAsia"/>
          <w:b/>
          <w:color w:val="auto"/>
          <w:sz w:val="36"/>
          <w:szCs w:val="36"/>
          <w:highlight w:val="none"/>
        </w:rPr>
      </w:pPr>
    </w:p>
    <w:p w14:paraId="66AA2F65">
      <w:pPr>
        <w:ind w:firstLine="2530" w:firstLineChars="700"/>
        <w:rPr>
          <w:rFonts w:hint="eastAsia" w:asciiTheme="minorEastAsia" w:hAnsiTheme="minorEastAsia" w:eastAsiaTheme="minorEastAsia" w:cstheme="minorEastAsia"/>
          <w:b/>
          <w:color w:val="auto"/>
          <w:sz w:val="36"/>
          <w:szCs w:val="36"/>
          <w:highlight w:val="none"/>
        </w:rPr>
      </w:pPr>
    </w:p>
    <w:p w14:paraId="6310744C">
      <w:pPr>
        <w:ind w:firstLine="2530" w:firstLineChars="70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12132"/>
      <w:bookmarkEnd w:id="28"/>
      <w:bookmarkStart w:id="29" w:name="_Toc184314438"/>
      <w:bookmarkEnd w:id="29"/>
      <w:bookmarkStart w:id="30" w:name="_Toc184313238"/>
      <w:bookmarkEnd w:id="30"/>
      <w:bookmarkStart w:id="31" w:name="_Toc184314477"/>
      <w:bookmarkEnd w:id="31"/>
      <w:bookmarkStart w:id="32" w:name="_Toc184310273"/>
      <w:bookmarkEnd w:id="32"/>
      <w:bookmarkStart w:id="33" w:name="_Toc184308077"/>
      <w:bookmarkEnd w:id="33"/>
      <w:bookmarkStart w:id="34" w:name="_Toc184308091"/>
      <w:bookmarkEnd w:id="34"/>
      <w:bookmarkStart w:id="35" w:name="_Toc184314423"/>
      <w:bookmarkEnd w:id="35"/>
      <w:bookmarkStart w:id="36" w:name="_Toc184308065"/>
      <w:bookmarkEnd w:id="36"/>
      <w:bookmarkStart w:id="37" w:name="_Toc184308087"/>
      <w:bookmarkEnd w:id="37"/>
      <w:bookmarkStart w:id="38" w:name="_Toc184312109"/>
      <w:bookmarkEnd w:id="38"/>
      <w:bookmarkStart w:id="39" w:name="_Toc184313265"/>
      <w:bookmarkEnd w:id="39"/>
      <w:bookmarkStart w:id="40" w:name="_Toc184310304"/>
      <w:bookmarkEnd w:id="40"/>
      <w:bookmarkStart w:id="41" w:name="_Toc184312068"/>
      <w:bookmarkEnd w:id="41"/>
      <w:bookmarkStart w:id="42" w:name="_Toc184308096"/>
      <w:bookmarkEnd w:id="42"/>
      <w:bookmarkStart w:id="43" w:name="_Toc184310332"/>
      <w:bookmarkEnd w:id="43"/>
      <w:bookmarkStart w:id="44" w:name="_Toc184308089"/>
      <w:bookmarkEnd w:id="44"/>
      <w:bookmarkStart w:id="45" w:name="_Toc184312121"/>
      <w:bookmarkEnd w:id="45"/>
      <w:bookmarkStart w:id="46" w:name="_Toc184310311"/>
      <w:bookmarkEnd w:id="46"/>
      <w:bookmarkStart w:id="47" w:name="_Toc184308049"/>
      <w:bookmarkEnd w:id="47"/>
      <w:bookmarkStart w:id="48" w:name="_Toc184308101"/>
      <w:bookmarkEnd w:id="48"/>
      <w:bookmarkStart w:id="49" w:name="_Toc184313293"/>
      <w:bookmarkEnd w:id="49"/>
      <w:bookmarkStart w:id="50" w:name="_Toc184313275"/>
      <w:bookmarkEnd w:id="50"/>
      <w:bookmarkStart w:id="51" w:name="_Toc184313308"/>
      <w:bookmarkEnd w:id="51"/>
      <w:bookmarkStart w:id="52" w:name="_Toc184314419"/>
      <w:bookmarkEnd w:id="52"/>
      <w:bookmarkStart w:id="53" w:name="_Toc184312098"/>
      <w:bookmarkEnd w:id="53"/>
      <w:bookmarkStart w:id="54" w:name="_Toc184314452"/>
      <w:bookmarkEnd w:id="54"/>
      <w:bookmarkStart w:id="55" w:name="_Toc184314426"/>
      <w:bookmarkEnd w:id="55"/>
      <w:bookmarkStart w:id="56" w:name="_Toc184308060"/>
      <w:bookmarkEnd w:id="56"/>
      <w:bookmarkStart w:id="57" w:name="_Toc184310344"/>
      <w:bookmarkEnd w:id="57"/>
      <w:bookmarkStart w:id="58" w:name="_Toc184308102"/>
      <w:bookmarkEnd w:id="58"/>
      <w:bookmarkStart w:id="59" w:name="_Toc184310321"/>
      <w:bookmarkEnd w:id="59"/>
      <w:bookmarkStart w:id="60" w:name="_Toc184312139"/>
      <w:bookmarkEnd w:id="60"/>
      <w:bookmarkStart w:id="61" w:name="_Toc184312088"/>
      <w:bookmarkEnd w:id="61"/>
      <w:bookmarkStart w:id="62" w:name="_Toc184314411"/>
      <w:bookmarkEnd w:id="62"/>
      <w:bookmarkStart w:id="63" w:name="_Toc184314448"/>
      <w:bookmarkEnd w:id="63"/>
      <w:bookmarkStart w:id="64" w:name="_Toc184310289"/>
      <w:bookmarkEnd w:id="64"/>
      <w:bookmarkStart w:id="65" w:name="_Toc184308045"/>
      <w:bookmarkEnd w:id="65"/>
      <w:bookmarkStart w:id="66" w:name="_Toc184312112"/>
      <w:bookmarkEnd w:id="66"/>
      <w:bookmarkStart w:id="67" w:name="_Toc184310280"/>
      <w:bookmarkEnd w:id="67"/>
      <w:bookmarkStart w:id="68" w:name="_Toc184310309"/>
      <w:bookmarkEnd w:id="68"/>
      <w:bookmarkStart w:id="69" w:name="_Toc184310292"/>
      <w:bookmarkEnd w:id="69"/>
      <w:bookmarkStart w:id="70" w:name="_Toc184313286"/>
      <w:bookmarkEnd w:id="70"/>
      <w:bookmarkStart w:id="71" w:name="_Toc184314431"/>
      <w:bookmarkEnd w:id="71"/>
      <w:bookmarkStart w:id="72" w:name="_Toc184313251"/>
      <w:bookmarkEnd w:id="72"/>
      <w:bookmarkStart w:id="73" w:name="_Toc184314476"/>
      <w:bookmarkEnd w:id="73"/>
      <w:bookmarkStart w:id="74" w:name="_Toc184313250"/>
      <w:bookmarkEnd w:id="74"/>
      <w:bookmarkStart w:id="75" w:name="_Toc184314470"/>
      <w:bookmarkEnd w:id="75"/>
      <w:bookmarkStart w:id="76" w:name="_Toc184313296"/>
      <w:bookmarkEnd w:id="76"/>
      <w:bookmarkStart w:id="77" w:name="_Toc184313242"/>
      <w:bookmarkEnd w:id="77"/>
      <w:bookmarkStart w:id="78" w:name="_Toc184312091"/>
      <w:bookmarkEnd w:id="78"/>
      <w:bookmarkStart w:id="79" w:name="_Toc184310284"/>
      <w:bookmarkEnd w:id="79"/>
      <w:bookmarkStart w:id="80" w:name="_Toc184314444"/>
      <w:bookmarkEnd w:id="80"/>
      <w:bookmarkStart w:id="81" w:name="_Toc184312137"/>
      <w:bookmarkEnd w:id="81"/>
      <w:bookmarkStart w:id="82" w:name="_Toc184308054"/>
      <w:bookmarkEnd w:id="82"/>
      <w:bookmarkStart w:id="83" w:name="_Toc184313309"/>
      <w:bookmarkEnd w:id="83"/>
      <w:bookmarkStart w:id="84" w:name="_Toc184310313"/>
      <w:bookmarkEnd w:id="84"/>
      <w:bookmarkStart w:id="85" w:name="_Toc184313246"/>
      <w:bookmarkEnd w:id="85"/>
      <w:bookmarkStart w:id="86" w:name="_Toc184314417"/>
      <w:bookmarkEnd w:id="86"/>
      <w:bookmarkStart w:id="87" w:name="_Toc184313302"/>
      <w:bookmarkEnd w:id="87"/>
      <w:bookmarkStart w:id="88" w:name="_Toc184312114"/>
      <w:bookmarkEnd w:id="88"/>
      <w:bookmarkStart w:id="89" w:name="_Toc184310303"/>
      <w:bookmarkEnd w:id="89"/>
      <w:bookmarkStart w:id="90" w:name="_Toc184312125"/>
      <w:bookmarkEnd w:id="90"/>
      <w:bookmarkStart w:id="91" w:name="_Toc184314430"/>
      <w:bookmarkEnd w:id="91"/>
      <w:bookmarkStart w:id="92" w:name="_Toc184312076"/>
      <w:bookmarkEnd w:id="92"/>
      <w:bookmarkStart w:id="93" w:name="_Toc184310310"/>
      <w:bookmarkEnd w:id="93"/>
      <w:bookmarkStart w:id="94" w:name="_Toc184310343"/>
      <w:bookmarkEnd w:id="94"/>
      <w:bookmarkStart w:id="95" w:name="_Toc184310277"/>
      <w:bookmarkEnd w:id="95"/>
      <w:bookmarkStart w:id="96" w:name="_Toc184313270"/>
      <w:bookmarkEnd w:id="96"/>
      <w:bookmarkStart w:id="97" w:name="_Toc184314413"/>
      <w:bookmarkEnd w:id="97"/>
      <w:bookmarkStart w:id="98" w:name="_Toc184310335"/>
      <w:bookmarkEnd w:id="98"/>
      <w:bookmarkStart w:id="99" w:name="_Toc184312107"/>
      <w:bookmarkEnd w:id="99"/>
      <w:bookmarkStart w:id="100" w:name="_Toc184310294"/>
      <w:bookmarkEnd w:id="100"/>
      <w:bookmarkStart w:id="101" w:name="_Toc184314412"/>
      <w:bookmarkEnd w:id="101"/>
      <w:bookmarkStart w:id="102" w:name="_Toc184313280"/>
      <w:bookmarkEnd w:id="102"/>
      <w:bookmarkStart w:id="103" w:name="_Toc184314424"/>
      <w:bookmarkEnd w:id="103"/>
      <w:bookmarkStart w:id="104" w:name="_Toc184310329"/>
      <w:bookmarkEnd w:id="104"/>
      <w:bookmarkStart w:id="105" w:name="_Toc184310279"/>
      <w:bookmarkEnd w:id="105"/>
      <w:bookmarkStart w:id="106" w:name="_Toc184313258"/>
      <w:bookmarkEnd w:id="106"/>
      <w:bookmarkStart w:id="107" w:name="_Toc184310338"/>
      <w:bookmarkEnd w:id="107"/>
      <w:bookmarkStart w:id="108" w:name="_Toc184310318"/>
      <w:bookmarkEnd w:id="108"/>
      <w:bookmarkStart w:id="109" w:name="_Toc184308076"/>
      <w:bookmarkEnd w:id="109"/>
      <w:bookmarkStart w:id="110" w:name="_Toc184310305"/>
      <w:bookmarkEnd w:id="110"/>
      <w:bookmarkStart w:id="111" w:name="_Toc184313248"/>
      <w:bookmarkEnd w:id="111"/>
      <w:bookmarkStart w:id="112" w:name="_Toc184308063"/>
      <w:bookmarkEnd w:id="112"/>
      <w:bookmarkStart w:id="113" w:name="_Toc184312136"/>
      <w:bookmarkEnd w:id="113"/>
      <w:bookmarkStart w:id="114" w:name="_Toc184310327"/>
      <w:bookmarkEnd w:id="114"/>
      <w:bookmarkStart w:id="115" w:name="_Toc184308051"/>
      <w:bookmarkEnd w:id="115"/>
      <w:bookmarkStart w:id="116" w:name="_Toc184314421"/>
      <w:bookmarkEnd w:id="116"/>
      <w:bookmarkStart w:id="117" w:name="_Toc184314472"/>
      <w:bookmarkEnd w:id="117"/>
      <w:bookmarkStart w:id="118" w:name="_Toc184308057"/>
      <w:bookmarkEnd w:id="118"/>
      <w:bookmarkStart w:id="119" w:name="_Toc184308086"/>
      <w:bookmarkEnd w:id="119"/>
      <w:bookmarkStart w:id="120" w:name="_Toc184313284"/>
      <w:bookmarkEnd w:id="120"/>
      <w:bookmarkStart w:id="121" w:name="_Toc184313262"/>
      <w:bookmarkEnd w:id="121"/>
      <w:bookmarkStart w:id="122" w:name="_Toc184310330"/>
      <w:bookmarkEnd w:id="122"/>
      <w:bookmarkStart w:id="123" w:name="_Toc184312079"/>
      <w:bookmarkEnd w:id="123"/>
      <w:bookmarkStart w:id="124" w:name="_Toc184308073"/>
      <w:bookmarkEnd w:id="124"/>
      <w:bookmarkStart w:id="125" w:name="_Toc184308069"/>
      <w:bookmarkEnd w:id="125"/>
      <w:bookmarkStart w:id="126" w:name="_Toc184312070"/>
      <w:bookmarkEnd w:id="126"/>
      <w:bookmarkStart w:id="127" w:name="_Toc184314428"/>
      <w:bookmarkEnd w:id="127"/>
      <w:bookmarkStart w:id="128" w:name="_Toc184312123"/>
      <w:bookmarkEnd w:id="128"/>
      <w:bookmarkStart w:id="129" w:name="_Toc184314464"/>
      <w:bookmarkEnd w:id="129"/>
      <w:bookmarkStart w:id="130" w:name="_Toc184310339"/>
      <w:bookmarkEnd w:id="130"/>
      <w:bookmarkStart w:id="131" w:name="_Toc184313277"/>
      <w:bookmarkEnd w:id="131"/>
      <w:bookmarkStart w:id="132" w:name="_Toc184308036"/>
      <w:bookmarkEnd w:id="132"/>
      <w:bookmarkStart w:id="133" w:name="_Toc184308037"/>
      <w:bookmarkEnd w:id="133"/>
      <w:bookmarkStart w:id="134" w:name="_Toc184308083"/>
      <w:bookmarkEnd w:id="134"/>
      <w:bookmarkStart w:id="135" w:name="_Toc184310334"/>
      <w:bookmarkEnd w:id="135"/>
      <w:bookmarkStart w:id="136" w:name="_Toc184314410"/>
      <w:bookmarkEnd w:id="136"/>
      <w:bookmarkStart w:id="137" w:name="_Toc184313279"/>
      <w:bookmarkEnd w:id="137"/>
      <w:bookmarkStart w:id="138" w:name="_Toc184310317"/>
      <w:bookmarkEnd w:id="138"/>
      <w:bookmarkStart w:id="139" w:name="_Toc184308066"/>
      <w:bookmarkEnd w:id="139"/>
      <w:bookmarkStart w:id="140" w:name="_Toc184313254"/>
      <w:bookmarkEnd w:id="140"/>
      <w:bookmarkStart w:id="141" w:name="_Toc184313274"/>
      <w:bookmarkEnd w:id="141"/>
      <w:bookmarkStart w:id="142" w:name="_Toc184308105"/>
      <w:bookmarkEnd w:id="142"/>
      <w:bookmarkStart w:id="143" w:name="_Toc184308093"/>
      <w:bookmarkEnd w:id="143"/>
      <w:bookmarkStart w:id="144" w:name="_Toc184313283"/>
      <w:bookmarkEnd w:id="144"/>
      <w:bookmarkStart w:id="145" w:name="_Toc184308081"/>
      <w:bookmarkEnd w:id="145"/>
      <w:bookmarkStart w:id="146" w:name="_Toc184314453"/>
      <w:bookmarkEnd w:id="146"/>
      <w:bookmarkStart w:id="147" w:name="_Toc184313272"/>
      <w:bookmarkEnd w:id="147"/>
      <w:bookmarkStart w:id="148" w:name="_Toc184313245"/>
      <w:bookmarkEnd w:id="148"/>
      <w:bookmarkStart w:id="149" w:name="_Toc184312069"/>
      <w:bookmarkEnd w:id="149"/>
      <w:bookmarkStart w:id="150" w:name="_Toc184312077"/>
      <w:bookmarkEnd w:id="150"/>
      <w:bookmarkStart w:id="151" w:name="_Toc184312084"/>
      <w:bookmarkEnd w:id="151"/>
      <w:bookmarkStart w:id="152" w:name="_Toc184313244"/>
      <w:bookmarkEnd w:id="152"/>
      <w:bookmarkStart w:id="153" w:name="_Toc184310314"/>
      <w:bookmarkEnd w:id="153"/>
      <w:bookmarkStart w:id="154" w:name="_Toc184312085"/>
      <w:bookmarkEnd w:id="154"/>
      <w:bookmarkStart w:id="155" w:name="_Toc184308052"/>
      <w:bookmarkEnd w:id="155"/>
      <w:bookmarkStart w:id="156" w:name="_Toc184312117"/>
      <w:bookmarkEnd w:id="156"/>
      <w:bookmarkStart w:id="157" w:name="_Toc184314434"/>
      <w:bookmarkEnd w:id="157"/>
      <w:bookmarkStart w:id="158" w:name="_Toc184314418"/>
      <w:bookmarkEnd w:id="158"/>
      <w:bookmarkStart w:id="159" w:name="_Toc184312138"/>
      <w:bookmarkEnd w:id="159"/>
      <w:bookmarkStart w:id="160" w:name="_Toc184312097"/>
      <w:bookmarkEnd w:id="160"/>
      <w:bookmarkStart w:id="161" w:name="_Toc184308097"/>
      <w:bookmarkEnd w:id="161"/>
      <w:bookmarkStart w:id="162" w:name="_Toc184310288"/>
      <w:bookmarkEnd w:id="162"/>
      <w:bookmarkStart w:id="163" w:name="_Toc184314465"/>
      <w:bookmarkEnd w:id="163"/>
      <w:bookmarkStart w:id="164" w:name="_Toc184314442"/>
      <w:bookmarkEnd w:id="164"/>
      <w:bookmarkStart w:id="165" w:name="_Toc184312130"/>
      <w:bookmarkEnd w:id="165"/>
      <w:bookmarkStart w:id="166" w:name="_Toc184313247"/>
      <w:bookmarkEnd w:id="166"/>
      <w:bookmarkStart w:id="167" w:name="_Toc184312100"/>
      <w:bookmarkEnd w:id="167"/>
      <w:bookmarkStart w:id="168" w:name="_Toc184308042"/>
      <w:bookmarkEnd w:id="168"/>
      <w:bookmarkStart w:id="169" w:name="_Toc184308043"/>
      <w:bookmarkEnd w:id="169"/>
      <w:bookmarkStart w:id="170" w:name="_Toc184308090"/>
      <w:bookmarkEnd w:id="170"/>
      <w:bookmarkStart w:id="171" w:name="_Toc184314482"/>
      <w:bookmarkEnd w:id="171"/>
      <w:bookmarkStart w:id="172" w:name="_Toc184308044"/>
      <w:bookmarkEnd w:id="172"/>
      <w:bookmarkStart w:id="173" w:name="_Toc184310290"/>
      <w:bookmarkEnd w:id="173"/>
      <w:bookmarkStart w:id="174" w:name="_Toc184308084"/>
      <w:bookmarkEnd w:id="174"/>
      <w:bookmarkStart w:id="175" w:name="_Toc184314469"/>
      <w:bookmarkEnd w:id="175"/>
      <w:bookmarkStart w:id="176" w:name="_Toc184308070"/>
      <w:bookmarkEnd w:id="176"/>
      <w:bookmarkStart w:id="177" w:name="_Toc184313281"/>
      <w:bookmarkEnd w:id="177"/>
      <w:bookmarkStart w:id="178" w:name="_Toc184312135"/>
      <w:bookmarkEnd w:id="178"/>
      <w:bookmarkStart w:id="179" w:name="_Toc184312086"/>
      <w:bookmarkEnd w:id="179"/>
      <w:bookmarkStart w:id="180" w:name="_Toc184312078"/>
      <w:bookmarkEnd w:id="180"/>
      <w:bookmarkStart w:id="181" w:name="_Toc184312104"/>
      <w:bookmarkEnd w:id="181"/>
      <w:bookmarkStart w:id="182" w:name="_Toc184312089"/>
      <w:bookmarkEnd w:id="182"/>
      <w:bookmarkStart w:id="183" w:name="_Toc184308099"/>
      <w:bookmarkEnd w:id="183"/>
      <w:bookmarkStart w:id="184" w:name="_Toc184308068"/>
      <w:bookmarkEnd w:id="184"/>
      <w:bookmarkStart w:id="185" w:name="_Toc184313301"/>
      <w:bookmarkEnd w:id="185"/>
      <w:bookmarkStart w:id="186" w:name="_Toc184310306"/>
      <w:bookmarkEnd w:id="186"/>
      <w:bookmarkStart w:id="187" w:name="_Toc184314471"/>
      <w:bookmarkEnd w:id="187"/>
      <w:bookmarkStart w:id="188" w:name="_Toc184313239"/>
      <w:bookmarkEnd w:id="188"/>
      <w:bookmarkStart w:id="189" w:name="_Toc184314436"/>
      <w:bookmarkEnd w:id="189"/>
      <w:bookmarkStart w:id="190" w:name="_Toc184314457"/>
      <w:bookmarkEnd w:id="190"/>
      <w:bookmarkStart w:id="191" w:name="_Toc184308056"/>
      <w:bookmarkEnd w:id="191"/>
      <w:bookmarkStart w:id="192" w:name="_Toc184312119"/>
      <w:bookmarkEnd w:id="192"/>
      <w:bookmarkStart w:id="193" w:name="_Toc184310282"/>
      <w:bookmarkEnd w:id="193"/>
      <w:bookmarkStart w:id="194" w:name="_Toc184310293"/>
      <w:bookmarkEnd w:id="194"/>
      <w:bookmarkStart w:id="195" w:name="_Toc184308064"/>
      <w:bookmarkEnd w:id="195"/>
      <w:bookmarkStart w:id="196" w:name="_Toc184312073"/>
      <w:bookmarkEnd w:id="196"/>
      <w:bookmarkStart w:id="197" w:name="_Toc184313290"/>
      <w:bookmarkEnd w:id="197"/>
      <w:bookmarkStart w:id="198" w:name="_Toc184314445"/>
      <w:bookmarkEnd w:id="198"/>
      <w:bookmarkStart w:id="199" w:name="_Toc184313291"/>
      <w:bookmarkEnd w:id="199"/>
      <w:bookmarkStart w:id="200" w:name="_Toc184308094"/>
      <w:bookmarkEnd w:id="200"/>
      <w:bookmarkStart w:id="201" w:name="_Toc184308108"/>
      <w:bookmarkEnd w:id="201"/>
      <w:bookmarkStart w:id="202" w:name="_Toc184312092"/>
      <w:bookmarkEnd w:id="202"/>
      <w:bookmarkStart w:id="203" w:name="_Toc184308104"/>
      <w:bookmarkEnd w:id="203"/>
      <w:bookmarkStart w:id="204" w:name="_Toc184313249"/>
      <w:bookmarkEnd w:id="204"/>
      <w:bookmarkStart w:id="205" w:name="_Toc184310325"/>
      <w:bookmarkEnd w:id="205"/>
      <w:bookmarkStart w:id="206" w:name="_Toc184313287"/>
      <w:bookmarkEnd w:id="206"/>
      <w:bookmarkStart w:id="207" w:name="_Toc184310319"/>
      <w:bookmarkEnd w:id="207"/>
      <w:bookmarkStart w:id="208" w:name="_Toc184314458"/>
      <w:bookmarkEnd w:id="208"/>
      <w:bookmarkStart w:id="209" w:name="_Toc184313288"/>
      <w:bookmarkEnd w:id="209"/>
      <w:bookmarkStart w:id="210" w:name="_Toc184310315"/>
      <w:bookmarkEnd w:id="210"/>
      <w:bookmarkStart w:id="211" w:name="_Toc184313268"/>
      <w:bookmarkEnd w:id="211"/>
      <w:bookmarkStart w:id="212" w:name="_Toc184314427"/>
      <w:bookmarkEnd w:id="212"/>
      <w:bookmarkStart w:id="213" w:name="_Toc184308059"/>
      <w:bookmarkEnd w:id="213"/>
      <w:bookmarkStart w:id="214" w:name="_Toc184308085"/>
      <w:bookmarkEnd w:id="214"/>
      <w:bookmarkStart w:id="215" w:name="_Toc184313264"/>
      <w:bookmarkEnd w:id="215"/>
      <w:bookmarkStart w:id="216" w:name="_Toc184314466"/>
      <w:bookmarkEnd w:id="216"/>
      <w:bookmarkStart w:id="217" w:name="_Toc184313278"/>
      <w:bookmarkEnd w:id="217"/>
      <w:bookmarkStart w:id="218" w:name="_Toc184314473"/>
      <w:bookmarkEnd w:id="218"/>
      <w:bookmarkStart w:id="219" w:name="_Toc184313297"/>
      <w:bookmarkEnd w:id="219"/>
      <w:bookmarkStart w:id="220" w:name="_Toc184313303"/>
      <w:bookmarkEnd w:id="220"/>
      <w:bookmarkStart w:id="221" w:name="_Toc184314480"/>
      <w:bookmarkEnd w:id="221"/>
      <w:bookmarkStart w:id="222" w:name="_Toc184308039"/>
      <w:bookmarkEnd w:id="222"/>
      <w:bookmarkStart w:id="223" w:name="_Toc184313240"/>
      <w:bookmarkEnd w:id="223"/>
      <w:bookmarkStart w:id="224" w:name="_Toc184314432"/>
      <w:bookmarkEnd w:id="224"/>
      <w:bookmarkStart w:id="225" w:name="_Toc184314422"/>
      <w:bookmarkEnd w:id="225"/>
      <w:bookmarkStart w:id="226" w:name="_Toc184308074"/>
      <w:bookmarkEnd w:id="226"/>
      <w:bookmarkStart w:id="227" w:name="_Toc184308088"/>
      <w:bookmarkEnd w:id="227"/>
      <w:bookmarkStart w:id="228" w:name="_Toc184313273"/>
      <w:bookmarkEnd w:id="228"/>
      <w:bookmarkStart w:id="229" w:name="_Toc184310301"/>
      <w:bookmarkEnd w:id="229"/>
      <w:bookmarkStart w:id="230" w:name="_Toc184312115"/>
      <w:bookmarkEnd w:id="230"/>
      <w:bookmarkStart w:id="231" w:name="_Toc184312096"/>
      <w:bookmarkEnd w:id="231"/>
      <w:bookmarkStart w:id="232" w:name="_Toc184314456"/>
      <w:bookmarkEnd w:id="232"/>
      <w:bookmarkStart w:id="233" w:name="_Toc184314474"/>
      <w:bookmarkEnd w:id="233"/>
      <w:bookmarkStart w:id="234" w:name="_Toc184310312"/>
      <w:bookmarkEnd w:id="234"/>
      <w:bookmarkStart w:id="235" w:name="_Toc184310324"/>
      <w:bookmarkEnd w:id="235"/>
      <w:bookmarkStart w:id="236" w:name="_Toc184308080"/>
      <w:bookmarkEnd w:id="236"/>
      <w:bookmarkStart w:id="237" w:name="_Toc184314461"/>
      <w:bookmarkEnd w:id="237"/>
      <w:bookmarkStart w:id="238" w:name="_Toc184310308"/>
      <w:bookmarkEnd w:id="238"/>
      <w:bookmarkStart w:id="239" w:name="_Toc184308041"/>
      <w:bookmarkEnd w:id="239"/>
      <w:bookmarkStart w:id="240" w:name="_Toc184314446"/>
      <w:bookmarkEnd w:id="240"/>
      <w:bookmarkStart w:id="241" w:name="_Toc184313260"/>
      <w:bookmarkEnd w:id="241"/>
      <w:bookmarkStart w:id="242" w:name="_Toc184312067"/>
      <w:bookmarkEnd w:id="242"/>
      <w:bookmarkStart w:id="243" w:name="_Toc184310298"/>
      <w:bookmarkEnd w:id="243"/>
      <w:bookmarkStart w:id="244" w:name="_Toc184313256"/>
      <w:bookmarkEnd w:id="244"/>
      <w:bookmarkStart w:id="245" w:name="_Toc184312124"/>
      <w:bookmarkEnd w:id="245"/>
      <w:bookmarkStart w:id="246" w:name="_Toc184313292"/>
      <w:bookmarkEnd w:id="246"/>
      <w:bookmarkStart w:id="247" w:name="_Toc184308082"/>
      <w:bookmarkEnd w:id="247"/>
      <w:bookmarkStart w:id="248" w:name="_Toc184312131"/>
      <w:bookmarkEnd w:id="248"/>
      <w:bookmarkStart w:id="249" w:name="_Toc184314459"/>
      <w:bookmarkEnd w:id="249"/>
      <w:bookmarkStart w:id="250" w:name="_Toc184314440"/>
      <w:bookmarkEnd w:id="250"/>
      <w:bookmarkStart w:id="251" w:name="_Toc184314429"/>
      <w:bookmarkEnd w:id="251"/>
      <w:bookmarkStart w:id="252" w:name="_Toc184308053"/>
      <w:bookmarkEnd w:id="252"/>
      <w:bookmarkStart w:id="253" w:name="_Toc184308106"/>
      <w:bookmarkEnd w:id="253"/>
      <w:bookmarkStart w:id="254" w:name="_Toc184313261"/>
      <w:bookmarkEnd w:id="254"/>
      <w:bookmarkStart w:id="255" w:name="_Toc184312108"/>
      <w:bookmarkEnd w:id="255"/>
      <w:bookmarkStart w:id="256" w:name="_Toc184308061"/>
      <w:bookmarkEnd w:id="256"/>
      <w:bookmarkStart w:id="257" w:name="_Toc184312111"/>
      <w:bookmarkEnd w:id="257"/>
      <w:bookmarkStart w:id="258" w:name="_Toc184310340"/>
      <w:bookmarkEnd w:id="258"/>
      <w:bookmarkStart w:id="259" w:name="_Toc184313294"/>
      <w:bookmarkEnd w:id="259"/>
      <w:bookmarkStart w:id="260" w:name="_Toc184310278"/>
      <w:bookmarkEnd w:id="260"/>
      <w:bookmarkStart w:id="261" w:name="_Toc184314443"/>
      <w:bookmarkEnd w:id="261"/>
      <w:bookmarkStart w:id="262" w:name="_Toc184310283"/>
      <w:bookmarkEnd w:id="262"/>
      <w:bookmarkStart w:id="263" w:name="_Toc184314415"/>
      <w:bookmarkEnd w:id="263"/>
      <w:bookmarkStart w:id="264" w:name="_Toc184310336"/>
      <w:bookmarkEnd w:id="264"/>
      <w:bookmarkStart w:id="265" w:name="_Toc184313305"/>
      <w:bookmarkEnd w:id="265"/>
      <w:bookmarkStart w:id="266" w:name="_Toc184313276"/>
      <w:bookmarkEnd w:id="266"/>
      <w:bookmarkStart w:id="267" w:name="_Toc184314441"/>
      <w:bookmarkEnd w:id="267"/>
      <w:bookmarkStart w:id="268" w:name="_Toc184312122"/>
      <w:bookmarkEnd w:id="268"/>
      <w:bookmarkStart w:id="269" w:name="_Toc184312095"/>
      <w:bookmarkEnd w:id="269"/>
      <w:bookmarkStart w:id="270" w:name="_Toc184312127"/>
      <w:bookmarkEnd w:id="270"/>
      <w:bookmarkStart w:id="271" w:name="_Toc184312099"/>
      <w:bookmarkEnd w:id="271"/>
      <w:bookmarkStart w:id="272" w:name="_Toc184313304"/>
      <w:bookmarkEnd w:id="272"/>
      <w:bookmarkStart w:id="273" w:name="_Toc184312082"/>
      <w:bookmarkEnd w:id="273"/>
      <w:bookmarkStart w:id="274" w:name="_Toc184314479"/>
      <w:bookmarkEnd w:id="274"/>
      <w:bookmarkStart w:id="275" w:name="_Toc184312081"/>
      <w:bookmarkEnd w:id="275"/>
      <w:bookmarkStart w:id="276" w:name="_Toc184313263"/>
      <w:bookmarkEnd w:id="276"/>
      <w:bookmarkStart w:id="277" w:name="_Toc184312134"/>
      <w:bookmarkEnd w:id="277"/>
      <w:bookmarkStart w:id="278" w:name="_Toc184313252"/>
      <w:bookmarkEnd w:id="278"/>
      <w:bookmarkStart w:id="279" w:name="_Toc184312102"/>
      <w:bookmarkEnd w:id="279"/>
      <w:bookmarkStart w:id="280" w:name="_Toc184310322"/>
      <w:bookmarkEnd w:id="280"/>
      <w:bookmarkStart w:id="281" w:name="_Toc184314478"/>
      <w:bookmarkEnd w:id="281"/>
      <w:bookmarkStart w:id="282" w:name="_Toc184310275"/>
      <w:bookmarkEnd w:id="282"/>
      <w:bookmarkStart w:id="283" w:name="_Toc184314416"/>
      <w:bookmarkEnd w:id="283"/>
      <w:bookmarkStart w:id="284" w:name="_Toc184308079"/>
      <w:bookmarkEnd w:id="284"/>
      <w:bookmarkStart w:id="285" w:name="_Toc184310331"/>
      <w:bookmarkEnd w:id="285"/>
      <w:bookmarkStart w:id="286" w:name="_Toc184313310"/>
      <w:bookmarkEnd w:id="286"/>
      <w:bookmarkStart w:id="287" w:name="_Toc184314437"/>
      <w:bookmarkEnd w:id="287"/>
      <w:bookmarkStart w:id="288" w:name="_Toc184308050"/>
      <w:bookmarkEnd w:id="288"/>
      <w:bookmarkStart w:id="289" w:name="_Toc184310272"/>
      <w:bookmarkEnd w:id="289"/>
      <w:bookmarkStart w:id="290" w:name="_Toc184313282"/>
      <w:bookmarkEnd w:id="290"/>
      <w:bookmarkStart w:id="291" w:name="_Toc184310287"/>
      <w:bookmarkEnd w:id="291"/>
      <w:bookmarkStart w:id="292" w:name="_Toc184310316"/>
      <w:bookmarkEnd w:id="292"/>
      <w:bookmarkStart w:id="293" w:name="_Toc184310333"/>
      <w:bookmarkEnd w:id="293"/>
      <w:bookmarkStart w:id="294" w:name="_Toc184313266"/>
      <w:bookmarkEnd w:id="294"/>
      <w:bookmarkStart w:id="295" w:name="_Toc184312129"/>
      <w:bookmarkEnd w:id="295"/>
      <w:bookmarkStart w:id="296" w:name="_Toc184310274"/>
      <w:bookmarkEnd w:id="296"/>
      <w:bookmarkStart w:id="297" w:name="_Toc184314454"/>
      <w:bookmarkEnd w:id="297"/>
      <w:bookmarkStart w:id="298" w:name="_Toc184308075"/>
      <w:bookmarkEnd w:id="298"/>
      <w:bookmarkStart w:id="299" w:name="_Toc184312126"/>
      <w:bookmarkEnd w:id="299"/>
      <w:bookmarkStart w:id="300" w:name="_Toc184314439"/>
      <w:bookmarkEnd w:id="300"/>
      <w:bookmarkStart w:id="301" w:name="_Toc184310285"/>
      <w:bookmarkEnd w:id="301"/>
      <w:bookmarkStart w:id="302" w:name="_Toc184308046"/>
      <w:bookmarkEnd w:id="302"/>
      <w:bookmarkStart w:id="303" w:name="_Toc184312106"/>
      <w:bookmarkEnd w:id="303"/>
      <w:bookmarkStart w:id="304" w:name="_Toc184312075"/>
      <w:bookmarkEnd w:id="304"/>
      <w:bookmarkStart w:id="305" w:name="_Toc184314455"/>
      <w:bookmarkEnd w:id="305"/>
      <w:bookmarkStart w:id="306" w:name="_Toc184313298"/>
      <w:bookmarkEnd w:id="306"/>
      <w:bookmarkStart w:id="307" w:name="_Toc184310296"/>
      <w:bookmarkEnd w:id="307"/>
      <w:bookmarkStart w:id="308" w:name="_Toc184313267"/>
      <w:bookmarkEnd w:id="308"/>
      <w:bookmarkStart w:id="309" w:name="_Toc184314475"/>
      <w:bookmarkEnd w:id="309"/>
      <w:bookmarkStart w:id="310" w:name="_Toc184308048"/>
      <w:bookmarkEnd w:id="310"/>
      <w:bookmarkStart w:id="311" w:name="_Toc184308103"/>
      <w:bookmarkEnd w:id="311"/>
      <w:bookmarkStart w:id="312" w:name="_Toc184312087"/>
      <w:bookmarkEnd w:id="312"/>
      <w:bookmarkStart w:id="313" w:name="_Toc184308055"/>
      <w:bookmarkEnd w:id="313"/>
      <w:bookmarkStart w:id="314" w:name="_Toc184308047"/>
      <w:bookmarkEnd w:id="314"/>
      <w:bookmarkStart w:id="315" w:name="_Toc184313253"/>
      <w:bookmarkEnd w:id="315"/>
      <w:bookmarkStart w:id="316" w:name="_Toc184310342"/>
      <w:bookmarkEnd w:id="316"/>
      <w:bookmarkStart w:id="317" w:name="_Toc184310295"/>
      <w:bookmarkEnd w:id="317"/>
      <w:bookmarkStart w:id="318" w:name="_Toc184308058"/>
      <w:bookmarkEnd w:id="318"/>
      <w:bookmarkStart w:id="319" w:name="_Toc184312113"/>
      <w:bookmarkEnd w:id="319"/>
      <w:bookmarkStart w:id="320" w:name="_Toc184312080"/>
      <w:bookmarkEnd w:id="320"/>
      <w:bookmarkStart w:id="321" w:name="_Toc184312103"/>
      <w:bookmarkEnd w:id="321"/>
      <w:bookmarkStart w:id="322" w:name="_Toc184313255"/>
      <w:bookmarkEnd w:id="322"/>
      <w:bookmarkStart w:id="323" w:name="_Toc184310328"/>
      <w:bookmarkEnd w:id="323"/>
      <w:bookmarkStart w:id="324" w:name="_Toc184312105"/>
      <w:bookmarkEnd w:id="324"/>
      <w:bookmarkStart w:id="325" w:name="_Toc184310320"/>
      <w:bookmarkEnd w:id="325"/>
      <w:bookmarkStart w:id="326" w:name="_Toc184312072"/>
      <w:bookmarkEnd w:id="326"/>
      <w:bookmarkStart w:id="327" w:name="_Toc184314463"/>
      <w:bookmarkEnd w:id="327"/>
      <w:bookmarkStart w:id="328" w:name="_Toc184314481"/>
      <w:bookmarkEnd w:id="328"/>
      <w:bookmarkStart w:id="329" w:name="_Toc184312093"/>
      <w:bookmarkEnd w:id="329"/>
      <w:bookmarkStart w:id="330" w:name="_Toc184312071"/>
      <w:bookmarkEnd w:id="330"/>
      <w:bookmarkStart w:id="331" w:name="_Toc184313243"/>
      <w:bookmarkEnd w:id="331"/>
      <w:bookmarkStart w:id="332" w:name="_Toc184314467"/>
      <w:bookmarkEnd w:id="332"/>
      <w:bookmarkStart w:id="333" w:name="_Toc184308098"/>
      <w:bookmarkEnd w:id="333"/>
      <w:bookmarkStart w:id="334" w:name="_Toc184313289"/>
      <w:bookmarkEnd w:id="334"/>
      <w:bookmarkStart w:id="335" w:name="_Toc184313307"/>
      <w:bookmarkEnd w:id="335"/>
      <w:bookmarkStart w:id="336" w:name="_Toc184310300"/>
      <w:bookmarkEnd w:id="336"/>
      <w:bookmarkStart w:id="337" w:name="_Toc184314420"/>
      <w:bookmarkEnd w:id="337"/>
      <w:bookmarkStart w:id="338" w:name="_Toc184310276"/>
      <w:bookmarkEnd w:id="338"/>
      <w:bookmarkStart w:id="339" w:name="_Toc184308038"/>
      <w:bookmarkEnd w:id="339"/>
      <w:bookmarkStart w:id="340" w:name="_Toc184313269"/>
      <w:bookmarkEnd w:id="340"/>
      <w:bookmarkStart w:id="341" w:name="_Toc184308040"/>
      <w:bookmarkEnd w:id="341"/>
      <w:bookmarkStart w:id="342" w:name="_Toc184313271"/>
      <w:bookmarkEnd w:id="342"/>
      <w:bookmarkStart w:id="343" w:name="_Toc184314460"/>
      <w:bookmarkEnd w:id="343"/>
      <w:bookmarkStart w:id="344" w:name="_Toc184314462"/>
      <w:bookmarkEnd w:id="344"/>
      <w:bookmarkStart w:id="345" w:name="_Toc184310323"/>
      <w:bookmarkEnd w:id="345"/>
      <w:bookmarkStart w:id="346" w:name="_Toc184312083"/>
      <w:bookmarkEnd w:id="346"/>
      <w:bookmarkStart w:id="347" w:name="_Toc184310341"/>
      <w:bookmarkEnd w:id="347"/>
      <w:bookmarkStart w:id="348" w:name="_Toc184313300"/>
      <w:bookmarkEnd w:id="348"/>
      <w:bookmarkStart w:id="349" w:name="_Toc184313259"/>
      <w:bookmarkEnd w:id="349"/>
      <w:bookmarkStart w:id="350" w:name="_Toc184310297"/>
      <w:bookmarkEnd w:id="350"/>
      <w:bookmarkStart w:id="351" w:name="_Toc184310307"/>
      <w:bookmarkEnd w:id="351"/>
      <w:bookmarkStart w:id="352" w:name="_Toc184308072"/>
      <w:bookmarkEnd w:id="352"/>
      <w:bookmarkStart w:id="353" w:name="_Toc184312090"/>
      <w:bookmarkEnd w:id="353"/>
      <w:bookmarkStart w:id="354" w:name="_Toc184313295"/>
      <w:bookmarkEnd w:id="354"/>
      <w:bookmarkStart w:id="355" w:name="_Toc184314425"/>
      <w:bookmarkEnd w:id="355"/>
      <w:bookmarkStart w:id="356" w:name="_Toc184314468"/>
      <w:bookmarkEnd w:id="356"/>
      <w:bookmarkStart w:id="357" w:name="_Toc184308092"/>
      <w:bookmarkEnd w:id="357"/>
      <w:bookmarkStart w:id="358" w:name="_Toc184314447"/>
      <w:bookmarkEnd w:id="358"/>
      <w:bookmarkStart w:id="359" w:name="_Toc184310326"/>
      <w:bookmarkEnd w:id="359"/>
      <w:bookmarkStart w:id="360" w:name="_Toc184314450"/>
      <w:bookmarkEnd w:id="360"/>
      <w:bookmarkStart w:id="361" w:name="_Toc184308078"/>
      <w:bookmarkEnd w:id="361"/>
      <w:bookmarkStart w:id="362" w:name="_Toc184312110"/>
      <w:bookmarkEnd w:id="362"/>
      <w:bookmarkStart w:id="363" w:name="_Toc184308100"/>
      <w:bookmarkEnd w:id="363"/>
      <w:bookmarkStart w:id="364" w:name="_Toc184314414"/>
      <w:bookmarkEnd w:id="364"/>
      <w:bookmarkStart w:id="365" w:name="_Toc184314451"/>
      <w:bookmarkEnd w:id="365"/>
      <w:bookmarkStart w:id="366" w:name="_Toc184308107"/>
      <w:bookmarkEnd w:id="366"/>
      <w:bookmarkStart w:id="367" w:name="_Toc184312120"/>
      <w:bookmarkEnd w:id="367"/>
      <w:bookmarkStart w:id="368" w:name="_Toc184308071"/>
      <w:bookmarkEnd w:id="368"/>
      <w:bookmarkStart w:id="369" w:name="_Toc184314433"/>
      <w:bookmarkEnd w:id="369"/>
      <w:bookmarkStart w:id="370" w:name="_Toc184308095"/>
      <w:bookmarkEnd w:id="370"/>
      <w:bookmarkStart w:id="371" w:name="_Toc184313241"/>
      <w:bookmarkEnd w:id="371"/>
      <w:bookmarkStart w:id="372" w:name="_Toc184310281"/>
      <w:bookmarkEnd w:id="372"/>
      <w:bookmarkStart w:id="373" w:name="_Toc184310302"/>
      <w:bookmarkEnd w:id="373"/>
      <w:bookmarkStart w:id="374" w:name="_Toc184310299"/>
      <w:bookmarkEnd w:id="374"/>
      <w:bookmarkStart w:id="375" w:name="_Toc184312116"/>
      <w:bookmarkEnd w:id="375"/>
      <w:bookmarkStart w:id="376" w:name="_Toc184312118"/>
      <w:bookmarkEnd w:id="376"/>
      <w:bookmarkStart w:id="377" w:name="_Toc184312094"/>
      <w:bookmarkEnd w:id="377"/>
      <w:bookmarkStart w:id="378" w:name="_Toc184313306"/>
      <w:bookmarkEnd w:id="378"/>
      <w:bookmarkStart w:id="379" w:name="_Toc184310286"/>
      <w:bookmarkEnd w:id="379"/>
      <w:bookmarkStart w:id="380" w:name="_Toc184314435"/>
      <w:bookmarkEnd w:id="380"/>
      <w:bookmarkStart w:id="381" w:name="_Toc184313285"/>
      <w:bookmarkEnd w:id="381"/>
      <w:bookmarkStart w:id="382" w:name="_Toc184313257"/>
      <w:bookmarkEnd w:id="382"/>
      <w:bookmarkStart w:id="383" w:name="_Toc184310337"/>
      <w:bookmarkEnd w:id="383"/>
      <w:bookmarkStart w:id="384" w:name="_Toc184308067"/>
      <w:bookmarkEnd w:id="384"/>
      <w:bookmarkStart w:id="385" w:name="_Toc184308062"/>
      <w:bookmarkEnd w:id="385"/>
      <w:bookmarkStart w:id="386" w:name="_Toc184312074"/>
      <w:bookmarkEnd w:id="386"/>
      <w:bookmarkStart w:id="387" w:name="_Toc184312128"/>
      <w:bookmarkEnd w:id="387"/>
      <w:bookmarkStart w:id="388" w:name="_Toc184313299"/>
      <w:bookmarkEnd w:id="388"/>
      <w:bookmarkStart w:id="389" w:name="_Toc184312101"/>
      <w:bookmarkEnd w:id="389"/>
      <w:bookmarkStart w:id="390" w:name="_Toc184312133"/>
      <w:bookmarkEnd w:id="390"/>
      <w:bookmarkStart w:id="391" w:name="_Toc184314449"/>
      <w:bookmarkEnd w:id="391"/>
      <w:bookmarkStart w:id="392" w:name="_Toc184310291"/>
      <w:bookmarkEnd w:id="392"/>
      <w:r>
        <w:rPr>
          <w:rFonts w:hint="eastAsia" w:asciiTheme="minorEastAsia" w:hAnsiTheme="minorEastAsia" w:eastAsiaTheme="minorEastAsia" w:cstheme="minorEastAsia"/>
          <w:b/>
          <w:color w:val="auto"/>
          <w:sz w:val="36"/>
          <w:szCs w:val="36"/>
          <w:highlight w:val="none"/>
        </w:rPr>
        <w:t>评审办法</w:t>
      </w:r>
    </w:p>
    <w:p w14:paraId="1AA7F03C">
      <w:pPr>
        <w:snapToGrid w:val="0"/>
        <w:spacing w:line="360" w:lineRule="auto"/>
        <w:jc w:val="center"/>
        <w:rPr>
          <w:rFonts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b/>
          <w:color w:val="auto"/>
          <w:sz w:val="32"/>
          <w:szCs w:val="20"/>
          <w:highlight w:val="none"/>
        </w:rPr>
        <w:t>评审办法前附表</w:t>
      </w:r>
    </w:p>
    <w:tbl>
      <w:tblPr>
        <w:tblStyle w:val="24"/>
        <w:tblW w:w="93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95"/>
        <w:gridCol w:w="7442"/>
      </w:tblGrid>
      <w:tr w14:paraId="57928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48" w:type="dxa"/>
            <w:noWrap w:val="0"/>
            <w:vAlign w:val="center"/>
          </w:tcPr>
          <w:p w14:paraId="12560A7A">
            <w:pPr>
              <w:pageBreakBefore w:val="0"/>
              <w:kinsoku/>
              <w:wordWrap/>
              <w:overflowPunct/>
              <w:topLinePunct w:val="0"/>
              <w:bidi w:val="0"/>
              <w:spacing w:line="360" w:lineRule="auto"/>
              <w:rPr>
                <w:color w:val="auto"/>
                <w:szCs w:val="21"/>
                <w:highlight w:val="none"/>
              </w:rPr>
            </w:pPr>
          </w:p>
        </w:tc>
        <w:tc>
          <w:tcPr>
            <w:tcW w:w="1195" w:type="dxa"/>
            <w:noWrap w:val="0"/>
            <w:vAlign w:val="center"/>
          </w:tcPr>
          <w:p w14:paraId="65E08B96">
            <w:pPr>
              <w:pageBreakBefore w:val="0"/>
              <w:kinsoku/>
              <w:wordWrap/>
              <w:overflowPunct/>
              <w:topLinePunct w:val="0"/>
              <w:bidi w:val="0"/>
              <w:spacing w:line="360" w:lineRule="auto"/>
              <w:jc w:val="center"/>
              <w:rPr>
                <w:color w:val="auto"/>
                <w:szCs w:val="21"/>
                <w:highlight w:val="none"/>
              </w:rPr>
            </w:pPr>
            <w:r>
              <w:rPr>
                <w:rFonts w:hint="eastAsia"/>
                <w:color w:val="auto"/>
                <w:highlight w:val="none"/>
              </w:rPr>
              <w:t>项目</w:t>
            </w:r>
          </w:p>
        </w:tc>
        <w:tc>
          <w:tcPr>
            <w:tcW w:w="7442" w:type="dxa"/>
            <w:noWrap w:val="0"/>
            <w:vAlign w:val="center"/>
          </w:tcPr>
          <w:p w14:paraId="1DFBB0B1">
            <w:pPr>
              <w:pageBreakBefore w:val="0"/>
              <w:tabs>
                <w:tab w:val="left" w:pos="4915"/>
              </w:tabs>
              <w:kinsoku/>
              <w:wordWrap/>
              <w:overflowPunct/>
              <w:topLinePunct w:val="0"/>
              <w:bidi w:val="0"/>
              <w:spacing w:line="360" w:lineRule="auto"/>
              <w:jc w:val="center"/>
              <w:rPr>
                <w:color w:val="auto"/>
                <w:szCs w:val="21"/>
                <w:highlight w:val="none"/>
              </w:rPr>
            </w:pPr>
            <w:r>
              <w:rPr>
                <w:rFonts w:hint="eastAsia"/>
                <w:color w:val="auto"/>
                <w:highlight w:val="none"/>
              </w:rPr>
              <w:t>评分细则</w:t>
            </w:r>
          </w:p>
        </w:tc>
      </w:tr>
      <w:tr w14:paraId="5B30A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748" w:type="dxa"/>
            <w:vMerge w:val="restart"/>
            <w:noWrap w:val="0"/>
            <w:vAlign w:val="center"/>
          </w:tcPr>
          <w:p w14:paraId="67410684">
            <w:pPr>
              <w:pageBreakBefore w:val="0"/>
              <w:kinsoku/>
              <w:wordWrap/>
              <w:overflowPunct/>
              <w:topLinePunct w:val="0"/>
              <w:bidi w:val="0"/>
              <w:spacing w:line="360" w:lineRule="auto"/>
              <w:rPr>
                <w:color w:val="auto"/>
                <w:szCs w:val="21"/>
                <w:highlight w:val="none"/>
              </w:rPr>
            </w:pPr>
            <w:r>
              <w:rPr>
                <w:color w:val="auto"/>
                <w:szCs w:val="21"/>
                <w:highlight w:val="none"/>
              </w:rPr>
              <w:t>技术资信</w:t>
            </w:r>
            <w:r>
              <w:rPr>
                <w:rFonts w:hint="eastAsia"/>
                <w:color w:val="auto"/>
                <w:szCs w:val="21"/>
                <w:highlight w:val="none"/>
              </w:rPr>
              <w:t>部分</w:t>
            </w:r>
            <w:r>
              <w:rPr>
                <w:rFonts w:hint="eastAsia"/>
                <w:color w:val="auto"/>
                <w:szCs w:val="21"/>
                <w:highlight w:val="none"/>
                <w:lang w:val="en-US" w:eastAsia="zh-CN"/>
              </w:rPr>
              <w:t>65</w:t>
            </w:r>
            <w:r>
              <w:rPr>
                <w:color w:val="auto"/>
                <w:szCs w:val="21"/>
                <w:highlight w:val="none"/>
              </w:rPr>
              <w:t>分</w:t>
            </w:r>
          </w:p>
        </w:tc>
        <w:tc>
          <w:tcPr>
            <w:tcW w:w="1195" w:type="dxa"/>
            <w:noWrap w:val="0"/>
            <w:vAlign w:val="center"/>
          </w:tcPr>
          <w:p w14:paraId="0193D96F">
            <w:pPr>
              <w:pageBreakBefore w:val="0"/>
              <w:kinsoku/>
              <w:wordWrap/>
              <w:overflowPunct/>
              <w:topLinePunct w:val="0"/>
              <w:bidi w:val="0"/>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项目主要</w:t>
            </w:r>
            <w:r>
              <w:rPr>
                <w:color w:val="auto"/>
                <w:szCs w:val="21"/>
                <w:highlight w:val="none"/>
              </w:rPr>
              <w:t>技术</w:t>
            </w:r>
            <w:r>
              <w:rPr>
                <w:rFonts w:hint="eastAsia"/>
                <w:color w:val="auto"/>
                <w:szCs w:val="21"/>
                <w:highlight w:val="none"/>
                <w:lang w:val="en-US" w:eastAsia="zh-CN"/>
              </w:rPr>
              <w:t>要求</w:t>
            </w:r>
          </w:p>
          <w:p w14:paraId="2274F9F9">
            <w:pPr>
              <w:pageBreakBefore w:val="0"/>
              <w:kinsoku/>
              <w:wordWrap/>
              <w:overflowPunct/>
              <w:topLinePunct w:val="0"/>
              <w:bidi w:val="0"/>
              <w:spacing w:line="360" w:lineRule="auto"/>
              <w:jc w:val="center"/>
              <w:rPr>
                <w:color w:val="auto"/>
                <w:szCs w:val="21"/>
                <w:highlight w:val="none"/>
              </w:rPr>
            </w:pPr>
            <w:r>
              <w:rPr>
                <w:color w:val="auto"/>
                <w:szCs w:val="21"/>
                <w:highlight w:val="none"/>
              </w:rPr>
              <w:t>响应情况</w:t>
            </w:r>
          </w:p>
          <w:p w14:paraId="160EB966">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lang w:val="en-US" w:eastAsia="zh-CN"/>
              </w:rPr>
              <w:t>15</w:t>
            </w:r>
            <w:r>
              <w:rPr>
                <w:color w:val="auto"/>
                <w:szCs w:val="21"/>
                <w:highlight w:val="none"/>
              </w:rPr>
              <w:t>分）</w:t>
            </w:r>
          </w:p>
        </w:tc>
        <w:tc>
          <w:tcPr>
            <w:tcW w:w="7442" w:type="dxa"/>
            <w:noWrap w:val="0"/>
            <w:vAlign w:val="center"/>
          </w:tcPr>
          <w:p w14:paraId="68242A28">
            <w:pPr>
              <w:tabs>
                <w:tab w:val="left" w:pos="4915"/>
              </w:tabs>
              <w:spacing w:line="360" w:lineRule="auto"/>
              <w:rPr>
                <w:rFonts w:hint="eastAsia" w:cs="宋体"/>
                <w:color w:val="auto"/>
                <w:szCs w:val="21"/>
                <w:highlight w:val="none"/>
              </w:rPr>
            </w:pPr>
            <w:r>
              <w:rPr>
                <w:rFonts w:hint="eastAsia" w:cs="宋体"/>
                <w:color w:val="auto"/>
                <w:szCs w:val="21"/>
                <w:highlight w:val="none"/>
              </w:rPr>
              <w:t>1、项目技术要求响应情况（15分）</w:t>
            </w:r>
          </w:p>
          <w:p w14:paraId="07A800A0">
            <w:pPr>
              <w:pageBreakBefore w:val="0"/>
              <w:numPr>
                <w:ilvl w:val="0"/>
                <w:numId w:val="0"/>
              </w:numPr>
              <w:tabs>
                <w:tab w:val="left" w:pos="4915"/>
              </w:tabs>
              <w:kinsoku/>
              <w:wordWrap/>
              <w:overflowPunct/>
              <w:topLinePunct w:val="0"/>
              <w:bidi w:val="0"/>
              <w:spacing w:line="360" w:lineRule="auto"/>
              <w:rPr>
                <w:rFonts w:hint="default" w:cs="宋体"/>
                <w:color w:val="auto"/>
                <w:szCs w:val="21"/>
                <w:highlight w:val="none"/>
                <w:lang w:val="en-US" w:eastAsia="zh-CN"/>
              </w:rPr>
            </w:pPr>
            <w:r>
              <w:rPr>
                <w:rFonts w:hint="eastAsia" w:cs="宋体"/>
                <w:color w:val="auto"/>
                <w:szCs w:val="21"/>
                <w:highlight w:val="none"/>
              </w:rPr>
              <w:t>响应文件对采购文件“第三部分采购需求”的响应情况：全部满足采购文件要求的得15分，非实质性要求的每负偏离一项扣</w:t>
            </w:r>
            <w:r>
              <w:rPr>
                <w:rFonts w:hint="eastAsia" w:cs="宋体"/>
                <w:color w:val="auto"/>
                <w:szCs w:val="21"/>
                <w:highlight w:val="none"/>
                <w:lang w:val="en-US" w:eastAsia="zh-CN"/>
              </w:rPr>
              <w:t>3</w:t>
            </w:r>
            <w:r>
              <w:rPr>
                <w:rFonts w:hint="eastAsia" w:cs="宋体"/>
                <w:color w:val="auto"/>
                <w:szCs w:val="21"/>
                <w:highlight w:val="none"/>
              </w:rPr>
              <w:t>分，负偏离</w:t>
            </w:r>
            <w:r>
              <w:rPr>
                <w:rFonts w:hint="eastAsia" w:cs="宋体"/>
                <w:color w:val="auto"/>
                <w:szCs w:val="21"/>
                <w:highlight w:val="none"/>
                <w:lang w:val="en-US" w:eastAsia="zh-CN"/>
              </w:rPr>
              <w:t>5</w:t>
            </w:r>
            <w:r>
              <w:rPr>
                <w:rFonts w:hint="eastAsia" w:cs="宋体"/>
                <w:color w:val="auto"/>
                <w:szCs w:val="21"/>
                <w:highlight w:val="none"/>
              </w:rPr>
              <w:t>项及以上的作无效投标处理。标▲条款的有任一负偏离的作无效响应文件处理。</w:t>
            </w:r>
          </w:p>
        </w:tc>
      </w:tr>
      <w:tr w14:paraId="25404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48" w:type="dxa"/>
            <w:vMerge w:val="continue"/>
            <w:noWrap w:val="0"/>
            <w:vAlign w:val="center"/>
          </w:tcPr>
          <w:p w14:paraId="50E796C7">
            <w:pPr>
              <w:pageBreakBefore w:val="0"/>
              <w:widowControl/>
              <w:kinsoku/>
              <w:wordWrap/>
              <w:overflowPunct/>
              <w:topLinePunct w:val="0"/>
              <w:bidi w:val="0"/>
              <w:spacing w:line="360" w:lineRule="auto"/>
              <w:jc w:val="left"/>
              <w:rPr>
                <w:color w:val="auto"/>
                <w:szCs w:val="21"/>
                <w:highlight w:val="none"/>
              </w:rPr>
            </w:pPr>
          </w:p>
        </w:tc>
        <w:tc>
          <w:tcPr>
            <w:tcW w:w="1195" w:type="dxa"/>
            <w:vMerge w:val="restart"/>
            <w:noWrap w:val="0"/>
            <w:vAlign w:val="center"/>
          </w:tcPr>
          <w:p w14:paraId="3C832B32">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施工组织方案</w:t>
            </w:r>
          </w:p>
          <w:p w14:paraId="4D55BD8C">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rPr>
              <w:t>3</w:t>
            </w:r>
            <w:r>
              <w:rPr>
                <w:rFonts w:hint="eastAsia"/>
                <w:color w:val="auto"/>
                <w:szCs w:val="21"/>
                <w:highlight w:val="none"/>
                <w:lang w:val="en-US" w:eastAsia="zh-CN"/>
              </w:rPr>
              <w:t>0</w:t>
            </w:r>
            <w:r>
              <w:rPr>
                <w:color w:val="auto"/>
                <w:szCs w:val="21"/>
                <w:highlight w:val="none"/>
              </w:rPr>
              <w:t>分）</w:t>
            </w:r>
          </w:p>
        </w:tc>
        <w:tc>
          <w:tcPr>
            <w:tcW w:w="7442" w:type="dxa"/>
            <w:noWrap w:val="0"/>
            <w:vAlign w:val="center"/>
          </w:tcPr>
          <w:p w14:paraId="4075B783">
            <w:pPr>
              <w:pageBreakBefore w:val="0"/>
              <w:numPr>
                <w:ilvl w:val="0"/>
                <w:numId w:val="3"/>
              </w:numPr>
              <w:tabs>
                <w:tab w:val="left" w:pos="4915"/>
              </w:tabs>
              <w:kinsoku/>
              <w:wordWrap/>
              <w:overflowPunct/>
              <w:topLinePunct w:val="0"/>
              <w:bidi w:val="0"/>
              <w:spacing w:line="360" w:lineRule="auto"/>
              <w:rPr>
                <w:rFonts w:hint="eastAsia" w:cs="宋体"/>
                <w:color w:val="auto"/>
                <w:szCs w:val="21"/>
                <w:highlight w:val="none"/>
                <w:lang w:val="en-US" w:eastAsia="zh-CN"/>
              </w:rPr>
            </w:pPr>
            <w:r>
              <w:rPr>
                <w:rFonts w:hint="eastAsia" w:cs="宋体"/>
                <w:color w:val="auto"/>
                <w:szCs w:val="21"/>
                <w:highlight w:val="none"/>
                <w:lang w:val="en-US" w:eastAsia="zh-CN"/>
              </w:rPr>
              <w:t>项目背景调查（5分）</w:t>
            </w:r>
          </w:p>
          <w:p w14:paraId="098F639E">
            <w:pPr>
              <w:pageBreakBefore w:val="0"/>
              <w:numPr>
                <w:ilvl w:val="0"/>
                <w:numId w:val="0"/>
              </w:numPr>
              <w:tabs>
                <w:tab w:val="left" w:pos="4915"/>
              </w:tabs>
              <w:kinsoku/>
              <w:wordWrap/>
              <w:overflowPunct/>
              <w:topLinePunct w:val="0"/>
              <w:bidi w:val="0"/>
              <w:spacing w:line="360" w:lineRule="auto"/>
              <w:rPr>
                <w:rFonts w:hint="default" w:eastAsia="宋体" w:cs="宋体"/>
                <w:color w:val="auto"/>
                <w:szCs w:val="21"/>
                <w:highlight w:val="none"/>
                <w:lang w:val="en-US" w:eastAsia="zh-CN"/>
              </w:rPr>
            </w:pPr>
            <w:r>
              <w:rPr>
                <w:rFonts w:hint="eastAsia" w:cs="宋体"/>
                <w:color w:val="auto"/>
                <w:szCs w:val="21"/>
                <w:highlight w:val="none"/>
              </w:rPr>
              <w:t>评委对</w:t>
            </w:r>
            <w:r>
              <w:rPr>
                <w:rFonts w:hint="eastAsia" w:cs="宋体"/>
                <w:color w:val="auto"/>
                <w:szCs w:val="21"/>
                <w:highlight w:val="none"/>
                <w:lang w:val="en-US" w:eastAsia="zh-CN"/>
              </w:rPr>
              <w:t>供应商根据目前项目情况所进行的调查和分析</w:t>
            </w:r>
            <w:r>
              <w:rPr>
                <w:rFonts w:hint="eastAsia" w:cs="宋体"/>
                <w:color w:val="auto"/>
                <w:szCs w:val="21"/>
                <w:highlight w:val="none"/>
              </w:rPr>
              <w:t>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调查充分、分析全面</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调查不够充分、分析不够全面</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53C1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748" w:type="dxa"/>
            <w:vMerge w:val="continue"/>
            <w:noWrap w:val="0"/>
            <w:vAlign w:val="center"/>
          </w:tcPr>
          <w:p w14:paraId="4E3A34B7">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1D270FA9">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31C13558">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3、</w:t>
            </w:r>
            <w:r>
              <w:rPr>
                <w:rFonts w:hint="eastAsia" w:cs="宋体"/>
                <w:color w:val="auto"/>
                <w:szCs w:val="21"/>
                <w:highlight w:val="none"/>
              </w:rPr>
              <w:t>施工组织方案</w:t>
            </w:r>
            <w:r>
              <w:rPr>
                <w:rFonts w:hint="eastAsia" w:cs="宋体"/>
                <w:color w:val="auto"/>
                <w:szCs w:val="21"/>
                <w:highlight w:val="none"/>
                <w:lang w:val="en-US" w:eastAsia="zh-CN"/>
              </w:rPr>
              <w:t>实施</w:t>
            </w:r>
            <w:r>
              <w:rPr>
                <w:rFonts w:hint="eastAsia" w:cs="宋体"/>
                <w:color w:val="auto"/>
                <w:szCs w:val="21"/>
                <w:highlight w:val="none"/>
              </w:rPr>
              <w:t>（5分）</w:t>
            </w:r>
          </w:p>
          <w:p w14:paraId="368B8C97">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评委对整体施工组织方案进行综合评议并打分：方案完全符合本项目需求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工程关键节点分析准确、把控得当</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工程关键节点把控不够明确</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7CDCC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748" w:type="dxa"/>
            <w:vMerge w:val="continue"/>
            <w:noWrap w:val="0"/>
            <w:vAlign w:val="center"/>
          </w:tcPr>
          <w:p w14:paraId="234FD2C6">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2E375A5C">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7C34D471">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4、</w:t>
            </w:r>
            <w:r>
              <w:rPr>
                <w:rFonts w:hint="eastAsia" w:cs="宋体"/>
                <w:color w:val="auto"/>
                <w:szCs w:val="21"/>
                <w:highlight w:val="none"/>
              </w:rPr>
              <w:t>工程质量保证措施（5分）</w:t>
            </w:r>
          </w:p>
          <w:p w14:paraId="69BF6513">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评委对工程质量保证措施进行综合评议并打分：</w:t>
            </w:r>
            <w:r>
              <w:rPr>
                <w:rFonts w:hint="eastAsia" w:cs="宋体"/>
                <w:color w:val="auto"/>
                <w:szCs w:val="21"/>
                <w:highlight w:val="none"/>
                <w:lang w:val="en-US" w:eastAsia="zh-CN"/>
              </w:rPr>
              <w:t>各项保证</w:t>
            </w:r>
            <w:r>
              <w:rPr>
                <w:rFonts w:hint="eastAsia" w:cs="宋体"/>
                <w:color w:val="auto"/>
                <w:szCs w:val="21"/>
                <w:highlight w:val="none"/>
              </w:rPr>
              <w:t>措施有力</w:t>
            </w:r>
            <w:r>
              <w:rPr>
                <w:rFonts w:hint="eastAsia" w:cs="宋体"/>
                <w:color w:val="auto"/>
                <w:szCs w:val="21"/>
                <w:highlight w:val="none"/>
                <w:lang w:eastAsia="zh-CN"/>
              </w:rPr>
              <w:t>、</w:t>
            </w:r>
            <w:r>
              <w:rPr>
                <w:rFonts w:hint="eastAsia" w:cs="宋体"/>
                <w:color w:val="auto"/>
                <w:szCs w:val="21"/>
                <w:highlight w:val="none"/>
                <w:lang w:val="en-US" w:eastAsia="zh-CN"/>
              </w:rPr>
              <w:t>符合行业规范</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上有主体内容的缺项</w:t>
            </w:r>
            <w:r>
              <w:rPr>
                <w:rFonts w:hint="eastAsia" w:cs="宋体"/>
                <w:color w:val="auto"/>
                <w:szCs w:val="21"/>
                <w:highlight w:val="none"/>
              </w:rPr>
              <w:t>或缺少具体</w:t>
            </w:r>
            <w:r>
              <w:rPr>
                <w:rFonts w:hint="eastAsia" w:cs="宋体"/>
                <w:color w:val="auto"/>
                <w:szCs w:val="21"/>
                <w:highlight w:val="none"/>
                <w:lang w:val="en-US" w:eastAsia="zh-CN"/>
              </w:rPr>
              <w:t>有效的保证措施</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保证满足项目需求的得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D8BED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748" w:type="dxa"/>
            <w:vMerge w:val="continue"/>
            <w:noWrap w:val="0"/>
            <w:vAlign w:val="center"/>
          </w:tcPr>
          <w:p w14:paraId="2D5E800C">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F9BF069">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7AA6047B">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5、</w:t>
            </w:r>
            <w:r>
              <w:rPr>
                <w:rFonts w:hint="eastAsia" w:cs="宋体"/>
                <w:color w:val="auto"/>
                <w:szCs w:val="21"/>
                <w:highlight w:val="none"/>
              </w:rPr>
              <w:t>施工进度管理与控制（5分）</w:t>
            </w:r>
          </w:p>
          <w:p w14:paraId="5F6AA411">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评委对施工进度管理与控制进行综合评议并打分：</w:t>
            </w:r>
            <w:r>
              <w:rPr>
                <w:rFonts w:hint="eastAsia" w:cs="宋体"/>
                <w:color w:val="auto"/>
                <w:szCs w:val="21"/>
                <w:highlight w:val="none"/>
                <w:lang w:val="en-US" w:eastAsia="zh-CN"/>
              </w:rPr>
              <w:t>进度计划安排得当、各时间节点明确、项目工期有有效保障的得5分；进度安排尚能满足项目需求、部分时间节点不够明确或存在前松后紧的得3分；进度安排存在明显不合理之处、或时间节点混乱、难以保障项目工期的得1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p>
        </w:tc>
      </w:tr>
      <w:tr w14:paraId="7C259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48" w:type="dxa"/>
            <w:vMerge w:val="continue"/>
            <w:noWrap w:val="0"/>
            <w:vAlign w:val="center"/>
          </w:tcPr>
          <w:p w14:paraId="175F5A2F">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47EBE7F">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61FE6CD9">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6、</w:t>
            </w:r>
            <w:r>
              <w:rPr>
                <w:rFonts w:hint="eastAsia" w:cs="宋体"/>
                <w:color w:val="auto"/>
                <w:szCs w:val="21"/>
                <w:highlight w:val="none"/>
              </w:rPr>
              <w:t>安全生产、文明施工措施（5分）</w:t>
            </w:r>
          </w:p>
          <w:p w14:paraId="3F4FEAD4">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评委对安全生产、文明施工措施进行综合评议并打分：</w:t>
            </w:r>
            <w:r>
              <w:rPr>
                <w:rFonts w:hint="eastAsia" w:cs="宋体"/>
                <w:color w:val="auto"/>
                <w:szCs w:val="21"/>
                <w:highlight w:val="none"/>
                <w:lang w:val="en-US" w:eastAsia="zh-CN"/>
              </w:rPr>
              <w:t>对施工噪音、施工震动、施工扬尘等防治</w:t>
            </w:r>
            <w:r>
              <w:rPr>
                <w:rFonts w:hint="eastAsia" w:cs="宋体"/>
                <w:color w:val="auto"/>
                <w:szCs w:val="21"/>
                <w:highlight w:val="none"/>
              </w:rPr>
              <w:t>措施</w:t>
            </w:r>
            <w:r>
              <w:rPr>
                <w:rFonts w:hint="eastAsia" w:cs="宋体"/>
                <w:color w:val="auto"/>
                <w:szCs w:val="21"/>
                <w:highlight w:val="none"/>
                <w:lang w:val="en-US" w:eastAsia="zh-CN"/>
              </w:rPr>
              <w:t>具体有效</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w:t>
            </w:r>
            <w:r>
              <w:rPr>
                <w:rFonts w:hint="eastAsia" w:cs="宋体"/>
                <w:color w:val="auto"/>
                <w:szCs w:val="21"/>
                <w:highlight w:val="none"/>
                <w:lang w:val="en-US" w:eastAsia="zh-CN"/>
              </w:rPr>
              <w:t>存在细节</w:t>
            </w:r>
            <w:r>
              <w:rPr>
                <w:rFonts w:hint="eastAsia" w:cs="宋体"/>
                <w:color w:val="auto"/>
                <w:szCs w:val="21"/>
                <w:highlight w:val="none"/>
              </w:rPr>
              <w:t>部分欠缺，</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有缺项</w:t>
            </w:r>
            <w:r>
              <w:rPr>
                <w:rFonts w:hint="eastAsia" w:cs="宋体"/>
                <w:color w:val="auto"/>
                <w:szCs w:val="21"/>
                <w:highlight w:val="none"/>
              </w:rPr>
              <w:t>或缺少</w:t>
            </w:r>
            <w:r>
              <w:rPr>
                <w:rFonts w:hint="eastAsia" w:cs="宋体"/>
                <w:color w:val="auto"/>
                <w:szCs w:val="21"/>
                <w:highlight w:val="none"/>
                <w:lang w:val="en-US" w:eastAsia="zh-CN"/>
              </w:rPr>
              <w:t>有效防治手段</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34527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748" w:type="dxa"/>
            <w:vMerge w:val="continue"/>
            <w:noWrap w:val="0"/>
            <w:vAlign w:val="center"/>
          </w:tcPr>
          <w:p w14:paraId="1752136A">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6E116BB9">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2AD62370">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7、</w:t>
            </w:r>
            <w:r>
              <w:rPr>
                <w:rFonts w:hint="eastAsia" w:cs="宋体"/>
                <w:color w:val="auto"/>
                <w:szCs w:val="21"/>
                <w:highlight w:val="none"/>
              </w:rPr>
              <w:t>环保管理体系和措施（5分）</w:t>
            </w:r>
          </w:p>
          <w:p w14:paraId="0DEFE243">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评委对环保管理体系和措施进行综合评议并打分：</w:t>
            </w:r>
            <w:r>
              <w:rPr>
                <w:rFonts w:hint="eastAsia" w:cs="宋体"/>
                <w:color w:val="auto"/>
                <w:szCs w:val="21"/>
                <w:highlight w:val="none"/>
                <w:lang w:val="en-US" w:eastAsia="zh-CN"/>
              </w:rPr>
              <w:t>环保管理体系健全有效</w:t>
            </w:r>
            <w:r>
              <w:rPr>
                <w:rFonts w:hint="eastAsia" w:cs="宋体"/>
                <w:color w:val="auto"/>
                <w:szCs w:val="21"/>
                <w:highlight w:val="none"/>
              </w:rPr>
              <w:t>、措施</w:t>
            </w:r>
            <w:r>
              <w:rPr>
                <w:rFonts w:hint="eastAsia" w:cs="宋体"/>
                <w:color w:val="auto"/>
                <w:szCs w:val="21"/>
                <w:highlight w:val="none"/>
                <w:lang w:val="en-US" w:eastAsia="zh-CN"/>
              </w:rPr>
              <w:t>具体细致</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措施上有部分欠缺，</w:t>
            </w:r>
            <w:r>
              <w:rPr>
                <w:rFonts w:hint="eastAsia" w:cs="宋体"/>
                <w:color w:val="auto"/>
                <w:szCs w:val="21"/>
                <w:highlight w:val="none"/>
                <w:lang w:val="en-US" w:eastAsia="zh-CN"/>
              </w:rPr>
              <w:t>但尚不影响实施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w:t>
            </w:r>
            <w:r>
              <w:rPr>
                <w:rFonts w:hint="eastAsia" w:cs="宋体"/>
                <w:color w:val="auto"/>
                <w:szCs w:val="21"/>
                <w:highlight w:val="none"/>
                <w:lang w:val="en-US" w:eastAsia="zh-CN"/>
              </w:rPr>
              <w:t>有明显缺漏项</w:t>
            </w:r>
            <w:r>
              <w:rPr>
                <w:rFonts w:hint="eastAsia" w:cs="宋体"/>
                <w:color w:val="auto"/>
                <w:szCs w:val="21"/>
                <w:highlight w:val="none"/>
              </w:rPr>
              <w:t>，</w:t>
            </w:r>
            <w:r>
              <w:rPr>
                <w:rFonts w:hint="eastAsia" w:cs="宋体"/>
                <w:color w:val="auto"/>
                <w:szCs w:val="21"/>
                <w:highlight w:val="none"/>
                <w:lang w:val="en-US" w:eastAsia="zh-CN"/>
              </w:rPr>
              <w:t>或过于笼统</w:t>
            </w:r>
            <w:r>
              <w:rPr>
                <w:rFonts w:hint="eastAsia" w:cs="宋体"/>
                <w:color w:val="auto"/>
                <w:szCs w:val="21"/>
                <w:highlight w:val="none"/>
              </w:rPr>
              <w:t>无法保证项目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5310A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748" w:type="dxa"/>
            <w:vMerge w:val="continue"/>
            <w:noWrap w:val="0"/>
            <w:vAlign w:val="center"/>
          </w:tcPr>
          <w:p w14:paraId="6749806E">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3C58ED95">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项目团队（</w:t>
            </w:r>
            <w:r>
              <w:rPr>
                <w:rFonts w:hint="eastAsia"/>
                <w:color w:val="auto"/>
                <w:szCs w:val="21"/>
                <w:highlight w:val="none"/>
                <w:lang w:val="en-US" w:eastAsia="zh-CN"/>
              </w:rPr>
              <w:t>5</w:t>
            </w:r>
            <w:r>
              <w:rPr>
                <w:rFonts w:hint="eastAsia"/>
                <w:color w:val="auto"/>
                <w:szCs w:val="21"/>
                <w:highlight w:val="none"/>
              </w:rPr>
              <w:t>分）</w:t>
            </w:r>
          </w:p>
        </w:tc>
        <w:tc>
          <w:tcPr>
            <w:tcW w:w="7442" w:type="dxa"/>
            <w:noWrap w:val="0"/>
            <w:vAlign w:val="center"/>
          </w:tcPr>
          <w:p w14:paraId="511C86E3">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8、</w:t>
            </w:r>
            <w:r>
              <w:rPr>
                <w:rFonts w:hint="eastAsia" w:cs="宋体"/>
                <w:color w:val="auto"/>
                <w:szCs w:val="21"/>
                <w:highlight w:val="none"/>
              </w:rPr>
              <w:t>其他施工人员配备（</w:t>
            </w:r>
            <w:r>
              <w:rPr>
                <w:rFonts w:hint="eastAsia" w:cs="宋体"/>
                <w:color w:val="auto"/>
                <w:szCs w:val="21"/>
                <w:highlight w:val="none"/>
                <w:lang w:val="en-US" w:eastAsia="zh-CN"/>
              </w:rPr>
              <w:t>5</w:t>
            </w:r>
            <w:r>
              <w:rPr>
                <w:rFonts w:hint="eastAsia" w:cs="宋体"/>
                <w:color w:val="auto"/>
                <w:szCs w:val="21"/>
                <w:highlight w:val="none"/>
              </w:rPr>
              <w:t>分）</w:t>
            </w:r>
          </w:p>
          <w:p w14:paraId="5B557962">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rPr>
              <w:t>评委对其他施工人员配备进行综合评议并打分：人员配置</w:t>
            </w:r>
            <w:r>
              <w:rPr>
                <w:rFonts w:hint="eastAsia" w:cs="宋体"/>
                <w:color w:val="auto"/>
                <w:szCs w:val="21"/>
                <w:highlight w:val="none"/>
                <w:lang w:val="en-US" w:eastAsia="zh-CN"/>
              </w:rPr>
              <w:t>满足</w:t>
            </w:r>
            <w:r>
              <w:rPr>
                <w:rFonts w:hint="eastAsia" w:cs="宋体"/>
                <w:color w:val="auto"/>
                <w:szCs w:val="21"/>
                <w:highlight w:val="none"/>
              </w:rPr>
              <w:t>项目需求、人员经过</w:t>
            </w:r>
            <w:r>
              <w:rPr>
                <w:rFonts w:hint="eastAsia" w:cs="宋体"/>
                <w:color w:val="auto"/>
                <w:szCs w:val="21"/>
                <w:highlight w:val="none"/>
                <w:lang w:val="en-US" w:eastAsia="zh-CN"/>
              </w:rPr>
              <w:t>规范</w:t>
            </w:r>
            <w:r>
              <w:rPr>
                <w:rFonts w:hint="eastAsia" w:cs="宋体"/>
                <w:color w:val="auto"/>
                <w:szCs w:val="21"/>
                <w:highlight w:val="none"/>
              </w:rPr>
              <w:t>的上岗前培训</w:t>
            </w:r>
            <w:r>
              <w:rPr>
                <w:rFonts w:hint="eastAsia" w:cs="宋体"/>
                <w:color w:val="auto"/>
                <w:szCs w:val="21"/>
                <w:highlight w:val="none"/>
                <w:lang w:val="en-US" w:eastAsia="zh-CN"/>
              </w:rPr>
              <w:t>并考试合格</w:t>
            </w:r>
            <w:r>
              <w:rPr>
                <w:rFonts w:hint="eastAsia" w:cs="宋体"/>
                <w:color w:val="auto"/>
                <w:szCs w:val="21"/>
                <w:highlight w:val="none"/>
              </w:rPr>
              <w:t>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人员配置满足项目需求的、上岗培训不足的得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w:t>
            </w:r>
            <w:r>
              <w:rPr>
                <w:rFonts w:hint="eastAsia" w:cs="宋体"/>
                <w:color w:val="auto"/>
                <w:szCs w:val="21"/>
                <w:highlight w:val="none"/>
                <w:lang w:val="en-US" w:eastAsia="zh-CN"/>
              </w:rPr>
              <w:t>难以</w:t>
            </w:r>
            <w:r>
              <w:rPr>
                <w:rFonts w:hint="eastAsia" w:cs="宋体"/>
                <w:color w:val="auto"/>
                <w:szCs w:val="21"/>
                <w:highlight w:val="none"/>
              </w:rPr>
              <w:t>满足项目需求、或未经上岗前培训的得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36C643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48" w:type="dxa"/>
            <w:vMerge w:val="continue"/>
            <w:noWrap w:val="0"/>
            <w:vAlign w:val="center"/>
          </w:tcPr>
          <w:p w14:paraId="5D29F3A4">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6B2423F7">
            <w:pPr>
              <w:pageBreakBefore w:val="0"/>
              <w:kinsoku/>
              <w:wordWrap/>
              <w:overflowPunct/>
              <w:topLinePunct w:val="0"/>
              <w:bidi w:val="0"/>
              <w:spacing w:line="360" w:lineRule="auto"/>
              <w:rPr>
                <w:rFonts w:ascii="Calibri" w:hAnsi="Calibri" w:cs="Calibri"/>
                <w:color w:val="auto"/>
                <w:szCs w:val="21"/>
                <w:highlight w:val="none"/>
              </w:rPr>
            </w:pPr>
            <w:r>
              <w:rPr>
                <w:rFonts w:hint="eastAsia" w:ascii="Calibri" w:hAnsi="Calibri" w:cs="Calibri"/>
                <w:color w:val="auto"/>
                <w:szCs w:val="21"/>
                <w:highlight w:val="none"/>
              </w:rPr>
              <w:t>售后服务方案（</w:t>
            </w:r>
            <w:r>
              <w:rPr>
                <w:rFonts w:hint="eastAsia" w:ascii="Calibri" w:hAnsi="Calibri" w:cs="Calibri"/>
                <w:color w:val="auto"/>
                <w:szCs w:val="21"/>
                <w:highlight w:val="none"/>
                <w:lang w:val="en-US" w:eastAsia="zh-CN"/>
              </w:rPr>
              <w:t>5</w:t>
            </w:r>
            <w:r>
              <w:rPr>
                <w:rFonts w:hint="eastAsia" w:ascii="Calibri" w:hAnsi="Calibri" w:cs="Calibri"/>
                <w:color w:val="auto"/>
                <w:szCs w:val="21"/>
                <w:highlight w:val="none"/>
              </w:rPr>
              <w:t>分）</w:t>
            </w:r>
          </w:p>
        </w:tc>
        <w:tc>
          <w:tcPr>
            <w:tcW w:w="7442" w:type="dxa"/>
            <w:noWrap w:val="0"/>
            <w:vAlign w:val="center"/>
          </w:tcPr>
          <w:p w14:paraId="229260A7">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Calibri"/>
                <w:color w:val="auto"/>
                <w:szCs w:val="21"/>
                <w:highlight w:val="none"/>
                <w:lang w:val="en-US" w:eastAsia="zh-CN"/>
              </w:rPr>
              <w:t>9</w:t>
            </w:r>
            <w:r>
              <w:rPr>
                <w:rFonts w:hint="eastAsia" w:ascii="Calibri" w:hAnsi="Calibri" w:cs="Calibri"/>
                <w:color w:val="auto"/>
                <w:szCs w:val="21"/>
                <w:highlight w:val="none"/>
                <w:lang w:val="en-US" w:eastAsia="zh-CN"/>
              </w:rPr>
              <w:t>、</w:t>
            </w:r>
            <w:r>
              <w:rPr>
                <w:rFonts w:hint="eastAsia" w:ascii="Calibri" w:hAnsi="Calibri" w:cs="Calibri"/>
                <w:color w:val="auto"/>
                <w:szCs w:val="21"/>
                <w:highlight w:val="none"/>
              </w:rPr>
              <w:t>售后服务方案</w:t>
            </w:r>
            <w:r>
              <w:rPr>
                <w:rFonts w:hint="eastAsia" w:cs="宋体"/>
                <w:color w:val="auto"/>
                <w:szCs w:val="21"/>
                <w:highlight w:val="none"/>
              </w:rPr>
              <w:t>（</w:t>
            </w:r>
            <w:r>
              <w:rPr>
                <w:rFonts w:hint="eastAsia" w:cs="宋体"/>
                <w:color w:val="auto"/>
                <w:szCs w:val="21"/>
                <w:highlight w:val="none"/>
                <w:lang w:val="en-US" w:eastAsia="zh-CN"/>
              </w:rPr>
              <w:t>5</w:t>
            </w:r>
            <w:r>
              <w:rPr>
                <w:rFonts w:hint="eastAsia" w:cs="宋体"/>
                <w:color w:val="auto"/>
                <w:szCs w:val="21"/>
                <w:highlight w:val="none"/>
              </w:rPr>
              <w:t>分）</w:t>
            </w:r>
          </w:p>
          <w:p w14:paraId="3587BFFC">
            <w:pPr>
              <w:pageBreakBefore w:val="0"/>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评委对</w:t>
            </w:r>
            <w:r>
              <w:rPr>
                <w:rFonts w:hint="eastAsia" w:cs="宋体"/>
                <w:color w:val="auto"/>
                <w:szCs w:val="21"/>
                <w:highlight w:val="none"/>
              </w:rPr>
              <w:t>售后服务</w:t>
            </w:r>
            <w:r>
              <w:rPr>
                <w:rFonts w:hint="eastAsia" w:cs="宋体"/>
                <w:color w:val="auto"/>
                <w:szCs w:val="21"/>
                <w:highlight w:val="none"/>
                <w:lang w:val="en-US" w:eastAsia="zh-CN"/>
              </w:rPr>
              <w:t>方案进行综合评议并打分</w:t>
            </w:r>
            <w:r>
              <w:rPr>
                <w:rFonts w:hint="eastAsia" w:cs="宋体"/>
                <w:color w:val="auto"/>
                <w:szCs w:val="21"/>
                <w:highlight w:val="none"/>
              </w:rPr>
              <w:t>：</w:t>
            </w:r>
            <w:r>
              <w:rPr>
                <w:rFonts w:hint="eastAsia" w:cs="宋体"/>
                <w:color w:val="auto"/>
                <w:szCs w:val="21"/>
                <w:highlight w:val="none"/>
                <w:lang w:val="en-US" w:eastAsia="zh-CN"/>
              </w:rPr>
              <w:t>服务</w:t>
            </w:r>
            <w:r>
              <w:rPr>
                <w:rFonts w:hint="eastAsia" w:cs="宋体"/>
                <w:color w:val="auto"/>
                <w:szCs w:val="21"/>
                <w:highlight w:val="none"/>
              </w:rPr>
              <w:t>保障</w:t>
            </w:r>
            <w:r>
              <w:rPr>
                <w:rFonts w:hint="eastAsia" w:cs="宋体"/>
                <w:color w:val="auto"/>
                <w:szCs w:val="21"/>
                <w:highlight w:val="none"/>
                <w:lang w:val="en-US" w:eastAsia="zh-CN"/>
              </w:rPr>
              <w:t>体系完备、方</w:t>
            </w:r>
            <w:r>
              <w:rPr>
                <w:rFonts w:hint="eastAsia" w:cs="宋体"/>
                <w:color w:val="auto"/>
                <w:szCs w:val="21"/>
                <w:highlight w:val="none"/>
              </w:rPr>
              <w:t>案内容完全符合本项目需求得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有服务保障体系但部分</w:t>
            </w:r>
            <w:r>
              <w:rPr>
                <w:rFonts w:hint="eastAsia" w:cs="宋体"/>
                <w:color w:val="auto"/>
                <w:szCs w:val="21"/>
                <w:highlight w:val="none"/>
              </w:rPr>
              <w:t>内容有欠缺、但尚不影响履约得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val="en-US" w:eastAsia="zh-CN"/>
              </w:rPr>
              <w:t>没有服务保障体系或方案</w:t>
            </w:r>
            <w:r>
              <w:rPr>
                <w:rFonts w:hint="eastAsia" w:cs="宋体"/>
                <w:color w:val="auto"/>
                <w:szCs w:val="21"/>
                <w:highlight w:val="none"/>
              </w:rPr>
              <w:t>内容</w:t>
            </w:r>
            <w:r>
              <w:rPr>
                <w:rFonts w:hint="eastAsia" w:cs="宋体"/>
                <w:color w:val="auto"/>
                <w:szCs w:val="21"/>
                <w:highlight w:val="none"/>
                <w:lang w:val="en-US" w:eastAsia="zh-CN"/>
              </w:rPr>
              <w:t>存在明显缺漏项</w:t>
            </w:r>
            <w:r>
              <w:rPr>
                <w:rFonts w:hint="eastAsia" w:cs="宋体"/>
                <w:color w:val="auto"/>
                <w:szCs w:val="21"/>
                <w:highlight w:val="none"/>
              </w:rPr>
              <w:t>、不</w:t>
            </w:r>
            <w:r>
              <w:rPr>
                <w:rFonts w:hint="eastAsia" w:cs="宋体"/>
                <w:color w:val="auto"/>
                <w:szCs w:val="21"/>
                <w:highlight w:val="none"/>
                <w:lang w:val="en-US" w:eastAsia="zh-CN"/>
              </w:rPr>
              <w:t>符合规范的</w:t>
            </w:r>
            <w:r>
              <w:rPr>
                <w:rFonts w:hint="eastAsia" w:cs="宋体"/>
                <w:color w:val="auto"/>
                <w:szCs w:val="21"/>
                <w:highlight w:val="none"/>
              </w:rPr>
              <w:t>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58F5F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48" w:type="dxa"/>
            <w:vMerge w:val="continue"/>
            <w:noWrap w:val="0"/>
            <w:vAlign w:val="center"/>
          </w:tcPr>
          <w:p w14:paraId="72292C03">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225D01F1">
            <w:pPr>
              <w:pageBreakBefore w:val="0"/>
              <w:tabs>
                <w:tab w:val="left" w:pos="4915"/>
              </w:tabs>
              <w:kinsoku/>
              <w:wordWrap/>
              <w:overflowPunct/>
              <w:topLinePunct w:val="0"/>
              <w:bidi w:val="0"/>
              <w:spacing w:line="360" w:lineRule="auto"/>
              <w:rPr>
                <w:rFonts w:hint="eastAsia" w:ascii="Calibri" w:hAnsi="Calibri" w:cs="Calibri"/>
                <w:color w:val="auto"/>
                <w:szCs w:val="21"/>
                <w:highlight w:val="none"/>
              </w:rPr>
            </w:pPr>
            <w:r>
              <w:rPr>
                <w:rFonts w:hint="eastAsia" w:ascii="Calibri" w:hAnsi="Calibri" w:cs="Calibri"/>
                <w:color w:val="auto"/>
                <w:szCs w:val="21"/>
                <w:highlight w:val="none"/>
              </w:rPr>
              <w:t>突发性事件应急预案</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5分</w:t>
            </w:r>
            <w:r>
              <w:rPr>
                <w:rFonts w:hint="eastAsia" w:ascii="Calibri" w:hAnsi="Calibri" w:cs="Calibri"/>
                <w:color w:val="auto"/>
                <w:szCs w:val="21"/>
                <w:highlight w:val="none"/>
                <w:lang w:eastAsia="zh-CN"/>
              </w:rPr>
              <w:t>）</w:t>
            </w:r>
          </w:p>
        </w:tc>
        <w:tc>
          <w:tcPr>
            <w:tcW w:w="7442" w:type="dxa"/>
            <w:noWrap w:val="0"/>
            <w:vAlign w:val="center"/>
          </w:tcPr>
          <w:p w14:paraId="17B5E52F">
            <w:pPr>
              <w:pageBreakBefore w:val="0"/>
              <w:kinsoku/>
              <w:wordWrap/>
              <w:overflowPunct/>
              <w:topLinePunct w:val="0"/>
              <w:bidi w:val="0"/>
              <w:spacing w:line="360" w:lineRule="auto"/>
              <w:rPr>
                <w:color w:val="auto"/>
                <w:szCs w:val="21"/>
                <w:highlight w:val="none"/>
              </w:rPr>
            </w:pPr>
            <w:r>
              <w:rPr>
                <w:rFonts w:hint="eastAsia" w:cs="宋体"/>
                <w:color w:val="auto"/>
                <w:szCs w:val="21"/>
                <w:highlight w:val="none"/>
                <w:lang w:val="en-US" w:eastAsia="zh-CN"/>
              </w:rPr>
              <w:t>10、</w:t>
            </w:r>
            <w:r>
              <w:rPr>
                <w:rFonts w:hint="eastAsia" w:cs="宋体"/>
                <w:color w:val="auto"/>
                <w:szCs w:val="21"/>
                <w:highlight w:val="none"/>
              </w:rPr>
              <w:t>评委对突发性事件应急预案进行综合评议并打分</w:t>
            </w:r>
            <w:r>
              <w:rPr>
                <w:rFonts w:hint="eastAsia" w:cs="宋体"/>
                <w:color w:val="auto"/>
                <w:szCs w:val="21"/>
                <w:highlight w:val="none"/>
                <w:lang w:eastAsia="zh-CN"/>
              </w:rPr>
              <w:t>：</w:t>
            </w:r>
            <w:r>
              <w:rPr>
                <w:rFonts w:hint="eastAsia" w:cs="宋体"/>
                <w:color w:val="auto"/>
                <w:szCs w:val="21"/>
                <w:highlight w:val="none"/>
              </w:rPr>
              <w:t>应急预案内容完全符合本项目需求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应急</w:t>
            </w:r>
            <w:r>
              <w:rPr>
                <w:rFonts w:hint="eastAsia" w:cs="宋体"/>
                <w:color w:val="auto"/>
                <w:szCs w:val="21"/>
                <w:highlight w:val="none"/>
              </w:rPr>
              <w:t>保障</w:t>
            </w:r>
            <w:r>
              <w:rPr>
                <w:rFonts w:hint="eastAsia" w:cs="宋体"/>
                <w:color w:val="auto"/>
                <w:szCs w:val="21"/>
                <w:highlight w:val="none"/>
                <w:lang w:val="en-US" w:eastAsia="zh-CN"/>
              </w:rPr>
              <w:t>体系完备得5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w:t>
            </w:r>
            <w:r>
              <w:rPr>
                <w:rFonts w:hint="eastAsia" w:cs="宋体"/>
                <w:color w:val="auto"/>
                <w:szCs w:val="21"/>
                <w:highlight w:val="none"/>
              </w:rPr>
              <w:t>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预案不全</w:t>
            </w:r>
            <w:r>
              <w:rPr>
                <w:rFonts w:hint="eastAsia" w:cs="宋体"/>
                <w:color w:val="auto"/>
                <w:szCs w:val="21"/>
                <w:highlight w:val="none"/>
              </w:rPr>
              <w:t>或</w:t>
            </w:r>
            <w:r>
              <w:rPr>
                <w:rFonts w:hint="eastAsia" w:cs="宋体"/>
                <w:color w:val="auto"/>
                <w:szCs w:val="21"/>
                <w:highlight w:val="none"/>
                <w:lang w:val="en-US" w:eastAsia="zh-CN"/>
              </w:rPr>
              <w:t>过于笼统</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2E989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8" w:type="dxa"/>
            <w:vMerge w:val="continue"/>
            <w:noWrap w:val="0"/>
            <w:vAlign w:val="center"/>
          </w:tcPr>
          <w:p w14:paraId="48AE074A">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7410F24E">
            <w:pPr>
              <w:pageBreakBefore w:val="0"/>
              <w:kinsoku/>
              <w:wordWrap/>
              <w:overflowPunct/>
              <w:topLinePunct w:val="0"/>
              <w:bidi w:val="0"/>
              <w:spacing w:line="360" w:lineRule="auto"/>
              <w:jc w:val="center"/>
              <w:rPr>
                <w:rFonts w:hint="eastAsia" w:cs="宋体"/>
                <w:color w:val="auto"/>
                <w:szCs w:val="21"/>
                <w:highlight w:val="none"/>
              </w:rPr>
            </w:pPr>
            <w:r>
              <w:rPr>
                <w:color w:val="auto"/>
                <w:szCs w:val="21"/>
                <w:highlight w:val="none"/>
              </w:rPr>
              <w:t>合理化建议（</w:t>
            </w:r>
            <w:r>
              <w:rPr>
                <w:rFonts w:hint="eastAsia"/>
                <w:color w:val="auto"/>
                <w:szCs w:val="21"/>
                <w:highlight w:val="none"/>
                <w:lang w:val="en-US" w:eastAsia="zh-CN"/>
              </w:rPr>
              <w:t>1</w:t>
            </w:r>
            <w:r>
              <w:rPr>
                <w:color w:val="auto"/>
                <w:szCs w:val="21"/>
                <w:highlight w:val="none"/>
              </w:rPr>
              <w:t>分）</w:t>
            </w:r>
          </w:p>
        </w:tc>
        <w:tc>
          <w:tcPr>
            <w:tcW w:w="7442" w:type="dxa"/>
            <w:noWrap w:val="0"/>
            <w:vAlign w:val="center"/>
          </w:tcPr>
          <w:p w14:paraId="6D856C7E">
            <w:pPr>
              <w:pageBreakBefore w:val="0"/>
              <w:kinsoku/>
              <w:wordWrap/>
              <w:overflowPunct/>
              <w:topLinePunct w:val="0"/>
              <w:bidi w:val="0"/>
              <w:spacing w:line="360" w:lineRule="auto"/>
              <w:rPr>
                <w:color w:val="auto"/>
                <w:szCs w:val="21"/>
                <w:highlight w:val="none"/>
              </w:rPr>
            </w:pPr>
            <w:r>
              <w:rPr>
                <w:rFonts w:hint="eastAsia"/>
                <w:color w:val="auto"/>
                <w:szCs w:val="21"/>
                <w:highlight w:val="none"/>
                <w:lang w:val="en-US" w:eastAsia="zh-CN"/>
              </w:rPr>
              <w:t>11、</w:t>
            </w:r>
            <w:r>
              <w:rPr>
                <w:color w:val="auto"/>
                <w:szCs w:val="21"/>
                <w:highlight w:val="none"/>
              </w:rPr>
              <w:t>根据</w:t>
            </w:r>
            <w:r>
              <w:rPr>
                <w:rFonts w:hint="eastAsia"/>
                <w:color w:val="auto"/>
                <w:szCs w:val="21"/>
                <w:highlight w:val="none"/>
              </w:rPr>
              <w:t>供应商</w:t>
            </w:r>
            <w:r>
              <w:rPr>
                <w:color w:val="auto"/>
                <w:szCs w:val="21"/>
                <w:highlight w:val="none"/>
              </w:rPr>
              <w:t>提出的针对本项目的合理化建议与承诺进行评议（</w:t>
            </w:r>
            <w:r>
              <w:rPr>
                <w:rFonts w:hint="eastAsia"/>
                <w:color w:val="auto"/>
                <w:szCs w:val="21"/>
                <w:highlight w:val="none"/>
                <w:lang w:val="en-US" w:eastAsia="zh-CN"/>
              </w:rPr>
              <w:t>1</w:t>
            </w:r>
            <w:r>
              <w:rPr>
                <w:color w:val="auto"/>
                <w:szCs w:val="21"/>
                <w:highlight w:val="none"/>
              </w:rPr>
              <w:t>分）</w:t>
            </w:r>
          </w:p>
          <w:p w14:paraId="18A81B24">
            <w:pPr>
              <w:pageBreakBefore w:val="0"/>
              <w:kinsoku/>
              <w:wordWrap/>
              <w:overflowPunct/>
              <w:topLinePunct w:val="0"/>
              <w:bidi w:val="0"/>
              <w:spacing w:line="360" w:lineRule="auto"/>
              <w:rPr>
                <w:rFonts w:hint="eastAsia" w:cs="宋体"/>
                <w:color w:val="auto"/>
                <w:szCs w:val="21"/>
                <w:highlight w:val="none"/>
              </w:rPr>
            </w:pPr>
            <w:r>
              <w:rPr>
                <w:color w:val="auto"/>
                <w:szCs w:val="21"/>
                <w:highlight w:val="none"/>
              </w:rPr>
              <w:t>提出的建议与承诺具有实际意义</w:t>
            </w:r>
            <w:r>
              <w:rPr>
                <w:rFonts w:hint="eastAsia"/>
                <w:color w:val="auto"/>
                <w:szCs w:val="21"/>
                <w:highlight w:val="none"/>
              </w:rPr>
              <w:t>并得到采纳</w:t>
            </w:r>
            <w:r>
              <w:rPr>
                <w:color w:val="auto"/>
                <w:szCs w:val="21"/>
                <w:highlight w:val="none"/>
              </w:rPr>
              <w:t>，每项得</w:t>
            </w:r>
            <w:r>
              <w:rPr>
                <w:rFonts w:hint="eastAsia"/>
                <w:color w:val="auto"/>
                <w:szCs w:val="21"/>
                <w:highlight w:val="none"/>
                <w:lang w:val="en-US" w:eastAsia="zh-CN"/>
              </w:rPr>
              <w:t>0.5分</w:t>
            </w:r>
            <w:r>
              <w:rPr>
                <w:color w:val="auto"/>
                <w:szCs w:val="21"/>
                <w:highlight w:val="none"/>
              </w:rPr>
              <w:t>，最高得</w:t>
            </w:r>
            <w:r>
              <w:rPr>
                <w:rFonts w:hint="eastAsia"/>
                <w:color w:val="auto"/>
                <w:szCs w:val="21"/>
                <w:highlight w:val="none"/>
                <w:lang w:val="en-US" w:eastAsia="zh-CN"/>
              </w:rPr>
              <w:t>1</w:t>
            </w:r>
            <w:r>
              <w:rPr>
                <w:color w:val="auto"/>
                <w:szCs w:val="21"/>
                <w:highlight w:val="none"/>
              </w:rPr>
              <w:t>分。与本项目</w:t>
            </w:r>
            <w:r>
              <w:rPr>
                <w:rFonts w:hint="eastAsia"/>
                <w:color w:val="auto"/>
                <w:szCs w:val="21"/>
                <w:highlight w:val="none"/>
                <w:lang w:val="en-US" w:eastAsia="zh-CN"/>
              </w:rPr>
              <w:t>履约</w:t>
            </w:r>
            <w:r>
              <w:rPr>
                <w:color w:val="auto"/>
                <w:szCs w:val="21"/>
                <w:highlight w:val="none"/>
              </w:rPr>
              <w:t>无关的建议</w:t>
            </w:r>
            <w:r>
              <w:rPr>
                <w:rFonts w:hint="eastAsia"/>
                <w:color w:val="auto"/>
                <w:szCs w:val="21"/>
                <w:highlight w:val="none"/>
                <w:lang w:val="en-US" w:eastAsia="zh-CN"/>
              </w:rPr>
              <w:t>与承诺</w:t>
            </w:r>
            <w:r>
              <w:rPr>
                <w:color w:val="auto"/>
                <w:szCs w:val="21"/>
                <w:highlight w:val="none"/>
              </w:rPr>
              <w:t>不予认可。</w:t>
            </w:r>
          </w:p>
        </w:tc>
      </w:tr>
      <w:tr w14:paraId="64647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748" w:type="dxa"/>
            <w:vMerge w:val="continue"/>
            <w:noWrap w:val="0"/>
            <w:vAlign w:val="center"/>
          </w:tcPr>
          <w:p w14:paraId="25933148">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3C8A8E96">
            <w:pPr>
              <w:pageBreakBefore w:val="0"/>
              <w:kinsoku/>
              <w:wordWrap/>
              <w:overflowPunct/>
              <w:topLinePunct w:val="0"/>
              <w:bidi w:val="0"/>
              <w:spacing w:line="360" w:lineRule="auto"/>
              <w:rPr>
                <w:rFonts w:hint="eastAsia" w:eastAsia="宋体" w:cs="Times New Roman"/>
                <w:color w:val="auto"/>
                <w:szCs w:val="21"/>
                <w:highlight w:val="none"/>
                <w:lang w:val="en-US" w:eastAsia="zh-CN"/>
              </w:rPr>
            </w:pPr>
            <w:r>
              <w:rPr>
                <w:rFonts w:hint="eastAsia" w:eastAsia="宋体" w:cs="Times New Roman"/>
                <w:color w:val="auto"/>
                <w:szCs w:val="21"/>
                <w:highlight w:val="none"/>
                <w:lang w:val="en-US" w:eastAsia="zh-CN"/>
              </w:rPr>
              <w:t>业绩（3分）</w:t>
            </w:r>
          </w:p>
        </w:tc>
        <w:tc>
          <w:tcPr>
            <w:tcW w:w="7442" w:type="dxa"/>
            <w:noWrap w:val="0"/>
            <w:vAlign w:val="center"/>
          </w:tcPr>
          <w:p w14:paraId="515975DC">
            <w:pPr>
              <w:pageBreakBefore w:val="0"/>
              <w:kinsoku/>
              <w:wordWrap/>
              <w:overflowPunct/>
              <w:topLinePunct w:val="0"/>
              <w:bidi w:val="0"/>
              <w:spacing w:line="360" w:lineRule="auto"/>
              <w:rPr>
                <w:rFonts w:hint="default" w:eastAsia="宋体" w:cs="Times New Roman"/>
                <w:color w:val="auto"/>
                <w:szCs w:val="21"/>
                <w:highlight w:val="none"/>
                <w:lang w:val="en-US" w:eastAsia="zh-CN"/>
              </w:rPr>
            </w:pPr>
            <w:r>
              <w:rPr>
                <w:rFonts w:hint="eastAsia" w:eastAsia="宋体" w:cs="Times New Roman"/>
                <w:color w:val="auto"/>
                <w:szCs w:val="21"/>
                <w:highlight w:val="none"/>
              </w:rPr>
              <w:t>12、供应商自2021年1月1日以来承担过同类（合同内容中需同时体现电力排管及综合通信管道施工内容）工程项目的，每提供一个项目业绩合同得1分，最高得3分。（注：需同时提供中标（成交）通知（确认）书和施工合同复印件，未提供或提供不全均不得分。）</w:t>
            </w:r>
          </w:p>
        </w:tc>
      </w:tr>
      <w:tr w14:paraId="4F602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48" w:type="dxa"/>
            <w:vMerge w:val="continue"/>
            <w:noWrap w:val="0"/>
            <w:vAlign w:val="center"/>
          </w:tcPr>
          <w:p w14:paraId="50A40222">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369E0121">
            <w:pPr>
              <w:pageBreakBefore w:val="0"/>
              <w:kinsoku/>
              <w:wordWrap/>
              <w:overflowPunct/>
              <w:topLinePunct w:val="0"/>
              <w:bidi w:val="0"/>
              <w:spacing w:line="360" w:lineRule="auto"/>
              <w:jc w:val="center"/>
              <w:rPr>
                <w:color w:val="auto"/>
                <w:szCs w:val="21"/>
                <w:highlight w:val="none"/>
              </w:rPr>
            </w:pPr>
            <w:r>
              <w:rPr>
                <w:rFonts w:hint="eastAsia" w:hAnsi="宋体" w:cs="Calibri"/>
                <w:color w:val="auto"/>
                <w:szCs w:val="21"/>
                <w:highlight w:val="none"/>
              </w:rPr>
              <w:t>政策性加分（1分）</w:t>
            </w:r>
          </w:p>
        </w:tc>
        <w:tc>
          <w:tcPr>
            <w:tcW w:w="7442" w:type="dxa"/>
            <w:noWrap w:val="0"/>
            <w:vAlign w:val="center"/>
          </w:tcPr>
          <w:p w14:paraId="70548165">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color w:val="auto"/>
                <w:szCs w:val="21"/>
                <w:highlight w:val="none"/>
                <w:lang w:val="en-US" w:eastAsia="zh-CN"/>
              </w:rPr>
              <w:t>13、</w:t>
            </w:r>
            <w:r>
              <w:rPr>
                <w:rFonts w:hint="eastAsia" w:ascii="Times New Roman" w:hAnsi="Times New Roman" w:eastAsia="宋体" w:cs="Times New Roman"/>
                <w:color w:val="auto"/>
                <w:szCs w:val="21"/>
                <w:highlight w:val="none"/>
              </w:rPr>
              <w:t>供应商是国家认定的少数民族地区企业的加</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分。</w:t>
            </w:r>
          </w:p>
          <w:p w14:paraId="75CB48F6">
            <w:pPr>
              <w:pageBreakBefore w:val="0"/>
              <w:kinsoku/>
              <w:wordWrap/>
              <w:overflowPunct/>
              <w:topLinePunct w:val="0"/>
              <w:bidi w:val="0"/>
              <w:spacing w:line="360" w:lineRule="auto"/>
              <w:rPr>
                <w:rFonts w:hint="eastAsia" w:eastAsia="宋体"/>
                <w:color w:val="auto"/>
                <w:szCs w:val="21"/>
                <w:highlight w:val="none"/>
                <w:lang w:eastAsia="zh-CN"/>
              </w:rPr>
            </w:pPr>
            <w:r>
              <w:rPr>
                <w:rFonts w:hint="eastAsia" w:ascii="Times New Roman" w:hAnsi="Times New Roman" w:eastAsia="宋体" w:cs="Times New Roman"/>
                <w:color w:val="auto"/>
                <w:szCs w:val="21"/>
                <w:highlight w:val="none"/>
              </w:rPr>
              <w:t>提供证明文件复印件并加盖公章。</w:t>
            </w:r>
          </w:p>
        </w:tc>
      </w:tr>
      <w:tr w14:paraId="23BA5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748" w:type="dxa"/>
            <w:noWrap w:val="0"/>
            <w:vAlign w:val="center"/>
          </w:tcPr>
          <w:p w14:paraId="49648BD5">
            <w:pPr>
              <w:pageBreakBefore w:val="0"/>
              <w:widowControl/>
              <w:kinsoku/>
              <w:wordWrap/>
              <w:overflowPunct/>
              <w:topLinePunct w:val="0"/>
              <w:bidi w:val="0"/>
              <w:spacing w:line="360" w:lineRule="auto"/>
              <w:jc w:val="left"/>
              <w:rPr>
                <w:color w:val="auto"/>
                <w:szCs w:val="21"/>
                <w:highlight w:val="none"/>
              </w:rPr>
            </w:pPr>
            <w:r>
              <w:rPr>
                <w:color w:val="auto"/>
                <w:szCs w:val="21"/>
                <w:highlight w:val="none"/>
              </w:rPr>
              <w:t>价格</w:t>
            </w:r>
            <w:r>
              <w:rPr>
                <w:rFonts w:hint="eastAsia"/>
                <w:color w:val="auto"/>
                <w:szCs w:val="21"/>
                <w:highlight w:val="none"/>
              </w:rPr>
              <w:t>部分</w:t>
            </w:r>
            <w:r>
              <w:rPr>
                <w:rFonts w:hint="eastAsia"/>
                <w:color w:val="auto"/>
                <w:szCs w:val="21"/>
                <w:highlight w:val="none"/>
                <w:lang w:val="en-US" w:eastAsia="zh-CN"/>
              </w:rPr>
              <w:t>35</w:t>
            </w:r>
            <w:r>
              <w:rPr>
                <w:color w:val="auto"/>
                <w:szCs w:val="21"/>
                <w:highlight w:val="none"/>
              </w:rPr>
              <w:t>分</w:t>
            </w:r>
          </w:p>
        </w:tc>
        <w:tc>
          <w:tcPr>
            <w:tcW w:w="1195" w:type="dxa"/>
            <w:noWrap w:val="0"/>
            <w:vAlign w:val="center"/>
          </w:tcPr>
          <w:p w14:paraId="74BE7A0B">
            <w:pPr>
              <w:pageBreakBefore w:val="0"/>
              <w:kinsoku/>
              <w:wordWrap/>
              <w:overflowPunct/>
              <w:topLinePunct w:val="0"/>
              <w:bidi w:val="0"/>
              <w:spacing w:line="360" w:lineRule="auto"/>
              <w:jc w:val="center"/>
              <w:rPr>
                <w:color w:val="auto"/>
                <w:szCs w:val="21"/>
                <w:highlight w:val="none"/>
              </w:rPr>
            </w:pPr>
            <w:r>
              <w:rPr>
                <w:color w:val="auto"/>
                <w:szCs w:val="21"/>
                <w:highlight w:val="none"/>
              </w:rPr>
              <w:t>投标报价（</w:t>
            </w:r>
            <w:r>
              <w:rPr>
                <w:rFonts w:hint="eastAsia"/>
                <w:color w:val="auto"/>
                <w:szCs w:val="21"/>
                <w:highlight w:val="none"/>
                <w:lang w:val="en-US" w:eastAsia="zh-CN"/>
              </w:rPr>
              <w:t>35</w:t>
            </w:r>
            <w:r>
              <w:rPr>
                <w:color w:val="auto"/>
                <w:szCs w:val="21"/>
                <w:highlight w:val="none"/>
              </w:rPr>
              <w:t>分）</w:t>
            </w:r>
          </w:p>
        </w:tc>
        <w:tc>
          <w:tcPr>
            <w:tcW w:w="7442" w:type="dxa"/>
            <w:noWrap w:val="0"/>
            <w:vAlign w:val="center"/>
          </w:tcPr>
          <w:p w14:paraId="01BADDC9">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满足磋商文件要求且最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最低的价格为磋商基准价，其价格分为满分。其他供应商的价格分统一按照下列公式计算：</w:t>
            </w:r>
          </w:p>
          <w:p w14:paraId="213F2F06">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磋商报价得分=（磋商基准价/</w:t>
            </w:r>
            <w:r>
              <w:rPr>
                <w:rFonts w:hint="eastAsia" w:ascii="Times New Roman" w:hAnsi="Times New Roman" w:cs="Times New Roman"/>
                <w:color w:val="auto"/>
                <w:szCs w:val="21"/>
                <w:highlight w:val="none"/>
                <w:lang w:val="en-US" w:eastAsia="zh-CN"/>
              </w:rPr>
              <w:t>参与评审的</w:t>
            </w:r>
            <w:r>
              <w:rPr>
                <w:rFonts w:hint="eastAsia" w:ascii="Times New Roman" w:hAnsi="Times New Roman" w:eastAsia="宋体" w:cs="Times New Roman"/>
                <w:color w:val="auto"/>
                <w:szCs w:val="21"/>
                <w:highlight w:val="none"/>
              </w:rPr>
              <w:t>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 xml:space="preserve">）×价格权值×100 </w:t>
            </w:r>
          </w:p>
          <w:p w14:paraId="68339CA1">
            <w:pPr>
              <w:pStyle w:val="35"/>
              <w:ind w:left="0" w:leftChars="0" w:firstLine="0" w:firstLineChars="0"/>
              <w:rPr>
                <w:rFonts w:hint="eastAsia" w:eastAsia="宋体"/>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参与评审的最终综合折扣=投标报价×（1-小微企业价格扣除优惠值）</w:t>
            </w:r>
          </w:p>
        </w:tc>
      </w:tr>
    </w:tbl>
    <w:p w14:paraId="59CAE7F9">
      <w:pPr>
        <w:widowControl/>
        <w:jc w:val="left"/>
        <w:rPr>
          <w:rFonts w:asciiTheme="minorEastAsia" w:hAnsiTheme="minorEastAsia" w:eastAsiaTheme="minorEastAsia" w:cstheme="minorEastAsia"/>
          <w:color w:val="auto"/>
          <w:sz w:val="28"/>
          <w:highlight w:val="none"/>
        </w:rPr>
      </w:pPr>
    </w:p>
    <w:p w14:paraId="63B5EBBF">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b/>
          <w:color w:val="auto"/>
          <w:sz w:val="21"/>
          <w:szCs w:val="21"/>
          <w:highlight w:val="none"/>
        </w:rPr>
        <w:t>备注：</w:t>
      </w:r>
      <w:r>
        <w:rPr>
          <w:rFonts w:hint="eastAsia" w:asciiTheme="minorEastAsia" w:hAnsiTheme="minorEastAsia" w:eastAsiaTheme="minorEastAsia" w:cstheme="minorEastAsia"/>
          <w:color w:val="auto"/>
          <w:kern w:val="0"/>
          <w:sz w:val="21"/>
          <w:szCs w:val="21"/>
          <w:highlight w:val="none"/>
          <w:lang w:val="zh-CN"/>
        </w:rPr>
        <w:t>供应商编制响应文件（商务技术文件部分）时，建议按此目录（序号和内容）提供评标标准相应的商务技术资料。</w:t>
      </w:r>
    </w:p>
    <w:p w14:paraId="47D23BB5">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一、评审方法</w:t>
      </w:r>
    </w:p>
    <w:bookmarkEnd w:id="13"/>
    <w:p w14:paraId="4374C5FE">
      <w:pPr>
        <w:adjustRightInd/>
        <w:spacing w:line="360" w:lineRule="auto"/>
        <w:ind w:firstLine="413" w:firstLineChars="196"/>
        <w:rPr>
          <w:rFonts w:hint="eastAsia" w:asciiTheme="minorEastAsia" w:hAnsiTheme="minorEastAsia" w:eastAsiaTheme="minorEastAsia" w:cstheme="minorEastAsia"/>
          <w:color w:val="auto"/>
          <w:kern w:val="0"/>
          <w:sz w:val="21"/>
          <w:szCs w:val="21"/>
          <w:highlight w:val="none"/>
        </w:rPr>
      </w:pPr>
      <w:bookmarkStart w:id="393" w:name="第五部分"/>
      <w:bookmarkStart w:id="394" w:name="_Toc86217003"/>
      <w:r>
        <w:rPr>
          <w:rFonts w:hint="eastAsia" w:asciiTheme="minorEastAsia" w:hAnsiTheme="minorEastAsia" w:eastAsiaTheme="minorEastAsia" w:cstheme="minorEastAsia"/>
          <w:b/>
          <w:color w:val="auto"/>
          <w:kern w:val="0"/>
          <w:sz w:val="21"/>
          <w:szCs w:val="21"/>
          <w:highlight w:val="none"/>
        </w:rPr>
        <w:t>1.本项目采用综合评分法。</w:t>
      </w:r>
      <w:r>
        <w:rPr>
          <w:rFonts w:hint="eastAsia" w:asciiTheme="minorEastAsia" w:hAnsiTheme="minorEastAsia" w:eastAsiaTheme="minorEastAsia" w:cstheme="minorEastAsia"/>
          <w:color w:val="auto"/>
          <w:kern w:val="0"/>
          <w:sz w:val="21"/>
          <w:szCs w:val="21"/>
          <w:highlight w:val="none"/>
        </w:rPr>
        <w:t>综合评分法，是指</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为</w:t>
      </w:r>
      <w:r>
        <w:rPr>
          <w:rFonts w:hint="eastAsia" w:asciiTheme="minorEastAsia" w:hAnsiTheme="minorEastAsia" w:eastAsiaTheme="minorEastAsia" w:cstheme="minorEastAsia"/>
          <w:color w:val="auto"/>
          <w:kern w:val="0"/>
          <w:sz w:val="21"/>
          <w:szCs w:val="21"/>
          <w:highlight w:val="none"/>
          <w:lang w:eastAsia="zh-CN"/>
        </w:rPr>
        <w:t>成交候选供应商</w:t>
      </w:r>
      <w:r>
        <w:rPr>
          <w:rFonts w:hint="eastAsia" w:asciiTheme="minorEastAsia" w:hAnsiTheme="minorEastAsia" w:eastAsiaTheme="minorEastAsia" w:cstheme="minorEastAsia"/>
          <w:color w:val="auto"/>
          <w:kern w:val="0"/>
          <w:sz w:val="21"/>
          <w:szCs w:val="21"/>
          <w:highlight w:val="none"/>
        </w:rPr>
        <w:t>的评标方法。</w:t>
      </w:r>
    </w:p>
    <w:p w14:paraId="240DA3B3">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二、评标标准</w:t>
      </w:r>
    </w:p>
    <w:p w14:paraId="554A70CD">
      <w:pPr>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评标标准：</w:t>
      </w:r>
      <w:r>
        <w:rPr>
          <w:rFonts w:hint="eastAsia" w:asciiTheme="minorEastAsia" w:hAnsiTheme="minorEastAsia" w:eastAsiaTheme="minorEastAsia" w:cstheme="minorEastAsia"/>
          <w:color w:val="auto"/>
          <w:kern w:val="0"/>
          <w:sz w:val="21"/>
          <w:szCs w:val="21"/>
          <w:highlight w:val="none"/>
        </w:rPr>
        <w:t>见评标办法前附表。</w:t>
      </w:r>
    </w:p>
    <w:p w14:paraId="4D1CDD99">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三、评标程序</w:t>
      </w:r>
    </w:p>
    <w:p w14:paraId="66D59D56">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default"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3.1资格审查。</w:t>
      </w:r>
      <w:r>
        <w:rPr>
          <w:rFonts w:hint="eastAsia" w:asciiTheme="minorEastAsia" w:hAnsiTheme="minorEastAsia" w:eastAsiaTheme="minorEastAsia" w:cstheme="minorEastAsia"/>
          <w:b w:val="0"/>
          <w:bCs/>
          <w:color w:val="auto"/>
          <w:kern w:val="0"/>
          <w:sz w:val="21"/>
          <w:szCs w:val="21"/>
          <w:highlight w:val="none"/>
          <w:lang w:val="en-US" w:eastAsia="zh-CN"/>
        </w:rPr>
        <w:t>采购代理机构应当对</w:t>
      </w:r>
      <w:r>
        <w:rPr>
          <w:rFonts w:hint="eastAsia" w:asciiTheme="minorEastAsia" w:hAnsiTheme="minorEastAsia" w:eastAsiaTheme="minorEastAsia" w:cstheme="minorEastAsia"/>
          <w:b w:val="0"/>
          <w:bCs/>
          <w:color w:val="auto"/>
          <w:kern w:val="0"/>
          <w:sz w:val="21"/>
          <w:szCs w:val="21"/>
          <w:highlight w:val="none"/>
          <w:lang w:val="zh-CN" w:eastAsia="zh-CN"/>
        </w:rPr>
        <w:t>供应商</w:t>
      </w:r>
      <w:r>
        <w:rPr>
          <w:rFonts w:hint="eastAsia" w:asciiTheme="minorEastAsia" w:hAnsiTheme="minorEastAsia" w:eastAsiaTheme="minorEastAsia" w:cstheme="minorEastAsia"/>
          <w:b w:val="0"/>
          <w:bCs/>
          <w:color w:val="auto"/>
          <w:kern w:val="0"/>
          <w:sz w:val="21"/>
          <w:szCs w:val="21"/>
          <w:highlight w:val="none"/>
          <w:lang w:val="en-US" w:eastAsia="zh-CN"/>
        </w:rPr>
        <w:t>的资格响应文件进行审查，以确定其是否满足竞争性磋商文件的实质性要求。不满足竞争性磋商文件的实质性要求的，响应无效。</w:t>
      </w:r>
    </w:p>
    <w:p w14:paraId="66761740">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2</w:t>
      </w:r>
      <w:r>
        <w:rPr>
          <w:rFonts w:hint="eastAsia" w:asciiTheme="minorEastAsia" w:hAnsiTheme="minorEastAsia" w:eastAsiaTheme="minorEastAsia" w:cstheme="minorEastAsia"/>
          <w:b/>
          <w:color w:val="auto"/>
          <w:kern w:val="0"/>
          <w:sz w:val="21"/>
          <w:szCs w:val="21"/>
          <w:highlight w:val="none"/>
        </w:rPr>
        <w:t>符合性审查。</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应当对符合资格的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文件进行符合性审查，以确定其是否满足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文件的实质性要求。不满足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7D2F2B79">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3</w:t>
      </w:r>
      <w:r>
        <w:rPr>
          <w:rFonts w:hint="eastAsia" w:asciiTheme="minorEastAsia" w:hAnsiTheme="minorEastAsia" w:eastAsiaTheme="minorEastAsia" w:cstheme="minorEastAsia"/>
          <w:b/>
          <w:color w:val="auto"/>
          <w:kern w:val="0"/>
          <w:sz w:val="21"/>
          <w:szCs w:val="21"/>
          <w:highlight w:val="none"/>
        </w:rPr>
        <w:t>磋商</w:t>
      </w:r>
    </w:p>
    <w:p w14:paraId="256A9FC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 w:val="21"/>
          <w:szCs w:val="21"/>
          <w:highlight w:val="none"/>
        </w:rPr>
        <w:t>项目需求的技术、服务条款”以及“合同条款”进行实质性变动</w:t>
      </w:r>
      <w:r>
        <w:rPr>
          <w:rFonts w:hint="eastAsia" w:asciiTheme="minorEastAsia" w:hAnsiTheme="minorEastAsia" w:eastAsiaTheme="minorEastAsia" w:cstheme="minorEastAsia"/>
          <w:color w:val="auto"/>
          <w:kern w:val="0"/>
          <w:sz w:val="21"/>
          <w:szCs w:val="21"/>
          <w:highlight w:val="none"/>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7787F8D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3.3.2</w:t>
      </w:r>
      <w:r>
        <w:rPr>
          <w:rFonts w:hint="eastAsia" w:asciiTheme="minorEastAsia" w:hAnsiTheme="minorEastAsia" w:eastAsiaTheme="minorEastAsia" w:cstheme="minorEastAsia"/>
          <w:b/>
          <w:bCs/>
          <w:color w:val="auto"/>
          <w:kern w:val="0"/>
          <w:sz w:val="21"/>
          <w:szCs w:val="21"/>
          <w:highlight w:val="none"/>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 w:val="21"/>
          <w:szCs w:val="21"/>
          <w:highlight w:val="none"/>
        </w:rPr>
        <w:t>。已提交响应文件的供应商，在提交最终报价之前，可以根据磋商情况退出磋商。</w:t>
      </w:r>
    </w:p>
    <w:p w14:paraId="77DB2A2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.3经磋商确定最终采购需求和提交最后报价的供应商后，由磋商小组采用综合评分法对提交最后报价的供应商的响应文件和最后报价进行综合评分。</w:t>
      </w:r>
    </w:p>
    <w:p w14:paraId="3B887DE7">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4</w:t>
      </w:r>
      <w:r>
        <w:rPr>
          <w:rFonts w:hint="eastAsia" w:asciiTheme="minorEastAsia" w:hAnsiTheme="minorEastAsia" w:eastAsiaTheme="minorEastAsia" w:cstheme="minorEastAsia"/>
          <w:b/>
          <w:color w:val="auto"/>
          <w:kern w:val="0"/>
          <w:sz w:val="21"/>
          <w:szCs w:val="21"/>
          <w:highlight w:val="none"/>
        </w:rPr>
        <w:t xml:space="preserve"> </w:t>
      </w:r>
      <w:r>
        <w:rPr>
          <w:rFonts w:hint="eastAsia" w:asciiTheme="minorEastAsia" w:hAnsiTheme="minorEastAsia" w:eastAsiaTheme="minorEastAsia" w:cstheme="minorEastAsia"/>
          <w:b/>
          <w:color w:val="auto"/>
          <w:kern w:val="0"/>
          <w:sz w:val="21"/>
          <w:szCs w:val="21"/>
          <w:highlight w:val="none"/>
          <w:lang w:eastAsia="zh-CN"/>
        </w:rPr>
        <w:t>商务技术</w:t>
      </w:r>
      <w:r>
        <w:rPr>
          <w:rFonts w:hint="eastAsia" w:asciiTheme="minorEastAsia" w:hAnsiTheme="minorEastAsia" w:eastAsiaTheme="minorEastAsia" w:cstheme="minorEastAsia"/>
          <w:b/>
          <w:color w:val="auto"/>
          <w:kern w:val="0"/>
          <w:sz w:val="21"/>
          <w:szCs w:val="21"/>
          <w:highlight w:val="none"/>
        </w:rPr>
        <w:t>评</w:t>
      </w:r>
      <w:r>
        <w:rPr>
          <w:rFonts w:hint="eastAsia" w:asciiTheme="minorEastAsia" w:hAnsiTheme="minorEastAsia" w:eastAsiaTheme="minorEastAsia" w:cstheme="minorEastAsia"/>
          <w:b/>
          <w:color w:val="auto"/>
          <w:kern w:val="0"/>
          <w:sz w:val="21"/>
          <w:szCs w:val="21"/>
          <w:highlight w:val="none"/>
          <w:lang w:eastAsia="zh-CN"/>
        </w:rPr>
        <w:t>审</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文件中规定的评标方法和标准，对符合性审查合格的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文件进行商务和技术评估。</w:t>
      </w:r>
    </w:p>
    <w:p w14:paraId="28F054BA">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5</w:t>
      </w:r>
      <w:r>
        <w:rPr>
          <w:rFonts w:hint="eastAsia" w:asciiTheme="minorEastAsia" w:hAnsiTheme="minorEastAsia" w:eastAsiaTheme="minorEastAsia" w:cstheme="minorEastAsia"/>
          <w:b/>
          <w:color w:val="auto"/>
          <w:kern w:val="0"/>
          <w:sz w:val="21"/>
          <w:szCs w:val="21"/>
          <w:highlight w:val="none"/>
        </w:rPr>
        <w:t>汇总商务技术得分。</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各成员应当独立对每个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的商务和技术文件进行评价，并汇总商务技术得分情况。</w:t>
      </w:r>
    </w:p>
    <w:p w14:paraId="32611722">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6</w:t>
      </w:r>
      <w:r>
        <w:rPr>
          <w:rFonts w:hint="eastAsia" w:asciiTheme="minorEastAsia" w:hAnsiTheme="minorEastAsia" w:eastAsiaTheme="minorEastAsia" w:cstheme="minorEastAsia"/>
          <w:b/>
          <w:color w:val="auto"/>
          <w:kern w:val="0"/>
          <w:sz w:val="21"/>
          <w:szCs w:val="21"/>
          <w:highlight w:val="none"/>
        </w:rPr>
        <w:t>报价评审。</w:t>
      </w:r>
    </w:p>
    <w:p w14:paraId="216B7CB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磋商小组对供应商提交的报价进行评审。</w:t>
      </w:r>
    </w:p>
    <w:p w14:paraId="29B6E472">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文件报价出现前后不一致的，按照下列规定修正：</w:t>
      </w:r>
    </w:p>
    <w:p w14:paraId="34070967">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.1.1</w:t>
      </w:r>
      <w:r>
        <w:rPr>
          <w:rFonts w:hint="eastAsia" w:asciiTheme="minorEastAsia" w:hAnsiTheme="minorEastAsia" w:eastAsiaTheme="minorEastAsia" w:cstheme="minorEastAsia"/>
          <w:color w:val="auto"/>
          <w:kern w:val="0"/>
          <w:sz w:val="21"/>
          <w:szCs w:val="21"/>
          <w:highlight w:val="none"/>
          <w:lang w:val="en-US" w:eastAsia="zh-CN"/>
        </w:rPr>
        <w:t>电子交易平台生成的开标记录表</w:t>
      </w:r>
      <w:r>
        <w:rPr>
          <w:rFonts w:hint="eastAsia" w:asciiTheme="minorEastAsia" w:hAnsiTheme="minorEastAsia" w:eastAsiaTheme="minorEastAsia" w:cstheme="minorEastAsia"/>
          <w:color w:val="auto"/>
          <w:kern w:val="0"/>
          <w:sz w:val="21"/>
          <w:szCs w:val="21"/>
          <w:highlight w:val="none"/>
        </w:rPr>
        <w:t>(报价表)内容</w:t>
      </w:r>
      <w:r>
        <w:rPr>
          <w:rFonts w:hint="eastAsia" w:asciiTheme="minorEastAsia" w:hAnsiTheme="minorEastAsia" w:eastAsiaTheme="minorEastAsia" w:cstheme="minorEastAsia"/>
          <w:color w:val="auto"/>
          <w:kern w:val="0"/>
          <w:sz w:val="21"/>
          <w:szCs w:val="21"/>
          <w:highlight w:val="none"/>
          <w:lang w:val="en-US" w:eastAsia="zh-CN"/>
        </w:rPr>
        <w:t>与响应文件中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不一致的，以响应文件中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为准</w:t>
      </w:r>
      <w:r>
        <w:rPr>
          <w:rFonts w:hint="eastAsia" w:asciiTheme="minorEastAsia" w:hAnsiTheme="minorEastAsia" w:eastAsiaTheme="minorEastAsia" w:cstheme="minorEastAsia"/>
          <w:color w:val="auto"/>
          <w:kern w:val="0"/>
          <w:sz w:val="21"/>
          <w:szCs w:val="21"/>
          <w:highlight w:val="none"/>
          <w:lang w:eastAsia="zh-CN"/>
        </w:rPr>
        <w:t>；</w:t>
      </w:r>
    </w:p>
    <w:p w14:paraId="7BEEEB6D">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(报价表)内容与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文件中相应内容不一致的，以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(报价表)为准</w:t>
      </w:r>
      <w:r>
        <w:rPr>
          <w:rFonts w:hint="eastAsia" w:asciiTheme="minorEastAsia" w:hAnsiTheme="minorEastAsia" w:eastAsiaTheme="minorEastAsia" w:cstheme="minorEastAsia"/>
          <w:color w:val="auto"/>
          <w:kern w:val="0"/>
          <w:sz w:val="21"/>
          <w:szCs w:val="21"/>
          <w:highlight w:val="none"/>
          <w:lang w:eastAsia="zh-CN"/>
        </w:rPr>
        <w:t>；</w:t>
      </w:r>
    </w:p>
    <w:p w14:paraId="159B84E8">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大写金额和小写金额不一致的，以大写金额为准;</w:t>
      </w:r>
    </w:p>
    <w:p w14:paraId="13BA5B9D">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单价金额小数点或者百分比有明显错位的，以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的总价为准，并修改单价;</w:t>
      </w:r>
    </w:p>
    <w:p w14:paraId="7D8D22A4">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3.6.1.5</w:t>
      </w:r>
      <w:r>
        <w:rPr>
          <w:rFonts w:hint="eastAsia" w:asciiTheme="minorEastAsia" w:hAnsiTheme="minorEastAsia" w:eastAsiaTheme="minorEastAsia" w:cstheme="minorEastAsia"/>
          <w:color w:val="auto"/>
          <w:kern w:val="0"/>
          <w:sz w:val="21"/>
          <w:szCs w:val="21"/>
          <w:highlight w:val="none"/>
        </w:rPr>
        <w:t>同时出现两种以上不一致的，按照3.4.1规定的顺序修正。修正后的报价经</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确认后产生约束力。</w:t>
      </w:r>
    </w:p>
    <w:p w14:paraId="7DE58808">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文件出现不是唯一的、有选择性</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214E01DA">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报价超过</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文件中规定的预算金额或者最高限价的，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343A01D0">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认为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的报价明显低于其他通过符合性审查</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的报价，有可能影响产品质量或者不能诚信履约的，应当要求其在</w:t>
      </w:r>
      <w:r>
        <w:rPr>
          <w:rFonts w:hint="eastAsia" w:asciiTheme="minorEastAsia" w:hAnsiTheme="minorEastAsia" w:eastAsiaTheme="minorEastAsia" w:cstheme="minorEastAsia"/>
          <w:color w:val="auto"/>
          <w:kern w:val="0"/>
          <w:sz w:val="21"/>
          <w:szCs w:val="21"/>
          <w:highlight w:val="none"/>
          <w:lang w:val="en-US" w:eastAsia="zh-CN"/>
        </w:rPr>
        <w:t>30分钟</w:t>
      </w:r>
      <w:r>
        <w:rPr>
          <w:rFonts w:hint="eastAsia" w:asciiTheme="minorEastAsia" w:hAnsiTheme="minorEastAsia" w:eastAsiaTheme="minorEastAsia" w:cstheme="minorEastAsia"/>
          <w:color w:val="auto"/>
          <w:kern w:val="0"/>
          <w:sz w:val="21"/>
          <w:szCs w:val="21"/>
          <w:highlight w:val="none"/>
        </w:rPr>
        <w:t>内提供书面说明，必要时提交相关证明材料;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不能证明其报价合理性的，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应当将其作为无效</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处理。</w:t>
      </w:r>
    </w:p>
    <w:p w14:paraId="73205FF9">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7</w:t>
      </w:r>
      <w:r>
        <w:rPr>
          <w:rFonts w:hint="eastAsia" w:asciiTheme="minorEastAsia" w:hAnsiTheme="minorEastAsia" w:eastAsiaTheme="minorEastAsia" w:cstheme="minorEastAsia"/>
          <w:b/>
          <w:bCs/>
          <w:color w:val="auto"/>
          <w:kern w:val="0"/>
          <w:sz w:val="21"/>
          <w:szCs w:val="21"/>
          <w:highlight w:val="none"/>
          <w:lang w:val="en-US" w:eastAsia="zh-CN" w:bidi="ar-SA"/>
        </w:rPr>
        <w:t>综合评议。</w:t>
      </w:r>
      <w:r>
        <w:rPr>
          <w:rFonts w:hint="eastAsia" w:asciiTheme="minorEastAsia" w:hAnsiTheme="minorEastAsia" w:eastAsiaTheme="minorEastAsia" w:cstheme="minorEastAsia"/>
          <w:color w:val="auto"/>
          <w:kern w:val="0"/>
          <w:sz w:val="21"/>
          <w:szCs w:val="21"/>
          <w:highlight w:val="none"/>
          <w:lang w:val="en-US" w:eastAsia="zh-CN" w:bidi="ar-SA"/>
        </w:rPr>
        <w:t>评分汇总（汇总各评委的评分，计算所有评委评出的总分的算术平均值作为供应商的综合得分）；按综合得分从高到低排序。</w:t>
      </w:r>
    </w:p>
    <w:p w14:paraId="6FFD1604">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8</w:t>
      </w:r>
      <w:r>
        <w:rPr>
          <w:rFonts w:hint="eastAsia" w:asciiTheme="minorEastAsia" w:hAnsiTheme="minorEastAsia" w:eastAsiaTheme="minorEastAsia" w:cstheme="minorEastAsia"/>
          <w:b/>
          <w:bCs/>
          <w:color w:val="auto"/>
          <w:kern w:val="0"/>
          <w:sz w:val="21"/>
          <w:szCs w:val="21"/>
          <w:highlight w:val="none"/>
          <w:lang w:val="en-US" w:eastAsia="zh-CN" w:bidi="ar-SA"/>
        </w:rPr>
        <w:t>磋商小组根据综合评分情况</w:t>
      </w:r>
      <w:r>
        <w:rPr>
          <w:rFonts w:hint="eastAsia" w:asciiTheme="minorEastAsia" w:hAnsiTheme="minorEastAsia" w:eastAsiaTheme="minorEastAsia" w:cstheme="minorEastAsia"/>
          <w:color w:val="auto"/>
          <w:kern w:val="0"/>
          <w:sz w:val="21"/>
          <w:szCs w:val="21"/>
          <w:highlight w:val="none"/>
          <w:lang w:val="en-US" w:eastAsia="zh-CN" w:bidi="ar-SA"/>
        </w:rPr>
        <w:t>，按照评审得分由高到低顺序推荐1名成交候选供应商。评审得分相同的，按照最后报价由低到高的顺序推荐。评审得分且最后报价相同的，按照技术指标优劣顺序推荐。</w:t>
      </w:r>
    </w:p>
    <w:p w14:paraId="4B86AAA8">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9</w:t>
      </w:r>
      <w:r>
        <w:rPr>
          <w:rFonts w:hint="eastAsia" w:asciiTheme="minorEastAsia" w:hAnsiTheme="minorEastAsia" w:eastAsiaTheme="minorEastAsia" w:cstheme="minorEastAsia"/>
          <w:b/>
          <w:color w:val="auto"/>
          <w:kern w:val="0"/>
          <w:sz w:val="21"/>
          <w:szCs w:val="21"/>
          <w:highlight w:val="none"/>
        </w:rPr>
        <w:t>编写评标报告。</w:t>
      </w:r>
      <w:r>
        <w:rPr>
          <w:rFonts w:hint="eastAsia" w:asciiTheme="minorEastAsia" w:hAnsiTheme="minorEastAsia" w:eastAsiaTheme="minorEastAsia" w:cstheme="minorEastAsia"/>
          <w:color w:val="auto"/>
          <w:kern w:val="0"/>
          <w:sz w:val="21"/>
          <w:szCs w:val="21"/>
          <w:highlight w:val="none"/>
          <w:lang w:val="en-US" w:eastAsia="zh-CN" w:bidi="ar-SA"/>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891F1EC">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082C6184">
      <w:pPr>
        <w:pStyle w:val="51"/>
        <w:keepNext w:val="0"/>
        <w:keepLines w:val="0"/>
        <w:pageBreakBefore w:val="0"/>
        <w:kinsoku/>
        <w:wordWrap/>
        <w:overflowPunct/>
        <w:topLinePunct w:val="0"/>
        <w:autoSpaceDE/>
        <w:autoSpaceDN/>
        <w:bidi w:val="0"/>
        <w:spacing w:before="0"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4.1</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澄清、说明或者补正。</w:t>
      </w:r>
      <w:r>
        <w:rPr>
          <w:rFonts w:hint="eastAsia" w:asciiTheme="minorEastAsia" w:hAnsiTheme="minorEastAsia" w:eastAsiaTheme="minorEastAsia" w:cstheme="minorEastAsia"/>
          <w:color w:val="auto"/>
          <w:kern w:val="0"/>
          <w:sz w:val="21"/>
          <w:szCs w:val="21"/>
          <w:highlight w:val="none"/>
        </w:rPr>
        <w:t>对于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作出必要的澄清、说明或者补正的，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通过电子交易平台交换数据电文，</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提交澄清、说明或补正的时间不得少于半小时，</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已经明确表示澄清说明或补正完毕的除外。</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的澄清、说明或者补正不得超出</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文件的范围或者改变</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文件的实质性内容。</w:t>
      </w:r>
    </w:p>
    <w:p w14:paraId="084FF89B">
      <w:pPr>
        <w:pStyle w:val="11"/>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4.2</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无效</w:t>
      </w:r>
      <w:r>
        <w:rPr>
          <w:rFonts w:hint="eastAsia" w:asciiTheme="minorEastAsia" w:hAnsiTheme="minorEastAsia" w:eastAsiaTheme="minorEastAsia" w:cstheme="minorEastAsia"/>
          <w:b/>
          <w:color w:val="auto"/>
          <w:kern w:val="0"/>
          <w:sz w:val="21"/>
          <w:szCs w:val="21"/>
          <w:highlight w:val="none"/>
          <w:lang w:val="en-US" w:eastAsia="zh-CN"/>
        </w:rPr>
        <w:t>的情形</w:t>
      </w:r>
      <w:r>
        <w:rPr>
          <w:rFonts w:hint="eastAsia" w:asciiTheme="minorEastAsia" w:hAnsiTheme="minorEastAsia" w:eastAsiaTheme="minorEastAsia" w:cstheme="minorEastAsia"/>
          <w:b/>
          <w:color w:val="auto"/>
          <w:kern w:val="0"/>
          <w:sz w:val="21"/>
          <w:szCs w:val="21"/>
          <w:highlight w:val="none"/>
        </w:rPr>
        <w:t>。</w:t>
      </w:r>
    </w:p>
    <w:p w14:paraId="16F9674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4.2.1 没有响应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文件实质性要求的响应将被视为无效响应。</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文件要求的，应认定其响应无效。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修改、补正响应文件后，不影响磋商小组对其响应文件所作的评价和评分结果。</w:t>
      </w:r>
    </w:p>
    <w:p w14:paraId="6F8F3CE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 在电子开评标时，如发现下列情形之一的，将被视为无效响应文件：</w:t>
      </w:r>
    </w:p>
    <w:p w14:paraId="4F381C5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4.2.2.1电子投标文件解密失败的；</w:t>
      </w:r>
    </w:p>
    <w:p w14:paraId="103436B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4.2.2.2响应文件未按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文件要求加密、签字、盖章的；</w:t>
      </w:r>
    </w:p>
    <w:p w14:paraId="0DD83DD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 在资格审查、符合性审查和商务评审时，如发现下列情形之一的，将被视为无效响应文件：</w:t>
      </w:r>
    </w:p>
    <w:p w14:paraId="619C39B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 资格证明文件不全的或者不符合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文件标明的资格要求的；</w:t>
      </w:r>
    </w:p>
    <w:p w14:paraId="6BF70F1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4.2.3.2 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文件要求签署、盖章的；</w:t>
      </w:r>
    </w:p>
    <w:p w14:paraId="59E6BA1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4.2.3.3 响应代表人未能出具身份证明或身份证明与法定代表授权委托书不符的。</w:t>
      </w:r>
    </w:p>
    <w:p w14:paraId="1852703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4.2.3.4 响应文件格式不规范、项目不齐全或者内容虚假的；</w:t>
      </w:r>
    </w:p>
    <w:p w14:paraId="3514D7C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文件要求的（经磋商小组认定并允许其当场更正的笔误除外）；</w:t>
      </w:r>
    </w:p>
    <w:p w14:paraId="2E1D2CB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4.2.3.6 响应有效期、交货时间、质保期等商务条款不能满足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w:t>
      </w:r>
    </w:p>
    <w:p w14:paraId="58F4D49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4.2.3.7 带“▲”的条款不能满足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文件要求、未实质性响应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文件要求或者响应文件有采购人不能接受的附加条件的；</w:t>
      </w:r>
    </w:p>
    <w:p w14:paraId="595FB66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4.2.3.8 单位负责人为同一人或者存在直接控股、管理关系的不同供应商参加同一合同项下的政府采购活动的；</w:t>
      </w:r>
    </w:p>
    <w:p w14:paraId="07B9C07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4.2.3.9 为采购项目提供整体设计、规范编制或者项目管理、监理、检测等服务的供应商参加该采购项目的其他采购活动的；</w:t>
      </w:r>
    </w:p>
    <w:p w14:paraId="5324D14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4.2.3.10 商务技术文件中出现本项目磋商报价或单价的。</w:t>
      </w:r>
    </w:p>
    <w:p w14:paraId="2E91CA5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4.3.在技术评审时，如发现下列情形之一的，将被视为无效响应文件：</w:t>
      </w:r>
    </w:p>
    <w:p w14:paraId="091080B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4.3.1未提供或未如实提供磋商货物的技术参数，或者响应文件标明的响应或偏离与事实不符或虚假响应的；</w:t>
      </w:r>
    </w:p>
    <w:p w14:paraId="31BB30F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4.3.2 明显不符合竞争性磋商文件要求的规格型号、质量标准，或者与竞争性磋商文件中标“▲”的技术指标、主要功能项目发生实质性偏离的；</w:t>
      </w:r>
    </w:p>
    <w:p w14:paraId="18181DA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4.3.3 允许偏离的技术、性能指标或辅助功能项目发生负偏离达5项（含）以上的；</w:t>
      </w:r>
    </w:p>
    <w:p w14:paraId="7722ECD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4.3.4 技术方案不明确，存在一个或一个以上备选（替代）技术方案的；</w:t>
      </w:r>
    </w:p>
    <w:p w14:paraId="60CD0F2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4.3.5 与其他参加本次磋商</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的响应文件（技术文件）的文字表述内容差错相同2处以上的；</w:t>
      </w:r>
    </w:p>
    <w:p w14:paraId="6AA10EA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4.3.6 采购人拟采购的产品属于政府强制采购的节能产品品目清单范围的，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未按竞争性磋商文件要求提供国家确定的认证机构出具的、处于有效期之内的节能产品认证证书的。</w:t>
      </w:r>
    </w:p>
    <w:p w14:paraId="2976EE5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 在报价评审时，如发现下列情形之一的，响应文件将被视为无效：</w:t>
      </w:r>
    </w:p>
    <w:p w14:paraId="0B24317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4.4.1 未采用人民币报价或者未按照竞争性磋商文件标明的币种报价的；</w:t>
      </w:r>
    </w:p>
    <w:p w14:paraId="3D1904A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4.4.2 报价超出最高综合折扣的；</w:t>
      </w:r>
    </w:p>
    <w:p w14:paraId="0445F88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4.4.3 磋商报价具有选择性的；</w:t>
      </w:r>
    </w:p>
    <w:p w14:paraId="15F9448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4.4.4 磋商报价中出现缺项、漏项或被磋商小组认定为有可能影响产品质量或者不能诚信履约的且不能在合理的时间内证明其报价合理性的；</w:t>
      </w:r>
    </w:p>
    <w:p w14:paraId="7BCA019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4.4.5供应商对根据修正原则修正后的报价不确认的。</w:t>
      </w:r>
    </w:p>
    <w:p w14:paraId="1DB7E48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4.5其他无效情形：</w:t>
      </w:r>
    </w:p>
    <w:p w14:paraId="13DFC5A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4.5.1 不同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的响应文件出自同一终端设备或在相同Internet主机分配地址（相同IP地址）进行网上报名、磋商的；</w:t>
      </w:r>
    </w:p>
    <w:p w14:paraId="5E707F8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4.5.2 </w:t>
      </w:r>
      <w:r>
        <w:rPr>
          <w:rFonts w:hint="eastAsia" w:asciiTheme="minorEastAsia" w:hAnsiTheme="minorEastAsia" w:eastAsiaTheme="minorEastAsia" w:cstheme="minorEastAsia"/>
          <w:color w:val="auto"/>
          <w:kern w:val="0"/>
          <w:sz w:val="21"/>
          <w:szCs w:val="21"/>
          <w:highlight w:val="none"/>
        </w:rPr>
        <w:t>法律、法规、规章（适用本市的）及省级以上规范性文件（适用本市的）规定的其他无效情形。</w:t>
      </w:r>
    </w:p>
    <w:p w14:paraId="0625AEFA">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5.采购终止的情形。</w:t>
      </w:r>
      <w:r>
        <w:rPr>
          <w:rFonts w:hint="eastAsia" w:asciiTheme="minorEastAsia" w:hAnsiTheme="minorEastAsia" w:eastAsiaTheme="minorEastAsia" w:cstheme="minorEastAsia"/>
          <w:color w:val="auto"/>
          <w:kern w:val="0"/>
          <w:sz w:val="21"/>
          <w:szCs w:val="21"/>
          <w:highlight w:val="none"/>
        </w:rPr>
        <w:t>在本项目磋商采购中，出现下列情形之一的，应当终止竞争性磋商采购活动，发布项目终止公告并说明原因，重新开展采购活动：</w:t>
      </w:r>
    </w:p>
    <w:p w14:paraId="071ABC8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5.1因情况变化，不再符合规定的竞争性磋商采购方式适用情形的；</w:t>
      </w:r>
    </w:p>
    <w:p w14:paraId="638BBEF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5.2出现影响采购公正的违法、违规行为的；</w:t>
      </w:r>
    </w:p>
    <w:p w14:paraId="421D434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29B6DDB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5.4电子交易平台无法正常运行，无法保证电子交易的公平、公正和安全的情况。</w:t>
      </w:r>
    </w:p>
    <w:p w14:paraId="04C1BA72">
      <w:pPr>
        <w:pStyle w:val="11"/>
        <w:keepNext w:val="0"/>
        <w:keepLines w:val="0"/>
        <w:pageBreakBefore w:val="0"/>
        <w:kinsoku/>
        <w:wordWrap/>
        <w:overflowPunct/>
        <w:topLinePunct w:val="0"/>
        <w:autoSpaceDE/>
        <w:autoSpaceDN/>
        <w:bidi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6.修改</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文件，重新组织采购活动。</w:t>
      </w: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发现</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文件存在歧义、重大缺陷导致评标工作无法进行，或者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文件内容违反国家有关强制性规定的，将停止评标工作，并与采购人、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沟通并作书面记录。采购人、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确认后，将修改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文件，重新组织采购活动。</w:t>
      </w:r>
    </w:p>
    <w:p w14:paraId="0249AC0B">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7.重新开展采购。</w:t>
      </w:r>
      <w:r>
        <w:rPr>
          <w:rFonts w:hint="eastAsia" w:asciiTheme="minorEastAsia" w:hAnsiTheme="minorEastAsia" w:eastAsiaTheme="minorEastAsia" w:cstheme="minorEastAsia"/>
          <w:color w:val="auto"/>
          <w:sz w:val="21"/>
          <w:szCs w:val="21"/>
          <w:highlight w:val="none"/>
        </w:rPr>
        <w:t>有政府采购法第七十一条、第七十二条规定的违法行为之一，影响或者可能影响中标、成交结果的，依照下列规定处理：</w:t>
      </w:r>
    </w:p>
    <w:p w14:paraId="60555BCD">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7.1未确定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人的，终止本次政府采购活动，重新开展政府采购活动。</w:t>
      </w:r>
    </w:p>
    <w:p w14:paraId="7A0D8E4B">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7.2已确定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人但尚未签订政府采购合同的，</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或者成交结果无效，重新开展政府采购活动。</w:t>
      </w:r>
    </w:p>
    <w:p w14:paraId="2F3520F4">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7.3政府采购合同已签订但尚未履行的，撤销合同，重新开展政府采购活动。</w:t>
      </w:r>
    </w:p>
    <w:p w14:paraId="1FDF179E">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7.4政府采购合同已经履行，给采购人、供应商造成损失的，由责任人承担赔偿责任。</w:t>
      </w:r>
    </w:p>
    <w:p w14:paraId="2B2B40B9">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7.5政府采购当事人有其他违反政府采购法</w:t>
      </w:r>
      <w:r>
        <w:rPr>
          <w:rFonts w:hint="eastAsia" w:asciiTheme="minorEastAsia" w:hAnsiTheme="minorEastAsia" w:eastAsiaTheme="minorEastAsia" w:cstheme="minorEastAsia"/>
          <w:color w:val="auto"/>
          <w:kern w:val="0"/>
          <w:sz w:val="21"/>
          <w:szCs w:val="21"/>
          <w:highlight w:val="none"/>
        </w:rPr>
        <w:t>或者政府采购法实施条例等法律法规规定</w:t>
      </w:r>
      <w:r>
        <w:rPr>
          <w:rFonts w:hint="eastAsia" w:asciiTheme="minorEastAsia" w:hAnsiTheme="minorEastAsia" w:eastAsiaTheme="minorEastAsia" w:cstheme="minorEastAsia"/>
          <w:color w:val="auto"/>
          <w:sz w:val="21"/>
          <w:szCs w:val="21"/>
          <w:highlight w:val="none"/>
        </w:rPr>
        <w:t>的行为，经改正后仍然影响或者可能影响中标、成交结果或者依法被认定为中标、成交无效的，依照7.1-7.4规定处理。</w:t>
      </w:r>
    </w:p>
    <w:p w14:paraId="7DECE06C">
      <w:pPr>
        <w:pStyle w:val="11"/>
        <w:numPr>
          <w:ilvl w:val="0"/>
          <w:numId w:val="0"/>
        </w:numPr>
        <w:adjustRightInd w:val="0"/>
        <w:snapToGrid w:val="0"/>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color w:val="auto"/>
          <w:sz w:val="36"/>
          <w:szCs w:val="36"/>
          <w:highlight w:val="none"/>
        </w:rPr>
        <w:t>合同文本（</w:t>
      </w:r>
      <w:r>
        <w:rPr>
          <w:rFonts w:hint="eastAsia" w:asciiTheme="minorEastAsia" w:hAnsiTheme="minorEastAsia" w:eastAsiaTheme="minorEastAsia" w:cstheme="minorEastAsia"/>
          <w:b/>
          <w:color w:val="auto"/>
          <w:sz w:val="36"/>
          <w:szCs w:val="36"/>
          <w:highlight w:val="none"/>
          <w:lang w:val="en-US" w:eastAsia="zh-CN"/>
        </w:rPr>
        <w:t>工程类</w:t>
      </w:r>
      <w:r>
        <w:rPr>
          <w:rFonts w:hint="eastAsia" w:asciiTheme="minorEastAsia" w:hAnsiTheme="minorEastAsia" w:eastAsiaTheme="minorEastAsia" w:cstheme="minorEastAsia"/>
          <w:b/>
          <w:color w:val="auto"/>
          <w:sz w:val="36"/>
          <w:szCs w:val="36"/>
          <w:highlight w:val="none"/>
        </w:rPr>
        <w:t>）</w:t>
      </w:r>
    </w:p>
    <w:p w14:paraId="1FB29900">
      <w:pPr>
        <w:pStyle w:val="52"/>
        <w:ind w:left="0" w:leftChars="0" w:firstLine="0" w:firstLineChars="0"/>
        <w:rPr>
          <w:rFonts w:asciiTheme="minorEastAsia" w:hAnsiTheme="minorEastAsia" w:eastAsiaTheme="minorEastAsia" w:cstheme="minorEastAsia"/>
          <w:color w:val="auto"/>
          <w:szCs w:val="24"/>
          <w:highlight w:val="none"/>
        </w:rPr>
      </w:pPr>
    </w:p>
    <w:p w14:paraId="0AD042C2">
      <w:pPr>
        <w:pStyle w:val="52"/>
        <w:rPr>
          <w:rFonts w:asciiTheme="minorEastAsia" w:hAnsiTheme="minorEastAsia" w:eastAsiaTheme="minorEastAsia" w:cstheme="minorEastAsia"/>
          <w:color w:val="auto"/>
          <w:szCs w:val="24"/>
          <w:highlight w:val="none"/>
        </w:rPr>
      </w:pPr>
    </w:p>
    <w:p w14:paraId="7AF15EC5">
      <w:pPr>
        <w:pStyle w:val="52"/>
        <w:ind w:left="0" w:leftChars="0" w:firstLine="0" w:firstLineChars="0"/>
        <w:rPr>
          <w:rFonts w:asciiTheme="minorEastAsia" w:hAnsiTheme="minorEastAsia" w:eastAsiaTheme="minorEastAsia" w:cstheme="minorEastAsia"/>
          <w:color w:val="auto"/>
          <w:szCs w:val="24"/>
          <w:highlight w:val="none"/>
        </w:rPr>
      </w:pPr>
    </w:p>
    <w:p w14:paraId="01BA4DB2">
      <w:pPr>
        <w:spacing w:before="120" w:line="360" w:lineRule="auto"/>
        <w:rPr>
          <w:rFonts w:asciiTheme="minorEastAsia" w:hAnsiTheme="minorEastAsia" w:eastAsiaTheme="minorEastAsia" w:cstheme="minorEastAsia"/>
          <w:color w:val="auto"/>
          <w:sz w:val="24"/>
          <w:highlight w:val="none"/>
        </w:rPr>
      </w:pPr>
    </w:p>
    <w:p w14:paraId="5BC71AFF">
      <w:pPr>
        <w:spacing w:before="120" w:line="360" w:lineRule="auto"/>
        <w:ind w:left="960" w:firstLine="720" w:firstLineChars="3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lang w:val="en-US" w:eastAsia="zh-CN"/>
        </w:rPr>
        <w:t xml:space="preserve">                                    </w:t>
      </w:r>
    </w:p>
    <w:p w14:paraId="6C162280">
      <w:pPr>
        <w:pStyle w:val="44"/>
        <w:spacing w:before="120"/>
        <w:rPr>
          <w:rFonts w:asciiTheme="minorEastAsia" w:hAnsiTheme="minorEastAsia" w:eastAsiaTheme="minorEastAsia" w:cstheme="minorEastAsia"/>
          <w:color w:val="auto"/>
          <w:szCs w:val="24"/>
          <w:highlight w:val="none"/>
        </w:rPr>
      </w:pPr>
    </w:p>
    <w:p w14:paraId="166014B9">
      <w:pPr>
        <w:pStyle w:val="44"/>
        <w:spacing w:before="120"/>
        <w:rPr>
          <w:rFonts w:asciiTheme="minorEastAsia" w:hAnsiTheme="minorEastAsia" w:eastAsiaTheme="minorEastAsia" w:cstheme="minorEastAsia"/>
          <w:color w:val="auto"/>
          <w:szCs w:val="24"/>
          <w:highlight w:val="none"/>
        </w:rPr>
      </w:pPr>
    </w:p>
    <w:p w14:paraId="47E57755">
      <w:pPr>
        <w:spacing w:line="360" w:lineRule="auto"/>
        <w:rPr>
          <w:rFonts w:asciiTheme="minorEastAsia" w:hAnsiTheme="minorEastAsia" w:eastAsiaTheme="minorEastAsia" w:cstheme="minorEastAsia"/>
          <w:color w:val="auto"/>
          <w:sz w:val="24"/>
          <w:highlight w:val="none"/>
        </w:rPr>
      </w:pPr>
    </w:p>
    <w:p w14:paraId="1FDDCBAF">
      <w:pPr>
        <w:spacing w:before="120" w:line="600" w:lineRule="auto"/>
        <w:ind w:left="960" w:firstLine="720" w:firstLineChars="3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lang w:val="en-US" w:eastAsia="zh-CN"/>
        </w:rPr>
        <w:t xml:space="preserve">                                   </w:t>
      </w:r>
    </w:p>
    <w:p w14:paraId="3D086897">
      <w:pPr>
        <w:spacing w:before="120" w:line="600" w:lineRule="auto"/>
        <w:ind w:left="960"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69084956">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7B7E0910">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4459A314">
      <w:pPr>
        <w:spacing w:line="360" w:lineRule="auto"/>
        <w:jc w:val="center"/>
        <w:outlineLvl w:val="1"/>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24"/>
          <w:highlight w:val="none"/>
          <w:u w:val="single"/>
          <w:lang w:val="zh-CN"/>
        </w:rPr>
        <w:br w:type="page"/>
      </w:r>
      <w:r>
        <w:rPr>
          <w:rFonts w:hint="eastAsia" w:asciiTheme="minorEastAsia" w:hAnsiTheme="minorEastAsia" w:eastAsiaTheme="minorEastAsia" w:cstheme="minorEastAsia"/>
          <w:color w:val="auto"/>
          <w:sz w:val="30"/>
          <w:szCs w:val="30"/>
          <w:highlight w:val="none"/>
        </w:rPr>
        <w:t>第一部分  协 议 书</w:t>
      </w:r>
    </w:p>
    <w:p w14:paraId="19962FB1">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发包人（甲方）</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single"/>
        </w:rPr>
        <w:t xml:space="preserve">宁波市奉化区惠海地下管线投资有限公司 </w:t>
      </w:r>
    </w:p>
    <w:p w14:paraId="00CA9BA2">
      <w:pPr>
        <w:spacing w:line="360" w:lineRule="auto"/>
        <w:rPr>
          <w:rFonts w:hint="eastAsia" w:asciiTheme="minorEastAsia" w:hAnsiTheme="minorEastAsia" w:eastAsiaTheme="minorEastAsia" w:cstheme="minorEastAsia"/>
          <w:color w:val="auto"/>
          <w:sz w:val="21"/>
          <w:szCs w:val="21"/>
          <w:highlight w:val="none"/>
          <w:u w:val="single"/>
          <w:lang w:val="en-US"/>
        </w:rPr>
      </w:pPr>
      <w:r>
        <w:rPr>
          <w:rFonts w:hint="eastAsia" w:asciiTheme="minorEastAsia" w:hAnsiTheme="minorEastAsia" w:eastAsiaTheme="minorEastAsia" w:cstheme="minorEastAsia"/>
          <w:color w:val="auto"/>
          <w:sz w:val="21"/>
          <w:szCs w:val="21"/>
          <w:highlight w:val="none"/>
        </w:rPr>
        <w:t>承包人（乙方）：</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542F911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依照《中华人民共和国</w:t>
      </w:r>
      <w:r>
        <w:rPr>
          <w:rFonts w:hint="eastAsia" w:asciiTheme="minorEastAsia" w:hAnsiTheme="minorEastAsia" w:eastAsiaTheme="minorEastAsia" w:cstheme="minorEastAsia"/>
          <w:color w:val="auto"/>
          <w:sz w:val="21"/>
          <w:szCs w:val="21"/>
          <w:highlight w:val="none"/>
          <w:lang w:eastAsia="zh-CN"/>
        </w:rPr>
        <w:t>民法典</w:t>
      </w:r>
      <w:r>
        <w:rPr>
          <w:rFonts w:hint="eastAsia" w:asciiTheme="minorEastAsia" w:hAnsiTheme="minorEastAsia" w:eastAsiaTheme="minorEastAsia" w:cstheme="minorEastAsia"/>
          <w:color w:val="auto"/>
          <w:sz w:val="21"/>
          <w:szCs w:val="21"/>
          <w:highlight w:val="none"/>
        </w:rPr>
        <w:t>》、《中华人民共和国建筑法》及其他有关法律、行政法规、遵循平等、自愿、公平和诚实信用的原则，发包人和承包人本着平等互利的原则，根据</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rPr>
        <w:t>和</w:t>
      </w:r>
      <w:r>
        <w:rPr>
          <w:rFonts w:hint="eastAsia" w:asciiTheme="minorEastAsia" w:hAnsiTheme="minorEastAsia" w:eastAsiaTheme="minorEastAsia" w:cstheme="minorEastAsia"/>
          <w:color w:val="auto"/>
          <w:sz w:val="21"/>
          <w:szCs w:val="21"/>
          <w:highlight w:val="none"/>
          <w:lang w:val="en-US" w:eastAsia="zh-CN"/>
        </w:rPr>
        <w:t>中标通知书</w:t>
      </w:r>
      <w:r>
        <w:rPr>
          <w:rFonts w:hint="eastAsia" w:asciiTheme="minorEastAsia" w:hAnsiTheme="minorEastAsia" w:eastAsiaTheme="minorEastAsia" w:cstheme="minorEastAsia"/>
          <w:color w:val="auto"/>
          <w:sz w:val="21"/>
          <w:szCs w:val="21"/>
          <w:highlight w:val="none"/>
        </w:rPr>
        <w:t>，按下述条款和条件签署本合同。</w:t>
      </w:r>
    </w:p>
    <w:p w14:paraId="3F4125C7">
      <w:pPr>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一、工程概况</w:t>
      </w:r>
    </w:p>
    <w:p w14:paraId="4F096760">
      <w:pPr>
        <w:spacing w:line="360" w:lineRule="auto"/>
        <w:ind w:left="1529" w:leftChars="228" w:hanging="1050" w:hangingChars="50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工程名称：</w:t>
      </w:r>
      <w:r>
        <w:rPr>
          <w:rFonts w:hint="eastAsia" w:asciiTheme="minorEastAsia" w:hAnsiTheme="minorEastAsia" w:eastAsiaTheme="minorEastAsia" w:cstheme="minorEastAsia"/>
          <w:color w:val="auto"/>
          <w:sz w:val="21"/>
          <w:szCs w:val="21"/>
          <w:highlight w:val="none"/>
          <w:u w:val="single"/>
          <w:lang w:val="en-US" w:eastAsia="zh-CN"/>
        </w:rPr>
        <w:t>G15沈海高速宁波西坞至麻岙岭改扩建工程—电力及通信线路迁改工程（康亭村）（土建部分）</w:t>
      </w:r>
    </w:p>
    <w:p w14:paraId="7AA914A1">
      <w:pPr>
        <w:spacing w:line="360" w:lineRule="auto"/>
        <w:ind w:left="1529" w:leftChars="228" w:hanging="1050" w:hangingChars="50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工程地点：</w:t>
      </w:r>
      <w:r>
        <w:rPr>
          <w:rFonts w:hint="eastAsia" w:asciiTheme="minorEastAsia" w:hAnsiTheme="minorEastAsia" w:eastAsiaTheme="minorEastAsia" w:cstheme="minorEastAsia"/>
          <w:color w:val="auto"/>
          <w:sz w:val="21"/>
          <w:szCs w:val="21"/>
          <w:highlight w:val="none"/>
          <w:u w:val="single"/>
          <w:lang w:val="en-US" w:eastAsia="zh-CN"/>
        </w:rPr>
        <w:t>项目起自G15沈海高速宁波市奉化区西坞街道，接拟改扩建的沈海高速姜山至西坞段，止于宁海县麻岙岭隧道甬台界，接拟改扩建的沈海高速三门麻岙岭至临海青岭段</w:t>
      </w:r>
      <w:r>
        <w:rPr>
          <w:rFonts w:hint="eastAsia" w:asciiTheme="minorEastAsia" w:hAnsiTheme="minorEastAsia" w:eastAsiaTheme="minorEastAsia" w:cstheme="minorEastAsia"/>
          <w:color w:val="auto"/>
          <w:sz w:val="21"/>
          <w:szCs w:val="21"/>
          <w:highlight w:val="none"/>
          <w:u w:val="none"/>
          <w:lang w:val="en-US" w:eastAsia="zh-CN"/>
        </w:rPr>
        <w:t>。</w:t>
      </w:r>
    </w:p>
    <w:p w14:paraId="1A4EB3E7">
      <w:pPr>
        <w:spacing w:line="360" w:lineRule="auto"/>
        <w:ind w:firstLine="420" w:firstLineChars="20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u w:val="none"/>
          <w:lang w:eastAsia="zh-CN"/>
        </w:rPr>
        <w:t>工程内容：</w:t>
      </w:r>
      <w:r>
        <w:rPr>
          <w:rFonts w:hint="eastAsia" w:asciiTheme="minorEastAsia" w:hAnsiTheme="minorEastAsia" w:eastAsiaTheme="minorEastAsia" w:cstheme="minorEastAsia"/>
          <w:color w:val="auto"/>
          <w:sz w:val="21"/>
          <w:szCs w:val="21"/>
          <w:highlight w:val="none"/>
          <w:u w:val="single"/>
          <w:lang w:eastAsia="zh-CN"/>
        </w:rPr>
        <w:t>详见图纸</w:t>
      </w:r>
    </w:p>
    <w:p w14:paraId="674EF79E">
      <w:pPr>
        <w:spacing w:line="360" w:lineRule="auto"/>
        <w:ind w:left="55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二、工程承包范围</w:t>
      </w:r>
    </w:p>
    <w:p w14:paraId="79FB5B25">
      <w:pPr>
        <w:spacing w:line="360" w:lineRule="auto"/>
        <w:ind w:firstLine="420" w:firstLineChars="20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承包范围</w:t>
      </w:r>
      <w:r>
        <w:rPr>
          <w:rFonts w:hint="eastAsia" w:asciiTheme="minorEastAsia" w:hAnsiTheme="minorEastAsia" w:eastAsia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u w:val="single"/>
          <w:lang w:val="en-US" w:eastAsia="zh-CN"/>
        </w:rPr>
        <w:t>施工图范围内的电力排管、电缆井、通信管道、手孔井、路面破修、引上钢管、拉线架设、路面修复等；</w:t>
      </w:r>
    </w:p>
    <w:p w14:paraId="7756FD10">
      <w:pPr>
        <w:pStyle w:val="66"/>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三、合同工期</w:t>
      </w:r>
    </w:p>
    <w:p w14:paraId="11DEF11E">
      <w:pPr>
        <w:spacing w:line="360" w:lineRule="auto"/>
        <w:ind w:firstLine="403" w:firstLineChars="19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计划开工日期：</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日(具体以监理开工</w:t>
      </w:r>
      <w:r>
        <w:rPr>
          <w:rFonts w:hint="eastAsia" w:asciiTheme="minorEastAsia" w:hAnsiTheme="minorEastAsia" w:eastAsiaTheme="minorEastAsia" w:cstheme="minorEastAsia"/>
          <w:color w:val="auto"/>
          <w:sz w:val="21"/>
          <w:szCs w:val="21"/>
          <w:highlight w:val="none"/>
          <w:lang w:eastAsia="zh-CN"/>
        </w:rPr>
        <w:t>令</w:t>
      </w:r>
      <w:r>
        <w:rPr>
          <w:rFonts w:hint="eastAsia" w:asciiTheme="minorEastAsia" w:hAnsiTheme="minorEastAsia" w:eastAsiaTheme="minorEastAsia" w:cstheme="minorEastAsia"/>
          <w:color w:val="auto"/>
          <w:sz w:val="21"/>
          <w:szCs w:val="21"/>
          <w:highlight w:val="none"/>
        </w:rPr>
        <w:t>为准)</w:t>
      </w:r>
    </w:p>
    <w:p w14:paraId="5FB0A5CD">
      <w:pPr>
        <w:spacing w:line="360" w:lineRule="auto"/>
        <w:ind w:firstLine="403" w:firstLineChars="19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合同工期总日历天数：</w:t>
      </w:r>
      <w:r>
        <w:rPr>
          <w:rFonts w:hint="eastAsia" w:asciiTheme="minorEastAsia" w:hAnsiTheme="minorEastAsia" w:eastAsiaTheme="minorEastAsia" w:cstheme="minorEastAsia"/>
          <w:color w:val="auto"/>
          <w:sz w:val="21"/>
          <w:szCs w:val="21"/>
          <w:highlight w:val="none"/>
          <w:u w:val="single"/>
          <w:lang w:val="en-US" w:eastAsia="zh-CN"/>
        </w:rPr>
        <w:t>90</w:t>
      </w:r>
      <w:r>
        <w:rPr>
          <w:rFonts w:hint="eastAsia" w:asciiTheme="minorEastAsia" w:hAnsiTheme="minorEastAsia" w:eastAsiaTheme="minorEastAsia" w:cstheme="minorEastAsia"/>
          <w:color w:val="auto"/>
          <w:sz w:val="21"/>
          <w:szCs w:val="21"/>
          <w:highlight w:val="none"/>
          <w:u w:val="none"/>
          <w:lang w:eastAsia="zh-CN"/>
        </w:rPr>
        <w:t>日历</w:t>
      </w:r>
      <w:r>
        <w:rPr>
          <w:rFonts w:hint="eastAsia" w:asciiTheme="minorEastAsia" w:hAnsiTheme="minorEastAsia" w:eastAsiaTheme="minorEastAsia" w:cstheme="minorEastAsia"/>
          <w:color w:val="auto"/>
          <w:sz w:val="21"/>
          <w:szCs w:val="21"/>
          <w:highlight w:val="none"/>
        </w:rPr>
        <w:t>天。</w:t>
      </w:r>
    </w:p>
    <w:p w14:paraId="3559CC38">
      <w:pPr>
        <w:spacing w:line="360" w:lineRule="auto"/>
        <w:ind w:firstLine="403" w:firstLineChars="19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若实际开工日期由于甲方原因或不可抗力因素造成滞后,则以甲方正式批准的实际开工之日为准。</w:t>
      </w:r>
    </w:p>
    <w:p w14:paraId="411BA561">
      <w:pPr>
        <w:spacing w:line="360" w:lineRule="auto"/>
        <w:ind w:firstLine="476" w:firstLineChars="2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四、质量与安全要求</w:t>
      </w:r>
    </w:p>
    <w:p w14:paraId="3D77631C">
      <w:pPr>
        <w:spacing w:line="360" w:lineRule="auto"/>
        <w:ind w:firstLine="476" w:firstLineChars="2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1、达到国家和行业施工验收规范一次性验收合格。</w:t>
      </w:r>
    </w:p>
    <w:p w14:paraId="478B625D">
      <w:pPr>
        <w:spacing w:line="360" w:lineRule="auto"/>
        <w:ind w:firstLine="457" w:firstLineChars="2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2、工程安全要求：合格。</w:t>
      </w:r>
    </w:p>
    <w:p w14:paraId="45887FAA">
      <w:pPr>
        <w:spacing w:line="360" w:lineRule="auto"/>
        <w:ind w:left="55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五、合同价款</w:t>
      </w:r>
    </w:p>
    <w:p w14:paraId="031B503F">
      <w:pPr>
        <w:spacing w:line="360" w:lineRule="auto"/>
        <w:ind w:firstLine="403" w:firstLineChars="192"/>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rPr>
        <w:t>金额（大写）：</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元</w:t>
      </w:r>
      <w:r>
        <w:rPr>
          <w:rFonts w:hint="eastAsia" w:asciiTheme="minorEastAsia" w:hAnsiTheme="minorEastAsia" w:eastAsiaTheme="minorEastAsia" w:cstheme="minorEastAsia"/>
          <w:color w:val="auto"/>
          <w:sz w:val="21"/>
          <w:szCs w:val="21"/>
          <w:highlight w:val="none"/>
          <w:u w:val="none"/>
        </w:rPr>
        <w:t xml:space="preserve">整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14"/>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rPr>
        <w:t>元</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综合折扣</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u w:val="none"/>
        </w:rPr>
        <w:t>。</w:t>
      </w:r>
    </w:p>
    <w:p w14:paraId="77468469">
      <w:pPr>
        <w:spacing w:line="360" w:lineRule="auto"/>
        <w:ind w:firstLine="403" w:firstLineChars="192"/>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合同价格类型：</w:t>
      </w:r>
      <w:r>
        <w:rPr>
          <w:rFonts w:hint="eastAsia" w:asciiTheme="minorEastAsia" w:hAnsiTheme="minorEastAsia" w:eastAsiaTheme="minorEastAsia" w:cstheme="minorEastAsia"/>
          <w:color w:val="auto"/>
          <w:sz w:val="21"/>
          <w:szCs w:val="21"/>
          <w:highlight w:val="none"/>
          <w:u w:val="single"/>
          <w:lang w:eastAsia="zh-CN"/>
        </w:rPr>
        <w:t>单价</w:t>
      </w:r>
      <w:r>
        <w:rPr>
          <w:rFonts w:hint="eastAsia" w:asciiTheme="minorEastAsia" w:hAnsiTheme="minorEastAsia" w:eastAsiaTheme="minorEastAsia" w:cstheme="minorEastAsia"/>
          <w:color w:val="auto"/>
          <w:sz w:val="21"/>
          <w:szCs w:val="21"/>
          <w:highlight w:val="none"/>
          <w:u w:val="single"/>
        </w:rPr>
        <w:t>合同。</w:t>
      </w:r>
    </w:p>
    <w:p w14:paraId="5D5FD58C">
      <w:pPr>
        <w:spacing w:line="360" w:lineRule="auto"/>
        <w:ind w:left="55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六、组成合同的文件</w:t>
      </w:r>
    </w:p>
    <w:p w14:paraId="4FA56928">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组成本合同的文件包括：</w:t>
      </w:r>
    </w:p>
    <w:p w14:paraId="5615156D">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1、本协议书</w:t>
      </w:r>
    </w:p>
    <w:p w14:paraId="401FE9C9">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2、成交确认书</w:t>
      </w:r>
    </w:p>
    <w:p w14:paraId="2A1ACC12">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3、本合同专用条款及其附件</w:t>
      </w:r>
    </w:p>
    <w:p w14:paraId="38F7BD49">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交易公告</w:t>
      </w:r>
      <w:r>
        <w:rPr>
          <w:rFonts w:hint="eastAsia" w:asciiTheme="minorEastAsia" w:hAnsiTheme="minorEastAsia" w:eastAsiaTheme="minorEastAsia" w:cstheme="minorEastAsia"/>
          <w:color w:val="auto"/>
          <w:sz w:val="21"/>
          <w:szCs w:val="21"/>
          <w:highlight w:val="none"/>
        </w:rPr>
        <w:t>及其附件</w:t>
      </w:r>
    </w:p>
    <w:p w14:paraId="2A1779D4">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5、本合同通用条款</w:t>
      </w:r>
    </w:p>
    <w:p w14:paraId="532BF41E">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6、标准、规范及有关技术文件</w:t>
      </w:r>
    </w:p>
    <w:p w14:paraId="1E3477A8">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7、图纸</w:t>
      </w:r>
    </w:p>
    <w:p w14:paraId="4C6D07F2">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8、工程量清单或预算书</w:t>
      </w:r>
    </w:p>
    <w:p w14:paraId="2270AD62">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双方有关工程的洽商、变更等书面协议或文件视为本合同的组成部分。</w:t>
      </w:r>
    </w:p>
    <w:p w14:paraId="76C7A49B">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sz w:val="21"/>
          <w:szCs w:val="21"/>
          <w:highlight w:val="none"/>
        </w:rPr>
        <w:t>本协议书中有关词语含义与本合同第二部分《通用条款》中分别赋予它们的定义相同。</w:t>
      </w:r>
    </w:p>
    <w:p w14:paraId="79C58073">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八、承包人向发包人承诺按照合同约定进行施工、竣工并在质量保修期内承担工程质量保修责任。</w:t>
      </w:r>
    </w:p>
    <w:p w14:paraId="3EB1AD87">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九、发包人向承包人承诺按照合同约定的期限和方式支付合同价款及其他应当支付的款项。</w:t>
      </w:r>
    </w:p>
    <w:p w14:paraId="317ECBFA">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十、合同生效</w:t>
      </w:r>
    </w:p>
    <w:p w14:paraId="45E841B3">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合同订立时间：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日 </w:t>
      </w:r>
    </w:p>
    <w:p w14:paraId="6A13D83D">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合同订立地点：宁波市奉化区 </w:t>
      </w:r>
    </w:p>
    <w:p w14:paraId="781FDDA1">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本合同双方约定</w:t>
      </w:r>
      <w:r>
        <w:rPr>
          <w:rFonts w:hint="eastAsia" w:asciiTheme="minorEastAsia" w:hAnsiTheme="minorEastAsia" w:eastAsiaTheme="minorEastAsia" w:cstheme="minorEastAsia"/>
          <w:color w:val="auto"/>
          <w:sz w:val="21"/>
          <w:szCs w:val="21"/>
          <w:highlight w:val="none"/>
          <w:u w:val="single"/>
        </w:rPr>
        <w:t>加盖双方单位印章并经法定代表人或其委托代理人签字，并按约定提供履约担保</w:t>
      </w:r>
      <w:r>
        <w:rPr>
          <w:rFonts w:hint="eastAsia" w:asciiTheme="minorEastAsia" w:hAnsiTheme="minorEastAsia" w:eastAsiaTheme="minorEastAsia" w:cstheme="minorEastAsia"/>
          <w:color w:val="auto"/>
          <w:sz w:val="21"/>
          <w:szCs w:val="21"/>
          <w:highlight w:val="none"/>
        </w:rPr>
        <w:t>后生效。</w:t>
      </w:r>
    </w:p>
    <w:p w14:paraId="4FC284EF">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十一、合同份数</w:t>
      </w:r>
    </w:p>
    <w:p w14:paraId="2E1BA47D">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本合同一式陆份，发包方贰份，承包方肆份。</w:t>
      </w:r>
    </w:p>
    <w:p w14:paraId="52EB5FEC">
      <w:pPr>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 w:val="21"/>
          <w:szCs w:val="21"/>
          <w:highlight w:val="none"/>
        </w:rPr>
      </w:pPr>
    </w:p>
    <w:p w14:paraId="63A10A37">
      <w:pPr>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发包人(公章)：</w:t>
      </w:r>
      <w:r>
        <w:rPr>
          <w:rFonts w:hint="eastAsia" w:asciiTheme="minorEastAsia" w:hAnsiTheme="minorEastAsia" w:eastAsiaTheme="minorEastAsia" w:cstheme="minorEastAsia"/>
          <w:color w:val="auto"/>
          <w:kern w:val="0"/>
          <w:sz w:val="21"/>
          <w:szCs w:val="21"/>
          <w:highlight w:val="none"/>
          <w:lang w:val="zh-CN"/>
        </w:rPr>
        <w:t>宁波市奉化区惠海</w:t>
      </w:r>
      <w:r>
        <w:rPr>
          <w:rFonts w:hint="eastAsia" w:asciiTheme="minorEastAsia" w:hAnsiTheme="minorEastAsia" w:eastAsiaTheme="minorEastAsia" w:cstheme="minorEastAsia"/>
          <w:color w:val="auto"/>
          <w:kern w:val="0"/>
          <w:sz w:val="21"/>
          <w:szCs w:val="21"/>
          <w:highlight w:val="none"/>
          <w:lang w:val="zh-CN"/>
        </w:rPr>
        <w:tab/>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承包人(公章)：</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3F2FA8FF">
      <w:pPr>
        <w:autoSpaceDE w:val="0"/>
        <w:autoSpaceDN w:val="0"/>
        <w:adjustRightInd w:val="0"/>
        <w:spacing w:line="380" w:lineRule="exact"/>
        <w:ind w:firstLine="1470" w:firstLineChars="700"/>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地下管线投资有限公司</w:t>
      </w:r>
    </w:p>
    <w:p w14:paraId="67663A1D">
      <w:pPr>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地址</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rPr>
        <w:tab/>
      </w:r>
      <w:r>
        <w:rPr>
          <w:rFonts w:hint="eastAsia" w:asciiTheme="minorEastAsia" w:hAnsiTheme="minorEastAsia" w:eastAsiaTheme="minorEastAsia" w:cstheme="minorEastAsia"/>
          <w:color w:val="auto"/>
          <w:kern w:val="0"/>
          <w:sz w:val="21"/>
          <w:szCs w:val="21"/>
          <w:highlight w:val="none"/>
        </w:rPr>
        <w:t xml:space="preserve">奉化区岳林街道中山东路518号    </w:t>
      </w:r>
      <w:r>
        <w:rPr>
          <w:rFonts w:hint="eastAsia" w:asciiTheme="minorEastAsia" w:hAnsiTheme="minorEastAsia" w:eastAsiaTheme="minorEastAsia" w:cstheme="minorEastAsia"/>
          <w:color w:val="auto"/>
          <w:kern w:val="0"/>
          <w:sz w:val="21"/>
          <w:szCs w:val="21"/>
          <w:highlight w:val="none"/>
          <w:lang w:val="en-US" w:eastAsia="zh-CN"/>
        </w:rPr>
        <w:t xml:space="preserve">   地址</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3A064EE1">
      <w:pPr>
        <w:autoSpaceDE w:val="0"/>
        <w:autoSpaceDN w:val="0"/>
        <w:adjustRightInd w:val="0"/>
        <w:spacing w:line="380" w:lineRule="exact"/>
        <w:ind w:left="521" w:leftChars="248"/>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金城大厦</w:t>
      </w:r>
      <w:r>
        <w:rPr>
          <w:rFonts w:hint="eastAsia" w:asciiTheme="minorEastAsia" w:hAnsiTheme="minorEastAsia" w:eastAsiaTheme="minorEastAsia" w:cstheme="minorEastAsia"/>
          <w:color w:val="auto"/>
          <w:kern w:val="0"/>
          <w:sz w:val="21"/>
          <w:szCs w:val="21"/>
          <w:highlight w:val="none"/>
          <w:lang w:val="en-US" w:eastAsia="zh-CN"/>
        </w:rPr>
        <w:t>A</w:t>
      </w:r>
      <w:r>
        <w:rPr>
          <w:rFonts w:hint="eastAsia" w:asciiTheme="minorEastAsia" w:hAnsiTheme="minorEastAsia" w:eastAsiaTheme="minorEastAsia" w:cstheme="minorEastAsia"/>
          <w:color w:val="auto"/>
          <w:kern w:val="0"/>
          <w:sz w:val="21"/>
          <w:szCs w:val="21"/>
          <w:highlight w:val="none"/>
        </w:rPr>
        <w:t>座1</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楼</w:t>
      </w:r>
    </w:p>
    <w:p w14:paraId="5B755E77">
      <w:pPr>
        <w:autoSpaceDE w:val="0"/>
        <w:autoSpaceDN w:val="0"/>
        <w:adjustRightInd w:val="0"/>
        <w:spacing w:line="440" w:lineRule="exact"/>
        <w:ind w:firstLine="457" w:firstLineChars="218"/>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法定代表人</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法定代表人</w:t>
      </w:r>
      <w:r>
        <w:rPr>
          <w:rFonts w:hint="eastAsia" w:asciiTheme="minorEastAsia" w:hAnsiTheme="minorEastAsia" w:eastAsiaTheme="minorEastAsia" w:cstheme="minorEastAsia"/>
          <w:color w:val="auto"/>
          <w:kern w:val="0"/>
          <w:sz w:val="21"/>
          <w:szCs w:val="21"/>
          <w:highlight w:val="none"/>
        </w:rPr>
        <w:t xml:space="preserve">： </w:t>
      </w:r>
    </w:p>
    <w:p w14:paraId="54AF4E29">
      <w:pPr>
        <w:autoSpaceDE w:val="0"/>
        <w:autoSpaceDN w:val="0"/>
        <w:adjustRightInd w:val="0"/>
        <w:spacing w:line="440" w:lineRule="exact"/>
        <w:ind w:firstLine="457" w:firstLineChars="218"/>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委托代理人</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委托代理人</w:t>
      </w:r>
      <w:r>
        <w:rPr>
          <w:rFonts w:hint="eastAsia" w:asciiTheme="minorEastAsia" w:hAnsiTheme="minorEastAsia" w:eastAsiaTheme="minorEastAsia" w:cstheme="minorEastAsia"/>
          <w:color w:val="auto"/>
          <w:kern w:val="0"/>
          <w:sz w:val="21"/>
          <w:szCs w:val="21"/>
          <w:highlight w:val="none"/>
        </w:rPr>
        <w:t>：</w:t>
      </w:r>
    </w:p>
    <w:p w14:paraId="00029119">
      <w:pPr>
        <w:autoSpaceDE w:val="0"/>
        <w:autoSpaceDN w:val="0"/>
        <w:adjustRightInd w:val="0"/>
        <w:spacing w:line="440" w:lineRule="exact"/>
        <w:ind w:firstLine="457" w:firstLineChars="218"/>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zh-CN"/>
        </w:rPr>
        <w:t>电话：0574-88967016</w:t>
      </w:r>
      <w:r>
        <w:rPr>
          <w:rFonts w:hint="eastAsia" w:asciiTheme="minorEastAsia" w:hAnsiTheme="minorEastAsia" w:eastAsiaTheme="minorEastAsia" w:cstheme="minorEastAsia"/>
          <w:color w:val="auto"/>
          <w:kern w:val="0"/>
          <w:sz w:val="21"/>
          <w:szCs w:val="21"/>
          <w:highlight w:val="none"/>
          <w:lang w:val="zh-CN"/>
        </w:rPr>
        <w:tab/>
      </w:r>
      <w:r>
        <w:rPr>
          <w:rFonts w:hint="eastAsia" w:asciiTheme="minorEastAsia" w:hAnsiTheme="minorEastAsia" w:eastAsiaTheme="minorEastAsia" w:cstheme="minorEastAsia"/>
          <w:color w:val="auto"/>
          <w:kern w:val="0"/>
          <w:sz w:val="21"/>
          <w:szCs w:val="21"/>
          <w:highlight w:val="none"/>
          <w:lang w:val="zh-CN"/>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电话：</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3083F6E0">
      <w:pPr>
        <w:autoSpaceDE w:val="0"/>
        <w:autoSpaceDN w:val="0"/>
        <w:adjustRightInd w:val="0"/>
        <w:spacing w:line="440" w:lineRule="exact"/>
        <w:ind w:left="479" w:leftChars="228" w:firstLine="35" w:firstLineChars="17"/>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 xml:space="preserve">开户银行：宁波银行股份有限公司岳林支行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开户银行：</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4835D02F">
      <w:pPr>
        <w:autoSpaceDE w:val="0"/>
        <w:autoSpaceDN w:val="0"/>
        <w:adjustRightInd w:val="0"/>
        <w:spacing w:line="440" w:lineRule="exact"/>
        <w:ind w:left="479" w:leftChars="228" w:firstLine="35" w:firstLineChars="17"/>
        <w:jc w:val="left"/>
        <w:rPr>
          <w:rFonts w:hint="default" w:eastAsia="宋体"/>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 xml:space="preserve">账号：64040122 000030230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 xml:space="preserve">账号：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     </w:t>
      </w:r>
    </w:p>
    <w:p w14:paraId="376E0198">
      <w:pPr>
        <w:spacing w:line="360" w:lineRule="auto"/>
        <w:jc w:val="center"/>
        <w:rPr>
          <w:rFonts w:hint="eastAsia" w:ascii="宋体" w:hAnsi="宋体" w:cs="宋体"/>
          <w:b/>
          <w:bCs/>
          <w:color w:val="auto"/>
          <w:sz w:val="21"/>
          <w:szCs w:val="21"/>
          <w:highlight w:val="none"/>
        </w:rPr>
      </w:pPr>
    </w:p>
    <w:p w14:paraId="607273B2">
      <w:pPr>
        <w:spacing w:line="360" w:lineRule="auto"/>
        <w:jc w:val="center"/>
        <w:rPr>
          <w:rFonts w:hint="eastAsia" w:ascii="宋体" w:hAnsi="宋体" w:cs="宋体"/>
          <w:b/>
          <w:bCs/>
          <w:color w:val="auto"/>
          <w:sz w:val="21"/>
          <w:szCs w:val="21"/>
          <w:highlight w:val="none"/>
        </w:rPr>
      </w:pPr>
    </w:p>
    <w:p w14:paraId="2DC4D438">
      <w:pPr>
        <w:spacing w:line="360" w:lineRule="auto"/>
        <w:jc w:val="center"/>
        <w:rPr>
          <w:rFonts w:hint="eastAsia" w:ascii="宋体" w:hAnsi="宋体" w:cs="宋体"/>
          <w:b/>
          <w:bCs/>
          <w:color w:val="auto"/>
          <w:sz w:val="21"/>
          <w:szCs w:val="21"/>
          <w:highlight w:val="none"/>
        </w:rPr>
      </w:pPr>
    </w:p>
    <w:p w14:paraId="31D60A8D">
      <w:pPr>
        <w:spacing w:line="360" w:lineRule="auto"/>
        <w:jc w:val="center"/>
        <w:rPr>
          <w:rFonts w:hint="eastAsia" w:ascii="宋体" w:hAnsi="宋体" w:cs="宋体"/>
          <w:b/>
          <w:bCs/>
          <w:color w:val="auto"/>
          <w:sz w:val="21"/>
          <w:szCs w:val="21"/>
          <w:highlight w:val="none"/>
        </w:rPr>
      </w:pPr>
    </w:p>
    <w:p w14:paraId="5205237D">
      <w:pPr>
        <w:spacing w:line="360" w:lineRule="auto"/>
        <w:jc w:val="center"/>
        <w:rPr>
          <w:rFonts w:hint="eastAsia" w:ascii="宋体" w:hAnsi="宋体" w:cs="宋体"/>
          <w:b/>
          <w:bCs/>
          <w:color w:val="auto"/>
          <w:sz w:val="21"/>
          <w:szCs w:val="21"/>
          <w:highlight w:val="none"/>
        </w:rPr>
      </w:pPr>
    </w:p>
    <w:p w14:paraId="46DE22CC">
      <w:pPr>
        <w:pStyle w:val="33"/>
        <w:ind w:left="0" w:leftChars="0" w:firstLine="0" w:firstLineChars="0"/>
        <w:rPr>
          <w:rFonts w:hint="eastAsia" w:ascii="宋体" w:hAnsi="宋体" w:cs="宋体"/>
          <w:b/>
          <w:bCs/>
          <w:color w:val="auto"/>
          <w:sz w:val="21"/>
          <w:szCs w:val="21"/>
          <w:highlight w:val="none"/>
        </w:rPr>
      </w:pPr>
    </w:p>
    <w:p w14:paraId="6F92A04E">
      <w:pPr>
        <w:pStyle w:val="33"/>
        <w:ind w:left="0" w:leftChars="0" w:firstLine="0" w:firstLineChars="0"/>
        <w:rPr>
          <w:rFonts w:hint="eastAsia" w:ascii="宋体" w:hAnsi="宋体" w:cs="宋体"/>
          <w:b/>
          <w:bCs/>
          <w:color w:val="auto"/>
          <w:sz w:val="21"/>
          <w:szCs w:val="21"/>
          <w:highlight w:val="none"/>
        </w:rPr>
      </w:pPr>
    </w:p>
    <w:p w14:paraId="61424613">
      <w:pPr>
        <w:spacing w:line="360" w:lineRule="auto"/>
        <w:jc w:val="center"/>
        <w:rPr>
          <w:rFonts w:hint="eastAsia" w:ascii="宋体" w:hAnsi="宋体" w:cs="宋体"/>
          <w:b/>
          <w:color w:val="auto"/>
          <w:sz w:val="21"/>
          <w:szCs w:val="21"/>
          <w:highlight w:val="none"/>
        </w:rPr>
      </w:pPr>
      <w:r>
        <w:rPr>
          <w:rFonts w:hint="eastAsia" w:ascii="宋体" w:hAnsi="宋体" w:cs="宋体"/>
          <w:b/>
          <w:bCs/>
          <w:color w:val="auto"/>
          <w:sz w:val="21"/>
          <w:szCs w:val="21"/>
          <w:highlight w:val="none"/>
        </w:rPr>
        <w:t>第二部分</w:t>
      </w:r>
      <w:r>
        <w:rPr>
          <w:rFonts w:hint="eastAsia" w:ascii="宋体" w:hAnsi="宋体" w:cs="宋体"/>
          <w:b/>
          <w:color w:val="auto"/>
          <w:sz w:val="21"/>
          <w:szCs w:val="21"/>
          <w:highlight w:val="none"/>
        </w:rPr>
        <w:t xml:space="preserve"> 通用合同条款</w:t>
      </w:r>
    </w:p>
    <w:p w14:paraId="5BDFBAC2">
      <w:pPr>
        <w:spacing w:line="420" w:lineRule="exact"/>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通用合同条款直接引用建市[2017]214号“住房城乡建设部、工商总局关于印发建设工程施工合同（示范文本）的通知”附件《建设工程施工合同（示范文本）（GF-2017-0201）第二部分“通用合同条款”内容。</w:t>
      </w:r>
    </w:p>
    <w:p w14:paraId="6F97E1FB">
      <w:pPr>
        <w:spacing w:line="360" w:lineRule="auto"/>
        <w:rPr>
          <w:rFonts w:hint="eastAsia" w:ascii="宋体" w:hAnsi="宋体" w:cs="宋体"/>
          <w:color w:val="auto"/>
          <w:sz w:val="21"/>
          <w:szCs w:val="21"/>
          <w:highlight w:val="none"/>
        </w:rPr>
      </w:pPr>
    </w:p>
    <w:p w14:paraId="687E879C">
      <w:pPr>
        <w:pStyle w:val="4"/>
        <w:spacing w:before="120" w:line="360" w:lineRule="auto"/>
        <w:jc w:val="center"/>
        <w:rPr>
          <w:rFonts w:hint="eastAsia" w:ascii="宋体" w:hAnsi="宋体" w:cs="宋体"/>
          <w:color w:val="auto"/>
          <w:sz w:val="21"/>
          <w:szCs w:val="21"/>
          <w:highlight w:val="none"/>
        </w:rPr>
      </w:pPr>
      <w:bookmarkStart w:id="395" w:name="_Toc364853223"/>
      <w:r>
        <w:rPr>
          <w:rFonts w:hint="eastAsia" w:ascii="宋体" w:hAnsi="宋体" w:cs="宋体"/>
          <w:color w:val="auto"/>
          <w:sz w:val="21"/>
          <w:szCs w:val="21"/>
          <w:highlight w:val="none"/>
        </w:rPr>
        <w:t>第三部分 专用合同条款</w:t>
      </w:r>
      <w:bookmarkEnd w:id="395"/>
    </w:p>
    <w:p w14:paraId="1C3B214C">
      <w:pPr>
        <w:spacing w:line="420" w:lineRule="exact"/>
        <w:ind w:firstLine="420" w:firstLineChars="200"/>
        <w:rPr>
          <w:rFonts w:hint="eastAsia" w:ascii="宋体" w:hAnsi="宋体"/>
          <w:color w:val="auto"/>
          <w:kern w:val="0"/>
          <w:sz w:val="21"/>
          <w:szCs w:val="21"/>
          <w:highlight w:val="none"/>
        </w:rPr>
      </w:pPr>
      <w:bookmarkStart w:id="396" w:name="_Toc364853224"/>
      <w:r>
        <w:rPr>
          <w:rFonts w:hint="eastAsia" w:ascii="宋体" w:hAnsi="宋体"/>
          <w:color w:val="auto"/>
          <w:kern w:val="0"/>
          <w:sz w:val="21"/>
          <w:szCs w:val="21"/>
          <w:highlight w:val="none"/>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01EB4B7F">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 一般约定</w:t>
      </w:r>
      <w:bookmarkEnd w:id="396"/>
    </w:p>
    <w:p w14:paraId="31BF52AE">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 xml:space="preserve">1.3 法律 </w:t>
      </w:r>
    </w:p>
    <w:p w14:paraId="3DEAF3A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适用于合同的其他规范性文件：浙江省、宁波市有关工程建设的法规、规章及规范性文件。</w:t>
      </w:r>
    </w:p>
    <w:p w14:paraId="13A2B6F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1.4 标准和规范</w:t>
      </w:r>
    </w:p>
    <w:p w14:paraId="54E3705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1.4.1适用于工程的标准规范包括：浙江省、宁波市工程建设相关的施工及验收规范和标准。</w:t>
      </w:r>
    </w:p>
    <w:p w14:paraId="2BC5208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1.5 合同文件的优先顺序</w:t>
      </w:r>
    </w:p>
    <w:p w14:paraId="1472370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合同文件的优先解释顺序执行通用条款。</w:t>
      </w:r>
    </w:p>
    <w:p w14:paraId="467B2FC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1.6 图纸和承包人文件</w:t>
      </w:r>
      <w:r>
        <w:rPr>
          <w:rFonts w:hint="eastAsia" w:hAnsi="宋体" w:cs="宋体"/>
          <w:color w:val="auto"/>
          <w:sz w:val="21"/>
          <w:szCs w:val="21"/>
          <w:highlight w:val="none"/>
        </w:rPr>
        <w:tab/>
      </w:r>
    </w:p>
    <w:p w14:paraId="386CC6F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1.6.1图纸的提供</w:t>
      </w:r>
    </w:p>
    <w:p w14:paraId="58C5C99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发包人向承包人提供图纸的期限：向承包人发出成交确认书后3天内；</w:t>
      </w:r>
    </w:p>
    <w:p w14:paraId="0AB392F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发包人向承包人提供图纸的数量：一式五套；</w:t>
      </w:r>
    </w:p>
    <w:p w14:paraId="0A6216D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发包人向承包人提供图纸的内容：工程承包范围内的各专业工程。</w:t>
      </w:r>
    </w:p>
    <w:p w14:paraId="4A804A1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1.6.4 承包人文件</w:t>
      </w:r>
    </w:p>
    <w:p w14:paraId="5B865FF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需要由承包人提供的文件，包括：施工组织设计、工程进度计划、专项施工方案、加工图、大样图、协调配合图等；</w:t>
      </w:r>
    </w:p>
    <w:p w14:paraId="0CD005A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承包人提供的文件的期限为：施工组织设计、工程进度计划在工程开工前7天，其他文件在相应专项工程或部位施工前7天；</w:t>
      </w:r>
    </w:p>
    <w:p w14:paraId="3EABE3B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承包人提供的文件的数量为：一式五套；</w:t>
      </w:r>
    </w:p>
    <w:p w14:paraId="157FFC7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1.6.5 现场图纸准备</w:t>
      </w:r>
    </w:p>
    <w:p w14:paraId="7F5CF95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关于现场图纸准备的约定：承包人在施工现场保存至少一套完整的图纸和承包人文件。</w:t>
      </w:r>
    </w:p>
    <w:p w14:paraId="38B90ECD">
      <w:pPr>
        <w:spacing w:line="45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1.7联络</w:t>
      </w:r>
    </w:p>
    <w:p w14:paraId="641DE92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1.7.1发包人和承包人应当在通用条款规定的时间内将与合同有关的通知、批准、证明、证书、指示、指令、要求、请求、同意、意见、确定和决定等书面函件送达对方当事人。</w:t>
      </w:r>
    </w:p>
    <w:p w14:paraId="5E5F658D">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1.7.2发包人接收文件的地点：</w:t>
      </w:r>
      <w:r>
        <w:rPr>
          <w:rFonts w:hint="eastAsia" w:ascii="宋体" w:hAnsi="宋体" w:cs="宋体"/>
          <w:color w:val="auto"/>
          <w:sz w:val="21"/>
          <w:szCs w:val="21"/>
          <w:highlight w:val="none"/>
          <w:u w:val="single"/>
        </w:rPr>
        <w:t>发包人驻项目办公所在地</w:t>
      </w:r>
      <w:r>
        <w:rPr>
          <w:rFonts w:hint="eastAsia" w:ascii="宋体" w:hAnsi="宋体" w:cs="宋体"/>
          <w:color w:val="auto"/>
          <w:sz w:val="21"/>
          <w:szCs w:val="21"/>
          <w:highlight w:val="none"/>
        </w:rPr>
        <w:t>；</w:t>
      </w:r>
    </w:p>
    <w:p w14:paraId="43756CC5">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发包人指定的接收人为：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35958AF">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5312ABBC">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4AE0890">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0CFF9F89">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CE49ED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1.10 交通运输</w:t>
      </w:r>
    </w:p>
    <w:p w14:paraId="0D3E07F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1.10.1 出入现场的权利：执行通用条款。</w:t>
      </w:r>
    </w:p>
    <w:p w14:paraId="5410BF1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1.10.3 关于场外交通和场内交通边界的约定：</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14:paraId="58E1C51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1.10.4 超大件和超重件的运输</w:t>
      </w:r>
    </w:p>
    <w:p w14:paraId="09D3653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承包人</w:t>
      </w:r>
      <w:r>
        <w:rPr>
          <w:rFonts w:hint="eastAsia" w:ascii="宋体" w:hAnsi="宋体" w:cs="宋体"/>
          <w:color w:val="auto"/>
          <w:sz w:val="21"/>
          <w:szCs w:val="21"/>
          <w:highlight w:val="none"/>
        </w:rPr>
        <w:t xml:space="preserve">承担。 </w:t>
      </w:r>
    </w:p>
    <w:p w14:paraId="277B8CB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1.11 知识产权</w:t>
      </w:r>
    </w:p>
    <w:p w14:paraId="1FA520B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关于本合同的知识产权、使用及使用费用约定：执行通用条款。</w:t>
      </w:r>
    </w:p>
    <w:p w14:paraId="41F9F6D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1.13工程量清单错误的修正</w:t>
      </w:r>
    </w:p>
    <w:p w14:paraId="017A3D21">
      <w:pPr>
        <w:spacing w:line="450" w:lineRule="exact"/>
        <w:ind w:firstLine="420" w:firstLineChars="200"/>
        <w:rPr>
          <w:rFonts w:hint="eastAsia" w:ascii="宋体" w:hAnsi="宋体" w:cs="宋体"/>
          <w:color w:val="auto"/>
          <w:sz w:val="21"/>
          <w:szCs w:val="21"/>
          <w:highlight w:val="none"/>
        </w:rPr>
      </w:pPr>
      <w:bookmarkStart w:id="397" w:name="_Toc364853225"/>
      <w:r>
        <w:rPr>
          <w:rFonts w:hint="eastAsia" w:ascii="宋体" w:hAnsi="宋体" w:cs="宋体"/>
          <w:color w:val="auto"/>
          <w:sz w:val="21"/>
          <w:szCs w:val="21"/>
          <w:highlight w:val="none"/>
        </w:rPr>
        <w:t>允许对下列工程量清单的错误进行调整：（1）工程量清单存在缺项、漏项；（2）任一招标工程量清单项目的工程量有偏差；（3）未按照国家现行计量规范强制性规定计量。</w:t>
      </w:r>
    </w:p>
    <w:p w14:paraId="4A041A1A">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 发包人</w:t>
      </w:r>
      <w:bookmarkEnd w:id="397"/>
    </w:p>
    <w:p w14:paraId="612F998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2.2 发包人代表</w:t>
      </w:r>
    </w:p>
    <w:p w14:paraId="7456C4A2">
      <w:pPr>
        <w:pStyle w:val="67"/>
        <w:spacing w:before="120" w:line="360" w:lineRule="auto"/>
        <w:ind w:firstLine="399" w:firstLineChars="190"/>
        <w:rPr>
          <w:rFonts w:hint="eastAsia" w:ascii="仿宋_GB2312" w:hAnsi="宋体" w:eastAsia="仿宋_GB2312"/>
          <w:color w:val="auto"/>
          <w:sz w:val="21"/>
          <w:szCs w:val="21"/>
          <w:highlight w:val="none"/>
          <w:u w:val="single"/>
        </w:rPr>
      </w:pPr>
      <w:r>
        <w:rPr>
          <w:rFonts w:hint="eastAsia" w:ascii="宋体" w:hAnsi="宋体" w:eastAsia="宋体" w:cs="宋体"/>
          <w:b w:val="0"/>
          <w:color w:val="auto"/>
          <w:kern w:val="2"/>
          <w:sz w:val="21"/>
          <w:szCs w:val="21"/>
          <w:highlight w:val="none"/>
          <w:lang w:val="en-US" w:eastAsia="zh-CN" w:bidi="ar-SA"/>
        </w:rPr>
        <w:t>发包人代表姓名：</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778B8157">
      <w:pPr>
        <w:pStyle w:val="67"/>
        <w:spacing w:before="120" w:line="360" w:lineRule="auto"/>
        <w:ind w:firstLine="399" w:firstLineChars="190"/>
        <w:rPr>
          <w:rFonts w:hint="eastAsia" w:ascii="仿宋_GB2312" w:hAnsi="宋体" w:eastAsia="仿宋_GB2312"/>
          <w:color w:val="auto"/>
          <w:sz w:val="21"/>
          <w:szCs w:val="21"/>
          <w:highlight w:val="none"/>
          <w:u w:val="single"/>
        </w:rPr>
      </w:pPr>
      <w:r>
        <w:rPr>
          <w:rFonts w:hint="eastAsia" w:ascii="宋体" w:hAnsi="宋体" w:eastAsia="宋体" w:cs="宋体"/>
          <w:b w:val="0"/>
          <w:color w:val="auto"/>
          <w:kern w:val="2"/>
          <w:sz w:val="21"/>
          <w:szCs w:val="21"/>
          <w:highlight w:val="none"/>
          <w:lang w:val="en-US" w:eastAsia="zh-CN" w:bidi="ar-SA"/>
        </w:rPr>
        <w:t>身份证号码：</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3DF7D034">
      <w:pPr>
        <w:pStyle w:val="67"/>
        <w:spacing w:before="120" w:line="360" w:lineRule="auto"/>
        <w:ind w:firstLine="399" w:firstLineChars="190"/>
        <w:rPr>
          <w:rFonts w:hint="eastAsia" w:ascii="仿宋_GB2312" w:hAnsi="宋体" w:eastAsia="仿宋_GB2312"/>
          <w:color w:val="auto"/>
          <w:sz w:val="21"/>
          <w:szCs w:val="21"/>
          <w:highlight w:val="none"/>
        </w:rPr>
      </w:pPr>
      <w:r>
        <w:rPr>
          <w:rFonts w:hint="eastAsia" w:ascii="宋体" w:hAnsi="宋体" w:eastAsia="宋体" w:cs="宋体"/>
          <w:b w:val="0"/>
          <w:color w:val="auto"/>
          <w:kern w:val="2"/>
          <w:sz w:val="21"/>
          <w:szCs w:val="21"/>
          <w:highlight w:val="none"/>
          <w:lang w:val="en-US" w:eastAsia="zh-CN" w:bidi="ar-SA"/>
        </w:rPr>
        <w:t>联系电话：</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1E8126B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0FD2CAF9">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2.5 资金来源证明及支付担保</w:t>
      </w:r>
    </w:p>
    <w:p w14:paraId="28555019">
      <w:pPr>
        <w:spacing w:line="450" w:lineRule="exact"/>
        <w:ind w:firstLine="420" w:firstLineChars="200"/>
        <w:rPr>
          <w:rFonts w:hint="eastAsia" w:ascii="宋体" w:hAnsi="宋体" w:cs="宋体"/>
          <w:color w:val="auto"/>
          <w:sz w:val="21"/>
          <w:szCs w:val="21"/>
          <w:highlight w:val="none"/>
        </w:rPr>
      </w:pPr>
      <w:bookmarkStart w:id="398" w:name="_Toc364853226"/>
      <w:r>
        <w:rPr>
          <w:rFonts w:hint="eastAsia" w:ascii="宋体" w:hAnsi="宋体" w:cs="宋体"/>
          <w:color w:val="auto"/>
          <w:sz w:val="21"/>
          <w:szCs w:val="21"/>
          <w:highlight w:val="none"/>
        </w:rPr>
        <w:t>按《宁波市房屋建筑和市政基础设施工程担保管理办法（试行）》规定，发包人</w:t>
      </w:r>
      <w:r>
        <w:rPr>
          <w:rFonts w:hint="eastAsia" w:ascii="宋体" w:hAnsi="宋体" w:cs="宋体"/>
          <w:color w:val="auto"/>
          <w:kern w:val="0"/>
          <w:sz w:val="21"/>
          <w:szCs w:val="21"/>
          <w:highlight w:val="none"/>
          <w:u w:val="single"/>
        </w:rPr>
        <w:t xml:space="preserve">不需 </w:t>
      </w:r>
      <w:r>
        <w:rPr>
          <w:rFonts w:hint="eastAsia" w:ascii="宋体" w:hAnsi="宋体" w:cs="宋体"/>
          <w:color w:val="auto"/>
          <w:sz w:val="21"/>
          <w:szCs w:val="21"/>
          <w:highlight w:val="none"/>
        </w:rPr>
        <w:t>向承包人提供合同款的支付担保。</w:t>
      </w:r>
    </w:p>
    <w:p w14:paraId="2EE41441">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 承包人</w:t>
      </w:r>
      <w:bookmarkEnd w:id="398"/>
    </w:p>
    <w:p w14:paraId="5EDE73E6">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3.1 承包人的一般义务</w:t>
      </w:r>
    </w:p>
    <w:p w14:paraId="10E7758C">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kern w:val="0"/>
          <w:sz w:val="21"/>
          <w:szCs w:val="21"/>
          <w:highlight w:val="none"/>
        </w:rPr>
        <w:t>（9）</w:t>
      </w:r>
      <w:r>
        <w:rPr>
          <w:rFonts w:hint="eastAsia" w:ascii="宋体" w:hAnsi="宋体" w:cs="宋体"/>
          <w:color w:val="auto"/>
          <w:sz w:val="21"/>
          <w:szCs w:val="21"/>
          <w:highlight w:val="none"/>
        </w:rPr>
        <w:t>承包人应在具备竣工验收合格条件后2个月内按宁波市奉化区城建档案归档要求向发包人提交竣工资料，至少包括纸质及电子资料各3套，为此产生的费用由承包人承担。</w:t>
      </w:r>
    </w:p>
    <w:p w14:paraId="0C4C7E13">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3.2 项目经理</w:t>
      </w:r>
    </w:p>
    <w:p w14:paraId="0E8117C6">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项目经理姓名：</w:t>
      </w:r>
      <w:r>
        <w:rPr>
          <w:rFonts w:hint="eastAsia" w:hAnsi="宋体" w:cs="宋体"/>
          <w:color w:val="auto"/>
          <w:sz w:val="21"/>
          <w:szCs w:val="21"/>
          <w:highlight w:val="none"/>
          <w:u w:val="single"/>
          <w:lang w:val="en-US" w:eastAsia="zh-CN"/>
        </w:rPr>
        <w:t xml:space="preserve">                      </w:t>
      </w:r>
    </w:p>
    <w:p w14:paraId="6456BB6B">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lang w:val="en-US" w:eastAsia="zh-CN"/>
        </w:rPr>
        <w:t xml:space="preserve">                      </w:t>
      </w:r>
    </w:p>
    <w:p w14:paraId="02578B75">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1EE70952">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安全员姓名：</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p>
    <w:p w14:paraId="5AEFFB9B">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47C13563">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067D6D9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3.2.1承包人委派的项目</w:t>
      </w:r>
      <w:r>
        <w:rPr>
          <w:rFonts w:hint="eastAsia" w:ascii="宋体" w:hAnsi="宋体" w:cs="宋体"/>
          <w:color w:val="auto"/>
          <w:sz w:val="21"/>
          <w:szCs w:val="21"/>
          <w:highlight w:val="none"/>
        </w:rPr>
        <w:t>经理</w:t>
      </w:r>
      <w:r>
        <w:rPr>
          <w:rFonts w:hint="eastAsia" w:ascii="宋体" w:hAnsi="宋体" w:cs="宋体"/>
          <w:color w:val="auto"/>
          <w:kern w:val="0"/>
          <w:sz w:val="21"/>
          <w:szCs w:val="21"/>
          <w:highlight w:val="none"/>
        </w:rPr>
        <w:t>及其执业行为应遵守通用条款约定，违反约定的，按本专用条款约定，承担违约责任。</w:t>
      </w:r>
    </w:p>
    <w:p w14:paraId="128F816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0982A19D">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（2）承包人对项目经理的授权范围如下：在承</w:t>
      </w:r>
      <w:r>
        <w:rPr>
          <w:rFonts w:hint="eastAsia" w:ascii="宋体" w:hAnsi="宋体" w:cs="宋体"/>
          <w:color w:val="auto"/>
          <w:kern w:val="0"/>
          <w:sz w:val="21"/>
          <w:szCs w:val="21"/>
          <w:highlight w:val="none"/>
        </w:rPr>
        <w:t>包人授权范围内履行承包人的职权，对工程建设的质量、安全、工期以及工程造价控制负责，所有上报给发包人的文件均需项目经理签字。</w:t>
      </w:r>
    </w:p>
    <w:p w14:paraId="0E49E15C">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（3）承包人未提交劳动合同，以及没有为项目经理缴纳社会保险证明的违约责任：发包人有权解除合同，由此造成的费用增加和工期延误损失均由承包人承担。</w:t>
      </w:r>
    </w:p>
    <w:p w14:paraId="370A929B">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（4）关于项目经理每月在施工现场的时间要求：每月在施工现场时间不得少于</w:t>
      </w:r>
      <w:r>
        <w:rPr>
          <w:rFonts w:hint="eastAsia" w:ascii="宋体" w:hAnsi="宋体" w:cs="宋体"/>
          <w:color w:val="auto"/>
          <w:kern w:val="0"/>
          <w:sz w:val="21"/>
          <w:szCs w:val="21"/>
          <w:highlight w:val="none"/>
          <w:u w:val="single"/>
        </w:rPr>
        <w:t xml:space="preserve"> 25</w:t>
      </w:r>
      <w:r>
        <w:rPr>
          <w:rFonts w:hint="eastAsia" w:ascii="宋体" w:hAnsi="宋体" w:cs="宋体"/>
          <w:color w:val="auto"/>
          <w:kern w:val="0"/>
          <w:sz w:val="21"/>
          <w:szCs w:val="21"/>
          <w:highlight w:val="none"/>
        </w:rPr>
        <w:t>天，每天工作时间不得少于</w:t>
      </w:r>
      <w:r>
        <w:rPr>
          <w:rFonts w:hint="eastAsia" w:ascii="宋体" w:hAnsi="宋体" w:cs="宋体"/>
          <w:color w:val="auto"/>
          <w:kern w:val="0"/>
          <w:sz w:val="21"/>
          <w:szCs w:val="21"/>
          <w:highlight w:val="none"/>
          <w:u w:val="single"/>
        </w:rPr>
        <w:t xml:space="preserve"> 8 </w:t>
      </w:r>
      <w:r>
        <w:rPr>
          <w:rFonts w:hint="eastAsia" w:ascii="宋体" w:hAnsi="宋体" w:cs="宋体"/>
          <w:color w:val="auto"/>
          <w:kern w:val="0"/>
          <w:sz w:val="21"/>
          <w:szCs w:val="21"/>
          <w:highlight w:val="none"/>
        </w:rPr>
        <w:t>小时，且重要工程例会及验收环节等必须由项目经理参加。</w:t>
      </w:r>
    </w:p>
    <w:p w14:paraId="7A66BC98">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（5）项目经理未经批准，擅自离开施工现场的违约责任：处违约金</w:t>
      </w:r>
      <w:r>
        <w:rPr>
          <w:rFonts w:hint="eastAsia" w:ascii="宋体" w:hAnsi="宋体" w:cs="宋体"/>
          <w:color w:val="auto"/>
          <w:kern w:val="0"/>
          <w:sz w:val="21"/>
          <w:szCs w:val="21"/>
          <w:highlight w:val="none"/>
          <w:u w:val="single"/>
        </w:rPr>
        <w:t>1000</w:t>
      </w:r>
      <w:r>
        <w:rPr>
          <w:rFonts w:hint="eastAsia" w:ascii="宋体" w:hAnsi="宋体" w:cs="宋体"/>
          <w:color w:val="auto"/>
          <w:kern w:val="0"/>
          <w:sz w:val="21"/>
          <w:szCs w:val="21"/>
          <w:highlight w:val="none"/>
        </w:rPr>
        <w:t>元/次，违约金从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w:t>
      </w:r>
    </w:p>
    <w:p w14:paraId="788B60B1">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发包人对项目经理擅自离开施工现场的违约处理，应根据监理人对项目经理的考勤结果进行。</w:t>
      </w:r>
    </w:p>
    <w:p w14:paraId="527D943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3.2.3 承包人擅自更换项目经理的违约责任：处违约金</w:t>
      </w:r>
      <w:r>
        <w:rPr>
          <w:rFonts w:hint="eastAsia" w:ascii="宋体" w:hAnsi="宋体" w:cs="宋体"/>
          <w:color w:val="auto"/>
          <w:kern w:val="0"/>
          <w:sz w:val="21"/>
          <w:szCs w:val="21"/>
          <w:highlight w:val="none"/>
          <w:u w:val="single"/>
        </w:rPr>
        <w:t xml:space="preserve"> 10000 </w:t>
      </w:r>
      <w:r>
        <w:rPr>
          <w:rFonts w:hint="eastAsia" w:ascii="宋体" w:hAnsi="宋体" w:cs="宋体"/>
          <w:color w:val="auto"/>
          <w:kern w:val="0"/>
          <w:sz w:val="21"/>
          <w:szCs w:val="21"/>
          <w:highlight w:val="none"/>
        </w:rPr>
        <w:t>元/次，违约金从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中承诺的“未履行项目经理及主要施工管理人员到场承诺违约金限额”中扣除，该项限额不足时，发包人有权向承包人追偿，且有权拒绝接受其擅自更换的项目经理。</w:t>
      </w:r>
    </w:p>
    <w:p w14:paraId="65D61BC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中承诺的“未履行项目经理及主要施工管理人员到场承诺违约金限额”。情节严重的，发包人有权解除合同，由此造成的一切损失由承包人承担。</w:t>
      </w:r>
    </w:p>
    <w:p w14:paraId="648B763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3.3 承包人人员</w:t>
      </w:r>
    </w:p>
    <w:p w14:paraId="7C38FC4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3.3.1 承包人应接到开工通知后7天内提交与</w:t>
      </w:r>
      <w:r>
        <w:rPr>
          <w:rFonts w:hint="eastAsia" w:ascii="宋体" w:hAnsi="宋体" w:cs="宋体"/>
          <w:color w:val="auto"/>
          <w:sz w:val="21"/>
          <w:szCs w:val="21"/>
          <w:highlight w:val="none"/>
        </w:rPr>
        <w:t>投标时所承诺的人员一致的</w:t>
      </w:r>
      <w:r>
        <w:rPr>
          <w:rFonts w:hint="eastAsia" w:ascii="宋体" w:hAnsi="宋体" w:cs="宋体"/>
          <w:color w:val="auto"/>
          <w:kern w:val="0"/>
          <w:sz w:val="21"/>
          <w:szCs w:val="21"/>
          <w:highlight w:val="none"/>
        </w:rPr>
        <w:t>项目管理机构及施工现场管理人员安排报告。</w:t>
      </w:r>
    </w:p>
    <w:p w14:paraId="6F541A13">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中承诺中的“未履行项目经理及主要施工管理人员到场承诺违约金限额”。</w:t>
      </w:r>
    </w:p>
    <w:p w14:paraId="5AE398A9">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5E563FE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3.3.5 承包人擅自更换主要施工管理人员的违约责任：处违约金5000元/人/次，违约金从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中承诺中的“未履行项目经理及主要施工管理人员到场承诺违约金限额”中扣除，该项限额不足时，发包人有权向承包人追偿，且有权拒绝接受其擅自更换的主要施工管理人员。</w:t>
      </w:r>
    </w:p>
    <w:p w14:paraId="2198FE9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承包人主要施工管理人员擅自离开施工现场的违约责任：处违约金2000元/人/次，违约金从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w:t>
      </w:r>
    </w:p>
    <w:p w14:paraId="22F562B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3.5 分包</w:t>
      </w:r>
    </w:p>
    <w:p w14:paraId="45A803EA">
      <w:pPr>
        <w:pStyle w:val="67"/>
        <w:spacing w:before="120" w:line="450" w:lineRule="exact"/>
        <w:ind w:firstLine="399" w:firstLineChars="190"/>
        <w:rPr>
          <w:rFonts w:hint="eastAsia" w:hAnsi="宋体" w:cs="宋体"/>
          <w:b w:val="0"/>
          <w:bCs/>
          <w:color w:val="auto"/>
          <w:kern w:val="0"/>
          <w:sz w:val="21"/>
          <w:szCs w:val="21"/>
          <w:highlight w:val="none"/>
        </w:rPr>
      </w:pPr>
      <w:r>
        <w:rPr>
          <w:rFonts w:hint="eastAsia" w:hAnsi="宋体" w:cs="宋体"/>
          <w:b w:val="0"/>
          <w:bCs/>
          <w:color w:val="auto"/>
          <w:kern w:val="0"/>
          <w:sz w:val="21"/>
          <w:szCs w:val="21"/>
          <w:highlight w:val="none"/>
        </w:rPr>
        <w:t>不允许。</w:t>
      </w:r>
    </w:p>
    <w:p w14:paraId="6292045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3.6 工程照管与成品、半成品保护</w:t>
      </w:r>
    </w:p>
    <w:p w14:paraId="29F6AA88">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工程照管与成品、半成品保护有关约定：执行通用条款。</w:t>
      </w:r>
    </w:p>
    <w:p w14:paraId="06CABDDF">
      <w:pPr>
        <w:pStyle w:val="67"/>
        <w:spacing w:before="120" w:line="450" w:lineRule="exact"/>
        <w:ind w:firstLine="401" w:firstLineChars="190"/>
        <w:rPr>
          <w:rFonts w:hint="eastAsia" w:hAnsi="宋体" w:cs="宋体"/>
          <w:color w:val="auto"/>
          <w:sz w:val="21"/>
          <w:szCs w:val="21"/>
          <w:highlight w:val="none"/>
        </w:rPr>
      </w:pPr>
      <w:bookmarkStart w:id="399" w:name="_Toc364853227"/>
      <w:r>
        <w:rPr>
          <w:rFonts w:hint="eastAsia" w:hAnsi="宋体" w:cs="宋体"/>
          <w:color w:val="auto"/>
          <w:sz w:val="21"/>
          <w:szCs w:val="21"/>
          <w:highlight w:val="none"/>
        </w:rPr>
        <w:t>3.7 履约担保</w:t>
      </w:r>
    </w:p>
    <w:p w14:paraId="646F8281">
      <w:pPr>
        <w:pStyle w:val="67"/>
        <w:spacing w:before="120" w:line="450" w:lineRule="exact"/>
        <w:ind w:left="120" w:hanging="105" w:hanging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（1）承包人提供的履约担保形式为</w:t>
      </w:r>
      <w:r>
        <w:rPr>
          <w:rFonts w:hint="eastAsia" w:hAnsi="宋体" w:cs="宋体"/>
          <w:b w:val="0"/>
          <w:color w:val="auto"/>
          <w:kern w:val="0"/>
          <w:sz w:val="21"/>
          <w:szCs w:val="21"/>
          <w:highlight w:val="none"/>
          <w:u w:val="single"/>
        </w:rPr>
        <w:t xml:space="preserve">  </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rPr>
        <w:t xml:space="preserve">（ A、履约保函；/  B、履约保证金电汇、/  </w:t>
      </w:r>
      <w:r>
        <w:rPr>
          <w:rFonts w:hint="eastAsia" w:hAnsi="宋体" w:cs="宋体"/>
          <w:b w:val="0"/>
          <w:color w:val="auto"/>
          <w:kern w:val="0"/>
          <w:sz w:val="21"/>
          <w:szCs w:val="21"/>
          <w:highlight w:val="none"/>
          <w:lang w:val="en-US" w:eastAsia="zh-CN"/>
        </w:rPr>
        <w:t>C</w:t>
      </w:r>
      <w:r>
        <w:rPr>
          <w:rFonts w:hint="eastAsia" w:hAnsi="宋体" w:cs="宋体"/>
          <w:b w:val="0"/>
          <w:color w:val="auto"/>
          <w:kern w:val="0"/>
          <w:sz w:val="21"/>
          <w:szCs w:val="21"/>
          <w:highlight w:val="none"/>
        </w:rPr>
        <w:t xml:space="preserve">、银行支票、/ </w:t>
      </w:r>
      <w:r>
        <w:rPr>
          <w:rFonts w:hint="eastAsia" w:hAnsi="宋体" w:cs="宋体"/>
          <w:b w:val="0"/>
          <w:color w:val="auto"/>
          <w:kern w:val="0"/>
          <w:sz w:val="21"/>
          <w:szCs w:val="21"/>
          <w:highlight w:val="none"/>
          <w:lang w:val="en-US" w:eastAsia="zh-CN"/>
        </w:rPr>
        <w:t>D</w:t>
      </w:r>
      <w:r>
        <w:rPr>
          <w:rFonts w:hint="eastAsia" w:hAnsi="宋体" w:cs="宋体"/>
          <w:b w:val="0"/>
          <w:color w:val="auto"/>
          <w:kern w:val="0"/>
          <w:sz w:val="21"/>
          <w:szCs w:val="21"/>
          <w:highlight w:val="none"/>
        </w:rPr>
        <w:t xml:space="preserve">、银行保函、/  </w:t>
      </w:r>
      <w:r>
        <w:rPr>
          <w:rFonts w:hint="eastAsia" w:hAnsi="宋体" w:cs="宋体"/>
          <w:b w:val="0"/>
          <w:color w:val="auto"/>
          <w:kern w:val="0"/>
          <w:sz w:val="21"/>
          <w:szCs w:val="21"/>
          <w:highlight w:val="none"/>
          <w:lang w:val="en-US" w:eastAsia="zh-CN"/>
        </w:rPr>
        <w:t>E</w:t>
      </w:r>
      <w:r>
        <w:rPr>
          <w:rFonts w:hint="eastAsia" w:hAnsi="宋体" w:cs="宋体"/>
          <w:b w:val="0"/>
          <w:color w:val="auto"/>
          <w:kern w:val="0"/>
          <w:sz w:val="21"/>
          <w:szCs w:val="21"/>
          <w:highlight w:val="none"/>
        </w:rPr>
        <w:t xml:space="preserve">、保险公司担保）。                </w:t>
      </w:r>
    </w:p>
    <w:p w14:paraId="1E1CCBD9">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① 如提供履约保函的，将向发包人提供符合本合同附件6格式的履约保函一份。</w:t>
      </w:r>
    </w:p>
    <w:p w14:paraId="2E294755">
      <w:pPr>
        <w:pStyle w:val="67"/>
        <w:spacing w:before="120" w:line="450" w:lineRule="exact"/>
        <w:ind w:left="554" w:leftChars="114" w:hanging="315" w:hangingChars="1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②提供履约保证金的，承包人在签订合同</w:t>
      </w:r>
      <w:r>
        <w:rPr>
          <w:rFonts w:hint="eastAsia" w:hAnsi="宋体" w:cs="宋体"/>
          <w:b w:val="0"/>
          <w:color w:val="auto"/>
          <w:kern w:val="0"/>
          <w:sz w:val="21"/>
          <w:szCs w:val="21"/>
          <w:highlight w:val="none"/>
          <w:lang w:eastAsia="zh-CN"/>
        </w:rPr>
        <w:t>的</w:t>
      </w:r>
      <w:r>
        <w:rPr>
          <w:rFonts w:hint="eastAsia" w:hAnsi="宋体" w:cs="宋体"/>
          <w:b w:val="0"/>
          <w:color w:val="auto"/>
          <w:kern w:val="0"/>
          <w:sz w:val="21"/>
          <w:szCs w:val="21"/>
          <w:highlight w:val="none"/>
          <w:lang w:val="en-US" w:eastAsia="zh-CN"/>
        </w:rPr>
        <w:t>同时</w:t>
      </w:r>
      <w:r>
        <w:rPr>
          <w:rFonts w:hint="eastAsia" w:hAnsi="宋体" w:cs="宋体"/>
          <w:b w:val="0"/>
          <w:color w:val="auto"/>
          <w:kern w:val="0"/>
          <w:sz w:val="21"/>
          <w:szCs w:val="21"/>
          <w:highlight w:val="none"/>
        </w:rPr>
        <w:t>向发包人提交合同价款的</w:t>
      </w:r>
      <w:r>
        <w:rPr>
          <w:rFonts w:hint="eastAsia" w:hAnsi="宋体" w:cs="宋体"/>
          <w:b w:val="0"/>
          <w:color w:val="auto"/>
          <w:kern w:val="0"/>
          <w:sz w:val="21"/>
          <w:szCs w:val="21"/>
          <w:highlight w:val="none"/>
          <w:lang w:val="en-US" w:eastAsia="zh-CN"/>
        </w:rPr>
        <w:t>2</w:t>
      </w:r>
      <w:r>
        <w:rPr>
          <w:rFonts w:hint="eastAsia" w:hAnsi="宋体" w:cs="宋体"/>
          <w:b w:val="0"/>
          <w:color w:val="auto"/>
          <w:kern w:val="0"/>
          <w:sz w:val="21"/>
          <w:szCs w:val="21"/>
          <w:highlight w:val="none"/>
        </w:rPr>
        <w:t>%</w:t>
      </w:r>
      <w:r>
        <w:rPr>
          <w:rFonts w:hint="eastAsia" w:hAnsi="宋体" w:cs="宋体"/>
          <w:b w:val="0"/>
          <w:color w:val="auto"/>
          <w:kern w:val="0"/>
          <w:sz w:val="21"/>
          <w:szCs w:val="21"/>
          <w:highlight w:val="none"/>
          <w:lang w:eastAsia="zh-CN"/>
        </w:rPr>
        <w:t>（即</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lang w:val="en-US" w:eastAsia="zh-CN"/>
        </w:rPr>
        <w:t>元</w:t>
      </w:r>
      <w:r>
        <w:rPr>
          <w:rFonts w:hint="eastAsia" w:hAnsi="宋体" w:cs="宋体"/>
          <w:b w:val="0"/>
          <w:color w:val="auto"/>
          <w:kern w:val="0"/>
          <w:sz w:val="21"/>
          <w:szCs w:val="21"/>
          <w:highlight w:val="none"/>
          <w:lang w:eastAsia="zh-CN"/>
        </w:rPr>
        <w:t>）</w:t>
      </w:r>
      <w:r>
        <w:rPr>
          <w:rFonts w:hint="eastAsia" w:hAnsi="宋体" w:cs="宋体"/>
          <w:b w:val="0"/>
          <w:color w:val="auto"/>
          <w:kern w:val="0"/>
          <w:sz w:val="21"/>
          <w:szCs w:val="21"/>
          <w:highlight w:val="none"/>
        </w:rPr>
        <w:t>的履约保证金；</w:t>
      </w:r>
    </w:p>
    <w:p w14:paraId="77C0738B">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（2）履约担保期限自合同生效之日起至发包人签认并由监理人向承包人出具工程接收证书之日止。</w:t>
      </w:r>
    </w:p>
    <w:p w14:paraId="7CD0831C">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4BA738D5">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（4）履约担保在工程竣工验收合格后28天内予以退还。</w:t>
      </w:r>
    </w:p>
    <w:p w14:paraId="3CE606EC">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color w:val="auto"/>
          <w:sz w:val="21"/>
          <w:szCs w:val="21"/>
          <w:highlight w:val="none"/>
        </w:rPr>
        <w:t>4. 监理人</w:t>
      </w:r>
      <w:bookmarkEnd w:id="399"/>
    </w:p>
    <w:p w14:paraId="3D6461E9">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4.1监理人的一般规定</w:t>
      </w:r>
    </w:p>
    <w:p w14:paraId="05868764">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关于监理人的监理内容：工程建设监理合同授予监理人的权利。</w:t>
      </w:r>
    </w:p>
    <w:p w14:paraId="349B88AC">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关于监理人的监理权限：涉及费用、工期、图纸更改等工程变更指令和付款、暂停工程施工指令的下达权需取得发包人书面批准方可执行。 </w:t>
      </w:r>
    </w:p>
    <w:p w14:paraId="58E7F06B">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关于监理人在施工现场的办公场所、生活场所的提供和费用承担的约定：执行通用条款。</w:t>
      </w:r>
    </w:p>
    <w:p w14:paraId="34139D26">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4.4 商定或确定</w:t>
      </w:r>
    </w:p>
    <w:p w14:paraId="5AE6EA68">
      <w:pPr>
        <w:spacing w:line="450" w:lineRule="exact"/>
        <w:ind w:firstLine="441" w:firstLineChars="210"/>
        <w:rPr>
          <w:rFonts w:hint="eastAsia" w:ascii="宋体" w:hAnsi="宋体" w:cs="宋体"/>
          <w:color w:val="auto"/>
          <w:kern w:val="0"/>
          <w:sz w:val="21"/>
          <w:szCs w:val="21"/>
          <w:highlight w:val="none"/>
        </w:rPr>
      </w:pPr>
      <w:bookmarkStart w:id="400" w:name="_Toc364853228"/>
      <w:r>
        <w:rPr>
          <w:rFonts w:hint="eastAsia" w:ascii="宋体" w:hAnsi="宋体" w:cs="宋体"/>
          <w:color w:val="auto"/>
          <w:kern w:val="0"/>
          <w:sz w:val="21"/>
          <w:szCs w:val="21"/>
          <w:highlight w:val="none"/>
        </w:rPr>
        <w:t>当合同当事人对需要商定或确定的事项不能达成一致时，总监理工程师应按照合同约定作出公正确定，应在合同当事人会商之日起 7 天内提供书面确定意见。</w:t>
      </w:r>
    </w:p>
    <w:p w14:paraId="4F2E8148">
      <w:pPr>
        <w:spacing w:line="450" w:lineRule="exact"/>
        <w:ind w:firstLine="103" w:firstLineChars="49"/>
        <w:rPr>
          <w:rFonts w:hint="eastAsia" w:ascii="宋体" w:hAnsi="宋体" w:cs="宋体"/>
          <w:b/>
          <w:color w:val="auto"/>
          <w:kern w:val="0"/>
          <w:sz w:val="21"/>
          <w:szCs w:val="21"/>
          <w:highlight w:val="none"/>
        </w:rPr>
      </w:pPr>
      <w:r>
        <w:rPr>
          <w:rFonts w:hint="eastAsia" w:ascii="宋体" w:hAnsi="宋体" w:cs="宋体"/>
          <w:b/>
          <w:color w:val="auto"/>
          <w:sz w:val="21"/>
          <w:szCs w:val="21"/>
          <w:highlight w:val="none"/>
        </w:rPr>
        <w:t>5. 工程质量</w:t>
      </w:r>
      <w:bookmarkEnd w:id="400"/>
    </w:p>
    <w:p w14:paraId="283972CB">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 质量要求:</w:t>
      </w:r>
      <w:r>
        <w:rPr>
          <w:rFonts w:hint="eastAsia" w:ascii="宋体" w:hAnsi="宋体" w:cs="宋体"/>
          <w:color w:val="auto"/>
          <w:kern w:val="0"/>
          <w:sz w:val="21"/>
          <w:szCs w:val="21"/>
          <w:highlight w:val="none"/>
          <w:u w:val="single"/>
        </w:rPr>
        <w:t>达到国家和行业施工验收规范一次性验收合格</w:t>
      </w:r>
    </w:p>
    <w:p w14:paraId="44D9C019">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5.1.1 特殊质量标准和要求：</w:t>
      </w:r>
      <w:r>
        <w:rPr>
          <w:rFonts w:hint="eastAsia" w:ascii="宋体" w:hAnsi="宋体" w:cs="宋体"/>
          <w:color w:val="auto"/>
          <w:kern w:val="0"/>
          <w:sz w:val="21"/>
          <w:szCs w:val="21"/>
          <w:highlight w:val="none"/>
          <w:u w:val="single"/>
        </w:rPr>
        <w:t xml:space="preserve">     无   </w:t>
      </w:r>
      <w:r>
        <w:rPr>
          <w:rFonts w:hint="eastAsia" w:ascii="宋体" w:hAnsi="宋体" w:cs="宋体"/>
          <w:color w:val="auto"/>
          <w:kern w:val="0"/>
          <w:sz w:val="21"/>
          <w:szCs w:val="21"/>
          <w:highlight w:val="none"/>
        </w:rPr>
        <w:t>。</w:t>
      </w:r>
    </w:p>
    <w:p w14:paraId="605EE829">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5.3 隐蔽工程检查</w:t>
      </w:r>
    </w:p>
    <w:p w14:paraId="692A9177">
      <w:pPr>
        <w:spacing w:line="450" w:lineRule="exact"/>
        <w:ind w:firstLine="441" w:firstLineChars="210"/>
        <w:rPr>
          <w:rFonts w:hint="eastAsia" w:ascii="宋体" w:hAnsi="宋体" w:cs="宋体"/>
          <w:color w:val="auto"/>
          <w:kern w:val="0"/>
          <w:sz w:val="21"/>
          <w:szCs w:val="21"/>
          <w:highlight w:val="none"/>
        </w:rPr>
      </w:pPr>
      <w:bookmarkStart w:id="401" w:name="_Toc364853229"/>
      <w:r>
        <w:rPr>
          <w:rFonts w:hint="eastAsia" w:ascii="宋体" w:hAnsi="宋体" w:cs="宋体"/>
          <w:color w:val="auto"/>
          <w:kern w:val="0"/>
          <w:sz w:val="21"/>
          <w:szCs w:val="21"/>
          <w:highlight w:val="none"/>
        </w:rPr>
        <w:t>5.3.2承包人提前通知监理人隐蔽工程检查的期限的约定：承包人应在共同检查前</w:t>
      </w:r>
      <w:r>
        <w:rPr>
          <w:rFonts w:hint="eastAsia" w:ascii="宋体" w:hAnsi="宋体" w:cs="宋体"/>
          <w:color w:val="auto"/>
          <w:kern w:val="0"/>
          <w:sz w:val="21"/>
          <w:szCs w:val="21"/>
          <w:highlight w:val="none"/>
          <w:u w:val="single"/>
        </w:rPr>
        <w:t xml:space="preserve">24 </w:t>
      </w:r>
      <w:r>
        <w:rPr>
          <w:rFonts w:hint="eastAsia" w:ascii="宋体" w:hAnsi="宋体" w:cs="宋体"/>
          <w:color w:val="auto"/>
          <w:kern w:val="0"/>
          <w:sz w:val="21"/>
          <w:szCs w:val="21"/>
          <w:highlight w:val="none"/>
        </w:rPr>
        <w:t>小时书面通知监理人检查。</w:t>
      </w:r>
    </w:p>
    <w:p w14:paraId="10A615B0">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监理人不能按时进行检查时，应提前</w:t>
      </w:r>
      <w:r>
        <w:rPr>
          <w:rFonts w:hint="eastAsia" w:ascii="宋体" w:hAnsi="宋体" w:cs="宋体"/>
          <w:color w:val="auto"/>
          <w:kern w:val="0"/>
          <w:sz w:val="21"/>
          <w:szCs w:val="21"/>
          <w:highlight w:val="none"/>
          <w:u w:val="single"/>
        </w:rPr>
        <w:t xml:space="preserve">  24 </w:t>
      </w:r>
      <w:r>
        <w:rPr>
          <w:rFonts w:hint="eastAsia" w:ascii="宋体" w:hAnsi="宋体" w:cs="宋体"/>
          <w:color w:val="auto"/>
          <w:kern w:val="0"/>
          <w:sz w:val="21"/>
          <w:szCs w:val="21"/>
          <w:highlight w:val="none"/>
        </w:rPr>
        <w:t>小时提交书面延期要求。延期最长不得超过：</w:t>
      </w:r>
      <w:r>
        <w:rPr>
          <w:rFonts w:hint="eastAsia" w:ascii="宋体" w:hAnsi="宋体" w:cs="宋体"/>
          <w:color w:val="auto"/>
          <w:kern w:val="0"/>
          <w:sz w:val="21"/>
          <w:szCs w:val="21"/>
          <w:highlight w:val="none"/>
          <w:u w:val="single"/>
        </w:rPr>
        <w:t xml:space="preserve"> 48</w:t>
      </w:r>
      <w:r>
        <w:rPr>
          <w:rFonts w:hint="eastAsia" w:ascii="宋体" w:hAnsi="宋体" w:cs="宋体"/>
          <w:color w:val="auto"/>
          <w:kern w:val="0"/>
          <w:sz w:val="21"/>
          <w:szCs w:val="21"/>
          <w:highlight w:val="none"/>
        </w:rPr>
        <w:t>小时。</w:t>
      </w:r>
    </w:p>
    <w:p w14:paraId="39D6E13D">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 安全文明施工与环境保护</w:t>
      </w:r>
      <w:bookmarkEnd w:id="401"/>
    </w:p>
    <w:p w14:paraId="63137F09">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6.1安全文明施工</w:t>
      </w:r>
    </w:p>
    <w:p w14:paraId="7CC1F50E">
      <w:pPr>
        <w:spacing w:line="450" w:lineRule="exact"/>
        <w:ind w:firstLine="420" w:firstLineChars="200"/>
        <w:rPr>
          <w:rFonts w:hint="eastAsia" w:ascii="宋体" w:hAnsi="宋体" w:cs="宋体"/>
          <w:color w:val="auto"/>
          <w:kern w:val="0"/>
          <w:sz w:val="21"/>
          <w:szCs w:val="21"/>
          <w:highlight w:val="none"/>
        </w:rPr>
      </w:pPr>
      <w:bookmarkStart w:id="402" w:name="_Toc364853230"/>
      <w:r>
        <w:rPr>
          <w:rFonts w:hint="eastAsia" w:ascii="宋体" w:hAnsi="宋体" w:cs="宋体"/>
          <w:color w:val="auto"/>
          <w:kern w:val="0"/>
          <w:sz w:val="21"/>
          <w:szCs w:val="21"/>
          <w:highlight w:val="none"/>
        </w:rPr>
        <w:t>6.1.1 项目安全生产的达标目标及相应事项的约定：</w:t>
      </w:r>
      <w:r>
        <w:rPr>
          <w:rFonts w:hint="eastAsia" w:ascii="宋体" w:hAnsi="宋体" w:cs="宋体"/>
          <w:color w:val="auto"/>
          <w:sz w:val="21"/>
          <w:szCs w:val="21"/>
          <w:highlight w:val="none"/>
          <w:u w:val="single"/>
        </w:rPr>
        <w:t>合格</w:t>
      </w:r>
      <w:r>
        <w:rPr>
          <w:rFonts w:hint="eastAsia" w:ascii="宋体" w:hAnsi="宋体" w:cs="宋体"/>
          <w:color w:val="auto"/>
          <w:kern w:val="0"/>
          <w:sz w:val="21"/>
          <w:szCs w:val="21"/>
          <w:highlight w:val="none"/>
        </w:rPr>
        <w:t>。</w:t>
      </w:r>
    </w:p>
    <w:p w14:paraId="44962EE3">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施工期间由于承包人违反安全操作规范，发生重大死亡及其它事故，发包人将根据事故的严重程度对承包人予以处罚；被政府部门处罚的，承包人承担一切责任。</w:t>
      </w:r>
    </w:p>
    <w:p w14:paraId="167545AE">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6.1.1.1 承包方未履行安全文明施工发生以下情况之一的，视为承包方未履行安全生产文明施工违约，承包方须支付合同价款的1% ：</w:t>
      </w:r>
    </w:p>
    <w:p w14:paraId="4535486F">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(1)未达到合同要求的安全等级要求（安全等级以宁波市奉化区住房和城乡建设局文件和上级文件为准）；</w:t>
      </w:r>
    </w:p>
    <w:p w14:paraId="25C5CA90">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（2）在施工期间，施工单位发生事故等级为一般事故及以上生产安全责任事故（事故等级和责任按按国务院第493号令和行政部门的事故调查报告认定）；</w:t>
      </w:r>
    </w:p>
    <w:p w14:paraId="3D51242B">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 w:val="21"/>
          <w:szCs w:val="21"/>
          <w:highlight w:val="none"/>
        </w:rPr>
        <w:t xml:space="preserve"> </w:t>
      </w: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6.1.1.2</w:t>
      </w:r>
      <w:r>
        <w:rPr>
          <w:rFonts w:hint="eastAsia" w:ascii="宋体" w:hAnsi="宋体" w:cs="宋体"/>
          <w:b/>
          <w:bCs/>
          <w:color w:val="auto"/>
          <w:kern w:val="0"/>
          <w:szCs w:val="21"/>
          <w:highlight w:val="none"/>
        </w:rPr>
        <w:t>在施工期间，发现承包方现场管理混乱</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每发现一次扣除合同价款的0.3% （上述条款每次扣款金额如低于3000元/次的，则按3000元/次扣除）。</w:t>
      </w:r>
    </w:p>
    <w:p w14:paraId="7A0AC474">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6.1.1.3</w:t>
      </w:r>
      <w:r>
        <w:rPr>
          <w:rFonts w:hint="eastAsia" w:ascii="宋体" w:hAnsi="宋体" w:cs="宋体"/>
          <w:b/>
          <w:bCs/>
          <w:color w:val="auto"/>
          <w:kern w:val="0"/>
          <w:szCs w:val="21"/>
          <w:highlight w:val="none"/>
        </w:rPr>
        <w:t>承包方</w:t>
      </w:r>
      <w:r>
        <w:rPr>
          <w:rFonts w:hint="eastAsia" w:ascii="宋体" w:hAnsi="宋体" w:cs="宋体"/>
          <w:b/>
          <w:bCs/>
          <w:color w:val="auto"/>
          <w:kern w:val="0"/>
          <w:szCs w:val="21"/>
          <w:highlight w:val="none"/>
          <w:lang w:val="en-US" w:eastAsia="zh-CN"/>
        </w:rPr>
        <w:t>对</w:t>
      </w:r>
      <w:r>
        <w:rPr>
          <w:rFonts w:hint="eastAsia" w:ascii="宋体" w:hAnsi="宋体" w:cs="宋体"/>
          <w:b/>
          <w:bCs/>
          <w:color w:val="auto"/>
          <w:kern w:val="0"/>
          <w:szCs w:val="21"/>
          <w:highlight w:val="none"/>
        </w:rPr>
        <w:t>安全隐患整改不力，对发包方、监理单位及上级部门提出的安全隐患整改不到位</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每发现一次扣合同价款的0.3%（上述条款每次扣款金额如低于3000元/次的，则按3000元/次扣除）。</w:t>
      </w:r>
    </w:p>
    <w:p w14:paraId="3D1051C1">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color w:val="auto"/>
          <w:kern w:val="0"/>
          <w:sz w:val="21"/>
          <w:szCs w:val="21"/>
          <w:highlight w:val="none"/>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注：以上（6.1.1.2和6.1.1.3）条款出现累计</w:t>
      </w:r>
      <w:r>
        <w:rPr>
          <w:rFonts w:hint="eastAsia" w:ascii="宋体" w:hAnsi="宋体" w:cs="宋体"/>
          <w:b/>
          <w:bCs/>
          <w:color w:val="auto"/>
          <w:kern w:val="0"/>
          <w:szCs w:val="21"/>
          <w:highlight w:val="none"/>
        </w:rPr>
        <w:t>三次及以上</w:t>
      </w:r>
      <w:r>
        <w:rPr>
          <w:rFonts w:hint="eastAsia" w:ascii="宋体" w:hAnsi="宋体" w:cs="宋体"/>
          <w:b/>
          <w:bCs/>
          <w:color w:val="auto"/>
          <w:kern w:val="0"/>
          <w:szCs w:val="21"/>
          <w:highlight w:val="none"/>
          <w:lang w:val="en-US" w:eastAsia="zh-CN"/>
        </w:rPr>
        <w:t>相同问题或情况的，除执行上述条款约定的扣款外，还须另行扣除合同价款的1% （扣款金额如低于2000元的，则按2000元扣除）。</w:t>
      </w:r>
    </w:p>
    <w:p w14:paraId="086C5C4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6.1.4 关于治安保卫的特别约定：执行通用条款。</w:t>
      </w:r>
    </w:p>
    <w:p w14:paraId="19D2E06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6.1.5文明施工应按《宁波市建设工程文明施工管理规定》文件要求执行。</w:t>
      </w:r>
    </w:p>
    <w:p w14:paraId="0322AE18">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6.1.6 关于安全文明施工费相关约定：</w:t>
      </w:r>
      <w:r>
        <w:rPr>
          <w:rFonts w:hint="eastAsia" w:ascii="宋体" w:hAnsi="Calibri" w:eastAsia="宋体" w:cs="Times New Roman"/>
          <w:b w:val="0"/>
          <w:bCs w:val="0"/>
          <w:color w:val="auto"/>
          <w:szCs w:val="21"/>
          <w:highlight w:val="none"/>
          <w:lang w:eastAsia="zh-CN"/>
        </w:rPr>
        <w:t>市区一般工程考虑</w:t>
      </w:r>
      <w:r>
        <w:rPr>
          <w:rFonts w:hint="eastAsia" w:ascii="宋体" w:eastAsia="宋体" w:cs="Times New Roman"/>
          <w:b w:val="0"/>
          <w:bCs w:val="0"/>
          <w:color w:val="auto"/>
          <w:szCs w:val="21"/>
          <w:highlight w:val="none"/>
          <w:lang w:eastAsia="zh-CN"/>
        </w:rPr>
        <w:t>。</w:t>
      </w:r>
    </w:p>
    <w:p w14:paraId="44AFF5F2">
      <w:pPr>
        <w:pStyle w:val="5"/>
        <w:spacing w:line="450" w:lineRule="exact"/>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7. 工期和进度</w:t>
      </w:r>
      <w:bookmarkEnd w:id="402"/>
      <w:r>
        <w:rPr>
          <w:rFonts w:hint="eastAsia" w:ascii="宋体" w:hAnsi="宋体" w:cs="宋体"/>
          <w:color w:val="auto"/>
          <w:sz w:val="21"/>
          <w:szCs w:val="21"/>
          <w:highlight w:val="none"/>
          <w:lang w:val="en-US" w:eastAsia="zh-CN"/>
        </w:rPr>
        <w:t xml:space="preserve">   </w:t>
      </w:r>
      <w:r>
        <w:rPr>
          <w:rFonts w:hint="eastAsia" w:ascii="宋体" w:hAnsi="宋体" w:eastAsia="宋体"/>
          <w:b/>
          <w:bCs/>
          <w:color w:val="auto"/>
          <w:kern w:val="0"/>
          <w:sz w:val="24"/>
          <w:highlight w:val="none"/>
          <w:lang w:val="en-US" w:eastAsia="zh-CN"/>
        </w:rPr>
        <w:t xml:space="preserve"> </w:t>
      </w:r>
    </w:p>
    <w:p w14:paraId="737BB0E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7.1 施工组织设计</w:t>
      </w:r>
    </w:p>
    <w:p w14:paraId="7D80C2C9">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7.1.1 合同当事人约定的施工组织设计应包括的其他内容：</w:t>
      </w:r>
      <w:r>
        <w:rPr>
          <w:rFonts w:hint="eastAsia" w:ascii="宋体" w:hAnsi="宋体" w:cs="宋体"/>
          <w:color w:val="auto"/>
          <w:kern w:val="0"/>
          <w:sz w:val="21"/>
          <w:szCs w:val="21"/>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 w:val="21"/>
          <w:szCs w:val="21"/>
          <w:highlight w:val="none"/>
        </w:rPr>
        <w:t>。</w:t>
      </w:r>
    </w:p>
    <w:p w14:paraId="1458FEFC">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7.1.2 施工组织设计的提交和修改：按通用条款约定执行。</w:t>
      </w:r>
    </w:p>
    <w:p w14:paraId="5DEA3F0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7.2 施工进度计划</w:t>
      </w:r>
    </w:p>
    <w:p w14:paraId="69DD3559">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施工进度计划的编制和修订：按通用条款约定执行。</w:t>
      </w:r>
    </w:p>
    <w:p w14:paraId="59BC476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7.3 开工</w:t>
      </w:r>
    </w:p>
    <w:p w14:paraId="6EF7AED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7.3.1 开工准备</w:t>
      </w:r>
    </w:p>
    <w:p w14:paraId="3CC4C278">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关于承包人提交工程开工报审表的期限：按第7.1款[施工组织设计]约定的时间。</w:t>
      </w:r>
    </w:p>
    <w:p w14:paraId="7BE6D939">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关于发包人应完成的其他开工准备工作及期限：在第7.3.2项[开工通知]载明的开工日期前7天获得开工所需的各项行政审批和许可手续。</w:t>
      </w:r>
    </w:p>
    <w:p w14:paraId="2D12BE3D">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关于承包人应完成的其他开工准备工作及期限： 在第7.3.2项[开工通知]载明的开工日期前7天签订材料、工程设备、周转材料等的采购合同，确定劳动力、材料、机械的进场安排。</w:t>
      </w:r>
    </w:p>
    <w:p w14:paraId="1733F577">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7.3.2 开工通知</w:t>
      </w:r>
    </w:p>
    <w:p w14:paraId="004944F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因发包人原因造成监理人未能在通用条款规定的期限内发出开工通知的，承包人有权提出价格调整要求，或者解除合同。</w:t>
      </w:r>
    </w:p>
    <w:p w14:paraId="6140119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7.4 测量放线</w:t>
      </w:r>
    </w:p>
    <w:p w14:paraId="58C467E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7.4.1 发包人通过监理人向承包人提供测量基准点、基准线和水准点及其书面资料的期限：不得晚于在第7.3.2项[开工通知]载明的开工日期前7天。</w:t>
      </w:r>
    </w:p>
    <w:p w14:paraId="438DA98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7.5 工期延误</w:t>
      </w:r>
    </w:p>
    <w:p w14:paraId="4D23E845">
      <w:pPr>
        <w:pStyle w:val="67"/>
        <w:spacing w:before="120" w:line="450" w:lineRule="exact"/>
        <w:ind w:firstLine="401" w:firstLineChars="190"/>
        <w:rPr>
          <w:rFonts w:hint="eastAsia" w:hAnsi="宋体" w:cs="宋体"/>
          <w:b w:val="0"/>
          <w:color w:val="auto"/>
          <w:sz w:val="21"/>
          <w:szCs w:val="21"/>
          <w:highlight w:val="none"/>
        </w:rPr>
      </w:pPr>
      <w:r>
        <w:rPr>
          <w:rFonts w:hint="eastAsia" w:hAnsi="宋体" w:cs="宋体"/>
          <w:color w:val="auto"/>
          <w:sz w:val="21"/>
          <w:szCs w:val="21"/>
          <w:highlight w:val="none"/>
        </w:rPr>
        <w:t xml:space="preserve">7.5.1 </w:t>
      </w:r>
      <w:r>
        <w:rPr>
          <w:rFonts w:hint="eastAsia" w:hAnsi="宋体" w:cs="宋体"/>
          <w:b w:val="0"/>
          <w:color w:val="auto"/>
          <w:sz w:val="21"/>
          <w:szCs w:val="21"/>
          <w:highlight w:val="none"/>
        </w:rPr>
        <w:t>因发包人原因导致工期延误</w:t>
      </w:r>
    </w:p>
    <w:p w14:paraId="61419DF3">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sz w:val="21"/>
          <w:szCs w:val="21"/>
          <w:highlight w:val="none"/>
        </w:rPr>
        <w:t>（7）因发包人原因导致工期延误的其他情形：</w:t>
      </w:r>
      <w:r>
        <w:rPr>
          <w:rFonts w:hint="eastAsia" w:hAnsi="宋体" w:cs="宋体"/>
          <w:b w:val="0"/>
          <w:color w:val="auto"/>
          <w:sz w:val="21"/>
          <w:szCs w:val="21"/>
          <w:highlight w:val="none"/>
          <w:u w:val="single"/>
        </w:rPr>
        <w:t xml:space="preserve">  无  </w:t>
      </w:r>
      <w:r>
        <w:rPr>
          <w:rFonts w:hint="eastAsia" w:hAnsi="宋体" w:cs="宋体"/>
          <w:b w:val="0"/>
          <w:color w:val="auto"/>
          <w:sz w:val="21"/>
          <w:szCs w:val="21"/>
          <w:highlight w:val="none"/>
        </w:rPr>
        <w:t>。</w:t>
      </w:r>
    </w:p>
    <w:p w14:paraId="20C0BD6A">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7.5.2 因承包人原因导致工期延误</w:t>
      </w:r>
    </w:p>
    <w:p w14:paraId="26686C3C">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因承包人原因造成工期延误，逾期竣工违约金的计算方法根据“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”承诺确定，为</w:t>
      </w:r>
      <w:r>
        <w:rPr>
          <w:rFonts w:hint="eastAsia" w:ascii="宋体" w:hAnsi="宋体" w:cs="宋体"/>
          <w:color w:val="auto"/>
          <w:kern w:val="0"/>
          <w:sz w:val="21"/>
          <w:szCs w:val="21"/>
          <w:highlight w:val="none"/>
          <w:u w:val="single"/>
          <w:lang w:val="en-US" w:eastAsia="zh-CN"/>
        </w:rPr>
        <w:t>1</w:t>
      </w:r>
      <w:r>
        <w:rPr>
          <w:rFonts w:hint="eastAsia" w:ascii="宋体" w:hAnsi="宋体" w:cs="宋体"/>
          <w:color w:val="auto"/>
          <w:kern w:val="0"/>
          <w:sz w:val="21"/>
          <w:szCs w:val="21"/>
          <w:highlight w:val="none"/>
          <w:u w:val="single"/>
        </w:rPr>
        <w:t>000</w:t>
      </w:r>
      <w:r>
        <w:rPr>
          <w:rFonts w:hint="eastAsia" w:ascii="宋体" w:hAnsi="宋体" w:cs="宋体"/>
          <w:color w:val="auto"/>
          <w:kern w:val="0"/>
          <w:sz w:val="21"/>
          <w:szCs w:val="21"/>
          <w:highlight w:val="none"/>
        </w:rPr>
        <w:t>元/天。</w:t>
      </w:r>
    </w:p>
    <w:p w14:paraId="65CD245F">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因承包人原因造成工期延误，逾期竣工违约金的上限根据“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”承诺确定，为合同价款的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2</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3B291D02">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7.6 不利物质条件</w:t>
      </w:r>
    </w:p>
    <w:p w14:paraId="27DC0B5F">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不利物质条件的其他情形和有关约定：地勘资料未设计的地下管道、地雷、岩层等，但不包括气候条件。</w:t>
      </w:r>
    </w:p>
    <w:p w14:paraId="2A76CFA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7.7异常恶劣的气候条件</w:t>
      </w:r>
    </w:p>
    <w:p w14:paraId="282A5FB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发包人和承包人同意以下情形视为异常恶劣的气候条件：</w:t>
      </w:r>
    </w:p>
    <w:p w14:paraId="1CCE6A67">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（1）12小时内降雨量达到50mm以上；</w:t>
      </w:r>
    </w:p>
    <w:p w14:paraId="6503A80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（2）风速达到8级及以上的热带风暴（或台风）；</w:t>
      </w:r>
    </w:p>
    <w:p w14:paraId="4280CC04">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（3）日最高气温超过38度或低于零下10度；</w:t>
      </w:r>
    </w:p>
    <w:p w14:paraId="1E02B9A6">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（4）造成工程损坏的冰雹和12小时内降雪量达到4mm及以上的大雪灾害。</w:t>
      </w:r>
    </w:p>
    <w:p w14:paraId="63D9AF6A">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（5）政府有关部门通知停工的其它恶劣气候条件。</w:t>
      </w:r>
    </w:p>
    <w:p w14:paraId="2134CF3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7.9 提前竣工的奖励</w:t>
      </w:r>
    </w:p>
    <w:p w14:paraId="1B0E578B">
      <w:pPr>
        <w:autoSpaceDE w:val="0"/>
        <w:autoSpaceDN w:val="0"/>
        <w:adjustRightInd w:val="0"/>
        <w:spacing w:line="450" w:lineRule="exact"/>
        <w:ind w:left="630" w:leftChars="200" w:hanging="210" w:hangingChars="1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7.9.2 提前竣工的奖励：根据“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”承诺，提前竣工奖励为</w:t>
      </w:r>
      <w:r>
        <w:rPr>
          <w:rFonts w:hint="eastAsia" w:ascii="宋体" w:hAnsi="宋体" w:cs="宋体"/>
          <w:color w:val="auto"/>
          <w:kern w:val="0"/>
          <w:sz w:val="21"/>
          <w:szCs w:val="21"/>
          <w:highlight w:val="none"/>
          <w:u w:val="single"/>
        </w:rPr>
        <w:t xml:space="preserve">  0 </w:t>
      </w:r>
      <w:r>
        <w:rPr>
          <w:rFonts w:hint="eastAsia" w:ascii="宋体" w:hAnsi="宋体" w:cs="宋体"/>
          <w:color w:val="auto"/>
          <w:kern w:val="0"/>
          <w:sz w:val="21"/>
          <w:szCs w:val="21"/>
          <w:highlight w:val="none"/>
        </w:rPr>
        <w:t>元/天。</w:t>
      </w:r>
      <w:bookmarkStart w:id="403" w:name="_Toc364853231"/>
    </w:p>
    <w:p w14:paraId="7F5CDD10">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 材料与设备</w:t>
      </w:r>
      <w:bookmarkEnd w:id="403"/>
    </w:p>
    <w:p w14:paraId="78DDF464">
      <w:pPr>
        <w:pStyle w:val="67"/>
        <w:spacing w:before="120" w:line="450" w:lineRule="exact"/>
        <w:ind w:firstLine="310" w:firstLineChars="147"/>
        <w:rPr>
          <w:rFonts w:hint="eastAsia" w:hAnsi="宋体" w:cs="宋体"/>
          <w:color w:val="auto"/>
          <w:sz w:val="21"/>
          <w:szCs w:val="21"/>
          <w:highlight w:val="none"/>
        </w:rPr>
      </w:pPr>
      <w:r>
        <w:rPr>
          <w:rFonts w:hint="eastAsia" w:hAnsi="宋体" w:cs="宋体"/>
          <w:color w:val="auto"/>
          <w:sz w:val="21"/>
          <w:szCs w:val="21"/>
          <w:highlight w:val="none"/>
        </w:rPr>
        <w:t xml:space="preserve"> 8.2承包人采购材料与工程设备</w:t>
      </w:r>
    </w:p>
    <w:p w14:paraId="2D19C981">
      <w:pPr>
        <w:pStyle w:val="67"/>
        <w:spacing w:before="120" w:line="450" w:lineRule="exact"/>
        <w:ind w:firstLine="480"/>
        <w:rPr>
          <w:rFonts w:hint="eastAsia" w:hAnsi="宋体" w:cs="宋体"/>
          <w:b w:val="0"/>
          <w:color w:val="auto"/>
          <w:sz w:val="21"/>
          <w:szCs w:val="21"/>
          <w:highlight w:val="none"/>
        </w:rPr>
      </w:pPr>
      <w:r>
        <w:rPr>
          <w:rFonts w:hint="eastAsia" w:hAnsi="宋体" w:cs="宋体"/>
          <w:b w:val="0"/>
          <w:color w:val="auto"/>
          <w:sz w:val="21"/>
          <w:szCs w:val="21"/>
          <w:highlight w:val="none"/>
        </w:rPr>
        <w:t>承包人负责采购材料、工程设备的，应按照设计和有关标准要求采购，并提供产品合格证明及出厂证明，对材料、工程设备质量负责。</w:t>
      </w:r>
    </w:p>
    <w:p w14:paraId="067E2AA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8.4材料与工程设备的保管与使用</w:t>
      </w:r>
    </w:p>
    <w:p w14:paraId="183BE554">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bookmarkStart w:id="404" w:name="_Toc292559373"/>
      <w:bookmarkStart w:id="405" w:name="_Toc292559878"/>
      <w:r>
        <w:rPr>
          <w:rFonts w:hint="eastAsia" w:ascii="宋体" w:hAnsi="宋体" w:cs="宋体"/>
          <w:color w:val="auto"/>
          <w:kern w:val="0"/>
          <w:sz w:val="21"/>
          <w:szCs w:val="21"/>
          <w:highlight w:val="none"/>
        </w:rPr>
        <w:t>.4.1保管费用承担：执行通用条款。</w:t>
      </w:r>
      <w:bookmarkEnd w:id="404"/>
      <w:bookmarkEnd w:id="405"/>
    </w:p>
    <w:p w14:paraId="6AA3F11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8.8 施工设备和临时设施</w:t>
      </w:r>
    </w:p>
    <w:p w14:paraId="0AA403E9">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8.8.1 承包人提供的施工设备和临时设施</w:t>
      </w:r>
    </w:p>
    <w:p w14:paraId="5AF38BC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关于修建临时设施费用承担的约定：执行通用条款。</w:t>
      </w:r>
      <w:bookmarkStart w:id="406" w:name="_Toc364853232"/>
    </w:p>
    <w:bookmarkEnd w:id="406"/>
    <w:p w14:paraId="20D001A3">
      <w:pPr>
        <w:pStyle w:val="5"/>
        <w:spacing w:line="450" w:lineRule="exact"/>
        <w:ind w:firstLine="211" w:firstLineChars="100"/>
        <w:rPr>
          <w:rFonts w:hint="eastAsia" w:ascii="宋体" w:hAnsi="宋体" w:cs="宋体"/>
          <w:color w:val="auto"/>
          <w:sz w:val="21"/>
          <w:szCs w:val="21"/>
          <w:highlight w:val="none"/>
        </w:rPr>
      </w:pPr>
      <w:bookmarkStart w:id="407" w:name="_Toc364853233"/>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 变更</w:t>
      </w:r>
    </w:p>
    <w:p w14:paraId="501A817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10</w:t>
      </w:r>
      <w:r>
        <w:rPr>
          <w:rFonts w:hint="eastAsia" w:hAnsi="宋体" w:cs="宋体"/>
          <w:color w:val="auto"/>
          <w:sz w:val="21"/>
          <w:szCs w:val="21"/>
          <w:highlight w:val="none"/>
        </w:rPr>
        <w:t>.1变更的范围</w:t>
      </w:r>
    </w:p>
    <w:p w14:paraId="25B4DC1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合同双方当事人约定：合同履行过程中发生以下情形时，应按照本条约定进行合同变更。</w:t>
      </w:r>
    </w:p>
    <w:p w14:paraId="42FB1E99">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1）、法律法规以及政府主管部门的政策性调整；</w:t>
      </w:r>
    </w:p>
    <w:p w14:paraId="2735CD8D">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2）、增加或减少合同中任何工作，或追加额外的工作；</w:t>
      </w:r>
    </w:p>
    <w:p w14:paraId="21005A79">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3）、取消合同中任何工作，但转由他人实施的工作除外；</w:t>
      </w:r>
    </w:p>
    <w:p w14:paraId="5A2905AA">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4)、改变合同中任何工作的质量标准或其他特性；</w:t>
      </w:r>
    </w:p>
    <w:p w14:paraId="767F70C0">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5)、改变工程的基线、标高、位置和尺寸；</w:t>
      </w:r>
    </w:p>
    <w:p w14:paraId="13B38516">
      <w:pPr>
        <w:autoSpaceDE w:val="0"/>
        <w:autoSpaceDN w:val="0"/>
        <w:adjustRightInd w:val="0"/>
        <w:spacing w:before="9" w:line="450" w:lineRule="exact"/>
        <w:ind w:left="524" w:right="-20"/>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6)、改变工程的时间安排或实施顺序。</w:t>
      </w:r>
    </w:p>
    <w:p w14:paraId="6E820D64">
      <w:pPr>
        <w:shd w:val="clear"/>
        <w:spacing w:line="450" w:lineRule="exact"/>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10.4</w:t>
      </w:r>
      <w:r>
        <w:rPr>
          <w:rFonts w:hint="eastAsia" w:ascii="宋体" w:hAnsi="宋体" w:eastAsia="宋体" w:cs="宋体"/>
          <w:b/>
          <w:color w:val="auto"/>
          <w:kern w:val="2"/>
          <w:sz w:val="21"/>
          <w:szCs w:val="21"/>
          <w:highlight w:val="none"/>
          <w:lang w:val="en-US" w:eastAsia="zh-CN" w:bidi="ar-SA"/>
        </w:rPr>
        <w:t>变更估价</w:t>
      </w:r>
    </w:p>
    <w:p w14:paraId="34D58711">
      <w:pPr>
        <w:shd w:val="clear"/>
        <w:spacing w:line="45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10.4.1</w:t>
      </w:r>
      <w:r>
        <w:rPr>
          <w:rFonts w:hint="eastAsia" w:ascii="宋体" w:hAnsi="宋体" w:eastAsia="宋体" w:cs="宋体"/>
          <w:color w:val="auto"/>
          <w:kern w:val="0"/>
          <w:szCs w:val="21"/>
          <w:highlight w:val="none"/>
        </w:rPr>
        <w:t>变更估价原则</w:t>
      </w:r>
    </w:p>
    <w:p w14:paraId="337A2EAD">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10.4.1.1</w:t>
      </w:r>
      <w:r>
        <w:rPr>
          <w:rFonts w:hint="eastAsia" w:ascii="宋体" w:hAnsi="宋体" w:cs="宋体"/>
          <w:color w:val="auto"/>
          <w:kern w:val="0"/>
          <w:szCs w:val="21"/>
          <w:highlight w:val="none"/>
        </w:rPr>
        <w:t>关于变更估价的约定：</w:t>
      </w:r>
    </w:p>
    <w:p w14:paraId="3DF3E788">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（1）工程预算书有相同项目的，按照相同项目单价结合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认定；</w:t>
      </w:r>
    </w:p>
    <w:p w14:paraId="706B42A4">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（2）工程预算书中无相同项目，但有类似项目的，参照类似项目单价结合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6059FF23">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后提出综合单价，经监理人及发包人或其委托的咨询单位工程师确认，作为结算依据。</w:t>
      </w:r>
    </w:p>
    <w:p w14:paraId="1C130B2D">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提出综合单价，经签证方式确定的材料、设备价格不作下浮。</w:t>
      </w:r>
    </w:p>
    <w:p w14:paraId="568AE725">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.1.2 关于变更措施项目费的约定：</w:t>
      </w:r>
    </w:p>
    <w:p w14:paraId="40968090">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w:t>
      </w:r>
      <w:r>
        <w:rPr>
          <w:rFonts w:hint="eastAsia" w:ascii="宋体" w:hAnsi="宋体" w:cs="宋体"/>
          <w:color w:val="auto"/>
          <w:kern w:val="0"/>
          <w:szCs w:val="21"/>
          <w:highlight w:val="none"/>
          <w:lang w:val="en-US" w:eastAsia="zh-CN"/>
        </w:rPr>
        <w:t>10.4.1.1</w:t>
      </w:r>
      <w:r>
        <w:rPr>
          <w:rFonts w:hint="eastAsia" w:ascii="宋体" w:hAnsi="宋体" w:cs="宋体"/>
          <w:color w:val="auto"/>
          <w:kern w:val="0"/>
          <w:szCs w:val="21"/>
          <w:highlight w:val="none"/>
        </w:rPr>
        <w:t>条款约定原则计算的单价提出措施费；采用以“项”计价的措施项目，根据工程量清单中的措施项目和金额结合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或发承包双方确认调整后的措施项目和金额计算。</w:t>
      </w:r>
    </w:p>
    <w:p w14:paraId="1B44EF07">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（1）原措施项目费中已有的措施项目，按原措施项目费的组价方法调整。</w:t>
      </w:r>
    </w:p>
    <w:p w14:paraId="46737939">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（2）原措施费没有的措施项目，承包人根据实际措施项目内容、规定的工程取费类别、现行计价依据并结合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后提出措施费。</w:t>
      </w:r>
    </w:p>
    <w:p w14:paraId="3B093D15">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10.4.1.3</w:t>
      </w:r>
      <w:r>
        <w:rPr>
          <w:rFonts w:hint="eastAsia" w:ascii="宋体" w:hAnsi="宋体" w:cs="宋体"/>
          <w:color w:val="auto"/>
          <w:kern w:val="0"/>
          <w:szCs w:val="21"/>
          <w:highlight w:val="none"/>
        </w:rPr>
        <w:t>关于其他项目费变更的约定：</w:t>
      </w:r>
    </w:p>
    <w:p w14:paraId="7787EC15">
      <w:pPr>
        <w:shd w:val="clear"/>
        <w:spacing w:line="45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6BC84BCB">
      <w:pPr>
        <w:keepNext w:val="0"/>
        <w:keepLines w:val="0"/>
        <w:pageBreakBefore w:val="0"/>
        <w:widowControl w:val="0"/>
        <w:shd w:val="clear"/>
        <w:kinsoku/>
        <w:wordWrap/>
        <w:overflowPunct/>
        <w:topLinePunct w:val="0"/>
        <w:bidi w:val="0"/>
        <w:snapToGrid/>
        <w:spacing w:line="450" w:lineRule="exact"/>
        <w:ind w:firstLine="420" w:firstLineChars="200"/>
        <w:textAlignment w:val="auto"/>
        <w:rPr>
          <w:rFonts w:ascii="宋体" w:hAnsi="宋体" w:cs="宋体"/>
          <w:color w:val="auto"/>
          <w:szCs w:val="21"/>
          <w:highlight w:val="none"/>
        </w:rPr>
      </w:pPr>
      <w:r>
        <w:rPr>
          <w:rFonts w:hint="eastAsia" w:ascii="宋体" w:hAnsi="宋体"/>
          <w:color w:val="auto"/>
          <w:szCs w:val="21"/>
          <w:highlight w:val="none"/>
          <w:lang w:val="en-US" w:eastAsia="zh-CN"/>
        </w:rPr>
        <w:t>10.4.1.4</w:t>
      </w:r>
      <w:r>
        <w:rPr>
          <w:rFonts w:hint="eastAsia" w:ascii="宋体" w:hAnsi="宋体" w:cs="宋体"/>
          <w:color w:val="auto"/>
          <w:szCs w:val="21"/>
          <w:highlight w:val="none"/>
        </w:rPr>
        <w:t>计价依据：</w:t>
      </w:r>
      <w:r>
        <w:rPr>
          <w:rFonts w:hint="eastAsia" w:ascii="宋体" w:hAnsi="宋体" w:cs="宋体"/>
          <w:color w:val="auto"/>
          <w:kern w:val="0"/>
          <w:szCs w:val="21"/>
          <w:highlight w:val="none"/>
        </w:rPr>
        <w:t xml:space="preserve">                                                                                                                                                                                               </w:t>
      </w:r>
    </w:p>
    <w:p w14:paraId="48A0BF4C">
      <w:pPr>
        <w:keepNext w:val="0"/>
        <w:keepLines w:val="0"/>
        <w:pageBreakBefore w:val="0"/>
        <w:widowControl w:val="0"/>
        <w:numPr>
          <w:ilvl w:val="0"/>
          <w:numId w:val="4"/>
        </w:numPr>
        <w:shd w:val="clear"/>
        <w:kinsoku/>
        <w:wordWrap/>
        <w:overflowPunct/>
        <w:topLinePunct w:val="0"/>
        <w:bidi w:val="0"/>
        <w:snapToGrid/>
        <w:spacing w:line="450" w:lineRule="exact"/>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施工图纸等技术资料；工程量：根据施工图纸计算。</w:t>
      </w:r>
    </w:p>
    <w:p w14:paraId="31C3329D">
      <w:pPr>
        <w:keepNext w:val="0"/>
        <w:keepLines w:val="0"/>
        <w:pageBreakBefore w:val="0"/>
        <w:widowControl w:val="0"/>
        <w:numPr>
          <w:ilvl w:val="0"/>
          <w:numId w:val="4"/>
        </w:numPr>
        <w:shd w:val="clear"/>
        <w:kinsoku/>
        <w:wordWrap/>
        <w:overflowPunct/>
        <w:topLinePunct w:val="0"/>
        <w:bidi w:val="0"/>
        <w:snapToGrid/>
        <w:spacing w:line="45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定额采用：</w:t>
      </w:r>
    </w:p>
    <w:p w14:paraId="6FEB1751">
      <w:pPr>
        <w:shd w:val="clear"/>
        <w:autoSpaceDE w:val="0"/>
        <w:autoSpaceDN w:val="0"/>
        <w:adjustRightInd w:val="0"/>
        <w:spacing w:before="9" w:line="450" w:lineRule="exact"/>
        <w:ind w:right="-20"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建设工程工程量清单计价规范》（GB50500-2013）、《市政工程工程量计算规范（GB50857-2013）》、《通用安装工程工程量计算规范》（GB50856-2013）、《浙江省市政工程预算定额》(2018版)、《浙江省通用安装工程预算定额》（2018版）、《浙江省建设工程计价规则》(2018版)、信息化部《信息通信建设工程标底定额》（2016年）、《信息化部《信息通信建设工程费用定额》（2016年）及浙江省、宁波市有关造价文件和规定。</w:t>
      </w:r>
    </w:p>
    <w:p w14:paraId="07AC59F9">
      <w:pPr>
        <w:shd w:val="clear"/>
        <w:autoSpaceDE w:val="0"/>
        <w:autoSpaceDN w:val="0"/>
        <w:adjustRightInd w:val="0"/>
        <w:spacing w:before="9" w:line="450" w:lineRule="exact"/>
        <w:ind w:right="-20"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三、人工及材料信息价：</w:t>
      </w:r>
    </w:p>
    <w:p w14:paraId="47818273">
      <w:pPr>
        <w:shd w:val="clear"/>
        <w:autoSpaceDE w:val="0"/>
        <w:autoSpaceDN w:val="0"/>
        <w:adjustRightInd w:val="0"/>
        <w:spacing w:before="9" w:line="450" w:lineRule="exact"/>
        <w:ind w:right="-20"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1、人工市场信息价：通信部分人工价格按通信工程规范计入。技工114元/日，普工61元/日。电力排管部分人工市场信息价按照2024年11月份《宁波建设工程造价信息》（综合版）。</w:t>
      </w:r>
    </w:p>
    <w:p w14:paraId="76CF65EF">
      <w:pPr>
        <w:shd w:val="clear"/>
        <w:autoSpaceDE w:val="0"/>
        <w:autoSpaceDN w:val="0"/>
        <w:adjustRightInd w:val="0"/>
        <w:spacing w:before="9" w:line="450" w:lineRule="exact"/>
        <w:ind w:right="-20"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材料信息价：按照2024年11月的《宁波建设工程造价信息》（综合版）奉化区信息价、奉化区信息价缺项的按照宁波市区信息价、宁波市区信息价缺项的按照同期《浙江造价信息》，无信息价材料参照市场询价计入；</w:t>
      </w:r>
    </w:p>
    <w:p w14:paraId="2F905405">
      <w:pPr>
        <w:shd w:val="clear"/>
        <w:autoSpaceDE w:val="0"/>
        <w:autoSpaceDN w:val="0"/>
        <w:adjustRightInd w:val="0"/>
        <w:spacing w:before="9" w:line="450" w:lineRule="exact"/>
        <w:ind w:right="-20"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四、取费标准:</w:t>
      </w:r>
    </w:p>
    <w:p w14:paraId="04882CF9">
      <w:pPr>
        <w:shd w:val="clear"/>
        <w:autoSpaceDE w:val="0"/>
        <w:autoSpaceDN w:val="0"/>
        <w:adjustRightInd w:val="0"/>
        <w:spacing w:before="9" w:line="450" w:lineRule="exact"/>
        <w:ind w:right="-20"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电力排管部分：电力排管部分按道路、排水、河道护岸、水处理构筑物及城市综合管廊、生活垃圾处理工程取费。企业管理费、利润费率按相应工程中值计取；施工组织措施项目费按相应工程计取安全文明施工基本费（非市区工程）、冬雨季施工增加费两项，费率按中值计取，其他施工组织项目费均不计取，其中安全文明施工基本费根据甬建发〔2022〕34号进行调整；规费按相应工程标准费率的30%计取；安全生产责任保险费按市建管〔2024〕12号文件执行；</w:t>
      </w:r>
    </w:p>
    <w:p w14:paraId="2AD2A1FF">
      <w:pPr>
        <w:keepNext w:val="0"/>
        <w:keepLines w:val="0"/>
        <w:pageBreakBefore w:val="0"/>
        <w:widowControl w:val="0"/>
        <w:shd w:val="clear"/>
        <w:kinsoku/>
        <w:wordWrap/>
        <w:overflowPunct/>
        <w:topLinePunct w:val="0"/>
        <w:autoSpaceDE w:val="0"/>
        <w:autoSpaceDN w:val="0"/>
        <w:bidi w:val="0"/>
        <w:adjustRightInd w:val="0"/>
        <w:snapToGrid/>
        <w:spacing w:before="9" w:line="360" w:lineRule="auto"/>
        <w:ind w:right="-20" w:firstLine="420" w:firstLineChars="200"/>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通信部分：信息化部《信息通信建设工程费用定额》（2016年）；临时设施费按工程距施工企业35KM以内计，施工用水电蒸汽费不计，施工队伍调遣费不计，工程排污费不计。其中：营改增后浙江省通信建设工程造价税金费率的调整按浙建建发〔2019〕92号执行（税金9%）；</w:t>
      </w:r>
    </w:p>
    <w:p w14:paraId="744C95BC">
      <w:pPr>
        <w:keepNext w:val="0"/>
        <w:keepLines w:val="0"/>
        <w:pageBreakBefore w:val="0"/>
        <w:widowControl w:val="0"/>
        <w:shd w:val="clear"/>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五、余土外运运距按20km包干，运费及处置费按《关于印发&lt;奉化区建筑渣土计价和结算办法&gt;的通知》（奉评审发〔2024〕2号）文件执行，运费按奉发改价〔2019〕22号文件计取，处置费不计。</w:t>
      </w:r>
    </w:p>
    <w:p w14:paraId="7FF526F9">
      <w:pPr>
        <w:keepNext w:val="0"/>
        <w:keepLines w:val="0"/>
        <w:pageBreakBefore w:val="0"/>
        <w:widowControl w:val="0"/>
        <w:shd w:val="clear"/>
        <w:kinsoku/>
        <w:wordWrap/>
        <w:overflowPunct/>
        <w:topLinePunct w:val="0"/>
        <w:autoSpaceDE w:val="0"/>
        <w:autoSpaceDN w:val="0"/>
        <w:bidi w:val="0"/>
        <w:adjustRightInd w:val="0"/>
        <w:snapToGrid/>
        <w:spacing w:before="9" w:line="450" w:lineRule="exact"/>
        <w:ind w:right="-20" w:firstLine="482" w:firstLineChars="200"/>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 w:val="24"/>
          <w:highlight w:val="none"/>
        </w:rPr>
        <w:t>本项目综合折扣为</w:t>
      </w:r>
      <w:r>
        <w:rPr>
          <w:rFonts w:hint="eastAsia" w:asciiTheme="minorEastAsia" w:hAnsiTheme="minorEastAsia" w:eastAsiaTheme="minorEastAsia" w:cstheme="minorEastAsia"/>
          <w:b/>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w:t>
      </w:r>
    </w:p>
    <w:p w14:paraId="5F4719CD">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 xml:space="preserve"> 价格调整</w:t>
      </w:r>
      <w:bookmarkEnd w:id="407"/>
    </w:p>
    <w:p w14:paraId="2EAE305D">
      <w:pPr>
        <w:spacing w:line="45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lang w:val="en-US" w:eastAsia="zh-CN"/>
        </w:rPr>
        <w:t>11.1</w:t>
      </w:r>
      <w:r>
        <w:rPr>
          <w:rFonts w:hint="eastAsia" w:ascii="宋体" w:hAnsi="宋体" w:cs="宋体"/>
          <w:b/>
          <w:color w:val="auto"/>
          <w:sz w:val="21"/>
          <w:szCs w:val="21"/>
          <w:highlight w:val="none"/>
        </w:rPr>
        <w:t xml:space="preserve"> 市场价格波动引起的调整</w:t>
      </w:r>
    </w:p>
    <w:p w14:paraId="6E6FFD55">
      <w:pPr>
        <w:pStyle w:val="67"/>
        <w:spacing w:line="450" w:lineRule="exact"/>
        <w:ind w:firstLine="401" w:firstLineChars="19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.1.1 合同当事人约定：实际施工期内不作调整。</w:t>
      </w:r>
    </w:p>
    <w:p w14:paraId="4AAEBF5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.2 法律变化引起的调整</w:t>
      </w:r>
    </w:p>
    <w:p w14:paraId="55BA0646">
      <w:pPr>
        <w:spacing w:line="450" w:lineRule="exact"/>
        <w:ind w:firstLine="420" w:firstLineChars="200"/>
        <w:rPr>
          <w:rFonts w:hint="eastAsia" w:ascii="宋体" w:hAnsi="宋体" w:cs="宋体"/>
          <w:color w:val="auto"/>
          <w:sz w:val="21"/>
          <w:szCs w:val="21"/>
          <w:highlight w:val="none"/>
        </w:rPr>
      </w:pPr>
      <w:bookmarkStart w:id="408" w:name="_Toc364853234"/>
      <w:r>
        <w:rPr>
          <w:rFonts w:hint="eastAsia" w:ascii="宋体" w:hAnsi="宋体" w:cs="宋体"/>
          <w:color w:val="auto"/>
          <w:sz w:val="21"/>
          <w:szCs w:val="21"/>
          <w:highlight w:val="none"/>
        </w:rPr>
        <w:t>合同当事人关于本条的补充约定：</w:t>
      </w:r>
    </w:p>
    <w:p w14:paraId="4DD00E9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（1）本条所称的法律包括法律、法规、规章及规范性文件。</w:t>
      </w:r>
    </w:p>
    <w:p w14:paraId="6A86373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（2）国有投资项目应按本省建设行政主管部门或其授权工程造价管理机构发布的规定调整合同价款。</w:t>
      </w:r>
    </w:p>
    <w:p w14:paraId="3474EE25">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 合同价格、计量与支付</w:t>
      </w:r>
      <w:bookmarkEnd w:id="408"/>
    </w:p>
    <w:p w14:paraId="49D75FCC">
      <w:pPr>
        <w:pStyle w:val="67"/>
        <w:spacing w:before="120" w:line="450" w:lineRule="exact"/>
        <w:ind w:firstLine="401" w:firstLineChars="190"/>
        <w:rPr>
          <w:rFonts w:hint="eastAsia" w:hAnsi="宋体" w:cs="宋体"/>
          <w:color w:val="auto"/>
          <w:sz w:val="21"/>
          <w:szCs w:val="21"/>
          <w:highlight w:val="none"/>
        </w:rPr>
      </w:pPr>
      <w:bookmarkStart w:id="409" w:name="_Toc292559411"/>
      <w:bookmarkStart w:id="410" w:name="_Toc292559916"/>
      <w:bookmarkStart w:id="411" w:name="_Toc267251461"/>
      <w:bookmarkStart w:id="412" w:name="_Toc296503206"/>
      <w:bookmarkStart w:id="413" w:name="_Toc296346707"/>
      <w:bookmarkStart w:id="414" w:name="_Toc296944545"/>
      <w:bookmarkStart w:id="415" w:name="_Toc297048392"/>
      <w:bookmarkStart w:id="416" w:name="_Toc296347205"/>
      <w:bookmarkStart w:id="417" w:name="_Toc296891034"/>
      <w:bookmarkStart w:id="418" w:name="_Toc297120506"/>
      <w:bookmarkStart w:id="419" w:name="_Toc296891246"/>
      <w:bookmarkStart w:id="420" w:name="_Toc312678041"/>
      <w:bookmarkStart w:id="421" w:name="_Toc304295580"/>
      <w:bookmarkStart w:id="422" w:name="_Toc297123553"/>
      <w:bookmarkStart w:id="423" w:name="_Toc300935003"/>
      <w:bookmarkStart w:id="424" w:name="_Toc297216212"/>
      <w:bookmarkStart w:id="425" w:name="_Toc303539160"/>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.1 合</w:t>
      </w:r>
      <w:bookmarkEnd w:id="409"/>
      <w:bookmarkEnd w:id="410"/>
      <w:bookmarkEnd w:id="411"/>
      <w:r>
        <w:rPr>
          <w:rFonts w:hint="eastAsia" w:hAnsi="宋体" w:cs="宋体"/>
          <w:color w:val="auto"/>
          <w:sz w:val="21"/>
          <w:szCs w:val="21"/>
          <w:highlight w:val="none"/>
        </w:rPr>
        <w:t>同价</w:t>
      </w:r>
      <w:bookmarkEnd w:id="412"/>
      <w:bookmarkEnd w:id="413"/>
      <w:bookmarkEnd w:id="414"/>
      <w:bookmarkEnd w:id="415"/>
      <w:bookmarkEnd w:id="416"/>
      <w:bookmarkEnd w:id="417"/>
      <w:bookmarkEnd w:id="418"/>
      <w:bookmarkEnd w:id="419"/>
      <w:r>
        <w:rPr>
          <w:rFonts w:hint="eastAsia" w:hAnsi="宋体" w:cs="宋体"/>
          <w:color w:val="auto"/>
          <w:sz w:val="21"/>
          <w:szCs w:val="21"/>
          <w:highlight w:val="none"/>
        </w:rPr>
        <w:t>格形式</w:t>
      </w:r>
    </w:p>
    <w:bookmarkEnd w:id="420"/>
    <w:bookmarkEnd w:id="421"/>
    <w:bookmarkEnd w:id="422"/>
    <w:bookmarkEnd w:id="423"/>
    <w:bookmarkEnd w:id="424"/>
    <w:bookmarkEnd w:id="425"/>
    <w:p w14:paraId="385E37EE">
      <w:pPr>
        <w:spacing w:line="450" w:lineRule="exact"/>
        <w:ind w:firstLine="422" w:firstLineChars="200"/>
        <w:rPr>
          <w:rFonts w:hint="eastAsia" w:hAnsi="宋体" w:cs="宋体"/>
          <w:color w:val="auto"/>
          <w:sz w:val="21"/>
          <w:szCs w:val="21"/>
          <w:highlight w:val="none"/>
        </w:rPr>
      </w:pPr>
      <w:r>
        <w:rPr>
          <w:rFonts w:hint="eastAsia" w:ascii="宋体" w:hAnsi="宋体" w:cs="宋体"/>
          <w:b/>
          <w:color w:val="auto"/>
          <w:kern w:val="0"/>
          <w:sz w:val="21"/>
          <w:szCs w:val="21"/>
          <w:highlight w:val="none"/>
        </w:rPr>
        <w:t>本合同采用合同当事人签订的合同协议书中约定的价格形式，即：</w:t>
      </w:r>
      <w:r>
        <w:rPr>
          <w:rFonts w:hint="eastAsia" w:ascii="宋体" w:hAnsi="宋体" w:cs="宋体"/>
          <w:b/>
          <w:color w:val="auto"/>
          <w:kern w:val="0"/>
          <w:sz w:val="21"/>
          <w:szCs w:val="21"/>
          <w:highlight w:val="none"/>
          <w:lang w:eastAsia="zh-CN"/>
        </w:rPr>
        <w:t>单价</w:t>
      </w:r>
      <w:r>
        <w:rPr>
          <w:rFonts w:hint="eastAsia" w:ascii="宋体" w:hAnsi="宋体" w:eastAsia="宋体" w:cs="宋体"/>
          <w:b/>
          <w:color w:val="auto"/>
          <w:kern w:val="0"/>
          <w:sz w:val="21"/>
          <w:szCs w:val="21"/>
          <w:highlight w:val="none"/>
        </w:rPr>
        <w:t>合同。</w:t>
      </w:r>
      <w:r>
        <w:rPr>
          <w:rFonts w:hint="eastAsia" w:ascii="宋体" w:hAnsi="宋体" w:cs="宋体"/>
          <w:color w:val="auto"/>
          <w:kern w:val="0"/>
          <w:sz w:val="21"/>
          <w:szCs w:val="21"/>
          <w:highlight w:val="none"/>
        </w:rPr>
        <w:t xml:space="preserve"> </w:t>
      </w:r>
      <w:r>
        <w:rPr>
          <w:rFonts w:hint="eastAsia" w:hAnsi="宋体" w:cs="宋体"/>
          <w:color w:val="auto"/>
          <w:sz w:val="21"/>
          <w:szCs w:val="21"/>
          <w:highlight w:val="none"/>
        </w:rPr>
        <w:t xml:space="preserve">  </w:t>
      </w:r>
    </w:p>
    <w:p w14:paraId="1ABF575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12.</w:t>
      </w:r>
      <w:r>
        <w:rPr>
          <w:rFonts w:hint="eastAsia" w:hAnsi="宋体" w:cs="宋体"/>
          <w:color w:val="auto"/>
          <w:sz w:val="21"/>
          <w:szCs w:val="21"/>
          <w:highlight w:val="none"/>
        </w:rPr>
        <w:t>2 预付款</w:t>
      </w:r>
    </w:p>
    <w:p w14:paraId="47966F84">
      <w:pPr>
        <w:pStyle w:val="13"/>
        <w:spacing w:line="450" w:lineRule="exact"/>
        <w:ind w:firstLine="420" w:firstLineChars="200"/>
        <w:rPr>
          <w:rFonts w:hint="eastAsia" w:hAnsi="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.2.1 </w:t>
      </w:r>
      <w:r>
        <w:rPr>
          <w:rFonts w:hint="eastAsia" w:ascii="宋体" w:hAnsi="宋体" w:eastAsia="宋体" w:cs="宋体"/>
          <w:color w:val="auto"/>
          <w:sz w:val="21"/>
          <w:szCs w:val="21"/>
          <w:highlight w:val="none"/>
          <w:lang w:val="en-US" w:eastAsia="zh-CN"/>
        </w:rPr>
        <w:t>预付款的支付和扣回的方式：</w:t>
      </w:r>
      <w:r>
        <w:rPr>
          <w:rFonts w:hint="eastAsia" w:ascii="宋体" w:hAnsi="宋体" w:eastAsia="宋体" w:cs="宋体"/>
          <w:b/>
          <w:bCs w:val="0"/>
          <w:color w:val="auto"/>
          <w:sz w:val="21"/>
          <w:szCs w:val="21"/>
          <w:highlight w:val="none"/>
          <w:u w:val="single"/>
          <w:lang w:val="en-US" w:eastAsia="zh-CN"/>
        </w:rPr>
        <w:t>在合同签订生效后一周内，支付合同价款的20%；（预付款扣回的方式：在前2次工程进度款支付时各扣回预付款的50%)。</w:t>
      </w:r>
    </w:p>
    <w:p w14:paraId="6A2F7F74">
      <w:pPr>
        <w:pStyle w:val="67"/>
        <w:spacing w:before="120" w:line="450" w:lineRule="exact"/>
        <w:ind w:firstLine="310" w:firstLineChars="147"/>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.3 计量</w:t>
      </w:r>
    </w:p>
    <w:p w14:paraId="5C412B73">
      <w:pPr>
        <w:pStyle w:val="13"/>
        <w:spacing w:line="45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关于工程量计算原则约定：按现行的工程量计算规则执行。</w:t>
      </w:r>
    </w:p>
    <w:p w14:paraId="60F3D75C">
      <w:pPr>
        <w:pStyle w:val="13"/>
        <w:spacing w:line="45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关于计量周期及本合同计量方式和程序的约定：执行通用条款。</w:t>
      </w:r>
    </w:p>
    <w:p w14:paraId="7776FEF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.4 工程进度款支付</w:t>
      </w:r>
    </w:p>
    <w:p w14:paraId="5A7102DF">
      <w:pPr>
        <w:pStyle w:val="67"/>
        <w:spacing w:before="120" w:line="450" w:lineRule="exact"/>
        <w:ind w:firstLine="310" w:firstLineChars="147"/>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关于付款周期、进度款支付程序和方法的约定</w:t>
      </w:r>
      <w:bookmarkStart w:id="426" w:name="_Toc364853235"/>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在工程施工进度（监理工程师、现场业主代表共同核定的已完合格的工程量）至50%时支付合同价款的30%；工程施工进度（监理工程师、现场业主代表共同核定的已完合格的工程量）至80%时支付合同价款的30%；待工程竣工验收合格后支付至合同价款的80%；待竣工结算经甲方委托的造价咨询机构审核后支付至结算审核价款的98.5%，余款在质保期过后付清。</w:t>
      </w:r>
    </w:p>
    <w:p w14:paraId="3D7E3EBA">
      <w:pPr>
        <w:pStyle w:val="67"/>
        <w:spacing w:before="120" w:line="450" w:lineRule="exact"/>
        <w:ind w:firstLine="310" w:firstLineChars="147"/>
        <w:rPr>
          <w:rFonts w:hint="default" w:ascii="宋体" w:hAnsi="宋体" w:eastAsia="宋体" w:cs="宋体"/>
          <w:color w:val="auto"/>
          <w:sz w:val="21"/>
          <w:szCs w:val="21"/>
          <w:highlight w:val="none"/>
          <w:u w:val="none"/>
          <w:lang w:val="en-US" w:eastAsia="zh-CN"/>
        </w:rPr>
      </w:pPr>
      <w:r>
        <w:rPr>
          <w:rFonts w:hint="eastAsia" w:hAnsi="宋体" w:cs="宋体"/>
          <w:color w:val="auto"/>
          <w:sz w:val="21"/>
          <w:szCs w:val="21"/>
          <w:highlight w:val="none"/>
          <w:u w:val="none"/>
          <w:lang w:val="en-US" w:eastAsia="zh-CN"/>
        </w:rPr>
        <w:t>12.5特别约定</w:t>
      </w:r>
    </w:p>
    <w:p w14:paraId="0A84186E">
      <w:pPr>
        <w:snapToGrid w:val="0"/>
        <w:spacing w:line="450" w:lineRule="exact"/>
        <w:ind w:firstLine="420"/>
        <w:rPr>
          <w:rFonts w:hint="eastAsia" w:ascii="宋体" w:hAnsi="宋体" w:eastAsia="宋体" w:cs="宋体"/>
          <w:b/>
          <w:bCs/>
          <w:color w:val="auto"/>
          <w:sz w:val="21"/>
          <w:szCs w:val="21"/>
          <w:highlight w:val="none"/>
          <w:u w:val="single"/>
          <w:lang w:val="en-US" w:eastAsia="zh-CN"/>
        </w:rPr>
      </w:pPr>
      <w:r>
        <w:rPr>
          <w:rFonts w:hint="eastAsia" w:ascii="宋体" w:hAnsi="宋体" w:cs="宋体"/>
          <w:b/>
          <w:bCs/>
          <w:color w:val="auto"/>
          <w:szCs w:val="21"/>
          <w:highlight w:val="none"/>
          <w:lang w:val="en-US" w:eastAsia="zh-CN"/>
        </w:rPr>
        <w:t>发包人受项目业主委托，实施该项目的施工招标及管理工作。因此上述工程款的支付受项目业主单位向发包人支付工程款的时间、金额的约束，若项目业主单位向发包人支付工程款的时间延迟，则发包人向承包人支付工程款的时间作相应顺延，对此，承包人予以认可并且承诺不会因此追究发包人逾期付款的违约责任。承包人如需项目业主单位的相关信息可向发包人咨询。</w:t>
      </w:r>
    </w:p>
    <w:p w14:paraId="60B36ADD">
      <w:pPr>
        <w:snapToGrid w:val="0"/>
        <w:spacing w:line="450" w:lineRule="exact"/>
        <w:ind w:firstLine="420"/>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 验收和工程试车</w:t>
      </w:r>
      <w:bookmarkEnd w:id="426"/>
    </w:p>
    <w:p w14:paraId="104275C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1 分部分项工程验收</w:t>
      </w:r>
    </w:p>
    <w:p w14:paraId="4CA11EF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.1.2 监理人不能按时进行验收时，应提前</w:t>
      </w:r>
      <w:r>
        <w:rPr>
          <w:rFonts w:hint="eastAsia" w:ascii="宋体" w:hAnsi="宋体" w:cs="宋体"/>
          <w:color w:val="auto"/>
          <w:sz w:val="21"/>
          <w:szCs w:val="21"/>
          <w:highlight w:val="none"/>
          <w:u w:val="single"/>
        </w:rPr>
        <w:t xml:space="preserve"> 24 </w:t>
      </w:r>
      <w:r>
        <w:rPr>
          <w:rFonts w:hint="eastAsia" w:ascii="宋体" w:hAnsi="宋体" w:cs="宋体"/>
          <w:color w:val="auto"/>
          <w:sz w:val="21"/>
          <w:szCs w:val="21"/>
          <w:highlight w:val="none"/>
        </w:rPr>
        <w:t>小时提交书面延期要求，但延期不能超过48小时。</w:t>
      </w:r>
    </w:p>
    <w:p w14:paraId="5D3C04F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.2 竣工验收</w:t>
      </w:r>
    </w:p>
    <w:p w14:paraId="19E23C1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.2.2 竣工验收程序</w:t>
      </w:r>
    </w:p>
    <w:p w14:paraId="27AE388C">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关于竣工验收程序的约定：执行通用条款。</w:t>
      </w:r>
    </w:p>
    <w:p w14:paraId="6589980F">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发包人不按照本项约定组织竣工验收、颁发工程接收证书的违约金的计算方法：执行通用条款。</w:t>
      </w:r>
    </w:p>
    <w:p w14:paraId="7C83B28E">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.2.5　移交、接收全部与部分工程</w:t>
      </w:r>
    </w:p>
    <w:p w14:paraId="581E8F09">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承包人向发包人移交工程的期限：在颁发工程接收证书后</w:t>
      </w:r>
      <w:r>
        <w:rPr>
          <w:rFonts w:hint="eastAsia" w:ascii="宋体" w:hAnsi="宋体" w:cs="宋体"/>
          <w:color w:val="auto"/>
          <w:sz w:val="21"/>
          <w:szCs w:val="21"/>
          <w:highlight w:val="none"/>
          <w:u w:val="single"/>
        </w:rPr>
        <w:t xml:space="preserve">7 </w:t>
      </w:r>
      <w:r>
        <w:rPr>
          <w:rFonts w:hint="eastAsia" w:ascii="宋体" w:hAnsi="宋体" w:cs="宋体"/>
          <w:color w:val="auto"/>
          <w:sz w:val="21"/>
          <w:szCs w:val="21"/>
          <w:highlight w:val="none"/>
        </w:rPr>
        <w:t>天内完成工程的移交。</w:t>
      </w:r>
    </w:p>
    <w:p w14:paraId="0DD48BF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发包人无正当理由未按本合同约定接收全部或部分工程的，除承担自应接收工程</w:t>
      </w:r>
      <w:r>
        <w:rPr>
          <w:rFonts w:hint="eastAsia" w:ascii="宋体" w:hAnsi="宋体" w:cs="宋体"/>
          <w:color w:val="auto"/>
          <w:sz w:val="21"/>
          <w:szCs w:val="21"/>
          <w:highlight w:val="none"/>
        </w:rPr>
        <w:t>之日起的工程照管、成本保护、保管等与工程有关的各项费用外，应当按本专用条款约定的</w:t>
      </w:r>
      <w:r>
        <w:rPr>
          <w:rFonts w:hint="eastAsia" w:ascii="宋体" w:hAnsi="宋体" w:cs="宋体"/>
          <w:color w:val="auto"/>
          <w:kern w:val="0"/>
          <w:sz w:val="21"/>
          <w:szCs w:val="21"/>
          <w:highlight w:val="none"/>
        </w:rPr>
        <w:t>提前竣工奖励的5倍标准</w:t>
      </w:r>
      <w:r>
        <w:rPr>
          <w:rFonts w:hint="eastAsia" w:ascii="宋体" w:hAnsi="宋体" w:cs="宋体"/>
          <w:color w:val="auto"/>
          <w:sz w:val="21"/>
          <w:szCs w:val="21"/>
          <w:highlight w:val="none"/>
        </w:rPr>
        <w:t>向承包人支付逾期接收工程的违约金。</w:t>
      </w:r>
    </w:p>
    <w:p w14:paraId="413D7881">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 w:val="21"/>
          <w:szCs w:val="21"/>
          <w:highlight w:val="none"/>
        </w:rPr>
        <w:t>包人支付逾期移交工程的违约金。</w:t>
      </w:r>
    </w:p>
    <w:p w14:paraId="00553FA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13</w:t>
      </w:r>
      <w:r>
        <w:rPr>
          <w:rFonts w:hint="eastAsia" w:hAnsi="宋体" w:cs="宋体"/>
          <w:color w:val="auto"/>
          <w:sz w:val="21"/>
          <w:szCs w:val="21"/>
          <w:highlight w:val="none"/>
        </w:rPr>
        <w:t>.3 工程试车</w:t>
      </w:r>
    </w:p>
    <w:p w14:paraId="3EE6C202">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.3.1 关于试车程序及费用的约定：执行通用条款。</w:t>
      </w:r>
    </w:p>
    <w:p w14:paraId="0404CE6D">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.3.3　关于投料试车相关事项的约定：执行通用条款。</w:t>
      </w:r>
    </w:p>
    <w:p w14:paraId="31D1970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3.6</w:t>
      </w:r>
      <w:r>
        <w:rPr>
          <w:rFonts w:hint="eastAsia" w:hAnsi="宋体" w:cs="宋体"/>
          <w:color w:val="auto"/>
          <w:sz w:val="21"/>
          <w:szCs w:val="21"/>
          <w:highlight w:val="none"/>
        </w:rPr>
        <w:t xml:space="preserve"> 竣工退场</w:t>
      </w:r>
    </w:p>
    <w:p w14:paraId="3BED2A3F">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13.6.1</w:t>
      </w:r>
      <w:r>
        <w:rPr>
          <w:rFonts w:hint="eastAsia" w:ascii="宋体" w:hAnsi="宋体" w:cs="宋体"/>
          <w:color w:val="auto"/>
          <w:sz w:val="21"/>
          <w:szCs w:val="21"/>
          <w:highlight w:val="none"/>
        </w:rPr>
        <w:t>竣工退场</w:t>
      </w:r>
    </w:p>
    <w:p w14:paraId="10D5945F">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承包人应当在发包人颁发工程接收证书后</w:t>
      </w:r>
      <w:r>
        <w:rPr>
          <w:rFonts w:hint="eastAsia" w:ascii="宋体" w:hAnsi="宋体" w:cs="宋体"/>
          <w:color w:val="auto"/>
          <w:sz w:val="21"/>
          <w:szCs w:val="21"/>
          <w:highlight w:val="none"/>
          <w:u w:val="single"/>
        </w:rPr>
        <w:t xml:space="preserve">  14</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内完成竣工退场，逾期未完成的，按通用条款执行。</w:t>
      </w:r>
    </w:p>
    <w:p w14:paraId="6F1330DC">
      <w:pPr>
        <w:pStyle w:val="5"/>
        <w:spacing w:line="450" w:lineRule="exact"/>
        <w:rPr>
          <w:rFonts w:hint="eastAsia" w:ascii="宋体" w:hAnsi="宋体" w:cs="宋体"/>
          <w:color w:val="auto"/>
          <w:sz w:val="21"/>
          <w:szCs w:val="21"/>
          <w:highlight w:val="none"/>
        </w:rPr>
      </w:pPr>
      <w:bookmarkStart w:id="427" w:name="_Toc364853236"/>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 竣工结算</w:t>
      </w:r>
      <w:bookmarkEnd w:id="427"/>
    </w:p>
    <w:p w14:paraId="3260C5B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1 竣工结算申请</w:t>
      </w:r>
    </w:p>
    <w:p w14:paraId="0649B1F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承包人应当在工程竣工验收合格后</w:t>
      </w:r>
      <w:r>
        <w:rPr>
          <w:rFonts w:hint="eastAsia" w:ascii="宋体" w:hAnsi="宋体" w:cs="宋体"/>
          <w:color w:val="auto"/>
          <w:sz w:val="21"/>
          <w:szCs w:val="21"/>
          <w:highlight w:val="none"/>
          <w:u w:val="single"/>
        </w:rPr>
        <w:t>　28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内向发包人或其委托的工程造价咨询人提交竣工结算申请单及其完整的结算资料3份。</w:t>
      </w:r>
    </w:p>
    <w:p w14:paraId="2A557E4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10550B24">
      <w:pPr>
        <w:autoSpaceDE w:val="0"/>
        <w:autoSpaceDN w:val="0"/>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竣工结算申请单应包括的内容：按通用条款执行。</w:t>
      </w:r>
    </w:p>
    <w:p w14:paraId="57FE1749">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14.2</w:t>
      </w:r>
      <w:r>
        <w:rPr>
          <w:rFonts w:hint="eastAsia" w:hAnsi="宋体" w:cs="宋体"/>
          <w:color w:val="auto"/>
          <w:sz w:val="21"/>
          <w:szCs w:val="21"/>
          <w:highlight w:val="none"/>
        </w:rPr>
        <w:t xml:space="preserve"> 竣工结算审核</w:t>
      </w:r>
    </w:p>
    <w:p w14:paraId="7B48E958">
      <w:pPr>
        <w:pStyle w:val="68"/>
        <w:adjustRightInd w:val="0"/>
        <w:spacing w:line="45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14.2.1</w:t>
      </w:r>
      <w:r>
        <w:rPr>
          <w:rFonts w:hint="eastAsia" w:hAnsi="宋体" w:eastAsia="宋体" w:cs="宋体"/>
          <w:color w:val="auto"/>
          <w:sz w:val="21"/>
          <w:szCs w:val="21"/>
          <w:highlight w:val="none"/>
        </w:rPr>
        <w:t xml:space="preserve"> 竣工结算审核</w:t>
      </w:r>
    </w:p>
    <w:p w14:paraId="2ECB7FD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（1）发包人在收到承包人完整的竣工结算审核申请资料后，应在28天内及时提交财政或审计部门审核，财政或审计部门出具结算审核报告后，发包人应在14天内签发竣工付款证书。</w:t>
      </w:r>
    </w:p>
    <w:p w14:paraId="63C6DAD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发包人在收到承包人提交的竣工结算申请单后</w:t>
      </w:r>
      <w:r>
        <w:rPr>
          <w:rFonts w:hint="eastAsia" w:ascii="宋体" w:hAnsi="宋体" w:cs="宋体"/>
          <w:color w:val="auto"/>
          <w:sz w:val="21"/>
          <w:szCs w:val="21"/>
          <w:highlight w:val="none"/>
          <w:u w:val="single"/>
        </w:rPr>
        <w:t>　28　</w:t>
      </w:r>
      <w:r>
        <w:rPr>
          <w:rFonts w:hint="eastAsia" w:ascii="宋体" w:hAnsi="宋体" w:cs="宋体"/>
          <w:color w:val="auto"/>
          <w:sz w:val="21"/>
          <w:szCs w:val="21"/>
          <w:highlight w:val="none"/>
        </w:rPr>
        <w:t>天未提出异议或者未出具结算报告的，视为发包人认可承包人提交的竣工结算申请单，逾期，视为已</w:t>
      </w:r>
    </w:p>
    <w:p w14:paraId="60E1E22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签发竣工付款证书。</w:t>
      </w:r>
    </w:p>
    <w:p w14:paraId="00365B3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（2）发包人应在签发竣工付款证书后</w:t>
      </w:r>
      <w:r>
        <w:rPr>
          <w:rFonts w:hint="eastAsia" w:ascii="宋体" w:hAnsi="宋体" w:cs="宋体"/>
          <w:color w:val="auto"/>
          <w:sz w:val="21"/>
          <w:szCs w:val="21"/>
          <w:highlight w:val="none"/>
          <w:u w:val="single"/>
        </w:rPr>
        <w:t>　7　</w:t>
      </w:r>
      <w:r>
        <w:rPr>
          <w:rFonts w:hint="eastAsia" w:ascii="宋体" w:hAnsi="宋体" w:cs="宋体"/>
          <w:color w:val="auto"/>
          <w:sz w:val="21"/>
          <w:szCs w:val="21"/>
          <w:highlight w:val="none"/>
        </w:rPr>
        <w:t>天内，完成对承包人的竣工付款。发包人逾期支付的违约责任按通用条款执行。</w:t>
      </w:r>
    </w:p>
    <w:p w14:paraId="3D997D8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49491103">
      <w:pPr>
        <w:spacing w:line="450" w:lineRule="exact"/>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（4）委托中介机构进行竣工结算审核时发生追加费，其费用由承包方承担。结算追加费执行浙价服【2009】84号标准，结合奉化财政局规定执行。</w:t>
      </w:r>
    </w:p>
    <w:p w14:paraId="37759F5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（5）关于承包人收款账户的约定：执行通用条款。</w:t>
      </w:r>
    </w:p>
    <w:p w14:paraId="4DA6F6F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14.4</w:t>
      </w:r>
      <w:r>
        <w:rPr>
          <w:rFonts w:hint="eastAsia" w:hAnsi="宋体" w:cs="宋体"/>
          <w:color w:val="auto"/>
          <w:sz w:val="21"/>
          <w:szCs w:val="21"/>
          <w:highlight w:val="none"/>
        </w:rPr>
        <w:t xml:space="preserve"> 最终结清</w:t>
      </w:r>
    </w:p>
    <w:p w14:paraId="3B7B62B0">
      <w:pPr>
        <w:spacing w:line="450" w:lineRule="exact"/>
        <w:ind w:firstLine="420" w:firstLineChars="200"/>
        <w:rPr>
          <w:rFonts w:hint="eastAsia" w:ascii="宋体" w:hAnsi="宋体" w:cs="宋体"/>
          <w:color w:val="auto"/>
          <w:sz w:val="21"/>
          <w:szCs w:val="21"/>
          <w:highlight w:val="none"/>
        </w:rPr>
      </w:pPr>
      <w:bookmarkStart w:id="428" w:name="_Toc364853237"/>
      <w:r>
        <w:rPr>
          <w:rFonts w:hint="eastAsia" w:ascii="宋体" w:hAnsi="宋体" w:cs="宋体"/>
          <w:color w:val="auto"/>
          <w:sz w:val="21"/>
          <w:szCs w:val="21"/>
          <w:highlight w:val="none"/>
          <w:lang w:val="en-US" w:eastAsia="zh-CN"/>
        </w:rPr>
        <w:t>14.4.1</w:t>
      </w:r>
      <w:r>
        <w:rPr>
          <w:rFonts w:hint="eastAsia" w:ascii="宋体" w:hAnsi="宋体" w:cs="宋体"/>
          <w:color w:val="auto"/>
          <w:sz w:val="21"/>
          <w:szCs w:val="21"/>
          <w:highlight w:val="none"/>
        </w:rPr>
        <w:t>最终结清申请单</w:t>
      </w:r>
    </w:p>
    <w:p w14:paraId="115DA8C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（1）承包人应在缺陷责任期终止证书颁发后7天内提交3份最终结清申请单，并提供相关证明材料。最终结清申请单应列明质量保证金、应扣除的质量保证金、缺陷责任期内发生的增减费用。</w:t>
      </w:r>
    </w:p>
    <w:p w14:paraId="6150F45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（2）发包人对最终结清申请单内容有异议的，有权要求承包人进行修正和提供补充资料，但应当出具书面意见。承包人应当按照发包人的书面意见提交修正后的最终结清申请单。</w:t>
      </w:r>
    </w:p>
    <w:p w14:paraId="645BD24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14.4.2</w:t>
      </w:r>
      <w:r>
        <w:rPr>
          <w:rFonts w:hint="eastAsia" w:ascii="宋体" w:hAnsi="宋体" w:cs="宋体"/>
          <w:color w:val="auto"/>
          <w:sz w:val="21"/>
          <w:szCs w:val="21"/>
          <w:highlight w:val="none"/>
        </w:rPr>
        <w:t xml:space="preserve"> 最终结清证书和支付</w:t>
      </w:r>
    </w:p>
    <w:p w14:paraId="5B07819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（1）发包人应在收到承包人提交的最终结清申请单后</w:t>
      </w:r>
      <w:r>
        <w:rPr>
          <w:rFonts w:hint="eastAsia" w:ascii="宋体" w:hAnsi="宋体" w:cs="宋体"/>
          <w:color w:val="auto"/>
          <w:sz w:val="21"/>
          <w:szCs w:val="21"/>
          <w:highlight w:val="none"/>
          <w:u w:val="single"/>
        </w:rPr>
        <w:t>14</w:t>
      </w:r>
      <w:r>
        <w:rPr>
          <w:rFonts w:hint="eastAsia" w:ascii="宋体" w:hAnsi="宋体" w:cs="宋体"/>
          <w:color w:val="auto"/>
          <w:sz w:val="21"/>
          <w:szCs w:val="21"/>
          <w:highlight w:val="none"/>
        </w:rPr>
        <w:t>天内完成审批并向承包人颁发最终结清证书。发包人逾期未完成审批，又未提出修改意见的，视为发包人同意承包人提交的最终结清申请单并已颁发最终结清证书 。</w:t>
      </w:r>
    </w:p>
    <w:p w14:paraId="5BA4903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（2）发包人应在颁发最终结清证书后</w:t>
      </w:r>
      <w:r>
        <w:rPr>
          <w:rFonts w:hint="eastAsia" w:ascii="宋体" w:hAnsi="宋体" w:cs="宋体"/>
          <w:color w:val="auto"/>
          <w:sz w:val="21"/>
          <w:szCs w:val="21"/>
          <w:highlight w:val="none"/>
          <w:u w:val="single"/>
        </w:rPr>
        <w:t>　7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内完成支付。发包人逾期支付的违约责任按通用条款执行。</w:t>
      </w:r>
    </w:p>
    <w:p w14:paraId="3D0B8128">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 xml:space="preserve"> 缺陷责任期与保修</w:t>
      </w:r>
      <w:bookmarkEnd w:id="428"/>
    </w:p>
    <w:p w14:paraId="18D2121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15.2</w:t>
      </w:r>
      <w:r>
        <w:rPr>
          <w:rFonts w:hint="eastAsia" w:hAnsi="宋体" w:cs="宋体"/>
          <w:color w:val="auto"/>
          <w:sz w:val="21"/>
          <w:szCs w:val="21"/>
          <w:highlight w:val="none"/>
        </w:rPr>
        <w:t>缺陷责任期</w:t>
      </w:r>
    </w:p>
    <w:p w14:paraId="145318F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15.2.1</w:t>
      </w:r>
      <w:r>
        <w:rPr>
          <w:rFonts w:hint="eastAsia" w:ascii="宋体" w:hAnsi="宋体" w:cs="宋体"/>
          <w:color w:val="auto"/>
          <w:sz w:val="21"/>
          <w:szCs w:val="21"/>
          <w:highlight w:val="none"/>
        </w:rPr>
        <w:t xml:space="preserve"> 本合同缺陷责任期为</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rPr>
        <w:t>个月。</w:t>
      </w:r>
    </w:p>
    <w:p w14:paraId="34C6E08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 w:val="21"/>
          <w:szCs w:val="21"/>
          <w:highlight w:val="none"/>
          <w:u w:val="single"/>
        </w:rPr>
        <w:t>12</w:t>
      </w:r>
      <w:r>
        <w:rPr>
          <w:rFonts w:hint="eastAsia" w:ascii="宋体" w:hAnsi="宋体" w:cs="宋体"/>
          <w:color w:val="auto"/>
          <w:sz w:val="21"/>
          <w:szCs w:val="21"/>
          <w:highlight w:val="none"/>
        </w:rPr>
        <w:t>个月。</w:t>
      </w:r>
    </w:p>
    <w:p w14:paraId="06866072">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15.3</w:t>
      </w:r>
      <w:r>
        <w:rPr>
          <w:rFonts w:hint="eastAsia" w:hAnsi="宋体" w:cs="宋体"/>
          <w:color w:val="auto"/>
          <w:sz w:val="21"/>
          <w:szCs w:val="21"/>
          <w:highlight w:val="none"/>
        </w:rPr>
        <w:t>质量保证担保</w:t>
      </w:r>
    </w:p>
    <w:p w14:paraId="23EFFC0E">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kern w:val="2"/>
          <w:sz w:val="21"/>
          <w:szCs w:val="21"/>
          <w:highlight w:val="none"/>
          <w:lang w:val="en-US" w:eastAsia="zh-CN" w:bidi="ar-SA"/>
        </w:rPr>
        <w:t>15.3.1</w:t>
      </w:r>
      <w:r>
        <w:rPr>
          <w:rFonts w:hint="eastAsia" w:ascii="宋体" w:hAnsi="宋体" w:eastAsia="宋体" w:cs="宋体"/>
          <w:b w:val="0"/>
          <w:color w:val="auto"/>
          <w:kern w:val="2"/>
          <w:sz w:val="21"/>
          <w:szCs w:val="21"/>
          <w:highlight w:val="none"/>
          <w:lang w:val="en-US" w:eastAsia="zh-CN" w:bidi="ar-SA"/>
        </w:rPr>
        <w:t>质量保证期：自实际竣工日期起计算</w:t>
      </w:r>
      <w:r>
        <w:rPr>
          <w:rFonts w:hint="eastAsia" w:hAnsi="宋体" w:cs="宋体"/>
          <w:b w:val="0"/>
          <w:color w:val="auto"/>
          <w:kern w:val="2"/>
          <w:sz w:val="21"/>
          <w:szCs w:val="21"/>
          <w:highlight w:val="none"/>
          <w:lang w:val="en-US" w:eastAsia="zh-CN" w:bidi="ar-SA"/>
        </w:rPr>
        <w:t>12</w:t>
      </w:r>
      <w:r>
        <w:rPr>
          <w:rFonts w:hint="eastAsia" w:ascii="宋体" w:hAnsi="宋体" w:eastAsia="宋体" w:cs="宋体"/>
          <w:b w:val="0"/>
          <w:color w:val="auto"/>
          <w:kern w:val="2"/>
          <w:sz w:val="21"/>
          <w:szCs w:val="21"/>
          <w:highlight w:val="none"/>
          <w:lang w:val="en-US" w:eastAsia="zh-CN" w:bidi="ar-SA"/>
        </w:rPr>
        <w:t>个月。</w:t>
      </w:r>
      <w:r>
        <w:rPr>
          <w:rFonts w:hint="eastAsia" w:hAnsi="宋体" w:cs="宋体"/>
          <w:color w:val="auto"/>
          <w:sz w:val="21"/>
          <w:szCs w:val="21"/>
          <w:highlight w:val="none"/>
        </w:rPr>
        <w:t xml:space="preserve"> </w:t>
      </w:r>
    </w:p>
    <w:p w14:paraId="5FE13D1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15.3.2</w:t>
      </w:r>
      <w:r>
        <w:rPr>
          <w:rFonts w:hint="eastAsia" w:ascii="宋体" w:hAnsi="宋体" w:cs="宋体"/>
          <w:color w:val="auto"/>
          <w:sz w:val="21"/>
          <w:szCs w:val="21"/>
          <w:highlight w:val="none"/>
        </w:rPr>
        <w:t>承包人与质量保证担保有关的任何利息或其它类似的费用或者收益由承包人承担；因承包人原因导致缺陷责任期延长的，继续提供质量保证担保所增加的费用由承包人承担。</w:t>
      </w:r>
    </w:p>
    <w:p w14:paraId="038D7B4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15.4</w:t>
      </w:r>
      <w:r>
        <w:rPr>
          <w:rFonts w:hint="eastAsia" w:hAnsi="宋体" w:cs="宋体"/>
          <w:color w:val="auto"/>
          <w:sz w:val="21"/>
          <w:szCs w:val="21"/>
          <w:highlight w:val="none"/>
        </w:rPr>
        <w:t>保修</w:t>
      </w:r>
    </w:p>
    <w:p w14:paraId="2A75EF35">
      <w:pPr>
        <w:spacing w:line="450" w:lineRule="exact"/>
        <w:ind w:firstLine="420" w:firstLineChars="200"/>
        <w:rPr>
          <w:rFonts w:hint="eastAsia" w:ascii="宋体" w:hAnsi="宋体" w:cs="宋体"/>
          <w:color w:val="auto"/>
          <w:kern w:val="0"/>
          <w:sz w:val="21"/>
          <w:szCs w:val="21"/>
          <w:highlight w:val="none"/>
        </w:rPr>
      </w:pPr>
      <w:bookmarkStart w:id="429" w:name="_Toc364853238"/>
      <w:r>
        <w:rPr>
          <w:rFonts w:hint="eastAsia" w:ascii="宋体" w:hAnsi="宋体" w:cs="宋体"/>
          <w:color w:val="auto"/>
          <w:kern w:val="0"/>
          <w:sz w:val="21"/>
          <w:szCs w:val="21"/>
          <w:highlight w:val="none"/>
          <w:lang w:val="en-US" w:eastAsia="zh-CN"/>
        </w:rPr>
        <w:t>15.4.1</w:t>
      </w:r>
      <w:r>
        <w:rPr>
          <w:rFonts w:hint="eastAsia" w:ascii="宋体" w:hAnsi="宋体" w:cs="宋体"/>
          <w:color w:val="auto"/>
          <w:kern w:val="0"/>
          <w:sz w:val="21"/>
          <w:szCs w:val="21"/>
          <w:highlight w:val="none"/>
        </w:rPr>
        <w:t>保修责任</w:t>
      </w:r>
    </w:p>
    <w:p w14:paraId="137E1A7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工程保修期为：</w:t>
      </w:r>
      <w:r>
        <w:rPr>
          <w:rFonts w:hint="eastAsia" w:ascii="宋体" w:hAnsi="宋体" w:cs="宋体"/>
          <w:color w:val="auto"/>
          <w:sz w:val="21"/>
          <w:szCs w:val="21"/>
          <w:highlight w:val="none"/>
          <w:lang w:val="en-US" w:eastAsia="zh-CN"/>
        </w:rPr>
        <w:t>1年</w:t>
      </w:r>
      <w:r>
        <w:rPr>
          <w:rFonts w:hint="eastAsia" w:ascii="宋体" w:hAnsi="宋体" w:cs="宋体"/>
          <w:color w:val="auto"/>
          <w:sz w:val="21"/>
          <w:szCs w:val="21"/>
          <w:highlight w:val="none"/>
        </w:rPr>
        <w:t>。</w:t>
      </w:r>
    </w:p>
    <w:p w14:paraId="54EE9FA2">
      <w:pPr>
        <w:spacing w:line="45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15.4.2质量保修金：结算价款的1.5%。</w:t>
      </w:r>
    </w:p>
    <w:p w14:paraId="3D8235E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15.4.3</w:t>
      </w:r>
      <w:r>
        <w:rPr>
          <w:rFonts w:hint="eastAsia" w:ascii="宋体" w:hAnsi="宋体" w:cs="宋体"/>
          <w:color w:val="auto"/>
          <w:sz w:val="21"/>
          <w:szCs w:val="21"/>
          <w:highlight w:val="none"/>
        </w:rPr>
        <w:t xml:space="preserve"> 修复通知</w:t>
      </w:r>
    </w:p>
    <w:p w14:paraId="4AF2E7D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合同当事人约定：承包人收到保修通知并到达工程现场的合理时间为48小时内（含48小时）。</w:t>
      </w:r>
    </w:p>
    <w:p w14:paraId="30AEE349">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 违约</w:t>
      </w:r>
      <w:bookmarkEnd w:id="429"/>
    </w:p>
    <w:p w14:paraId="195A4FC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16.1</w:t>
      </w:r>
      <w:r>
        <w:rPr>
          <w:rFonts w:hint="eastAsia" w:hAnsi="宋体" w:cs="宋体"/>
          <w:color w:val="auto"/>
          <w:sz w:val="21"/>
          <w:szCs w:val="21"/>
          <w:highlight w:val="none"/>
        </w:rPr>
        <w:t xml:space="preserve"> 发包人违约</w:t>
      </w:r>
    </w:p>
    <w:p w14:paraId="10CB746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.1.1发包人违约的情形按通用条款确定。</w:t>
      </w:r>
    </w:p>
    <w:p w14:paraId="261E014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.1.2 发包人违约的责任</w:t>
      </w:r>
    </w:p>
    <w:p w14:paraId="7F12C1A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发包人应承担其违约承包人增加的费用和（或）延误工期，并支付承包人合理的利润。</w:t>
      </w:r>
    </w:p>
    <w:p w14:paraId="3C9BAD0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.1.3  关于发包人违约解除合同的约定：执行通用条款。</w:t>
      </w:r>
    </w:p>
    <w:p w14:paraId="0121612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16.2</w:t>
      </w:r>
      <w:r>
        <w:rPr>
          <w:rFonts w:hint="eastAsia" w:hAnsi="宋体" w:cs="宋体"/>
          <w:color w:val="auto"/>
          <w:sz w:val="21"/>
          <w:szCs w:val="21"/>
          <w:highlight w:val="none"/>
        </w:rPr>
        <w:t>承包人违约</w:t>
      </w:r>
    </w:p>
    <w:p w14:paraId="5721484C">
      <w:pPr>
        <w:spacing w:line="450" w:lineRule="exact"/>
        <w:ind w:firstLine="420" w:firstLineChars="200"/>
        <w:rPr>
          <w:rFonts w:hint="eastAsia" w:ascii="宋体" w:hAnsi="宋体" w:cs="宋体"/>
          <w:color w:val="auto"/>
          <w:sz w:val="21"/>
          <w:szCs w:val="21"/>
          <w:highlight w:val="none"/>
        </w:rPr>
      </w:pPr>
      <w:bookmarkStart w:id="430" w:name="_Toc364853239"/>
      <w:r>
        <w:rPr>
          <w:rFonts w:hint="eastAsia" w:ascii="宋体" w:hAnsi="宋体" w:cs="宋体"/>
          <w:color w:val="auto"/>
          <w:sz w:val="21"/>
          <w:szCs w:val="21"/>
          <w:highlight w:val="none"/>
          <w:lang w:val="en-US" w:eastAsia="zh-CN"/>
        </w:rPr>
        <w:t>16.2.1</w:t>
      </w:r>
      <w:r>
        <w:rPr>
          <w:rFonts w:hint="eastAsia" w:ascii="宋体" w:hAnsi="宋体" w:cs="宋体"/>
          <w:color w:val="auto"/>
          <w:sz w:val="21"/>
          <w:szCs w:val="21"/>
          <w:highlight w:val="none"/>
        </w:rPr>
        <w:t>承包人违约的情形按通用条款确定。</w:t>
      </w:r>
    </w:p>
    <w:p w14:paraId="2875971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16.2.2</w:t>
      </w:r>
      <w:r>
        <w:rPr>
          <w:rFonts w:hint="eastAsia" w:ascii="宋体" w:hAnsi="宋体" w:cs="宋体"/>
          <w:color w:val="auto"/>
          <w:sz w:val="21"/>
          <w:szCs w:val="21"/>
          <w:highlight w:val="none"/>
        </w:rPr>
        <w:t>承包人违约的责任</w:t>
      </w:r>
    </w:p>
    <w:p w14:paraId="74C975BC">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承包人应承担其违约行为及纠正其违约行为而增加的费用和（或）延误的工期。延误工期的，</w:t>
      </w:r>
      <w:r>
        <w:rPr>
          <w:rFonts w:hint="eastAsia" w:ascii="宋体" w:hAnsi="宋体" w:cs="宋体"/>
          <w:color w:val="auto"/>
          <w:kern w:val="0"/>
          <w:sz w:val="21"/>
          <w:szCs w:val="21"/>
          <w:highlight w:val="none"/>
        </w:rPr>
        <w:t>根据实际延误的时间，按本合同约定的工期延误赔偿标准向发包人支付违约金；延误超过56天的，按本合同约定的工期延误赔偿标准两倍支付违约金；逾期竣工违约金的限额不足时，发包人有权向承包人追偿。</w:t>
      </w:r>
    </w:p>
    <w:p w14:paraId="61E07137">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16.2.3</w:t>
      </w:r>
      <w:r>
        <w:rPr>
          <w:rFonts w:hint="eastAsia" w:ascii="宋体" w:hAnsi="宋体" w:cs="宋体"/>
          <w:color w:val="auto"/>
          <w:kern w:val="0"/>
          <w:sz w:val="21"/>
          <w:szCs w:val="21"/>
          <w:highlight w:val="none"/>
        </w:rPr>
        <w:t xml:space="preserve"> 关于因承包人违约解除合同的约定：执行通用条款。</w:t>
      </w:r>
    </w:p>
    <w:p w14:paraId="7E221EC2">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080F5660">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赔偿款在工程进度款中扣除。</w:t>
      </w:r>
    </w:p>
    <w:p w14:paraId="1C962669">
      <w:pPr>
        <w:adjustRightInd w:val="0"/>
        <w:spacing w:line="45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16.2.4</w:t>
      </w:r>
      <w:r>
        <w:rPr>
          <w:rFonts w:hint="eastAsia" w:ascii="宋体" w:hAnsi="宋体" w:eastAsia="宋体" w:cs="宋体"/>
          <w:color w:val="auto"/>
          <w:sz w:val="21"/>
          <w:szCs w:val="21"/>
          <w:highlight w:val="none"/>
        </w:rPr>
        <w:t>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07BFD5D7">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17. 不可抗力</w:t>
      </w:r>
      <w:bookmarkEnd w:id="430"/>
      <w:r>
        <w:rPr>
          <w:rFonts w:hint="eastAsia" w:ascii="宋体" w:hAnsi="宋体" w:cs="宋体"/>
          <w:color w:val="auto"/>
          <w:sz w:val="21"/>
          <w:szCs w:val="21"/>
          <w:highlight w:val="none"/>
        </w:rPr>
        <w:t xml:space="preserve"> </w:t>
      </w:r>
    </w:p>
    <w:p w14:paraId="678AA398">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17.1 不可抗力的确认</w:t>
      </w:r>
    </w:p>
    <w:p w14:paraId="711C62DB">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除通用合同条款约定的不可抗力事件之外，视为不可抗力的其他情形：火灾、洪水、罢工、政府征用、政府禁止令等。</w:t>
      </w:r>
    </w:p>
    <w:p w14:paraId="59767953">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因不可抗力解除合同</w:t>
      </w:r>
    </w:p>
    <w:p w14:paraId="6250726A">
      <w:pPr>
        <w:adjustRightInd w:val="0"/>
        <w:spacing w:line="450" w:lineRule="exact"/>
        <w:ind w:firstLine="420" w:firstLineChars="200"/>
        <w:rPr>
          <w:rFonts w:hint="eastAsia" w:ascii="宋体" w:hAnsi="宋体" w:cs="宋体"/>
          <w:color w:val="auto"/>
          <w:kern w:val="0"/>
          <w:sz w:val="21"/>
          <w:szCs w:val="21"/>
          <w:highlight w:val="none"/>
        </w:rPr>
      </w:pPr>
      <w:bookmarkStart w:id="431" w:name="_Toc364853240"/>
      <w:r>
        <w:rPr>
          <w:rFonts w:hint="eastAsia" w:ascii="宋体" w:hAnsi="宋体" w:cs="宋体"/>
          <w:color w:val="auto"/>
          <w:kern w:val="0"/>
          <w:sz w:val="21"/>
          <w:szCs w:val="21"/>
          <w:highlight w:val="none"/>
        </w:rPr>
        <w:t>合同解除后，发包人应在商定或确定发包人应支付款项后28天内完成款项的支付。</w:t>
      </w:r>
    </w:p>
    <w:p w14:paraId="28B56173">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18. 保险</w:t>
      </w:r>
      <w:bookmarkEnd w:id="431"/>
    </w:p>
    <w:p w14:paraId="65E1DA08">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18.1 工程保险</w:t>
      </w:r>
    </w:p>
    <w:p w14:paraId="15962FF8">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关于工程保险的特别约定：</w:t>
      </w:r>
      <w:r>
        <w:rPr>
          <w:rFonts w:hint="eastAsia" w:ascii="宋体" w:hAnsi="宋体" w:cs="宋体"/>
          <w:color w:val="auto"/>
          <w:sz w:val="21"/>
          <w:szCs w:val="21"/>
          <w:highlight w:val="none"/>
        </w:rPr>
        <w:t>执行通用条款</w:t>
      </w:r>
      <w:r>
        <w:rPr>
          <w:rFonts w:hint="eastAsia" w:ascii="宋体" w:hAnsi="宋体" w:cs="宋体"/>
          <w:color w:val="auto"/>
          <w:kern w:val="0"/>
          <w:sz w:val="21"/>
          <w:szCs w:val="21"/>
          <w:highlight w:val="none"/>
        </w:rPr>
        <w:t>。</w:t>
      </w:r>
    </w:p>
    <w:p w14:paraId="255C284E">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 其他保险</w:t>
      </w:r>
    </w:p>
    <w:p w14:paraId="426CC894">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关于其他保险的约定：除第三者责任险外，保险费用由被保险人承担。</w:t>
      </w:r>
    </w:p>
    <w:p w14:paraId="398F1E77">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w:t>
      </w:r>
      <w:r>
        <w:rPr>
          <w:rFonts w:hint="eastAsia" w:ascii="宋体" w:hAnsi="宋体" w:cs="宋体"/>
          <w:color w:val="auto"/>
          <w:kern w:val="0"/>
          <w:sz w:val="21"/>
          <w:szCs w:val="21"/>
          <w:highlight w:val="none"/>
          <w:u w:val="single"/>
        </w:rPr>
        <w:t xml:space="preserve">  应当 </w:t>
      </w:r>
      <w:r>
        <w:rPr>
          <w:rFonts w:hint="eastAsia" w:ascii="宋体" w:hAnsi="宋体" w:cs="宋体"/>
          <w:color w:val="auto"/>
          <w:kern w:val="0"/>
          <w:sz w:val="21"/>
          <w:szCs w:val="21"/>
          <w:highlight w:val="none"/>
        </w:rPr>
        <w:t>为其施工设备等办理财产保险。</w:t>
      </w:r>
    </w:p>
    <w:p w14:paraId="711B921F">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 xml:space="preserve"> 通知义务</w:t>
      </w:r>
    </w:p>
    <w:p w14:paraId="58BB0774">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关于变更保险合同时的通知义务的约定：执行通用条款。</w:t>
      </w:r>
      <w:bookmarkStart w:id="432" w:name="_Toc364853241"/>
    </w:p>
    <w:p w14:paraId="359282FD">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 争议解决</w:t>
      </w:r>
      <w:bookmarkEnd w:id="432"/>
    </w:p>
    <w:p w14:paraId="38752E13">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20.3</w:t>
      </w:r>
      <w:r>
        <w:rPr>
          <w:rFonts w:hint="eastAsia" w:hAnsi="宋体" w:cs="宋体"/>
          <w:color w:val="auto"/>
          <w:sz w:val="21"/>
          <w:szCs w:val="21"/>
          <w:highlight w:val="none"/>
        </w:rPr>
        <w:t xml:space="preserve"> 争议评审</w:t>
      </w:r>
    </w:p>
    <w:p w14:paraId="3DB1D8AA">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合同当事人</w:t>
      </w:r>
      <w:r>
        <w:rPr>
          <w:rFonts w:hint="eastAsia" w:ascii="宋体" w:hAnsi="宋体" w:cs="宋体"/>
          <w:color w:val="auto"/>
          <w:kern w:val="0"/>
          <w:sz w:val="21"/>
          <w:szCs w:val="21"/>
          <w:highlight w:val="none"/>
          <w:u w:val="single"/>
        </w:rPr>
        <w:t xml:space="preserve">   不同意  </w:t>
      </w:r>
      <w:r>
        <w:rPr>
          <w:rFonts w:hint="eastAsia" w:ascii="宋体" w:hAnsi="宋体" w:cs="宋体"/>
          <w:color w:val="auto"/>
          <w:kern w:val="0"/>
          <w:sz w:val="21"/>
          <w:szCs w:val="21"/>
          <w:highlight w:val="none"/>
        </w:rPr>
        <w:t xml:space="preserve">将工程争议提交争议评审小组决定。  </w:t>
      </w:r>
    </w:p>
    <w:p w14:paraId="019F7D6C">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20.4</w:t>
      </w:r>
      <w:r>
        <w:rPr>
          <w:rFonts w:hint="eastAsia" w:hAnsi="宋体" w:cs="宋体"/>
          <w:color w:val="auto"/>
          <w:sz w:val="21"/>
          <w:szCs w:val="21"/>
          <w:highlight w:val="none"/>
        </w:rPr>
        <w:t>仲裁或诉讼</w:t>
      </w:r>
    </w:p>
    <w:p w14:paraId="5FD3DFB1">
      <w:pPr>
        <w:adjustRightInd w:val="0"/>
        <w:spacing w:line="450" w:lineRule="exact"/>
        <w:ind w:firstLine="420" w:firstLineChars="200"/>
        <w:rPr>
          <w:rFonts w:hint="eastAsia" w:ascii="宋体" w:hAnsi="宋体" w:cs="宋体"/>
          <w:color w:val="auto"/>
          <w:kern w:val="0"/>
          <w:sz w:val="24"/>
          <w:szCs w:val="24"/>
          <w:highlight w:val="none"/>
        </w:rPr>
      </w:pPr>
      <w:r>
        <w:rPr>
          <w:rFonts w:hint="eastAsia" w:ascii="宋体" w:hAnsi="宋体" w:cs="宋体"/>
          <w:color w:val="auto"/>
          <w:kern w:val="0"/>
          <w:sz w:val="21"/>
          <w:szCs w:val="21"/>
          <w:highlight w:val="none"/>
        </w:rPr>
        <w:t>因合同及合同有关事项发生的争议，向</w:t>
      </w:r>
      <w:r>
        <w:rPr>
          <w:rFonts w:hint="eastAsia" w:ascii="宋体" w:hAnsi="宋体" w:cs="宋体"/>
          <w:color w:val="auto"/>
          <w:kern w:val="0"/>
          <w:sz w:val="21"/>
          <w:szCs w:val="21"/>
          <w:highlight w:val="none"/>
          <w:u w:val="single"/>
        </w:rPr>
        <w:t>宁波市奉化区</w:t>
      </w:r>
      <w:r>
        <w:rPr>
          <w:rFonts w:hint="eastAsia" w:ascii="宋体" w:hAnsi="宋体" w:cs="宋体"/>
          <w:color w:val="auto"/>
          <w:kern w:val="0"/>
          <w:sz w:val="21"/>
          <w:szCs w:val="21"/>
          <w:highlight w:val="none"/>
        </w:rPr>
        <w:t>人民法院起诉。</w:t>
      </w:r>
    </w:p>
    <w:p w14:paraId="73B8B040">
      <w:pPr>
        <w:pStyle w:val="35"/>
        <w:numPr>
          <w:ilvl w:val="0"/>
          <w:numId w:val="0"/>
        </w:numPr>
        <w:shd w:val="clea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21.其他条款</w:t>
      </w:r>
    </w:p>
    <w:p w14:paraId="3ADA66FF">
      <w:pPr>
        <w:shd w:val="clear"/>
        <w:spacing w:line="360" w:lineRule="auto"/>
        <w:ind w:firstLine="422" w:firstLineChars="200"/>
        <w:jc w:val="left"/>
        <w:rPr>
          <w:rFonts w:hint="eastAsia" w:ascii="宋体" w:hAnsi="宋体" w:cs="宋体"/>
          <w:b/>
          <w:bCs/>
          <w:color w:val="auto"/>
          <w:kern w:val="0"/>
          <w:szCs w:val="21"/>
          <w:highlight w:val="none"/>
          <w:lang w:val="en-US" w:eastAsia="zh-CN"/>
        </w:rPr>
      </w:pPr>
    </w:p>
    <w:p w14:paraId="11F86C9C">
      <w:pPr>
        <w:shd w:val="clear"/>
        <w:spacing w:line="360" w:lineRule="auto"/>
        <w:ind w:firstLine="422" w:firstLineChars="200"/>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p>
    <w:p w14:paraId="304113CA">
      <w:pPr>
        <w:rPr>
          <w:rFonts w:hint="default" w:eastAsia="宋体"/>
          <w:color w:val="auto"/>
          <w:highlight w:val="none"/>
          <w:lang w:val="en-US" w:eastAsia="zh-CN"/>
        </w:rPr>
      </w:pPr>
    </w:p>
    <w:p w14:paraId="1EFE3F3D">
      <w:pPr>
        <w:pStyle w:val="35"/>
        <w:keepNext w:val="0"/>
        <w:keepLines w:val="0"/>
        <w:pageBreakBefore w:val="0"/>
        <w:kinsoku/>
        <w:wordWrap/>
        <w:overflowPunct/>
        <w:topLinePunct w:val="0"/>
        <w:bidi w:val="0"/>
        <w:snapToGrid/>
        <w:spacing w:line="440" w:lineRule="exact"/>
        <w:ind w:firstLine="0" w:firstLineChars="0"/>
        <w:textAlignment w:val="auto"/>
        <w:rPr>
          <w:rFonts w:asciiTheme="minorEastAsia" w:hAnsiTheme="minorEastAsia" w:eastAsiaTheme="minorEastAsia" w:cstheme="minorEastAsia"/>
          <w:color w:val="auto"/>
          <w:highlight w:val="none"/>
        </w:rPr>
      </w:pPr>
    </w:p>
    <w:p w14:paraId="61318C01">
      <w:pPr>
        <w:spacing w:line="360" w:lineRule="auto"/>
        <w:ind w:firstLine="482" w:firstLineChars="200"/>
        <w:jc w:val="center"/>
        <w:rPr>
          <w:rFonts w:hint="eastAsia" w:ascii="宋体" w:hAnsi="宋体" w:eastAsia="宋体" w:cs="宋体"/>
          <w:b/>
          <w:bCs/>
          <w:color w:val="auto"/>
          <w:sz w:val="21"/>
          <w:szCs w:val="21"/>
          <w:highlight w:val="none"/>
        </w:rPr>
      </w:pPr>
      <w:r>
        <w:rPr>
          <w:rFonts w:hint="eastAsia" w:asciiTheme="minorEastAsia" w:hAnsiTheme="minorEastAsia" w:eastAsiaTheme="minorEastAsia" w:cstheme="minorEastAsia"/>
          <w:b/>
          <w:color w:val="auto"/>
          <w:sz w:val="24"/>
          <w:highlight w:val="none"/>
        </w:rPr>
        <w:br w:type="page"/>
      </w:r>
      <w:r>
        <w:rPr>
          <w:rFonts w:hint="eastAsia" w:ascii="宋体" w:hAnsi="宋体" w:eastAsia="宋体" w:cs="宋体"/>
          <w:b/>
          <w:bCs/>
          <w:color w:val="auto"/>
          <w:sz w:val="21"/>
          <w:szCs w:val="21"/>
          <w:highlight w:val="none"/>
        </w:rPr>
        <w:t>第四部分  附件</w:t>
      </w:r>
    </w:p>
    <w:p w14:paraId="21FE9B7A">
      <w:pPr>
        <w:spacing w:line="360" w:lineRule="auto"/>
        <w:ind w:firstLine="420" w:firstLineChars="200"/>
        <w:rPr>
          <w:rFonts w:hint="eastAsia" w:ascii="宋体" w:hAnsi="宋体" w:eastAsia="宋体" w:cs="宋体"/>
          <w:color w:val="auto"/>
          <w:sz w:val="21"/>
          <w:szCs w:val="21"/>
          <w:highlight w:val="none"/>
        </w:rPr>
      </w:pPr>
    </w:p>
    <w:p w14:paraId="25A0BD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245CC6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附件1：工程质量保修书</w:t>
      </w:r>
    </w:p>
    <w:p w14:paraId="0D94C1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附件2：安全生产合同</w:t>
      </w:r>
    </w:p>
    <w:p w14:paraId="7D6040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附件3：工程项目廉政合同</w:t>
      </w:r>
    </w:p>
    <w:p w14:paraId="2C47EA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附件4：承包人用于本工程施工的机械设备表</w:t>
      </w:r>
    </w:p>
    <w:p w14:paraId="57233B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附件5：承包人主要施工管理人员表</w:t>
      </w:r>
    </w:p>
    <w:p w14:paraId="503F33EE">
      <w:pPr>
        <w:spacing w:line="360" w:lineRule="auto"/>
        <w:rPr>
          <w:rFonts w:hint="eastAsia" w:ascii="宋体" w:hAnsi="宋体" w:cs="宋体"/>
          <w:color w:val="auto"/>
          <w:sz w:val="21"/>
          <w:szCs w:val="21"/>
          <w:highlight w:val="none"/>
        </w:rPr>
      </w:pPr>
    </w:p>
    <w:p w14:paraId="593BA330">
      <w:pPr>
        <w:spacing w:line="360" w:lineRule="auto"/>
        <w:rPr>
          <w:rFonts w:hint="eastAsia" w:ascii="宋体" w:hAnsi="宋体" w:cs="宋体"/>
          <w:color w:val="auto"/>
          <w:sz w:val="21"/>
          <w:szCs w:val="21"/>
          <w:highlight w:val="none"/>
        </w:rPr>
      </w:pPr>
    </w:p>
    <w:p w14:paraId="0601C8C0">
      <w:pPr>
        <w:spacing w:line="360" w:lineRule="auto"/>
        <w:rPr>
          <w:rFonts w:hint="eastAsia" w:ascii="宋体" w:hAnsi="宋体" w:cs="宋体"/>
          <w:color w:val="auto"/>
          <w:sz w:val="21"/>
          <w:szCs w:val="21"/>
          <w:highlight w:val="none"/>
        </w:rPr>
      </w:pPr>
    </w:p>
    <w:p w14:paraId="5CBEE0D0">
      <w:pPr>
        <w:spacing w:line="360" w:lineRule="auto"/>
        <w:rPr>
          <w:rFonts w:hint="eastAsia" w:ascii="宋体" w:hAnsi="宋体" w:cs="宋体"/>
          <w:color w:val="auto"/>
          <w:sz w:val="21"/>
          <w:szCs w:val="21"/>
          <w:highlight w:val="none"/>
        </w:rPr>
      </w:pPr>
    </w:p>
    <w:p w14:paraId="24A9E6C5">
      <w:pPr>
        <w:spacing w:line="360" w:lineRule="auto"/>
        <w:rPr>
          <w:rFonts w:hint="eastAsia" w:ascii="宋体" w:hAnsi="宋体" w:cs="宋体"/>
          <w:color w:val="auto"/>
          <w:sz w:val="21"/>
          <w:szCs w:val="21"/>
          <w:highlight w:val="none"/>
        </w:rPr>
      </w:pPr>
    </w:p>
    <w:p w14:paraId="6857303B">
      <w:pPr>
        <w:spacing w:line="360" w:lineRule="auto"/>
        <w:rPr>
          <w:rFonts w:hint="eastAsia" w:ascii="宋体" w:hAnsi="宋体" w:cs="宋体"/>
          <w:color w:val="auto"/>
          <w:sz w:val="21"/>
          <w:szCs w:val="21"/>
          <w:highlight w:val="none"/>
        </w:rPr>
      </w:pPr>
    </w:p>
    <w:p w14:paraId="7A2D0E3F">
      <w:pPr>
        <w:spacing w:line="360" w:lineRule="auto"/>
        <w:rPr>
          <w:rFonts w:hint="eastAsia" w:ascii="宋体" w:hAnsi="宋体" w:cs="宋体"/>
          <w:color w:val="auto"/>
          <w:sz w:val="21"/>
          <w:szCs w:val="21"/>
          <w:highlight w:val="none"/>
        </w:rPr>
      </w:pPr>
    </w:p>
    <w:p w14:paraId="7A20BFEB">
      <w:pPr>
        <w:spacing w:line="360" w:lineRule="auto"/>
        <w:rPr>
          <w:rFonts w:hint="eastAsia" w:ascii="宋体" w:hAnsi="宋体" w:cs="宋体"/>
          <w:color w:val="auto"/>
          <w:sz w:val="21"/>
          <w:szCs w:val="21"/>
          <w:highlight w:val="none"/>
        </w:rPr>
      </w:pPr>
    </w:p>
    <w:p w14:paraId="52ACB27A">
      <w:pPr>
        <w:spacing w:line="360" w:lineRule="auto"/>
        <w:rPr>
          <w:rFonts w:hint="eastAsia" w:ascii="宋体" w:hAnsi="宋体" w:cs="宋体"/>
          <w:color w:val="auto"/>
          <w:sz w:val="21"/>
          <w:szCs w:val="21"/>
          <w:highlight w:val="none"/>
        </w:rPr>
      </w:pPr>
    </w:p>
    <w:p w14:paraId="09730E21">
      <w:pPr>
        <w:spacing w:line="360" w:lineRule="auto"/>
        <w:rPr>
          <w:rFonts w:hint="eastAsia" w:ascii="宋体" w:hAnsi="宋体" w:cs="宋体"/>
          <w:color w:val="auto"/>
          <w:sz w:val="21"/>
          <w:szCs w:val="21"/>
          <w:highlight w:val="none"/>
        </w:rPr>
      </w:pPr>
    </w:p>
    <w:p w14:paraId="4D53AE3D">
      <w:pPr>
        <w:spacing w:line="360" w:lineRule="auto"/>
        <w:rPr>
          <w:rFonts w:hint="eastAsia" w:ascii="宋体" w:hAnsi="宋体" w:cs="宋体"/>
          <w:color w:val="auto"/>
          <w:sz w:val="21"/>
          <w:szCs w:val="21"/>
          <w:highlight w:val="none"/>
        </w:rPr>
      </w:pPr>
    </w:p>
    <w:p w14:paraId="4CA39543">
      <w:pPr>
        <w:spacing w:line="360" w:lineRule="auto"/>
        <w:rPr>
          <w:rFonts w:hint="eastAsia" w:ascii="宋体" w:hAnsi="宋体" w:cs="宋体"/>
          <w:color w:val="auto"/>
          <w:sz w:val="21"/>
          <w:szCs w:val="21"/>
          <w:highlight w:val="none"/>
        </w:rPr>
      </w:pPr>
    </w:p>
    <w:p w14:paraId="3DDFACF5">
      <w:pPr>
        <w:spacing w:line="360" w:lineRule="auto"/>
        <w:rPr>
          <w:rFonts w:hint="eastAsia" w:ascii="宋体" w:hAnsi="宋体" w:cs="宋体"/>
          <w:color w:val="auto"/>
          <w:sz w:val="21"/>
          <w:szCs w:val="21"/>
          <w:highlight w:val="none"/>
        </w:rPr>
      </w:pPr>
    </w:p>
    <w:p w14:paraId="64E51ED6">
      <w:pPr>
        <w:spacing w:line="360" w:lineRule="auto"/>
        <w:rPr>
          <w:rFonts w:hint="eastAsia" w:ascii="宋体" w:hAnsi="宋体" w:cs="宋体"/>
          <w:color w:val="auto"/>
          <w:sz w:val="21"/>
          <w:szCs w:val="21"/>
          <w:highlight w:val="none"/>
        </w:rPr>
      </w:pPr>
    </w:p>
    <w:p w14:paraId="4F2788A7">
      <w:pPr>
        <w:spacing w:line="360" w:lineRule="auto"/>
        <w:rPr>
          <w:rFonts w:hint="eastAsia" w:ascii="宋体" w:hAnsi="宋体" w:cs="宋体"/>
          <w:b/>
          <w:color w:val="auto"/>
          <w:sz w:val="21"/>
          <w:szCs w:val="21"/>
          <w:highlight w:val="none"/>
        </w:rPr>
      </w:pPr>
    </w:p>
    <w:p w14:paraId="16610405">
      <w:pPr>
        <w:spacing w:line="360" w:lineRule="auto"/>
        <w:rPr>
          <w:rFonts w:hint="eastAsia" w:ascii="宋体" w:hAnsi="宋体" w:cs="宋体"/>
          <w:b/>
          <w:color w:val="auto"/>
          <w:sz w:val="21"/>
          <w:szCs w:val="21"/>
          <w:highlight w:val="none"/>
        </w:rPr>
      </w:pPr>
    </w:p>
    <w:p w14:paraId="34A54CE2">
      <w:pPr>
        <w:spacing w:line="360" w:lineRule="auto"/>
        <w:rPr>
          <w:rFonts w:hint="eastAsia" w:ascii="宋体" w:hAnsi="宋体" w:cs="宋体"/>
          <w:b/>
          <w:color w:val="auto"/>
          <w:sz w:val="21"/>
          <w:szCs w:val="21"/>
          <w:highlight w:val="none"/>
        </w:rPr>
      </w:pPr>
    </w:p>
    <w:p w14:paraId="0A260C7C">
      <w:pPr>
        <w:spacing w:line="360" w:lineRule="auto"/>
        <w:rPr>
          <w:rFonts w:hint="eastAsia" w:ascii="宋体" w:hAnsi="宋体" w:cs="宋体"/>
          <w:b/>
          <w:color w:val="auto"/>
          <w:sz w:val="21"/>
          <w:szCs w:val="21"/>
          <w:highlight w:val="none"/>
        </w:rPr>
      </w:pPr>
    </w:p>
    <w:p w14:paraId="76C2B398">
      <w:pPr>
        <w:spacing w:line="360" w:lineRule="auto"/>
        <w:rPr>
          <w:rFonts w:hint="eastAsia" w:ascii="宋体" w:hAnsi="宋体" w:cs="宋体"/>
          <w:b/>
          <w:color w:val="auto"/>
          <w:sz w:val="21"/>
          <w:szCs w:val="21"/>
          <w:highlight w:val="none"/>
        </w:rPr>
      </w:pPr>
    </w:p>
    <w:p w14:paraId="0F3FCD82">
      <w:pPr>
        <w:spacing w:line="360" w:lineRule="auto"/>
        <w:rPr>
          <w:rFonts w:hint="eastAsia" w:ascii="宋体" w:hAnsi="宋体" w:cs="宋体"/>
          <w:b/>
          <w:color w:val="auto"/>
          <w:sz w:val="21"/>
          <w:szCs w:val="21"/>
          <w:highlight w:val="none"/>
        </w:rPr>
      </w:pPr>
    </w:p>
    <w:p w14:paraId="57D2C672">
      <w:pPr>
        <w:spacing w:line="360" w:lineRule="auto"/>
        <w:rPr>
          <w:rFonts w:hint="eastAsia" w:ascii="宋体" w:hAnsi="宋体" w:cs="宋体"/>
          <w:b/>
          <w:color w:val="auto"/>
          <w:sz w:val="21"/>
          <w:szCs w:val="21"/>
          <w:highlight w:val="none"/>
        </w:rPr>
      </w:pPr>
    </w:p>
    <w:p w14:paraId="42CEA07E">
      <w:pPr>
        <w:spacing w:line="360" w:lineRule="auto"/>
        <w:rPr>
          <w:rFonts w:hint="eastAsia" w:ascii="宋体" w:hAnsi="宋体" w:cs="宋体"/>
          <w:b/>
          <w:color w:val="auto"/>
          <w:sz w:val="21"/>
          <w:szCs w:val="21"/>
          <w:highlight w:val="none"/>
        </w:rPr>
      </w:pPr>
    </w:p>
    <w:p w14:paraId="0A0216BA">
      <w:pPr>
        <w:spacing w:line="360" w:lineRule="auto"/>
        <w:rPr>
          <w:rFonts w:hint="eastAsia" w:ascii="宋体" w:hAnsi="宋体" w:cs="宋体"/>
          <w:b/>
          <w:color w:val="auto"/>
          <w:sz w:val="21"/>
          <w:szCs w:val="21"/>
          <w:highlight w:val="none"/>
        </w:rPr>
      </w:pPr>
    </w:p>
    <w:p w14:paraId="589F94D0">
      <w:pPr>
        <w:spacing w:line="360" w:lineRule="auto"/>
        <w:rPr>
          <w:rFonts w:hint="eastAsia" w:ascii="宋体" w:hAnsi="宋体" w:cs="宋体"/>
          <w:b/>
          <w:color w:val="auto"/>
          <w:sz w:val="21"/>
          <w:szCs w:val="21"/>
          <w:highlight w:val="none"/>
        </w:rPr>
      </w:pPr>
    </w:p>
    <w:p w14:paraId="0C07BDBB">
      <w:pPr>
        <w:spacing w:line="360" w:lineRule="auto"/>
        <w:rPr>
          <w:rFonts w:hint="eastAsia" w:ascii="宋体" w:hAnsi="宋体" w:cs="宋体"/>
          <w:b/>
          <w:color w:val="auto"/>
          <w:sz w:val="21"/>
          <w:szCs w:val="21"/>
          <w:highlight w:val="none"/>
        </w:rPr>
      </w:pPr>
    </w:p>
    <w:p w14:paraId="54461832">
      <w:pPr>
        <w:spacing w:line="360" w:lineRule="auto"/>
        <w:rPr>
          <w:rFonts w:hint="eastAsia" w:ascii="宋体" w:hAnsi="宋体" w:cs="宋体"/>
          <w:b/>
          <w:color w:val="auto"/>
          <w:sz w:val="21"/>
          <w:szCs w:val="21"/>
          <w:highlight w:val="none"/>
        </w:rPr>
      </w:pPr>
    </w:p>
    <w:p w14:paraId="71E6C1C3">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33" w:name="_Toc296347225"/>
      <w:bookmarkStart w:id="434" w:name="_Toc267261693"/>
      <w:bookmarkStart w:id="435" w:name="_Toc296346727"/>
      <w:bookmarkStart w:id="436" w:name="_Toc296503226"/>
      <w:bookmarkStart w:id="437" w:name="_Toc296891266"/>
      <w:bookmarkStart w:id="438" w:name="_Toc296891054"/>
      <w:bookmarkStart w:id="439" w:name="_Toc296944565"/>
      <w:r>
        <w:rPr>
          <w:rFonts w:hint="eastAsia" w:ascii="宋体" w:hAnsi="宋体" w:cs="宋体"/>
          <w:b/>
          <w:color w:val="auto"/>
          <w:sz w:val="21"/>
          <w:szCs w:val="21"/>
          <w:highlight w:val="none"/>
        </w:rPr>
        <w:t>件1：</w:t>
      </w:r>
      <w:bookmarkEnd w:id="433"/>
      <w:bookmarkEnd w:id="434"/>
      <w:bookmarkEnd w:id="435"/>
      <w:bookmarkEnd w:id="436"/>
      <w:bookmarkEnd w:id="437"/>
      <w:bookmarkEnd w:id="438"/>
      <w:bookmarkEnd w:id="439"/>
      <w:r>
        <w:rPr>
          <w:rFonts w:hint="eastAsia" w:ascii="宋体" w:hAnsi="宋体" w:cs="宋体"/>
          <w:b/>
          <w:color w:val="auto"/>
          <w:sz w:val="21"/>
          <w:szCs w:val="21"/>
          <w:highlight w:val="none"/>
        </w:rPr>
        <w:t xml:space="preserve">    </w:t>
      </w:r>
    </w:p>
    <w:p w14:paraId="4E5DB24E">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工程质量保修书</w:t>
      </w:r>
    </w:p>
    <w:p w14:paraId="18E1FB81">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发包人（全称）：</w:t>
      </w:r>
      <w:r>
        <w:rPr>
          <w:rFonts w:hint="eastAsia" w:ascii="宋体" w:hAnsi="宋体" w:cs="宋体"/>
          <w:color w:val="auto"/>
          <w:sz w:val="21"/>
          <w:szCs w:val="21"/>
          <w:highlight w:val="none"/>
          <w:u w:val="single"/>
        </w:rPr>
        <w:t>宁波市奉化区惠海地下管线投资有限公司</w:t>
      </w:r>
    </w:p>
    <w:p w14:paraId="42B1AE4D">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承包人（全称）：</w:t>
      </w:r>
      <w:r>
        <w:rPr>
          <w:rFonts w:hint="eastAsia" w:ascii="宋体" w:hAnsi="宋体" w:eastAsia="宋体" w:cs="宋体"/>
          <w:color w:val="auto"/>
          <w:sz w:val="21"/>
          <w:szCs w:val="21"/>
          <w:highlight w:val="none"/>
          <w:u w:val="single"/>
          <w:lang w:val="en-US" w:eastAsia="zh-CN"/>
        </w:rPr>
        <w:t xml:space="preserve">                                  </w:t>
      </w:r>
    </w:p>
    <w:p w14:paraId="51B689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发包人和承包人根据《中华人民共和国建筑法》和《建设工程质量管理条例》，经协商一</w:t>
      </w:r>
    </w:p>
    <w:p w14:paraId="2B66D6A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致就</w:t>
      </w:r>
      <w:r>
        <w:rPr>
          <w:rFonts w:hint="eastAsia" w:ascii="宋体" w:hAnsi="宋体" w:cs="宋体"/>
          <w:color w:val="auto"/>
          <w:sz w:val="21"/>
          <w:szCs w:val="21"/>
          <w:highlight w:val="none"/>
          <w:u w:val="single"/>
          <w:lang w:val="en-US" w:eastAsia="zh-CN"/>
        </w:rPr>
        <w:t>G15沈海高速宁波西坞至麻岙岭改扩建工程—电力及通信线路迁改工程（康亭村）（土建部分）</w:t>
      </w:r>
      <w:r>
        <w:rPr>
          <w:rFonts w:hint="eastAsia" w:ascii="宋体" w:hAnsi="宋体" w:eastAsia="宋体" w:cs="宋体"/>
          <w:color w:val="auto"/>
          <w:sz w:val="21"/>
          <w:szCs w:val="21"/>
          <w:highlight w:val="none"/>
        </w:rPr>
        <w:t>质量保修书。</w:t>
      </w:r>
    </w:p>
    <w:p w14:paraId="048FF4D7">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一、工程质量保修范围和内容</w:t>
      </w:r>
    </w:p>
    <w:p w14:paraId="37C31D09">
      <w:pPr>
        <w:spacing w:line="360" w:lineRule="auto"/>
        <w:ind w:firstLine="420" w:firstLineChars="200"/>
        <w:rPr>
          <w:rFonts w:hint="eastAsia" w:ascii="宋体" w:hAnsi="宋体" w:eastAsia="宋体" w:cs="宋体"/>
          <w:bCs/>
          <w:snapToGrid w:val="0"/>
          <w:color w:val="auto"/>
          <w:kern w:val="2"/>
          <w:sz w:val="22"/>
          <w:szCs w:val="22"/>
          <w:highlight w:val="none"/>
          <w:lang w:val="en-US" w:eastAsia="zh-CN" w:bidi="ar-SA"/>
        </w:rPr>
      </w:pPr>
      <w:r>
        <w:rPr>
          <w:rFonts w:hint="eastAsia" w:ascii="宋体" w:hAnsi="宋体" w:eastAsia="宋体" w:cs="宋体"/>
          <w:color w:val="auto"/>
          <w:sz w:val="21"/>
          <w:szCs w:val="21"/>
          <w:highlight w:val="none"/>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1"/>
          <w:szCs w:val="21"/>
          <w:highlight w:val="none"/>
          <w:u w:val="single"/>
          <w:lang w:val="en-US" w:eastAsia="zh-CN"/>
        </w:rPr>
        <w:t>施工图范围内的电力排管、电缆井、通信管道、手孔井、路面破修、引上钢管、拉线架设、路面修复等</w:t>
      </w:r>
      <w:r>
        <w:rPr>
          <w:rFonts w:hint="eastAsia" w:ascii="宋体" w:hAnsi="宋体" w:eastAsia="宋体" w:cs="宋体"/>
          <w:color w:val="auto"/>
          <w:sz w:val="21"/>
          <w:szCs w:val="21"/>
          <w:highlight w:val="none"/>
          <w:lang w:val="en-US" w:eastAsia="zh-CN"/>
        </w:rPr>
        <w:t>。</w:t>
      </w:r>
    </w:p>
    <w:p w14:paraId="598CFB33">
      <w:pPr>
        <w:pStyle w:val="66"/>
        <w:spacing w:line="360" w:lineRule="auto"/>
        <w:ind w:firstLine="422" w:firstLineChars="200"/>
        <w:rPr>
          <w:rFonts w:hint="eastAsia" w:cs="宋体"/>
          <w:b/>
          <w:color w:val="auto"/>
          <w:sz w:val="21"/>
          <w:szCs w:val="21"/>
          <w:highlight w:val="none"/>
        </w:rPr>
      </w:pPr>
      <w:r>
        <w:rPr>
          <w:rFonts w:hint="eastAsia" w:cs="宋体"/>
          <w:b/>
          <w:color w:val="auto"/>
          <w:sz w:val="21"/>
          <w:szCs w:val="21"/>
          <w:highlight w:val="none"/>
        </w:rPr>
        <w:t>二、质量保修期</w:t>
      </w:r>
    </w:p>
    <w:p w14:paraId="20E4FBA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根据《建设工程质量管理条例》及有关规定，工程的质量保修期如下：</w:t>
      </w:r>
    </w:p>
    <w:p w14:paraId="368BBD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eastAsia="宋体" w:cs="宋体"/>
          <w:color w:val="auto"/>
          <w:sz w:val="21"/>
          <w:szCs w:val="21"/>
          <w:highlight w:val="none"/>
          <w:lang w:val="en-US" w:eastAsia="zh-CN"/>
        </w:rPr>
        <w:t>本工程保修期为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w:t>
      </w:r>
    </w:p>
    <w:p w14:paraId="35248575">
      <w:pPr>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rPr>
        <w:t>　　质量保修期自工程竣工验收合格之日起计算。</w:t>
      </w:r>
    </w:p>
    <w:p w14:paraId="34C48E16">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三、缺陷责任期</w:t>
      </w:r>
    </w:p>
    <w:p w14:paraId="3F036714">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工程缺陷责任期为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rPr>
        <w:t>个月，缺陷责任期自工程竣工验收合格之日起计算。单位工程先于全部工程进行验收，单位工程缺陷责任期自单位工程验收合格之日起算。</w:t>
      </w:r>
    </w:p>
    <w:p w14:paraId="30AD2207">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缺陷责任期终止后，发包人在完成最终结清后应退还承包人的质量保证金保函或剩余的质量保证金。</w:t>
      </w:r>
    </w:p>
    <w:p w14:paraId="0854A3B5">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四、质量保修责任</w:t>
      </w:r>
    </w:p>
    <w:p w14:paraId="46AA7887">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0B61E4FD">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2．发生紧急事故需抢修的，承包人在接到事故通知后，应当立即到达事故现场抢修。</w:t>
      </w:r>
    </w:p>
    <w:p w14:paraId="001106DD">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C6E59B2">
      <w:pPr>
        <w:spacing w:line="360" w:lineRule="auto"/>
        <w:ind w:left="105" w:leftChars="50"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4．质量保修完成后，由发包人组织验收。</w:t>
      </w:r>
    </w:p>
    <w:p w14:paraId="1656E714">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五、保修费用</w:t>
      </w:r>
    </w:p>
    <w:p w14:paraId="54CCC46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14:paraId="44034865">
      <w:pPr>
        <w:spacing w:line="360" w:lineRule="auto"/>
        <w:ind w:firstLine="413" w:firstLineChars="196"/>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六、双方约定的其他工程质量保修事项：</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rPr>
        <w:t>。</w:t>
      </w:r>
    </w:p>
    <w:p w14:paraId="12CCE84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工程质量保修书由发包人、承包人在工程竣工验收前共同签署，作为施工合同附件，其有效期限至保修期满。</w:t>
      </w:r>
    </w:p>
    <w:p w14:paraId="349832C6">
      <w:pPr>
        <w:spacing w:line="360" w:lineRule="auto"/>
        <w:ind w:firstLine="420"/>
        <w:rPr>
          <w:rFonts w:hint="eastAsia" w:ascii="宋体" w:hAnsi="宋体" w:cs="宋体"/>
          <w:color w:val="auto"/>
          <w:sz w:val="21"/>
          <w:szCs w:val="21"/>
          <w:highlight w:val="none"/>
        </w:rPr>
      </w:pPr>
    </w:p>
    <w:p w14:paraId="4A06456F">
      <w:pPr>
        <w:autoSpaceDE w:val="0"/>
        <w:autoSpaceDN w:val="0"/>
        <w:adjustRightInd w:val="0"/>
        <w:spacing w:line="38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4"/>
          <w:sz w:val="21"/>
          <w:szCs w:val="21"/>
          <w:highlight w:val="none"/>
          <w:u w:val="single"/>
        </w:rPr>
        <w:t>宁波市奉化区惠海</w:t>
      </w:r>
      <w:r>
        <w:rPr>
          <w:rFonts w:hint="eastAsia" w:ascii="宋体" w:hAnsi="宋体" w:eastAsia="宋体" w:cs="宋体"/>
          <w:color w:val="auto"/>
          <w:spacing w:val="14"/>
          <w:sz w:val="21"/>
          <w:szCs w:val="21"/>
          <w:highlight w:val="none"/>
        </w:rPr>
        <w:t xml:space="preserve">     </w:t>
      </w:r>
      <w:r>
        <w:rPr>
          <w:rFonts w:hint="eastAsia" w:ascii="宋体" w:hAnsi="宋体" w:cs="宋体"/>
          <w:color w:val="auto"/>
          <w:spacing w:val="14"/>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45D823FD">
      <w:pPr>
        <w:spacing w:line="560" w:lineRule="exact"/>
        <w:ind w:firstLine="1190" w:firstLineChars="500"/>
        <w:rPr>
          <w:rFonts w:hint="eastAsia" w:ascii="宋体" w:hAnsi="宋体" w:eastAsia="宋体" w:cs="宋体"/>
          <w:color w:val="auto"/>
          <w:sz w:val="21"/>
          <w:szCs w:val="21"/>
          <w:highlight w:val="none"/>
          <w:u w:val="single"/>
        </w:rPr>
      </w:pPr>
      <w:r>
        <w:rPr>
          <w:rFonts w:hint="eastAsia" w:ascii="宋体" w:hAnsi="宋体" w:eastAsia="宋体" w:cs="宋体"/>
          <w:color w:val="auto"/>
          <w:spacing w:val="14"/>
          <w:sz w:val="21"/>
          <w:szCs w:val="21"/>
          <w:highlight w:val="none"/>
          <w:u w:val="single"/>
        </w:rPr>
        <w:t>地下管线投资有限公司</w:t>
      </w:r>
      <w:r>
        <w:rPr>
          <w:rFonts w:hint="eastAsia" w:ascii="宋体" w:hAnsi="宋体" w:eastAsia="宋体" w:cs="宋体"/>
          <w:color w:val="auto"/>
          <w:sz w:val="21"/>
          <w:szCs w:val="21"/>
          <w:highlight w:val="none"/>
          <w:u w:val="single"/>
        </w:rPr>
        <w:t xml:space="preserve"> </w:t>
      </w:r>
    </w:p>
    <w:p w14:paraId="79498851">
      <w:pPr>
        <w:spacing w:line="560" w:lineRule="exac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奉化区岳林街道中山东路518号</w:t>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5A1CD352">
      <w:pPr>
        <w:spacing w:line="560" w:lineRule="exact"/>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金城大厦</w:t>
      </w:r>
      <w:r>
        <w:rPr>
          <w:rFonts w:hint="eastAsia" w:ascii="宋体" w:hAnsi="宋体" w:eastAsia="宋体" w:cs="宋体"/>
          <w:color w:val="auto"/>
          <w:kern w:val="0"/>
          <w:sz w:val="21"/>
          <w:szCs w:val="21"/>
          <w:highlight w:val="none"/>
          <w:u w:val="single"/>
          <w:lang w:val="en-US" w:eastAsia="zh-CN"/>
        </w:rPr>
        <w:t>A</w:t>
      </w:r>
      <w:r>
        <w:rPr>
          <w:rFonts w:hint="eastAsia" w:ascii="宋体" w:hAnsi="宋体" w:eastAsia="宋体" w:cs="宋体"/>
          <w:color w:val="auto"/>
          <w:kern w:val="0"/>
          <w:sz w:val="21"/>
          <w:szCs w:val="21"/>
          <w:highlight w:val="none"/>
          <w:u w:val="single"/>
        </w:rPr>
        <w:t>座1</w:t>
      </w:r>
      <w:r>
        <w:rPr>
          <w:rFonts w:hint="eastAsia" w:ascii="宋体" w:hAnsi="宋体" w:eastAsia="宋体" w:cs="宋体"/>
          <w:color w:val="auto"/>
          <w:kern w:val="0"/>
          <w:sz w:val="21"/>
          <w:szCs w:val="21"/>
          <w:highlight w:val="none"/>
          <w:u w:val="single"/>
          <w:lang w:val="en-US" w:eastAsia="zh-CN"/>
        </w:rPr>
        <w:t>8</w:t>
      </w:r>
      <w:r>
        <w:rPr>
          <w:rFonts w:hint="eastAsia" w:ascii="宋体" w:hAnsi="宋体" w:eastAsia="宋体" w:cs="宋体"/>
          <w:color w:val="auto"/>
          <w:kern w:val="0"/>
          <w:sz w:val="21"/>
          <w:szCs w:val="21"/>
          <w:highlight w:val="none"/>
          <w:u w:val="single"/>
        </w:rPr>
        <w:t>楼</w:t>
      </w:r>
      <w:r>
        <w:rPr>
          <w:rFonts w:hint="eastAsia" w:ascii="宋体" w:hAnsi="宋体" w:eastAsia="宋体" w:cs="宋体"/>
          <w:color w:val="auto"/>
          <w:sz w:val="21"/>
          <w:szCs w:val="21"/>
          <w:highlight w:val="none"/>
        </w:rPr>
        <w:t xml:space="preserve">  </w:t>
      </w:r>
    </w:p>
    <w:p w14:paraId="5DF3C139">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p>
    <w:p w14:paraId="2DA32AAF">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p>
    <w:p w14:paraId="52C6CCC8">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DA2F91B">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1869CC">
      <w:pPr>
        <w:autoSpaceDE w:val="0"/>
        <w:autoSpaceDN w:val="0"/>
        <w:adjustRightInd w:val="0"/>
        <w:spacing w:line="44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u w:val="single"/>
          <w:lang w:val="zh-CN"/>
        </w:rPr>
        <w:t>宁波银行股份有限公司岳林支行</w:t>
      </w:r>
      <w:r>
        <w:rPr>
          <w:rFonts w:hint="eastAsia" w:ascii="宋体" w:hAnsi="宋体" w:eastAsia="宋体" w:cs="宋体"/>
          <w:color w:val="auto"/>
          <w:kern w:val="0"/>
          <w:sz w:val="21"/>
          <w:szCs w:val="21"/>
          <w:highlight w:val="none"/>
          <w:lang w:val="zh-CN"/>
        </w:rPr>
        <w:t xml:space="preserve">   开户银行：</w:t>
      </w:r>
      <w:r>
        <w:rPr>
          <w:rFonts w:hint="eastAsia" w:ascii="宋体" w:hAnsi="宋体" w:eastAsia="宋体" w:cs="宋体"/>
          <w:color w:val="auto"/>
          <w:kern w:val="0"/>
          <w:sz w:val="21"/>
          <w:szCs w:val="21"/>
          <w:highlight w:val="none"/>
          <w:u w:val="single"/>
          <w:lang w:val="en-US" w:eastAsia="zh-CN"/>
        </w:rPr>
        <w:t xml:space="preserve">                       </w:t>
      </w:r>
    </w:p>
    <w:p w14:paraId="189E9D89">
      <w:pPr>
        <w:spacing w:line="360" w:lineRule="auto"/>
        <w:rPr>
          <w:rFonts w:hint="eastAsia" w:ascii="宋体" w:hAnsi="宋体" w:cs="宋体"/>
          <w:color w:val="auto"/>
          <w:sz w:val="21"/>
          <w:szCs w:val="21"/>
          <w:highlight w:val="none"/>
          <w:u w:val="single"/>
        </w:rPr>
      </w:pPr>
      <w:r>
        <w:rPr>
          <w:rFonts w:hint="eastAsia" w:ascii="宋体" w:hAnsi="宋体" w:eastAsia="宋体" w:cs="宋体"/>
          <w:color w:val="auto"/>
          <w:kern w:val="0"/>
          <w:sz w:val="21"/>
          <w:szCs w:val="21"/>
          <w:highlight w:val="none"/>
          <w:lang w:val="zh-CN"/>
        </w:rPr>
        <w:t>账号：</w:t>
      </w:r>
      <w:r>
        <w:rPr>
          <w:rFonts w:hint="eastAsia" w:ascii="宋体" w:hAnsi="宋体" w:eastAsia="宋体" w:cs="宋体"/>
          <w:color w:val="auto"/>
          <w:kern w:val="0"/>
          <w:sz w:val="21"/>
          <w:szCs w:val="21"/>
          <w:highlight w:val="none"/>
          <w:u w:val="single"/>
          <w:lang w:val="zh-CN"/>
        </w:rPr>
        <w:t xml:space="preserve">64040122 000030230 </w:t>
      </w:r>
      <w:r>
        <w:rPr>
          <w:rFonts w:hint="eastAsia" w:ascii="宋体" w:hAnsi="宋体" w:eastAsia="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0C3E6F0A">
      <w:pPr>
        <w:spacing w:line="360" w:lineRule="auto"/>
        <w:rPr>
          <w:rFonts w:hint="eastAsia" w:ascii="宋体" w:hAnsi="宋体" w:cs="宋体"/>
          <w:color w:val="auto"/>
          <w:sz w:val="21"/>
          <w:szCs w:val="21"/>
          <w:highlight w:val="none"/>
          <w:u w:val="single"/>
        </w:rPr>
      </w:pPr>
    </w:p>
    <w:p w14:paraId="743E3DAF">
      <w:pPr>
        <w:spacing w:line="360" w:lineRule="auto"/>
        <w:rPr>
          <w:rFonts w:hint="eastAsia" w:ascii="宋体" w:hAnsi="宋体" w:cs="宋体"/>
          <w:color w:val="auto"/>
          <w:sz w:val="21"/>
          <w:szCs w:val="21"/>
          <w:highlight w:val="none"/>
          <w:u w:val="single"/>
        </w:rPr>
      </w:pPr>
    </w:p>
    <w:p w14:paraId="062D91B6">
      <w:pPr>
        <w:spacing w:line="360" w:lineRule="auto"/>
        <w:rPr>
          <w:rFonts w:hint="eastAsia" w:ascii="宋体" w:hAnsi="宋体" w:cs="宋体"/>
          <w:color w:val="auto"/>
          <w:sz w:val="21"/>
          <w:szCs w:val="21"/>
          <w:highlight w:val="none"/>
          <w:u w:val="single"/>
        </w:rPr>
      </w:pPr>
    </w:p>
    <w:p w14:paraId="77E9148F">
      <w:pPr>
        <w:spacing w:line="360" w:lineRule="auto"/>
        <w:rPr>
          <w:rFonts w:hint="eastAsia" w:ascii="宋体" w:hAnsi="宋体" w:cs="宋体"/>
          <w:color w:val="auto"/>
          <w:sz w:val="21"/>
          <w:szCs w:val="21"/>
          <w:highlight w:val="none"/>
          <w:u w:val="single"/>
        </w:rPr>
      </w:pPr>
    </w:p>
    <w:p w14:paraId="6399402C">
      <w:pPr>
        <w:spacing w:line="360" w:lineRule="auto"/>
        <w:rPr>
          <w:rFonts w:hint="eastAsia" w:ascii="宋体" w:hAnsi="宋体" w:cs="宋体"/>
          <w:color w:val="auto"/>
          <w:sz w:val="21"/>
          <w:szCs w:val="21"/>
          <w:highlight w:val="none"/>
          <w:u w:val="single"/>
        </w:rPr>
      </w:pPr>
    </w:p>
    <w:p w14:paraId="1C07B5C0">
      <w:pPr>
        <w:spacing w:line="360" w:lineRule="auto"/>
        <w:rPr>
          <w:rFonts w:hint="eastAsia" w:ascii="宋体" w:hAnsi="宋体" w:cs="宋体"/>
          <w:color w:val="auto"/>
          <w:sz w:val="21"/>
          <w:szCs w:val="21"/>
          <w:highlight w:val="none"/>
          <w:u w:val="single"/>
        </w:rPr>
      </w:pPr>
    </w:p>
    <w:p w14:paraId="5D084052">
      <w:pPr>
        <w:spacing w:line="360" w:lineRule="auto"/>
        <w:rPr>
          <w:rFonts w:hint="eastAsia" w:ascii="宋体" w:hAnsi="宋体" w:cs="宋体"/>
          <w:color w:val="auto"/>
          <w:sz w:val="21"/>
          <w:szCs w:val="21"/>
          <w:highlight w:val="none"/>
          <w:u w:val="single"/>
        </w:rPr>
      </w:pPr>
    </w:p>
    <w:p w14:paraId="2F72FEFF">
      <w:pPr>
        <w:spacing w:line="360" w:lineRule="auto"/>
        <w:rPr>
          <w:rFonts w:hint="eastAsia" w:ascii="宋体" w:hAnsi="宋体" w:cs="宋体"/>
          <w:color w:val="auto"/>
          <w:sz w:val="21"/>
          <w:szCs w:val="21"/>
          <w:highlight w:val="none"/>
          <w:u w:val="single"/>
        </w:rPr>
      </w:pPr>
    </w:p>
    <w:p w14:paraId="4A096186">
      <w:pPr>
        <w:spacing w:line="360" w:lineRule="auto"/>
        <w:rPr>
          <w:rFonts w:hint="eastAsia" w:ascii="宋体" w:hAnsi="宋体" w:cs="宋体"/>
          <w:b/>
          <w:bCs/>
          <w:color w:val="auto"/>
          <w:sz w:val="21"/>
          <w:szCs w:val="21"/>
          <w:highlight w:val="none"/>
        </w:rPr>
      </w:pPr>
      <w:bookmarkStart w:id="440" w:name="_Toc315695235"/>
      <w:bookmarkStart w:id="441" w:name="_Toc358876721"/>
      <w:bookmarkStart w:id="442" w:name="_Toc360114130"/>
      <w:bookmarkStart w:id="443" w:name="_Toc315695461"/>
      <w:bookmarkStart w:id="444" w:name="_Toc359567922"/>
    </w:p>
    <w:p w14:paraId="6D7A62AF">
      <w:pPr>
        <w:spacing w:line="360" w:lineRule="auto"/>
        <w:rPr>
          <w:rFonts w:hint="eastAsia" w:ascii="宋体" w:hAnsi="宋体" w:cs="宋体"/>
          <w:b/>
          <w:bCs/>
          <w:color w:val="auto"/>
          <w:sz w:val="21"/>
          <w:szCs w:val="21"/>
          <w:highlight w:val="none"/>
        </w:rPr>
      </w:pPr>
    </w:p>
    <w:p w14:paraId="446FB567">
      <w:pPr>
        <w:spacing w:line="360" w:lineRule="auto"/>
        <w:rPr>
          <w:rFonts w:hint="eastAsia" w:ascii="宋体" w:hAnsi="宋体" w:cs="宋体"/>
          <w:b/>
          <w:bCs/>
          <w:color w:val="auto"/>
          <w:sz w:val="21"/>
          <w:szCs w:val="21"/>
          <w:highlight w:val="none"/>
        </w:rPr>
      </w:pPr>
    </w:p>
    <w:p w14:paraId="2F6DE5D1">
      <w:pPr>
        <w:spacing w:line="360" w:lineRule="auto"/>
        <w:rPr>
          <w:rFonts w:hint="eastAsia" w:ascii="宋体" w:hAnsi="宋体" w:cs="宋体"/>
          <w:b/>
          <w:bCs/>
          <w:color w:val="auto"/>
          <w:sz w:val="21"/>
          <w:szCs w:val="21"/>
          <w:highlight w:val="none"/>
        </w:rPr>
      </w:pPr>
    </w:p>
    <w:p w14:paraId="3BF9A439">
      <w:pPr>
        <w:spacing w:line="360" w:lineRule="auto"/>
        <w:rPr>
          <w:rFonts w:hint="eastAsia" w:ascii="宋体" w:hAnsi="宋体" w:cs="宋体"/>
          <w:b/>
          <w:bCs/>
          <w:color w:val="auto"/>
          <w:sz w:val="21"/>
          <w:szCs w:val="21"/>
          <w:highlight w:val="none"/>
        </w:rPr>
      </w:pPr>
    </w:p>
    <w:p w14:paraId="300F67D0">
      <w:pPr>
        <w:spacing w:line="360" w:lineRule="auto"/>
        <w:rPr>
          <w:rFonts w:hint="eastAsia" w:ascii="宋体" w:hAnsi="宋体" w:cs="宋体"/>
          <w:b/>
          <w:bCs/>
          <w:color w:val="auto"/>
          <w:sz w:val="21"/>
          <w:szCs w:val="21"/>
          <w:highlight w:val="none"/>
        </w:rPr>
      </w:pPr>
    </w:p>
    <w:p w14:paraId="6AC168A8">
      <w:pPr>
        <w:spacing w:line="360" w:lineRule="auto"/>
        <w:rPr>
          <w:rFonts w:hint="eastAsia" w:ascii="宋体" w:hAnsi="宋体" w:cs="宋体"/>
          <w:b/>
          <w:bCs/>
          <w:color w:val="auto"/>
          <w:sz w:val="21"/>
          <w:szCs w:val="21"/>
          <w:highlight w:val="none"/>
        </w:rPr>
      </w:pPr>
    </w:p>
    <w:p w14:paraId="3869CB3D">
      <w:pPr>
        <w:spacing w:line="360" w:lineRule="auto"/>
        <w:rPr>
          <w:rFonts w:hint="eastAsia" w:ascii="宋体" w:hAnsi="宋体" w:cs="宋体"/>
          <w:b/>
          <w:bCs/>
          <w:color w:val="auto"/>
          <w:sz w:val="21"/>
          <w:szCs w:val="21"/>
          <w:highlight w:val="none"/>
        </w:rPr>
      </w:pPr>
    </w:p>
    <w:p w14:paraId="594E3C41">
      <w:pPr>
        <w:spacing w:line="360" w:lineRule="auto"/>
        <w:rPr>
          <w:rFonts w:hint="eastAsia" w:ascii="宋体" w:hAnsi="宋体" w:cs="宋体"/>
          <w:b/>
          <w:bCs/>
          <w:color w:val="auto"/>
          <w:sz w:val="21"/>
          <w:szCs w:val="21"/>
          <w:highlight w:val="none"/>
        </w:rPr>
      </w:pPr>
    </w:p>
    <w:p w14:paraId="7AD3BC94">
      <w:pPr>
        <w:spacing w:line="360" w:lineRule="auto"/>
        <w:rPr>
          <w:rFonts w:hint="eastAsia" w:ascii="宋体" w:hAnsi="宋体" w:cs="宋体"/>
          <w:b/>
          <w:bCs/>
          <w:color w:val="auto"/>
          <w:sz w:val="21"/>
          <w:szCs w:val="21"/>
          <w:highlight w:val="none"/>
        </w:rPr>
      </w:pPr>
    </w:p>
    <w:p w14:paraId="0595994E">
      <w:pPr>
        <w:spacing w:line="360" w:lineRule="auto"/>
        <w:rPr>
          <w:rFonts w:hint="eastAsia" w:ascii="宋体" w:hAnsi="宋体" w:cs="宋体"/>
          <w:b/>
          <w:bCs/>
          <w:color w:val="auto"/>
          <w:sz w:val="21"/>
          <w:szCs w:val="21"/>
          <w:highlight w:val="none"/>
        </w:rPr>
      </w:pPr>
    </w:p>
    <w:p w14:paraId="65F9A8D3">
      <w:pPr>
        <w:spacing w:line="360" w:lineRule="auto"/>
        <w:rPr>
          <w:rFonts w:hint="eastAsia" w:ascii="宋体" w:hAnsi="宋体" w:cs="宋体"/>
          <w:b/>
          <w:color w:val="auto"/>
          <w:sz w:val="21"/>
          <w:szCs w:val="21"/>
          <w:highlight w:val="none"/>
        </w:rPr>
      </w:pPr>
      <w:r>
        <w:rPr>
          <w:rFonts w:hint="eastAsia" w:ascii="宋体" w:hAnsi="宋体" w:cs="宋体"/>
          <w:b/>
          <w:bCs/>
          <w:color w:val="auto"/>
          <w:sz w:val="21"/>
          <w:szCs w:val="21"/>
          <w:highlight w:val="none"/>
        </w:rPr>
        <w:t>附件2：</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rPr>
        <w:t>安全生产合同</w:t>
      </w:r>
    </w:p>
    <w:p w14:paraId="3B8E22FA">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为在</w:t>
      </w:r>
      <w:r>
        <w:rPr>
          <w:rFonts w:hint="eastAsia" w:ascii="宋体" w:hAnsi="宋体" w:cs="宋体"/>
          <w:color w:val="auto"/>
          <w:sz w:val="21"/>
          <w:szCs w:val="21"/>
          <w:highlight w:val="none"/>
          <w:u w:val="single"/>
          <w:lang w:val="en-US" w:eastAsia="zh-CN"/>
        </w:rPr>
        <w:t>G15沈海高速宁波西坞至麻岙岭改扩建工程—电力及通信线路迁改工程（康亭村）（土建部分）</w:t>
      </w:r>
      <w:r>
        <w:rPr>
          <w:rFonts w:hint="eastAsia" w:ascii="宋体" w:hAnsi="宋体" w:cs="宋体"/>
          <w:color w:val="auto"/>
          <w:sz w:val="21"/>
          <w:szCs w:val="21"/>
          <w:highlight w:val="none"/>
        </w:rPr>
        <w:t>（项目名称）施工合同的实施过程中创造安全、高效的施工环境，切实搞好本项目的安全管理工作，本项目发包人</w:t>
      </w:r>
      <w:r>
        <w:rPr>
          <w:rFonts w:hint="eastAsia" w:ascii="宋体" w:hAnsi="宋体" w:cs="宋体"/>
          <w:color w:val="auto"/>
          <w:sz w:val="21"/>
          <w:szCs w:val="21"/>
          <w:highlight w:val="none"/>
          <w:u w:val="single"/>
        </w:rPr>
        <w:t>宁波市奉化区惠海地下管线投资有限公司</w:t>
      </w:r>
      <w:r>
        <w:rPr>
          <w:rFonts w:hint="eastAsia" w:ascii="宋体" w:hAnsi="宋体" w:cs="宋体"/>
          <w:color w:val="auto"/>
          <w:sz w:val="21"/>
          <w:szCs w:val="21"/>
          <w:highlight w:val="none"/>
        </w:rPr>
        <w:t>（发包人名称，以下简称“发包人”）与</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rPr>
        <w:t>承包人名称，以下简称“承包人”）特此签订安全生产合同：</w:t>
      </w:r>
    </w:p>
    <w:p w14:paraId="24BB8214">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1.发包人职责</w:t>
      </w:r>
    </w:p>
    <w:p w14:paraId="7E24E3C9">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（1）严格遵守国家有关安全生产的法律法规，认真执行工程承包合同中的有关安全要求。</w:t>
      </w:r>
    </w:p>
    <w:p w14:paraId="5AFE0A36">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（2）按照“安全第一、预防为主”和坚持“管生产必须管安全”的原则进行安全生产管理，做到生产与安全工作同时计划、布置、检查、总结和评比。</w:t>
      </w:r>
    </w:p>
    <w:p w14:paraId="083F1DC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（3）重要的安全设施必须坚持与主体工程“三同时”的原则，即：同时设计、审批，同时施工，同时验收，投入使用。</w:t>
      </w:r>
    </w:p>
    <w:p w14:paraId="33841511">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（4）定期召开安全生产调度会，及时传达中央及地方有关安全生产的精神。</w:t>
      </w:r>
    </w:p>
    <w:p w14:paraId="586D5745">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（5）组织对承包人施工现场安全生产检查，监督承包人及时处理发现的各种安全隐患。</w:t>
      </w:r>
    </w:p>
    <w:p w14:paraId="6B81E8D1">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2.承包人职责</w:t>
      </w:r>
    </w:p>
    <w:p w14:paraId="6B02AC9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（1）严格遵守《中华人民共和国安全生产法》、《建设工程安全生产管理条例》等国家有关安全生产的法律法规有关安全生产的规定。认真执行工程承包合同中的有关安全要求。</w:t>
      </w:r>
    </w:p>
    <w:p w14:paraId="1D7C01F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3F11C3B">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136DB256">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（4）承包人在任何时候都应采取各种合理的预防措施，防止其员工发生任何违法、违禁、暴力或妨碍治安的行为。</w:t>
      </w:r>
    </w:p>
    <w:p w14:paraId="428E54C8">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19BDB6F">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224FFE9">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1FCF4F0A">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1F4D050E">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（9）施工中采用新技术、新工艺、新设备、新材料时，必须制定相应的安全技术措施，施工现场必须具有相关的安全标志牌。</w:t>
      </w:r>
    </w:p>
    <w:p w14:paraId="15293BD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56E957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3.违约责任</w:t>
      </w:r>
    </w:p>
    <w:p w14:paraId="3BA506F5">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如因发包人或承包人违约造成安全事故，将依法追究责任。</w:t>
      </w:r>
    </w:p>
    <w:p w14:paraId="7317A9A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4.本合同由双方法定代表人或其授权的代理人签署并加盖单位章后生效，全部工程竣工验收后失效。</w:t>
      </w:r>
    </w:p>
    <w:p w14:paraId="4076A609">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7A0ADF31">
      <w:pPr>
        <w:autoSpaceDE w:val="0"/>
        <w:autoSpaceDN w:val="0"/>
        <w:adjustRightInd w:val="0"/>
        <w:spacing w:line="38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宁波市奉化区惠海</w:t>
      </w:r>
      <w:r>
        <w:rPr>
          <w:rFonts w:hint="eastAsia" w:ascii="宋体" w:hAnsi="宋体" w:eastAsia="宋体" w:cs="宋体"/>
          <w:color w:val="auto"/>
          <w:spacing w:val="14"/>
          <w:sz w:val="21"/>
          <w:szCs w:val="21"/>
          <w:highlight w:val="none"/>
          <w:u w:val="single"/>
        </w:rPr>
        <w:t xml:space="preserve"> </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w:t>
      </w:r>
    </w:p>
    <w:p w14:paraId="65407CAE">
      <w:pPr>
        <w:spacing w:line="42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地下管线投资有限公司 </w:t>
      </w:r>
      <w:r>
        <w:rPr>
          <w:rFonts w:hint="eastAsia" w:ascii="宋体" w:hAnsi="宋体" w:cs="宋体"/>
          <w:color w:val="auto"/>
          <w:sz w:val="21"/>
          <w:szCs w:val="21"/>
          <w:highlight w:val="none"/>
        </w:rPr>
        <w:t xml:space="preserve"> </w:t>
      </w:r>
    </w:p>
    <w:p w14:paraId="08DB7202">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                       法定代表人或</w:t>
      </w:r>
    </w:p>
    <w:p w14:paraId="0A94F90A">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  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4EF235C4">
      <w:pPr>
        <w:spacing w:line="420" w:lineRule="exact"/>
        <w:ind w:left="840"/>
        <w:rPr>
          <w:rFonts w:hint="eastAsia" w:ascii="宋体" w:hAnsi="宋体" w:cs="宋体"/>
          <w:color w:val="auto"/>
          <w:sz w:val="21"/>
          <w:szCs w:val="21"/>
          <w:highlight w:val="none"/>
        </w:rPr>
      </w:pPr>
    </w:p>
    <w:p w14:paraId="668DD2DE">
      <w:pPr>
        <w:spacing w:line="420" w:lineRule="exact"/>
        <w:ind w:left="840" w:leftChars="400"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w:t>
      </w:r>
    </w:p>
    <w:p w14:paraId="1AF7EEB6">
      <w:pPr>
        <w:spacing w:line="360" w:lineRule="auto"/>
        <w:rPr>
          <w:rFonts w:hint="eastAsia" w:ascii="宋体" w:hAnsi="宋体" w:cs="宋体"/>
          <w:b/>
          <w:bCs/>
          <w:color w:val="auto"/>
          <w:sz w:val="21"/>
          <w:szCs w:val="21"/>
          <w:highlight w:val="none"/>
        </w:rPr>
      </w:pPr>
    </w:p>
    <w:p w14:paraId="2790BCBE">
      <w:pPr>
        <w:spacing w:line="360" w:lineRule="auto"/>
        <w:jc w:val="both"/>
        <w:rPr>
          <w:rFonts w:hint="eastAsia" w:ascii="宋体" w:hAnsi="宋体" w:cs="宋体"/>
          <w:b/>
          <w:bCs/>
          <w:color w:val="auto"/>
          <w:sz w:val="21"/>
          <w:szCs w:val="21"/>
          <w:highlight w:val="none"/>
        </w:rPr>
      </w:pPr>
    </w:p>
    <w:p w14:paraId="1F009C36">
      <w:pPr>
        <w:spacing w:line="360" w:lineRule="auto"/>
        <w:jc w:val="both"/>
        <w:rPr>
          <w:rFonts w:hint="eastAsia" w:ascii="宋体" w:hAnsi="宋体" w:cs="宋体"/>
          <w:b/>
          <w:bCs/>
          <w:color w:val="auto"/>
          <w:sz w:val="21"/>
          <w:szCs w:val="21"/>
          <w:highlight w:val="none"/>
        </w:rPr>
      </w:pPr>
    </w:p>
    <w:p w14:paraId="5337A855">
      <w:pPr>
        <w:spacing w:line="360" w:lineRule="auto"/>
        <w:jc w:val="both"/>
        <w:rPr>
          <w:rFonts w:hint="eastAsia" w:ascii="宋体" w:hAnsi="宋体" w:cs="宋体"/>
          <w:b/>
          <w:bCs/>
          <w:color w:val="auto"/>
          <w:sz w:val="21"/>
          <w:szCs w:val="21"/>
          <w:highlight w:val="none"/>
        </w:rPr>
      </w:pPr>
    </w:p>
    <w:p w14:paraId="41818619">
      <w:pPr>
        <w:spacing w:line="360" w:lineRule="auto"/>
        <w:jc w:val="both"/>
        <w:rPr>
          <w:rFonts w:hint="eastAsia" w:ascii="宋体" w:hAnsi="宋体" w:cs="宋体"/>
          <w:b/>
          <w:bCs/>
          <w:color w:val="auto"/>
          <w:sz w:val="21"/>
          <w:szCs w:val="21"/>
          <w:highlight w:val="none"/>
        </w:rPr>
      </w:pPr>
    </w:p>
    <w:p w14:paraId="53E17FC6">
      <w:pPr>
        <w:spacing w:line="360" w:lineRule="auto"/>
        <w:jc w:val="both"/>
        <w:rPr>
          <w:rFonts w:hint="eastAsia" w:ascii="宋体" w:hAnsi="宋体" w:cs="宋体"/>
          <w:b/>
          <w:bCs/>
          <w:color w:val="auto"/>
          <w:sz w:val="21"/>
          <w:szCs w:val="21"/>
          <w:highlight w:val="none"/>
        </w:rPr>
      </w:pPr>
    </w:p>
    <w:p w14:paraId="30878955">
      <w:pPr>
        <w:spacing w:line="360" w:lineRule="auto"/>
        <w:jc w:val="both"/>
        <w:rPr>
          <w:rFonts w:hint="eastAsia" w:ascii="宋体" w:hAnsi="宋体" w:cs="宋体"/>
          <w:b/>
          <w:bCs/>
          <w:color w:val="auto"/>
          <w:sz w:val="21"/>
          <w:szCs w:val="21"/>
          <w:highlight w:val="none"/>
        </w:rPr>
      </w:pPr>
    </w:p>
    <w:p w14:paraId="3FF295D8">
      <w:pPr>
        <w:spacing w:line="360" w:lineRule="auto"/>
        <w:jc w:val="both"/>
        <w:rPr>
          <w:rFonts w:hint="eastAsia" w:ascii="宋体" w:hAnsi="宋体" w:cs="宋体"/>
          <w:b/>
          <w:bCs/>
          <w:color w:val="auto"/>
          <w:sz w:val="21"/>
          <w:szCs w:val="21"/>
          <w:highlight w:val="none"/>
        </w:rPr>
      </w:pPr>
    </w:p>
    <w:p w14:paraId="6073D10D">
      <w:pPr>
        <w:spacing w:line="360" w:lineRule="auto"/>
        <w:jc w:val="both"/>
        <w:rPr>
          <w:rFonts w:hint="eastAsia" w:ascii="宋体" w:hAnsi="宋体" w:cs="宋体"/>
          <w:b/>
          <w:bCs/>
          <w:color w:val="auto"/>
          <w:sz w:val="21"/>
          <w:szCs w:val="21"/>
          <w:highlight w:val="none"/>
        </w:rPr>
      </w:pPr>
    </w:p>
    <w:p w14:paraId="46418827">
      <w:pPr>
        <w:spacing w:line="360" w:lineRule="auto"/>
        <w:jc w:val="both"/>
        <w:rPr>
          <w:rFonts w:hint="eastAsia" w:ascii="宋体" w:hAnsi="宋体" w:cs="宋体"/>
          <w:b/>
          <w:bCs/>
          <w:color w:val="auto"/>
          <w:sz w:val="21"/>
          <w:szCs w:val="21"/>
          <w:highlight w:val="none"/>
        </w:rPr>
      </w:pPr>
    </w:p>
    <w:p w14:paraId="36AF6186">
      <w:pPr>
        <w:spacing w:line="360" w:lineRule="auto"/>
        <w:jc w:val="both"/>
        <w:rPr>
          <w:rFonts w:hint="eastAsia" w:ascii="宋体" w:hAnsi="宋体" w:cs="宋体"/>
          <w:b/>
          <w:color w:val="auto"/>
          <w:sz w:val="21"/>
          <w:szCs w:val="21"/>
          <w:highlight w:val="none"/>
          <w:lang w:val="zh-CN"/>
        </w:rPr>
      </w:pPr>
      <w:r>
        <w:rPr>
          <w:rFonts w:hint="eastAsia" w:ascii="宋体" w:hAnsi="宋体" w:cs="宋体"/>
          <w:b/>
          <w:bCs/>
          <w:color w:val="auto"/>
          <w:sz w:val="21"/>
          <w:szCs w:val="21"/>
          <w:highlight w:val="none"/>
        </w:rPr>
        <w:t>附件3：</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lang w:val="zh-CN"/>
        </w:rPr>
        <w:t>工程项目廉政合同</w:t>
      </w:r>
      <w:bookmarkEnd w:id="440"/>
      <w:bookmarkEnd w:id="441"/>
      <w:bookmarkEnd w:id="442"/>
      <w:bookmarkEnd w:id="443"/>
      <w:bookmarkEnd w:id="444"/>
    </w:p>
    <w:p w14:paraId="40FE8F25">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firstLine="420" w:firstLineChars="200"/>
        <w:jc w:val="left"/>
        <w:textAlignment w:val="auto"/>
        <w:outlineLvl w:val="0"/>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lang w:val="zh-CN"/>
        </w:rPr>
        <w:t>工程项目名称：</w:t>
      </w:r>
      <w:r>
        <w:rPr>
          <w:rFonts w:hint="eastAsia" w:ascii="宋体" w:hAnsi="宋体" w:cs="宋体"/>
          <w:color w:val="auto"/>
          <w:sz w:val="21"/>
          <w:szCs w:val="21"/>
          <w:highlight w:val="none"/>
          <w:u w:val="single"/>
          <w:lang w:val="en-US" w:eastAsia="zh-CN"/>
        </w:rPr>
        <w:t>G15沈海高速宁波西坞至麻岙岭改扩建工程—电力及通信线路迁改工程（康亭村）（土建部分）</w:t>
      </w:r>
    </w:p>
    <w:p w14:paraId="7FF689E4">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exact"/>
        <w:ind w:firstLine="420" w:firstLineChars="200"/>
        <w:jc w:val="left"/>
        <w:textAlignment w:val="auto"/>
        <w:outlineLvl w:val="0"/>
        <w:rPr>
          <w:rFonts w:hint="eastAsia"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lang w:val="zh-CN"/>
        </w:rPr>
        <w:t>发包人名称(以下称甲方)：</w:t>
      </w:r>
      <w:r>
        <w:rPr>
          <w:rFonts w:hint="eastAsia" w:ascii="宋体" w:hAnsi="宋体" w:cs="宋体"/>
          <w:color w:val="auto"/>
          <w:kern w:val="0"/>
          <w:sz w:val="21"/>
          <w:szCs w:val="21"/>
          <w:highlight w:val="none"/>
          <w:u w:val="single"/>
          <w:lang w:val="zh-CN"/>
        </w:rPr>
        <w:t xml:space="preserve">宁波市奉化区惠海地下管线投资有限公司 </w:t>
      </w:r>
    </w:p>
    <w:p w14:paraId="735BF641">
      <w:pPr>
        <w:keepNext w:val="0"/>
        <w:keepLines w:val="0"/>
        <w:pageBreakBefore w:val="0"/>
        <w:widowControl w:val="0"/>
        <w:kinsoku/>
        <w:wordWrap/>
        <w:overflowPunct/>
        <w:topLinePunct w:val="0"/>
        <w:autoSpaceDE w:val="0"/>
        <w:autoSpaceDN w:val="0"/>
        <w:bidi w:val="0"/>
        <w:adjustRightInd w:val="0"/>
        <w:snapToGrid/>
        <w:spacing w:line="240" w:lineRule="exact"/>
        <w:ind w:firstLine="420" w:firstLineChars="200"/>
        <w:jc w:val="left"/>
        <w:textAlignment w:val="auto"/>
        <w:outlineLvl w:val="9"/>
        <w:rPr>
          <w:rFonts w:hint="default" w:ascii="宋体" w:hAnsi="宋体" w:eastAsia="宋体" w:cs="宋体"/>
          <w:color w:val="auto"/>
          <w:kern w:val="0"/>
          <w:sz w:val="21"/>
          <w:szCs w:val="21"/>
          <w:highlight w:val="none"/>
          <w:u w:val="single"/>
          <w:lang w:val="en-US"/>
        </w:rPr>
      </w:pPr>
      <w:r>
        <w:rPr>
          <w:rFonts w:hint="eastAsia" w:ascii="宋体" w:hAnsi="宋体" w:cs="宋体"/>
          <w:color w:val="auto"/>
          <w:kern w:val="0"/>
          <w:sz w:val="21"/>
          <w:szCs w:val="21"/>
          <w:highlight w:val="none"/>
          <w:lang w:val="zh-CN"/>
        </w:rPr>
        <w:t>承包人名称(以下称乙方)：</w:t>
      </w:r>
      <w:r>
        <w:rPr>
          <w:rFonts w:hint="eastAsia" w:ascii="宋体" w:hAnsi="宋体" w:eastAsia="宋体" w:cs="宋体"/>
          <w:color w:val="auto"/>
          <w:sz w:val="21"/>
          <w:szCs w:val="21"/>
          <w:highlight w:val="none"/>
          <w:u w:val="single"/>
          <w:lang w:val="en-US" w:eastAsia="zh-CN"/>
        </w:rPr>
        <w:t xml:space="preserve">                                 </w:t>
      </w:r>
    </w:p>
    <w:p w14:paraId="2917774B">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216B780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第一条  甲乙双方的权利和义务    </w:t>
      </w:r>
    </w:p>
    <w:p w14:paraId="6A668AE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14:paraId="6049A136">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(二)严格执行本项目发包承包双方签订的 (施工合同、监理合同、勘测设计合同、采购合同、代理合同等)合同，自觉按合同办事。    </w:t>
      </w:r>
    </w:p>
    <w:p w14:paraId="567F1D3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0C23C00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5C42E69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第二条  甲方的责任    </w:t>
      </w:r>
    </w:p>
    <w:p w14:paraId="721A69F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甲方的负责人和从事该工程项目的工作人员，在工程项目的事前、事中、事后应遵守以下规定：    </w:t>
      </w:r>
    </w:p>
    <w:p w14:paraId="4AACADDE">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(一)不以任何理由向乙方索要或接受回扣、礼金、有价证券、贵重物品和好处费、感谢费等；不在乙方报销应由甲方或个人支付的费用。    </w:t>
      </w:r>
    </w:p>
    <w:p w14:paraId="6746334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(二)不参加乙方安排的宴请及其他消费活动；不接受乙方提供的通讯工具、交通工具、高档办公用品等。    </w:t>
      </w:r>
    </w:p>
    <w:p w14:paraId="016A7DF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(三)不要求、暗示和接受乙方为个人装修住房、为配偶子女的工作安排以及本人或亲属旅游、出国(境)等提供方便。    </w:t>
      </w:r>
    </w:p>
    <w:p w14:paraId="5533754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(四)配偶、子女不得从事与乙方承包工程有关的设备材料供应、工程分包、劳务等经济活动。    </w:t>
      </w:r>
    </w:p>
    <w:p w14:paraId="45CCEB37">
      <w:pPr>
        <w:keepNext w:val="0"/>
        <w:keepLines w:val="0"/>
        <w:pageBreakBefore w:val="0"/>
        <w:widowControl w:val="0"/>
        <w:kinsoku/>
        <w:wordWrap/>
        <w:overflowPunct/>
        <w:topLinePunct w:val="0"/>
        <w:autoSpaceDE w:val="0"/>
        <w:autoSpaceDN w:val="0"/>
        <w:bidi w:val="0"/>
        <w:adjustRightInd w:val="0"/>
        <w:snapToGrid/>
        <w:spacing w:line="380" w:lineRule="exact"/>
        <w:ind w:firstLine="315" w:firstLineChars="15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（五)不以任何理由向乙方推荐分包人或要求乙方购买项目合同规定以外的材料、设备和服务等。</w:t>
      </w:r>
    </w:p>
    <w:p w14:paraId="1587394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第三条  乙方的责任</w:t>
      </w:r>
    </w:p>
    <w:p w14:paraId="699A8486">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乙方应与甲方保持正常的业务交往，按照有关法律法规和程序开展业务活动，严格执行工程建设的有关方针、政策，尤其是有关强制性标准和规范，并遵守以下规定：    </w:t>
      </w:r>
    </w:p>
    <w:p w14:paraId="2C160CBC">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(一)不以任何理由向甲方及其工作人员行贿或赠送礼金、有价证券、贵重物品。    </w:t>
      </w:r>
    </w:p>
    <w:p w14:paraId="6CDBF01E">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(二)不以任何名义为甲方及其工作人员报销应由对方支付的费用。    </w:t>
      </w:r>
    </w:p>
    <w:p w14:paraId="700614C3">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(三)不以任何理由宴请甲方工作人员或安排其他消费活动。    </w:t>
      </w:r>
    </w:p>
    <w:p w14:paraId="32FB674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(四)不为甲方和工作人员购置或提供通讯工具、交通工具、高档办公用品和装修住房等。 </w:t>
      </w:r>
    </w:p>
    <w:p w14:paraId="54E0FE86">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第四条  违约责任 </w:t>
      </w:r>
    </w:p>
    <w:p w14:paraId="42C5A2A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2FE1940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1DD3137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11BF660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第五条  双方约定：在自觉履行合同的同时，由甲、乙双方的监督单位负责对本合同履行情况进行监督检查。</w:t>
      </w:r>
    </w:p>
    <w:p w14:paraId="403E460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第六条  本合同作为</w:t>
      </w:r>
      <w:r>
        <w:rPr>
          <w:rFonts w:hint="eastAsia" w:ascii="宋体" w:hAnsi="宋体" w:cs="宋体"/>
          <w:color w:val="auto"/>
          <w:sz w:val="21"/>
          <w:szCs w:val="21"/>
          <w:highlight w:val="none"/>
          <w:u w:val="single"/>
          <w:lang w:val="en-US" w:eastAsia="zh-CN"/>
        </w:rPr>
        <w:t>G15沈海高速宁波西坞至麻岙岭改扩建工程—电力及通信线路迁改工程（康亭村）（土建部分）</w:t>
      </w:r>
      <w:r>
        <w:rPr>
          <w:rFonts w:hint="eastAsia" w:ascii="宋体" w:hAnsi="宋体" w:eastAsia="宋体" w:cs="宋体"/>
          <w:color w:val="auto"/>
          <w:kern w:val="0"/>
          <w:sz w:val="21"/>
          <w:szCs w:val="21"/>
          <w:highlight w:val="none"/>
          <w:lang w:val="zh-CN"/>
        </w:rPr>
        <w:t>签订工程施工合同的附件，与主合同具有同等法律效力。</w:t>
      </w:r>
    </w:p>
    <w:p w14:paraId="1C1B4FF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甲乙双方签署后立即生效。</w:t>
      </w:r>
    </w:p>
    <w:p w14:paraId="2B62947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第七条  本合同的有效期为双方签署之日起至该工程项目竣工验收合格时止。  </w:t>
      </w:r>
      <w:r>
        <w:rPr>
          <w:rFonts w:hint="eastAsia" w:ascii="宋体" w:hAnsi="宋体" w:cs="宋体"/>
          <w:color w:val="auto"/>
          <w:kern w:val="0"/>
          <w:sz w:val="21"/>
          <w:szCs w:val="21"/>
          <w:highlight w:val="none"/>
          <w:lang w:val="zh-CN"/>
        </w:rPr>
        <w:t xml:space="preserve">  </w:t>
      </w:r>
    </w:p>
    <w:p w14:paraId="3B7A3C1C">
      <w:pPr>
        <w:keepNext w:val="0"/>
        <w:keepLines w:val="0"/>
        <w:pageBreakBefore w:val="0"/>
        <w:widowControl w:val="0"/>
        <w:kinsoku/>
        <w:wordWrap/>
        <w:overflowPunct/>
        <w:topLinePunct w:val="0"/>
        <w:bidi w:val="0"/>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第八条  </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09FD5135">
      <w:pPr>
        <w:autoSpaceDE w:val="0"/>
        <w:autoSpaceDN w:val="0"/>
        <w:adjustRightIn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p>
    <w:p w14:paraId="6D8B38FE">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w:t>
      </w:r>
    </w:p>
    <w:p w14:paraId="70136837">
      <w:pPr>
        <w:autoSpaceDE w:val="0"/>
        <w:autoSpaceDN w:val="0"/>
        <w:adjustRightInd w:val="0"/>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ab/>
      </w:r>
      <w:r>
        <w:rPr>
          <w:rFonts w:hint="eastAsia" w:ascii="宋体" w:hAnsi="宋体" w:eastAsia="宋体" w:cs="宋体"/>
          <w:color w:val="auto"/>
          <w:sz w:val="21"/>
          <w:szCs w:val="21"/>
          <w:highlight w:val="none"/>
        </w:rPr>
        <w:t>奉化区岳林街道中山东路518号</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p>
    <w:p w14:paraId="46782F47">
      <w:pPr>
        <w:autoSpaceDE w:val="0"/>
        <w:autoSpaceDN w:val="0"/>
        <w:adjustRightInd w:val="0"/>
        <w:spacing w:line="380" w:lineRule="exact"/>
        <w:ind w:left="521" w:leftChars="24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金城大厦</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座1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楼</w:t>
      </w:r>
    </w:p>
    <w:p w14:paraId="5B933C3D">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电话：</w:t>
      </w:r>
    </w:p>
    <w:p w14:paraId="561DD363">
      <w:pPr>
        <w:tabs>
          <w:tab w:val="left" w:pos="4962"/>
        </w:tabs>
        <w:spacing w:line="400" w:lineRule="exact"/>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年 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35C9AE20">
      <w:pPr>
        <w:spacing w:line="360" w:lineRule="auto"/>
        <w:rPr>
          <w:rFonts w:hint="eastAsia" w:ascii="宋体" w:hAnsi="宋体" w:cs="宋体"/>
          <w:b/>
          <w:color w:val="auto"/>
          <w:sz w:val="21"/>
          <w:szCs w:val="21"/>
          <w:highlight w:val="none"/>
        </w:rPr>
      </w:pPr>
    </w:p>
    <w:p w14:paraId="73A9DBDF">
      <w:pPr>
        <w:spacing w:line="360" w:lineRule="auto"/>
        <w:rPr>
          <w:rFonts w:hint="eastAsia" w:ascii="宋体" w:hAnsi="宋体" w:cs="宋体"/>
          <w:b/>
          <w:color w:val="auto"/>
          <w:sz w:val="21"/>
          <w:szCs w:val="21"/>
          <w:highlight w:val="none"/>
        </w:rPr>
      </w:pPr>
    </w:p>
    <w:p w14:paraId="397F17A3">
      <w:pPr>
        <w:spacing w:line="360" w:lineRule="auto"/>
        <w:rPr>
          <w:rFonts w:hint="eastAsia" w:ascii="宋体" w:hAnsi="宋体" w:cs="宋体"/>
          <w:b/>
          <w:color w:val="auto"/>
          <w:sz w:val="21"/>
          <w:szCs w:val="21"/>
          <w:highlight w:val="none"/>
        </w:rPr>
      </w:pPr>
    </w:p>
    <w:p w14:paraId="0E4F2DF8">
      <w:pPr>
        <w:spacing w:line="360" w:lineRule="auto"/>
        <w:rPr>
          <w:rFonts w:hint="eastAsia" w:ascii="宋体" w:hAnsi="宋体" w:cs="宋体"/>
          <w:b/>
          <w:color w:val="auto"/>
          <w:sz w:val="21"/>
          <w:szCs w:val="21"/>
          <w:highlight w:val="none"/>
        </w:rPr>
      </w:pPr>
    </w:p>
    <w:p w14:paraId="12822E64">
      <w:pPr>
        <w:pStyle w:val="33"/>
        <w:rPr>
          <w:rFonts w:hint="eastAsia" w:ascii="宋体" w:hAnsi="宋体" w:cs="宋体"/>
          <w:b/>
          <w:color w:val="auto"/>
          <w:sz w:val="21"/>
          <w:szCs w:val="21"/>
          <w:highlight w:val="none"/>
        </w:rPr>
      </w:pPr>
    </w:p>
    <w:p w14:paraId="7641B6BF">
      <w:pPr>
        <w:pStyle w:val="33"/>
        <w:rPr>
          <w:rFonts w:hint="eastAsia" w:ascii="宋体" w:hAnsi="宋体" w:cs="宋体"/>
          <w:b/>
          <w:color w:val="auto"/>
          <w:sz w:val="21"/>
          <w:szCs w:val="21"/>
          <w:highlight w:val="none"/>
        </w:rPr>
      </w:pPr>
    </w:p>
    <w:p w14:paraId="1705B7B2">
      <w:pPr>
        <w:spacing w:line="360" w:lineRule="auto"/>
        <w:rPr>
          <w:rFonts w:hint="eastAsia" w:ascii="宋体" w:hAnsi="宋体" w:cs="宋体"/>
          <w:b/>
          <w:color w:val="auto"/>
          <w:sz w:val="21"/>
          <w:szCs w:val="21"/>
          <w:highlight w:val="none"/>
        </w:rPr>
      </w:pPr>
    </w:p>
    <w:p w14:paraId="5C0149B1">
      <w:pPr>
        <w:spacing w:line="360" w:lineRule="auto"/>
        <w:rPr>
          <w:rFonts w:hint="eastAsia" w:ascii="宋体" w:hAnsi="宋体" w:cs="宋体"/>
          <w:b/>
          <w:color w:val="auto"/>
          <w:sz w:val="21"/>
          <w:szCs w:val="21"/>
          <w:highlight w:val="none"/>
        </w:rPr>
      </w:pPr>
    </w:p>
    <w:p w14:paraId="7B5D0DFC">
      <w:pPr>
        <w:spacing w:line="360" w:lineRule="auto"/>
        <w:rPr>
          <w:rFonts w:hint="eastAsia" w:ascii="宋体" w:hAnsi="宋体" w:cs="宋体"/>
          <w:b/>
          <w:color w:val="auto"/>
          <w:sz w:val="21"/>
          <w:szCs w:val="21"/>
          <w:highlight w:val="none"/>
        </w:rPr>
      </w:pPr>
    </w:p>
    <w:p w14:paraId="4599E80C">
      <w:pPr>
        <w:spacing w:line="360" w:lineRule="auto"/>
        <w:rPr>
          <w:rFonts w:hint="eastAsia" w:ascii="宋体" w:hAnsi="宋体" w:cs="宋体"/>
          <w:b/>
          <w:color w:val="auto"/>
          <w:sz w:val="21"/>
          <w:szCs w:val="21"/>
          <w:highlight w:val="none"/>
        </w:rPr>
      </w:pPr>
    </w:p>
    <w:p w14:paraId="7BEC1A93">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45" w:name="_Toc296891055"/>
      <w:bookmarkStart w:id="446" w:name="_Toc296503227"/>
      <w:bookmarkStart w:id="447" w:name="_Toc296944566"/>
      <w:bookmarkStart w:id="448" w:name="_Toc296347226"/>
      <w:bookmarkStart w:id="449" w:name="_Toc267261698"/>
      <w:bookmarkStart w:id="450" w:name="_Toc296891267"/>
      <w:bookmarkStart w:id="451" w:name="_Toc296346728"/>
      <w:r>
        <w:rPr>
          <w:rFonts w:hint="eastAsia" w:ascii="宋体" w:hAnsi="宋体" w:cs="宋体"/>
          <w:b/>
          <w:color w:val="auto"/>
          <w:sz w:val="21"/>
          <w:szCs w:val="21"/>
          <w:highlight w:val="none"/>
        </w:rPr>
        <w:t>件4：</w:t>
      </w:r>
    </w:p>
    <w:bookmarkEnd w:id="445"/>
    <w:bookmarkEnd w:id="446"/>
    <w:bookmarkEnd w:id="447"/>
    <w:bookmarkEnd w:id="448"/>
    <w:bookmarkEnd w:id="449"/>
    <w:bookmarkEnd w:id="450"/>
    <w:bookmarkEnd w:id="451"/>
    <w:p w14:paraId="380860F9">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承包人用于本工程施工的机械设备表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6ADE4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noWrap w:val="0"/>
            <w:vAlign w:val="center"/>
          </w:tcPr>
          <w:p w14:paraId="2597651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序号</w:t>
            </w:r>
          </w:p>
        </w:tc>
        <w:tc>
          <w:tcPr>
            <w:tcW w:w="1549" w:type="dxa"/>
            <w:tcBorders>
              <w:top w:val="single" w:color="auto" w:sz="12" w:space="0"/>
              <w:bottom w:val="double" w:color="auto" w:sz="6" w:space="0"/>
            </w:tcBorders>
            <w:noWrap w:val="0"/>
            <w:vAlign w:val="center"/>
          </w:tcPr>
          <w:p w14:paraId="30847ED1">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机械或</w:t>
            </w:r>
          </w:p>
          <w:p w14:paraId="6A128C6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设备名称</w:t>
            </w:r>
          </w:p>
        </w:tc>
        <w:tc>
          <w:tcPr>
            <w:tcW w:w="1001" w:type="dxa"/>
            <w:tcBorders>
              <w:top w:val="single" w:color="auto" w:sz="12" w:space="0"/>
              <w:bottom w:val="double" w:color="auto" w:sz="6" w:space="0"/>
            </w:tcBorders>
            <w:noWrap w:val="0"/>
            <w:vAlign w:val="center"/>
          </w:tcPr>
          <w:p w14:paraId="227203F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规格</w:t>
            </w:r>
          </w:p>
          <w:p w14:paraId="1EC144E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型号</w:t>
            </w:r>
          </w:p>
        </w:tc>
        <w:tc>
          <w:tcPr>
            <w:tcW w:w="718" w:type="dxa"/>
            <w:tcBorders>
              <w:top w:val="single" w:color="auto" w:sz="12" w:space="0"/>
              <w:bottom w:val="double" w:color="auto" w:sz="6" w:space="0"/>
            </w:tcBorders>
            <w:noWrap w:val="0"/>
            <w:vAlign w:val="center"/>
          </w:tcPr>
          <w:p w14:paraId="51B4FC7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数量</w:t>
            </w:r>
          </w:p>
        </w:tc>
        <w:tc>
          <w:tcPr>
            <w:tcW w:w="794" w:type="dxa"/>
            <w:tcBorders>
              <w:top w:val="single" w:color="auto" w:sz="12" w:space="0"/>
              <w:bottom w:val="double" w:color="auto" w:sz="6" w:space="0"/>
            </w:tcBorders>
            <w:noWrap w:val="0"/>
            <w:vAlign w:val="center"/>
          </w:tcPr>
          <w:p w14:paraId="548BAEDD">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产地</w:t>
            </w:r>
          </w:p>
        </w:tc>
        <w:tc>
          <w:tcPr>
            <w:tcW w:w="920" w:type="dxa"/>
            <w:tcBorders>
              <w:top w:val="single" w:color="auto" w:sz="12" w:space="0"/>
              <w:bottom w:val="double" w:color="auto" w:sz="6" w:space="0"/>
            </w:tcBorders>
            <w:noWrap w:val="0"/>
            <w:vAlign w:val="center"/>
          </w:tcPr>
          <w:p w14:paraId="629347E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制造</w:t>
            </w:r>
          </w:p>
          <w:p w14:paraId="0C65F46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年份</w:t>
            </w:r>
          </w:p>
        </w:tc>
        <w:tc>
          <w:tcPr>
            <w:tcW w:w="1334" w:type="dxa"/>
            <w:tcBorders>
              <w:top w:val="single" w:color="auto" w:sz="12" w:space="0"/>
              <w:bottom w:val="double" w:color="auto" w:sz="6" w:space="0"/>
            </w:tcBorders>
            <w:noWrap w:val="0"/>
            <w:vAlign w:val="center"/>
          </w:tcPr>
          <w:p w14:paraId="754E9B9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额定功率(kW)</w:t>
            </w:r>
          </w:p>
        </w:tc>
        <w:tc>
          <w:tcPr>
            <w:tcW w:w="920" w:type="dxa"/>
            <w:tcBorders>
              <w:top w:val="single" w:color="auto" w:sz="12" w:space="0"/>
              <w:bottom w:val="double" w:color="auto" w:sz="6" w:space="0"/>
            </w:tcBorders>
            <w:noWrap w:val="0"/>
            <w:vAlign w:val="center"/>
          </w:tcPr>
          <w:p w14:paraId="19E43F2D">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生产</w:t>
            </w:r>
          </w:p>
          <w:p w14:paraId="7D33286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能力</w:t>
            </w:r>
          </w:p>
        </w:tc>
        <w:tc>
          <w:tcPr>
            <w:tcW w:w="828" w:type="dxa"/>
            <w:tcBorders>
              <w:top w:val="single" w:color="auto" w:sz="12" w:space="0"/>
              <w:bottom w:val="double" w:color="auto" w:sz="6" w:space="0"/>
            </w:tcBorders>
            <w:noWrap w:val="0"/>
            <w:vAlign w:val="center"/>
          </w:tcPr>
          <w:p w14:paraId="2356928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备注</w:t>
            </w:r>
          </w:p>
        </w:tc>
      </w:tr>
      <w:tr w14:paraId="7B9EF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noWrap w:val="0"/>
            <w:vAlign w:val="center"/>
          </w:tcPr>
          <w:p w14:paraId="3B0213BB">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w:t>
            </w:r>
          </w:p>
        </w:tc>
        <w:tc>
          <w:tcPr>
            <w:tcW w:w="1549" w:type="dxa"/>
            <w:tcBorders>
              <w:top w:val="double" w:color="auto" w:sz="6" w:space="0"/>
              <w:bottom w:val="single" w:color="auto" w:sz="6" w:space="0"/>
            </w:tcBorders>
            <w:noWrap w:val="0"/>
            <w:vAlign w:val="center"/>
          </w:tcPr>
          <w:p w14:paraId="66BF846F">
            <w:pPr>
              <w:jc w:val="center"/>
              <w:rPr>
                <w:rFonts w:hint="eastAsia" w:ascii="仿宋_GB2312" w:eastAsia="仿宋_GB2312"/>
                <w:color w:val="auto"/>
                <w:kern w:val="2"/>
                <w:sz w:val="21"/>
                <w:szCs w:val="21"/>
                <w:highlight w:val="none"/>
                <w:lang w:val="en-US" w:eastAsia="zh-CN" w:bidi="ar-SA"/>
              </w:rPr>
            </w:pPr>
          </w:p>
        </w:tc>
        <w:tc>
          <w:tcPr>
            <w:tcW w:w="1001" w:type="dxa"/>
            <w:tcBorders>
              <w:top w:val="double" w:color="auto" w:sz="6" w:space="0"/>
              <w:bottom w:val="single" w:color="auto" w:sz="6" w:space="0"/>
            </w:tcBorders>
            <w:noWrap w:val="0"/>
            <w:vAlign w:val="center"/>
          </w:tcPr>
          <w:p w14:paraId="6B6976C4">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double" w:color="auto" w:sz="6" w:space="0"/>
              <w:bottom w:val="single" w:color="auto" w:sz="6" w:space="0"/>
            </w:tcBorders>
            <w:noWrap w:val="0"/>
            <w:vAlign w:val="bottom"/>
          </w:tcPr>
          <w:p w14:paraId="1ECD4A9E">
            <w:pPr>
              <w:jc w:val="center"/>
              <w:rPr>
                <w:rFonts w:hint="eastAsia" w:ascii="仿宋_GB2312" w:eastAsia="仿宋_GB2312"/>
                <w:color w:val="auto"/>
                <w:kern w:val="2"/>
                <w:sz w:val="21"/>
                <w:szCs w:val="21"/>
                <w:highlight w:val="none"/>
                <w:lang w:val="en-US" w:eastAsia="zh-CN" w:bidi="ar-SA"/>
              </w:rPr>
            </w:pPr>
          </w:p>
        </w:tc>
        <w:tc>
          <w:tcPr>
            <w:tcW w:w="794" w:type="dxa"/>
            <w:tcBorders>
              <w:top w:val="double" w:color="auto" w:sz="6" w:space="0"/>
              <w:bottom w:val="single" w:color="auto" w:sz="6" w:space="0"/>
            </w:tcBorders>
            <w:noWrap w:val="0"/>
            <w:vAlign w:val="center"/>
          </w:tcPr>
          <w:p w14:paraId="0A2E405B">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7565FACB">
            <w:pPr>
              <w:jc w:val="center"/>
              <w:rPr>
                <w:rFonts w:hint="eastAsia" w:ascii="仿宋_GB2312" w:hAnsi="宋体" w:eastAsia="仿宋_GB2312"/>
                <w:color w:val="auto"/>
                <w:kern w:val="2"/>
                <w:sz w:val="21"/>
                <w:szCs w:val="21"/>
                <w:highlight w:val="none"/>
                <w:lang w:val="en-US" w:eastAsia="zh-CN" w:bidi="ar-SA"/>
              </w:rPr>
            </w:pPr>
          </w:p>
        </w:tc>
        <w:tc>
          <w:tcPr>
            <w:tcW w:w="1334" w:type="dxa"/>
            <w:tcBorders>
              <w:top w:val="double" w:color="auto" w:sz="6" w:space="0"/>
              <w:bottom w:val="single" w:color="auto" w:sz="6" w:space="0"/>
            </w:tcBorders>
            <w:noWrap w:val="0"/>
            <w:vAlign w:val="bottom"/>
          </w:tcPr>
          <w:p w14:paraId="072DEBDE">
            <w:pPr>
              <w:jc w:val="center"/>
              <w:rPr>
                <w:rFonts w:hint="eastAsia" w:ascii="仿宋_GB2312" w:eastAsia="仿宋_GB2312"/>
                <w:color w:val="auto"/>
                <w:kern w:val="2"/>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45EC24C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double" w:color="auto" w:sz="6" w:space="0"/>
              <w:bottom w:val="single" w:color="auto" w:sz="6" w:space="0"/>
            </w:tcBorders>
            <w:noWrap w:val="0"/>
            <w:vAlign w:val="center"/>
          </w:tcPr>
          <w:p w14:paraId="1D77244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AAC0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noWrap w:val="0"/>
            <w:vAlign w:val="center"/>
          </w:tcPr>
          <w:p w14:paraId="7DBF93EC">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w:t>
            </w:r>
          </w:p>
        </w:tc>
        <w:tc>
          <w:tcPr>
            <w:tcW w:w="1549" w:type="dxa"/>
            <w:tcBorders>
              <w:top w:val="nil"/>
            </w:tcBorders>
            <w:noWrap w:val="0"/>
            <w:vAlign w:val="center"/>
          </w:tcPr>
          <w:p w14:paraId="2A87EA28">
            <w:pPr>
              <w:jc w:val="center"/>
              <w:rPr>
                <w:rFonts w:hint="eastAsia" w:ascii="仿宋_GB2312" w:eastAsia="仿宋_GB2312"/>
                <w:color w:val="auto"/>
                <w:kern w:val="2"/>
                <w:sz w:val="21"/>
                <w:szCs w:val="21"/>
                <w:highlight w:val="none"/>
                <w:lang w:val="en-US" w:eastAsia="zh-CN" w:bidi="ar-SA"/>
              </w:rPr>
            </w:pPr>
          </w:p>
        </w:tc>
        <w:tc>
          <w:tcPr>
            <w:tcW w:w="1001" w:type="dxa"/>
            <w:tcBorders>
              <w:top w:val="nil"/>
            </w:tcBorders>
            <w:noWrap w:val="0"/>
            <w:vAlign w:val="center"/>
          </w:tcPr>
          <w:p w14:paraId="4FD73B9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nil"/>
            </w:tcBorders>
            <w:noWrap w:val="0"/>
            <w:vAlign w:val="bottom"/>
          </w:tcPr>
          <w:p w14:paraId="67E062E7">
            <w:pPr>
              <w:jc w:val="center"/>
              <w:rPr>
                <w:rFonts w:hint="eastAsia" w:ascii="仿宋_GB2312" w:eastAsia="仿宋_GB2312"/>
                <w:color w:val="auto"/>
                <w:kern w:val="2"/>
                <w:sz w:val="21"/>
                <w:szCs w:val="21"/>
                <w:highlight w:val="none"/>
                <w:lang w:val="en-US" w:eastAsia="zh-CN" w:bidi="ar-SA"/>
              </w:rPr>
            </w:pPr>
          </w:p>
        </w:tc>
        <w:tc>
          <w:tcPr>
            <w:tcW w:w="794" w:type="dxa"/>
            <w:tcBorders>
              <w:top w:val="nil"/>
            </w:tcBorders>
            <w:noWrap w:val="0"/>
            <w:vAlign w:val="center"/>
          </w:tcPr>
          <w:p w14:paraId="6397589F">
            <w:pPr>
              <w:jc w:val="center"/>
              <w:rPr>
                <w:rFonts w:hint="eastAsia" w:ascii="仿宋_GB2312" w:hAnsi="宋体" w:eastAsia="仿宋_GB2312"/>
                <w:color w:val="auto"/>
                <w:kern w:val="2"/>
                <w:sz w:val="21"/>
                <w:szCs w:val="21"/>
                <w:highlight w:val="none"/>
                <w:lang w:val="en-US" w:eastAsia="zh-CN" w:bidi="ar-SA"/>
              </w:rPr>
            </w:pPr>
          </w:p>
        </w:tc>
        <w:tc>
          <w:tcPr>
            <w:tcW w:w="920" w:type="dxa"/>
            <w:tcBorders>
              <w:top w:val="nil"/>
            </w:tcBorders>
            <w:noWrap w:val="0"/>
            <w:vAlign w:val="center"/>
          </w:tcPr>
          <w:p w14:paraId="54D2D754">
            <w:pPr>
              <w:jc w:val="center"/>
              <w:rPr>
                <w:rFonts w:hint="eastAsia" w:ascii="仿宋_GB2312" w:hAnsi="宋体" w:eastAsia="仿宋_GB2312"/>
                <w:b/>
                <w:color w:val="auto"/>
                <w:kern w:val="2"/>
                <w:sz w:val="21"/>
                <w:szCs w:val="21"/>
                <w:highlight w:val="none"/>
                <w:lang w:val="en-US" w:eastAsia="zh-CN" w:bidi="ar-SA"/>
              </w:rPr>
            </w:pPr>
          </w:p>
        </w:tc>
        <w:tc>
          <w:tcPr>
            <w:tcW w:w="1334" w:type="dxa"/>
            <w:tcBorders>
              <w:top w:val="nil"/>
            </w:tcBorders>
            <w:noWrap w:val="0"/>
            <w:vAlign w:val="bottom"/>
          </w:tcPr>
          <w:p w14:paraId="14111A95">
            <w:pPr>
              <w:jc w:val="center"/>
              <w:rPr>
                <w:rFonts w:hint="eastAsia" w:ascii="仿宋_GB2312" w:eastAsia="仿宋_GB2312"/>
                <w:color w:val="auto"/>
                <w:kern w:val="2"/>
                <w:sz w:val="21"/>
                <w:szCs w:val="21"/>
                <w:highlight w:val="none"/>
                <w:lang w:val="en-US" w:eastAsia="zh-CN" w:bidi="ar-SA"/>
              </w:rPr>
            </w:pPr>
          </w:p>
        </w:tc>
        <w:tc>
          <w:tcPr>
            <w:tcW w:w="920" w:type="dxa"/>
            <w:tcBorders>
              <w:top w:val="nil"/>
            </w:tcBorders>
            <w:noWrap w:val="0"/>
            <w:vAlign w:val="center"/>
          </w:tcPr>
          <w:p w14:paraId="43A8C59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nil"/>
            </w:tcBorders>
            <w:noWrap w:val="0"/>
            <w:vAlign w:val="center"/>
          </w:tcPr>
          <w:p w14:paraId="13BB916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5EF9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4D09834">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3</w:t>
            </w:r>
          </w:p>
        </w:tc>
        <w:tc>
          <w:tcPr>
            <w:tcW w:w="1549" w:type="dxa"/>
            <w:noWrap w:val="0"/>
            <w:vAlign w:val="center"/>
          </w:tcPr>
          <w:p w14:paraId="4769AC36">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551D763">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28D50B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E73C6C2">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1878239">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10164B23">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34FFAD3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046C22F3">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1C9F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D034FC5">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4</w:t>
            </w:r>
          </w:p>
        </w:tc>
        <w:tc>
          <w:tcPr>
            <w:tcW w:w="1549" w:type="dxa"/>
            <w:noWrap w:val="0"/>
            <w:vAlign w:val="center"/>
          </w:tcPr>
          <w:p w14:paraId="6898B4DF">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E817C39">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7813CDE">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0455FA4">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ED71A43">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7811DF4">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F279E3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30A3944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B84C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895566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5</w:t>
            </w:r>
          </w:p>
        </w:tc>
        <w:tc>
          <w:tcPr>
            <w:tcW w:w="1549" w:type="dxa"/>
            <w:noWrap w:val="0"/>
            <w:vAlign w:val="center"/>
          </w:tcPr>
          <w:p w14:paraId="26426DF7">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0175A04">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6650EE6">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9396DB7">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6E50EA7">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7C10A61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EFB232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5231E6DB">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21D3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518C5B59">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6</w:t>
            </w:r>
          </w:p>
        </w:tc>
        <w:tc>
          <w:tcPr>
            <w:tcW w:w="1549" w:type="dxa"/>
            <w:noWrap w:val="0"/>
            <w:vAlign w:val="center"/>
          </w:tcPr>
          <w:p w14:paraId="41CC3CD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E1BED8C">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F7424F3">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6EE3C9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9600005">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5217F9E">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57E942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17AA4FF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CE76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0C33CF7">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7</w:t>
            </w:r>
          </w:p>
        </w:tc>
        <w:tc>
          <w:tcPr>
            <w:tcW w:w="1549" w:type="dxa"/>
            <w:noWrap w:val="0"/>
            <w:vAlign w:val="center"/>
          </w:tcPr>
          <w:p w14:paraId="33AC8B7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15BC8D83">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2A3E4B2">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3BFB2B7">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22F3D3B">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B301E32">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2558FD2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7F5BCBFC">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3B9C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35F6BB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8</w:t>
            </w:r>
          </w:p>
        </w:tc>
        <w:tc>
          <w:tcPr>
            <w:tcW w:w="1549" w:type="dxa"/>
            <w:noWrap w:val="0"/>
            <w:vAlign w:val="center"/>
          </w:tcPr>
          <w:p w14:paraId="76B8D25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B79B1F9">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0205CE4">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CB5E3D3">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B8F2902">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4BAC50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3C272E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0DCA29D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8F58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E07B12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9</w:t>
            </w:r>
          </w:p>
        </w:tc>
        <w:tc>
          <w:tcPr>
            <w:tcW w:w="1549" w:type="dxa"/>
            <w:noWrap w:val="0"/>
            <w:vAlign w:val="center"/>
          </w:tcPr>
          <w:p w14:paraId="0809586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69E80EF">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7C51A1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F07BA5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AB8AF51">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F351B33">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A2F8BAE">
            <w:pPr>
              <w:spacing w:line="360" w:lineRule="auto"/>
              <w:rPr>
                <w:rFonts w:hint="eastAsia" w:ascii="宋体" w:hAnsi="宋体" w:cs="宋体"/>
                <w:color w:val="auto"/>
                <w:sz w:val="21"/>
                <w:szCs w:val="21"/>
                <w:highlight w:val="none"/>
              </w:rPr>
            </w:pPr>
          </w:p>
        </w:tc>
        <w:tc>
          <w:tcPr>
            <w:tcW w:w="828" w:type="dxa"/>
            <w:noWrap w:val="0"/>
            <w:vAlign w:val="top"/>
          </w:tcPr>
          <w:p w14:paraId="22ED4BB0">
            <w:pPr>
              <w:spacing w:line="360" w:lineRule="auto"/>
              <w:rPr>
                <w:rFonts w:hint="eastAsia" w:ascii="宋体" w:hAnsi="宋体" w:cs="宋体"/>
                <w:color w:val="auto"/>
                <w:sz w:val="21"/>
                <w:szCs w:val="21"/>
                <w:highlight w:val="none"/>
              </w:rPr>
            </w:pPr>
          </w:p>
        </w:tc>
      </w:tr>
      <w:tr w14:paraId="306B1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615FDFF">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10</w:t>
            </w:r>
          </w:p>
        </w:tc>
        <w:tc>
          <w:tcPr>
            <w:tcW w:w="1549" w:type="dxa"/>
            <w:noWrap w:val="0"/>
            <w:vAlign w:val="center"/>
          </w:tcPr>
          <w:p w14:paraId="033C438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1AC7A07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B10E60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87235A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3CBB182">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1144E48">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E6063A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1CA6C9D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F25D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576139EB">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11</w:t>
            </w:r>
          </w:p>
        </w:tc>
        <w:tc>
          <w:tcPr>
            <w:tcW w:w="1549" w:type="dxa"/>
            <w:noWrap w:val="0"/>
            <w:vAlign w:val="center"/>
          </w:tcPr>
          <w:p w14:paraId="71B0508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785F6BE">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234F146">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8C85936">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014CD670">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9C21578">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8B76CEB">
            <w:pPr>
              <w:spacing w:line="360" w:lineRule="auto"/>
              <w:rPr>
                <w:rFonts w:hint="eastAsia" w:ascii="宋体" w:hAnsi="宋体" w:cs="宋体"/>
                <w:color w:val="auto"/>
                <w:sz w:val="21"/>
                <w:szCs w:val="21"/>
                <w:highlight w:val="none"/>
              </w:rPr>
            </w:pPr>
          </w:p>
        </w:tc>
        <w:tc>
          <w:tcPr>
            <w:tcW w:w="828" w:type="dxa"/>
            <w:noWrap w:val="0"/>
            <w:vAlign w:val="top"/>
          </w:tcPr>
          <w:p w14:paraId="79D87DBC">
            <w:pPr>
              <w:spacing w:line="360" w:lineRule="auto"/>
              <w:rPr>
                <w:rFonts w:hint="eastAsia" w:ascii="宋体" w:hAnsi="宋体" w:cs="宋体"/>
                <w:color w:val="auto"/>
                <w:sz w:val="21"/>
                <w:szCs w:val="21"/>
                <w:highlight w:val="none"/>
              </w:rPr>
            </w:pPr>
          </w:p>
        </w:tc>
      </w:tr>
      <w:tr w14:paraId="77DE7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57388377">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12</w:t>
            </w:r>
          </w:p>
        </w:tc>
        <w:tc>
          <w:tcPr>
            <w:tcW w:w="1549" w:type="dxa"/>
            <w:noWrap w:val="0"/>
            <w:vAlign w:val="center"/>
          </w:tcPr>
          <w:p w14:paraId="7AB94FE9">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20734F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356DF3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3C54A03">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FECF26C">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756562DD">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42A5A6A">
            <w:pPr>
              <w:spacing w:line="360" w:lineRule="auto"/>
              <w:rPr>
                <w:rFonts w:hint="eastAsia" w:ascii="宋体" w:hAnsi="宋体" w:cs="宋体"/>
                <w:color w:val="auto"/>
                <w:sz w:val="21"/>
                <w:szCs w:val="21"/>
                <w:highlight w:val="none"/>
              </w:rPr>
            </w:pPr>
          </w:p>
        </w:tc>
        <w:tc>
          <w:tcPr>
            <w:tcW w:w="828" w:type="dxa"/>
            <w:noWrap w:val="0"/>
            <w:vAlign w:val="top"/>
          </w:tcPr>
          <w:p w14:paraId="28E040F5">
            <w:pPr>
              <w:spacing w:line="360" w:lineRule="auto"/>
              <w:rPr>
                <w:rFonts w:hint="eastAsia" w:ascii="宋体" w:hAnsi="宋体" w:cs="宋体"/>
                <w:color w:val="auto"/>
                <w:sz w:val="21"/>
                <w:szCs w:val="21"/>
                <w:highlight w:val="none"/>
              </w:rPr>
            </w:pPr>
          </w:p>
        </w:tc>
      </w:tr>
      <w:tr w14:paraId="55FD2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DC9FC64">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13</w:t>
            </w:r>
          </w:p>
        </w:tc>
        <w:tc>
          <w:tcPr>
            <w:tcW w:w="1549" w:type="dxa"/>
            <w:noWrap w:val="0"/>
            <w:vAlign w:val="center"/>
          </w:tcPr>
          <w:p w14:paraId="0C3E7FD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5DA9059">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555E443">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1189396">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427BB54">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DCC5776">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5E84743">
            <w:pPr>
              <w:spacing w:line="360" w:lineRule="auto"/>
              <w:rPr>
                <w:rFonts w:hint="eastAsia" w:ascii="宋体" w:hAnsi="宋体" w:cs="宋体"/>
                <w:color w:val="auto"/>
                <w:sz w:val="21"/>
                <w:szCs w:val="21"/>
                <w:highlight w:val="none"/>
              </w:rPr>
            </w:pPr>
          </w:p>
        </w:tc>
        <w:tc>
          <w:tcPr>
            <w:tcW w:w="828" w:type="dxa"/>
            <w:noWrap w:val="0"/>
            <w:vAlign w:val="top"/>
          </w:tcPr>
          <w:p w14:paraId="7F677A93">
            <w:pPr>
              <w:spacing w:line="360" w:lineRule="auto"/>
              <w:rPr>
                <w:rFonts w:hint="eastAsia" w:ascii="宋体" w:hAnsi="宋体" w:cs="宋体"/>
                <w:color w:val="auto"/>
                <w:sz w:val="21"/>
                <w:szCs w:val="21"/>
                <w:highlight w:val="none"/>
              </w:rPr>
            </w:pPr>
          </w:p>
        </w:tc>
      </w:tr>
      <w:tr w14:paraId="18922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4C2A1AF">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14</w:t>
            </w:r>
          </w:p>
        </w:tc>
        <w:tc>
          <w:tcPr>
            <w:tcW w:w="1549" w:type="dxa"/>
            <w:noWrap w:val="0"/>
            <w:vAlign w:val="center"/>
          </w:tcPr>
          <w:p w14:paraId="23C45AA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8B0EF66">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5701059">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84A02CC">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D9A94F2">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15EA4A7A">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0AE7456F">
            <w:pPr>
              <w:spacing w:line="360" w:lineRule="auto"/>
              <w:rPr>
                <w:rFonts w:hint="eastAsia" w:ascii="宋体" w:hAnsi="宋体" w:cs="宋体"/>
                <w:color w:val="auto"/>
                <w:sz w:val="21"/>
                <w:szCs w:val="21"/>
                <w:highlight w:val="none"/>
              </w:rPr>
            </w:pPr>
          </w:p>
        </w:tc>
        <w:tc>
          <w:tcPr>
            <w:tcW w:w="828" w:type="dxa"/>
            <w:noWrap w:val="0"/>
            <w:vAlign w:val="top"/>
          </w:tcPr>
          <w:p w14:paraId="67B30E0B">
            <w:pPr>
              <w:spacing w:line="360" w:lineRule="auto"/>
              <w:rPr>
                <w:rFonts w:hint="eastAsia" w:ascii="宋体" w:hAnsi="宋体" w:cs="宋体"/>
                <w:color w:val="auto"/>
                <w:sz w:val="21"/>
                <w:szCs w:val="21"/>
                <w:highlight w:val="none"/>
              </w:rPr>
            </w:pPr>
          </w:p>
        </w:tc>
      </w:tr>
      <w:tr w14:paraId="22AB0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A7F1CD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15</w:t>
            </w:r>
          </w:p>
        </w:tc>
        <w:tc>
          <w:tcPr>
            <w:tcW w:w="1549" w:type="dxa"/>
            <w:noWrap w:val="0"/>
            <w:vAlign w:val="center"/>
          </w:tcPr>
          <w:p w14:paraId="27D1DF64">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0ACFB3A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2F045D6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EC29BC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6FAAB6B">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70268FF8">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6BBCCAB6">
            <w:pPr>
              <w:spacing w:line="360" w:lineRule="auto"/>
              <w:rPr>
                <w:rFonts w:hint="eastAsia" w:ascii="宋体" w:hAnsi="宋体" w:cs="宋体"/>
                <w:color w:val="auto"/>
                <w:sz w:val="21"/>
                <w:szCs w:val="21"/>
                <w:highlight w:val="none"/>
              </w:rPr>
            </w:pPr>
          </w:p>
        </w:tc>
        <w:tc>
          <w:tcPr>
            <w:tcW w:w="828" w:type="dxa"/>
            <w:noWrap w:val="0"/>
            <w:vAlign w:val="top"/>
          </w:tcPr>
          <w:p w14:paraId="48211678">
            <w:pPr>
              <w:spacing w:line="360" w:lineRule="auto"/>
              <w:rPr>
                <w:rFonts w:hint="eastAsia" w:ascii="宋体" w:hAnsi="宋体" w:cs="宋体"/>
                <w:color w:val="auto"/>
                <w:sz w:val="21"/>
                <w:szCs w:val="21"/>
                <w:highlight w:val="none"/>
              </w:rPr>
            </w:pPr>
          </w:p>
        </w:tc>
      </w:tr>
      <w:tr w14:paraId="75409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7FBCE9A">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16</w:t>
            </w:r>
          </w:p>
        </w:tc>
        <w:tc>
          <w:tcPr>
            <w:tcW w:w="1549" w:type="dxa"/>
            <w:noWrap w:val="0"/>
            <w:vAlign w:val="center"/>
          </w:tcPr>
          <w:p w14:paraId="552A484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541F4C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60005668">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6669E220">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noWrap w:val="0"/>
            <w:vAlign w:val="center"/>
          </w:tcPr>
          <w:p w14:paraId="77AE2492">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D272E4B">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07A71E5D">
            <w:pPr>
              <w:spacing w:line="360" w:lineRule="auto"/>
              <w:rPr>
                <w:rFonts w:hint="eastAsia" w:ascii="宋体" w:hAnsi="宋体" w:cs="宋体"/>
                <w:color w:val="auto"/>
                <w:sz w:val="21"/>
                <w:szCs w:val="21"/>
                <w:highlight w:val="none"/>
              </w:rPr>
            </w:pPr>
          </w:p>
        </w:tc>
        <w:tc>
          <w:tcPr>
            <w:tcW w:w="828" w:type="dxa"/>
            <w:noWrap w:val="0"/>
            <w:vAlign w:val="top"/>
          </w:tcPr>
          <w:p w14:paraId="18297D38">
            <w:pPr>
              <w:spacing w:line="360" w:lineRule="auto"/>
              <w:rPr>
                <w:rFonts w:hint="eastAsia" w:ascii="宋体" w:hAnsi="宋体" w:cs="宋体"/>
                <w:color w:val="auto"/>
                <w:sz w:val="21"/>
                <w:szCs w:val="21"/>
                <w:highlight w:val="none"/>
              </w:rPr>
            </w:pPr>
          </w:p>
        </w:tc>
      </w:tr>
      <w:tr w14:paraId="1D69C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097B347">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17</w:t>
            </w:r>
          </w:p>
        </w:tc>
        <w:tc>
          <w:tcPr>
            <w:tcW w:w="1549" w:type="dxa"/>
            <w:noWrap w:val="0"/>
            <w:vAlign w:val="center"/>
          </w:tcPr>
          <w:p w14:paraId="217DFF8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A7A90DD">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2BA1983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C3041B7">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DFF03A5">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2E35B6A5">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6093C277">
            <w:pPr>
              <w:spacing w:line="360" w:lineRule="auto"/>
              <w:rPr>
                <w:rFonts w:hint="eastAsia" w:ascii="宋体" w:hAnsi="宋体" w:cs="宋体"/>
                <w:color w:val="auto"/>
                <w:sz w:val="21"/>
                <w:szCs w:val="21"/>
                <w:highlight w:val="none"/>
              </w:rPr>
            </w:pPr>
          </w:p>
        </w:tc>
        <w:tc>
          <w:tcPr>
            <w:tcW w:w="828" w:type="dxa"/>
            <w:noWrap w:val="0"/>
            <w:vAlign w:val="top"/>
          </w:tcPr>
          <w:p w14:paraId="1492E5A9">
            <w:pPr>
              <w:spacing w:line="360" w:lineRule="auto"/>
              <w:rPr>
                <w:rFonts w:hint="eastAsia" w:ascii="宋体" w:hAnsi="宋体" w:cs="宋体"/>
                <w:color w:val="auto"/>
                <w:sz w:val="21"/>
                <w:szCs w:val="21"/>
                <w:highlight w:val="none"/>
              </w:rPr>
            </w:pPr>
          </w:p>
        </w:tc>
      </w:tr>
      <w:tr w14:paraId="5F579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F198025">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18</w:t>
            </w:r>
          </w:p>
        </w:tc>
        <w:tc>
          <w:tcPr>
            <w:tcW w:w="1549" w:type="dxa"/>
            <w:noWrap w:val="0"/>
            <w:vAlign w:val="center"/>
          </w:tcPr>
          <w:p w14:paraId="60D59B3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4F51DED">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3A49860F">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79D9F1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7AD19802">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06AAC526">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DE3EB2A">
            <w:pPr>
              <w:spacing w:line="360" w:lineRule="auto"/>
              <w:rPr>
                <w:rFonts w:hint="eastAsia" w:ascii="宋体" w:hAnsi="宋体" w:cs="宋体"/>
                <w:color w:val="auto"/>
                <w:sz w:val="21"/>
                <w:szCs w:val="21"/>
                <w:highlight w:val="none"/>
              </w:rPr>
            </w:pPr>
          </w:p>
        </w:tc>
        <w:tc>
          <w:tcPr>
            <w:tcW w:w="828" w:type="dxa"/>
            <w:noWrap w:val="0"/>
            <w:vAlign w:val="top"/>
          </w:tcPr>
          <w:p w14:paraId="6CD7E1D4">
            <w:pPr>
              <w:spacing w:line="360" w:lineRule="auto"/>
              <w:rPr>
                <w:rFonts w:hint="eastAsia" w:ascii="宋体" w:hAnsi="宋体" w:cs="宋体"/>
                <w:color w:val="auto"/>
                <w:sz w:val="21"/>
                <w:szCs w:val="21"/>
                <w:highlight w:val="none"/>
              </w:rPr>
            </w:pPr>
          </w:p>
        </w:tc>
      </w:tr>
      <w:tr w14:paraId="478F2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BD796B7">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19</w:t>
            </w:r>
          </w:p>
        </w:tc>
        <w:tc>
          <w:tcPr>
            <w:tcW w:w="1549" w:type="dxa"/>
            <w:noWrap w:val="0"/>
            <w:vAlign w:val="center"/>
          </w:tcPr>
          <w:p w14:paraId="1EECC906">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AE905F4">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016E031E">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0CE47D6">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6D2B668">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02311EC3">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FC7EBF3">
            <w:pPr>
              <w:spacing w:line="360" w:lineRule="auto"/>
              <w:rPr>
                <w:rFonts w:hint="eastAsia" w:ascii="宋体" w:hAnsi="宋体" w:cs="宋体"/>
                <w:color w:val="auto"/>
                <w:sz w:val="21"/>
                <w:szCs w:val="21"/>
                <w:highlight w:val="none"/>
              </w:rPr>
            </w:pPr>
          </w:p>
        </w:tc>
        <w:tc>
          <w:tcPr>
            <w:tcW w:w="828" w:type="dxa"/>
            <w:noWrap w:val="0"/>
            <w:vAlign w:val="top"/>
          </w:tcPr>
          <w:p w14:paraId="2DBBF7B5">
            <w:pPr>
              <w:spacing w:line="360" w:lineRule="auto"/>
              <w:rPr>
                <w:rFonts w:hint="eastAsia" w:ascii="宋体" w:hAnsi="宋体" w:cs="宋体"/>
                <w:color w:val="auto"/>
                <w:sz w:val="21"/>
                <w:szCs w:val="21"/>
                <w:highlight w:val="none"/>
              </w:rPr>
            </w:pPr>
          </w:p>
        </w:tc>
      </w:tr>
      <w:tr w14:paraId="5AEDC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F0DCFAC">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20</w:t>
            </w:r>
          </w:p>
        </w:tc>
        <w:tc>
          <w:tcPr>
            <w:tcW w:w="1549" w:type="dxa"/>
            <w:noWrap w:val="0"/>
            <w:vAlign w:val="center"/>
          </w:tcPr>
          <w:p w14:paraId="098C09C0">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8F9A485">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2C6EF0F0">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A29919B">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46013617">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252C30AF">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1763A3F1">
            <w:pPr>
              <w:spacing w:line="360" w:lineRule="auto"/>
              <w:rPr>
                <w:rFonts w:hint="eastAsia" w:ascii="宋体" w:hAnsi="宋体" w:cs="宋体"/>
                <w:color w:val="auto"/>
                <w:sz w:val="21"/>
                <w:szCs w:val="21"/>
                <w:highlight w:val="none"/>
              </w:rPr>
            </w:pPr>
          </w:p>
        </w:tc>
        <w:tc>
          <w:tcPr>
            <w:tcW w:w="828" w:type="dxa"/>
            <w:noWrap w:val="0"/>
            <w:vAlign w:val="top"/>
          </w:tcPr>
          <w:p w14:paraId="57F19A39">
            <w:pPr>
              <w:spacing w:line="360" w:lineRule="auto"/>
              <w:rPr>
                <w:rFonts w:hint="eastAsia" w:ascii="宋体" w:hAnsi="宋体" w:cs="宋体"/>
                <w:color w:val="auto"/>
                <w:sz w:val="21"/>
                <w:szCs w:val="21"/>
                <w:highlight w:val="none"/>
              </w:rPr>
            </w:pPr>
          </w:p>
        </w:tc>
      </w:tr>
    </w:tbl>
    <w:p w14:paraId="0D455A3C">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52" w:name="_Toc296503228"/>
      <w:bookmarkStart w:id="453" w:name="_Toc296347227"/>
      <w:bookmarkStart w:id="454" w:name="_Toc296891268"/>
      <w:bookmarkStart w:id="455" w:name="_Toc296891056"/>
      <w:bookmarkStart w:id="456" w:name="_Toc296346729"/>
      <w:bookmarkStart w:id="457" w:name="_Toc296944567"/>
      <w:bookmarkStart w:id="458" w:name="_Toc267261699"/>
      <w:r>
        <w:rPr>
          <w:rFonts w:hint="eastAsia" w:ascii="宋体" w:hAnsi="宋体" w:cs="宋体"/>
          <w:b/>
          <w:color w:val="auto"/>
          <w:sz w:val="21"/>
          <w:szCs w:val="21"/>
          <w:highlight w:val="none"/>
        </w:rPr>
        <w:t>件5：</w:t>
      </w:r>
    </w:p>
    <w:bookmarkEnd w:id="452"/>
    <w:bookmarkEnd w:id="453"/>
    <w:bookmarkEnd w:id="454"/>
    <w:bookmarkEnd w:id="455"/>
    <w:bookmarkEnd w:id="456"/>
    <w:bookmarkEnd w:id="457"/>
    <w:bookmarkEnd w:id="458"/>
    <w:p w14:paraId="1E86DB42">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承包人主要施工管理人员表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4EA46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noWrap w:val="0"/>
            <w:vAlign w:val="center"/>
          </w:tcPr>
          <w:p w14:paraId="70C68A7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名    称</w:t>
            </w:r>
          </w:p>
        </w:tc>
        <w:tc>
          <w:tcPr>
            <w:tcW w:w="1279" w:type="dxa"/>
            <w:tcBorders>
              <w:top w:val="single" w:color="auto" w:sz="12" w:space="0"/>
              <w:bottom w:val="double" w:color="auto" w:sz="6" w:space="0"/>
            </w:tcBorders>
            <w:noWrap w:val="0"/>
            <w:vAlign w:val="center"/>
          </w:tcPr>
          <w:p w14:paraId="6259B93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姓名</w:t>
            </w:r>
          </w:p>
        </w:tc>
        <w:tc>
          <w:tcPr>
            <w:tcW w:w="1022" w:type="dxa"/>
            <w:tcBorders>
              <w:top w:val="single" w:color="auto" w:sz="12" w:space="0"/>
              <w:bottom w:val="double" w:color="auto" w:sz="6" w:space="0"/>
            </w:tcBorders>
            <w:noWrap w:val="0"/>
            <w:vAlign w:val="center"/>
          </w:tcPr>
          <w:p w14:paraId="756BB215">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职务</w:t>
            </w:r>
          </w:p>
        </w:tc>
        <w:tc>
          <w:tcPr>
            <w:tcW w:w="1022" w:type="dxa"/>
            <w:tcBorders>
              <w:top w:val="single" w:color="auto" w:sz="12" w:space="0"/>
              <w:bottom w:val="double" w:color="auto" w:sz="6" w:space="0"/>
            </w:tcBorders>
            <w:noWrap w:val="0"/>
            <w:vAlign w:val="center"/>
          </w:tcPr>
          <w:p w14:paraId="6B7AB39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职称</w:t>
            </w:r>
          </w:p>
        </w:tc>
        <w:tc>
          <w:tcPr>
            <w:tcW w:w="3833" w:type="dxa"/>
            <w:tcBorders>
              <w:top w:val="single" w:color="auto" w:sz="12" w:space="0"/>
              <w:bottom w:val="double" w:color="auto" w:sz="6" w:space="0"/>
            </w:tcBorders>
            <w:noWrap w:val="0"/>
            <w:vAlign w:val="center"/>
          </w:tcPr>
          <w:p w14:paraId="0A93871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主要资历、经验及承担过的项目</w:t>
            </w:r>
          </w:p>
        </w:tc>
      </w:tr>
      <w:tr w14:paraId="253E3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noWrap w:val="0"/>
            <w:vAlign w:val="center"/>
          </w:tcPr>
          <w:p w14:paraId="5C31C336">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一、总部人员</w:t>
            </w:r>
          </w:p>
        </w:tc>
      </w:tr>
      <w:tr w14:paraId="60C68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1186CA5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项目主管</w:t>
            </w:r>
          </w:p>
        </w:tc>
        <w:tc>
          <w:tcPr>
            <w:tcW w:w="1279" w:type="dxa"/>
            <w:tcBorders>
              <w:top w:val="nil"/>
            </w:tcBorders>
            <w:noWrap w:val="0"/>
            <w:vAlign w:val="center"/>
          </w:tcPr>
          <w:p w14:paraId="281A5213">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3CFAAE2E">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4FA2431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top w:val="nil"/>
            </w:tcBorders>
            <w:noWrap w:val="0"/>
            <w:vAlign w:val="center"/>
          </w:tcPr>
          <w:p w14:paraId="6E1E592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FF55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noWrap w:val="0"/>
            <w:vAlign w:val="center"/>
          </w:tcPr>
          <w:p w14:paraId="381226C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35218B8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76B028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167508A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38D79CA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85CA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2BE6467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477FA4B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B9B4A5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C167CF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0EB7C1E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3832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noWrap w:val="0"/>
            <w:vAlign w:val="center"/>
          </w:tcPr>
          <w:p w14:paraId="1BE40FC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1B96B7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5E3B4E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9EFC6C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442409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E7B7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noWrap w:val="0"/>
            <w:vAlign w:val="center"/>
          </w:tcPr>
          <w:p w14:paraId="1FB4B73C">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二、现场人员</w:t>
            </w:r>
          </w:p>
        </w:tc>
      </w:tr>
      <w:tr w14:paraId="04D35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3D50EEA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项目经理</w:t>
            </w:r>
          </w:p>
        </w:tc>
        <w:tc>
          <w:tcPr>
            <w:tcW w:w="1279" w:type="dxa"/>
            <w:noWrap w:val="0"/>
            <w:vAlign w:val="center"/>
          </w:tcPr>
          <w:p w14:paraId="6A9B682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159312D">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F13112B">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6CFEC49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1CBB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noWrap w:val="0"/>
            <w:vAlign w:val="center"/>
          </w:tcPr>
          <w:p w14:paraId="03938620">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技术负责人</w:t>
            </w:r>
          </w:p>
        </w:tc>
        <w:tc>
          <w:tcPr>
            <w:tcW w:w="1279" w:type="dxa"/>
            <w:noWrap w:val="0"/>
            <w:vAlign w:val="center"/>
          </w:tcPr>
          <w:p w14:paraId="041EA4EC">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270642B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612A113">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3B792E9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78FA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5164666A">
            <w:pPr>
              <w:pStyle w:val="9"/>
              <w:keepNext/>
              <w:spacing w:after="0" w:line="360" w:lineRule="auto"/>
              <w:ind w:left="63" w:right="63"/>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施工管理</w:t>
            </w:r>
          </w:p>
        </w:tc>
        <w:tc>
          <w:tcPr>
            <w:tcW w:w="1279" w:type="dxa"/>
            <w:noWrap w:val="0"/>
            <w:vAlign w:val="center"/>
          </w:tcPr>
          <w:p w14:paraId="43064C68">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05A01D1">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2576415">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496C6DA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5F6A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11B47383">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质量管理</w:t>
            </w:r>
          </w:p>
        </w:tc>
        <w:tc>
          <w:tcPr>
            <w:tcW w:w="1279" w:type="dxa"/>
            <w:noWrap w:val="0"/>
            <w:vAlign w:val="center"/>
          </w:tcPr>
          <w:p w14:paraId="6F65ECAB">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B360E75">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AA63479">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129F39B4">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9F8B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395E67F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安全管理</w:t>
            </w:r>
          </w:p>
        </w:tc>
        <w:tc>
          <w:tcPr>
            <w:tcW w:w="1279" w:type="dxa"/>
            <w:noWrap w:val="0"/>
            <w:vAlign w:val="center"/>
          </w:tcPr>
          <w:p w14:paraId="0C439767">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956D7E5">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49509FB0">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72034EB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9380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13D00AC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21579D3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7CEB35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F7A345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2281A08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1D56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26BBFC7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281C0F10">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FF51CF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5DF0D6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304B6C9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2D60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0A02283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30BE7EB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253F850">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E73029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5B4E8D7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8C0B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noWrap w:val="0"/>
            <w:vAlign w:val="center"/>
          </w:tcPr>
          <w:p w14:paraId="26064C7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4151F1C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A3DA92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A10EEB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07BB035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F6F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257771A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nil"/>
            </w:tcBorders>
            <w:noWrap w:val="0"/>
            <w:vAlign w:val="center"/>
          </w:tcPr>
          <w:p w14:paraId="1FCF085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1A5E2BA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7824071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nil"/>
            </w:tcBorders>
            <w:noWrap w:val="0"/>
            <w:vAlign w:val="center"/>
          </w:tcPr>
          <w:p w14:paraId="1BD6AA4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201B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1F7CF7E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53057A4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6B8E1C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75E120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3FE1BD8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B37A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22CA232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3BFAA1A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9B4D7A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9EA11C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3CCB6BCC">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00FC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47D0C76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5652B40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C3827F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119C4D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4558EE9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D84E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noWrap w:val="0"/>
            <w:vAlign w:val="center"/>
          </w:tcPr>
          <w:p w14:paraId="2F42A8F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single" w:color="auto" w:sz="12" w:space="0"/>
            </w:tcBorders>
            <w:noWrap w:val="0"/>
            <w:vAlign w:val="center"/>
          </w:tcPr>
          <w:p w14:paraId="79A899A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5D68043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07F8D8F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single" w:color="auto" w:sz="12" w:space="0"/>
            </w:tcBorders>
            <w:noWrap w:val="0"/>
            <w:vAlign w:val="center"/>
          </w:tcPr>
          <w:p w14:paraId="6CBA636E">
            <w:pPr>
              <w:pStyle w:val="9"/>
              <w:keepNext/>
              <w:spacing w:after="0" w:line="360" w:lineRule="auto"/>
              <w:ind w:left="63" w:right="63"/>
              <w:rPr>
                <w:rFonts w:hint="eastAsia" w:ascii="宋体" w:hAnsi="宋体" w:cs="宋体"/>
                <w:color w:val="auto"/>
                <w:kern w:val="2"/>
                <w:sz w:val="21"/>
                <w:szCs w:val="21"/>
                <w:highlight w:val="none"/>
                <w:lang w:val="en-US" w:eastAsia="zh-CN"/>
              </w:rPr>
            </w:pPr>
          </w:p>
        </w:tc>
      </w:tr>
    </w:tbl>
    <w:p w14:paraId="455B8F0E">
      <w:pPr>
        <w:rPr>
          <w:rFonts w:asciiTheme="minorEastAsia" w:hAnsiTheme="minorEastAsia" w:eastAsiaTheme="minorEastAsia" w:cstheme="minorEastAsia"/>
          <w:b/>
          <w:color w:val="auto"/>
          <w:sz w:val="24"/>
          <w:highlight w:val="none"/>
        </w:rPr>
      </w:pPr>
    </w:p>
    <w:p w14:paraId="27FC8778">
      <w:pPr>
        <w:spacing w:line="360" w:lineRule="auto"/>
        <w:jc w:val="center"/>
        <w:rPr>
          <w:rFonts w:asciiTheme="minorEastAsia" w:hAnsiTheme="minorEastAsia" w:eastAsiaTheme="minorEastAsia" w:cstheme="minorEastAsia"/>
          <w:b/>
          <w:color w:val="auto"/>
          <w:sz w:val="24"/>
          <w:highlight w:val="none"/>
        </w:rPr>
      </w:pPr>
    </w:p>
    <w:p w14:paraId="2A732F8C">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p>
    <w:p w14:paraId="05EC5E2D">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14:paraId="1C2F7498">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649C7A5C">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0036F6D0">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6908CB9F">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26985CB7">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有效的企业法人营业执照（或事业法人登记证）、其他组织（个体工商户）的营业执照或者民办非企业单位登记证书；</w:t>
      </w:r>
    </w:p>
    <w:p w14:paraId="2FDD9178">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符合参加政府采购活动应当具备的一般条件的承诺函；</w:t>
      </w:r>
    </w:p>
    <w:p w14:paraId="3752BBCF">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落实政府采购政策需满足的资格要求</w:t>
      </w:r>
      <w:r>
        <w:rPr>
          <w:rFonts w:hint="eastAsia" w:asciiTheme="minorEastAsia" w:hAnsiTheme="minorEastAsia" w:eastAsiaTheme="minorEastAsia" w:cstheme="minorEastAsia"/>
          <w:color w:val="auto"/>
          <w:sz w:val="28"/>
          <w:szCs w:val="28"/>
          <w:highlight w:val="none"/>
          <w:lang w:eastAsia="zh-CN"/>
        </w:rPr>
        <w:t>（如有）</w:t>
      </w:r>
      <w:r>
        <w:rPr>
          <w:rFonts w:hint="eastAsia" w:asciiTheme="minorEastAsia" w:hAnsiTheme="minorEastAsia" w:eastAsiaTheme="minorEastAsia" w:cstheme="minorEastAsia"/>
          <w:color w:val="auto"/>
          <w:sz w:val="28"/>
          <w:szCs w:val="28"/>
          <w:highlight w:val="none"/>
        </w:rPr>
        <w:t>；</w:t>
      </w:r>
    </w:p>
    <w:p w14:paraId="326A8F53">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本项目的特定资格要求。</w:t>
      </w:r>
    </w:p>
    <w:p w14:paraId="69219B0D">
      <w:pPr>
        <w:pStyle w:val="35"/>
        <w:spacing w:line="360" w:lineRule="auto"/>
        <w:ind w:firstLine="480"/>
        <w:rPr>
          <w:rFonts w:asciiTheme="minorEastAsia" w:hAnsiTheme="minorEastAsia" w:eastAsiaTheme="minorEastAsia" w:cstheme="minorEastAsia"/>
          <w:color w:val="auto"/>
          <w:sz w:val="24"/>
          <w:highlight w:val="none"/>
        </w:rPr>
      </w:pPr>
    </w:p>
    <w:p w14:paraId="1D9D9A6A">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A219984">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一、 符合参加政府采购活动应当具备的一般条件的承诺函</w:t>
      </w:r>
    </w:p>
    <w:p w14:paraId="52EE6C0A">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74BB0AC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rPr>
        <w:t>政府采购活动，郑重承诺：</w:t>
      </w:r>
    </w:p>
    <w:p w14:paraId="0F84FF79">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0102087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具有独立承担民事责任的能力；</w:t>
      </w:r>
    </w:p>
    <w:p w14:paraId="4FA1B731">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具有良好的商业信誉和健全的财务会计制度； </w:t>
      </w:r>
    </w:p>
    <w:p w14:paraId="151505B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具有履行合同所必需的设备和专业技术能力；</w:t>
      </w:r>
    </w:p>
    <w:p w14:paraId="0871612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有依法缴纳税收和社会保障资金的良好记录；</w:t>
      </w:r>
    </w:p>
    <w:p w14:paraId="12E03A7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参加政府采购活动前三年内，在经营活动中没有重大违法记录；</w:t>
      </w:r>
    </w:p>
    <w:p w14:paraId="07B0AB41">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具有法律、行政法规规定的其他条件。</w:t>
      </w:r>
    </w:p>
    <w:p w14:paraId="564E27D6">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41052F9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13D7D80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单位负责人为同一人或者存在直接控股、管理关系的不同供应商参加同一合同项下的政府采购活动的；</w:t>
      </w:r>
    </w:p>
    <w:p w14:paraId="1B6A21BD">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为采购项目提供整体设计、规范编制或者项目管理、监理、检测等服务后再参加该采购项目的其他采购活动的。</w:t>
      </w:r>
    </w:p>
    <w:p w14:paraId="33872E65">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56613A53">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15865EBA">
      <w:pPr>
        <w:spacing w:line="360" w:lineRule="auto"/>
        <w:ind w:right="420" w:firstLine="5250" w:firstLineChars="25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法定代表人（签名或印章）：     </w:t>
      </w:r>
    </w:p>
    <w:p w14:paraId="0986179D">
      <w:pPr>
        <w:spacing w:line="360" w:lineRule="auto"/>
        <w:ind w:right="420" w:firstLine="5460" w:firstLineChars="2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供应商（盖章）：   </w:t>
      </w:r>
    </w:p>
    <w:p w14:paraId="6C19CD79">
      <w:pPr>
        <w:spacing w:line="360" w:lineRule="auto"/>
        <w:ind w:right="420" w:firstLine="5355" w:firstLineChars="25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    月    日</w:t>
      </w:r>
    </w:p>
    <w:p w14:paraId="68104EB8">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99B2874">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16BD6E26">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二、落实政府采购政策需满足的资格要求</w:t>
      </w:r>
    </w:p>
    <w:p w14:paraId="3FFCAE6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（根据竞争性磋商公告落实政府采购政策需满足的资格要求选择提供相应的材料；未要求的，无需提供）</w:t>
      </w:r>
    </w:p>
    <w:p w14:paraId="6387226D">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2C8FB79D">
      <w:pPr>
        <w:widowControl/>
        <w:spacing w:line="360" w:lineRule="auto"/>
        <w:ind w:firstLine="480"/>
        <w:jc w:val="left"/>
        <w:rPr>
          <w:rFonts w:asciiTheme="minorEastAsia" w:hAnsiTheme="minorEastAsia" w:eastAsiaTheme="minorEastAsia" w:cstheme="minorEastAsia"/>
          <w:color w:val="auto"/>
          <w:sz w:val="24"/>
          <w:highlight w:val="none"/>
        </w:rPr>
      </w:pPr>
    </w:p>
    <w:p w14:paraId="4C6B2332">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6991A4A2">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三、本项目的特定资格要求</w:t>
      </w:r>
    </w:p>
    <w:p w14:paraId="33760F8D">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（根据竞争性磋商公告本项目的特定资格要求提供相应的材料；未要求的，无需提供）</w:t>
      </w:r>
    </w:p>
    <w:p w14:paraId="00FB2B1B">
      <w:pPr>
        <w:spacing w:line="360" w:lineRule="auto"/>
        <w:rPr>
          <w:rFonts w:asciiTheme="minorEastAsia" w:hAnsiTheme="minorEastAsia" w:eastAsiaTheme="minorEastAsia" w:cstheme="minorEastAsia"/>
          <w:color w:val="auto"/>
          <w:highlight w:val="none"/>
        </w:rPr>
      </w:pPr>
    </w:p>
    <w:p w14:paraId="4A839449">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D05DFA2">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0D61422">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F6EA011">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F7436C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829FD96">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FC38645">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44C4455E">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2F5ED66">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053D4F7C">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5848EFC">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2CE47343">
      <w:pPr>
        <w:spacing w:line="360" w:lineRule="auto"/>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4E369FE9">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0AC3B07A">
      <w:pPr>
        <w:spacing w:line="360" w:lineRule="auto"/>
        <w:jc w:val="center"/>
        <w:outlineLvl w:val="0"/>
        <w:rPr>
          <w:rFonts w:asciiTheme="minorEastAsia" w:hAnsiTheme="minorEastAsia" w:eastAsiaTheme="minorEastAsia" w:cstheme="minorEastAsia"/>
          <w:b/>
          <w:color w:val="auto"/>
          <w:kern w:val="0"/>
          <w:sz w:val="24"/>
          <w:highlight w:val="none"/>
        </w:rPr>
      </w:pPr>
    </w:p>
    <w:p w14:paraId="193CC686">
      <w:pPr>
        <w:spacing w:line="360" w:lineRule="auto"/>
        <w:ind w:left="3990" w:leftChars="1900"/>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 录</w:t>
      </w:r>
    </w:p>
    <w:p w14:paraId="277E259A">
      <w:pPr>
        <w:snapToGrid w:val="0"/>
        <w:spacing w:line="360" w:lineRule="auto"/>
        <w:ind w:firstLine="960" w:firstLineChars="400"/>
        <w:rPr>
          <w:rFonts w:asciiTheme="minorEastAsia" w:hAnsiTheme="minorEastAsia" w:eastAsiaTheme="minorEastAsia" w:cstheme="minorEastAsia"/>
          <w:color w:val="auto"/>
          <w:sz w:val="24"/>
          <w:highlight w:val="none"/>
        </w:rPr>
      </w:pPr>
    </w:p>
    <w:p w14:paraId="735644EB">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符合性自查表；</w:t>
      </w:r>
    </w:p>
    <w:p w14:paraId="7DAA8B5E">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磋商函；</w:t>
      </w:r>
      <w:r>
        <w:rPr>
          <w:rFonts w:hint="eastAsia" w:asciiTheme="minorEastAsia" w:hAnsiTheme="minorEastAsia" w:eastAsiaTheme="minorEastAsia" w:cstheme="minorEastAsia"/>
          <w:color w:val="auto"/>
          <w:sz w:val="28"/>
          <w:szCs w:val="28"/>
          <w:highlight w:val="none"/>
          <w:lang w:val="zh-CN"/>
        </w:rPr>
        <w:t xml:space="preserve"> </w:t>
      </w:r>
    </w:p>
    <w:p w14:paraId="0BFB5ABC">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授权委托书；</w:t>
      </w:r>
    </w:p>
    <w:p w14:paraId="4BA58338">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供应商情况表；</w:t>
      </w:r>
    </w:p>
    <w:p w14:paraId="6666C7A2">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 距采购人最近或者能为本项目提供最优服务的网点情况表；</w:t>
      </w:r>
    </w:p>
    <w:p w14:paraId="24BC1293">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 评审标准相应的商务技术资料；</w:t>
      </w:r>
    </w:p>
    <w:p w14:paraId="25498D3D">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 商务偏离表；</w:t>
      </w:r>
    </w:p>
    <w:p w14:paraId="0CC52553">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 技术偏离表；</w:t>
      </w:r>
    </w:p>
    <w:p w14:paraId="73861E3B">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 同类业绩情况一览表；</w:t>
      </w:r>
    </w:p>
    <w:p w14:paraId="36049997">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 xml:space="preserve">10 </w:t>
      </w:r>
      <w:r>
        <w:rPr>
          <w:rFonts w:hint="eastAsia" w:asciiTheme="minorEastAsia" w:hAnsiTheme="minorEastAsia" w:eastAsiaTheme="minorEastAsia" w:cstheme="minorEastAsia"/>
          <w:color w:val="auto"/>
          <w:sz w:val="28"/>
          <w:szCs w:val="28"/>
          <w:highlight w:val="none"/>
          <w:lang w:val="zh-CN"/>
        </w:rPr>
        <w:t>政府采购供应商廉洁自律承诺书；</w:t>
      </w:r>
    </w:p>
    <w:p w14:paraId="4D443A5D">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 其他资料。</w:t>
      </w:r>
    </w:p>
    <w:p w14:paraId="6AA35286">
      <w:pPr>
        <w:snapToGrid w:val="0"/>
        <w:spacing w:line="360" w:lineRule="auto"/>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p>
    <w:p w14:paraId="2A51C40B">
      <w:pPr>
        <w:numPr>
          <w:ilvl w:val="0"/>
          <w:numId w:val="0"/>
        </w:numPr>
        <w:snapToGrid w:val="0"/>
        <w:spacing w:line="360" w:lineRule="auto"/>
        <w:ind w:left="2730" w:leftChars="0" w:firstLine="0" w:firstLineChars="0"/>
        <w:jc w:val="left"/>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en-US" w:eastAsia="zh-CN" w:bidi="ar-SA"/>
        </w:rPr>
        <w:t>一、</w:t>
      </w:r>
      <w:r>
        <w:rPr>
          <w:rFonts w:hint="eastAsia" w:asciiTheme="minorEastAsia" w:hAnsiTheme="minorEastAsia" w:eastAsiaTheme="minorEastAsia" w:cstheme="minorEastAsia"/>
          <w:b/>
          <w:color w:val="auto"/>
          <w:kern w:val="0"/>
          <w:sz w:val="32"/>
          <w:szCs w:val="32"/>
          <w:highlight w:val="none"/>
        </w:rPr>
        <w:t>符合性自查表</w:t>
      </w:r>
    </w:p>
    <w:tbl>
      <w:tblPr>
        <w:tblStyle w:val="24"/>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0FDE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63EF64DE">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544" w:type="dxa"/>
            <w:vAlign w:val="center"/>
          </w:tcPr>
          <w:p w14:paraId="5923B072">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693" w:type="dxa"/>
            <w:vAlign w:val="center"/>
          </w:tcPr>
          <w:p w14:paraId="36D8681F">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76" w:type="dxa"/>
            <w:vAlign w:val="center"/>
          </w:tcPr>
          <w:p w14:paraId="0883922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自查结论</w:t>
            </w:r>
          </w:p>
        </w:tc>
        <w:tc>
          <w:tcPr>
            <w:tcW w:w="1979" w:type="dxa"/>
            <w:vAlign w:val="center"/>
          </w:tcPr>
          <w:p w14:paraId="257B479C">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0BC525B4">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2E7B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0F11C877">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544" w:type="dxa"/>
            <w:vAlign w:val="center"/>
          </w:tcPr>
          <w:p w14:paraId="2760BA0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响应文件按照采购文件要求签署、盖章。</w:t>
            </w:r>
          </w:p>
        </w:tc>
        <w:tc>
          <w:tcPr>
            <w:tcW w:w="2693" w:type="dxa"/>
            <w:vAlign w:val="center"/>
          </w:tcPr>
          <w:p w14:paraId="6E29AD0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276" w:type="dxa"/>
            <w:vAlign w:val="center"/>
          </w:tcPr>
          <w:p w14:paraId="1AD5B7F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4FD3E99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683A518F">
            <w:pPr>
              <w:spacing w:line="360" w:lineRule="auto"/>
              <w:rPr>
                <w:rFonts w:asciiTheme="minorEastAsia" w:hAnsiTheme="minorEastAsia" w:eastAsiaTheme="minorEastAsia" w:cstheme="minorEastAsia"/>
                <w:color w:val="auto"/>
                <w:sz w:val="24"/>
                <w:highlight w:val="none"/>
              </w:rPr>
            </w:pPr>
          </w:p>
          <w:p w14:paraId="4A2316D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5EC0928A">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2AC1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0D5D3941">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544" w:type="dxa"/>
            <w:vAlign w:val="center"/>
          </w:tcPr>
          <w:p w14:paraId="2898849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响应文件中承诺的响应有效期不少于采购文件中载明的响应有效期。</w:t>
            </w:r>
          </w:p>
        </w:tc>
        <w:tc>
          <w:tcPr>
            <w:tcW w:w="2693" w:type="dxa"/>
            <w:vAlign w:val="center"/>
          </w:tcPr>
          <w:p w14:paraId="331DA65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磋商函</w:t>
            </w:r>
          </w:p>
        </w:tc>
        <w:tc>
          <w:tcPr>
            <w:tcW w:w="1276" w:type="dxa"/>
            <w:vAlign w:val="center"/>
          </w:tcPr>
          <w:p w14:paraId="599A04D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0E1F72A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506C9093">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2514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2AC99744">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544" w:type="dxa"/>
            <w:vAlign w:val="center"/>
          </w:tcPr>
          <w:p w14:paraId="3093BB0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响应文件满足采购文件的其它实质性要求。</w:t>
            </w:r>
          </w:p>
        </w:tc>
        <w:tc>
          <w:tcPr>
            <w:tcW w:w="2693" w:type="dxa"/>
            <w:vAlign w:val="center"/>
          </w:tcPr>
          <w:p w14:paraId="653C00E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采购文件其它实质性要求相应的材料（“▲” 系指实质性要求条款，采购文件无其它实质性要求的，无需提供）</w:t>
            </w:r>
          </w:p>
        </w:tc>
        <w:tc>
          <w:tcPr>
            <w:tcW w:w="1276" w:type="dxa"/>
            <w:vAlign w:val="center"/>
          </w:tcPr>
          <w:p w14:paraId="378C830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2E23EDD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7491B81E">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72B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3A97CF7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544" w:type="dxa"/>
            <w:vAlign w:val="center"/>
          </w:tcPr>
          <w:p w14:paraId="70F5B6E4">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响应文件没有采购文件中规定的其它无效响应条款的。</w:t>
            </w:r>
          </w:p>
        </w:tc>
        <w:tc>
          <w:tcPr>
            <w:tcW w:w="2693" w:type="dxa"/>
            <w:vAlign w:val="center"/>
          </w:tcPr>
          <w:p w14:paraId="2B9EA5C6">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7253AD3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50E5490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178CB95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4711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7EB07341">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544" w:type="dxa"/>
            <w:vAlign w:val="center"/>
          </w:tcPr>
          <w:p w14:paraId="42A4D269">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按有关法律、法规、规章不属于响应无效的。</w:t>
            </w:r>
          </w:p>
        </w:tc>
        <w:tc>
          <w:tcPr>
            <w:tcW w:w="2693" w:type="dxa"/>
            <w:vAlign w:val="center"/>
          </w:tcPr>
          <w:p w14:paraId="02896C8F">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2BCD1CF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526D731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632D44E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653AF385">
      <w:pPr>
        <w:snapToGrid w:val="0"/>
        <w:spacing w:line="360" w:lineRule="auto"/>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4D84A925">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48AD4FD1">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3F804A8F">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387D1E58">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24DA9406">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6967B74E">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63B38A52">
      <w:pPr>
        <w:numPr>
          <w:ilvl w:val="0"/>
          <w:numId w:val="0"/>
        </w:numPr>
        <w:snapToGrid w:val="0"/>
        <w:spacing w:line="360" w:lineRule="auto"/>
        <w:ind w:left="2730" w:leftChars="0" w:firstLine="0" w:firstLineChars="0"/>
        <w:jc w:val="both"/>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2"/>
          <w:sz w:val="32"/>
          <w:szCs w:val="32"/>
          <w:highlight w:val="none"/>
          <w:lang w:val="en-US" w:eastAsia="zh-CN" w:bidi="ar-SA"/>
        </w:rPr>
        <w:t>二、</w:t>
      </w:r>
      <w:r>
        <w:rPr>
          <w:rFonts w:hint="eastAsia" w:asciiTheme="minorEastAsia" w:hAnsiTheme="minorEastAsia" w:eastAsiaTheme="minorEastAsia" w:cstheme="minorEastAsia"/>
          <w:b/>
          <w:color w:val="auto"/>
          <w:kern w:val="0"/>
          <w:sz w:val="32"/>
          <w:szCs w:val="32"/>
          <w:highlight w:val="none"/>
          <w:lang w:val="en-US" w:eastAsia="zh-CN"/>
        </w:rPr>
        <w:t xml:space="preserve"> </w:t>
      </w:r>
      <w:r>
        <w:rPr>
          <w:rFonts w:hint="eastAsia" w:asciiTheme="minorEastAsia" w:hAnsiTheme="minorEastAsia" w:eastAsiaTheme="minorEastAsia" w:cstheme="minorEastAsia"/>
          <w:b/>
          <w:color w:val="auto"/>
          <w:kern w:val="0"/>
          <w:sz w:val="32"/>
          <w:szCs w:val="32"/>
          <w:highlight w:val="none"/>
        </w:rPr>
        <w:t>磋商</w:t>
      </w:r>
      <w:r>
        <w:rPr>
          <w:rFonts w:hint="eastAsia" w:asciiTheme="minorEastAsia" w:hAnsiTheme="minorEastAsia" w:eastAsiaTheme="minorEastAsia" w:cstheme="minorEastAsia"/>
          <w:b/>
          <w:color w:val="auto"/>
          <w:sz w:val="32"/>
          <w:szCs w:val="32"/>
          <w:highlight w:val="none"/>
        </w:rPr>
        <w:t>函</w:t>
      </w:r>
    </w:p>
    <w:p w14:paraId="73AB83E2">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4046C83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采购活动，并对此项目进行磋商响应。为此：</w:t>
      </w:r>
    </w:p>
    <w:p w14:paraId="3FE38BB3">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我方承诺响应有效期从提交响应文件的截止之日起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本响应文件在响应有效期满之前均具有约束力。</w:t>
      </w:r>
    </w:p>
    <w:p w14:paraId="5C040631">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我方的响应文件包括以下内容：</w:t>
      </w:r>
    </w:p>
    <w:p w14:paraId="0281D2D3">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5FB4F5D9">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2.1.1有效的企业法人营业执照（或事业法人登记证）、其他组织（个体工商户）的营业执照或者民办非企业单位登记证书；</w:t>
      </w:r>
    </w:p>
    <w:p w14:paraId="736C75CB">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2.1.2符合参加政府采购活动应当具备的一般条件的承诺函；</w:t>
      </w:r>
    </w:p>
    <w:p w14:paraId="64F8B5B8">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0A088DAB">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187FCF7D">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26F5496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符合性自查表；</w:t>
      </w:r>
    </w:p>
    <w:p w14:paraId="49A6D726">
      <w:pPr>
        <w:snapToGrid w:val="0"/>
        <w:spacing w:line="360" w:lineRule="auto"/>
        <w:ind w:left="420" w:leftChars="200" w:firstLine="48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rPr>
        <w:t>2.2.2 磋商函；</w:t>
      </w:r>
      <w:r>
        <w:rPr>
          <w:rFonts w:hint="eastAsia" w:asciiTheme="minorEastAsia" w:hAnsiTheme="minorEastAsia" w:eastAsiaTheme="minorEastAsia" w:cstheme="minorEastAsia"/>
          <w:color w:val="auto"/>
          <w:sz w:val="24"/>
          <w:highlight w:val="none"/>
          <w:lang w:val="zh-CN"/>
        </w:rPr>
        <w:t xml:space="preserve"> </w:t>
      </w:r>
    </w:p>
    <w:p w14:paraId="0C5FE628">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 授权委托书；</w:t>
      </w:r>
    </w:p>
    <w:p w14:paraId="268046DC">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 供应商情况表；</w:t>
      </w:r>
    </w:p>
    <w:p w14:paraId="16FE0225">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 距采购人最近或者能为本项目提供最优服务的网点情况表；</w:t>
      </w:r>
    </w:p>
    <w:p w14:paraId="56063320">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 评审标准相应的商务技术资料；</w:t>
      </w:r>
    </w:p>
    <w:p w14:paraId="4F3ADB58">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 商务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0CB4E7CA">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 技术</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213C6FD4">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9 同类业绩情况一览表；</w:t>
      </w:r>
    </w:p>
    <w:p w14:paraId="109B6321">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2.2.10 </w:t>
      </w:r>
      <w:r>
        <w:rPr>
          <w:rFonts w:hint="eastAsia" w:asciiTheme="minorEastAsia" w:hAnsiTheme="minorEastAsia" w:eastAsiaTheme="minorEastAsia" w:cstheme="minorEastAsia"/>
          <w:color w:val="auto"/>
          <w:sz w:val="24"/>
          <w:highlight w:val="none"/>
          <w:lang w:val="zh-CN"/>
        </w:rPr>
        <w:t>政府采购供应商廉洁自律承诺书；</w:t>
      </w:r>
    </w:p>
    <w:p w14:paraId="544BE12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其他资料。</w:t>
      </w:r>
    </w:p>
    <w:p w14:paraId="40810921">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446D7DBA">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报价一览表；</w:t>
      </w:r>
    </w:p>
    <w:p w14:paraId="6FE9270E">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2.3.2中小企业声明函（如有）；</w:t>
      </w:r>
    </w:p>
    <w:p w14:paraId="5CF965B8">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 残疾人福利性单位声明函（如有）；</w:t>
      </w:r>
    </w:p>
    <w:p w14:paraId="4CA192ED">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 监狱企业的证明文件（如有）；</w:t>
      </w:r>
    </w:p>
    <w:p w14:paraId="03FC23A3">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 政府采购统计基础信息表。</w:t>
      </w:r>
    </w:p>
    <w:p w14:paraId="477227D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我方承诺除商务技术偏离表列出的偏离外，我方响应采购文件的全部要求。</w:t>
      </w:r>
    </w:p>
    <w:p w14:paraId="396A966C">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如我方成交，我方承诺：</w:t>
      </w:r>
    </w:p>
    <w:p w14:paraId="7718D563">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03D85DF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087C1E03">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4.3按照采购文件要求提交履约保证金； </w:t>
      </w:r>
    </w:p>
    <w:p w14:paraId="297CC463">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6C333DF3">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0E4CF8CE">
      <w:pPr>
        <w:spacing w:line="360" w:lineRule="auto"/>
        <w:ind w:firstLine="3600" w:firstLineChars="1500"/>
        <w:rPr>
          <w:rFonts w:asciiTheme="minorEastAsia" w:hAnsiTheme="minorEastAsia" w:eastAsiaTheme="minorEastAsia" w:cstheme="minorEastAsia"/>
          <w:color w:val="auto"/>
          <w:sz w:val="24"/>
          <w:highlight w:val="none"/>
        </w:rPr>
      </w:pPr>
    </w:p>
    <w:p w14:paraId="34C9B50E">
      <w:pPr>
        <w:spacing w:line="360" w:lineRule="auto"/>
        <w:ind w:firstLine="3600" w:firstLineChars="1500"/>
        <w:rPr>
          <w:rFonts w:asciiTheme="minorEastAsia" w:hAnsiTheme="minorEastAsia" w:eastAsiaTheme="minorEastAsia" w:cstheme="minorEastAsia"/>
          <w:color w:val="auto"/>
          <w:sz w:val="24"/>
          <w:highlight w:val="none"/>
        </w:rPr>
      </w:pPr>
    </w:p>
    <w:p w14:paraId="6597CF20">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法定代表人（签名或印章）：     </w:t>
      </w:r>
    </w:p>
    <w:p w14:paraId="5C71C11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供应商（盖章）：   </w:t>
      </w:r>
    </w:p>
    <w:p w14:paraId="071F470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14142055">
      <w:pPr>
        <w:spacing w:line="360" w:lineRule="auto"/>
        <w:jc w:val="center"/>
        <w:rPr>
          <w:rFonts w:asciiTheme="minorEastAsia" w:hAnsiTheme="minorEastAsia" w:eastAsiaTheme="minorEastAsia" w:cstheme="minorEastAsia"/>
          <w:b/>
          <w:color w:val="auto"/>
          <w:kern w:val="0"/>
          <w:sz w:val="32"/>
          <w:szCs w:val="32"/>
          <w:highlight w:val="none"/>
        </w:rPr>
      </w:pPr>
    </w:p>
    <w:p w14:paraId="26E50755">
      <w:pPr>
        <w:spacing w:line="360" w:lineRule="auto"/>
        <w:jc w:val="center"/>
        <w:rPr>
          <w:rFonts w:asciiTheme="minorEastAsia" w:hAnsiTheme="minorEastAsia" w:eastAsiaTheme="minorEastAsia" w:cstheme="minorEastAsia"/>
          <w:b/>
          <w:color w:val="auto"/>
          <w:kern w:val="0"/>
          <w:sz w:val="32"/>
          <w:szCs w:val="32"/>
          <w:highlight w:val="none"/>
          <w:lang w:val="zh-CN"/>
        </w:rPr>
      </w:pPr>
    </w:p>
    <w:p w14:paraId="03DA01E9">
      <w:pPr>
        <w:spacing w:line="360" w:lineRule="auto"/>
        <w:rPr>
          <w:rFonts w:asciiTheme="minorEastAsia" w:hAnsiTheme="minorEastAsia" w:eastAsiaTheme="minorEastAsia" w:cstheme="minorEastAsia"/>
          <w:b/>
          <w:color w:val="auto"/>
          <w:sz w:val="32"/>
          <w:szCs w:val="32"/>
          <w:highlight w:val="none"/>
        </w:rPr>
      </w:pPr>
      <w:bookmarkStart w:id="459" w:name="_Toc488936100"/>
      <w:bookmarkStart w:id="460" w:name="_Toc479927873"/>
      <w:bookmarkStart w:id="461" w:name="_Toc483379796"/>
      <w:bookmarkStart w:id="462" w:name="_Toc14746861"/>
      <w:bookmarkStart w:id="463" w:name="_Toc110393361"/>
      <w:bookmarkStart w:id="464" w:name="_Toc225223761"/>
    </w:p>
    <w:p w14:paraId="36159935">
      <w:pPr>
        <w:numPr>
          <w:ilvl w:val="0"/>
          <w:numId w:val="0"/>
        </w:numPr>
        <w:snapToGrid w:val="0"/>
        <w:spacing w:line="360" w:lineRule="auto"/>
        <w:ind w:left="2730" w:leftChars="0" w:firstLine="0" w:firstLineChars="0"/>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 xml:space="preserve">   三、</w:t>
      </w:r>
      <w:r>
        <w:rPr>
          <w:rFonts w:hint="eastAsia" w:asciiTheme="minorEastAsia" w:hAnsiTheme="minorEastAsia" w:eastAsiaTheme="minorEastAsia" w:cstheme="minorEastAsia"/>
          <w:b/>
          <w:color w:val="auto"/>
          <w:kern w:val="0"/>
          <w:sz w:val="32"/>
          <w:szCs w:val="32"/>
          <w:highlight w:val="none"/>
          <w:lang w:val="zh-CN"/>
        </w:rPr>
        <w:t>授权委托书</w:t>
      </w:r>
    </w:p>
    <w:p w14:paraId="5522846D">
      <w:pPr>
        <w:spacing w:line="44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法定代表人授权委托书</w:t>
      </w:r>
    </w:p>
    <w:p w14:paraId="68CF330A">
      <w:pPr>
        <w:spacing w:line="44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24"/>
          <w:highlight w:val="none"/>
        </w:rPr>
        <w:t>（法定代表人来参加磋商采购活动的，此表不用）</w:t>
      </w:r>
    </w:p>
    <w:p w14:paraId="3C6DD84B">
      <w:pPr>
        <w:snapToGrid w:val="0"/>
        <w:spacing w:line="360" w:lineRule="auto"/>
        <w:rPr>
          <w:rFonts w:asciiTheme="minorEastAsia" w:hAnsiTheme="minorEastAsia" w:eastAsiaTheme="minorEastAsia" w:cstheme="minorEastAsia"/>
          <w:bCs/>
          <w:color w:val="auto"/>
          <w:sz w:val="24"/>
          <w:highlight w:val="none"/>
        </w:rPr>
      </w:pPr>
    </w:p>
    <w:p w14:paraId="4AA9CC06">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（采购单位名称）</w:t>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color w:val="auto"/>
          <w:szCs w:val="21"/>
          <w:highlight w:val="none"/>
        </w:rPr>
        <w:t>：</w:t>
      </w:r>
    </w:p>
    <w:p w14:paraId="4504F71E">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（供应商名称）的法定代表人，现授权委托本单位在职职工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（姓名）以我方的名义参加</w:t>
      </w:r>
      <w:r>
        <w:rPr>
          <w:rFonts w:hint="eastAsia" w:asciiTheme="minorEastAsia" w:hAnsiTheme="minorEastAsia" w:eastAsiaTheme="minorEastAsia" w:cstheme="minorEastAsia"/>
          <w:color w:val="auto"/>
          <w:szCs w:val="21"/>
          <w:highlight w:val="none"/>
          <w:u w:val="single"/>
        </w:rPr>
        <w:t xml:space="preserve">                       政府采购 </w:t>
      </w:r>
      <w:r>
        <w:rPr>
          <w:rFonts w:hint="eastAsia" w:asciiTheme="minorEastAsia" w:hAnsiTheme="minorEastAsia" w:eastAsiaTheme="minorEastAsia" w:cstheme="minorEastAsia"/>
          <w:color w:val="auto"/>
          <w:szCs w:val="21"/>
          <w:highlight w:val="none"/>
        </w:rPr>
        <w:t>项目的磋商采购活动，并代表我方全权办理针对上述项目的磋商、评审、签约等具体事务和签署相关文件。</w:t>
      </w:r>
    </w:p>
    <w:p w14:paraId="7C6E55C4">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我方对被授权人的签名事项负全部责任。</w:t>
      </w:r>
    </w:p>
    <w:p w14:paraId="26910E43">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在撤销授权的书面通知以前，本授权书一直有效。被授权人在授权书有效期内签署的所有文件不因授权的撤销而失效。</w:t>
      </w:r>
    </w:p>
    <w:p w14:paraId="50CB8EA4">
      <w:pPr>
        <w:snapToGrid w:val="0"/>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被授权人无转委托权，特此委托。</w:t>
      </w:r>
    </w:p>
    <w:p w14:paraId="03919989">
      <w:pPr>
        <w:snapToGrid w:val="0"/>
        <w:spacing w:line="360" w:lineRule="auto"/>
        <w:rPr>
          <w:rFonts w:asciiTheme="minorEastAsia" w:hAnsiTheme="minorEastAsia" w:eastAsiaTheme="minorEastAsia" w:cstheme="minorEastAsia"/>
          <w:color w:val="auto"/>
          <w:szCs w:val="21"/>
          <w:highlight w:val="none"/>
        </w:rPr>
      </w:pPr>
    </w:p>
    <w:p w14:paraId="21175499">
      <w:pPr>
        <w:snapToGrid w:val="0"/>
        <w:spacing w:line="360" w:lineRule="auto"/>
        <w:rPr>
          <w:rFonts w:asciiTheme="minorEastAsia" w:hAnsiTheme="minorEastAsia" w:eastAsiaTheme="minorEastAsia" w:cstheme="minorEastAsia"/>
          <w:color w:val="auto"/>
          <w:szCs w:val="21"/>
          <w:highlight w:val="none"/>
        </w:rPr>
      </w:pPr>
    </w:p>
    <w:p w14:paraId="4FB5C421">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被授权人签名或印章：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法定代表人签名或印章：</w:t>
      </w:r>
      <w:r>
        <w:rPr>
          <w:rFonts w:hint="eastAsia" w:asciiTheme="minorEastAsia" w:hAnsiTheme="minorEastAsia" w:eastAsiaTheme="minorEastAsia" w:cstheme="minorEastAsia"/>
          <w:color w:val="auto"/>
          <w:szCs w:val="21"/>
          <w:highlight w:val="none"/>
          <w:u w:val="single"/>
        </w:rPr>
        <w:t xml:space="preserve">          </w:t>
      </w:r>
    </w:p>
    <w:p w14:paraId="7FF18655">
      <w:pP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职务：</w:t>
      </w:r>
      <w:r>
        <w:rPr>
          <w:rFonts w:hint="eastAsia" w:asciiTheme="minorEastAsia" w:hAnsiTheme="minorEastAsia" w:eastAsiaTheme="minorEastAsia" w:cstheme="minorEastAsia"/>
          <w:color w:val="auto"/>
          <w:szCs w:val="21"/>
          <w:highlight w:val="none"/>
          <w:u w:val="single"/>
        </w:rPr>
        <w:t xml:space="preserve">           </w:t>
      </w:r>
    </w:p>
    <w:p w14:paraId="36A52BBA">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被授权人身份证号码：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1380D91">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700E9C29">
      <w:pPr>
        <w:snapToGrid w:val="0"/>
        <w:spacing w:line="360" w:lineRule="auto"/>
        <w:rPr>
          <w:rFonts w:asciiTheme="minorEastAsia" w:hAnsiTheme="minorEastAsia" w:eastAsiaTheme="minorEastAsia" w:cstheme="minorEastAsia"/>
          <w:color w:val="auto"/>
          <w:szCs w:val="21"/>
          <w:highlight w:val="none"/>
        </w:rPr>
      </w:pPr>
    </w:p>
    <w:p w14:paraId="114EBEEF">
      <w:pPr>
        <w:spacing w:line="360" w:lineRule="auto"/>
        <w:ind w:firstLine="4830" w:firstLineChars="2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供应商（盖章）：</w:t>
      </w:r>
    </w:p>
    <w:p w14:paraId="0122FF22">
      <w:pPr>
        <w:spacing w:line="360" w:lineRule="auto"/>
        <w:ind w:firstLine="1260" w:firstLineChars="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日期：</w:t>
      </w:r>
    </w:p>
    <w:p w14:paraId="2863976D">
      <w:pPr>
        <w:spacing w:line="360" w:lineRule="auto"/>
        <w:rPr>
          <w:rFonts w:asciiTheme="minorEastAsia" w:hAnsiTheme="minorEastAsia" w:eastAsiaTheme="minorEastAsia" w:cstheme="minorEastAsia"/>
          <w:b/>
          <w:color w:val="auto"/>
          <w:szCs w:val="21"/>
          <w:highlight w:val="none"/>
        </w:rPr>
      </w:pPr>
    </w:p>
    <w:p w14:paraId="7670EF70">
      <w:pPr>
        <w:spacing w:line="360" w:lineRule="auto"/>
        <w:rPr>
          <w:rFonts w:asciiTheme="minorEastAsia" w:hAnsiTheme="minorEastAsia" w:eastAsiaTheme="minorEastAsia" w:cstheme="minorEastAsia"/>
          <w:b/>
          <w:color w:val="auto"/>
          <w:szCs w:val="21"/>
          <w:highlight w:val="none"/>
        </w:rPr>
      </w:pPr>
    </w:p>
    <w:p w14:paraId="2BD74255">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附：法定代表人身份证复印件（正反面）、授权代表身份证复印件（正反面）：</w:t>
      </w:r>
    </w:p>
    <w:p w14:paraId="297A6F32">
      <w:pPr>
        <w:snapToGrid w:val="0"/>
        <w:spacing w:line="360" w:lineRule="auto"/>
        <w:rPr>
          <w:rFonts w:asciiTheme="minorEastAsia" w:hAnsiTheme="minorEastAsia" w:eastAsiaTheme="minorEastAsia" w:cstheme="minorEastAsia"/>
          <w:color w:val="auto"/>
          <w:sz w:val="24"/>
          <w:highlight w:val="none"/>
        </w:rPr>
      </w:pPr>
    </w:p>
    <w:p w14:paraId="42B4C134">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p>
    <w:p w14:paraId="7E0DB39C">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highlight w:val="none"/>
          <w:lang w:val="en-US" w:eastAsia="zh-CN"/>
        </w:rPr>
        <w:t>四、</w:t>
      </w:r>
      <w:r>
        <w:rPr>
          <w:rFonts w:hint="eastAsia" w:asciiTheme="minorEastAsia" w:hAnsiTheme="minorEastAsia" w:eastAsiaTheme="minorEastAsia" w:cstheme="minorEastAsia"/>
          <w:b/>
          <w:color w:val="auto"/>
          <w:kern w:val="0"/>
          <w:sz w:val="32"/>
          <w:szCs w:val="32"/>
          <w:highlight w:val="none"/>
          <w:lang w:val="zh-CN"/>
        </w:rPr>
        <w:t>供应商基本情况表</w:t>
      </w:r>
    </w:p>
    <w:tbl>
      <w:tblPr>
        <w:tblStyle w:val="2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6069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409C41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p>
        </w:tc>
        <w:tc>
          <w:tcPr>
            <w:tcW w:w="7647" w:type="dxa"/>
            <w:gridSpan w:val="5"/>
            <w:vAlign w:val="center"/>
          </w:tcPr>
          <w:p w14:paraId="3EFAA92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EEA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31D820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注册地址</w:t>
            </w:r>
          </w:p>
        </w:tc>
        <w:tc>
          <w:tcPr>
            <w:tcW w:w="2809" w:type="dxa"/>
            <w:gridSpan w:val="2"/>
            <w:vAlign w:val="center"/>
          </w:tcPr>
          <w:p w14:paraId="0E8E9D5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0D81017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成立时间</w:t>
            </w:r>
          </w:p>
        </w:tc>
        <w:tc>
          <w:tcPr>
            <w:tcW w:w="3052" w:type="dxa"/>
            <w:gridSpan w:val="2"/>
            <w:vAlign w:val="center"/>
          </w:tcPr>
          <w:p w14:paraId="35E95E4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715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A5D9F0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统一信用代码</w:t>
            </w:r>
          </w:p>
        </w:tc>
        <w:tc>
          <w:tcPr>
            <w:tcW w:w="2809" w:type="dxa"/>
            <w:gridSpan w:val="2"/>
            <w:vAlign w:val="center"/>
          </w:tcPr>
          <w:p w14:paraId="0950E15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7EE0811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注册资金</w:t>
            </w:r>
          </w:p>
        </w:tc>
        <w:tc>
          <w:tcPr>
            <w:tcW w:w="3052" w:type="dxa"/>
            <w:gridSpan w:val="2"/>
            <w:vAlign w:val="center"/>
          </w:tcPr>
          <w:p w14:paraId="0B95CD3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E60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115CE9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供应商授权代表联系人姓名</w:t>
            </w:r>
          </w:p>
        </w:tc>
        <w:tc>
          <w:tcPr>
            <w:tcW w:w="1936" w:type="dxa"/>
            <w:vAlign w:val="center"/>
          </w:tcPr>
          <w:p w14:paraId="6591FF1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51CA06A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59FC537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4C73622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49CD4A8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CEA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C68A08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法定代表人姓名</w:t>
            </w:r>
          </w:p>
        </w:tc>
        <w:tc>
          <w:tcPr>
            <w:tcW w:w="1936" w:type="dxa"/>
            <w:vAlign w:val="center"/>
          </w:tcPr>
          <w:p w14:paraId="23106DA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3F48671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388FFE6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4ECA145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7AB0D77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FBC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F6938F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项目负责人姓名</w:t>
            </w:r>
          </w:p>
        </w:tc>
        <w:tc>
          <w:tcPr>
            <w:tcW w:w="1936" w:type="dxa"/>
            <w:vAlign w:val="center"/>
          </w:tcPr>
          <w:p w14:paraId="7964668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4E406A8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0B95FC8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7DA5F00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技术职称</w:t>
            </w:r>
          </w:p>
        </w:tc>
        <w:tc>
          <w:tcPr>
            <w:tcW w:w="1852" w:type="dxa"/>
            <w:vAlign w:val="center"/>
          </w:tcPr>
          <w:p w14:paraId="1FC94AB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980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1F3630C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936" w:type="dxa"/>
            <w:vMerge w:val="restart"/>
            <w:vAlign w:val="center"/>
          </w:tcPr>
          <w:p w14:paraId="7955CE3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restart"/>
            <w:vAlign w:val="center"/>
          </w:tcPr>
          <w:p w14:paraId="1888AF9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w:t>
            </w:r>
          </w:p>
        </w:tc>
        <w:tc>
          <w:tcPr>
            <w:tcW w:w="1786" w:type="dxa"/>
            <w:vAlign w:val="center"/>
          </w:tcPr>
          <w:p w14:paraId="75459E1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高级职称</w:t>
            </w:r>
          </w:p>
        </w:tc>
        <w:tc>
          <w:tcPr>
            <w:tcW w:w="3052" w:type="dxa"/>
            <w:gridSpan w:val="2"/>
            <w:vAlign w:val="center"/>
          </w:tcPr>
          <w:p w14:paraId="6EFE1A9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541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66994FE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15B57A6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25F0D39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74119A9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中级职称</w:t>
            </w:r>
          </w:p>
        </w:tc>
        <w:tc>
          <w:tcPr>
            <w:tcW w:w="3052" w:type="dxa"/>
            <w:gridSpan w:val="2"/>
            <w:vAlign w:val="center"/>
          </w:tcPr>
          <w:p w14:paraId="336A71C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94D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8BC855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3FED541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495E7B9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6E9F3F9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各类注册人员</w:t>
            </w:r>
          </w:p>
        </w:tc>
        <w:tc>
          <w:tcPr>
            <w:tcW w:w="3052" w:type="dxa"/>
            <w:gridSpan w:val="2"/>
            <w:vAlign w:val="center"/>
          </w:tcPr>
          <w:p w14:paraId="51E004F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0C2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8DFEFA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基本账户开户银行</w:t>
            </w:r>
          </w:p>
        </w:tc>
        <w:tc>
          <w:tcPr>
            <w:tcW w:w="7647" w:type="dxa"/>
            <w:gridSpan w:val="5"/>
            <w:vAlign w:val="center"/>
          </w:tcPr>
          <w:p w14:paraId="2F5483D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BDC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401CC5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基本账户账号</w:t>
            </w:r>
          </w:p>
        </w:tc>
        <w:tc>
          <w:tcPr>
            <w:tcW w:w="7647" w:type="dxa"/>
            <w:gridSpan w:val="5"/>
            <w:vAlign w:val="center"/>
          </w:tcPr>
          <w:p w14:paraId="1FC896A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FC1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046924B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经营范围</w:t>
            </w:r>
          </w:p>
        </w:tc>
        <w:tc>
          <w:tcPr>
            <w:tcW w:w="7647" w:type="dxa"/>
            <w:gridSpan w:val="5"/>
            <w:vAlign w:val="center"/>
          </w:tcPr>
          <w:p w14:paraId="6E62A1A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1B8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262F7A3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w:t>
            </w:r>
          </w:p>
        </w:tc>
        <w:tc>
          <w:tcPr>
            <w:tcW w:w="7647" w:type="dxa"/>
            <w:gridSpan w:val="5"/>
            <w:vAlign w:val="center"/>
          </w:tcPr>
          <w:p w14:paraId="357057F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76050DEE">
      <w:pPr>
        <w:adjustRightInd w:val="0"/>
        <w:snapToGrid w:val="0"/>
        <w:spacing w:line="360" w:lineRule="auto"/>
        <w:ind w:firstLine="482"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兹证明上述声明是真实、正确的，并提供了全部能提供的资料和数据，我们同意遵照贵方要求出示有关证明文件。</w:t>
      </w:r>
    </w:p>
    <w:p w14:paraId="735F0C2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14:paraId="5BDF51FB">
      <w:pPr>
        <w:pStyle w:val="35"/>
        <w:spacing w:line="360" w:lineRule="auto"/>
        <w:ind w:firstLine="560"/>
        <w:rPr>
          <w:rFonts w:asciiTheme="minorEastAsia" w:hAnsiTheme="minorEastAsia" w:eastAsiaTheme="minorEastAsia" w:cstheme="minorEastAsia"/>
          <w:color w:val="auto"/>
          <w:highlight w:val="none"/>
          <w:lang w:val="zh-CN"/>
        </w:rPr>
      </w:pPr>
    </w:p>
    <w:p w14:paraId="224308DE">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44EB5AE5">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893857C">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08F20B25">
      <w:pPr>
        <w:numPr>
          <w:ilvl w:val="0"/>
          <w:numId w:val="0"/>
        </w:numPr>
        <w:snapToGrid w:val="0"/>
        <w:spacing w:line="360" w:lineRule="auto"/>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五、</w:t>
      </w:r>
      <w:r>
        <w:rPr>
          <w:rFonts w:hint="eastAsia" w:asciiTheme="minorEastAsia" w:hAnsiTheme="minorEastAsia" w:eastAsiaTheme="minorEastAsia" w:cstheme="minorEastAsia"/>
          <w:b/>
          <w:color w:val="auto"/>
          <w:kern w:val="0"/>
          <w:sz w:val="32"/>
          <w:szCs w:val="32"/>
          <w:highlight w:val="none"/>
          <w:lang w:val="zh-CN"/>
        </w:rPr>
        <w:t>距采购人最近或者能为本项目提供最优服务的网点情况表</w:t>
      </w:r>
    </w:p>
    <w:p w14:paraId="6BD0163A">
      <w:pPr>
        <w:spacing w:line="360" w:lineRule="auto"/>
        <w:rPr>
          <w:rFonts w:asciiTheme="minorEastAsia" w:hAnsiTheme="minorEastAsia" w:eastAsiaTheme="minorEastAsia" w:cstheme="minorEastAsia"/>
          <w:color w:val="auto"/>
          <w:highlight w:val="none"/>
        </w:rPr>
      </w:pPr>
    </w:p>
    <w:tbl>
      <w:tblPr>
        <w:tblStyle w:val="24"/>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53A96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CC53CD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348781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9E22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3594EF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C9CF76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CB75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29299A6">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4E3B3CF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014DF13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4E3313D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6253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FD648D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6E29287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3D8E555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67D1A10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2D2D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AE998E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FA80EB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4EEA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48133C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01F97C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E191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29DAF0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685180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A043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4F34C0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B4F7D1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67DD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BCB82C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B6C93E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D9FA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890F7D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30A0659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06A32B2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483C2E0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C7BF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28C7DB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025F7C3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4572BD8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620BC44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794CEA86">
      <w:pPr>
        <w:spacing w:line="360" w:lineRule="auto"/>
        <w:rPr>
          <w:rFonts w:asciiTheme="minorEastAsia" w:hAnsiTheme="minorEastAsia" w:eastAsiaTheme="minorEastAsia" w:cstheme="minorEastAsia"/>
          <w:color w:val="auto"/>
          <w:highlight w:val="none"/>
        </w:rPr>
      </w:pPr>
    </w:p>
    <w:p w14:paraId="05B9B384">
      <w:pPr>
        <w:spacing w:line="360" w:lineRule="auto"/>
        <w:rPr>
          <w:rFonts w:asciiTheme="minorEastAsia" w:hAnsiTheme="minorEastAsia" w:eastAsiaTheme="minorEastAsia" w:cstheme="minorEastAsia"/>
          <w:color w:val="auto"/>
          <w:highlight w:val="none"/>
        </w:rPr>
      </w:pPr>
    </w:p>
    <w:p w14:paraId="2C74950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rPr>
        <w:t xml:space="preserve">       </w:t>
      </w:r>
    </w:p>
    <w:p w14:paraId="04B3C872">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6FF558BA">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59E405EC">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7C00FFEC">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六、</w:t>
      </w:r>
      <w:r>
        <w:rPr>
          <w:rFonts w:hint="eastAsia" w:asciiTheme="minorEastAsia" w:hAnsiTheme="minorEastAsia" w:eastAsiaTheme="minorEastAsia" w:cstheme="minorEastAsia"/>
          <w:b/>
          <w:color w:val="auto"/>
          <w:kern w:val="0"/>
          <w:sz w:val="32"/>
          <w:szCs w:val="32"/>
          <w:highlight w:val="none"/>
          <w:lang w:val="zh-CN"/>
        </w:rPr>
        <w:t>评审标准相应的商务技术资料</w:t>
      </w:r>
    </w:p>
    <w:p w14:paraId="6EE0FCCE">
      <w:pPr>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（按采购文件第四部分评审办法前附表中“响应文件中评审标准相应的商务技术资料目录”提供资料）</w:t>
      </w:r>
    </w:p>
    <w:p w14:paraId="40BB7A5C">
      <w:pPr>
        <w:pStyle w:val="35"/>
        <w:ind w:firstLine="560"/>
        <w:rPr>
          <w:rFonts w:asciiTheme="minorEastAsia" w:hAnsiTheme="minorEastAsia" w:eastAsiaTheme="minorEastAsia" w:cstheme="minorEastAsia"/>
          <w:color w:val="auto"/>
          <w:highlight w:val="none"/>
          <w:lang w:val="zh-CN"/>
        </w:rPr>
      </w:pPr>
    </w:p>
    <w:p w14:paraId="5B0A8F00">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七、</w:t>
      </w:r>
      <w:r>
        <w:rPr>
          <w:rFonts w:hint="eastAsia" w:asciiTheme="minorEastAsia" w:hAnsiTheme="minorEastAsia" w:eastAsiaTheme="minorEastAsia" w:cstheme="minorEastAsia"/>
          <w:b/>
          <w:color w:val="auto"/>
          <w:kern w:val="0"/>
          <w:sz w:val="32"/>
          <w:szCs w:val="32"/>
          <w:highlight w:val="none"/>
          <w:lang w:val="zh-CN"/>
        </w:rPr>
        <w:t>商务</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tbl>
      <w:tblPr>
        <w:tblStyle w:val="25"/>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042"/>
        <w:gridCol w:w="1166"/>
        <w:gridCol w:w="1414"/>
      </w:tblGrid>
      <w:tr w14:paraId="72FF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7105605">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6042" w:type="dxa"/>
            <w:vAlign w:val="center"/>
          </w:tcPr>
          <w:p w14:paraId="3A1E114D">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c>
          <w:tcPr>
            <w:tcW w:w="1166" w:type="dxa"/>
            <w:vAlign w:val="center"/>
          </w:tcPr>
          <w:p w14:paraId="6C88A225">
            <w:pPr>
              <w:spacing w:before="156" w:beforeLines="50"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是否响应</w:t>
            </w:r>
          </w:p>
        </w:tc>
        <w:tc>
          <w:tcPr>
            <w:tcW w:w="1414" w:type="dxa"/>
            <w:vAlign w:val="center"/>
          </w:tcPr>
          <w:p w14:paraId="150FE671">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投标人承诺或说明</w:t>
            </w:r>
          </w:p>
        </w:tc>
      </w:tr>
      <w:tr w14:paraId="3C56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7280DAD">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1</w:t>
            </w:r>
          </w:p>
        </w:tc>
        <w:tc>
          <w:tcPr>
            <w:tcW w:w="6042" w:type="dxa"/>
            <w:vAlign w:val="center"/>
          </w:tcPr>
          <w:p w14:paraId="0BB003C8">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c>
          <w:tcPr>
            <w:tcW w:w="1166" w:type="dxa"/>
          </w:tcPr>
          <w:p w14:paraId="77ABA95B">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11F2276B">
            <w:pPr>
              <w:spacing w:line="360" w:lineRule="auto"/>
              <w:jc w:val="center"/>
              <w:rPr>
                <w:rFonts w:asciiTheme="minorEastAsia" w:hAnsiTheme="minorEastAsia" w:eastAsiaTheme="minorEastAsia" w:cstheme="minorEastAsia"/>
                <w:b/>
                <w:color w:val="auto"/>
                <w:kern w:val="0"/>
                <w:sz w:val="32"/>
                <w:szCs w:val="32"/>
                <w:highlight w:val="none"/>
              </w:rPr>
            </w:pPr>
          </w:p>
        </w:tc>
      </w:tr>
      <w:tr w14:paraId="2940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46DAAEE">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2</w:t>
            </w:r>
          </w:p>
        </w:tc>
        <w:tc>
          <w:tcPr>
            <w:tcW w:w="6042" w:type="dxa"/>
            <w:vAlign w:val="center"/>
          </w:tcPr>
          <w:p w14:paraId="01B4D81B">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679F5F27">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安全等级要求：合格</w:t>
            </w:r>
          </w:p>
        </w:tc>
        <w:tc>
          <w:tcPr>
            <w:tcW w:w="1166" w:type="dxa"/>
          </w:tcPr>
          <w:p w14:paraId="3273B157">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6650AF0F">
            <w:pPr>
              <w:spacing w:line="360" w:lineRule="auto"/>
              <w:jc w:val="center"/>
              <w:rPr>
                <w:rFonts w:asciiTheme="minorEastAsia" w:hAnsiTheme="minorEastAsia" w:eastAsiaTheme="minorEastAsia" w:cstheme="minorEastAsia"/>
                <w:b/>
                <w:color w:val="auto"/>
                <w:kern w:val="0"/>
                <w:sz w:val="32"/>
                <w:szCs w:val="32"/>
                <w:highlight w:val="none"/>
              </w:rPr>
            </w:pPr>
          </w:p>
        </w:tc>
      </w:tr>
      <w:tr w14:paraId="2027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0C6352E">
            <w:pPr>
              <w:spacing w:before="156" w:beforeLines="50" w:line="240" w:lineRule="auto"/>
              <w:jc w:val="center"/>
              <w:rPr>
                <w:rFonts w:hint="eastAsia" w:asciiTheme="minorEastAsia" w:hAnsiTheme="minorEastAsia" w:eastAsiaTheme="minorEastAsia" w:cstheme="minorEastAsia"/>
                <w:color w:val="auto"/>
                <w:kern w:val="0"/>
                <w:sz w:val="24"/>
                <w:highlight w:val="none"/>
                <w:lang w:eastAsia="zh-CN"/>
              </w:rPr>
            </w:pPr>
            <w:r>
              <w:rPr>
                <w:rFonts w:hint="eastAsia" w:ascii="宋体" w:hAnsi="宋体" w:eastAsia="宋体" w:cs="宋体"/>
                <w:b w:val="0"/>
                <w:bCs/>
                <w:color w:val="auto"/>
                <w:sz w:val="21"/>
                <w:szCs w:val="21"/>
                <w:highlight w:val="none"/>
                <w:lang w:val="en-US" w:eastAsia="zh-CN"/>
              </w:rPr>
              <w:t>3</w:t>
            </w:r>
          </w:p>
        </w:tc>
        <w:tc>
          <w:tcPr>
            <w:tcW w:w="6042" w:type="dxa"/>
            <w:vAlign w:val="center"/>
          </w:tcPr>
          <w:p w14:paraId="099E0866">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年。</w:t>
            </w:r>
          </w:p>
        </w:tc>
        <w:tc>
          <w:tcPr>
            <w:tcW w:w="1166" w:type="dxa"/>
          </w:tcPr>
          <w:p w14:paraId="7475DB87">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61113B97">
            <w:pPr>
              <w:spacing w:line="360" w:lineRule="auto"/>
              <w:jc w:val="center"/>
              <w:rPr>
                <w:rFonts w:asciiTheme="minorEastAsia" w:hAnsiTheme="minorEastAsia" w:eastAsiaTheme="minorEastAsia" w:cstheme="minorEastAsia"/>
                <w:b/>
                <w:color w:val="auto"/>
                <w:kern w:val="0"/>
                <w:sz w:val="32"/>
                <w:szCs w:val="32"/>
                <w:highlight w:val="none"/>
              </w:rPr>
            </w:pPr>
          </w:p>
        </w:tc>
      </w:tr>
      <w:tr w14:paraId="0527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BF5FCD2">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5</w:t>
            </w:r>
          </w:p>
        </w:tc>
        <w:tc>
          <w:tcPr>
            <w:tcW w:w="6042" w:type="dxa"/>
            <w:vAlign w:val="center"/>
          </w:tcPr>
          <w:p w14:paraId="77E20069">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w:t>
            </w:r>
          </w:p>
        </w:tc>
        <w:tc>
          <w:tcPr>
            <w:tcW w:w="1166" w:type="dxa"/>
          </w:tcPr>
          <w:p w14:paraId="5746B550">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7B23A67A">
            <w:pPr>
              <w:spacing w:line="360" w:lineRule="auto"/>
              <w:jc w:val="center"/>
              <w:rPr>
                <w:rFonts w:asciiTheme="minorEastAsia" w:hAnsiTheme="minorEastAsia" w:eastAsiaTheme="minorEastAsia" w:cstheme="minorEastAsia"/>
                <w:b/>
                <w:color w:val="auto"/>
                <w:kern w:val="0"/>
                <w:sz w:val="32"/>
                <w:szCs w:val="32"/>
                <w:highlight w:val="none"/>
              </w:rPr>
            </w:pPr>
          </w:p>
        </w:tc>
      </w:tr>
      <w:tr w14:paraId="7EF0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75D8596">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6</w:t>
            </w:r>
          </w:p>
        </w:tc>
        <w:tc>
          <w:tcPr>
            <w:tcW w:w="6042" w:type="dxa"/>
            <w:vAlign w:val="center"/>
          </w:tcPr>
          <w:p w14:paraId="617F038C">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90</w:t>
            </w:r>
            <w:r>
              <w:rPr>
                <w:rFonts w:hint="eastAsia" w:ascii="宋体" w:hAnsi="宋体" w:eastAsia="宋体" w:cs="宋体"/>
                <w:b w:val="0"/>
                <w:bCs/>
                <w:color w:val="auto"/>
                <w:sz w:val="21"/>
                <w:szCs w:val="21"/>
                <w:highlight w:val="none"/>
                <w:lang w:val="en-US" w:eastAsia="zh-CN"/>
              </w:rPr>
              <w:t>日历天内完工</w:t>
            </w:r>
          </w:p>
          <w:p w14:paraId="7968BFD6">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cs="宋体"/>
                <w:bCs/>
                <w:color w:val="auto"/>
                <w:szCs w:val="21"/>
                <w:highlight w:val="none"/>
              </w:rPr>
              <w:t>施工地点：业主指定地点。</w:t>
            </w:r>
          </w:p>
        </w:tc>
        <w:tc>
          <w:tcPr>
            <w:tcW w:w="1166" w:type="dxa"/>
          </w:tcPr>
          <w:p w14:paraId="2973B5DC">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327FEDB6">
            <w:pPr>
              <w:spacing w:line="360" w:lineRule="auto"/>
              <w:jc w:val="center"/>
              <w:rPr>
                <w:rFonts w:asciiTheme="minorEastAsia" w:hAnsiTheme="minorEastAsia" w:eastAsiaTheme="minorEastAsia" w:cstheme="minorEastAsia"/>
                <w:b/>
                <w:color w:val="auto"/>
                <w:kern w:val="0"/>
                <w:sz w:val="32"/>
                <w:szCs w:val="32"/>
                <w:highlight w:val="none"/>
              </w:rPr>
            </w:pPr>
          </w:p>
        </w:tc>
      </w:tr>
      <w:tr w14:paraId="46E6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F5EB377">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7</w:t>
            </w:r>
          </w:p>
        </w:tc>
        <w:tc>
          <w:tcPr>
            <w:tcW w:w="6042" w:type="dxa"/>
            <w:vAlign w:val="center"/>
          </w:tcPr>
          <w:p w14:paraId="0AEBD6A5">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030712BC">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cs="宋体"/>
                <w:bCs/>
                <w:color w:val="auto"/>
                <w:szCs w:val="21"/>
                <w:highlight w:val="none"/>
              </w:rPr>
              <w:t>本项目为单价合同，工程量按实结算。</w:t>
            </w:r>
          </w:p>
        </w:tc>
        <w:tc>
          <w:tcPr>
            <w:tcW w:w="1166" w:type="dxa"/>
          </w:tcPr>
          <w:p w14:paraId="5A116AB6">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2EC71108">
            <w:pPr>
              <w:spacing w:line="360" w:lineRule="auto"/>
              <w:jc w:val="center"/>
              <w:rPr>
                <w:rFonts w:asciiTheme="minorEastAsia" w:hAnsiTheme="minorEastAsia" w:eastAsiaTheme="minorEastAsia" w:cstheme="minorEastAsia"/>
                <w:b/>
                <w:color w:val="auto"/>
                <w:kern w:val="0"/>
                <w:sz w:val="32"/>
                <w:szCs w:val="32"/>
                <w:highlight w:val="none"/>
              </w:rPr>
            </w:pPr>
          </w:p>
        </w:tc>
      </w:tr>
      <w:tr w14:paraId="7849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C843FF0">
            <w:pPr>
              <w:spacing w:before="156" w:beforeLines="50"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p>
        </w:tc>
        <w:tc>
          <w:tcPr>
            <w:tcW w:w="6042" w:type="dxa"/>
            <w:vAlign w:val="center"/>
          </w:tcPr>
          <w:p w14:paraId="05F6FD47">
            <w:pPr>
              <w:spacing w:before="156" w:beforeLines="50" w:line="240" w:lineRule="auto"/>
              <w:rPr>
                <w:rFonts w:hint="default" w:ascii="宋体" w:hAnsi="宋体" w:eastAsia="宋体" w:cs="宋体"/>
                <w:bCs/>
                <w:color w:val="auto"/>
                <w:szCs w:val="21"/>
                <w:highlight w:val="none"/>
                <w:lang w:val="en-US"/>
              </w:rPr>
            </w:pPr>
            <w:r>
              <w:rPr>
                <w:rFonts w:hint="eastAsia" w:ascii="宋体" w:hAnsi="宋体" w:eastAsia="宋体" w:cs="宋体"/>
                <w:bCs/>
                <w:color w:val="auto"/>
                <w:szCs w:val="21"/>
                <w:highlight w:val="none"/>
              </w:rPr>
              <w:t>本项目签约合同价计算公式：预算金额*中标综合折扣</w:t>
            </w:r>
          </w:p>
        </w:tc>
        <w:tc>
          <w:tcPr>
            <w:tcW w:w="1166" w:type="dxa"/>
          </w:tcPr>
          <w:p w14:paraId="62C36224">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53FFED04">
            <w:pPr>
              <w:spacing w:line="360" w:lineRule="auto"/>
              <w:jc w:val="center"/>
              <w:rPr>
                <w:rFonts w:asciiTheme="minorEastAsia" w:hAnsiTheme="minorEastAsia" w:eastAsiaTheme="minorEastAsia" w:cstheme="minorEastAsia"/>
                <w:b/>
                <w:color w:val="auto"/>
                <w:kern w:val="0"/>
                <w:sz w:val="32"/>
                <w:szCs w:val="32"/>
                <w:highlight w:val="none"/>
              </w:rPr>
            </w:pPr>
          </w:p>
        </w:tc>
      </w:tr>
    </w:tbl>
    <w:p w14:paraId="0D1D6A96">
      <w:pPr>
        <w:spacing w:line="240" w:lineRule="auto"/>
        <w:ind w:firstLine="422" w:firstLineChars="200"/>
        <w:jc w:val="left"/>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供应商保证：除商务响应表列出的偏离外，供应商响应采购文件的全部商务要求。供应商需完全响应以上商务条款要求并在“是否响应”一栏里明确，未明确响应的作无效标处理。如有优于的，可以在“投标人承诺或说明”一栏里详细说明。</w:t>
      </w:r>
    </w:p>
    <w:p w14:paraId="5CB6CFBD">
      <w:pPr>
        <w:spacing w:line="240" w:lineRule="auto"/>
        <w:ind w:firstLine="422" w:firstLineChars="200"/>
        <w:jc w:val="left"/>
        <w:rPr>
          <w:rFonts w:hint="eastAsia" w:asciiTheme="minorEastAsia" w:hAnsiTheme="minorEastAsia" w:eastAsiaTheme="minorEastAsia" w:cstheme="minorEastAsia"/>
          <w:b/>
          <w:bCs/>
          <w:color w:val="auto"/>
          <w:kern w:val="0"/>
          <w:sz w:val="21"/>
          <w:szCs w:val="21"/>
          <w:highlight w:val="none"/>
          <w:lang w:val="zh-CN" w:eastAsia="zh-CN"/>
        </w:rPr>
      </w:pPr>
    </w:p>
    <w:p w14:paraId="5567CFF9">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3B1A9EEC">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3870088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6B5AFD0D">
      <w:pPr>
        <w:autoSpaceDE w:val="0"/>
        <w:autoSpaceDN w:val="0"/>
        <w:spacing w:line="360" w:lineRule="auto"/>
        <w:ind w:firstLine="3534" w:firstLineChars="1100"/>
        <w:jc w:val="left"/>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八、</w:t>
      </w:r>
      <w:r>
        <w:rPr>
          <w:rFonts w:hint="eastAsia" w:asciiTheme="minorEastAsia" w:hAnsiTheme="minorEastAsia" w:eastAsiaTheme="minorEastAsia" w:cstheme="minorEastAsia"/>
          <w:b/>
          <w:color w:val="auto"/>
          <w:kern w:val="0"/>
          <w:sz w:val="32"/>
          <w:szCs w:val="32"/>
          <w:highlight w:val="none"/>
          <w:lang w:val="zh-CN"/>
        </w:rPr>
        <w:t>技术</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p w14:paraId="7B652582">
      <w:pPr>
        <w:pStyle w:val="33"/>
        <w:rPr>
          <w:rFonts w:hint="default" w:ascii="Calibri" w:hAnsi="Calibri" w:eastAsia="宋体" w:cs="宋体"/>
          <w:color w:val="auto"/>
          <w:kern w:val="2"/>
          <w:sz w:val="24"/>
          <w:szCs w:val="24"/>
          <w:highlight w:val="none"/>
          <w:lang w:val="en-US" w:eastAsia="zh-CN" w:bidi="ar-SA"/>
        </w:rPr>
      </w:pPr>
      <w:r>
        <w:rPr>
          <w:rFonts w:hint="eastAsia" w:ascii="Calibri" w:hAnsi="Calibri" w:eastAsia="宋体" w:cs="宋体"/>
          <w:color w:val="auto"/>
          <w:kern w:val="2"/>
          <w:sz w:val="24"/>
          <w:szCs w:val="24"/>
          <w:highlight w:val="none"/>
          <w:lang w:val="en-US" w:eastAsia="zh-CN" w:bidi="ar-SA"/>
        </w:rPr>
        <w:t>1、技术响应表</w:t>
      </w:r>
    </w:p>
    <w:tbl>
      <w:tblPr>
        <w:tblStyle w:val="25"/>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193"/>
        <w:gridCol w:w="1424"/>
        <w:gridCol w:w="1235"/>
      </w:tblGrid>
      <w:tr w14:paraId="17AC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83" w:type="dxa"/>
            <w:vAlign w:val="center"/>
          </w:tcPr>
          <w:p w14:paraId="426D658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序号</w:t>
            </w:r>
          </w:p>
        </w:tc>
        <w:tc>
          <w:tcPr>
            <w:tcW w:w="6193" w:type="dxa"/>
            <w:vAlign w:val="center"/>
          </w:tcPr>
          <w:p w14:paraId="77AE48F9">
            <w:pPr>
              <w:spacing w:line="240" w:lineRule="auto"/>
              <w:jc w:val="both"/>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具体内容</w:t>
            </w:r>
          </w:p>
        </w:tc>
        <w:tc>
          <w:tcPr>
            <w:tcW w:w="1424" w:type="dxa"/>
            <w:vAlign w:val="center"/>
          </w:tcPr>
          <w:p w14:paraId="6176976B">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投标人响应描述</w:t>
            </w:r>
          </w:p>
        </w:tc>
        <w:tc>
          <w:tcPr>
            <w:tcW w:w="1235" w:type="dxa"/>
            <w:vAlign w:val="center"/>
          </w:tcPr>
          <w:p w14:paraId="5C49971F">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响应或偏离说明</w:t>
            </w:r>
          </w:p>
        </w:tc>
      </w:tr>
      <w:tr w14:paraId="57A2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6" w:hRule="atLeast"/>
        </w:trPr>
        <w:tc>
          <w:tcPr>
            <w:tcW w:w="983" w:type="dxa"/>
            <w:vAlign w:val="center"/>
          </w:tcPr>
          <w:p w14:paraId="46E335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1</w:t>
            </w:r>
          </w:p>
        </w:tc>
        <w:tc>
          <w:tcPr>
            <w:tcW w:w="6193" w:type="dxa"/>
            <w:vAlign w:val="center"/>
          </w:tcPr>
          <w:p w14:paraId="35419909">
            <w:pPr>
              <w:keepNext w:val="0"/>
              <w:keepLines w:val="0"/>
              <w:pageBreakBefore w:val="0"/>
              <w:widowControl w:val="0"/>
              <w:shd w:val="clear"/>
              <w:kinsoku/>
              <w:wordWrap/>
              <w:overflowPunct/>
              <w:topLinePunct w:val="0"/>
              <w:autoSpaceDE/>
              <w:autoSpaceDN/>
              <w:bidi w:val="0"/>
              <w:adjustRightInd/>
              <w:snapToGrid/>
              <w:spacing w:beforeLines="50" w:line="26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（一）采购范围</w:t>
            </w:r>
          </w:p>
          <w:p w14:paraId="0FF0DCAC">
            <w:pPr>
              <w:keepNext w:val="0"/>
              <w:keepLines w:val="0"/>
              <w:pageBreakBefore w:val="0"/>
              <w:widowControl w:val="0"/>
              <w:shd w:val="clear"/>
              <w:kinsoku/>
              <w:wordWrap/>
              <w:overflowPunct/>
              <w:topLinePunct w:val="0"/>
              <w:autoSpaceDE/>
              <w:autoSpaceDN/>
              <w:bidi w:val="0"/>
              <w:adjustRightInd/>
              <w:snapToGrid/>
              <w:spacing w:beforeLines="50" w:line="26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施工图范围内的电力排管、电缆井、通信管道、手孔井、路面破修、引上钢管、拉线架设、路面修复等。</w:t>
            </w:r>
          </w:p>
          <w:p w14:paraId="5285F081">
            <w:pPr>
              <w:keepNext w:val="0"/>
              <w:keepLines w:val="0"/>
              <w:pageBreakBefore w:val="0"/>
              <w:widowControl w:val="0"/>
              <w:shd w:val="clear"/>
              <w:kinsoku/>
              <w:wordWrap/>
              <w:overflowPunct/>
              <w:topLinePunct w:val="0"/>
              <w:autoSpaceDE/>
              <w:autoSpaceDN/>
              <w:bidi w:val="0"/>
              <w:adjustRightInd/>
              <w:snapToGrid/>
              <w:spacing w:beforeLines="50" w:line="260" w:lineRule="exact"/>
              <w:ind w:firstLine="422"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（二）施工图设计内容：</w:t>
            </w:r>
          </w:p>
          <w:p w14:paraId="39A3E0D6">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详见图纸</w:t>
            </w:r>
            <w:r>
              <w:rPr>
                <w:rFonts w:hint="eastAsia" w:ascii="宋体" w:hAnsi="宋体" w:eastAsia="宋体" w:cs="宋体"/>
                <w:bCs/>
                <w:color w:val="auto"/>
                <w:szCs w:val="21"/>
                <w:highlight w:val="none"/>
                <w:lang w:val="en-US" w:eastAsia="zh-CN"/>
              </w:rPr>
              <w:t>。</w:t>
            </w:r>
          </w:p>
          <w:p w14:paraId="7928C102">
            <w:pPr>
              <w:keepNext w:val="0"/>
              <w:keepLines w:val="0"/>
              <w:pageBreakBefore w:val="0"/>
              <w:widowControl w:val="0"/>
              <w:kinsoku/>
              <w:wordWrap/>
              <w:overflowPunct/>
              <w:topLinePunct w:val="0"/>
              <w:autoSpaceDE/>
              <w:autoSpaceDN/>
              <w:bidi w:val="0"/>
              <w:adjustRightInd/>
              <w:snapToGrid/>
              <w:spacing w:before="156" w:beforeLines="50" w:line="260" w:lineRule="exact"/>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(四）工程量清单、图纸</w:t>
            </w:r>
          </w:p>
          <w:p w14:paraId="7D640959">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详见采购文件附件：工程造价咨询报告书、图纸</w:t>
            </w:r>
          </w:p>
          <w:p w14:paraId="04859E94">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1、工程量清单说明</w:t>
            </w:r>
          </w:p>
          <w:p w14:paraId="1E7217C5">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1.1本工程量清单应与采购文件中的竞争性磋商须知、合同条款、技术标准和要求及图纸（如有）等一起阅读和理解。</w:t>
            </w:r>
          </w:p>
          <w:p w14:paraId="70FB9F5D">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0995B56F">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6E73BC55">
            <w:pPr>
              <w:keepNext w:val="0"/>
              <w:keepLines w:val="0"/>
              <w:pageBreakBefore w:val="0"/>
              <w:widowControl w:val="0"/>
              <w:kinsoku/>
              <w:wordWrap/>
              <w:overflowPunct/>
              <w:topLinePunct w:val="0"/>
              <w:autoSpaceDE/>
              <w:autoSpaceDN/>
              <w:bidi w:val="0"/>
              <w:adjustRightInd/>
              <w:snapToGrid/>
              <w:spacing w:before="156" w:beforeLines="50" w:line="260" w:lineRule="exact"/>
              <w:ind w:firstLine="422" w:firstLineChars="200"/>
              <w:jc w:val="both"/>
              <w:textAlignment w:val="auto"/>
              <w:rPr>
                <w:rFonts w:hint="eastAsia" w:ascii="Calibri" w:hAnsi="Calibri" w:eastAsia="宋体" w:cs="宋体"/>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（六）系统设计说明：详见图纸</w:t>
            </w:r>
          </w:p>
        </w:tc>
        <w:tc>
          <w:tcPr>
            <w:tcW w:w="1424" w:type="dxa"/>
            <w:vAlign w:val="center"/>
          </w:tcPr>
          <w:p w14:paraId="63CF317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p>
        </w:tc>
        <w:tc>
          <w:tcPr>
            <w:tcW w:w="1235" w:type="dxa"/>
            <w:vAlign w:val="center"/>
          </w:tcPr>
          <w:p w14:paraId="2A60AE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p>
        </w:tc>
      </w:tr>
    </w:tbl>
    <w:p w14:paraId="7335514C">
      <w:pPr>
        <w:spacing w:line="360" w:lineRule="auto"/>
        <w:ind w:firstLine="211" w:firstLineChars="100"/>
        <w:jc w:val="left"/>
        <w:rPr>
          <w:rFonts w:hint="eastAsia" w:ascii="Calibri" w:hAnsi="Calibri" w:eastAsia="宋体" w:cs="宋体"/>
          <w:color w:val="auto"/>
          <w:kern w:val="2"/>
          <w:sz w:val="24"/>
          <w:szCs w:val="24"/>
          <w:highlight w:val="none"/>
          <w:lang w:val="en-US" w:eastAsia="zh-CN" w:bidi="ar-SA"/>
        </w:rPr>
      </w:pPr>
      <w:r>
        <w:rPr>
          <w:rFonts w:hint="eastAsia" w:ascii="宋体" w:hAnsi="宋体" w:cs="宋体"/>
          <w:b/>
          <w:bCs/>
          <w:color w:val="auto"/>
          <w:highlight w:val="none"/>
          <w:lang w:val="en-US" w:eastAsia="zh-CN"/>
        </w:rPr>
        <w:t>注：供应商需完全响应“技术响应表 具体内容”并在“响应或偏离说明”一栏里明确，未明确响应的作扣分处理。如有优于的，可以在“投标人响应描述”一栏里详细说明。</w:t>
      </w:r>
    </w:p>
    <w:p w14:paraId="1DC85310">
      <w:pPr>
        <w:spacing w:line="360" w:lineRule="auto"/>
        <w:jc w:val="left"/>
        <w:rPr>
          <w:rFonts w:hint="eastAsia" w:ascii="Calibri" w:hAnsi="Calibri" w:eastAsia="宋体" w:cs="宋体"/>
          <w:color w:val="auto"/>
          <w:kern w:val="2"/>
          <w:sz w:val="24"/>
          <w:szCs w:val="24"/>
          <w:highlight w:val="none"/>
          <w:lang w:val="en-US" w:eastAsia="zh-CN" w:bidi="ar-SA"/>
        </w:rPr>
      </w:pPr>
    </w:p>
    <w:p w14:paraId="384BBB41">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p>
    <w:p w14:paraId="66B5B202">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p>
    <w:p w14:paraId="78ADD418">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p>
    <w:p w14:paraId="113238EF">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p>
    <w:p w14:paraId="7B9A21C0">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r>
        <w:rPr>
          <w:rFonts w:hint="eastAsia" w:ascii="Calibri" w:hAnsi="Calibri" w:eastAsia="宋体" w:cs="宋体"/>
          <w:color w:val="auto"/>
          <w:kern w:val="2"/>
          <w:sz w:val="24"/>
          <w:szCs w:val="24"/>
          <w:highlight w:val="none"/>
          <w:lang w:val="en-US" w:eastAsia="zh-CN" w:bidi="ar-SA"/>
        </w:rPr>
        <w:t>2、带▲条款技术响应表</w:t>
      </w:r>
    </w:p>
    <w:tbl>
      <w:tblPr>
        <w:tblStyle w:val="24"/>
        <w:tblW w:w="95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320"/>
        <w:gridCol w:w="1407"/>
        <w:gridCol w:w="1126"/>
      </w:tblGrid>
      <w:tr w14:paraId="08B7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1" w:type="dxa"/>
            <w:noWrap w:val="0"/>
            <w:vAlign w:val="center"/>
          </w:tcPr>
          <w:p w14:paraId="199A631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序号</w:t>
            </w:r>
          </w:p>
        </w:tc>
        <w:tc>
          <w:tcPr>
            <w:tcW w:w="6320" w:type="dxa"/>
            <w:noWrap w:val="0"/>
            <w:vAlign w:val="center"/>
          </w:tcPr>
          <w:p w14:paraId="3642C8F2">
            <w:pPr>
              <w:spacing w:line="240" w:lineRule="auto"/>
              <w:jc w:val="both"/>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具体内容</w:t>
            </w:r>
          </w:p>
        </w:tc>
        <w:tc>
          <w:tcPr>
            <w:tcW w:w="1407" w:type="dxa"/>
            <w:noWrap w:val="0"/>
            <w:vAlign w:val="center"/>
          </w:tcPr>
          <w:p w14:paraId="4BFA269F">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投标人响应描述</w:t>
            </w:r>
          </w:p>
        </w:tc>
        <w:tc>
          <w:tcPr>
            <w:tcW w:w="1126" w:type="dxa"/>
            <w:noWrap w:val="0"/>
            <w:vAlign w:val="center"/>
          </w:tcPr>
          <w:p w14:paraId="1C9FD7D7">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响应或偏离说明</w:t>
            </w:r>
          </w:p>
        </w:tc>
      </w:tr>
      <w:tr w14:paraId="19C2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1" w:type="dxa"/>
            <w:noWrap w:val="0"/>
            <w:vAlign w:val="center"/>
          </w:tcPr>
          <w:p w14:paraId="7BE52981">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1</w:t>
            </w:r>
          </w:p>
        </w:tc>
        <w:tc>
          <w:tcPr>
            <w:tcW w:w="6320" w:type="dxa"/>
            <w:noWrap w:val="0"/>
            <w:vAlign w:val="center"/>
          </w:tcPr>
          <w:p w14:paraId="66649F06">
            <w:pPr>
              <w:keepNext w:val="0"/>
              <w:keepLines w:val="0"/>
              <w:pageBreakBefore w:val="0"/>
              <w:widowControl w:val="0"/>
              <w:tabs>
                <w:tab w:val="left" w:pos="4915"/>
              </w:tabs>
              <w:kinsoku/>
              <w:wordWrap/>
              <w:overflowPunct/>
              <w:topLinePunct w:val="0"/>
              <w:autoSpaceDE/>
              <w:autoSpaceDN/>
              <w:bidi w:val="0"/>
              <w:adjustRightInd/>
              <w:snapToGrid/>
              <w:spacing w:line="360" w:lineRule="auto"/>
              <w:ind w:firstLine="422" w:firstLineChars="200"/>
              <w:textAlignment w:val="auto"/>
              <w:rPr>
                <w:rFonts w:hint="eastAsia" w:ascii="Calibri" w:hAnsi="Calibri" w:eastAsia="宋体" w:cs="宋体"/>
                <w:color w:val="auto"/>
                <w:kern w:val="2"/>
                <w:sz w:val="21"/>
                <w:szCs w:val="21"/>
                <w:highlight w:val="none"/>
                <w:lang w:val="en-US" w:eastAsia="zh-CN" w:bidi="ar-SA"/>
              </w:rPr>
            </w:pPr>
            <w:r>
              <w:rPr>
                <w:rFonts w:hint="eastAsia" w:ascii="宋体" w:hAnsi="宋体" w:cs="宋体"/>
                <w:b/>
                <w:szCs w:val="21"/>
              </w:rPr>
              <w:t>▲</w:t>
            </w:r>
            <w:r>
              <w:rPr>
                <w:rFonts w:hint="eastAsia" w:cs="宋体"/>
                <w:szCs w:val="21"/>
              </w:rPr>
              <w:t>1、项目负责人：具</w:t>
            </w:r>
            <w:r>
              <w:rPr>
                <w:rFonts w:hint="eastAsia" w:ascii="Times New Roman" w:hAnsi="Times New Roman" w:cs="宋体"/>
                <w:szCs w:val="21"/>
              </w:rPr>
              <w:t>有市政公用工程专业注册建造师贰级及以上证书或通信与广电工程专业注册建造师证书，并具有有效的</w:t>
            </w:r>
            <w:r>
              <w:rPr>
                <w:rFonts w:hint="eastAsia" w:cs="宋体"/>
                <w:szCs w:val="21"/>
              </w:rPr>
              <w:t>《安全生产考核合格证书》</w:t>
            </w:r>
            <w:r>
              <w:rPr>
                <w:rFonts w:hint="eastAsia" w:ascii="Times New Roman" w:hAnsi="Times New Roman" w:cs="宋体"/>
                <w:szCs w:val="21"/>
              </w:rPr>
              <w:t>（B证）；（投标文件中提供相关证书证明材料）</w:t>
            </w:r>
          </w:p>
        </w:tc>
        <w:tc>
          <w:tcPr>
            <w:tcW w:w="1407" w:type="dxa"/>
            <w:noWrap w:val="0"/>
            <w:vAlign w:val="center"/>
          </w:tcPr>
          <w:p w14:paraId="3D38A547">
            <w:pPr>
              <w:spacing w:line="240" w:lineRule="auto"/>
              <w:jc w:val="both"/>
              <w:rPr>
                <w:rFonts w:hint="eastAsia" w:ascii="Calibri" w:hAnsi="Calibri" w:eastAsia="宋体" w:cs="宋体"/>
                <w:color w:val="auto"/>
                <w:kern w:val="2"/>
                <w:sz w:val="21"/>
                <w:szCs w:val="21"/>
                <w:highlight w:val="none"/>
                <w:lang w:val="en-US" w:eastAsia="zh-CN" w:bidi="ar-SA"/>
              </w:rPr>
            </w:pPr>
          </w:p>
        </w:tc>
        <w:tc>
          <w:tcPr>
            <w:tcW w:w="1126" w:type="dxa"/>
            <w:noWrap w:val="0"/>
            <w:vAlign w:val="center"/>
          </w:tcPr>
          <w:p w14:paraId="3969C3B8">
            <w:pPr>
              <w:spacing w:line="240" w:lineRule="auto"/>
              <w:jc w:val="both"/>
              <w:rPr>
                <w:rFonts w:hint="eastAsia" w:ascii="Calibri" w:hAnsi="Calibri" w:eastAsia="宋体" w:cs="宋体"/>
                <w:color w:val="auto"/>
                <w:kern w:val="2"/>
                <w:sz w:val="21"/>
                <w:szCs w:val="21"/>
                <w:highlight w:val="none"/>
                <w:lang w:val="en-US" w:eastAsia="zh-CN" w:bidi="ar-SA"/>
              </w:rPr>
            </w:pPr>
          </w:p>
        </w:tc>
      </w:tr>
      <w:tr w14:paraId="49BD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1" w:type="dxa"/>
            <w:noWrap w:val="0"/>
            <w:vAlign w:val="center"/>
          </w:tcPr>
          <w:p w14:paraId="191A40D8">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2</w:t>
            </w:r>
          </w:p>
        </w:tc>
        <w:tc>
          <w:tcPr>
            <w:tcW w:w="6320" w:type="dxa"/>
            <w:noWrap w:val="0"/>
            <w:vAlign w:val="center"/>
          </w:tcPr>
          <w:p w14:paraId="5DFEC8C0">
            <w:pPr>
              <w:keepNext w:val="0"/>
              <w:keepLines w:val="0"/>
              <w:pageBreakBefore w:val="0"/>
              <w:widowControl w:val="0"/>
              <w:tabs>
                <w:tab w:val="left" w:pos="4915"/>
              </w:tabs>
              <w:kinsoku/>
              <w:wordWrap/>
              <w:overflowPunct/>
              <w:topLinePunct w:val="0"/>
              <w:autoSpaceDE/>
              <w:autoSpaceDN/>
              <w:bidi w:val="0"/>
              <w:adjustRightInd/>
              <w:snapToGrid/>
              <w:spacing w:line="360" w:lineRule="auto"/>
              <w:ind w:firstLine="422" w:firstLineChars="200"/>
              <w:textAlignment w:val="auto"/>
              <w:rPr>
                <w:rFonts w:hint="eastAsia" w:ascii="Calibri" w:hAnsi="Calibri" w:eastAsia="宋体" w:cs="宋体"/>
                <w:color w:val="auto"/>
                <w:kern w:val="2"/>
                <w:sz w:val="21"/>
                <w:szCs w:val="21"/>
                <w:highlight w:val="none"/>
                <w:lang w:val="en-US" w:eastAsia="zh-CN" w:bidi="ar-SA"/>
              </w:rPr>
            </w:pPr>
            <w:r>
              <w:rPr>
                <w:rFonts w:hint="eastAsia" w:ascii="宋体" w:hAnsi="宋体" w:cs="宋体"/>
                <w:b/>
                <w:szCs w:val="21"/>
              </w:rPr>
              <w:t>▲</w:t>
            </w:r>
            <w:r>
              <w:rPr>
                <w:rFonts w:hint="eastAsia" w:cs="宋体"/>
                <w:szCs w:val="21"/>
              </w:rPr>
              <w:t>2</w:t>
            </w:r>
            <w:r>
              <w:rPr>
                <w:rFonts w:cs="宋体"/>
                <w:szCs w:val="21"/>
              </w:rPr>
              <w:t>、</w:t>
            </w:r>
            <w:r>
              <w:rPr>
                <w:rFonts w:hint="eastAsia" w:cs="宋体"/>
                <w:szCs w:val="21"/>
              </w:rPr>
              <w:t>项目专职安全员1名：具备有效的《安全生产考核合格证书》（C证）</w:t>
            </w:r>
            <w:r>
              <w:rPr>
                <w:rFonts w:hint="eastAsia" w:ascii="宋体" w:hAnsi="宋体" w:cs="宋体"/>
                <w:bCs/>
                <w:szCs w:val="21"/>
              </w:rPr>
              <w:t>。</w:t>
            </w:r>
            <w:r>
              <w:rPr>
                <w:rFonts w:hint="eastAsia" w:ascii="Times New Roman" w:hAnsi="Times New Roman" w:cs="宋体"/>
                <w:szCs w:val="21"/>
              </w:rPr>
              <w:t>（投标文件中提供相关证书证明材料）</w:t>
            </w:r>
          </w:p>
        </w:tc>
        <w:tc>
          <w:tcPr>
            <w:tcW w:w="1407" w:type="dxa"/>
            <w:noWrap w:val="0"/>
            <w:vAlign w:val="center"/>
          </w:tcPr>
          <w:p w14:paraId="3EACC122">
            <w:pPr>
              <w:spacing w:line="240" w:lineRule="auto"/>
              <w:jc w:val="both"/>
              <w:rPr>
                <w:rFonts w:hint="eastAsia" w:ascii="Calibri" w:hAnsi="Calibri" w:eastAsia="宋体" w:cs="宋体"/>
                <w:color w:val="auto"/>
                <w:kern w:val="2"/>
                <w:sz w:val="21"/>
                <w:szCs w:val="21"/>
                <w:highlight w:val="none"/>
                <w:lang w:val="en-US" w:eastAsia="zh-CN" w:bidi="ar-SA"/>
              </w:rPr>
            </w:pPr>
          </w:p>
        </w:tc>
        <w:tc>
          <w:tcPr>
            <w:tcW w:w="1126" w:type="dxa"/>
            <w:noWrap w:val="0"/>
            <w:vAlign w:val="center"/>
          </w:tcPr>
          <w:p w14:paraId="245678E1">
            <w:pPr>
              <w:spacing w:line="240" w:lineRule="auto"/>
              <w:jc w:val="both"/>
              <w:rPr>
                <w:rFonts w:hint="eastAsia" w:ascii="Calibri" w:hAnsi="Calibri" w:eastAsia="宋体" w:cs="宋体"/>
                <w:color w:val="auto"/>
                <w:kern w:val="2"/>
                <w:sz w:val="21"/>
                <w:szCs w:val="21"/>
                <w:highlight w:val="none"/>
                <w:lang w:val="en-US" w:eastAsia="zh-CN" w:bidi="ar-SA"/>
              </w:rPr>
            </w:pPr>
          </w:p>
        </w:tc>
      </w:tr>
    </w:tbl>
    <w:p w14:paraId="230B8901">
      <w:pPr>
        <w:spacing w:line="360" w:lineRule="auto"/>
        <w:ind w:firstLine="210" w:firstLineChars="100"/>
        <w:jc w:val="left"/>
        <w:rPr>
          <w:rFonts w:hint="eastAsia" w:ascii="宋体" w:hAnsi="宋体" w:cs="宋体"/>
          <w:color w:val="auto"/>
          <w:highlight w:val="none"/>
        </w:rPr>
      </w:pPr>
      <w:r>
        <w:rPr>
          <w:rFonts w:hint="eastAsia" w:ascii="宋体" w:hAnsi="宋体" w:cs="宋体"/>
          <w:color w:val="auto"/>
          <w:highlight w:val="none"/>
        </w:rPr>
        <w:t>说明：</w:t>
      </w:r>
      <w:r>
        <w:rPr>
          <w:rFonts w:hint="eastAsia" w:ascii="宋体" w:hAnsi="宋体" w:cs="宋体"/>
          <w:color w:val="auto"/>
          <w:highlight w:val="none"/>
          <w:lang w:val="en-US" w:eastAsia="zh-CN"/>
        </w:rPr>
        <w:t>采购文件中</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第三部分 采购需求</w:t>
      </w:r>
      <w:r>
        <w:rPr>
          <w:rFonts w:hint="eastAsia" w:ascii="宋体" w:hAnsi="宋体" w:cs="宋体"/>
          <w:color w:val="auto"/>
          <w:highlight w:val="none"/>
          <w:lang w:eastAsia="zh-CN"/>
        </w:rPr>
        <w:t>”</w:t>
      </w:r>
      <w:r>
        <w:rPr>
          <w:rFonts w:hint="eastAsia" w:ascii="宋体" w:hAnsi="宋体" w:cs="宋体"/>
          <w:color w:val="auto"/>
          <w:highlight w:val="none"/>
        </w:rPr>
        <w:t>带“</w:t>
      </w:r>
      <w:r>
        <w:rPr>
          <w:rFonts w:hint="eastAsia" w:ascii="宋体" w:hAnsi="宋体" w:eastAsia="宋体" w:cs="宋体"/>
          <w:color w:val="auto"/>
          <w:szCs w:val="21"/>
          <w:highlight w:val="none"/>
        </w:rPr>
        <w:t>▲</w:t>
      </w:r>
      <w:r>
        <w:rPr>
          <w:rFonts w:hint="eastAsia" w:ascii="宋体" w:hAnsi="宋体" w:cs="宋体"/>
          <w:color w:val="auto"/>
          <w:highlight w:val="none"/>
        </w:rPr>
        <w:t>”的条款要求提供相关证明资料</w:t>
      </w:r>
      <w:r>
        <w:rPr>
          <w:rFonts w:hint="eastAsia" w:ascii="宋体" w:hAnsi="宋体" w:cs="宋体"/>
          <w:color w:val="auto"/>
          <w:highlight w:val="none"/>
          <w:lang w:eastAsia="zh-CN"/>
        </w:rPr>
        <w:t>的</w:t>
      </w:r>
      <w:r>
        <w:rPr>
          <w:rFonts w:hint="eastAsia" w:ascii="宋体" w:hAnsi="宋体" w:cs="宋体"/>
          <w:color w:val="auto"/>
          <w:highlight w:val="none"/>
        </w:rPr>
        <w:t>必须一并提供，否则视为</w:t>
      </w:r>
      <w:r>
        <w:rPr>
          <w:rFonts w:hint="eastAsia" w:ascii="宋体" w:hAnsi="宋体" w:cs="宋体"/>
          <w:color w:val="auto"/>
          <w:highlight w:val="none"/>
          <w:lang w:val="en-US" w:eastAsia="zh-CN"/>
        </w:rPr>
        <w:t>未实质性响应</w:t>
      </w:r>
      <w:r>
        <w:rPr>
          <w:rFonts w:hint="eastAsia" w:ascii="宋体" w:hAnsi="宋体" w:cs="宋体"/>
          <w:color w:val="auto"/>
          <w:highlight w:val="none"/>
        </w:rPr>
        <w:t>。</w:t>
      </w:r>
    </w:p>
    <w:p w14:paraId="462732FD">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39CC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1DD1FD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18D8CA3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6E153AAA">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43BAEA1B">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55B3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404D8E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1E1EE06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18E3D910">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1C2E82B0">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57F6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20CF36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5239C21B">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141E0B9D">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6D3E4397">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64C4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27ED31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2076EA79">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72481CEE">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5D7B6EAA">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47E6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67F0F91">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19611051">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6153171E">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6D70722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123E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0880360">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3FE69B26">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1A6A4216">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1B671EB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7FA4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CE5A57A">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6427226A">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371A0583">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123F7A27">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51B0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A9C7855">
            <w:pPr>
              <w:pageBreakBefore w:val="0"/>
              <w:kinsoku/>
              <w:wordWrap/>
              <w:overflowPunct/>
              <w:topLinePunct w:val="0"/>
              <w:bidi w:val="0"/>
              <w:spacing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vAlign w:val="center"/>
          </w:tcPr>
          <w:p w14:paraId="2B6B10DA">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安全文明费、提前竣工增加费、其它施工组织措施费</w:t>
            </w:r>
          </w:p>
        </w:tc>
        <w:tc>
          <w:tcPr>
            <w:tcW w:w="3103" w:type="dxa"/>
            <w:vAlign w:val="center"/>
          </w:tcPr>
          <w:p w14:paraId="33C250BB">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yellow"/>
                <w:vertAlign w:val="baseline"/>
                <w:lang w:val="en-US" w:eastAsia="zh-CN"/>
              </w:rPr>
            </w:pPr>
            <w:r>
              <w:rPr>
                <w:rFonts w:hint="eastAsia" w:ascii="宋体" w:hAnsi="Calibri" w:eastAsia="宋体" w:cs="Times New Roman"/>
                <w:b w:val="0"/>
                <w:bCs w:val="0"/>
                <w:color w:val="auto"/>
                <w:szCs w:val="21"/>
                <w:highlight w:val="none"/>
                <w:lang w:eastAsia="zh-CN"/>
              </w:rPr>
              <w:t>施工组织措施项目费按相应工程计取安全文明施工基本费（非市区工程）、冬雨季施工增加费两项，费率按中值计取，其他施工组织项目费均不计取</w:t>
            </w:r>
          </w:p>
        </w:tc>
        <w:tc>
          <w:tcPr>
            <w:tcW w:w="1541" w:type="dxa"/>
            <w:vAlign w:val="center"/>
          </w:tcPr>
          <w:p w14:paraId="2DCE466C">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44C2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top"/>
          </w:tcPr>
          <w:p w14:paraId="144D9B9C">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vAlign w:val="top"/>
          </w:tcPr>
          <w:p w14:paraId="1BDC19EB">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vAlign w:val="top"/>
          </w:tcPr>
          <w:p w14:paraId="6C310532">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683B2C6E">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r w14:paraId="2C7D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top"/>
          </w:tcPr>
          <w:p w14:paraId="12E22646">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9</w:t>
            </w:r>
          </w:p>
        </w:tc>
        <w:tc>
          <w:tcPr>
            <w:tcW w:w="3669" w:type="dxa"/>
            <w:vAlign w:val="top"/>
          </w:tcPr>
          <w:p w14:paraId="1CF90632">
            <w:pPr>
              <w:spacing w:before="156" w:beforeLines="50" w:line="360" w:lineRule="auto"/>
              <w:jc w:val="center"/>
              <w:rPr>
                <w:rFonts w:ascii="Times New Roman"/>
                <w:b w:val="0"/>
                <w:bCs w:val="0"/>
                <w:color w:val="auto"/>
                <w:kern w:val="2"/>
                <w:sz w:val="21"/>
                <w:szCs w:val="21"/>
                <w:highlight w:val="none"/>
              </w:rPr>
            </w:pPr>
            <w:r>
              <w:rPr>
                <w:rFonts w:ascii="Times New Roman"/>
                <w:b w:val="0"/>
                <w:bCs w:val="0"/>
                <w:color w:val="auto"/>
                <w:kern w:val="2"/>
                <w:sz w:val="21"/>
                <w:szCs w:val="21"/>
                <w:highlight w:val="none"/>
              </w:rPr>
              <w:t>是否同意合同条款及合同附件格式</w:t>
            </w:r>
          </w:p>
        </w:tc>
        <w:tc>
          <w:tcPr>
            <w:tcW w:w="3103" w:type="dxa"/>
            <w:vAlign w:val="top"/>
          </w:tcPr>
          <w:p w14:paraId="2282A124">
            <w:pPr>
              <w:spacing w:before="156" w:beforeLines="50" w:line="360" w:lineRule="auto"/>
              <w:jc w:val="center"/>
              <w:rPr>
                <w:rFonts w:ascii="Times New Roman"/>
                <w:b w:val="0"/>
                <w:bCs w:val="0"/>
                <w:color w:val="auto"/>
                <w:kern w:val="2"/>
                <w:sz w:val="21"/>
                <w:szCs w:val="21"/>
                <w:highlight w:val="none"/>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3F1C0737">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056602F2">
      <w:pPr>
        <w:spacing w:before="156" w:beforeLines="50" w:line="360" w:lineRule="auto"/>
        <w:ind w:firstLine="422" w:firstLineChars="200"/>
        <w:rPr>
          <w:rFonts w:hint="eastAsia" w:asciiTheme="minorEastAsia" w:hAnsiTheme="minorEastAsia" w:eastAsiaTheme="minorEastAsia" w:cstheme="minorEastAsia"/>
          <w:color w:val="auto"/>
          <w:kern w:val="0"/>
          <w:sz w:val="24"/>
          <w:highlight w:val="none"/>
          <w:lang w:val="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4F31F37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p>
    <w:p w14:paraId="5E6D9D92">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4AF7465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2C5ED6F">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3C9CC704">
      <w:pPr>
        <w:numPr>
          <w:ilvl w:val="0"/>
          <w:numId w:val="0"/>
        </w:numPr>
        <w:snapToGrid w:val="0"/>
        <w:spacing w:line="360" w:lineRule="auto"/>
        <w:ind w:firstLine="2570" w:firstLineChars="800"/>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九、</w:t>
      </w:r>
      <w:r>
        <w:rPr>
          <w:rFonts w:hint="eastAsia" w:asciiTheme="minorEastAsia" w:hAnsiTheme="minorEastAsia" w:eastAsiaTheme="minorEastAsia" w:cstheme="minorEastAsia"/>
          <w:b/>
          <w:color w:val="auto"/>
          <w:kern w:val="0"/>
          <w:sz w:val="32"/>
          <w:szCs w:val="32"/>
          <w:highlight w:val="none"/>
        </w:rPr>
        <w:t>同类业绩情况一览表</w:t>
      </w:r>
    </w:p>
    <w:p w14:paraId="59149949">
      <w:pPr>
        <w:spacing w:line="360" w:lineRule="auto"/>
        <w:jc w:val="center"/>
        <w:rPr>
          <w:rFonts w:asciiTheme="minorEastAsia" w:hAnsiTheme="minorEastAsia" w:eastAsiaTheme="minorEastAsia" w:cstheme="minorEastAsia"/>
          <w:color w:val="auto"/>
          <w:highlight w:val="none"/>
        </w:rPr>
      </w:pPr>
    </w:p>
    <w:tbl>
      <w:tblPr>
        <w:tblStyle w:val="2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0EC8A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426DA645">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65A3427D">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采购单位名称</w:t>
            </w:r>
          </w:p>
        </w:tc>
        <w:tc>
          <w:tcPr>
            <w:tcW w:w="1701" w:type="dxa"/>
            <w:tcBorders>
              <w:top w:val="single" w:color="auto" w:sz="4" w:space="0"/>
              <w:left w:val="single" w:color="auto" w:sz="4" w:space="0"/>
              <w:right w:val="single" w:color="auto" w:sz="4" w:space="0"/>
            </w:tcBorders>
            <w:vAlign w:val="center"/>
          </w:tcPr>
          <w:p w14:paraId="0A9443D7">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740D1852">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合同金额</w:t>
            </w:r>
          </w:p>
          <w:p w14:paraId="0DB97649">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39C0233">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7B3A66E">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合同签订时间</w:t>
            </w:r>
          </w:p>
        </w:tc>
      </w:tr>
      <w:tr w14:paraId="06C97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F2602BF">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29" w:type="dxa"/>
            <w:tcBorders>
              <w:top w:val="single" w:color="auto" w:sz="4" w:space="0"/>
              <w:left w:val="single" w:color="auto" w:sz="4" w:space="0"/>
              <w:bottom w:val="single" w:color="auto" w:sz="4" w:space="0"/>
              <w:right w:val="single" w:color="auto" w:sz="4" w:space="0"/>
            </w:tcBorders>
            <w:vAlign w:val="center"/>
          </w:tcPr>
          <w:p w14:paraId="5B21A6CA">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6A0CA54">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9D4119E">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2982A9E">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9F8D726">
            <w:pPr>
              <w:spacing w:line="360" w:lineRule="auto"/>
              <w:jc w:val="left"/>
              <w:rPr>
                <w:rFonts w:asciiTheme="minorEastAsia" w:hAnsiTheme="minorEastAsia" w:eastAsiaTheme="minorEastAsia" w:cstheme="minorEastAsia"/>
                <w:color w:val="auto"/>
                <w:kern w:val="0"/>
                <w:sz w:val="24"/>
                <w:highlight w:val="none"/>
              </w:rPr>
            </w:pPr>
          </w:p>
        </w:tc>
      </w:tr>
      <w:tr w14:paraId="27382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79DCE38">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29" w:type="dxa"/>
            <w:tcBorders>
              <w:top w:val="single" w:color="auto" w:sz="4" w:space="0"/>
              <w:left w:val="single" w:color="auto" w:sz="4" w:space="0"/>
              <w:bottom w:val="single" w:color="auto" w:sz="4" w:space="0"/>
              <w:right w:val="single" w:color="auto" w:sz="4" w:space="0"/>
            </w:tcBorders>
            <w:vAlign w:val="center"/>
          </w:tcPr>
          <w:p w14:paraId="3A6EFE47">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21FD45E">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777D28D">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E3B6503">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7F0C22F">
            <w:pPr>
              <w:spacing w:line="360" w:lineRule="auto"/>
              <w:jc w:val="left"/>
              <w:rPr>
                <w:rFonts w:asciiTheme="minorEastAsia" w:hAnsiTheme="minorEastAsia" w:eastAsiaTheme="minorEastAsia" w:cstheme="minorEastAsia"/>
                <w:color w:val="auto"/>
                <w:kern w:val="0"/>
                <w:sz w:val="24"/>
                <w:highlight w:val="none"/>
              </w:rPr>
            </w:pPr>
          </w:p>
        </w:tc>
      </w:tr>
      <w:tr w14:paraId="7FAB3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1899A3D">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829" w:type="dxa"/>
            <w:tcBorders>
              <w:top w:val="single" w:color="auto" w:sz="4" w:space="0"/>
              <w:left w:val="single" w:color="auto" w:sz="4" w:space="0"/>
              <w:bottom w:val="single" w:color="auto" w:sz="4" w:space="0"/>
              <w:right w:val="single" w:color="auto" w:sz="4" w:space="0"/>
            </w:tcBorders>
            <w:vAlign w:val="center"/>
          </w:tcPr>
          <w:p w14:paraId="77A24135">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4A1F483">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E58E568">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0BFE2DE">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0CEEFBF">
            <w:pPr>
              <w:spacing w:line="360" w:lineRule="auto"/>
              <w:jc w:val="left"/>
              <w:rPr>
                <w:rFonts w:asciiTheme="minorEastAsia" w:hAnsiTheme="minorEastAsia" w:eastAsiaTheme="minorEastAsia" w:cstheme="minorEastAsia"/>
                <w:color w:val="auto"/>
                <w:kern w:val="0"/>
                <w:sz w:val="24"/>
                <w:highlight w:val="none"/>
              </w:rPr>
            </w:pPr>
          </w:p>
        </w:tc>
      </w:tr>
      <w:tr w14:paraId="67FC4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B0C4FE4">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829" w:type="dxa"/>
            <w:tcBorders>
              <w:top w:val="single" w:color="auto" w:sz="4" w:space="0"/>
              <w:left w:val="single" w:color="auto" w:sz="4" w:space="0"/>
              <w:bottom w:val="single" w:color="auto" w:sz="4" w:space="0"/>
              <w:right w:val="single" w:color="auto" w:sz="4" w:space="0"/>
            </w:tcBorders>
            <w:vAlign w:val="center"/>
          </w:tcPr>
          <w:p w14:paraId="2087A502">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763FB66">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4A6542D2">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2FA907F">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ABE1BA6">
            <w:pPr>
              <w:spacing w:line="360" w:lineRule="auto"/>
              <w:jc w:val="left"/>
              <w:rPr>
                <w:rFonts w:asciiTheme="minorEastAsia" w:hAnsiTheme="minorEastAsia" w:eastAsiaTheme="minorEastAsia" w:cstheme="minorEastAsia"/>
                <w:color w:val="auto"/>
                <w:kern w:val="0"/>
                <w:sz w:val="24"/>
                <w:highlight w:val="none"/>
              </w:rPr>
            </w:pPr>
          </w:p>
        </w:tc>
      </w:tr>
      <w:tr w14:paraId="7B33A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4A2F9490">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829" w:type="dxa"/>
            <w:tcBorders>
              <w:top w:val="single" w:color="auto" w:sz="4" w:space="0"/>
              <w:left w:val="single" w:color="auto" w:sz="4" w:space="0"/>
              <w:bottom w:val="single" w:color="auto" w:sz="4" w:space="0"/>
              <w:right w:val="single" w:color="auto" w:sz="4" w:space="0"/>
            </w:tcBorders>
            <w:vAlign w:val="center"/>
          </w:tcPr>
          <w:p w14:paraId="6CE11828">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2724FC1">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F993EC5">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2C25F54">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C674416">
            <w:pPr>
              <w:spacing w:line="360" w:lineRule="auto"/>
              <w:jc w:val="left"/>
              <w:rPr>
                <w:rFonts w:asciiTheme="minorEastAsia" w:hAnsiTheme="minorEastAsia" w:eastAsiaTheme="minorEastAsia" w:cstheme="minorEastAsia"/>
                <w:color w:val="auto"/>
                <w:kern w:val="0"/>
                <w:sz w:val="24"/>
                <w:highlight w:val="none"/>
              </w:rPr>
            </w:pPr>
          </w:p>
        </w:tc>
      </w:tr>
    </w:tbl>
    <w:p w14:paraId="019A4E0D">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附：评分标准要求的证明材料</w:t>
      </w:r>
    </w:p>
    <w:p w14:paraId="3CB1A08C">
      <w:pPr>
        <w:spacing w:line="360" w:lineRule="auto"/>
        <w:jc w:val="left"/>
        <w:rPr>
          <w:rFonts w:asciiTheme="minorEastAsia" w:hAnsiTheme="minorEastAsia" w:eastAsiaTheme="minorEastAsia" w:cstheme="minorEastAsia"/>
          <w:color w:val="auto"/>
          <w:kern w:val="0"/>
          <w:sz w:val="24"/>
          <w:highlight w:val="none"/>
        </w:rPr>
      </w:pPr>
    </w:p>
    <w:p w14:paraId="01463B72">
      <w:pPr>
        <w:spacing w:line="360" w:lineRule="auto"/>
        <w:jc w:val="left"/>
        <w:rPr>
          <w:rFonts w:asciiTheme="minorEastAsia" w:hAnsiTheme="minorEastAsia" w:eastAsiaTheme="minorEastAsia" w:cstheme="minorEastAsia"/>
          <w:color w:val="auto"/>
          <w:kern w:val="0"/>
          <w:sz w:val="24"/>
          <w:highlight w:val="none"/>
        </w:rPr>
      </w:pPr>
    </w:p>
    <w:p w14:paraId="73FF337A">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6A1E4235">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4ADE50E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36650051">
      <w:pPr>
        <w:spacing w:line="360" w:lineRule="auto"/>
        <w:ind w:left="4620" w:leftChars="2200"/>
        <w:jc w:val="left"/>
        <w:rPr>
          <w:rFonts w:asciiTheme="minorEastAsia" w:hAnsiTheme="minorEastAsia" w:eastAsiaTheme="minorEastAsia" w:cstheme="minorEastAsia"/>
          <w:b/>
          <w:color w:val="auto"/>
          <w:kern w:val="0"/>
          <w:sz w:val="32"/>
          <w:szCs w:val="32"/>
          <w:highlight w:val="none"/>
          <w:lang w:val="zh-CN"/>
        </w:rPr>
      </w:pPr>
    </w:p>
    <w:p w14:paraId="6B0B9DAF">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十、</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37E30BC0">
      <w:pPr>
        <w:snapToGrid w:val="0"/>
        <w:spacing w:line="360" w:lineRule="auto"/>
        <w:rPr>
          <w:rFonts w:asciiTheme="minorEastAsia" w:hAnsiTheme="minorEastAsia" w:eastAsiaTheme="minorEastAsia" w:cstheme="minorEastAsia"/>
          <w:color w:val="auto"/>
          <w:sz w:val="24"/>
          <w:highlight w:val="none"/>
        </w:rPr>
      </w:pPr>
    </w:p>
    <w:p w14:paraId="3BFF786A">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kern w:val="0"/>
          <w:sz w:val="24"/>
          <w:highlight w:val="none"/>
          <w:lang w:val="zh-CN"/>
        </w:rPr>
        <w:t>：</w:t>
      </w:r>
    </w:p>
    <w:p w14:paraId="2E7CE94E">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项目磋商要求参加磋商采购活动。在这次采购过程中和成交后，我们将严格遵守国家法律法规要求，并郑重承诺：</w:t>
      </w:r>
    </w:p>
    <w:p w14:paraId="5F60C083">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4D3C837E">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0A164F4A">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22437795">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5CEBC8C7">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1245E211">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64B99AE8">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0C402CD6">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10405DC0">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p>
    <w:p w14:paraId="606EEC5D">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3AFC783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521F9A0D">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A393167">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CF73661">
      <w:pPr>
        <w:spacing w:line="360" w:lineRule="auto"/>
        <w:ind w:left="4620" w:leftChars="2200"/>
        <w:rPr>
          <w:rFonts w:asciiTheme="minorEastAsia" w:hAnsiTheme="minorEastAsia" w:eastAsiaTheme="minorEastAsia" w:cstheme="minorEastAsia"/>
          <w:color w:val="auto"/>
          <w:sz w:val="24"/>
          <w:highlight w:val="none"/>
        </w:rPr>
      </w:pPr>
    </w:p>
    <w:p w14:paraId="72661F00">
      <w:pPr>
        <w:spacing w:line="360" w:lineRule="auto"/>
        <w:jc w:val="center"/>
        <w:rPr>
          <w:rFonts w:asciiTheme="minorEastAsia" w:hAnsiTheme="minorEastAsia" w:eastAsiaTheme="minorEastAsia" w:cstheme="min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FB3C640">
      <w:pPr>
        <w:spacing w:line="360" w:lineRule="auto"/>
        <w:jc w:val="both"/>
        <w:outlineLvl w:val="0"/>
        <w:rPr>
          <w:rFonts w:asciiTheme="minorEastAsia" w:hAnsiTheme="minorEastAsia" w:eastAsiaTheme="minorEastAsia" w:cstheme="minorEastAsia"/>
          <w:b/>
          <w:color w:val="auto"/>
          <w:kern w:val="0"/>
          <w:sz w:val="36"/>
          <w:szCs w:val="36"/>
          <w:highlight w:val="none"/>
        </w:rPr>
      </w:pPr>
    </w:p>
    <w:p w14:paraId="67DBD3A8">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086CC188">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50C67C31">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sz w:val="24"/>
          <w:highlight w:val="none"/>
        </w:rPr>
        <w:t xml:space="preserve"> </w:t>
      </w:r>
    </w:p>
    <w:p w14:paraId="44EC0D43">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报价一览表；</w:t>
      </w:r>
    </w:p>
    <w:p w14:paraId="1F1F7FBE">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中小企业声明函（如有）；</w:t>
      </w:r>
    </w:p>
    <w:p w14:paraId="0B8FCE8E">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残疾人福利性单位声明函（如有）；</w:t>
      </w:r>
    </w:p>
    <w:p w14:paraId="7CB1F9EF">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 xml:space="preserve"> 监狱企业的证明文件（如有）；</w:t>
      </w:r>
    </w:p>
    <w:p w14:paraId="7450EBAD">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 xml:space="preserve"> 政府采购统计基础信息表；</w:t>
      </w:r>
    </w:p>
    <w:p w14:paraId="7CB67104">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 xml:space="preserve"> 其他资料（如有）。</w:t>
      </w:r>
    </w:p>
    <w:p w14:paraId="28AEB0E6">
      <w:pPr>
        <w:snapToGrid w:val="0"/>
        <w:spacing w:line="360" w:lineRule="auto"/>
        <w:ind w:right="480"/>
        <w:rPr>
          <w:rFonts w:asciiTheme="minorEastAsia" w:hAnsiTheme="minorEastAsia" w:eastAsiaTheme="minorEastAsia" w:cstheme="minorEastAsia"/>
          <w:b/>
          <w:color w:val="auto"/>
          <w:kern w:val="0"/>
          <w:sz w:val="32"/>
          <w:szCs w:val="32"/>
          <w:highlight w:val="none"/>
        </w:rPr>
      </w:pPr>
    </w:p>
    <w:p w14:paraId="3FAF2D0B">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E40C96F">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一、报价一览表</w:t>
      </w:r>
    </w:p>
    <w:p w14:paraId="13355C64">
      <w:pPr>
        <w:snapToGrid w:val="0"/>
        <w:spacing w:line="360" w:lineRule="auto"/>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 xml:space="preserve">                                     </w:t>
      </w:r>
    </w:p>
    <w:p w14:paraId="0B02150B">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highlight w:val="none"/>
          <w:lang w:val="en-US" w:eastAsia="zh-CN"/>
        </w:rPr>
        <w:t>本项目的实施</w:t>
      </w:r>
      <w:r>
        <w:rPr>
          <w:rFonts w:hint="eastAsia" w:asciiTheme="minorEastAsia" w:hAnsiTheme="minorEastAsia" w:eastAsiaTheme="minorEastAsia" w:cstheme="minorEastAsia"/>
          <w:color w:val="auto"/>
          <w:kern w:val="0"/>
          <w:sz w:val="24"/>
          <w:highlight w:val="none"/>
          <w:lang w:val="zh-CN"/>
        </w:rPr>
        <w:t>。</w:t>
      </w:r>
    </w:p>
    <w:p w14:paraId="47D73EB7">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报价一览表（初次报价表）(单位均为</w:t>
      </w:r>
      <w:r>
        <w:rPr>
          <w:rFonts w:hint="eastAsia" w:asciiTheme="minorEastAsia" w:hAnsiTheme="minorEastAsia" w:eastAsiaTheme="minorEastAsia" w:cstheme="minorEastAsia"/>
          <w:b/>
          <w:color w:val="auto"/>
          <w:kern w:val="0"/>
          <w:sz w:val="24"/>
          <w:highlight w:val="none"/>
          <w:lang w:val="en-US" w:eastAsia="zh-CN"/>
        </w:rPr>
        <w:t>%</w:t>
      </w:r>
      <w:r>
        <w:rPr>
          <w:rFonts w:hint="eastAsia" w:asciiTheme="minorEastAsia" w:hAnsiTheme="minorEastAsia" w:eastAsiaTheme="minorEastAsia" w:cstheme="minorEastAsia"/>
          <w:b/>
          <w:color w:val="auto"/>
          <w:kern w:val="0"/>
          <w:sz w:val="24"/>
          <w:highlight w:val="none"/>
          <w:lang w:val="zh-CN"/>
        </w:rPr>
        <w:t>)</w:t>
      </w:r>
    </w:p>
    <w:tbl>
      <w:tblPr>
        <w:tblStyle w:val="24"/>
        <w:tblpPr w:leftFromText="180" w:rightFromText="180" w:vertAnchor="text" w:horzAnchor="margin" w:tblpX="496" w:tblpY="192"/>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1"/>
        <w:gridCol w:w="2942"/>
        <w:gridCol w:w="1961"/>
      </w:tblGrid>
      <w:tr w14:paraId="4F37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431" w:type="dxa"/>
            <w:tcBorders>
              <w:top w:val="single" w:color="auto" w:sz="4" w:space="0"/>
              <w:left w:val="single" w:color="auto" w:sz="4" w:space="0"/>
              <w:bottom w:val="single" w:color="auto" w:sz="4" w:space="0"/>
              <w:right w:val="single" w:color="auto" w:sz="4" w:space="0"/>
            </w:tcBorders>
            <w:noWrap w:val="0"/>
            <w:vAlign w:val="center"/>
          </w:tcPr>
          <w:p w14:paraId="5C25E1AB">
            <w:pPr>
              <w:pStyle w:val="11"/>
              <w:pageBreakBefore w:val="0"/>
              <w:kinsoku/>
              <w:wordWrap/>
              <w:overflowPunct/>
              <w:topLinePunct w:val="0"/>
              <w:bidi w:val="0"/>
              <w:spacing w:line="360" w:lineRule="auto"/>
              <w:ind w:firstLine="0"/>
              <w:jc w:val="center"/>
              <w:rPr>
                <w:color w:val="auto"/>
                <w:szCs w:val="24"/>
                <w:highlight w:val="none"/>
              </w:rPr>
            </w:pPr>
            <w:r>
              <w:rPr>
                <w:rFonts w:hint="eastAsia"/>
                <w:color w:val="auto"/>
                <w:szCs w:val="24"/>
                <w:highlight w:val="none"/>
              </w:rPr>
              <w:t>项目名称</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0AFF6CFC">
            <w:pPr>
              <w:pStyle w:val="11"/>
              <w:pageBreakBefore w:val="0"/>
              <w:kinsoku/>
              <w:wordWrap/>
              <w:overflowPunct/>
              <w:topLinePunct w:val="0"/>
              <w:bidi w:val="0"/>
              <w:spacing w:line="360" w:lineRule="auto"/>
              <w:ind w:left="0" w:leftChars="0" w:firstLine="0" w:firstLineChars="0"/>
              <w:jc w:val="center"/>
              <w:rPr>
                <w:rFonts w:hint="eastAsia" w:eastAsia="方正书宋简体"/>
                <w:color w:val="auto"/>
                <w:szCs w:val="24"/>
                <w:highlight w:val="none"/>
                <w:lang w:eastAsia="zh-CN"/>
              </w:rPr>
            </w:pPr>
            <w:r>
              <w:rPr>
                <w:rFonts w:hint="eastAsia"/>
                <w:color w:val="auto"/>
                <w:szCs w:val="24"/>
                <w:highlight w:val="none"/>
              </w:rPr>
              <w:t>投标报价</w:t>
            </w:r>
            <w:r>
              <w:rPr>
                <w:color w:val="auto"/>
                <w:szCs w:val="24"/>
                <w:highlight w:val="none"/>
              </w:rPr>
              <w:t>（</w:t>
            </w:r>
            <w:r>
              <w:rPr>
                <w:rFonts w:hint="eastAsia"/>
                <w:color w:val="auto"/>
                <w:szCs w:val="24"/>
                <w:highlight w:val="none"/>
                <w:lang w:val="en-US" w:eastAsia="zh-CN"/>
              </w:rPr>
              <w:t>综合折扣</w:t>
            </w:r>
            <w:r>
              <w:rPr>
                <w:rFonts w:hint="eastAsia"/>
                <w:color w:val="auto"/>
                <w:szCs w:val="24"/>
                <w:highlight w:val="none"/>
              </w:rPr>
              <w:t>%</w:t>
            </w:r>
            <w:r>
              <w:rPr>
                <w:color w:val="auto"/>
                <w:szCs w:val="24"/>
                <w:highlight w:val="none"/>
              </w:rPr>
              <w:t>）</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7002740A">
            <w:pPr>
              <w:pStyle w:val="11"/>
              <w:pageBreakBefore w:val="0"/>
              <w:kinsoku/>
              <w:wordWrap/>
              <w:overflowPunct/>
              <w:topLinePunct w:val="0"/>
              <w:bidi w:val="0"/>
              <w:spacing w:line="360" w:lineRule="auto"/>
              <w:ind w:firstLine="0"/>
              <w:jc w:val="both"/>
              <w:rPr>
                <w:rFonts w:hint="default" w:eastAsia="方正书宋简体"/>
                <w:color w:val="auto"/>
                <w:szCs w:val="24"/>
                <w:highlight w:val="none"/>
                <w:lang w:val="en-US" w:eastAsia="zh-CN"/>
              </w:rPr>
            </w:pPr>
            <w:r>
              <w:rPr>
                <w:rFonts w:hint="eastAsia" w:eastAsia="方正书宋简体"/>
                <w:color w:val="auto"/>
                <w:szCs w:val="24"/>
                <w:highlight w:val="none"/>
                <w:lang w:val="en-US" w:eastAsia="zh-CN"/>
              </w:rPr>
              <w:t>备注</w:t>
            </w:r>
          </w:p>
        </w:tc>
      </w:tr>
      <w:tr w14:paraId="70B8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431" w:type="dxa"/>
            <w:tcBorders>
              <w:top w:val="single" w:color="auto" w:sz="4" w:space="0"/>
              <w:left w:val="single" w:color="auto" w:sz="4" w:space="0"/>
              <w:bottom w:val="single" w:color="auto" w:sz="4" w:space="0"/>
              <w:right w:val="single" w:color="auto" w:sz="4" w:space="0"/>
            </w:tcBorders>
            <w:noWrap w:val="0"/>
            <w:vAlign w:val="center"/>
          </w:tcPr>
          <w:p w14:paraId="62E4A9D0">
            <w:pPr>
              <w:snapToGrid w:val="0"/>
              <w:spacing w:line="240" w:lineRule="auto"/>
              <w:rPr>
                <w:rFonts w:hint="eastAsia" w:ascii="宋体" w:hAnsi="宋体" w:eastAsia="宋体" w:cs="Times New Roman"/>
                <w:color w:val="auto"/>
                <w:szCs w:val="24"/>
                <w:highlight w:val="none"/>
              </w:rPr>
            </w:pPr>
            <w:r>
              <w:rPr>
                <w:rFonts w:hint="eastAsia" w:asciiTheme="minorEastAsia" w:hAnsiTheme="minorEastAsia" w:eastAsiaTheme="minorEastAsia" w:cstheme="minorEastAsia"/>
                <w:color w:val="auto"/>
                <w:kern w:val="0"/>
                <w:sz w:val="24"/>
                <w:highlight w:val="none"/>
                <w:lang w:val="en-US" w:eastAsia="zh-CN"/>
              </w:rPr>
              <w:t>G15沈海高速宁波西坞至麻岙岭改扩建工程—电力及通信线路迁改工程（康亭村）（土建部分）</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22776475">
            <w:pPr>
              <w:pStyle w:val="11"/>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综合折扣</w:t>
            </w:r>
            <w:r>
              <w:rPr>
                <w:rFonts w:hint="eastAsia" w:ascii="宋体" w:hAnsi="宋体" w:eastAsia="宋体" w:cs="Times New Roman"/>
                <w:color w:val="auto"/>
                <w:szCs w:val="24"/>
                <w:highlight w:val="none"/>
              </w:rPr>
              <w:t>：   %</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54425DC6">
            <w:pPr>
              <w:pStyle w:val="11"/>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lang w:val="en-US" w:eastAsia="zh-CN"/>
              </w:rPr>
            </w:pPr>
          </w:p>
        </w:tc>
      </w:tr>
    </w:tbl>
    <w:p w14:paraId="4B813670">
      <w:pPr>
        <w:shd w:val="clear"/>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r>
        <w:rPr>
          <w:rFonts w:hint="eastAsia" w:ascii="宋体" w:hAnsi="宋体" w:eastAsia="宋体" w:cs="Times New Roman"/>
          <w:b/>
          <w:color w:val="auto"/>
          <w:sz w:val="24"/>
          <w:highlight w:val="none"/>
          <w:u w:val="single"/>
          <w:lang w:val="zh-CN"/>
        </w:rPr>
        <w:t>1、磋商</w:t>
      </w:r>
      <w:r>
        <w:rPr>
          <w:rFonts w:hint="eastAsia" w:ascii="宋体" w:hAnsi="宋体" w:eastAsia="宋体" w:cs="Times New Roman"/>
          <w:b/>
          <w:color w:val="auto"/>
          <w:sz w:val="24"/>
          <w:highlight w:val="none"/>
          <w:u w:val="single"/>
        </w:rPr>
        <w:t>报价</w:t>
      </w:r>
      <w:r>
        <w:rPr>
          <w:rFonts w:hint="eastAsia" w:ascii="宋体" w:hAnsi="宋体"/>
          <w:b/>
          <w:color w:val="auto"/>
          <w:sz w:val="24"/>
          <w:highlight w:val="none"/>
          <w:u w:val="single"/>
        </w:rPr>
        <w:t>折</w:t>
      </w:r>
      <w:r>
        <w:rPr>
          <w:rFonts w:ascii="宋体" w:hAnsi="宋体"/>
          <w:b/>
          <w:color w:val="auto"/>
          <w:sz w:val="24"/>
          <w:highlight w:val="none"/>
          <w:u w:val="single"/>
        </w:rPr>
        <w:t>扣</w:t>
      </w:r>
      <w:r>
        <w:rPr>
          <w:rFonts w:hint="eastAsia" w:ascii="宋体" w:hAnsi="宋体"/>
          <w:b/>
          <w:color w:val="auto"/>
          <w:sz w:val="24"/>
          <w:highlight w:val="none"/>
          <w:u w:val="single"/>
        </w:rPr>
        <w:t>以“%”的形式填写。</w:t>
      </w:r>
      <w:r>
        <w:rPr>
          <w:rFonts w:hint="eastAsia"/>
          <w:b/>
          <w:color w:val="auto"/>
          <w:sz w:val="24"/>
          <w:highlight w:val="none"/>
          <w:u w:val="single"/>
        </w:rPr>
        <w:t>本次项目设有最高折扣（94%），未按折扣进行报价或超过最高综合折扣进行报价的磋商响应文件作无效处理。</w:t>
      </w:r>
    </w:p>
    <w:p w14:paraId="4EB3954C">
      <w:pPr>
        <w:snapToGrid w:val="0"/>
        <w:spacing w:line="360" w:lineRule="auto"/>
        <w:ind w:left="480"/>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2、报价一经涂改，应在涂改处加盖单位公章或者由法定代表人或授权委托人签名或盖章，否则其投标作无效标处理。</w:t>
      </w:r>
    </w:p>
    <w:p w14:paraId="2A6AE23F">
      <w:pPr>
        <w:snapToGrid w:val="0"/>
        <w:spacing w:line="360" w:lineRule="auto"/>
        <w:ind w:left="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供应商需按本表格式填写，不得自行更改。</w:t>
      </w:r>
    </w:p>
    <w:p w14:paraId="34B6B1A6">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val="zh-CN"/>
        </w:rPr>
        <w:t>.有关本项目实施所涉及的一切费用均计入报价。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响应文件含有采购人不能接受的附加条件的，</w:t>
      </w:r>
      <w:r>
        <w:rPr>
          <w:rFonts w:hint="eastAsia" w:asciiTheme="minorEastAsia" w:hAnsiTheme="minorEastAsia" w:eastAsiaTheme="minorEastAsia" w:cstheme="minorEastAsia"/>
          <w:b/>
          <w:color w:val="auto"/>
          <w:sz w:val="24"/>
          <w:highlight w:val="none"/>
          <w:lang w:val="en-US" w:eastAsia="zh-CN"/>
        </w:rPr>
        <w:t>投标</w:t>
      </w:r>
      <w:r>
        <w:rPr>
          <w:rFonts w:hint="eastAsia" w:asciiTheme="minorEastAsia" w:hAnsiTheme="minorEastAsia" w:eastAsiaTheme="minorEastAsia" w:cstheme="minorEastAsia"/>
          <w:b/>
          <w:color w:val="auto"/>
          <w:sz w:val="24"/>
          <w:highlight w:val="none"/>
        </w:rPr>
        <w:t>无效</w:t>
      </w:r>
      <w:r>
        <w:rPr>
          <w:rFonts w:hint="eastAsia" w:asciiTheme="minorEastAsia" w:hAnsiTheme="minorEastAsia" w:eastAsiaTheme="minorEastAsia" w:cstheme="minorEastAsia"/>
          <w:b/>
          <w:color w:val="auto"/>
          <w:kern w:val="0"/>
          <w:sz w:val="24"/>
          <w:highlight w:val="none"/>
          <w:lang w:val="zh-CN"/>
        </w:rPr>
        <w:t>。</w:t>
      </w:r>
    </w:p>
    <w:p w14:paraId="3C00AF46">
      <w:pPr>
        <w:spacing w:line="360" w:lineRule="auto"/>
        <w:rPr>
          <w:rFonts w:hint="eastAsia" w:asciiTheme="minorEastAsia" w:hAnsiTheme="minorEastAsia" w:eastAsiaTheme="minorEastAsia" w:cstheme="minorEastAsia"/>
          <w:color w:val="auto"/>
          <w:sz w:val="24"/>
          <w:highlight w:val="none"/>
        </w:rPr>
      </w:pPr>
    </w:p>
    <w:p w14:paraId="12644D6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 xml:space="preserve">定代表人或其授权委托人（签名或印章）：  </w:t>
      </w:r>
    </w:p>
    <w:p w14:paraId="266D71A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供应商（盖章）：         </w:t>
      </w:r>
    </w:p>
    <w:p w14:paraId="124F40D8">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  期：</w:t>
      </w:r>
    </w:p>
    <w:p w14:paraId="4C5B8A91">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29A09D44">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二、中小企业声明函</w:t>
      </w:r>
    </w:p>
    <w:p w14:paraId="7EE9E84B">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17E3781F">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w:t>
      </w:r>
    </w:p>
    <w:p w14:paraId="4BE2D96C">
      <w:pPr>
        <w:spacing w:line="360" w:lineRule="auto"/>
        <w:rPr>
          <w:rFonts w:asciiTheme="minorEastAsia" w:hAnsiTheme="minorEastAsia" w:eastAsiaTheme="minorEastAsia" w:cstheme="minorEastAsia"/>
          <w:color w:val="auto"/>
          <w:highlight w:val="none"/>
        </w:rPr>
      </w:pPr>
    </w:p>
    <w:p w14:paraId="0DFD7921">
      <w:pPr>
        <w:spacing w:line="360" w:lineRule="auto"/>
        <w:ind w:firstLine="480" w:firstLineChars="200"/>
        <w:jc w:val="left"/>
        <w:rPr>
          <w:rFonts w:hint="eastAsia" w:asciiTheme="minorEastAsia" w:hAnsiTheme="minorEastAsia" w:eastAsiaTheme="minorEastAsia" w:cstheme="minorEastAsia"/>
          <w:b w:val="0"/>
          <w:bCs w:val="0"/>
          <w:color w:val="auto"/>
          <w:sz w:val="24"/>
          <w:highlight w:val="none"/>
          <w:u w:val="none"/>
          <w:lang w:val="en-US" w:eastAsia="zh-CN"/>
        </w:rPr>
      </w:pPr>
      <w:r>
        <w:rPr>
          <w:rFonts w:hint="eastAsia" w:asciiTheme="minorEastAsia" w:hAnsiTheme="minorEastAsia" w:eastAsiaTheme="minorEastAsia" w:cstheme="minorEastAsia"/>
          <w:b w:val="0"/>
          <w:bCs w:val="0"/>
          <w:color w:val="auto"/>
          <w:sz w:val="24"/>
          <w:highlight w:val="none"/>
          <w:u w:val="none"/>
          <w:lang w:val="en-US" w:eastAsia="zh-CN"/>
        </w:rPr>
        <w:t>本公司郑重声明，根据《政府采购促进中小企业发展管理办法》（财库﹝2020﹞46 号）的规定，本公司参加</w:t>
      </w:r>
      <w:r>
        <w:rPr>
          <w:rFonts w:hint="eastAsia" w:asciiTheme="minorEastAsia" w:hAnsiTheme="minorEastAsia" w:eastAsiaTheme="minorEastAsia" w:cstheme="minorEastAsia"/>
          <w:b/>
          <w:bCs/>
          <w:color w:val="auto"/>
          <w:sz w:val="24"/>
          <w:highlight w:val="none"/>
          <w:u w:val="single"/>
          <w:lang w:val="en-US" w:eastAsia="zh-CN"/>
        </w:rPr>
        <w:t xml:space="preserve">宁波市奉化区惠海地下管线投资有限公司 </w:t>
      </w:r>
      <w:r>
        <w:rPr>
          <w:rFonts w:hint="eastAsia" w:asciiTheme="minorEastAsia" w:hAnsiTheme="minorEastAsia" w:eastAsiaTheme="minorEastAsia" w:cstheme="minorEastAsia"/>
          <w:b w:val="0"/>
          <w:bCs w:val="0"/>
          <w:color w:val="auto"/>
          <w:sz w:val="24"/>
          <w:highlight w:val="none"/>
          <w:u w:val="none"/>
          <w:lang w:val="en-US" w:eastAsia="zh-CN"/>
        </w:rPr>
        <w:t>的</w:t>
      </w:r>
      <w:r>
        <w:rPr>
          <w:rFonts w:hint="eastAsia" w:asciiTheme="minorEastAsia" w:hAnsiTheme="minorEastAsia" w:eastAsiaTheme="minorEastAsia" w:cstheme="minorEastAsia"/>
          <w:b/>
          <w:bCs/>
          <w:color w:val="auto"/>
          <w:sz w:val="24"/>
          <w:highlight w:val="none"/>
          <w:u w:val="single"/>
          <w:lang w:val="en-US" w:eastAsia="zh-CN"/>
        </w:rPr>
        <w:t>G15沈海高速宁波西坞至麻岙岭改扩建工程—电力及通信线路迁改工程（康亭村）（土建部分）</w:t>
      </w:r>
      <w:r>
        <w:rPr>
          <w:rFonts w:hint="eastAsia" w:asciiTheme="minorEastAsia" w:hAnsiTheme="minorEastAsia" w:eastAsiaTheme="minorEastAsia" w:cstheme="minorEastAsia"/>
          <w:b w:val="0"/>
          <w:bCs w:val="0"/>
          <w:color w:val="auto"/>
          <w:sz w:val="24"/>
          <w:highlight w:val="none"/>
          <w:u w:val="none"/>
          <w:lang w:val="en-US" w:eastAsia="zh-CN"/>
        </w:rPr>
        <w:t>采购活动，工程全部由符合政策要求的中小企业承接。相关企业的具体情况如下：</w:t>
      </w:r>
    </w:p>
    <w:p w14:paraId="7793ACB2">
      <w:pPr>
        <w:spacing w:line="360" w:lineRule="auto"/>
        <w:ind w:firstLine="482"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u w:val="single"/>
          <w:lang w:val="en-US" w:eastAsia="zh-CN"/>
        </w:rPr>
        <w:t>G15沈海高速宁波西坞至麻岙岭改扩建工程—电力及通信线路迁改工程（康亭村）（土建部分）</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lang w:val="en-US" w:eastAsia="zh-CN"/>
        </w:rPr>
        <w:t>建筑</w:t>
      </w:r>
      <w:r>
        <w:rPr>
          <w:rFonts w:hint="eastAsia" w:asciiTheme="minorEastAsia" w:hAnsiTheme="minorEastAsia" w:eastAsiaTheme="minorEastAsia" w:cstheme="minorEastAsia"/>
          <w:color w:val="auto"/>
          <w:sz w:val="24"/>
          <w:highlight w:val="none"/>
          <w:u w:val="single"/>
        </w:rPr>
        <w:t>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0E4BA67E">
      <w:pPr>
        <w:spacing w:line="360" w:lineRule="auto"/>
        <w:jc w:val="left"/>
        <w:rPr>
          <w:rFonts w:asciiTheme="minorEastAsia" w:hAnsiTheme="minorEastAsia" w:eastAsiaTheme="minorEastAsia" w:cstheme="minorEastAsia"/>
          <w:color w:val="auto"/>
          <w:sz w:val="24"/>
          <w:highlight w:val="none"/>
        </w:rPr>
      </w:pPr>
    </w:p>
    <w:p w14:paraId="4FBFA3C6">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484AABB5">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3189F1B8">
      <w:pPr>
        <w:spacing w:line="360" w:lineRule="auto"/>
        <w:ind w:right="1760"/>
        <w:jc w:val="right"/>
        <w:rPr>
          <w:rFonts w:asciiTheme="minorEastAsia" w:hAnsiTheme="minorEastAsia" w:eastAsiaTheme="minorEastAsia" w:cstheme="minorEastAsia"/>
          <w:color w:val="auto"/>
          <w:sz w:val="24"/>
          <w:highlight w:val="none"/>
        </w:rPr>
      </w:pPr>
    </w:p>
    <w:p w14:paraId="403DA59C">
      <w:pPr>
        <w:spacing w:line="360" w:lineRule="auto"/>
        <w:ind w:right="176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供应商名称（电子签名）：</w:t>
      </w:r>
    </w:p>
    <w:p w14:paraId="4DB36C1A">
      <w:pPr>
        <w:spacing w:line="360" w:lineRule="auto"/>
        <w:ind w:right="1120" w:firstLine="4680" w:firstLineChars="19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5027CA4E">
      <w:pPr>
        <w:spacing w:line="360" w:lineRule="auto"/>
        <w:ind w:firstLine="310" w:firstLineChars="147"/>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Cs w:val="21"/>
          <w:highlight w:val="none"/>
        </w:rPr>
        <w:t>从业人员、营业收入、资产总额填报上一年度数据，无上一年度数据的新成立企业可不填报。</w:t>
      </w:r>
    </w:p>
    <w:p w14:paraId="23A7FB0C">
      <w:pPr>
        <w:spacing w:line="360" w:lineRule="auto"/>
        <w:ind w:right="-28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9F71CF4">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14:paraId="70917D3F">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四、残疾人福利性单位声明函</w:t>
      </w:r>
    </w:p>
    <w:p w14:paraId="194B6D85">
      <w:pPr>
        <w:spacing w:line="360" w:lineRule="auto"/>
        <w:rPr>
          <w:rFonts w:asciiTheme="minorEastAsia" w:hAnsiTheme="minorEastAsia" w:eastAsiaTheme="minorEastAsia" w:cstheme="minorEastAsia"/>
          <w:b/>
          <w:color w:val="auto"/>
          <w:spacing w:val="6"/>
          <w:sz w:val="30"/>
          <w:szCs w:val="30"/>
          <w:highlight w:val="none"/>
        </w:rPr>
      </w:pPr>
    </w:p>
    <w:p w14:paraId="3BBE8C26">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F9318C">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29078DF2">
      <w:pPr>
        <w:spacing w:line="360" w:lineRule="auto"/>
        <w:ind w:firstLine="480" w:firstLineChars="200"/>
        <w:jc w:val="left"/>
        <w:rPr>
          <w:rFonts w:asciiTheme="minorEastAsia" w:hAnsiTheme="minorEastAsia" w:eastAsiaTheme="minorEastAsia" w:cstheme="minorEastAsia"/>
          <w:color w:val="auto"/>
          <w:sz w:val="24"/>
          <w:highlight w:val="none"/>
        </w:rPr>
      </w:pPr>
    </w:p>
    <w:p w14:paraId="3F72F99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30C082C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5BB75E0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52A163C2">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2FFB1379">
      <w:pPr>
        <w:spacing w:line="360" w:lineRule="auto"/>
        <w:ind w:firstLine="643" w:firstLineChars="200"/>
        <w:jc w:val="left"/>
        <w:rPr>
          <w:rFonts w:asciiTheme="minorEastAsia" w:hAnsiTheme="minorEastAsia" w:eastAsiaTheme="minorEastAsia" w:cstheme="minorEastAsia"/>
          <w:b/>
          <w:color w:val="auto"/>
          <w:sz w:val="32"/>
          <w:szCs w:val="32"/>
          <w:highlight w:val="none"/>
        </w:rPr>
      </w:pPr>
    </w:p>
    <w:p w14:paraId="20AADBDC">
      <w:pPr>
        <w:spacing w:line="360" w:lineRule="auto"/>
        <w:rPr>
          <w:rFonts w:asciiTheme="minorEastAsia" w:hAnsiTheme="minorEastAsia" w:eastAsiaTheme="minorEastAsia" w:cstheme="minorEastAsia"/>
          <w:b/>
          <w:color w:val="auto"/>
          <w:sz w:val="32"/>
          <w:szCs w:val="32"/>
          <w:highlight w:val="none"/>
        </w:rPr>
      </w:pPr>
    </w:p>
    <w:p w14:paraId="08A12C68">
      <w:pPr>
        <w:numPr>
          <w:ilvl w:val="0"/>
          <w:numId w:val="5"/>
        </w:num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r>
        <w:rPr>
          <w:rFonts w:hint="eastAsia" w:asciiTheme="minorEastAsia" w:hAnsiTheme="minorEastAsia" w:eastAsiaTheme="minorEastAsia" w:cstheme="minorEastAsia"/>
          <w:b/>
          <w:color w:val="auto"/>
          <w:spacing w:val="6"/>
          <w:sz w:val="32"/>
          <w:szCs w:val="32"/>
          <w:highlight w:val="none"/>
        </w:rPr>
        <w:t>政府采购统计基础信息表</w:t>
      </w:r>
    </w:p>
    <w:p w14:paraId="2850FEA1">
      <w:pPr>
        <w:pStyle w:val="35"/>
        <w:spacing w:line="360" w:lineRule="auto"/>
        <w:ind w:firstLine="0" w:firstLineChars="0"/>
        <w:rPr>
          <w:rFonts w:asciiTheme="minorEastAsia" w:hAnsiTheme="minorEastAsia" w:eastAsiaTheme="minorEastAsia" w:cstheme="minorEastAsia"/>
          <w:color w:val="auto"/>
          <w:highlight w:val="none"/>
        </w:rPr>
      </w:pPr>
    </w:p>
    <w:tbl>
      <w:tblPr>
        <w:tblStyle w:val="24"/>
        <w:tblW w:w="8537" w:type="dxa"/>
        <w:jc w:val="center"/>
        <w:tblLayout w:type="fixed"/>
        <w:tblCellMar>
          <w:top w:w="0" w:type="dxa"/>
          <w:left w:w="108" w:type="dxa"/>
          <w:bottom w:w="0" w:type="dxa"/>
          <w:right w:w="108" w:type="dxa"/>
        </w:tblCellMar>
      </w:tblPr>
      <w:tblGrid>
        <w:gridCol w:w="4998"/>
        <w:gridCol w:w="3539"/>
      </w:tblGrid>
      <w:tr w14:paraId="7368BE6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80F44D2">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610528B8">
            <w:pPr>
              <w:spacing w:line="360" w:lineRule="auto"/>
              <w:rPr>
                <w:rFonts w:asciiTheme="minorEastAsia" w:hAnsiTheme="minorEastAsia" w:eastAsiaTheme="minorEastAsia" w:cstheme="minorEastAsia"/>
                <w:color w:val="auto"/>
                <w:highlight w:val="none"/>
              </w:rPr>
            </w:pPr>
          </w:p>
        </w:tc>
      </w:tr>
      <w:tr w14:paraId="4C6D11E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CD108E0">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3539" w:type="dxa"/>
            <w:tcBorders>
              <w:top w:val="single" w:color="000000" w:sz="4" w:space="0"/>
              <w:left w:val="nil"/>
              <w:bottom w:val="single" w:color="000000" w:sz="4" w:space="0"/>
              <w:right w:val="single" w:color="000000" w:sz="4" w:space="0"/>
            </w:tcBorders>
          </w:tcPr>
          <w:p w14:paraId="43DC6FB8">
            <w:pPr>
              <w:spacing w:line="360" w:lineRule="auto"/>
              <w:rPr>
                <w:rFonts w:asciiTheme="minorEastAsia" w:hAnsiTheme="minorEastAsia" w:eastAsiaTheme="minorEastAsia" w:cstheme="minorEastAsia"/>
                <w:color w:val="auto"/>
                <w:highlight w:val="none"/>
              </w:rPr>
            </w:pPr>
          </w:p>
        </w:tc>
      </w:tr>
      <w:tr w14:paraId="3A2DCFF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F648676">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供应商是否为外商投资企业</w:t>
            </w:r>
          </w:p>
        </w:tc>
        <w:tc>
          <w:tcPr>
            <w:tcW w:w="3539" w:type="dxa"/>
            <w:tcBorders>
              <w:top w:val="single" w:color="000000" w:sz="4" w:space="0"/>
              <w:left w:val="nil"/>
              <w:bottom w:val="single" w:color="000000" w:sz="4" w:space="0"/>
              <w:right w:val="single" w:color="000000" w:sz="4" w:space="0"/>
            </w:tcBorders>
          </w:tcPr>
          <w:p w14:paraId="617FACD9">
            <w:pPr>
              <w:spacing w:line="360" w:lineRule="auto"/>
              <w:rPr>
                <w:rFonts w:asciiTheme="minorEastAsia" w:hAnsiTheme="minorEastAsia" w:eastAsiaTheme="minorEastAsia" w:cstheme="minorEastAsia"/>
                <w:color w:val="auto"/>
                <w:highlight w:val="none"/>
              </w:rPr>
            </w:pPr>
          </w:p>
        </w:tc>
      </w:tr>
      <w:tr w14:paraId="566521B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6A94DED">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供应商是否为宁波企业</w:t>
            </w:r>
          </w:p>
        </w:tc>
        <w:tc>
          <w:tcPr>
            <w:tcW w:w="3539" w:type="dxa"/>
            <w:tcBorders>
              <w:top w:val="single" w:color="000000" w:sz="4" w:space="0"/>
              <w:left w:val="nil"/>
              <w:bottom w:val="single" w:color="000000" w:sz="4" w:space="0"/>
              <w:right w:val="single" w:color="000000" w:sz="4" w:space="0"/>
            </w:tcBorders>
          </w:tcPr>
          <w:p w14:paraId="06EA6306">
            <w:pPr>
              <w:spacing w:line="360" w:lineRule="auto"/>
              <w:rPr>
                <w:rFonts w:asciiTheme="minorEastAsia" w:hAnsiTheme="minorEastAsia" w:eastAsiaTheme="minorEastAsia" w:cstheme="minorEastAsia"/>
                <w:color w:val="auto"/>
                <w:highlight w:val="none"/>
              </w:rPr>
            </w:pPr>
          </w:p>
        </w:tc>
      </w:tr>
      <w:tr w14:paraId="1D75797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6E14127">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3CB7EEB3">
            <w:pPr>
              <w:spacing w:line="360" w:lineRule="auto"/>
              <w:rPr>
                <w:rFonts w:asciiTheme="minorEastAsia" w:hAnsiTheme="minorEastAsia" w:eastAsiaTheme="minorEastAsia" w:cstheme="minorEastAsia"/>
                <w:color w:val="auto"/>
                <w:highlight w:val="none"/>
              </w:rPr>
            </w:pPr>
          </w:p>
        </w:tc>
      </w:tr>
      <w:tr w14:paraId="69B503F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EBB947D">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7FC63712">
            <w:pPr>
              <w:spacing w:line="360" w:lineRule="auto"/>
              <w:rPr>
                <w:rFonts w:asciiTheme="minorEastAsia" w:hAnsiTheme="minorEastAsia" w:eastAsiaTheme="minorEastAsia" w:cstheme="minorEastAsia"/>
                <w:color w:val="auto"/>
                <w:highlight w:val="none"/>
              </w:rPr>
            </w:pPr>
          </w:p>
        </w:tc>
      </w:tr>
      <w:tr w14:paraId="5B178C2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2F40201">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64F11F09">
            <w:pPr>
              <w:spacing w:line="360" w:lineRule="auto"/>
              <w:rPr>
                <w:rFonts w:asciiTheme="minorEastAsia" w:hAnsiTheme="minorEastAsia" w:eastAsiaTheme="minorEastAsia" w:cstheme="minorEastAsia"/>
                <w:color w:val="auto"/>
                <w:highlight w:val="none"/>
              </w:rPr>
            </w:pPr>
          </w:p>
        </w:tc>
      </w:tr>
      <w:tr w14:paraId="2214BEF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AABB7A7">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374F28C3">
            <w:pPr>
              <w:spacing w:line="360" w:lineRule="auto"/>
              <w:rPr>
                <w:rFonts w:asciiTheme="minorEastAsia" w:hAnsiTheme="minorEastAsia" w:eastAsiaTheme="minorEastAsia" w:cstheme="minorEastAsia"/>
                <w:color w:val="auto"/>
                <w:highlight w:val="none"/>
              </w:rPr>
            </w:pPr>
          </w:p>
        </w:tc>
      </w:tr>
      <w:tr w14:paraId="06F5270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D234892">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41D4128B">
            <w:pPr>
              <w:spacing w:line="360" w:lineRule="auto"/>
              <w:rPr>
                <w:rFonts w:asciiTheme="minorEastAsia" w:hAnsiTheme="minorEastAsia" w:eastAsiaTheme="minorEastAsia" w:cstheme="minorEastAsia"/>
                <w:color w:val="auto"/>
                <w:highlight w:val="none"/>
              </w:rPr>
            </w:pPr>
          </w:p>
        </w:tc>
      </w:tr>
      <w:tr w14:paraId="7170F90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3278061">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1E38D2CC">
            <w:pPr>
              <w:spacing w:line="360" w:lineRule="auto"/>
              <w:rPr>
                <w:rFonts w:asciiTheme="minorEastAsia" w:hAnsiTheme="minorEastAsia" w:eastAsiaTheme="minorEastAsia" w:cstheme="minorEastAsia"/>
                <w:color w:val="auto"/>
                <w:highlight w:val="none"/>
              </w:rPr>
            </w:pPr>
          </w:p>
        </w:tc>
      </w:tr>
    </w:tbl>
    <w:p w14:paraId="383577E4">
      <w:pPr>
        <w:adjustRightInd w:val="0"/>
        <w:spacing w:line="360" w:lineRule="auto"/>
        <w:jc w:val="left"/>
        <w:rPr>
          <w:rFonts w:asciiTheme="minorEastAsia" w:hAnsiTheme="minorEastAsia" w:eastAsiaTheme="minorEastAsia" w:cstheme="minorEastAsia"/>
          <w:color w:val="auto"/>
          <w:sz w:val="24"/>
          <w:highlight w:val="none"/>
        </w:rPr>
      </w:pPr>
    </w:p>
    <w:p w14:paraId="7BF122E2">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备注：请各供应商务必填写此表作为响应文件的组成部分。</w:t>
      </w:r>
    </w:p>
    <w:p w14:paraId="2675DD12">
      <w:pPr>
        <w:adjustRightInd w:val="0"/>
        <w:spacing w:line="360" w:lineRule="auto"/>
        <w:jc w:val="left"/>
        <w:rPr>
          <w:rFonts w:asciiTheme="minorEastAsia" w:hAnsiTheme="minorEastAsia" w:eastAsiaTheme="minorEastAsia" w:cstheme="minorEastAsia"/>
          <w:color w:val="auto"/>
          <w:sz w:val="24"/>
          <w:highlight w:val="none"/>
        </w:rPr>
      </w:pPr>
    </w:p>
    <w:p w14:paraId="4847C97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59842391">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36774B1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89FBED1">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C200E">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F1E2CA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DDD65">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00FCC46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8AB6">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A1CF38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E06F">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76B8B57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095C">
    <w:pPr>
      <w:pStyle w:val="17"/>
      <w:pBdr>
        <w:bottom w:val="none" w:color="auto" w:sz="0" w:space="0"/>
      </w:pBdr>
      <w:jc w:val="right"/>
      <w:rPr>
        <w:rFonts w:ascii="仿宋_GB2312" w:eastAsia="仿宋_GB2312"/>
        <w:b/>
        <w:i/>
        <w:u w:val="single"/>
      </w:rPr>
    </w:pPr>
    <w:r>
      <w:t></w:t>
    </w:r>
    <w:r>
      <w:rPr>
        <w:rFonts w:hint="eastAsia"/>
      </w:rPr>
      <w:t xml:space="preserve">                                               </w:t>
    </w:r>
  </w:p>
  <w:p w14:paraId="7B942536">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6E03">
    <w:pPr>
      <w:pStyle w:val="17"/>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DDCE">
    <w:pPr>
      <w:pStyle w:val="17"/>
      <w:pBdr>
        <w:bottom w:val="none" w:color="auto" w:sz="0" w:space="1"/>
      </w:pBdr>
      <w:jc w:val="right"/>
      <w:rPr>
        <w:rFonts w:ascii="仿宋_GB2312" w:eastAsia="仿宋_GB2312"/>
        <w:b/>
        <w:i/>
        <w:u w:val="single"/>
      </w:rPr>
    </w:pPr>
    <w:r>
      <w:rPr>
        <w:rFonts w:hint="eastAsia"/>
      </w:rPr>
      <w:t xml:space="preserve">                                 </w:t>
    </w:r>
  </w:p>
  <w:p w14:paraId="75011695">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A71ED">
    <w:pPr>
      <w:pStyle w:val="17"/>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086FC11A"/>
    <w:multiLevelType w:val="singleLevel"/>
    <w:tmpl w:val="086FC11A"/>
    <w:lvl w:ilvl="0" w:tentative="0">
      <w:start w:val="1"/>
      <w:numFmt w:val="chineseCounting"/>
      <w:suff w:val="nothing"/>
      <w:lvlText w:val="%1、"/>
      <w:lvlJc w:val="left"/>
      <w:rPr>
        <w:rFonts w:hint="eastAsia"/>
      </w:rPr>
    </w:lvl>
  </w:abstractNum>
  <w:abstractNum w:abstractNumId="4">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jNjczOGRiNTUyYzkwN2VhNDEwMTdjMjc3ZWJkYWUifQ=="/>
  </w:docVars>
  <w:rsids>
    <w:rsidRoot w:val="004E6532"/>
    <w:rsid w:val="00034901"/>
    <w:rsid w:val="001A0E98"/>
    <w:rsid w:val="004369B5"/>
    <w:rsid w:val="00453F9B"/>
    <w:rsid w:val="004874D5"/>
    <w:rsid w:val="004E6532"/>
    <w:rsid w:val="00532B5F"/>
    <w:rsid w:val="00535688"/>
    <w:rsid w:val="0054723B"/>
    <w:rsid w:val="005A0FB6"/>
    <w:rsid w:val="005B7ED1"/>
    <w:rsid w:val="00616EEA"/>
    <w:rsid w:val="00621873"/>
    <w:rsid w:val="00803953"/>
    <w:rsid w:val="00877893"/>
    <w:rsid w:val="008859D0"/>
    <w:rsid w:val="00AE710C"/>
    <w:rsid w:val="00C73030"/>
    <w:rsid w:val="00D43C04"/>
    <w:rsid w:val="00F01506"/>
    <w:rsid w:val="00FB3DEC"/>
    <w:rsid w:val="00FC4926"/>
    <w:rsid w:val="01487061"/>
    <w:rsid w:val="017E3702"/>
    <w:rsid w:val="01BB7833"/>
    <w:rsid w:val="022507A0"/>
    <w:rsid w:val="027A5089"/>
    <w:rsid w:val="028642E4"/>
    <w:rsid w:val="02FF0DA1"/>
    <w:rsid w:val="03011176"/>
    <w:rsid w:val="03C2759E"/>
    <w:rsid w:val="04133956"/>
    <w:rsid w:val="04146089"/>
    <w:rsid w:val="04330EDE"/>
    <w:rsid w:val="043F7883"/>
    <w:rsid w:val="0449381C"/>
    <w:rsid w:val="04756284"/>
    <w:rsid w:val="04B14F1D"/>
    <w:rsid w:val="05094D59"/>
    <w:rsid w:val="053F7D14"/>
    <w:rsid w:val="05914348"/>
    <w:rsid w:val="05BE57B7"/>
    <w:rsid w:val="05C46291"/>
    <w:rsid w:val="06043E9E"/>
    <w:rsid w:val="064C314F"/>
    <w:rsid w:val="065926F4"/>
    <w:rsid w:val="06EF26FF"/>
    <w:rsid w:val="06FC438C"/>
    <w:rsid w:val="079B1B4C"/>
    <w:rsid w:val="08153A45"/>
    <w:rsid w:val="08C43072"/>
    <w:rsid w:val="08D31906"/>
    <w:rsid w:val="08E9737B"/>
    <w:rsid w:val="08EC5795"/>
    <w:rsid w:val="08F04266"/>
    <w:rsid w:val="08FC70AE"/>
    <w:rsid w:val="0A042457"/>
    <w:rsid w:val="0A8C751F"/>
    <w:rsid w:val="0B095AB3"/>
    <w:rsid w:val="0B30303F"/>
    <w:rsid w:val="0B4D1538"/>
    <w:rsid w:val="0B4E34C6"/>
    <w:rsid w:val="0BFD6A07"/>
    <w:rsid w:val="0C3B7EEE"/>
    <w:rsid w:val="0C436DA2"/>
    <w:rsid w:val="0CA95175"/>
    <w:rsid w:val="0D014A54"/>
    <w:rsid w:val="0D0504FC"/>
    <w:rsid w:val="0D6F2F2E"/>
    <w:rsid w:val="0DCE6B40"/>
    <w:rsid w:val="0E093E23"/>
    <w:rsid w:val="0E161B9F"/>
    <w:rsid w:val="0E985C49"/>
    <w:rsid w:val="0E9E4764"/>
    <w:rsid w:val="0EBD766F"/>
    <w:rsid w:val="0ECE36AE"/>
    <w:rsid w:val="0F0172A8"/>
    <w:rsid w:val="0F431F18"/>
    <w:rsid w:val="0F461684"/>
    <w:rsid w:val="0FB87AA7"/>
    <w:rsid w:val="101C0036"/>
    <w:rsid w:val="10307A90"/>
    <w:rsid w:val="1047169E"/>
    <w:rsid w:val="107F4AD0"/>
    <w:rsid w:val="11651569"/>
    <w:rsid w:val="11C61877"/>
    <w:rsid w:val="120E351C"/>
    <w:rsid w:val="121752FF"/>
    <w:rsid w:val="124F6EB2"/>
    <w:rsid w:val="12DB5F87"/>
    <w:rsid w:val="13727710"/>
    <w:rsid w:val="137C74D8"/>
    <w:rsid w:val="13826402"/>
    <w:rsid w:val="13865CFD"/>
    <w:rsid w:val="13963C5C"/>
    <w:rsid w:val="13CD7831"/>
    <w:rsid w:val="13E72483"/>
    <w:rsid w:val="142B4CEC"/>
    <w:rsid w:val="145642AE"/>
    <w:rsid w:val="14635EBD"/>
    <w:rsid w:val="14CD5DA3"/>
    <w:rsid w:val="14DB226E"/>
    <w:rsid w:val="1528650F"/>
    <w:rsid w:val="154F3251"/>
    <w:rsid w:val="156A6F50"/>
    <w:rsid w:val="15987341"/>
    <w:rsid w:val="15C40F54"/>
    <w:rsid w:val="15E2587E"/>
    <w:rsid w:val="15EF4B8C"/>
    <w:rsid w:val="16413CCC"/>
    <w:rsid w:val="165E2A90"/>
    <w:rsid w:val="165E7BD5"/>
    <w:rsid w:val="167A1613"/>
    <w:rsid w:val="16E178E4"/>
    <w:rsid w:val="16F13FCB"/>
    <w:rsid w:val="17070C1E"/>
    <w:rsid w:val="172F62D6"/>
    <w:rsid w:val="17552F75"/>
    <w:rsid w:val="17712A16"/>
    <w:rsid w:val="17AC492E"/>
    <w:rsid w:val="17EC672F"/>
    <w:rsid w:val="181222ED"/>
    <w:rsid w:val="183463C4"/>
    <w:rsid w:val="188B0CA6"/>
    <w:rsid w:val="18CF43F8"/>
    <w:rsid w:val="18DB244F"/>
    <w:rsid w:val="19125FA8"/>
    <w:rsid w:val="192166BD"/>
    <w:rsid w:val="19B968F6"/>
    <w:rsid w:val="19CF4CDC"/>
    <w:rsid w:val="19FB2A6A"/>
    <w:rsid w:val="1A026B39"/>
    <w:rsid w:val="1A0F4768"/>
    <w:rsid w:val="1A1A55E6"/>
    <w:rsid w:val="1ABD5311"/>
    <w:rsid w:val="1B1C670C"/>
    <w:rsid w:val="1B2D0950"/>
    <w:rsid w:val="1B5C39DD"/>
    <w:rsid w:val="1B7F06C9"/>
    <w:rsid w:val="1BCC2910"/>
    <w:rsid w:val="1BD47C9F"/>
    <w:rsid w:val="1BE63CE0"/>
    <w:rsid w:val="1C071B9A"/>
    <w:rsid w:val="1C350BB6"/>
    <w:rsid w:val="1C90542D"/>
    <w:rsid w:val="1CA76EDA"/>
    <w:rsid w:val="1CD03321"/>
    <w:rsid w:val="1CEA33EA"/>
    <w:rsid w:val="1D780306"/>
    <w:rsid w:val="1DA358F3"/>
    <w:rsid w:val="1DB47B11"/>
    <w:rsid w:val="1DCE4E21"/>
    <w:rsid w:val="1DDC5928"/>
    <w:rsid w:val="1DE35D79"/>
    <w:rsid w:val="1E0F4D36"/>
    <w:rsid w:val="1E522E75"/>
    <w:rsid w:val="1E8219AC"/>
    <w:rsid w:val="1E9E332A"/>
    <w:rsid w:val="1EC30B03"/>
    <w:rsid w:val="205E1FA5"/>
    <w:rsid w:val="209669C5"/>
    <w:rsid w:val="20E35D8B"/>
    <w:rsid w:val="216E7FC6"/>
    <w:rsid w:val="222774F0"/>
    <w:rsid w:val="223C1E72"/>
    <w:rsid w:val="225F5082"/>
    <w:rsid w:val="226F5E1B"/>
    <w:rsid w:val="227855A0"/>
    <w:rsid w:val="22C73E32"/>
    <w:rsid w:val="22CE3412"/>
    <w:rsid w:val="232C0139"/>
    <w:rsid w:val="235651B5"/>
    <w:rsid w:val="23A710EC"/>
    <w:rsid w:val="23F0560A"/>
    <w:rsid w:val="240E7E40"/>
    <w:rsid w:val="243454F7"/>
    <w:rsid w:val="243674C1"/>
    <w:rsid w:val="24681644"/>
    <w:rsid w:val="24974F99"/>
    <w:rsid w:val="24F46A34"/>
    <w:rsid w:val="24F9046C"/>
    <w:rsid w:val="253E0A44"/>
    <w:rsid w:val="2568012B"/>
    <w:rsid w:val="25AB607C"/>
    <w:rsid w:val="25B763DF"/>
    <w:rsid w:val="25CF1F63"/>
    <w:rsid w:val="25E6376D"/>
    <w:rsid w:val="25F37999"/>
    <w:rsid w:val="265D58A6"/>
    <w:rsid w:val="26E372DB"/>
    <w:rsid w:val="272A6E20"/>
    <w:rsid w:val="27545EB0"/>
    <w:rsid w:val="279D33B3"/>
    <w:rsid w:val="27AC5975"/>
    <w:rsid w:val="282C43E5"/>
    <w:rsid w:val="2835183D"/>
    <w:rsid w:val="28446BD2"/>
    <w:rsid w:val="285F68BA"/>
    <w:rsid w:val="286B7752"/>
    <w:rsid w:val="28A95D87"/>
    <w:rsid w:val="28E3465E"/>
    <w:rsid w:val="28E53263"/>
    <w:rsid w:val="297E7214"/>
    <w:rsid w:val="2A0B7EDE"/>
    <w:rsid w:val="2A4C32D1"/>
    <w:rsid w:val="2A9232F3"/>
    <w:rsid w:val="2B0D0685"/>
    <w:rsid w:val="2BFC0FF0"/>
    <w:rsid w:val="2C091017"/>
    <w:rsid w:val="2C26606D"/>
    <w:rsid w:val="2CAB0320"/>
    <w:rsid w:val="2CEF711D"/>
    <w:rsid w:val="2D361F06"/>
    <w:rsid w:val="2D5B4A47"/>
    <w:rsid w:val="2D962D7E"/>
    <w:rsid w:val="2DC12C01"/>
    <w:rsid w:val="2E0A551A"/>
    <w:rsid w:val="2E4427DA"/>
    <w:rsid w:val="2E7A40CB"/>
    <w:rsid w:val="2EE4515F"/>
    <w:rsid w:val="2F2F1DB8"/>
    <w:rsid w:val="2FD16ECD"/>
    <w:rsid w:val="30206C6F"/>
    <w:rsid w:val="30360848"/>
    <w:rsid w:val="305D273A"/>
    <w:rsid w:val="30640F12"/>
    <w:rsid w:val="307849BD"/>
    <w:rsid w:val="307A6CB2"/>
    <w:rsid w:val="31104BF6"/>
    <w:rsid w:val="316A07AA"/>
    <w:rsid w:val="316D5733"/>
    <w:rsid w:val="3175714F"/>
    <w:rsid w:val="31C66DBA"/>
    <w:rsid w:val="31D42AD9"/>
    <w:rsid w:val="31F11D76"/>
    <w:rsid w:val="321B5F48"/>
    <w:rsid w:val="321E6E4E"/>
    <w:rsid w:val="322920DB"/>
    <w:rsid w:val="32A41630"/>
    <w:rsid w:val="32AC6BA0"/>
    <w:rsid w:val="334D277F"/>
    <w:rsid w:val="337964E6"/>
    <w:rsid w:val="33BB0832"/>
    <w:rsid w:val="33C503F2"/>
    <w:rsid w:val="33DC6096"/>
    <w:rsid w:val="34272982"/>
    <w:rsid w:val="349B511E"/>
    <w:rsid w:val="34A83397"/>
    <w:rsid w:val="355B0F59"/>
    <w:rsid w:val="35685585"/>
    <w:rsid w:val="359853D9"/>
    <w:rsid w:val="35FC7E3E"/>
    <w:rsid w:val="360C1DD5"/>
    <w:rsid w:val="36215ACF"/>
    <w:rsid w:val="370A0339"/>
    <w:rsid w:val="37B02C8E"/>
    <w:rsid w:val="37B230F8"/>
    <w:rsid w:val="38121F62"/>
    <w:rsid w:val="384F79BE"/>
    <w:rsid w:val="38563836"/>
    <w:rsid w:val="38591578"/>
    <w:rsid w:val="385D6A11"/>
    <w:rsid w:val="388A3A34"/>
    <w:rsid w:val="38C509BB"/>
    <w:rsid w:val="3921049E"/>
    <w:rsid w:val="39737207"/>
    <w:rsid w:val="39B079DC"/>
    <w:rsid w:val="3A182BAD"/>
    <w:rsid w:val="3AB02FA5"/>
    <w:rsid w:val="3AF47A17"/>
    <w:rsid w:val="3B0500A6"/>
    <w:rsid w:val="3B2D0303"/>
    <w:rsid w:val="3B4E27B7"/>
    <w:rsid w:val="3B84681E"/>
    <w:rsid w:val="3BA42B0A"/>
    <w:rsid w:val="3BC136BC"/>
    <w:rsid w:val="3C3025F0"/>
    <w:rsid w:val="3C3976F6"/>
    <w:rsid w:val="3C5928B0"/>
    <w:rsid w:val="3C8660E7"/>
    <w:rsid w:val="3D034FD9"/>
    <w:rsid w:val="3D211F38"/>
    <w:rsid w:val="3D2708D9"/>
    <w:rsid w:val="3D8F1598"/>
    <w:rsid w:val="3D964084"/>
    <w:rsid w:val="3D976D74"/>
    <w:rsid w:val="3E682515"/>
    <w:rsid w:val="3EAD1CD6"/>
    <w:rsid w:val="3EEA4CD8"/>
    <w:rsid w:val="3F2226C4"/>
    <w:rsid w:val="3F2F5BD9"/>
    <w:rsid w:val="3FF12C21"/>
    <w:rsid w:val="3FFC1167"/>
    <w:rsid w:val="401D732F"/>
    <w:rsid w:val="404716EC"/>
    <w:rsid w:val="40565930"/>
    <w:rsid w:val="406311E6"/>
    <w:rsid w:val="412874DB"/>
    <w:rsid w:val="415154E2"/>
    <w:rsid w:val="41656898"/>
    <w:rsid w:val="41AE11A5"/>
    <w:rsid w:val="41C305BD"/>
    <w:rsid w:val="41C317D4"/>
    <w:rsid w:val="41D6630B"/>
    <w:rsid w:val="420E3033"/>
    <w:rsid w:val="420E7D4A"/>
    <w:rsid w:val="424C7A58"/>
    <w:rsid w:val="431421AB"/>
    <w:rsid w:val="43AC14DC"/>
    <w:rsid w:val="43B753D5"/>
    <w:rsid w:val="43C875B2"/>
    <w:rsid w:val="44227E95"/>
    <w:rsid w:val="44453FC2"/>
    <w:rsid w:val="446B4F27"/>
    <w:rsid w:val="44A92F3F"/>
    <w:rsid w:val="4533775E"/>
    <w:rsid w:val="4574354D"/>
    <w:rsid w:val="45840DA9"/>
    <w:rsid w:val="45A656D1"/>
    <w:rsid w:val="45F62A2E"/>
    <w:rsid w:val="45F823D0"/>
    <w:rsid w:val="46284338"/>
    <w:rsid w:val="46502789"/>
    <w:rsid w:val="470A75E8"/>
    <w:rsid w:val="47484C91"/>
    <w:rsid w:val="47AE7265"/>
    <w:rsid w:val="47AF3794"/>
    <w:rsid w:val="47B45AE3"/>
    <w:rsid w:val="48236574"/>
    <w:rsid w:val="48492400"/>
    <w:rsid w:val="48873801"/>
    <w:rsid w:val="488B2930"/>
    <w:rsid w:val="48BA396D"/>
    <w:rsid w:val="491D1CBF"/>
    <w:rsid w:val="49246A8D"/>
    <w:rsid w:val="494B1258"/>
    <w:rsid w:val="4958211B"/>
    <w:rsid w:val="49770DAF"/>
    <w:rsid w:val="49DE368B"/>
    <w:rsid w:val="49DE7B2F"/>
    <w:rsid w:val="49E2099E"/>
    <w:rsid w:val="4A084FAB"/>
    <w:rsid w:val="4A356245"/>
    <w:rsid w:val="4A940235"/>
    <w:rsid w:val="4AF64A04"/>
    <w:rsid w:val="4B7342A7"/>
    <w:rsid w:val="4B8A5FB1"/>
    <w:rsid w:val="4B9C57F5"/>
    <w:rsid w:val="4BAF77E3"/>
    <w:rsid w:val="4BBE1227"/>
    <w:rsid w:val="4C211F55"/>
    <w:rsid w:val="4C7E1155"/>
    <w:rsid w:val="4C871DB8"/>
    <w:rsid w:val="4C8F29A0"/>
    <w:rsid w:val="4CA24E44"/>
    <w:rsid w:val="4CE849E2"/>
    <w:rsid w:val="4DA32011"/>
    <w:rsid w:val="4DCB232F"/>
    <w:rsid w:val="4DE566F3"/>
    <w:rsid w:val="4EE51018"/>
    <w:rsid w:val="4EEB7913"/>
    <w:rsid w:val="4F060D47"/>
    <w:rsid w:val="4FCF11F8"/>
    <w:rsid w:val="4FEE4E74"/>
    <w:rsid w:val="50083210"/>
    <w:rsid w:val="500B0F52"/>
    <w:rsid w:val="5010292C"/>
    <w:rsid w:val="502A762A"/>
    <w:rsid w:val="50414974"/>
    <w:rsid w:val="507F33AC"/>
    <w:rsid w:val="50D92DFE"/>
    <w:rsid w:val="51363DAD"/>
    <w:rsid w:val="51A67B7E"/>
    <w:rsid w:val="51B734A5"/>
    <w:rsid w:val="522D3402"/>
    <w:rsid w:val="52875411"/>
    <w:rsid w:val="52B6651B"/>
    <w:rsid w:val="52C27015"/>
    <w:rsid w:val="53CC27A6"/>
    <w:rsid w:val="54212AF2"/>
    <w:rsid w:val="54330490"/>
    <w:rsid w:val="54750B71"/>
    <w:rsid w:val="54BC0A6D"/>
    <w:rsid w:val="55036BA4"/>
    <w:rsid w:val="5559571D"/>
    <w:rsid w:val="555B64D8"/>
    <w:rsid w:val="55B61960"/>
    <w:rsid w:val="55B619E6"/>
    <w:rsid w:val="55B66F2D"/>
    <w:rsid w:val="56005579"/>
    <w:rsid w:val="56920EB1"/>
    <w:rsid w:val="56AF7BA3"/>
    <w:rsid w:val="578A4E52"/>
    <w:rsid w:val="57B27F05"/>
    <w:rsid w:val="586A1CF4"/>
    <w:rsid w:val="58D2085F"/>
    <w:rsid w:val="59573918"/>
    <w:rsid w:val="59590710"/>
    <w:rsid w:val="59D94D98"/>
    <w:rsid w:val="59EB6745"/>
    <w:rsid w:val="59F36282"/>
    <w:rsid w:val="5A1300B9"/>
    <w:rsid w:val="5A581029"/>
    <w:rsid w:val="5A6B0418"/>
    <w:rsid w:val="5B164E85"/>
    <w:rsid w:val="5B6C3BFE"/>
    <w:rsid w:val="5B8B1199"/>
    <w:rsid w:val="5B9F3F13"/>
    <w:rsid w:val="5BCD355F"/>
    <w:rsid w:val="5D041203"/>
    <w:rsid w:val="5D1D4073"/>
    <w:rsid w:val="5DE27796"/>
    <w:rsid w:val="5E1B6804"/>
    <w:rsid w:val="5E291DB5"/>
    <w:rsid w:val="5E4915C3"/>
    <w:rsid w:val="5E653F23"/>
    <w:rsid w:val="5E8410F4"/>
    <w:rsid w:val="5EAE6F66"/>
    <w:rsid w:val="5EF054F6"/>
    <w:rsid w:val="5F265461"/>
    <w:rsid w:val="5F2F2E7A"/>
    <w:rsid w:val="5F8E3006"/>
    <w:rsid w:val="5FAA6092"/>
    <w:rsid w:val="604F32A9"/>
    <w:rsid w:val="606C4BDB"/>
    <w:rsid w:val="616B40B4"/>
    <w:rsid w:val="624272DA"/>
    <w:rsid w:val="62456545"/>
    <w:rsid w:val="6289352B"/>
    <w:rsid w:val="62917095"/>
    <w:rsid w:val="634A36E8"/>
    <w:rsid w:val="638E5CCA"/>
    <w:rsid w:val="63AE1B87"/>
    <w:rsid w:val="63C90AB0"/>
    <w:rsid w:val="63CB7154"/>
    <w:rsid w:val="63DD0CDE"/>
    <w:rsid w:val="64005F33"/>
    <w:rsid w:val="64106A0E"/>
    <w:rsid w:val="64243F39"/>
    <w:rsid w:val="648D45B2"/>
    <w:rsid w:val="648E7439"/>
    <w:rsid w:val="64AE0348"/>
    <w:rsid w:val="64CF3B8C"/>
    <w:rsid w:val="64E5191A"/>
    <w:rsid w:val="64ED07CF"/>
    <w:rsid w:val="653B59DE"/>
    <w:rsid w:val="655D7702"/>
    <w:rsid w:val="658A6517"/>
    <w:rsid w:val="65D07CD0"/>
    <w:rsid w:val="67A06958"/>
    <w:rsid w:val="68790F37"/>
    <w:rsid w:val="68925915"/>
    <w:rsid w:val="68C34233"/>
    <w:rsid w:val="694A1AEF"/>
    <w:rsid w:val="69761612"/>
    <w:rsid w:val="69937B96"/>
    <w:rsid w:val="69A80F39"/>
    <w:rsid w:val="69B14C92"/>
    <w:rsid w:val="69DD66F3"/>
    <w:rsid w:val="6A0D369A"/>
    <w:rsid w:val="6A37505A"/>
    <w:rsid w:val="6A4E3B2B"/>
    <w:rsid w:val="6A984540"/>
    <w:rsid w:val="6B19056F"/>
    <w:rsid w:val="6BA0659B"/>
    <w:rsid w:val="6BB34520"/>
    <w:rsid w:val="6C333B5C"/>
    <w:rsid w:val="6C4E533F"/>
    <w:rsid w:val="6D064B23"/>
    <w:rsid w:val="6D2555A0"/>
    <w:rsid w:val="6D7D3037"/>
    <w:rsid w:val="6E15718D"/>
    <w:rsid w:val="6E7A7577"/>
    <w:rsid w:val="6EB36961"/>
    <w:rsid w:val="6EB42D97"/>
    <w:rsid w:val="6EC46A44"/>
    <w:rsid w:val="6ED24445"/>
    <w:rsid w:val="6F720EAC"/>
    <w:rsid w:val="6FDD4CA3"/>
    <w:rsid w:val="707B1384"/>
    <w:rsid w:val="70C47C0F"/>
    <w:rsid w:val="71146562"/>
    <w:rsid w:val="7146712D"/>
    <w:rsid w:val="715275D8"/>
    <w:rsid w:val="71704C61"/>
    <w:rsid w:val="71A87053"/>
    <w:rsid w:val="71DD3F80"/>
    <w:rsid w:val="720A0C12"/>
    <w:rsid w:val="72281098"/>
    <w:rsid w:val="74774F3D"/>
    <w:rsid w:val="74B11819"/>
    <w:rsid w:val="74C463D7"/>
    <w:rsid w:val="74D95234"/>
    <w:rsid w:val="7563260F"/>
    <w:rsid w:val="75680786"/>
    <w:rsid w:val="75840CDB"/>
    <w:rsid w:val="75A50454"/>
    <w:rsid w:val="75A562CE"/>
    <w:rsid w:val="75B24D84"/>
    <w:rsid w:val="75B94E29"/>
    <w:rsid w:val="75C56449"/>
    <w:rsid w:val="761C1DB6"/>
    <w:rsid w:val="7654281B"/>
    <w:rsid w:val="772A140E"/>
    <w:rsid w:val="77756B2D"/>
    <w:rsid w:val="779571D0"/>
    <w:rsid w:val="77A64F39"/>
    <w:rsid w:val="77B5517C"/>
    <w:rsid w:val="77B70EF4"/>
    <w:rsid w:val="77C43C7B"/>
    <w:rsid w:val="78085BF3"/>
    <w:rsid w:val="782A7918"/>
    <w:rsid w:val="788C2381"/>
    <w:rsid w:val="78E8332F"/>
    <w:rsid w:val="78F47F26"/>
    <w:rsid w:val="792A3C52"/>
    <w:rsid w:val="795F1843"/>
    <w:rsid w:val="79A10D5C"/>
    <w:rsid w:val="7A0F2BA3"/>
    <w:rsid w:val="7A1E16FE"/>
    <w:rsid w:val="7A5C507C"/>
    <w:rsid w:val="7AB210C4"/>
    <w:rsid w:val="7AE77D42"/>
    <w:rsid w:val="7B0F257F"/>
    <w:rsid w:val="7B3B184D"/>
    <w:rsid w:val="7C120DEF"/>
    <w:rsid w:val="7C43369E"/>
    <w:rsid w:val="7CB00608"/>
    <w:rsid w:val="7CCF0A8E"/>
    <w:rsid w:val="7CD6006E"/>
    <w:rsid w:val="7CE338D3"/>
    <w:rsid w:val="7D2C6D56"/>
    <w:rsid w:val="7D893EF3"/>
    <w:rsid w:val="7DB87774"/>
    <w:rsid w:val="7DFC1BF7"/>
    <w:rsid w:val="7E8A55B4"/>
    <w:rsid w:val="7E996565"/>
    <w:rsid w:val="7EC02D84"/>
    <w:rsid w:val="7EF67AE6"/>
    <w:rsid w:val="7F49406F"/>
    <w:rsid w:val="7F533BF8"/>
    <w:rsid w:val="7F741DC0"/>
    <w:rsid w:val="7F7D0066"/>
    <w:rsid w:val="7F7D0C75"/>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ind w:firstLine="425"/>
      <w:outlineLvl w:val="0"/>
    </w:pPr>
    <w:rPr>
      <w:b/>
      <w:bCs/>
      <w:i/>
      <w:iCs/>
      <w:sz w:val="52"/>
      <w:szCs w:val="20"/>
    </w:rPr>
  </w:style>
  <w:style w:type="paragraph" w:styleId="3">
    <w:name w:val="heading 2"/>
    <w:basedOn w:val="1"/>
    <w:next w:val="1"/>
    <w:link w:val="39"/>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5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qFormat/>
    <w:uiPriority w:val="0"/>
    <w:pPr>
      <w:keepNext/>
      <w:keepLines/>
      <w:spacing w:before="240" w:beforeLines="0" w:after="64" w:afterLines="0" w:line="317" w:lineRule="auto"/>
      <w:outlineLvl w:val="5"/>
    </w:pPr>
    <w:rPr>
      <w:rFonts w:ascii="Cambria" w:hAnsi="Cambria"/>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link w:val="60"/>
    <w:unhideWhenUsed/>
    <w:qFormat/>
    <w:uiPriority w:val="99"/>
    <w:pPr>
      <w:jc w:val="left"/>
    </w:pPr>
  </w:style>
  <w:style w:type="paragraph" w:styleId="9">
    <w:name w:val="Body Text"/>
    <w:basedOn w:val="1"/>
    <w:next w:val="10"/>
    <w:link w:val="43"/>
    <w:qFormat/>
    <w:uiPriority w:val="0"/>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
    <w:qFormat/>
    <w:uiPriority w:val="0"/>
    <w:pPr>
      <w:widowControl w:val="0"/>
      <w:autoSpaceDE w:val="0"/>
      <w:autoSpaceDN w:val="0"/>
      <w:adjustRightInd w:val="0"/>
    </w:pPr>
    <w:rPr>
      <w:rFonts w:ascii="Times New Roman" w:hAnsi="Times New Roman" w:eastAsia="宋体" w:cs="Times New Roman"/>
      <w:sz w:val="28"/>
      <w:lang w:val="en-US" w:eastAsia="zh-CN" w:bidi="ar-SA"/>
    </w:rPr>
  </w:style>
  <w:style w:type="paragraph" w:styleId="11">
    <w:name w:val="Body Text Indent"/>
    <w:basedOn w:val="1"/>
    <w:next w:val="1"/>
    <w:link w:val="40"/>
    <w:qFormat/>
    <w:uiPriority w:val="0"/>
    <w:pPr>
      <w:spacing w:line="480" w:lineRule="exact"/>
      <w:ind w:firstLine="480" w:firstLineChars="200"/>
    </w:pPr>
    <w:rPr>
      <w:rFonts w:ascii="宋体" w:hAnsi="宋体"/>
      <w:sz w:val="24"/>
    </w:rPr>
  </w:style>
  <w:style w:type="paragraph" w:styleId="12">
    <w:name w:val="toc 3"/>
    <w:basedOn w:val="1"/>
    <w:next w:val="1"/>
    <w:qFormat/>
    <w:uiPriority w:val="0"/>
    <w:pPr>
      <w:ind w:left="840" w:leftChars="400"/>
    </w:pPr>
    <w:rPr>
      <w:rFonts w:ascii="Times New Roman" w:hAnsi="Times New Roman"/>
    </w:rPr>
  </w:style>
  <w:style w:type="paragraph" w:styleId="13">
    <w:name w:val="Plain Text"/>
    <w:basedOn w:val="1"/>
    <w:next w:val="1"/>
    <w:link w:val="42"/>
    <w:qFormat/>
    <w:uiPriority w:val="0"/>
    <w:rPr>
      <w:rFonts w:ascii="宋体" w:hAnsi="Courier New" w:cs="Arial"/>
      <w:snapToGrid w:val="0"/>
      <w:szCs w:val="21"/>
    </w:rPr>
  </w:style>
  <w:style w:type="paragraph" w:styleId="14">
    <w:name w:val="Date"/>
    <w:basedOn w:val="1"/>
    <w:next w:val="1"/>
    <w:link w:val="41"/>
    <w:qFormat/>
    <w:uiPriority w:val="0"/>
    <w:pPr>
      <w:ind w:left="100" w:leftChars="2500"/>
    </w:pPr>
    <w:rPr>
      <w:rFonts w:ascii="宋体"/>
      <w:sz w:val="24"/>
      <w:szCs w:val="21"/>
      <w:lang w:val="zh-CN"/>
    </w:rPr>
  </w:style>
  <w:style w:type="paragraph" w:styleId="15">
    <w:name w:val="Balloon Text"/>
    <w:basedOn w:val="1"/>
    <w:link w:val="56"/>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toc 6"/>
    <w:basedOn w:val="1"/>
    <w:next w:val="1"/>
    <w:qFormat/>
    <w:uiPriority w:val="39"/>
    <w:pPr>
      <w:ind w:left="1000" w:leftChars="1000"/>
    </w:pPr>
  </w:style>
  <w:style w:type="paragraph" w:styleId="20">
    <w:name w:val="HTML Preformatted"/>
    <w:basedOn w:val="1"/>
    <w:qFormat/>
    <w:uiPriority w:val="0"/>
    <w:rPr>
      <w:rFonts w:ascii="Courier New" w:hAnsi="Courier New" w:eastAsia="仿宋_GB2312"/>
      <w:b/>
      <w:sz w:val="32"/>
      <w:szCs w:val="32"/>
      <w:lang w:val="en-GB"/>
    </w:rPr>
  </w:style>
  <w:style w:type="paragraph" w:styleId="21">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22">
    <w:name w:val="annotation subject"/>
    <w:basedOn w:val="8"/>
    <w:next w:val="8"/>
    <w:link w:val="61"/>
    <w:unhideWhenUsed/>
    <w:qFormat/>
    <w:uiPriority w:val="99"/>
    <w:rPr>
      <w:b/>
      <w:bCs/>
    </w:rPr>
  </w:style>
  <w:style w:type="paragraph" w:styleId="23">
    <w:name w:val="Body Text First Indent 2"/>
    <w:basedOn w:val="11"/>
    <w:next w:val="1"/>
    <w:unhideWhenUsed/>
    <w:qFormat/>
    <w:uiPriority w:val="99"/>
    <w:pPr>
      <w:ind w:firstLine="420"/>
    </w:pPr>
  </w:style>
  <w:style w:type="table" w:styleId="25">
    <w:name w:val="Table Grid"/>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rPr>
      <w:rFonts w:ascii="Arial" w:hAnsi="Arial" w:eastAsia="黑体" w:cs="Arial"/>
      <w:snapToGrid w:val="0"/>
      <w:kern w:val="0"/>
      <w:szCs w:val="21"/>
    </w:rPr>
  </w:style>
  <w:style w:type="character" w:styleId="28">
    <w:name w:val="FollowedHyperlink"/>
    <w:basedOn w:val="26"/>
    <w:semiHidden/>
    <w:unhideWhenUsed/>
    <w:qFormat/>
    <w:uiPriority w:val="99"/>
    <w:rPr>
      <w:color w:val="800080"/>
      <w:u w:val="none"/>
    </w:rPr>
  </w:style>
  <w:style w:type="character" w:styleId="29">
    <w:name w:val="Hyperlink"/>
    <w:qFormat/>
    <w:uiPriority w:val="99"/>
    <w:rPr>
      <w:rFonts w:ascii="Arial" w:hAnsi="Arial" w:eastAsia="黑体" w:cs="Arial"/>
      <w:snapToGrid w:val="0"/>
      <w:color w:val="000000"/>
      <w:kern w:val="0"/>
      <w:sz w:val="18"/>
      <w:szCs w:val="18"/>
      <w:u w:val="none"/>
    </w:rPr>
  </w:style>
  <w:style w:type="character" w:styleId="30">
    <w:name w:val="annotation reference"/>
    <w:basedOn w:val="26"/>
    <w:unhideWhenUsed/>
    <w:qFormat/>
    <w:uiPriority w:val="99"/>
    <w:rPr>
      <w:sz w:val="21"/>
      <w:szCs w:val="21"/>
    </w:rPr>
  </w:style>
  <w:style w:type="paragraph" w:customStyle="1" w:styleId="31">
    <w:name w:val="BodyText"/>
    <w:basedOn w:val="1"/>
    <w:next w:val="1"/>
    <w:qFormat/>
    <w:uiPriority w:val="0"/>
    <w:pPr>
      <w:spacing w:before="100" w:beforeAutospacing="1" w:after="120"/>
      <w:jc w:val="both"/>
      <w:textAlignment w:val="baseline"/>
    </w:pPr>
    <w:rPr>
      <w:kern w:val="0"/>
      <w:sz w:val="20"/>
      <w:szCs w:val="21"/>
      <w:lang w:val="en-US" w:eastAsia="zh-CN" w:bidi="ar-SA"/>
    </w:rPr>
  </w:style>
  <w:style w:type="paragraph" w:customStyle="1" w:styleId="3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33">
    <w:name w:val="列出段落1"/>
    <w:basedOn w:val="1"/>
    <w:link w:val="57"/>
    <w:qFormat/>
    <w:uiPriority w:val="0"/>
    <w:pPr>
      <w:ind w:firstLine="420" w:firstLineChars="200"/>
    </w:pPr>
    <w:rPr>
      <w:rFonts w:ascii="Times New Roman" w:hAnsi="Times New Roman" w:eastAsiaTheme="minorEastAsia" w:cstheme="minorBidi"/>
    </w:rPr>
  </w:style>
  <w:style w:type="paragraph" w:customStyle="1" w:styleId="34">
    <w:name w:val="List Paragraph"/>
    <w:basedOn w:val="1"/>
    <w:qFormat/>
    <w:uiPriority w:val="0"/>
    <w:pPr>
      <w:ind w:firstLine="420" w:firstLineChars="200"/>
    </w:pPr>
    <w:rPr>
      <w:rFonts w:ascii="Calibri" w:hAnsi="Calibri"/>
      <w:szCs w:val="22"/>
    </w:rPr>
  </w:style>
  <w:style w:type="paragraph" w:customStyle="1" w:styleId="35">
    <w:name w:val="_Style 3"/>
    <w:basedOn w:val="1"/>
    <w:qFormat/>
    <w:uiPriority w:val="0"/>
    <w:pPr>
      <w:ind w:firstLine="420" w:firstLineChars="200"/>
    </w:pPr>
    <w:rPr>
      <w:rFonts w:eastAsia="仿宋_GB2312"/>
      <w:sz w:val="28"/>
    </w:rPr>
  </w:style>
  <w:style w:type="paragraph" w:customStyle="1" w:styleId="3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页眉 字符"/>
    <w:basedOn w:val="26"/>
    <w:link w:val="17"/>
    <w:qFormat/>
    <w:uiPriority w:val="99"/>
    <w:rPr>
      <w:sz w:val="18"/>
      <w:szCs w:val="18"/>
    </w:rPr>
  </w:style>
  <w:style w:type="character" w:customStyle="1" w:styleId="38">
    <w:name w:val="页脚 字符"/>
    <w:basedOn w:val="26"/>
    <w:link w:val="16"/>
    <w:qFormat/>
    <w:uiPriority w:val="99"/>
    <w:rPr>
      <w:sz w:val="18"/>
      <w:szCs w:val="18"/>
    </w:rPr>
  </w:style>
  <w:style w:type="character" w:customStyle="1" w:styleId="39">
    <w:name w:val="标题 2 字符"/>
    <w:basedOn w:val="26"/>
    <w:link w:val="3"/>
    <w:qFormat/>
    <w:uiPriority w:val="0"/>
    <w:rPr>
      <w:rFonts w:ascii="仿宋_GB2312" w:hAnsi="仿宋" w:eastAsia="仿宋_GB2312" w:cs="Times New Roman"/>
      <w:b/>
      <w:bCs/>
      <w:sz w:val="32"/>
      <w:szCs w:val="32"/>
      <w:lang w:val="zh-CN"/>
    </w:rPr>
  </w:style>
  <w:style w:type="character" w:customStyle="1" w:styleId="40">
    <w:name w:val="正文文本缩进 字符"/>
    <w:basedOn w:val="26"/>
    <w:link w:val="11"/>
    <w:qFormat/>
    <w:uiPriority w:val="0"/>
    <w:rPr>
      <w:rFonts w:ascii="宋体" w:hAnsi="宋体" w:eastAsia="宋体" w:cs="Times New Roman"/>
      <w:sz w:val="24"/>
      <w:szCs w:val="24"/>
    </w:rPr>
  </w:style>
  <w:style w:type="character" w:customStyle="1" w:styleId="41">
    <w:name w:val="日期 字符"/>
    <w:basedOn w:val="26"/>
    <w:link w:val="14"/>
    <w:qFormat/>
    <w:uiPriority w:val="0"/>
    <w:rPr>
      <w:rFonts w:ascii="宋体" w:hAnsi="Calibri" w:eastAsia="宋体" w:cs="Times New Roman"/>
      <w:sz w:val="24"/>
      <w:szCs w:val="21"/>
      <w:lang w:val="zh-CN"/>
    </w:rPr>
  </w:style>
  <w:style w:type="character" w:customStyle="1" w:styleId="42">
    <w:name w:val="纯文本 字符"/>
    <w:basedOn w:val="26"/>
    <w:link w:val="13"/>
    <w:qFormat/>
    <w:uiPriority w:val="0"/>
    <w:rPr>
      <w:rFonts w:ascii="宋体" w:hAnsi="Courier New" w:eastAsia="宋体" w:cs="Arial"/>
      <w:snapToGrid w:val="0"/>
      <w:szCs w:val="21"/>
    </w:rPr>
  </w:style>
  <w:style w:type="character" w:customStyle="1" w:styleId="43">
    <w:name w:val="正文文本 字符"/>
    <w:basedOn w:val="26"/>
    <w:link w:val="9"/>
    <w:qFormat/>
    <w:uiPriority w:val="0"/>
    <w:rPr>
      <w:rFonts w:ascii="宋体" w:hAnsi="Arial" w:eastAsia="宋体" w:cs="Arial"/>
      <w:snapToGrid w:val="0"/>
      <w:sz w:val="24"/>
      <w:szCs w:val="21"/>
      <w:lang w:val="zh-CN"/>
    </w:rPr>
  </w:style>
  <w:style w:type="paragraph" w:customStyle="1" w:styleId="44">
    <w:name w:val="索引 11"/>
    <w:basedOn w:val="1"/>
    <w:next w:val="1"/>
    <w:qFormat/>
    <w:uiPriority w:val="99"/>
    <w:pPr>
      <w:spacing w:line="360" w:lineRule="auto"/>
    </w:pPr>
    <w:rPr>
      <w:rFonts w:ascii="仿宋_GB2312" w:eastAsia="仿宋_GB2312"/>
      <w:sz w:val="24"/>
      <w:szCs w:val="20"/>
    </w:rPr>
  </w:style>
  <w:style w:type="paragraph" w:customStyle="1" w:styleId="4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8">
    <w:name w:val="纯文本1"/>
    <w:basedOn w:val="1"/>
    <w:qFormat/>
    <w:uiPriority w:val="0"/>
    <w:rPr>
      <w:rFonts w:ascii="宋体" w:hAnsi="Courier New"/>
      <w:kern w:val="0"/>
      <w:sz w:val="20"/>
      <w:szCs w:val="20"/>
    </w:rPr>
  </w:style>
  <w:style w:type="paragraph" w:customStyle="1" w:styleId="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qFormat/>
    <w:uiPriority w:val="0"/>
    <w:rPr>
      <w:rFonts w:ascii="宋体" w:hAnsi="Courier New"/>
      <w:szCs w:val="21"/>
    </w:rPr>
  </w:style>
  <w:style w:type="paragraph" w:customStyle="1" w:styleId="51">
    <w:name w:val="正文2"/>
    <w:basedOn w:val="1"/>
    <w:qFormat/>
    <w:uiPriority w:val="0"/>
    <w:pPr>
      <w:spacing w:before="156" w:line="360" w:lineRule="auto"/>
      <w:ind w:firstLine="510" w:firstLineChars="200"/>
    </w:pPr>
    <w:rPr>
      <w:sz w:val="24"/>
      <w:szCs w:val="20"/>
    </w:rPr>
  </w:style>
  <w:style w:type="paragraph" w:customStyle="1" w:styleId="52">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3">
    <w:name w:val="标题 3 字符"/>
    <w:basedOn w:val="26"/>
    <w:link w:val="4"/>
    <w:semiHidden/>
    <w:qFormat/>
    <w:uiPriority w:val="9"/>
    <w:rPr>
      <w:rFonts w:ascii="Calibri" w:hAnsi="Calibri" w:eastAsia="宋体" w:cs="Times New Roman"/>
      <w:b/>
      <w:bCs/>
      <w:sz w:val="32"/>
      <w:szCs w:val="32"/>
    </w:rPr>
  </w:style>
  <w:style w:type="character" w:customStyle="1" w:styleId="54">
    <w:name w:val="标题 4 字符"/>
    <w:basedOn w:val="26"/>
    <w:link w:val="5"/>
    <w:semiHidden/>
    <w:qFormat/>
    <w:uiPriority w:val="9"/>
    <w:rPr>
      <w:rFonts w:asciiTheme="majorHAnsi" w:hAnsiTheme="majorHAnsi" w:eastAsiaTheme="majorEastAsia" w:cstheme="majorBidi"/>
      <w:b/>
      <w:bCs/>
      <w:sz w:val="28"/>
      <w:szCs w:val="28"/>
    </w:rPr>
  </w:style>
  <w:style w:type="paragraph" w:customStyle="1" w:styleId="55">
    <w:name w:val="标题4"/>
    <w:basedOn w:val="1"/>
    <w:qFormat/>
    <w:uiPriority w:val="0"/>
    <w:rPr>
      <w:rFonts w:ascii="Times New Roman" w:hAnsi="Times New Roman" w:eastAsia="仿宋_GB2312"/>
      <w:sz w:val="32"/>
      <w:szCs w:val="20"/>
    </w:rPr>
  </w:style>
  <w:style w:type="character" w:customStyle="1" w:styleId="56">
    <w:name w:val="批注框文本 字符"/>
    <w:basedOn w:val="26"/>
    <w:link w:val="15"/>
    <w:semiHidden/>
    <w:qFormat/>
    <w:uiPriority w:val="99"/>
    <w:rPr>
      <w:rFonts w:ascii="Calibri" w:hAnsi="Calibri" w:eastAsia="宋体" w:cs="Times New Roman"/>
      <w:sz w:val="18"/>
      <w:szCs w:val="18"/>
    </w:rPr>
  </w:style>
  <w:style w:type="character" w:customStyle="1" w:styleId="57">
    <w:name w:val="List Paragraph Char"/>
    <w:link w:val="33"/>
    <w:qFormat/>
    <w:locked/>
    <w:uiPriority w:val="0"/>
    <w:rPr>
      <w:rFonts w:ascii="Times New Roman" w:hAnsi="Times New Roman"/>
      <w:szCs w:val="24"/>
    </w:rPr>
  </w:style>
  <w:style w:type="paragraph" w:customStyle="1" w:styleId="58">
    <w:name w:val="列表段落1"/>
    <w:basedOn w:val="1"/>
    <w:qFormat/>
    <w:uiPriority w:val="99"/>
    <w:pPr>
      <w:ind w:firstLine="420" w:firstLineChars="200"/>
    </w:pPr>
  </w:style>
  <w:style w:type="paragraph" w:customStyle="1" w:styleId="59">
    <w:name w:val="修订1"/>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字符"/>
    <w:basedOn w:val="26"/>
    <w:link w:val="8"/>
    <w:semiHidden/>
    <w:qFormat/>
    <w:uiPriority w:val="99"/>
    <w:rPr>
      <w:rFonts w:ascii="Calibri" w:hAnsi="Calibri"/>
      <w:kern w:val="2"/>
      <w:sz w:val="21"/>
      <w:szCs w:val="24"/>
    </w:rPr>
  </w:style>
  <w:style w:type="character" w:customStyle="1" w:styleId="61">
    <w:name w:val="批注主题 字符"/>
    <w:basedOn w:val="60"/>
    <w:link w:val="22"/>
    <w:semiHidden/>
    <w:qFormat/>
    <w:uiPriority w:val="99"/>
    <w:rPr>
      <w:rFonts w:ascii="Calibri" w:hAnsi="Calibri"/>
      <w:b/>
      <w:bCs/>
      <w:kern w:val="2"/>
      <w:sz w:val="21"/>
      <w:szCs w:val="24"/>
    </w:rPr>
  </w:style>
  <w:style w:type="paragraph" w:customStyle="1" w:styleId="62">
    <w:name w:val="修订2"/>
    <w:hidden/>
    <w:semiHidden/>
    <w:qFormat/>
    <w:uiPriority w:val="99"/>
    <w:rPr>
      <w:rFonts w:ascii="Calibri" w:hAnsi="Calibri" w:eastAsia="宋体" w:cs="Times New Roman"/>
      <w:kern w:val="2"/>
      <w:sz w:val="21"/>
      <w:szCs w:val="24"/>
      <w:lang w:val="en-US" w:eastAsia="zh-CN" w:bidi="ar-SA"/>
    </w:rPr>
  </w:style>
  <w:style w:type="paragraph" w:customStyle="1" w:styleId="63">
    <w:name w:val="修订3"/>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6"/>
    <w:qFormat/>
    <w:uiPriority w:val="0"/>
    <w:rPr>
      <w:color w:val="FF6600"/>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公告正文"/>
    <w:basedOn w:val="1"/>
    <w:qFormat/>
    <w:uiPriority w:val="0"/>
    <w:pPr>
      <w:spacing w:line="400" w:lineRule="atLeast"/>
      <w:ind w:firstLine="437"/>
    </w:pPr>
    <w:rPr>
      <w:rFonts w:ascii="宋体" w:hAnsi="宋体"/>
      <w:kern w:val="0"/>
      <w:sz w:val="24"/>
    </w:rPr>
  </w:style>
  <w:style w:type="paragraph" w:customStyle="1" w:styleId="67">
    <w:name w:val="须知二级小标题"/>
    <w:basedOn w:val="1"/>
    <w:qFormat/>
    <w:uiPriority w:val="0"/>
    <w:pPr>
      <w:spacing w:line="500" w:lineRule="exact"/>
    </w:pPr>
    <w:rPr>
      <w:rFonts w:ascii="宋体"/>
      <w:b/>
      <w:sz w:val="24"/>
    </w:rPr>
  </w:style>
  <w:style w:type="paragraph" w:customStyle="1" w:styleId="68">
    <w:name w:val="Plain Text"/>
    <w:basedOn w:val="1"/>
    <w:qFormat/>
    <w:uiPriority w:val="0"/>
    <w:rPr>
      <w:rFonts w:ascii="宋体" w:hAnsi="Courier New" w:eastAsia="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75</Pages>
  <Words>26806</Words>
  <Characters>29067</Characters>
  <Lines>245</Lines>
  <Paragraphs>69</Paragraphs>
  <TotalTime>42</TotalTime>
  <ScaleCrop>false</ScaleCrop>
  <LinksUpToDate>false</LinksUpToDate>
  <CharactersWithSpaces>30431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月寒秋夜无影</cp:lastModifiedBy>
  <cp:lastPrinted>2024-07-19T03:10:00Z</cp:lastPrinted>
  <dcterms:modified xsi:type="dcterms:W3CDTF">2025-02-20T07:01:02Z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BDB6F2CE8C6B446EB77CC58B9E9BBCFD_13</vt:lpwstr>
  </property>
  <property fmtid="{D5CDD505-2E9C-101B-9397-08002B2CF9AE}" pid="4" name="KSOTemplateDocerSaveRecord">
    <vt:lpwstr>eyJoZGlkIjoiMDJjNjczOGRiNTUyYzkwN2VhNDEwMTdjMjc3ZWJkYWUiLCJ1c2VySWQiOiI0NjAzMjEwMzgifQ==</vt:lpwstr>
  </property>
</Properties>
</file>