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建德市林业总场寿昌林场现代化林场能力提升项目</w:t>
      </w:r>
    </w:p>
    <w:p>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36"/>
          <w:szCs w:val="36"/>
          <w:highlight w:val="none"/>
          <w:lang w:eastAsia="zh-CN"/>
        </w:rPr>
        <w:t>-生态智慧林场建设项目</w:t>
      </w:r>
      <w:r>
        <w:rPr>
          <w:rFonts w:hint="eastAsia" w:ascii="宋体" w:hAnsi="宋体" w:eastAsia="宋体" w:cs="宋体"/>
          <w:color w:val="auto"/>
          <w:sz w:val="40"/>
          <w:szCs w:val="40"/>
          <w:highlight w:val="none"/>
        </w:rPr>
        <w:t xml:space="preserve"> </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非政府采购</w:t>
      </w:r>
      <w:r>
        <w:rPr>
          <w:rFonts w:hint="eastAsia" w:ascii="宋体" w:hAnsi="宋体" w:eastAsia="宋体" w:cs="宋体"/>
          <w:b/>
          <w:color w:val="auto"/>
          <w:sz w:val="36"/>
          <w:szCs w:val="36"/>
          <w:highlight w:val="none"/>
        </w:rPr>
        <w:t>）（电子招投标）</w:t>
      </w: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jc w:val="center"/>
        <w:rPr>
          <w:rFonts w:hint="eastAsia" w:ascii="宋体" w:hAnsi="宋体" w:eastAsia="宋体" w:cs="宋体"/>
          <w:b/>
          <w:color w:val="auto"/>
          <w:sz w:val="30"/>
          <w:szCs w:val="30"/>
          <w:highlight w:val="none"/>
          <w:lang w:val="en-US" w:eastAsia="zh-CN"/>
        </w:rPr>
      </w:pPr>
      <w:bookmarkStart w:id="0" w:name="OLE_LINK8"/>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b w:val="0"/>
          <w:bCs/>
          <w:color w:val="auto"/>
          <w:sz w:val="30"/>
          <w:szCs w:val="30"/>
          <w:highlight w:val="none"/>
          <w:lang w:eastAsia="zh-CN"/>
        </w:rPr>
        <w:t>JDBWCG2025-030</w:t>
      </w:r>
    </w:p>
    <w:bookmarkEnd w:id="0"/>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建德市寿昌林场</w:t>
      </w: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杭州博望建设工程招标投标代理有限公司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9822"/>
      <w:bookmarkEnd w:id="5"/>
      <w:bookmarkStart w:id="6" w:name="_Hlt74707423"/>
      <w:bookmarkEnd w:id="6"/>
      <w:bookmarkStart w:id="7" w:name="_Hlt74649545"/>
      <w:bookmarkEnd w:id="7"/>
      <w:bookmarkStart w:id="8" w:name="_Hlt74728647"/>
      <w:bookmarkEnd w:id="8"/>
      <w:bookmarkStart w:id="9" w:name="_Toc91899870"/>
      <w:bookmarkStart w:id="10" w:name="第二部分"/>
      <w:bookmarkStart w:id="11"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建德市林业总场寿昌林场现代化林场能力提升项目-生态智慧林场建设项目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cs="宋体"/>
          <w:b/>
          <w:bCs/>
          <w:color w:val="auto"/>
          <w:sz w:val="24"/>
          <w:highlight w:val="none"/>
          <w:lang w:eastAsia="zh-CN"/>
        </w:rPr>
        <w:t>2025年3月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lang w:eastAsia="zh-CN"/>
        </w:rPr>
        <w:t>日</w:t>
      </w:r>
      <w:r>
        <w:rPr>
          <w:rFonts w:hint="eastAsia" w:ascii="宋体" w:hAnsi="宋体" w:cs="宋体"/>
          <w:b/>
          <w:bCs/>
          <w:color w:val="auto"/>
          <w:sz w:val="24"/>
          <w:highlight w:val="none"/>
          <w:lang w:val="en-US" w:eastAsia="zh-CN"/>
        </w:rPr>
        <w:t>09</w:t>
      </w:r>
      <w:r>
        <w:rPr>
          <w:rFonts w:hint="eastAsia" w:ascii="宋体" w:hAnsi="宋体" w:eastAsia="宋体" w:cs="宋体"/>
          <w:b/>
          <w:bCs/>
          <w:color w:val="auto"/>
          <w:sz w:val="24"/>
          <w:highlight w:val="none"/>
        </w:rPr>
        <w:t>点</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lang w:eastAsia="zh-CN"/>
        </w:rPr>
        <w:t xml:space="preserve">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bookmarkStart w:id="12" w:name="OLE_LINK7"/>
      <w:r>
        <w:rPr>
          <w:rFonts w:hint="eastAsia" w:ascii="宋体" w:hAnsi="宋体" w:cs="宋体"/>
          <w:color w:val="auto"/>
          <w:sz w:val="24"/>
          <w:highlight w:val="none"/>
          <w:lang w:eastAsia="zh-CN"/>
        </w:rPr>
        <w:t>建德市林业总场寿昌林场现代化林场能力提升项目-生态智慧林场建设项目</w:t>
      </w:r>
      <w:bookmarkEnd w:id="12"/>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 xml:space="preserve">2000000.00 </w:t>
      </w:r>
    </w:p>
    <w:p>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 xml:space="preserve">2000000.00 </w:t>
      </w:r>
      <w:r>
        <w:rPr>
          <w:rFonts w:hint="eastAsia" w:ascii="宋体" w:hAnsi="宋体" w:cs="宋体"/>
          <w:b/>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color w:val="auto"/>
          <w:sz w:val="24"/>
          <w:szCs w:val="24"/>
          <w:highlight w:val="none"/>
          <w:lang w:eastAsia="zh-CN"/>
        </w:rPr>
        <w:t>建德市林业总场寿昌林场现代化林场能力提升项目-生态智慧林场建设项目设备（系统）一批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cs="宋体"/>
          <w:b w:val="0"/>
          <w:bCs/>
          <w:color w:val="auto"/>
          <w:sz w:val="24"/>
          <w:highlight w:val="none"/>
          <w:lang w:eastAsia="zh-CN"/>
        </w:rPr>
        <w:t>中标人在签订合同后，必须在</w:t>
      </w:r>
      <w:r>
        <w:rPr>
          <w:rFonts w:hint="eastAsia" w:ascii="宋体" w:hAnsi="宋体" w:cs="宋体"/>
          <w:b w:val="0"/>
          <w:bCs/>
          <w:color w:val="auto"/>
          <w:sz w:val="24"/>
          <w:highlight w:val="none"/>
          <w:lang w:val="en-US" w:eastAsia="zh-CN"/>
        </w:rPr>
        <w:t>2025年6月30日前</w:t>
      </w:r>
      <w:r>
        <w:rPr>
          <w:rFonts w:hint="eastAsia" w:ascii="宋体" w:hAnsi="宋体" w:cs="宋体"/>
          <w:b w:val="0"/>
          <w:bCs/>
          <w:color w:val="auto"/>
          <w:sz w:val="24"/>
          <w:highlight w:val="none"/>
          <w:lang w:eastAsia="zh-CN"/>
        </w:rPr>
        <w:t>按采购单位要求完成交货、安装调试完成，无质量问题并通过最终验收后交付采购单位使用。</w:t>
      </w:r>
    </w:p>
    <w:p>
      <w:pPr>
        <w:pStyle w:val="6"/>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投标人均应满足以下资格要求：</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 基本</w:t>
      </w:r>
      <w:r>
        <w:rPr>
          <w:rFonts w:hint="eastAsia" w:ascii="宋体" w:hAnsi="宋体" w:eastAsia="宋体" w:cs="宋体"/>
          <w:b/>
          <w:color w:val="auto"/>
          <w:sz w:val="24"/>
          <w:highlight w:val="none"/>
        </w:rPr>
        <w:t>资格要求</w:t>
      </w:r>
      <w:r>
        <w:rPr>
          <w:rFonts w:hint="eastAsia" w:ascii="宋体" w:hAnsi="宋体" w:eastAsia="宋体" w:cs="宋体"/>
          <w:b/>
          <w:color w:val="auto"/>
          <w:sz w:val="24"/>
          <w:highlight w:val="none"/>
          <w:lang w:eastAsia="zh-CN"/>
        </w:rPr>
        <w:t>：</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具有独立承担民事责任的能力；</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 xml:space="preserve">具有良好的商业信誉和健全的财务会计制度； </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具有履行合同所必需的设备和专业技术能力；</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lang w:eastAsia="zh-CN"/>
        </w:rPr>
        <w:t>有依法缴纳税收和社会保障资金的良好记录；</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5.参加采购活动前三年内，在经营活动中没有重大违法记录；</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6.具有法律、行政法规规定的其他条件。</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eastAsia="zh-CN"/>
        </w:rPr>
        <w:t>三</w:t>
      </w:r>
      <w:r>
        <w:rPr>
          <w:rFonts w:hint="eastAsia" w:ascii="宋体" w:hAnsi="宋体" w:eastAsia="宋体" w:cs="宋体"/>
          <w:b w:val="0"/>
          <w:bCs/>
          <w:color w:val="auto"/>
          <w:sz w:val="24"/>
          <w:highlight w:val="none"/>
          <w:lang w:eastAsia="zh-CN"/>
        </w:rPr>
        <w:t>）本项目的特定资格要求：无；</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四</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cs="宋体"/>
          <w:color w:val="auto"/>
          <w:sz w:val="24"/>
          <w:highlight w:val="none"/>
          <w:u w:val="single"/>
          <w:lang w:eastAsia="zh-CN"/>
        </w:rPr>
        <w:t>2025年3月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u w:val="single"/>
        </w:rPr>
        <w:t xml:space="preserve">，每天上午 00:00至12:00 ，下午 12:00至23:59 </w:t>
      </w:r>
      <w:r>
        <w:rPr>
          <w:rFonts w:hint="eastAsia" w:ascii="宋体" w:hAnsi="宋体" w:eastAsia="宋体" w:cs="宋体"/>
          <w:color w:val="auto"/>
          <w:sz w:val="24"/>
          <w:highlight w:val="none"/>
        </w:rPr>
        <w:t>（北京时间，线上获取法定节假日均可，线下获取文件法定节假日除外）</w:t>
      </w:r>
      <w:r>
        <w:rPr>
          <w:rFonts w:hint="eastAsia" w:ascii="宋体" w:hAnsi="宋体" w:eastAsia="宋体" w:cs="宋体"/>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地点（网址）：</w:t>
      </w:r>
      <w:bookmarkStart w:id="13" w:name="OLE_LINK9"/>
      <w:r>
        <w:rPr>
          <w:rFonts w:hint="eastAsia" w:ascii="宋体" w:hAnsi="宋体" w:cs="宋体"/>
          <w:color w:val="auto"/>
          <w:sz w:val="24"/>
          <w:highlight w:val="none"/>
          <w:lang w:eastAsia="zh-CN"/>
        </w:rPr>
        <w:t>乐采云平台（https://www.lecaiyun.com/）</w:t>
      </w:r>
      <w:bookmarkEnd w:id="13"/>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注册成为乐采云平台供应商后，登录平台-项目采购-获取采购文件）。</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b w:val="0"/>
          <w:bCs/>
          <w:color w:val="auto"/>
          <w:sz w:val="24"/>
          <w:highlight w:val="none"/>
          <w:lang w:eastAsia="zh-CN"/>
        </w:rPr>
        <w:t>免费</w:t>
      </w:r>
      <w:r>
        <w:rPr>
          <w:rFonts w:hint="eastAsia" w:ascii="宋体" w:hAnsi="宋体" w:eastAsia="宋体" w:cs="宋体"/>
          <w:b/>
          <w:color w:val="auto"/>
          <w:sz w:val="24"/>
          <w:highlight w:val="none"/>
        </w:rPr>
        <w:tab/>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供应商获取采购文件时须提交的文件资料：</w:t>
      </w:r>
      <w:r>
        <w:rPr>
          <w:rFonts w:hint="eastAsia" w:ascii="宋体" w:hAnsi="宋体" w:eastAsia="宋体" w:cs="宋体"/>
          <w:b w:val="0"/>
          <w:bCs/>
          <w:color w:val="auto"/>
          <w:sz w:val="24"/>
          <w:highlight w:val="none"/>
        </w:rPr>
        <w:t>无。</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提示：</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七、提交投标文件截止时间与地点：</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1.提交投标文件截止时间：</w:t>
      </w:r>
      <w:r>
        <w:rPr>
          <w:rFonts w:hint="eastAsia" w:ascii="宋体" w:hAnsi="宋体" w:eastAsia="宋体" w:cs="宋体"/>
          <w:snapToGrid/>
          <w:color w:val="auto"/>
          <w:kern w:val="2"/>
          <w:sz w:val="24"/>
          <w:szCs w:val="24"/>
          <w:highlight w:val="none"/>
          <w:lang w:val="en-US" w:eastAsia="zh-CN" w:bidi="ar-SA"/>
        </w:rPr>
        <w:t>202</w:t>
      </w:r>
      <w:r>
        <w:rPr>
          <w:rFonts w:hint="eastAsia"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w:t>
      </w:r>
      <w:r>
        <w:rPr>
          <w:rFonts w:hint="eastAsia"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月</w:t>
      </w:r>
      <w:r>
        <w:rPr>
          <w:rFonts w:hint="eastAsia" w:hAnsi="宋体" w:cs="宋体"/>
          <w:snapToGrid/>
          <w:color w:val="auto"/>
          <w:kern w:val="2"/>
          <w:sz w:val="24"/>
          <w:szCs w:val="24"/>
          <w:highlight w:val="none"/>
          <w:lang w:val="en-US" w:eastAsia="zh-CN" w:bidi="ar-SA"/>
        </w:rPr>
        <w:t>27日09</w:t>
      </w:r>
      <w:r>
        <w:rPr>
          <w:rFonts w:hint="eastAsia" w:ascii="宋体" w:hAnsi="宋体" w:eastAsia="宋体" w:cs="宋体"/>
          <w:snapToGrid/>
          <w:color w:val="auto"/>
          <w:kern w:val="2"/>
          <w:sz w:val="24"/>
          <w:szCs w:val="24"/>
          <w:highlight w:val="none"/>
          <w:lang w:val="en-US" w:eastAsia="zh-CN" w:bidi="ar-SA"/>
        </w:rPr>
        <w:t>时00分（北京时间）；</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eastAsia="zh-CN"/>
        </w:rPr>
        <w:t>、开标时间与地点：</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w:t>
      </w:r>
      <w:r>
        <w:rPr>
          <w:rFonts w:hint="eastAsia" w:ascii="宋体" w:hAnsi="宋体" w:eastAsia="宋体" w:cs="宋体"/>
          <w:snapToGrid/>
          <w:color w:val="auto"/>
          <w:kern w:val="2"/>
          <w:sz w:val="24"/>
          <w:szCs w:val="24"/>
          <w:highlight w:val="none"/>
          <w:lang w:val="en-US" w:eastAsia="zh-CN" w:bidi="ar-SA"/>
        </w:rPr>
        <w:t>202</w:t>
      </w:r>
      <w:r>
        <w:rPr>
          <w:rFonts w:hint="eastAsia"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w:t>
      </w:r>
      <w:r>
        <w:rPr>
          <w:rFonts w:hint="eastAsia"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en-US" w:eastAsia="zh-CN" w:bidi="ar-SA"/>
        </w:rPr>
        <w:t>月</w:t>
      </w:r>
      <w:r>
        <w:rPr>
          <w:rFonts w:hint="eastAsia" w:hAnsi="宋体" w:cs="宋体"/>
          <w:snapToGrid/>
          <w:color w:val="auto"/>
          <w:kern w:val="2"/>
          <w:sz w:val="24"/>
          <w:szCs w:val="24"/>
          <w:highlight w:val="none"/>
          <w:lang w:val="en-US" w:eastAsia="zh-CN" w:bidi="ar-SA"/>
        </w:rPr>
        <w:t>27日09</w:t>
      </w:r>
      <w:r>
        <w:rPr>
          <w:rFonts w:hint="eastAsia" w:ascii="宋体" w:hAnsi="宋体" w:eastAsia="宋体" w:cs="宋体"/>
          <w:snapToGrid/>
          <w:color w:val="auto"/>
          <w:kern w:val="2"/>
          <w:sz w:val="24"/>
          <w:szCs w:val="24"/>
          <w:highlight w:val="none"/>
          <w:lang w:val="en-US" w:eastAsia="zh-CN" w:bidi="ar-SA"/>
        </w:rPr>
        <w:t>时</w:t>
      </w:r>
      <w:r>
        <w:rPr>
          <w:rFonts w:hint="eastAsia" w:hAnsi="宋体" w:cs="宋体"/>
          <w:snapToGrid/>
          <w:color w:val="auto"/>
          <w:kern w:val="2"/>
          <w:sz w:val="24"/>
          <w:szCs w:val="24"/>
          <w:highlight w:val="none"/>
          <w:lang w:val="en-US" w:eastAsia="zh-CN" w:bidi="ar-SA"/>
        </w:rPr>
        <w:t>00</w:t>
      </w:r>
      <w:r>
        <w:rPr>
          <w:rFonts w:hint="eastAsia" w:ascii="宋体" w:hAnsi="宋体" w:eastAsia="宋体" w:cs="宋体"/>
          <w:snapToGrid/>
          <w:color w:val="auto"/>
          <w:kern w:val="2"/>
          <w:sz w:val="24"/>
          <w:szCs w:val="24"/>
          <w:highlight w:val="none"/>
          <w:lang w:val="en-US" w:eastAsia="zh-CN" w:bidi="ar-SA"/>
        </w:rPr>
        <w:t>分（北京时间）；</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r>
        <w:rPr>
          <w:rFonts w:hint="eastAsia" w:hAnsi="宋体" w:cs="宋体"/>
          <w:snapToGrid/>
          <w:color w:val="auto"/>
          <w:kern w:val="2"/>
          <w:sz w:val="24"/>
          <w:szCs w:val="24"/>
          <w:highlight w:val="none"/>
          <w:lang w:val="en-US" w:eastAsia="zh-CN" w:bidi="ar-SA"/>
        </w:rPr>
        <w:t>，</w:t>
      </w:r>
      <w:r>
        <w:rPr>
          <w:rFonts w:hint="eastAsia" w:hAnsi="宋体" w:cs="宋体"/>
          <w:snapToGrid/>
          <w:color w:val="auto"/>
          <w:kern w:val="2"/>
          <w:sz w:val="24"/>
          <w:szCs w:val="24"/>
          <w:highlight w:val="none"/>
          <w:lang w:val="en-US" w:eastAsia="zh-CN" w:bidi="ar-SA"/>
        </w:rPr>
        <w:t>实行在线开标响应。</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九、公告期限 </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十、本项目为非政府采购项目。</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、电子招投标的说明：</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1.电子招投标：本项目以数据电文形式，依托“乐采云平台（www.lecaiyun.com）”进行招投标活动，各投标人应按照本项目采购文件和乐采云平台的要求编制、加密并递交投标文件，不接受纸质投标文件。</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2.投标准备：</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申领CA数字证书---申领流程详见“乐采云平台-服务中心-CA管理-申领CA证书-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办理流程详见:CA管理操作指南https://lecaiyun.com/helpcenter/document#/document/detail?siteCode=lecaiyun&amp;manualId=2185&amp;topicId=12851</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3.采购文件的获取：使用账号登录或者使用CA登录乐采云平台；进入“项目采购”应用，在获取采购文件菜单中选择项目，获取采购文件。</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4.投标文件的制作：在“乐采云电子交易客户端”中完成“填写基本信息”、“导入投标文件”、“标书关联”、“标书检查”、“电子签名”、“生成电子标书”等操作。</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5.投标文件的传输递交：投标人在投标截止时间前将加密的投标文件上传至乐采云平台。</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6.投标文件的解密：投标人按照平台提示和采购文件的规定在开标时间起30分钟内完成在线解密。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7.供应商在使用系统进行投标的过程中遇到涉及平台使用的任何问题，可致电乐采云平台技术支持热线咨询，联系方式：95763。</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十一、对本次采购提出询问、质疑、投诉，请按以下方式联系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建德市寿昌林场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14" w:name="OLE_LINK4"/>
      <w:r>
        <w:rPr>
          <w:rFonts w:hint="eastAsia" w:ascii="宋体" w:hAnsi="宋体" w:cs="宋体"/>
          <w:color w:val="auto"/>
          <w:sz w:val="24"/>
          <w:highlight w:val="none"/>
          <w:lang w:eastAsia="zh-CN"/>
        </w:rPr>
        <w:t>建德市寿昌镇文化路</w:t>
      </w:r>
      <w:r>
        <w:rPr>
          <w:rFonts w:hint="eastAsia" w:ascii="宋体" w:hAnsi="宋体" w:cs="宋体"/>
          <w:color w:val="auto"/>
          <w:sz w:val="24"/>
          <w:highlight w:val="none"/>
          <w:lang w:val="en-US" w:eastAsia="zh-CN"/>
        </w:rPr>
        <w:t>19号</w:t>
      </w:r>
      <w:bookmarkEnd w:id="14"/>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bookmarkStart w:id="15" w:name="OLE_LINK12"/>
      <w:r>
        <w:rPr>
          <w:rFonts w:hint="eastAsia" w:ascii="宋体" w:hAnsi="宋体" w:cs="宋体"/>
          <w:color w:val="auto"/>
          <w:sz w:val="24"/>
          <w:highlight w:val="none"/>
          <w:lang w:val="en-US" w:eastAsia="zh-CN"/>
        </w:rPr>
        <w:t>叶先生</w:t>
      </w:r>
      <w:bookmarkEnd w:id="15"/>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bookmarkStart w:id="16" w:name="OLE_LINK3"/>
      <w:bookmarkStart w:id="17" w:name="OLE_LINK2"/>
      <w:r>
        <w:rPr>
          <w:rFonts w:hint="eastAsia" w:ascii="宋体" w:hAnsi="宋体" w:cs="宋体"/>
          <w:color w:val="auto"/>
          <w:sz w:val="24"/>
          <w:highlight w:val="none"/>
          <w:lang w:val="en-US" w:eastAsia="zh-CN"/>
        </w:rPr>
        <w:t>17826806829</w:t>
      </w:r>
      <w:bookmarkEnd w:id="16"/>
      <w:r>
        <w:rPr>
          <w:rFonts w:hint="eastAsia" w:ascii="宋体" w:hAnsi="宋体" w:cs="宋体"/>
          <w:color w:val="auto"/>
          <w:sz w:val="24"/>
          <w:highlight w:val="none"/>
        </w:rPr>
        <w:t xml:space="preserve"> </w:t>
      </w:r>
      <w:bookmarkEnd w:id="17"/>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范先生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13868007707</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杭州博望建设工程招标投标代理有限公司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18" w:name="OLE_LINK13"/>
      <w:r>
        <w:rPr>
          <w:rFonts w:hint="eastAsia" w:ascii="宋体" w:hAnsi="宋体" w:eastAsia="宋体" w:cs="宋体"/>
          <w:color w:val="auto"/>
          <w:sz w:val="24"/>
          <w:szCs w:val="24"/>
          <w:highlight w:val="none"/>
        </w:rPr>
        <w:t>浙江省建德市新安江街道新安财富城6幢b座</w:t>
      </w:r>
      <w:r>
        <w:rPr>
          <w:rFonts w:hint="eastAsia" w:ascii="宋体" w:hAnsi="宋体" w:cs="宋体"/>
          <w:color w:val="auto"/>
          <w:sz w:val="24"/>
          <w:szCs w:val="24"/>
          <w:highlight w:val="none"/>
          <w:lang w:val="en-US" w:eastAsia="zh-CN"/>
        </w:rPr>
        <w:t>1201</w:t>
      </w:r>
      <w:r>
        <w:rPr>
          <w:rFonts w:hint="eastAsia" w:ascii="宋体" w:hAnsi="宋体" w:eastAsia="宋体" w:cs="宋体"/>
          <w:color w:val="auto"/>
          <w:sz w:val="24"/>
          <w:szCs w:val="24"/>
          <w:highlight w:val="none"/>
        </w:rPr>
        <w:t>室</w:t>
      </w:r>
      <w:bookmarkEnd w:id="18"/>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szCs w:val="24"/>
          <w:highlight w:val="none"/>
          <w:lang w:val="en-US" w:eastAsia="zh-CN"/>
        </w:rPr>
        <w:t>/</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陈先生</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13758155274</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黄先生</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质疑联系方式：0571-64182360</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同级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监督管理部门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称：建德市林业局纪委</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址：建德市新安江街道新安路</w:t>
      </w:r>
      <w:r>
        <w:rPr>
          <w:rFonts w:hint="eastAsia" w:ascii="宋体" w:hAnsi="宋体" w:eastAsia="宋体" w:cs="宋体"/>
          <w:color w:val="auto"/>
          <w:sz w:val="24"/>
          <w:highlight w:val="none"/>
          <w:lang w:val="en-US" w:eastAsia="zh-CN"/>
        </w:rPr>
        <w:t>91号</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w:t>
      </w:r>
      <w:r>
        <w:rPr>
          <w:rFonts w:hint="eastAsia" w:ascii="宋体" w:hAnsi="宋体" w:eastAsia="宋体" w:cs="宋体"/>
          <w:color w:val="auto"/>
          <w:sz w:val="24"/>
          <w:highlight w:val="none"/>
          <w:lang w:val="en-US" w:eastAsia="zh-CN"/>
        </w:rPr>
        <w:t>吴女士</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w:t>
      </w:r>
      <w:r>
        <w:rPr>
          <w:rFonts w:hint="eastAsia" w:ascii="宋体" w:hAnsi="宋体" w:eastAsia="宋体" w:cs="宋体"/>
          <w:color w:val="auto"/>
          <w:sz w:val="24"/>
          <w:highlight w:val="none"/>
          <w:lang w:val="en-US" w:eastAsia="zh-CN"/>
        </w:rPr>
        <w:t>13738019758</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若对项目采购电子交易系统操作有疑问，可登录乐采云（</w:t>
      </w:r>
      <w:r>
        <w:rPr>
          <w:rFonts w:hint="eastAsia" w:ascii="宋体" w:hAnsi="宋体" w:eastAsia="宋体" w:cs="宋体"/>
          <w:b w:val="0"/>
          <w:bCs/>
          <w:color w:val="auto"/>
          <w:sz w:val="24"/>
          <w:highlight w:val="none"/>
          <w:lang w:val="en-US" w:eastAsia="zh-CN"/>
        </w:rPr>
        <w:fldChar w:fldCharType="begin"/>
      </w:r>
      <w:r>
        <w:rPr>
          <w:rFonts w:hint="eastAsia" w:ascii="宋体" w:hAnsi="宋体" w:eastAsia="宋体" w:cs="宋体"/>
          <w:b w:val="0"/>
          <w:bCs/>
          <w:color w:val="auto"/>
          <w:sz w:val="24"/>
          <w:highlight w:val="none"/>
          <w:lang w:val="en-US" w:eastAsia="zh-CN"/>
        </w:rPr>
        <w:instrText xml:space="preserve"> HYPERLINK "采购文件（7.9新版本）.doc" </w:instrText>
      </w:r>
      <w:r>
        <w:rPr>
          <w:rFonts w:hint="eastAsia" w:ascii="宋体" w:hAnsi="宋体" w:eastAsia="宋体" w:cs="宋体"/>
          <w:b w:val="0"/>
          <w:bCs/>
          <w:color w:val="auto"/>
          <w:sz w:val="24"/>
          <w:highlight w:val="none"/>
          <w:lang w:val="en-US" w:eastAsia="zh-CN"/>
        </w:rPr>
        <w:fldChar w:fldCharType="separate"/>
      </w:r>
      <w:r>
        <w:rPr>
          <w:rFonts w:hint="eastAsia" w:ascii="宋体" w:hAnsi="宋体" w:eastAsia="宋体" w:cs="宋体"/>
          <w:b w:val="0"/>
          <w:bCs/>
          <w:color w:val="auto"/>
          <w:sz w:val="24"/>
          <w:highlight w:val="none"/>
          <w:lang w:val="en-US" w:eastAsia="zh-CN"/>
        </w:rPr>
        <w:t>https://www.lecaiyun.com/</w:t>
      </w:r>
      <w:r>
        <w:rPr>
          <w:rFonts w:hint="eastAsia" w:ascii="宋体" w:hAnsi="宋体" w:eastAsia="宋体" w:cs="宋体"/>
          <w:b w:val="0"/>
          <w:bCs/>
          <w:color w:val="auto"/>
          <w:sz w:val="24"/>
          <w:highlight w:val="none"/>
          <w:lang w:val="en-US" w:eastAsia="zh-CN"/>
        </w:rPr>
        <w:fldChar w:fldCharType="end"/>
      </w:r>
      <w:r>
        <w:rPr>
          <w:rFonts w:hint="eastAsia" w:ascii="宋体" w:hAnsi="宋体" w:eastAsia="宋体" w:cs="宋体"/>
          <w:b w:val="0"/>
          <w:bCs/>
          <w:color w:val="auto"/>
          <w:sz w:val="24"/>
          <w:highlight w:val="none"/>
          <w:lang w:val="en-US" w:eastAsia="zh-CN"/>
        </w:rPr>
        <w:t>），点击右侧咨询小采，获取采小蜜智能服务管家帮助，或拨打政采云有限公司服务热线95763获取热线服务帮助。</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CA问题联系电话（人工）：汇信CA 400-888-4636；天谷CA 400-087-8198。</w:t>
      </w:r>
    </w:p>
    <w:p>
      <w:pPr>
        <w:pStyle w:val="37"/>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bookmarkEnd w:id="9"/>
    <w:bookmarkEnd w:id="10"/>
    <w:bookmarkEnd w:id="11"/>
    <w:p>
      <w:pPr>
        <w:adjustRightInd/>
        <w:spacing w:line="360" w:lineRule="auto"/>
        <w:ind w:firstLine="723"/>
        <w:jc w:val="center"/>
        <w:outlineLvl w:val="0"/>
        <w:rPr>
          <w:rFonts w:ascii="宋体" w:hAnsi="宋体" w:cs="宋体"/>
          <w:b/>
          <w:color w:val="auto"/>
          <w:sz w:val="36"/>
          <w:szCs w:val="20"/>
          <w:highlight w:val="none"/>
        </w:rPr>
      </w:pPr>
      <w:bookmarkStart w:id="19" w:name="_Toc91899903"/>
      <w:bookmarkStart w:id="20" w:name="第三部分"/>
      <w:bookmarkStart w:id="21" w:name="_Toc164416483"/>
      <w:r>
        <w:rPr>
          <w:rFonts w:hint="eastAsia" w:ascii="宋体" w:hAnsi="宋体" w:cs="宋体"/>
          <w:b/>
          <w:color w:val="auto"/>
          <w:sz w:val="36"/>
          <w:szCs w:val="20"/>
          <w:highlight w:val="none"/>
        </w:rPr>
        <w:t>第二部分 投标人须知</w:t>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6"/>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8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72" w:type="dxa"/>
            <w:vAlign w:val="center"/>
          </w:tcPr>
          <w:p>
            <w:pPr>
              <w:snapToGrid w:val="0"/>
              <w:ind w:firstLine="482"/>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2" w:hRule="atLeast"/>
          <w:tblHeader/>
        </w:trPr>
        <w:tc>
          <w:tcPr>
            <w:tcW w:w="629" w:type="dxa"/>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72" w:type="dxa"/>
            <w:vAlign w:val="center"/>
          </w:tcPr>
          <w:p>
            <w:pPr>
              <w:rPr>
                <w:rFonts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sz w:val="24"/>
                <w:highlight w:val="none"/>
              </w:rPr>
              <w:t>单一产品或核心产品为：</w:t>
            </w:r>
            <w:r>
              <w:rPr>
                <w:rFonts w:hint="eastAsia" w:ascii="宋体" w:hAnsi="宋体" w:cs="宋体"/>
                <w:color w:val="auto"/>
                <w:sz w:val="24"/>
                <w:highlight w:val="none"/>
                <w:u w:val="single"/>
                <w:lang w:val="en-US" w:eastAsia="zh-CN"/>
              </w:rPr>
              <w:t>生态保护宣传智能终端</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w:t>
            </w:r>
          </w:p>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进口产品</w:t>
            </w:r>
          </w:p>
        </w:tc>
        <w:tc>
          <w:tcPr>
            <w:tcW w:w="6472"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pPr>
              <w:rPr>
                <w:rFonts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2" w:hRule="atLeast"/>
          <w:tblHeader/>
        </w:trPr>
        <w:tc>
          <w:tcPr>
            <w:tcW w:w="629" w:type="dxa"/>
          </w:tcPr>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786" w:type="dxa"/>
            <w:vAlign w:val="center"/>
          </w:tcPr>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分包</w:t>
            </w:r>
          </w:p>
        </w:tc>
        <w:tc>
          <w:tcPr>
            <w:tcW w:w="6472" w:type="dxa"/>
            <w:vAlign w:val="center"/>
          </w:tcPr>
          <w:p>
            <w:pPr>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rPr>
                <w:rFonts w:ascii="宋体" w:hAnsi="宋体" w:eastAsia="宋体" w:cs="宋体"/>
                <w:color w:val="auto"/>
                <w:kern w:val="2"/>
                <w:sz w:val="24"/>
                <w:szCs w:val="24"/>
                <w:highlight w:val="none"/>
                <w:lang w:val="en-US" w:eastAsia="zh-CN" w:bidi="ar-SA"/>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00" w:hRule="atLeast"/>
          <w:tblHeader/>
        </w:trPr>
        <w:tc>
          <w:tcPr>
            <w:tcW w:w="629" w:type="dxa"/>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786" w:type="dxa"/>
            <w:vAlign w:val="center"/>
          </w:tcPr>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开标前答疑会或现场考察</w:t>
            </w:r>
          </w:p>
        </w:tc>
        <w:tc>
          <w:tcPr>
            <w:tcW w:w="6472" w:type="dxa"/>
            <w:vAlign w:val="center"/>
          </w:tcPr>
          <w:p>
            <w:pPr>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rPr>
                <w:rFonts w:ascii="宋体" w:hAnsi="宋体" w:eastAsia="宋体" w:cs="宋体"/>
                <w:color w:val="auto"/>
                <w:kern w:val="2"/>
                <w:sz w:val="24"/>
                <w:szCs w:val="20"/>
                <w:highlight w:val="none"/>
                <w:lang w:val="en-US" w:eastAsia="zh-CN" w:bidi="ar-SA"/>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tblHeader/>
        </w:trPr>
        <w:tc>
          <w:tcPr>
            <w:tcW w:w="629" w:type="dxa"/>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786" w:type="dxa"/>
            <w:vAlign w:val="center"/>
          </w:tcPr>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样品提供</w:t>
            </w:r>
          </w:p>
        </w:tc>
        <w:tc>
          <w:tcPr>
            <w:tcW w:w="6472" w:type="dxa"/>
            <w:vAlign w:val="center"/>
          </w:tcPr>
          <w:p>
            <w:pPr>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9" w:hRule="atLeast"/>
          <w:tblHeader/>
        </w:trPr>
        <w:tc>
          <w:tcPr>
            <w:tcW w:w="629" w:type="dxa"/>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786" w:type="dxa"/>
            <w:vAlign w:val="center"/>
          </w:tcPr>
          <w:p>
            <w:pPr>
              <w:snapToGrid w:val="0"/>
              <w:jc w:val="center"/>
              <w:rPr>
                <w:rFonts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方案讲解演示</w:t>
            </w:r>
          </w:p>
        </w:tc>
        <w:tc>
          <w:tcPr>
            <w:tcW w:w="6472" w:type="dxa"/>
            <w:vAlign w:val="center"/>
          </w:tcPr>
          <w:p>
            <w:pPr>
              <w:snapToGrid w:val="0"/>
              <w:spacing w:line="24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B组织。</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rPr>
              <w:t>人。讲解演示结束后按要求解答评标委员会提问。</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在线讲解演示。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在线讲解需投标人根据</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操作要求做好准备工作，提前完善软硬件配置环境。</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建议各投标人将演示视频制作成光盘或U盘并进行密封作为备份文件</w:t>
            </w:r>
            <w:r>
              <w:rPr>
                <w:rFonts w:hint="eastAsia" w:ascii="宋体" w:hAnsi="宋体" w:cs="宋体"/>
                <w:color w:val="auto"/>
                <w:kern w:val="0"/>
                <w:sz w:val="24"/>
                <w:highlight w:val="none"/>
                <w:lang w:val="en-US" w:eastAsia="zh-CN"/>
              </w:rPr>
              <w:t>，在因平台原因导致本项目演示环节无法顺利开展的情况下，将采用演示视频的备份文件。备份文件要求详见招标文件内容</w:t>
            </w:r>
            <w:r>
              <w:rPr>
                <w:rFonts w:hint="eastAsia" w:ascii="宋体" w:hAnsi="宋体" w:cs="宋体"/>
                <w:color w:val="auto"/>
                <w:kern w:val="0"/>
                <w:sz w:val="24"/>
                <w:highlight w:val="none"/>
              </w:rPr>
              <w:t>。</w:t>
            </w:r>
          </w:p>
          <w:p>
            <w:pPr>
              <w:snapToGrid w:val="0"/>
              <w:spacing w:line="240" w:lineRule="auto"/>
              <w:rPr>
                <w:rFonts w:ascii="宋体" w:hAnsi="宋体" w:eastAsia="宋体" w:cs="宋体"/>
                <w:b/>
                <w:color w:val="auto"/>
                <w:kern w:val="0"/>
                <w:sz w:val="24"/>
                <w:szCs w:val="24"/>
                <w:highlight w:val="none"/>
                <w:lang w:val="zh-CN" w:eastAsia="zh-CN" w:bidi="ar-SA"/>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1" w:hRule="atLeast"/>
          <w:tblHeader/>
        </w:trPr>
        <w:tc>
          <w:tcPr>
            <w:tcW w:w="629" w:type="dxa"/>
            <w:vMerge w:val="restart"/>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786" w:type="dxa"/>
            <w:vMerge w:val="restart"/>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72" w:type="dxa"/>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（1）资格证明文件：见招标文件第二部分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tblHeader/>
        </w:trPr>
        <w:tc>
          <w:tcPr>
            <w:tcW w:w="629" w:type="dxa"/>
            <w:vMerge w:val="continue"/>
          </w:tcPr>
          <w:p>
            <w:pPr>
              <w:snapToGrid w:val="0"/>
              <w:jc w:val="center"/>
              <w:rPr>
                <w:rFonts w:ascii="宋体" w:hAnsi="宋体" w:cs="宋体"/>
                <w:color w:val="auto"/>
                <w:sz w:val="24"/>
                <w:highlight w:val="none"/>
              </w:rPr>
            </w:pPr>
          </w:p>
        </w:tc>
        <w:tc>
          <w:tcPr>
            <w:tcW w:w="1786" w:type="dxa"/>
            <w:vMerge w:val="continue"/>
            <w:vAlign w:val="center"/>
          </w:tcPr>
          <w:p>
            <w:pPr>
              <w:snapToGrid w:val="0"/>
              <w:ind w:firstLine="482"/>
              <w:jc w:val="center"/>
              <w:rPr>
                <w:rFonts w:ascii="宋体" w:hAnsi="宋体" w:cs="宋体"/>
                <w:b/>
                <w:color w:val="auto"/>
                <w:sz w:val="24"/>
                <w:highlight w:val="none"/>
              </w:rPr>
            </w:pPr>
          </w:p>
        </w:tc>
        <w:tc>
          <w:tcPr>
            <w:tcW w:w="6472" w:type="dxa"/>
            <w:vAlign w:val="center"/>
          </w:tcPr>
          <w:p>
            <w:pP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75" w:hRule="atLeast"/>
          <w:tblHeader/>
        </w:trPr>
        <w:tc>
          <w:tcPr>
            <w:tcW w:w="629" w:type="dxa"/>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72" w:type="dxa"/>
            <w:vAlign w:val="center"/>
          </w:tcPr>
          <w:p>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投标报价出现下列情形的，投标无效：</w:t>
            </w:r>
          </w:p>
          <w:p>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pPr>
              <w:snapToGrid w:val="0"/>
              <w:ind w:firstLine="240" w:firstLineChars="100"/>
              <w:jc w:val="left"/>
              <w:rPr>
                <w:rFonts w:hint="eastAsia"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pPr>
              <w:snapToGrid w:val="0"/>
              <w:spacing w:line="240" w:lineRule="auto"/>
              <w:ind w:firstLine="240" w:firstLineChars="100"/>
              <w:jc w:val="left"/>
              <w:rPr>
                <w:color w:val="auto"/>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为避免出现恶意低价竞争的情况，设定投标人的投标报价低于满足招标文件全部实质性要求的所有投标人平均报价的</w:t>
            </w:r>
            <w:r>
              <w:rPr>
                <w:rFonts w:hint="eastAsia" w:ascii="宋体" w:hAnsi="宋体" w:cs="宋体"/>
                <w:b/>
                <w:color w:val="auto"/>
                <w:kern w:val="0"/>
                <w:sz w:val="24"/>
                <w:highlight w:val="none"/>
                <w:u w:val="single"/>
                <w:lang w:val="en-US" w:eastAsia="zh-CN"/>
              </w:rPr>
              <w:t>70</w:t>
            </w:r>
            <w:r>
              <w:rPr>
                <w:rFonts w:hint="eastAsia" w:ascii="宋体" w:hAnsi="宋体" w:eastAsia="宋体" w:cs="宋体"/>
                <w:b/>
                <w:color w:val="auto"/>
                <w:kern w:val="0"/>
                <w:sz w:val="24"/>
                <w:highlight w:val="none"/>
                <w:lang w:val="zh-CN"/>
              </w:rPr>
              <w:t>%作否决投标处理。</w:t>
            </w:r>
          </w:p>
          <w:p>
            <w:pPr>
              <w:ind w:firstLine="240" w:firstLineChars="100"/>
              <w:rPr>
                <w:rFonts w:hint="eastAsia" w:ascii="宋体" w:hAnsi="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ind w:firstLine="240" w:firstLineChars="1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03" w:hRule="atLeast"/>
          <w:tblHeader/>
        </w:trPr>
        <w:tc>
          <w:tcPr>
            <w:tcW w:w="629" w:type="dxa"/>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送达地点和</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签收人员</w:t>
            </w:r>
          </w:p>
        </w:tc>
        <w:tc>
          <w:tcPr>
            <w:tcW w:w="6472" w:type="dxa"/>
            <w:vAlign w:val="center"/>
          </w:tcPr>
          <w:p>
            <w:pPr>
              <w:pStyle w:val="37"/>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浙江省杭州市建德市新安江街道新安东路新安财富城6幢</w:t>
            </w:r>
            <w:r>
              <w:rPr>
                <w:rFonts w:hint="eastAsia" w:hAnsi="宋体" w:cs="宋体"/>
                <w:color w:val="auto"/>
                <w:kern w:val="28"/>
                <w:sz w:val="24"/>
                <w:szCs w:val="24"/>
                <w:highlight w:val="none"/>
                <w:u w:val="single"/>
                <w:lang w:val="en-US" w:eastAsia="zh-CN"/>
              </w:rPr>
              <w:t>B座</w:t>
            </w:r>
            <w:r>
              <w:rPr>
                <w:rFonts w:hint="eastAsia" w:hAnsi="宋体" w:cs="宋体"/>
                <w:color w:val="auto"/>
                <w:kern w:val="28"/>
                <w:sz w:val="24"/>
                <w:szCs w:val="24"/>
                <w:highlight w:val="none"/>
                <w:u w:val="single"/>
              </w:rPr>
              <w:t>120</w:t>
            </w:r>
            <w:r>
              <w:rPr>
                <w:rFonts w:hint="eastAsia" w:hAnsi="宋体" w:cs="宋体"/>
                <w:color w:val="auto"/>
                <w:kern w:val="28"/>
                <w:sz w:val="24"/>
                <w:szCs w:val="24"/>
                <w:highlight w:val="none"/>
                <w:u w:val="single"/>
                <w:lang w:val="en-US" w:eastAsia="zh-CN"/>
              </w:rPr>
              <w:t>1</w:t>
            </w:r>
            <w:r>
              <w:rPr>
                <w:rFonts w:hint="eastAsia" w:hAnsi="宋体" w:cs="宋体"/>
                <w:color w:val="auto"/>
                <w:kern w:val="28"/>
                <w:sz w:val="24"/>
                <w:szCs w:val="24"/>
                <w:highlight w:val="none"/>
                <w:u w:val="single"/>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陈先生</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u w:val="single"/>
                <w:lang w:val="en-US" w:eastAsia="zh-CN"/>
              </w:rPr>
              <w:t>13758155274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03" w:hRule="atLeast"/>
          <w:tblHeader/>
        </w:trPr>
        <w:tc>
          <w:tcPr>
            <w:tcW w:w="629" w:type="dxa"/>
            <w:vAlign w:val="center"/>
          </w:tcPr>
          <w:p>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786" w:type="dxa"/>
            <w:vAlign w:val="center"/>
          </w:tcPr>
          <w:p>
            <w:pPr>
              <w:jc w:val="center"/>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highlight w:val="none"/>
                <w:lang w:val="zh-CN"/>
              </w:rPr>
              <w:t>纸质版投标文件要求</w:t>
            </w:r>
          </w:p>
        </w:tc>
        <w:tc>
          <w:tcPr>
            <w:tcW w:w="6472" w:type="dxa"/>
            <w:vAlign w:val="center"/>
          </w:tcPr>
          <w:p>
            <w:pPr>
              <w:rPr>
                <w:rFonts w:hint="eastAsia" w:ascii="宋体" w:hAnsi="宋体" w:eastAsia="宋体" w:cs="宋体"/>
                <w:snapToGrid w:val="0"/>
                <w:color w:val="auto"/>
                <w:kern w:val="28"/>
                <w:sz w:val="24"/>
                <w:highlight w:val="none"/>
                <w:lang w:val="zh-CN" w:eastAsia="zh-CN"/>
              </w:rPr>
            </w:pPr>
            <w:r>
              <w:rPr>
                <w:rFonts w:hint="eastAsia" w:ascii="宋体" w:hAnsi="宋体" w:eastAsia="宋体" w:cs="宋体"/>
                <w:snapToGrid w:val="0"/>
                <w:color w:val="auto"/>
                <w:kern w:val="28"/>
                <w:sz w:val="24"/>
                <w:highlight w:val="none"/>
                <w:lang w:val="zh-CN" w:eastAsia="zh-CN"/>
              </w:rPr>
              <w:t>中标人必须在中标后三日内递交纸质版投标文件。（未提供纸质投标文件或纸质投标文件与电子投标文件不一致的，不得签订合同）</w:t>
            </w:r>
          </w:p>
          <w:p>
            <w:pPr>
              <w:rPr>
                <w:rFonts w:hint="eastAsia"/>
                <w:color w:val="auto"/>
                <w:highlight w:val="none"/>
              </w:rPr>
            </w:pPr>
            <w:r>
              <w:rPr>
                <w:rFonts w:hint="eastAsia" w:ascii="宋体" w:hAnsi="宋体" w:eastAsia="宋体" w:cs="宋体"/>
                <w:snapToGrid w:val="0"/>
                <w:color w:val="auto"/>
                <w:kern w:val="28"/>
                <w:sz w:val="24"/>
                <w:highlight w:val="none"/>
                <w:lang w:val="zh-CN" w:eastAsia="zh-CN"/>
              </w:rPr>
              <w:t>纸质版</w:t>
            </w:r>
            <w:r>
              <w:rPr>
                <w:rFonts w:hint="eastAsia" w:ascii="宋体" w:hAnsi="宋体" w:eastAsia="宋体" w:cs="宋体"/>
                <w:snapToGrid w:val="0"/>
                <w:color w:val="auto"/>
                <w:kern w:val="28"/>
                <w:sz w:val="24"/>
                <w:highlight w:val="none"/>
                <w:lang w:eastAsia="zh-CN"/>
              </w:rPr>
              <w:t>投标</w:t>
            </w:r>
            <w:r>
              <w:rPr>
                <w:rFonts w:hint="eastAsia" w:ascii="宋体" w:hAnsi="宋体" w:eastAsia="宋体" w:cs="宋体"/>
                <w:snapToGrid w:val="0"/>
                <w:color w:val="auto"/>
                <w:kern w:val="28"/>
                <w:sz w:val="24"/>
                <w:highlight w:val="none"/>
                <w:lang w:val="zh-CN" w:eastAsia="zh-CN"/>
              </w:rPr>
              <w:t>文件的组成：由资格文件、</w:t>
            </w:r>
            <w:r>
              <w:rPr>
                <w:rFonts w:hint="eastAsia" w:ascii="宋体" w:hAnsi="宋体" w:eastAsia="宋体" w:cs="宋体"/>
                <w:snapToGrid w:val="0"/>
                <w:color w:val="auto"/>
                <w:kern w:val="28"/>
                <w:sz w:val="24"/>
                <w:highlight w:val="none"/>
                <w:lang w:eastAsia="zh-CN"/>
              </w:rPr>
              <w:t>商务</w:t>
            </w:r>
            <w:r>
              <w:rPr>
                <w:rFonts w:hint="eastAsia" w:ascii="宋体" w:hAnsi="宋体" w:eastAsia="宋体" w:cs="宋体"/>
                <w:snapToGrid w:val="0"/>
                <w:color w:val="auto"/>
                <w:kern w:val="28"/>
                <w:sz w:val="24"/>
                <w:highlight w:val="none"/>
                <w:lang w:val="zh-CN" w:eastAsia="zh-CN"/>
              </w:rPr>
              <w:t>技术文件、报价文件各正本1份，副本</w:t>
            </w:r>
            <w:r>
              <w:rPr>
                <w:rFonts w:hint="eastAsia" w:ascii="宋体" w:hAnsi="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lang w:eastAsia="zh-CN"/>
              </w:rPr>
              <w:t>份</w:t>
            </w:r>
            <w:r>
              <w:rPr>
                <w:rFonts w:hint="eastAsia" w:ascii="宋体" w:hAnsi="宋体" w:eastAsia="宋体" w:cs="宋体"/>
                <w:snapToGrid w:val="0"/>
                <w:color w:val="auto"/>
                <w:kern w:val="28"/>
                <w:sz w:val="24"/>
                <w:highlight w:val="none"/>
                <w:lang w:val="zh-CN" w:eastAsia="zh-CN"/>
              </w:rPr>
              <w:t>（副本可为正本的复印件，标书封面加盖公章）组成。以上文件须采用胶装装订方式。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786" w:type="dxa"/>
            <w:vAlign w:val="center"/>
          </w:tcPr>
          <w:p>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472" w:type="dxa"/>
            <w:vAlign w:val="center"/>
          </w:tcPr>
          <w:p>
            <w:pPr>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rPr>
                <w:rFonts w:ascii="宋体" w:hAnsi="宋体" w:eastAsia="宋体" w:cs="宋体"/>
                <w:color w:val="auto"/>
                <w:kern w:val="0"/>
                <w:sz w:val="24"/>
                <w:highlight w:val="none"/>
              </w:rPr>
            </w:pPr>
            <w:r>
              <w:rPr>
                <w:rFonts w:hint="eastAsia" w:ascii="宋体" w:hAnsi="宋体" w:eastAsia="宋体" w:cs="Arial"/>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w:t>
            </w:r>
            <w:bookmarkStart w:id="22" w:name="OLE_LINK5"/>
            <w:bookmarkStart w:id="23" w:name="OLE_LINK6"/>
            <w:r>
              <w:rPr>
                <w:rFonts w:hint="eastAsia" w:ascii="宋体" w:hAnsi="宋体" w:cs="宋体"/>
                <w:snapToGrid w:val="0"/>
                <w:color w:val="auto"/>
                <w:kern w:val="28"/>
                <w:sz w:val="24"/>
                <w:highlight w:val="none"/>
              </w:rPr>
              <w:t>按照国家发展计划委员会计价格[2002]1980 号文《招标代理服务费管理暂行办法》及发改办价格[2003]857号文的收费标准（</w:t>
            </w:r>
            <w:r>
              <w:rPr>
                <w:rFonts w:hint="eastAsia" w:ascii="宋体" w:hAnsi="宋体" w:eastAsia="宋体" w:cs="宋体"/>
                <w:color w:val="auto"/>
                <w:sz w:val="24"/>
                <w:highlight w:val="none"/>
                <w:lang w:eastAsia="zh-CN"/>
              </w:rPr>
              <w:t>货物</w:t>
            </w:r>
            <w:r>
              <w:rPr>
                <w:rFonts w:hint="eastAsia" w:ascii="宋体" w:hAnsi="宋体" w:cs="宋体"/>
                <w:snapToGrid w:val="0"/>
                <w:color w:val="auto"/>
                <w:kern w:val="28"/>
                <w:sz w:val="24"/>
                <w:highlight w:val="none"/>
              </w:rPr>
              <w:t>类）计取</w:t>
            </w:r>
            <w:bookmarkEnd w:id="22"/>
            <w:r>
              <w:rPr>
                <w:rFonts w:hint="eastAsia" w:ascii="宋体" w:hAnsi="宋体" w:cs="宋体"/>
                <w:snapToGrid w:val="0"/>
                <w:color w:val="auto"/>
                <w:kern w:val="28"/>
                <w:sz w:val="24"/>
                <w:highlight w:val="none"/>
              </w:rPr>
              <w:t>，</w:t>
            </w:r>
            <w:r>
              <w:rPr>
                <w:rFonts w:hint="eastAsia" w:hAnsi="宋体" w:cs="宋体"/>
                <w:snapToGrid w:val="0"/>
                <w:color w:val="auto"/>
                <w:kern w:val="28"/>
                <w:sz w:val="24"/>
                <w:szCs w:val="24"/>
                <w:highlight w:val="none"/>
                <w:shd w:val="clear"/>
              </w:rPr>
              <w:t>采购服务费</w:t>
            </w:r>
            <w:r>
              <w:rPr>
                <w:rFonts w:hint="eastAsia" w:hAnsi="宋体" w:cs="宋体"/>
                <w:snapToGrid w:val="0"/>
                <w:color w:val="auto"/>
                <w:kern w:val="28"/>
                <w:sz w:val="24"/>
                <w:szCs w:val="24"/>
                <w:highlight w:val="none"/>
                <w:shd w:val="clear"/>
                <w:lang w:val="en-US" w:eastAsia="zh-CN"/>
              </w:rPr>
              <w:t>为</w:t>
            </w:r>
            <w:r>
              <w:rPr>
                <w:rFonts w:hint="eastAsia" w:hAnsi="宋体" w:cs="宋体"/>
                <w:snapToGrid w:val="0"/>
                <w:color w:val="auto"/>
                <w:kern w:val="28"/>
                <w:sz w:val="24"/>
                <w:szCs w:val="24"/>
                <w:highlight w:val="none"/>
                <w:shd w:val="clear"/>
              </w:rPr>
              <w:t>人民币</w:t>
            </w:r>
            <w:r>
              <w:rPr>
                <w:rFonts w:hint="eastAsia" w:hAnsi="宋体" w:cs="宋体"/>
                <w:snapToGrid w:val="0"/>
                <w:color w:val="auto"/>
                <w:kern w:val="28"/>
                <w:sz w:val="24"/>
                <w:szCs w:val="24"/>
                <w:highlight w:val="none"/>
                <w:shd w:val="clear"/>
                <w:lang w:val="en-US" w:eastAsia="zh-CN"/>
              </w:rPr>
              <w:t>壹万捌仟贰佰</w:t>
            </w:r>
            <w:r>
              <w:rPr>
                <w:rFonts w:hint="eastAsia" w:hAnsi="宋体" w:cs="宋体"/>
                <w:snapToGrid w:val="0"/>
                <w:color w:val="auto"/>
                <w:kern w:val="28"/>
                <w:sz w:val="24"/>
                <w:szCs w:val="24"/>
                <w:highlight w:val="none"/>
                <w:shd w:val="clear"/>
              </w:rPr>
              <w:fldChar w:fldCharType="begin"/>
            </w:r>
            <w:r>
              <w:rPr>
                <w:rFonts w:hint="eastAsia" w:hAnsi="宋体" w:cs="宋体"/>
                <w:snapToGrid w:val="0"/>
                <w:color w:val="auto"/>
                <w:kern w:val="28"/>
                <w:sz w:val="24"/>
                <w:szCs w:val="24"/>
                <w:highlight w:val="none"/>
                <w:shd w:val="clear"/>
              </w:rPr>
              <w:instrText xml:space="preserve"> = 6900 \* CHINESENUM4 \* MERGEFORMAT </w:instrText>
            </w:r>
            <w:r>
              <w:rPr>
                <w:rFonts w:hint="eastAsia" w:hAnsi="宋体" w:cs="宋体"/>
                <w:snapToGrid w:val="0"/>
                <w:color w:val="auto"/>
                <w:kern w:val="28"/>
                <w:sz w:val="24"/>
                <w:szCs w:val="24"/>
                <w:highlight w:val="none"/>
                <w:shd w:val="clear"/>
              </w:rPr>
              <w:fldChar w:fldCharType="separate"/>
            </w:r>
            <w:r>
              <w:rPr>
                <w:rFonts w:hint="eastAsia" w:hAnsi="宋体" w:cs="宋体"/>
                <w:snapToGrid w:val="0"/>
                <w:color w:val="auto"/>
                <w:kern w:val="28"/>
                <w:sz w:val="24"/>
                <w:szCs w:val="24"/>
                <w:highlight w:val="none"/>
                <w:shd w:val="clear"/>
              </w:rPr>
              <w:t>元整</w:t>
            </w:r>
            <w:r>
              <w:rPr>
                <w:rFonts w:hint="eastAsia" w:hAnsi="宋体" w:cs="宋体"/>
                <w:snapToGrid w:val="0"/>
                <w:color w:val="auto"/>
                <w:kern w:val="28"/>
                <w:sz w:val="24"/>
                <w:szCs w:val="24"/>
                <w:highlight w:val="none"/>
                <w:shd w:val="clear"/>
              </w:rPr>
              <w:fldChar w:fldCharType="end"/>
            </w:r>
            <w:r>
              <w:rPr>
                <w:rFonts w:hint="eastAsia" w:hAnsi="宋体" w:cs="宋体"/>
                <w:snapToGrid w:val="0"/>
                <w:color w:val="auto"/>
                <w:kern w:val="28"/>
                <w:sz w:val="24"/>
                <w:szCs w:val="24"/>
                <w:highlight w:val="none"/>
                <w:shd w:val="clear"/>
              </w:rPr>
              <w:t>（¥：</w:t>
            </w:r>
            <w:r>
              <w:rPr>
                <w:rFonts w:hint="eastAsia" w:ascii="宋体" w:hAnsi="宋体" w:eastAsia="宋体" w:cs="宋体"/>
                <w:snapToGrid w:val="0"/>
                <w:color w:val="auto"/>
                <w:kern w:val="28"/>
                <w:sz w:val="24"/>
                <w:szCs w:val="24"/>
                <w:highlight w:val="none"/>
                <w:shd w:val="clear"/>
                <w:lang w:val="en-US" w:eastAsia="zh-CN"/>
              </w:rPr>
              <w:t>18200.00</w:t>
            </w:r>
            <w:r>
              <w:rPr>
                <w:rFonts w:hint="eastAsia" w:hAnsi="宋体" w:cs="宋体"/>
                <w:snapToGrid w:val="0"/>
                <w:color w:val="auto"/>
                <w:kern w:val="28"/>
                <w:sz w:val="24"/>
                <w:szCs w:val="24"/>
                <w:highlight w:val="none"/>
                <w:shd w:val="clear"/>
              </w:rPr>
              <w:t>元）</w:t>
            </w:r>
            <w:bookmarkEnd w:id="23"/>
            <w:r>
              <w:rPr>
                <w:rFonts w:hint="eastAsia" w:ascii="宋体" w:hAnsi="宋体" w:cs="宋体"/>
                <w:snapToGrid w:val="0"/>
                <w:color w:val="auto"/>
                <w:kern w:val="28"/>
                <w:sz w:val="24"/>
                <w:highlight w:val="none"/>
              </w:rPr>
              <w:t>；</w:t>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通知书时支付给采购代理公司</w:t>
            </w:r>
            <w:r>
              <w:rPr>
                <w:rFonts w:hint="eastAsia" w:ascii="宋体" w:hAnsi="宋体" w:cs="宋体"/>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vMerge w:val="restart"/>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786" w:type="dxa"/>
            <w:vMerge w:val="restart"/>
            <w:vAlign w:val="center"/>
          </w:tcPr>
          <w:p>
            <w:pPr>
              <w:snapToGrid w:val="0"/>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472" w:type="dxa"/>
            <w:vAlign w:val="center"/>
          </w:tcPr>
          <w:p>
            <w:pPr>
              <w:spacing w:line="24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hint="eastAsia" w:ascii="宋体" w:hAnsi="宋体" w:cs="宋体"/>
                <w:color w:val="auto"/>
                <w:sz w:val="24"/>
                <w:highlight w:val="none"/>
              </w:rPr>
            </w:pPr>
          </w:p>
        </w:tc>
        <w:tc>
          <w:tcPr>
            <w:tcW w:w="1786" w:type="dxa"/>
            <w:vMerge w:val="continue"/>
            <w:vAlign w:val="center"/>
          </w:tcPr>
          <w:p>
            <w:pPr>
              <w:snapToGrid w:val="0"/>
              <w:jc w:val="center"/>
              <w:rPr>
                <w:rFonts w:hint="eastAsia" w:ascii="宋体" w:hAnsi="宋体" w:eastAsia="宋体" w:cs="仿宋_GB2312"/>
                <w:b/>
                <w:color w:val="auto"/>
                <w:sz w:val="24"/>
                <w:highlight w:val="none"/>
              </w:rPr>
            </w:pPr>
          </w:p>
        </w:tc>
        <w:tc>
          <w:tcPr>
            <w:tcW w:w="6472" w:type="dxa"/>
            <w:vAlign w:val="center"/>
          </w:tcPr>
          <w:p>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28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240" w:lineRule="auto"/>
              <w:rPr>
                <w:rFonts w:hint="eastAsia" w:ascii="宋体" w:hAnsi="宋体" w:eastAsia="宋体" w:cs="Arial"/>
                <w:color w:val="auto"/>
                <w:kern w:val="0"/>
                <w:sz w:val="24"/>
                <w:highlight w:val="none"/>
              </w:rPr>
            </w:pPr>
            <w:sdt>
              <w:sdtPr>
                <w:rPr>
                  <w:rFonts w:hint="eastAsia" w:ascii="宋体" w:hAnsi="宋体" w:eastAsia="宋体" w:cs="宋体"/>
                  <w:color w:val="auto"/>
                  <w:kern w:val="0"/>
                  <w:sz w:val="24"/>
                  <w:highlight w:val="none"/>
                </w:rPr>
                <w:id w:val="14745517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4" w:hRule="atLeast"/>
          <w:tblHeader/>
        </w:trPr>
        <w:tc>
          <w:tcPr>
            <w:tcW w:w="629" w:type="dxa"/>
            <w:vAlign w:val="center"/>
          </w:tcPr>
          <w:p>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786" w:type="dxa"/>
            <w:vAlign w:val="center"/>
          </w:tcPr>
          <w:p>
            <w:pPr>
              <w:snapToGrid w:val="0"/>
              <w:jc w:val="center"/>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其他</w:t>
            </w:r>
          </w:p>
        </w:tc>
        <w:tc>
          <w:tcPr>
            <w:tcW w:w="6472" w:type="dxa"/>
            <w:vAlign w:val="center"/>
          </w:tcPr>
          <w:p>
            <w:pPr>
              <w:snapToGrid w:val="0"/>
              <w:jc w:val="left"/>
              <w:rPr>
                <w:rFonts w:hint="eastAsia" w:ascii="宋体" w:hAnsi="宋体" w:cs="宋体"/>
                <w:color w:val="auto"/>
                <w:sz w:val="24"/>
                <w:highlight w:val="none"/>
                <w:lang w:val="en-US" w:eastAsia="zh-CN"/>
              </w:rPr>
            </w:pPr>
            <w:r>
              <w:rPr>
                <w:rFonts w:hint="eastAsia" w:ascii="宋体" w:hAnsi="宋体" w:cs="宋体"/>
                <w:b w:val="0"/>
                <w:bCs w:val="0"/>
                <w:color w:val="auto"/>
                <w:sz w:val="24"/>
                <w:highlight w:val="none"/>
                <w:lang w:val="en-US" w:eastAsia="zh-CN"/>
              </w:rPr>
              <w:t>现场踏勘：供应商如需现场踏勘，自行与采购单位联系，不统一组织。</w:t>
            </w:r>
          </w:p>
        </w:tc>
      </w:tr>
    </w:tbl>
    <w:p>
      <w:pPr>
        <w:snapToGrid w:val="0"/>
        <w:spacing w:line="360" w:lineRule="auto"/>
        <w:ind w:firstLine="643"/>
        <w:jc w:val="center"/>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供应商对非政府采购活动事项有疑问的，可以提出询问，采购人或者采购代理机构应当在</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.3供应商质疑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.3.2.1对招标文件提出质疑的，质疑期限为供应商获得招标文件之日或者招标文件公告期限届满之日起计算。</w:t>
      </w:r>
    </w:p>
    <w:p>
      <w:pPr>
        <w:pStyle w:val="37"/>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.3.2.2对采购过程提出质疑的，质疑期限为各采购程序环节结束之日起计算。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.3.2.3对采购结果提出质疑的，质疑期限自采购结果公告期限届满之日起计算。</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3.3.3.</w:t>
      </w:r>
      <w:r>
        <w:rPr>
          <w:rFonts w:hint="eastAsia" w:hAnsi="宋体" w:cs="宋体"/>
          <w:color w:val="auto"/>
          <w:kern w:val="0"/>
          <w:sz w:val="24"/>
          <w:highlight w:val="none"/>
          <w:lang w:val="zh-CN"/>
        </w:rPr>
        <w:t>1供应商的姓名或者名称、地址、邮编、联系人及联系电话；</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3.3.3.2质疑项目的名称、编号；</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3.3.3.3具体、明确的质疑事项和与质疑事项相关的请求；</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3.3.3.4事实依据；</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3.3.3.5必要的法律依据；</w:t>
      </w:r>
    </w:p>
    <w:p>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3.3.3.6提出质疑的日期。</w:t>
      </w:r>
    </w:p>
    <w:p>
      <w:pPr>
        <w:pStyle w:val="890"/>
        <w:snapToGrid w:val="0"/>
        <w:spacing w:after="240" w:afterAutospacing="0" w:line="360" w:lineRule="auto"/>
        <w:ind w:firstLine="48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napToGrid w:val="0"/>
        <w:spacing w:after="240" w:afterAutospacing="0" w:line="360" w:lineRule="auto"/>
        <w:ind w:firstLine="480"/>
        <w:contextualSpacing/>
        <w:rPr>
          <w:color w:val="auto"/>
          <w:highlight w:val="none"/>
        </w:rPr>
      </w:pPr>
      <w:r>
        <w:rPr>
          <w:rFonts w:hint="eastAsia"/>
          <w:color w:val="auto"/>
          <w:highlight w:val="none"/>
        </w:rPr>
        <w:t>质疑函范本及制作说明详见附件2。</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.3.4对同一采购程序环节的质疑，供应商须在法定质疑期内一次性提出。</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.5采购人或者采购代理机构应当在收到供应商的书面质疑后七个工作日内作出答复，但答复的内容不得涉及商业秘密。</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pPr>
        <w:pStyle w:val="890"/>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.4供应商投诉</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.4.1质疑供应商对采购人、采购代理机构的答复不满意或者采购人、采购代理机构未在规定的时间内作出答复的，可以在答复期满后十五个工作日内向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监管部门</w:t>
      </w:r>
      <w:r>
        <w:rPr>
          <w:rFonts w:hint="eastAsia"/>
          <w:color w:val="auto"/>
          <w:highlight w:val="none"/>
        </w:rPr>
        <w:t>提出投诉</w:t>
      </w:r>
      <w:r>
        <w:rPr>
          <w:rFonts w:hint="eastAsia"/>
          <w:color w:val="auto"/>
          <w:highlight w:val="none"/>
        </w:rPr>
        <w:t>。</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.4.3供应商投诉应当有明确的请求和必要的证明材料。</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.4.4以联合体形式参加政府采购活动的，其投诉应当由组成联合体的所有供应商共同提出。</w:t>
      </w:r>
    </w:p>
    <w:p>
      <w:pPr>
        <w:pStyle w:val="890"/>
        <w:snapToGrid w:val="0"/>
        <w:spacing w:after="240" w:afterAutospacing="0" w:line="360" w:lineRule="auto"/>
        <w:ind w:firstLine="480"/>
        <w:contextualSpacing/>
        <w:rPr>
          <w:color w:val="auto"/>
          <w:highlight w:val="none"/>
        </w:rPr>
      </w:pPr>
      <w:r>
        <w:rPr>
          <w:rFonts w:hint="eastAsia"/>
          <w:color w:val="auto"/>
          <w:highlight w:val="none"/>
        </w:rPr>
        <w:t>投诉书范本及制作说明详见附件3。</w:t>
      </w:r>
    </w:p>
    <w:p>
      <w:pPr>
        <w:pStyle w:val="135"/>
        <w:snapToGrid w:val="0"/>
        <w:spacing w:before="0"/>
        <w:ind w:firstLine="360"/>
        <w:rPr>
          <w:rFonts w:ascii="宋体" w:hAnsi="宋体" w:cs="宋体"/>
          <w:color w:val="auto"/>
          <w:sz w:val="18"/>
          <w:szCs w:val="18"/>
          <w:highlight w:val="none"/>
        </w:rPr>
      </w:pPr>
    </w:p>
    <w:p>
      <w:pPr>
        <w:adjustRightInd/>
        <w:spacing w:line="360" w:lineRule="auto"/>
        <w:ind w:firstLine="643"/>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7"/>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7"/>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ind w:firstLine="602"/>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7"/>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7"/>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投标文件的语言</w:t>
      </w:r>
    </w:p>
    <w:p>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投标文件及投标人与采购有关的来往通知、函件和文件均应使用中文。</w:t>
      </w:r>
    </w:p>
    <w:p>
      <w:pPr>
        <w:numPr>
          <w:ilvl w:val="0"/>
          <w:numId w:val="1"/>
        </w:numPr>
        <w:autoSpaceDE w:val="0"/>
        <w:autoSpaceDN w:val="0"/>
        <w:spacing w:line="360" w:lineRule="auto"/>
        <w:ind w:firstLine="482" w:firstLineChars="200"/>
        <w:rPr>
          <w:rFonts w:hint="eastAsia" w:hAnsi="宋体" w:cs="宋体"/>
          <w:b/>
          <w:color w:val="auto"/>
          <w:sz w:val="24"/>
          <w:szCs w:val="24"/>
          <w:highlight w:val="none"/>
        </w:rPr>
      </w:pPr>
      <w:r>
        <w:rPr>
          <w:rFonts w:hint="eastAsia" w:hAnsi="宋体" w:cs="宋体"/>
          <w:b/>
          <w:bCs/>
          <w:color w:val="auto"/>
          <w:sz w:val="24"/>
          <w:szCs w:val="24"/>
          <w:highlight w:val="none"/>
        </w:rPr>
        <w:t>投标文件</w:t>
      </w:r>
      <w:r>
        <w:rPr>
          <w:rFonts w:hint="eastAsia" w:hAnsi="宋体" w:cs="宋体"/>
          <w:b/>
          <w:color w:val="auto"/>
          <w:sz w:val="24"/>
          <w:szCs w:val="24"/>
          <w:highlight w:val="none"/>
        </w:rPr>
        <w:t>的组成</w:t>
      </w:r>
    </w:p>
    <w:p>
      <w:pPr>
        <w:pStyle w:val="37"/>
        <w:spacing w:line="360" w:lineRule="auto"/>
        <w:ind w:firstLine="482" w:firstLineChars="200"/>
        <w:rPr>
          <w:color w:val="auto"/>
          <w:highlight w:val="none"/>
        </w:rPr>
      </w:pPr>
      <w:r>
        <w:rPr>
          <w:rFonts w:hint="eastAsia" w:hAnsi="宋体" w:cs="宋体"/>
          <w:b/>
          <w:color w:val="auto"/>
          <w:sz w:val="24"/>
          <w:szCs w:val="24"/>
          <w:highlight w:val="none"/>
          <w:u w:val="single"/>
        </w:rPr>
        <w:t>响应文件组成如下：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w:t>
      </w:r>
      <w:bookmarkStart w:id="24" w:name="OLE_LINK10"/>
      <w:r>
        <w:rPr>
          <w:rFonts w:hint="eastAsia" w:ascii="宋体" w:hAnsi="宋体" w:cs="宋体"/>
          <w:color w:val="auto"/>
          <w:sz w:val="24"/>
          <w:highlight w:val="none"/>
        </w:rPr>
        <w:t>符合参加政府采购活动应当具备的一般条件的承诺函</w:t>
      </w:r>
      <w:bookmarkEnd w:id="24"/>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9</w:t>
      </w:r>
      <w:r>
        <w:rPr>
          <w:rFonts w:hint="eastAsia" w:ascii="宋体" w:hAnsi="宋体" w:cs="宋体"/>
          <w:snapToGrid w:val="0"/>
          <w:color w:val="auto"/>
          <w:kern w:val="28"/>
          <w:sz w:val="24"/>
          <w:szCs w:val="20"/>
          <w:highlight w:val="none"/>
        </w:rPr>
        <w:t>.1.3落实采购政策需满足的资格要求（如果有)；</w:t>
      </w:r>
    </w:p>
    <w:p>
      <w:pPr>
        <w:snapToGrid w:val="0"/>
        <w:spacing w:line="360" w:lineRule="auto"/>
        <w:ind w:firstLine="960" w:firstLineChars="400"/>
        <w:rPr>
          <w:rFonts w:ascii="宋体" w:hAnsi="宋体" w:cs="宋体"/>
          <w:color w:val="auto"/>
          <w:sz w:val="24"/>
          <w:highlight w:val="none"/>
        </w:rPr>
      </w:pP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.2.3分包意向协议（如果有)；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.2.4符合性审查资料；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.2.5评标标准相应的商务技术资料；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.2.6投标标的清单；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.2.7商务技术偏离表；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pPr>
        <w:pStyle w:val="50"/>
        <w:rPr>
          <w:rFonts w:hint="eastAsia"/>
          <w:color w:val="auto"/>
          <w:highlight w:val="none"/>
          <w:lang w:val="zh-CN"/>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.投标文件的签署、盖章</w:t>
      </w:r>
    </w:p>
    <w:p>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val="en-US" w:eastAsia="zh-CN"/>
        </w:rPr>
        <w:t>乐采云平台</w:t>
      </w:r>
      <w:r>
        <w:rPr>
          <w:rFonts w:hint="eastAsia" w:ascii="宋体" w:hAnsi="宋体" w:cs="宋体"/>
          <w:color w:val="auto"/>
          <w:highlight w:val="none"/>
        </w:rPr>
        <w:t>”的身份认证，确保在电子投标过程中能够对相关数据电文进行加密和使用电子签名。</w:t>
      </w:r>
    </w:p>
    <w:p>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.3招标文件对投标文件签署、盖章的要求适用于电子签名。</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.投标文件的提交、补充、修改、撤回</w:t>
      </w:r>
    </w:p>
    <w:p>
      <w:pPr>
        <w:pStyle w:val="135"/>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.备份投标文件</w:t>
      </w:r>
    </w:p>
    <w:p>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.2备份投标文件须在“</w:t>
      </w:r>
      <w:r>
        <w:rPr>
          <w:rFonts w:hint="eastAsia" w:hAnsi="宋体" w:cs="宋体"/>
          <w:color w:val="auto"/>
          <w:sz w:val="24"/>
          <w:szCs w:val="24"/>
          <w:highlight w:val="none"/>
          <w:lang w:val="en-US" w:eastAsia="zh-CN"/>
        </w:rPr>
        <w:t>乐</w:t>
      </w:r>
      <w:r>
        <w:rPr>
          <w:rFonts w:hint="eastAsia" w:hAnsi="宋体" w:cs="宋体"/>
          <w:color w:val="auto"/>
          <w:sz w:val="24"/>
          <w:szCs w:val="24"/>
          <w:highlight w:val="none"/>
        </w:rPr>
        <w:t>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.5投标人仅提交备份投标文件，未在电子交易平台传输递交投标文件的，投标无效。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.投标文件的无效处理</w:t>
      </w:r>
    </w:p>
    <w:p>
      <w:pPr>
        <w:pStyle w:val="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5"/>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.2投标文件合格投递后，自投标截止日期起，在投标有效期内有效。</w:t>
      </w:r>
    </w:p>
    <w:p>
      <w:pPr>
        <w:pStyle w:val="135"/>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color w:val="auto"/>
          <w:sz w:val="32"/>
          <w:highlight w:val="none"/>
        </w:rPr>
      </w:pPr>
    </w:p>
    <w:p>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szCs w:val="20"/>
          <w:highlight w:val="none"/>
        </w:rPr>
        <w:t>1</w:t>
      </w:r>
      <w:r>
        <w:rPr>
          <w:rFonts w:hint="eastAsia" w:ascii="宋体" w:hAnsi="宋体" w:cs="宋体"/>
          <w:b/>
          <w:color w:val="auto"/>
          <w:sz w:val="24"/>
          <w:szCs w:val="20"/>
          <w:highlight w:val="none"/>
          <w:lang w:val="en-US" w:eastAsia="zh-CN"/>
        </w:rPr>
        <w:t>7.</w:t>
      </w:r>
      <w:r>
        <w:rPr>
          <w:rFonts w:hint="eastAsia" w:ascii="宋体" w:hAnsi="宋体" w:cs="宋体"/>
          <w:b/>
          <w:color w:val="auto"/>
          <w:sz w:val="24"/>
          <w:szCs w:val="20"/>
          <w:highlight w:val="none"/>
        </w:rPr>
        <w:t>资格审查</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eastAsia="宋体" w:cs="宋体"/>
          <w:color w:val="auto"/>
          <w:sz w:val="24"/>
          <w:highlight w:val="none"/>
        </w:rPr>
        <w:t>采购人或采购代理机构</w:t>
      </w:r>
      <w:r>
        <w:rPr>
          <w:rFonts w:hint="eastAsia" w:ascii="宋体" w:hAnsi="宋体" w:cs="宋体"/>
          <w:color w:val="auto"/>
          <w:sz w:val="24"/>
          <w:highlight w:val="none"/>
        </w:rPr>
        <w:t>依据法律法规和招标文件的规定，对投标人的资格进行审查。</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.2投标人未按照招标文件要求提供与资格条件相应的有效资格证明材料的，视为投标人不具备招标文件中规定的资格要求，其投标无效。</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.3对未通过资格审查的投标人，采购人或采购代理机构告知其未通过的原因。</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.4合格投标人不足3家的，不再评标。</w:t>
      </w:r>
    </w:p>
    <w:p>
      <w:pPr>
        <w:pStyle w:val="135"/>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lang w:val="en-US" w:eastAsia="zh-CN"/>
        </w:rPr>
        <w:t>18.</w:t>
      </w:r>
      <w:bookmarkStart w:id="413" w:name="_GoBack"/>
      <w:bookmarkEnd w:id="413"/>
      <w:r>
        <w:rPr>
          <w:rFonts w:hint="eastAsia" w:ascii="宋体" w:hAnsi="宋体" w:cs="宋体"/>
          <w:b/>
          <w:color w:val="auto"/>
          <w:szCs w:val="24"/>
          <w:highlight w:val="none"/>
        </w:rPr>
        <w:t>信用信息查询</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eastAsia="宋体" w:cs="宋体"/>
          <w:color w:val="auto"/>
          <w:sz w:val="24"/>
          <w:highlight w:val="none"/>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.3信用信息的使用规则：经查询列入失信被执行人名单、重大税收违法失信主体、政府采购严重违法失信行为记录名单的投标人将被拒绝参与政府采购活动。</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5"/>
        <w:spacing w:before="0"/>
        <w:ind w:firstLine="0" w:firstLineChars="0"/>
        <w:rPr>
          <w:rFonts w:ascii="宋体" w:hAnsi="宋体" w:cs="宋体"/>
          <w:color w:val="auto"/>
          <w:kern w:val="0"/>
          <w:szCs w:val="24"/>
          <w:highlight w:val="none"/>
        </w:rPr>
      </w:pPr>
    </w:p>
    <w:p>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ind w:firstLine="482"/>
        <w:rPr>
          <w:rFonts w:ascii="宋体" w:hAnsi="宋体" w:cs="宋体"/>
          <w:b/>
          <w:color w:val="auto"/>
          <w:sz w:val="24"/>
          <w:highlight w:val="none"/>
        </w:rPr>
      </w:pPr>
    </w:p>
    <w:p>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确定中标供应商</w:t>
      </w:r>
    </w:p>
    <w:p>
      <w:pPr>
        <w:pStyle w:val="135"/>
        <w:snapToGrid w:val="0"/>
        <w:spacing w:before="0"/>
        <w:ind w:firstLine="480"/>
        <w:rPr>
          <w:rFonts w:ascii="宋体" w:hAnsi="宋体" w:cs="宋体"/>
          <w:b/>
          <w:color w:val="auto"/>
          <w:szCs w:val="24"/>
          <w:highlight w:val="none"/>
        </w:rPr>
      </w:pPr>
      <w:r>
        <w:rPr>
          <w:rFonts w:hint="eastAsia" w:ascii="宋体" w:hAnsi="宋体" w:eastAsia="宋体" w:cs="宋体"/>
          <w:color w:val="auto"/>
          <w:szCs w:val="24"/>
          <w:highlight w:val="none"/>
        </w:rPr>
        <w:t>采购项目</w:t>
      </w:r>
      <w:r>
        <w:rPr>
          <w:rFonts w:hint="eastAsia" w:ascii="宋体" w:hAnsi="宋体" w:cs="宋体"/>
          <w:color w:val="auto"/>
          <w:szCs w:val="24"/>
          <w:highlight w:val="none"/>
        </w:rPr>
        <w:t>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或者中标人。中标、成交通知书和中标、成交结果公告应当在规定时间内同时发出。</w:t>
      </w:r>
    </w:p>
    <w:p>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中标通知与中标结果公告</w:t>
      </w:r>
      <w:r>
        <w:rPr>
          <w:rFonts w:hint="eastAsia" w:ascii="宋体" w:hAnsi="宋体" w:cs="宋体"/>
          <w:b/>
          <w:color w:val="auto"/>
          <w:szCs w:val="24"/>
          <w:highlight w:val="none"/>
        </w:rPr>
        <w:tab/>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的名称、地址、联系方式，项目名称和项目编号，中标人名称和中标金额</w:t>
      </w:r>
      <w:r>
        <w:rPr>
          <w:rFonts w:hint="eastAsia" w:ascii="宋体" w:hAnsi="宋体" w:cs="宋体"/>
          <w:color w:val="auto"/>
          <w:sz w:val="24"/>
          <w:highlight w:val="none"/>
          <w:lang w:eastAsia="zh-CN"/>
        </w:rPr>
        <w:t>，</w:t>
      </w:r>
      <w:r>
        <w:rPr>
          <w:rFonts w:hint="eastAsia" w:ascii="宋体" w:hAnsi="宋体" w:cs="宋体"/>
          <w:color w:val="auto"/>
          <w:sz w:val="24"/>
          <w:highlight w:val="none"/>
        </w:rPr>
        <w:t>中标公告期限以及评审专家名单、评分汇总及明细</w:t>
      </w:r>
      <w:r>
        <w:rPr>
          <w:rFonts w:hint="eastAsia" w:ascii="宋体" w:hAnsi="宋体" w:cs="宋体"/>
          <w:color w:val="auto"/>
          <w:sz w:val="24"/>
          <w:highlight w:val="none"/>
        </w:rPr>
        <w:t>。</w:t>
      </w:r>
    </w:p>
    <w:p>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.3公告期限为1个工作日。</w:t>
      </w:r>
    </w:p>
    <w:p>
      <w:pPr>
        <w:pStyle w:val="83"/>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7"/>
        <w:spacing w:line="360" w:lineRule="auto"/>
        <w:ind w:left="479" w:hanging="479" w:hangingChars="199"/>
        <w:rPr>
          <w:rFonts w:cs="宋体"/>
          <w:b/>
          <w:color w:val="auto"/>
          <w:highlight w:val="none"/>
        </w:rPr>
      </w:pPr>
      <w:r>
        <w:rPr>
          <w:rFonts w:hint="eastAsia" w:cs="宋体"/>
          <w:b/>
          <w:color w:val="auto"/>
          <w:highlight w:val="none"/>
          <w:lang w:val="en-US" w:eastAsia="zh-CN"/>
        </w:rPr>
        <w:t>22</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w:t>
      </w:r>
      <w:r>
        <w:rPr>
          <w:rFonts w:hint="eastAsia" w:ascii="宋体" w:hAnsi="宋体" w:eastAsia="宋体" w:cs="宋体"/>
          <w:color w:val="auto"/>
          <w:kern w:val="0"/>
          <w:sz w:val="24"/>
          <w:highlight w:val="none"/>
        </w:rPr>
        <w:t>并在签订之日起2个工作日内将采购合同在浙江政府采购网上公告。</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w:t>
      </w:r>
      <w:r>
        <w:rPr>
          <w:rFonts w:hint="eastAsia" w:ascii="宋体" w:hAnsi="宋体" w:cs="宋体"/>
          <w:color w:val="auto"/>
          <w:kern w:val="0"/>
          <w:sz w:val="24"/>
          <w:highlight w:val="none"/>
        </w:rPr>
        <w:t>原则上应当在中标通知书发出之日起</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日内，</w:t>
      </w:r>
      <w:r>
        <w:rPr>
          <w:rFonts w:hint="eastAsia" w:ascii="宋体" w:hAnsi="宋体" w:cs="宋体"/>
          <w:color w:val="auto"/>
          <w:kern w:val="0"/>
          <w:sz w:val="24"/>
          <w:highlight w:val="none"/>
        </w:rPr>
        <w:t>与中标供应商按照采购文件确定的事项签订采购合同。</w:t>
      </w:r>
    </w:p>
    <w:p>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.4中标</w:t>
      </w:r>
      <w:r>
        <w:rPr>
          <w:rFonts w:hint="eastAsia" w:ascii="宋体" w:hAnsi="宋体" w:cs="宋体"/>
          <w:color w:val="auto"/>
          <w:highlight w:val="none"/>
          <w:lang w:val="en-US" w:eastAsia="zh-CN"/>
        </w:rPr>
        <w:t>人</w:t>
      </w:r>
      <w:r>
        <w:rPr>
          <w:rFonts w:hint="eastAsia" w:ascii="宋体" w:hAnsi="宋体" w:cs="宋体"/>
          <w:color w:val="auto"/>
          <w:highlight w:val="none"/>
        </w:rPr>
        <w:t>拒绝与采购人签订合同的，采购人可以按照评审报告推荐的中标或者成交候选人名单排序，确定下一候选人为中标</w:t>
      </w:r>
      <w:r>
        <w:rPr>
          <w:rFonts w:hint="eastAsia" w:ascii="宋体" w:hAnsi="宋体" w:cs="宋体"/>
          <w:color w:val="auto"/>
          <w:highlight w:val="none"/>
          <w:lang w:val="en-US" w:eastAsia="zh-CN"/>
        </w:rPr>
        <w:t>人</w:t>
      </w:r>
      <w:r>
        <w:rPr>
          <w:rFonts w:hint="eastAsia" w:ascii="宋体" w:hAnsi="宋体" w:cs="宋体"/>
          <w:color w:val="auto"/>
          <w:highlight w:val="none"/>
        </w:rPr>
        <w:t>，也可以重新开展政府采购活动。</w:t>
      </w:r>
    </w:p>
    <w:p>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.5采购合同由采购人与中标</w:t>
      </w:r>
      <w:r>
        <w:rPr>
          <w:rFonts w:hint="eastAsia" w:ascii="宋体" w:hAnsi="宋体" w:cs="宋体"/>
          <w:color w:val="auto"/>
          <w:highlight w:val="none"/>
          <w:lang w:val="en-US" w:eastAsia="zh-CN"/>
        </w:rPr>
        <w:t>人</w:t>
      </w:r>
      <w:r>
        <w:rPr>
          <w:rFonts w:hint="eastAsia" w:ascii="宋体" w:hAnsi="宋体" w:cs="宋体"/>
          <w:color w:val="auto"/>
          <w:highlight w:val="none"/>
        </w:rPr>
        <w:t>根据招标文件、投标文件等内容通过政府采购电子交易平台在线签订，自动备案。</w:t>
      </w:r>
    </w:p>
    <w:p>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0"/>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83"/>
        <w:rPr>
          <w:color w:val="auto"/>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135"/>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135"/>
        <w:snapToGrid w:val="0"/>
        <w:spacing w:before="0"/>
        <w:ind w:firstLine="0" w:firstLineChars="0"/>
        <w:rPr>
          <w:rFonts w:hint="eastAsia" w:ascii="宋体" w:hAnsi="宋体" w:cs="宋体"/>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7"/>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4"/>
          <w:highlight w:val="none"/>
        </w:rPr>
        <w:sectPr>
          <w:footerReference r:id="rId4" w:type="first"/>
          <w:footerReference r:id="rId3" w:type="default"/>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rPr>
        <w:t>供应商在履约过程中有</w:t>
      </w:r>
      <w:r>
        <w:rPr>
          <w:rFonts w:hint="eastAsia" w:ascii="宋体" w:hAnsi="宋体" w:cs="宋体"/>
          <w:color w:val="auto"/>
          <w:kern w:val="0"/>
          <w:sz w:val="24"/>
          <w:highlight w:val="none"/>
          <w:lang w:eastAsia="zh-CN"/>
        </w:rPr>
        <w:t>相关</w:t>
      </w:r>
      <w:r>
        <w:rPr>
          <w:rFonts w:hint="eastAsia" w:ascii="宋体" w:hAnsi="宋体" w:eastAsia="宋体" w:cs="宋体"/>
          <w:color w:val="auto"/>
          <w:kern w:val="0"/>
          <w:sz w:val="24"/>
          <w:highlight w:val="none"/>
        </w:rPr>
        <w:t>法律法规规定的违法违规情形的，采购人应当及时报</w:t>
      </w:r>
      <w:r>
        <w:rPr>
          <w:rFonts w:hint="eastAsia" w:ascii="宋体" w:hAnsi="宋体" w:eastAsia="宋体" w:cs="宋体"/>
          <w:color w:val="auto"/>
          <w:kern w:val="0"/>
          <w:sz w:val="24"/>
          <w:highlight w:val="none"/>
        </w:rPr>
        <w:t>告</w:t>
      </w:r>
      <w:r>
        <w:rPr>
          <w:rFonts w:hint="eastAsia" w:ascii="宋体" w:hAnsi="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bookmarkEnd w:id="19"/>
      <w:bookmarkStart w:id="25" w:name="_Hlt68057669"/>
      <w:bookmarkEnd w:id="25"/>
      <w:bookmarkStart w:id="26" w:name="_Hlt74729768"/>
      <w:bookmarkEnd w:id="26"/>
      <w:bookmarkStart w:id="27" w:name="_Hlt68073093"/>
      <w:bookmarkEnd w:id="27"/>
      <w:bookmarkStart w:id="28" w:name="_Hlt68403820"/>
      <w:bookmarkEnd w:id="28"/>
      <w:bookmarkStart w:id="29" w:name="_Hlt74707468"/>
      <w:bookmarkEnd w:id="29"/>
      <w:bookmarkStart w:id="30" w:name="_Hlt75236011"/>
      <w:bookmarkEnd w:id="30"/>
      <w:bookmarkStart w:id="31" w:name="_Hlt74730295"/>
      <w:bookmarkEnd w:id="31"/>
      <w:bookmarkStart w:id="32" w:name="_Hlt68072998"/>
      <w:bookmarkEnd w:id="32"/>
      <w:bookmarkStart w:id="33" w:name="_Hlt74714665"/>
      <w:bookmarkEnd w:id="33"/>
      <w:bookmarkStart w:id="34" w:name="_Hlt75236101"/>
      <w:bookmarkEnd w:id="34"/>
      <w:bookmarkStart w:id="35" w:name="_Hlt68072990"/>
      <w:bookmarkEnd w:id="35"/>
      <w:bookmarkStart w:id="36" w:name="_Hlt75236290"/>
      <w:bookmarkEnd w:id="36"/>
    </w:p>
    <w:bookmarkEnd w:id="20"/>
    <w:bookmarkEnd w:id="21"/>
    <w:p>
      <w:pPr>
        <w:spacing w:line="360" w:lineRule="auto"/>
        <w:jc w:val="center"/>
        <w:outlineLvl w:val="0"/>
        <w:rPr>
          <w:rFonts w:hint="eastAsia" w:ascii="宋体" w:hAnsi="宋体" w:eastAsia="宋体" w:cs="宋体"/>
          <w:b/>
          <w:color w:val="auto"/>
          <w:sz w:val="36"/>
          <w:szCs w:val="36"/>
          <w:highlight w:val="none"/>
        </w:rPr>
      </w:pPr>
      <w:bookmarkStart w:id="37" w:name="第四部分"/>
      <w:r>
        <w:rPr>
          <w:rFonts w:hint="eastAsia" w:ascii="宋体" w:hAnsi="宋体" w:eastAsia="宋体" w:cs="宋体"/>
          <w:b/>
          <w:color w:val="auto"/>
          <w:sz w:val="36"/>
          <w:szCs w:val="36"/>
          <w:highlight w:val="none"/>
        </w:rPr>
        <w:t>第三部分   采购需求</w:t>
      </w:r>
    </w:p>
    <w:bookmarkEnd w:id="37"/>
    <w:p>
      <w:pPr>
        <w:snapToGrid w:val="0"/>
        <w:rPr>
          <w:rFonts w:ascii="宋体" w:hAnsi="宋体" w:cs="宋体"/>
          <w:color w:val="auto"/>
          <w:highlight w:val="none"/>
        </w:rPr>
      </w:pPr>
      <w:bookmarkStart w:id="38" w:name="第五部分"/>
      <w:bookmarkStart w:id="39" w:name="_Toc86217003"/>
      <w:r>
        <w:rPr>
          <w:rFonts w:hint="eastAsia" w:ascii="宋体" w:hAnsi="宋体" w:cs="宋体"/>
          <w:b/>
          <w:bCs/>
          <w:color w:val="auto"/>
          <w:sz w:val="28"/>
          <w:szCs w:val="28"/>
          <w:highlight w:val="none"/>
        </w:rPr>
        <w:t>一、需求内容及数量</w:t>
      </w:r>
    </w:p>
    <w:tbl>
      <w:tblPr>
        <w:tblStyle w:val="76"/>
        <w:tblW w:w="10216" w:type="dxa"/>
        <w:jc w:val="center"/>
        <w:tblInd w:w="0" w:type="dxa"/>
        <w:tblLayout w:type="fixed"/>
        <w:tblCellMar>
          <w:top w:w="0" w:type="dxa"/>
          <w:left w:w="108" w:type="dxa"/>
          <w:bottom w:w="0" w:type="dxa"/>
          <w:right w:w="108" w:type="dxa"/>
        </w:tblCellMar>
      </w:tblPr>
      <w:tblGrid>
        <w:gridCol w:w="4012"/>
        <w:gridCol w:w="2239"/>
        <w:gridCol w:w="717"/>
        <w:gridCol w:w="750"/>
        <w:gridCol w:w="2078"/>
        <w:gridCol w:w="420"/>
      </w:tblGrid>
      <w:tr>
        <w:tblPrEx>
          <w:tblLayout w:type="fixed"/>
          <w:tblCellMar>
            <w:top w:w="0" w:type="dxa"/>
            <w:left w:w="108" w:type="dxa"/>
            <w:bottom w:w="0" w:type="dxa"/>
            <w:right w:w="108" w:type="dxa"/>
          </w:tblCellMar>
        </w:tblPrEx>
        <w:trPr>
          <w:trHeight w:val="637" w:hRule="atLeast"/>
          <w:jc w:val="center"/>
        </w:trPr>
        <w:tc>
          <w:tcPr>
            <w:tcW w:w="401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b/>
                <w:bCs/>
                <w:color w:val="auto"/>
                <w:sz w:val="24"/>
                <w:szCs w:val="24"/>
                <w:highlight w:val="none"/>
              </w:rPr>
            </w:pPr>
            <w:r>
              <w:rPr>
                <w:rFonts w:hint="eastAsia" w:hAnsi="宋体" w:cs="宋体"/>
                <w:b/>
                <w:bCs/>
                <w:color w:val="auto"/>
                <w:sz w:val="24"/>
                <w:szCs w:val="24"/>
                <w:highlight w:val="none"/>
              </w:rPr>
              <w:t>项目名称</w:t>
            </w:r>
          </w:p>
        </w:tc>
        <w:tc>
          <w:tcPr>
            <w:tcW w:w="223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b/>
                <w:bCs/>
                <w:color w:val="auto"/>
                <w:sz w:val="24"/>
                <w:szCs w:val="24"/>
                <w:highlight w:val="none"/>
              </w:rPr>
            </w:pPr>
            <w:r>
              <w:rPr>
                <w:rFonts w:hint="eastAsia" w:hAnsi="宋体" w:cs="宋体"/>
                <w:b/>
                <w:bCs/>
                <w:color w:val="auto"/>
                <w:sz w:val="24"/>
                <w:szCs w:val="24"/>
                <w:highlight w:val="none"/>
              </w:rPr>
              <w:t>主要技术规范</w:t>
            </w:r>
          </w:p>
          <w:p>
            <w:pPr>
              <w:jc w:val="center"/>
              <w:rPr>
                <w:rFonts w:hAnsi="宋体" w:cs="宋体"/>
                <w:b/>
                <w:bCs/>
                <w:color w:val="auto"/>
                <w:sz w:val="24"/>
                <w:szCs w:val="24"/>
                <w:highlight w:val="none"/>
              </w:rPr>
            </w:pPr>
            <w:r>
              <w:rPr>
                <w:rFonts w:hint="eastAsia" w:hAnsi="宋体" w:cs="宋体"/>
                <w:b/>
                <w:bCs/>
                <w:color w:val="auto"/>
                <w:sz w:val="24"/>
                <w:szCs w:val="24"/>
                <w:highlight w:val="none"/>
              </w:rPr>
              <w:t>和服务要求</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单位</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预算价（元）</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Layout w:type="fixed"/>
          <w:tblCellMar>
            <w:top w:w="0" w:type="dxa"/>
            <w:left w:w="108" w:type="dxa"/>
            <w:bottom w:w="0" w:type="dxa"/>
            <w:right w:w="108" w:type="dxa"/>
          </w:tblCellMar>
        </w:tblPrEx>
        <w:trPr>
          <w:cantSplit/>
          <w:trHeight w:val="1039" w:hRule="atLeast"/>
          <w:jc w:val="center"/>
        </w:trPr>
        <w:tc>
          <w:tcPr>
            <w:tcW w:w="401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auto"/>
                <w:sz w:val="24"/>
                <w:szCs w:val="24"/>
                <w:highlight w:val="none"/>
              </w:rPr>
            </w:pPr>
            <w:r>
              <w:rPr>
                <w:rFonts w:hint="eastAsia" w:hAnsi="宋体" w:cs="宋体"/>
                <w:color w:val="auto"/>
                <w:sz w:val="24"/>
                <w:szCs w:val="24"/>
                <w:highlight w:val="none"/>
                <w:lang w:eastAsia="zh-CN"/>
              </w:rPr>
              <w:t>建德市林业总场寿昌林场现代化林场能力提升项目-生态智慧林场建设项目</w:t>
            </w:r>
          </w:p>
        </w:tc>
        <w:tc>
          <w:tcPr>
            <w:tcW w:w="2239" w:type="dxa"/>
            <w:tcBorders>
              <w:top w:val="single" w:color="auto" w:sz="4" w:space="0"/>
              <w:left w:val="single" w:color="auto" w:sz="4" w:space="0"/>
              <w:right w:val="single" w:color="auto" w:sz="4" w:space="0"/>
            </w:tcBorders>
            <w:vAlign w:val="center"/>
          </w:tcPr>
          <w:p>
            <w:pPr>
              <w:jc w:val="center"/>
              <w:rPr>
                <w:rFonts w:hAnsi="宋体" w:cs="宋体"/>
                <w:color w:val="auto"/>
                <w:sz w:val="24"/>
                <w:szCs w:val="24"/>
                <w:highlight w:val="none"/>
              </w:rPr>
            </w:pPr>
            <w:r>
              <w:rPr>
                <w:rFonts w:hint="eastAsia" w:hAnsi="宋体" w:cs="宋体"/>
                <w:color w:val="auto"/>
                <w:sz w:val="24"/>
                <w:szCs w:val="24"/>
                <w:highlight w:val="none"/>
              </w:rPr>
              <w:t>详见本章</w:t>
            </w:r>
          </w:p>
          <w:p>
            <w:pPr>
              <w:jc w:val="center"/>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eastAsia="zh-CN"/>
              </w:rPr>
              <w:t>二、</w:t>
            </w:r>
            <w:r>
              <w:rPr>
                <w:rFonts w:hint="eastAsia" w:hAnsi="宋体" w:cs="宋体"/>
                <w:color w:val="auto"/>
                <w:sz w:val="24"/>
                <w:szCs w:val="24"/>
                <w:highlight w:val="none"/>
              </w:rPr>
              <w:t>采购内容”</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2000000.00</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szCs w:val="24"/>
                <w:highlight w:val="none"/>
              </w:rPr>
            </w:pPr>
          </w:p>
        </w:tc>
      </w:tr>
      <w:tr>
        <w:tblPrEx>
          <w:tblLayout w:type="fixed"/>
          <w:tblCellMar>
            <w:top w:w="0" w:type="dxa"/>
            <w:left w:w="108" w:type="dxa"/>
            <w:bottom w:w="0" w:type="dxa"/>
            <w:right w:w="108" w:type="dxa"/>
          </w:tblCellMar>
        </w:tblPrEx>
        <w:trPr>
          <w:trHeight w:val="518" w:hRule="exact"/>
          <w:jc w:val="center"/>
        </w:trPr>
        <w:tc>
          <w:tcPr>
            <w:tcW w:w="9796" w:type="dxa"/>
            <w:gridSpan w:val="5"/>
            <w:tcBorders>
              <w:top w:val="single" w:color="auto" w:sz="4" w:space="0"/>
              <w:left w:val="single" w:color="auto" w:sz="4" w:space="0"/>
              <w:bottom w:val="single" w:color="auto" w:sz="4" w:space="0"/>
              <w:right w:val="single" w:color="auto" w:sz="4" w:space="0"/>
            </w:tcBorders>
            <w:vAlign w:val="center"/>
          </w:tcPr>
          <w:p>
            <w:pPr>
              <w:rPr>
                <w:rFonts w:hint="eastAsia" w:hAnsi="宋体" w:cs="宋体"/>
                <w:color w:val="auto"/>
                <w:sz w:val="24"/>
                <w:szCs w:val="24"/>
                <w:highlight w:val="none"/>
              </w:rPr>
            </w:pPr>
            <w:r>
              <w:rPr>
                <w:rFonts w:hint="eastAsia" w:hAnsi="宋体" w:cs="宋体"/>
                <w:color w:val="auto"/>
                <w:sz w:val="24"/>
                <w:szCs w:val="24"/>
                <w:highlight w:val="none"/>
              </w:rPr>
              <w:t>预算价：人民币（大写）</w:t>
            </w:r>
            <w:r>
              <w:rPr>
                <w:rFonts w:hint="eastAsia" w:hAnsi="宋体" w:cs="宋体"/>
                <w:color w:val="auto"/>
                <w:sz w:val="24"/>
                <w:szCs w:val="24"/>
                <w:highlight w:val="none"/>
                <w:lang w:val="en-US" w:eastAsia="zh-CN"/>
              </w:rPr>
              <w:t>贰佰万</w:t>
            </w:r>
            <w:r>
              <w:rPr>
                <w:rFonts w:hint="eastAsia" w:hAnsi="宋体" w:cs="宋体"/>
                <w:color w:val="auto"/>
                <w:sz w:val="24"/>
                <w:szCs w:val="24"/>
                <w:highlight w:val="none"/>
              </w:rPr>
              <w:t>元整（￥</w:t>
            </w:r>
            <w:r>
              <w:rPr>
                <w:rFonts w:hint="eastAsia" w:asciiTheme="minorEastAsia" w:hAnsiTheme="minorEastAsia" w:eastAsiaTheme="minorEastAsia"/>
                <w:b w:val="0"/>
                <w:bCs/>
                <w:color w:val="auto"/>
                <w:sz w:val="24"/>
                <w:highlight w:val="none"/>
                <w:lang w:val="en-US" w:eastAsia="zh-CN"/>
              </w:rPr>
              <w:t>2000000.00</w:t>
            </w:r>
            <w:r>
              <w:rPr>
                <w:rFonts w:hint="eastAsia" w:hAnsi="宋体" w:cs="宋体"/>
                <w:color w:val="auto"/>
                <w:sz w:val="24"/>
                <w:szCs w:val="24"/>
                <w:highlight w:val="none"/>
              </w:rPr>
              <w:t>元）</w:t>
            </w:r>
          </w:p>
        </w:tc>
        <w:tc>
          <w:tcPr>
            <w:tcW w:w="42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4"/>
                <w:szCs w:val="24"/>
                <w:highlight w:val="none"/>
              </w:rPr>
            </w:pPr>
          </w:p>
        </w:tc>
      </w:tr>
    </w:tbl>
    <w:p>
      <w:pPr>
        <w:spacing w:line="240" w:lineRule="auto"/>
        <w:jc w:val="left"/>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1、本项目为交钥匙工程。</w:t>
      </w:r>
      <w:r>
        <w:rPr>
          <w:rFonts w:hint="eastAsia" w:ascii="宋体" w:hAnsi="宋体" w:cs="宋体"/>
          <w:color w:val="auto"/>
          <w:highlight w:val="none"/>
        </w:rPr>
        <w:t>以上总金额包括系统设计开发、产品生产供货、运输装卸、安装调试、产品保护、备品备件、税金、培训、保险、验收、售后服务及辅助工作等完成本项目的所有费用。</w:t>
      </w:r>
    </w:p>
    <w:p>
      <w:pPr>
        <w:spacing w:line="24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供货时提供产品合格证、原厂质保证明等相关资料。</w:t>
      </w:r>
    </w:p>
    <w:p>
      <w:pPr>
        <w:spacing w:line="340" w:lineRule="exact"/>
        <w:jc w:val="left"/>
        <w:rPr>
          <w:rFonts w:ascii="宋体" w:hAnsi="宋体" w:cs="宋体"/>
          <w:color w:val="auto"/>
          <w:kern w:val="0"/>
          <w:highlight w:val="none"/>
        </w:rPr>
      </w:pPr>
    </w:p>
    <w:p>
      <w:pPr>
        <w:snapToGrid w:val="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采购内容</w:t>
      </w:r>
    </w:p>
    <w:p>
      <w:pPr>
        <w:numPr>
          <w:ilvl w:val="0"/>
          <w:numId w:val="0"/>
        </w:numPr>
        <w:snapToGrid w:val="0"/>
        <w:spacing w:line="360" w:lineRule="auto"/>
        <w:rPr>
          <w:rFonts w:hint="eastAsia"/>
          <w:color w:val="auto"/>
          <w:highlight w:val="none"/>
          <w:lang w:eastAsia="zh-CN"/>
        </w:rPr>
      </w:pPr>
    </w:p>
    <w:p>
      <w:pPr>
        <w:numPr>
          <w:ilvl w:val="0"/>
          <w:numId w:val="0"/>
        </w:numPr>
        <w:snapToGrid w:val="0"/>
        <w:spacing w:line="360" w:lineRule="auto"/>
        <w:rPr>
          <w:rFonts w:hint="eastAsia" w:eastAsia="宋体"/>
          <w:color w:val="auto"/>
          <w:highlight w:val="none"/>
          <w:lang w:eastAsia="zh-CN"/>
        </w:rPr>
      </w:pPr>
      <w:r>
        <w:rPr>
          <w:rFonts w:hint="eastAsia"/>
          <w:color w:val="auto"/>
          <w:highlight w:val="none"/>
          <w:lang w:eastAsia="zh-CN"/>
        </w:rPr>
        <w:t>（一）采购清单</w:t>
      </w:r>
    </w:p>
    <w:tbl>
      <w:tblPr>
        <w:tblStyle w:val="77"/>
        <w:tblW w:w="10166"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16"/>
        <w:gridCol w:w="717"/>
        <w:gridCol w:w="4087"/>
        <w:gridCol w:w="793"/>
        <w:gridCol w:w="793"/>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166" w:type="dxa"/>
            <w:gridSpan w:val="8"/>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序号</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品名</w:t>
            </w:r>
          </w:p>
        </w:tc>
        <w:tc>
          <w:tcPr>
            <w:tcW w:w="408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主要技术参数及要求</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数量</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预算单价（元）</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3"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气体监测仪</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1、二氧化碳 量程：0~5000ppm 精度：±30ppm±5%读数 分辨率：1ppm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2、二氧化硫 量程： 0~1ppm（0~1000ppb）精度：±3%F.S 分辨率：0.001ppm(1ppb)</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3、二氧化氮 量程：0~1ppm（0~1000ppb）精度：±3%F.S 分辨率：0.001ppm(1ppb)</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 xml:space="preserve">4、臭氧 量程：0~1ppm（0~1000ppb）精度：±3%F.S 分辨率：0.001ppm(1ppb)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5、一氧化碳 量程：0~1ppm0~1000ppb） 精度：±3%F.S 分辨率：0.001ppm(1ppb)</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6、VOC 量程：0~10ppm 精度：±0.5% 分辨率0.001ppm(1ppb)</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18240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4"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气象监测仪</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1、温湿度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量程：温度：-40-60℃；湿度：0-100%RH；</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精度：温度：±0.3℃(@25℃)；湿度：±3%RH(10-80%RH）无凝露时；</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温度：0.1℃，湿度：0.1%RH；</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 xml:space="preserve">2、风速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量程：0~60m/s 精度：＜±0.1m/s 分辨率：0.1m/s；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 xml:space="preserve">3、风向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量程：0~360° 精度：＜±2° 风向：1°；</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 xml:space="preserve">4、雨量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量程：0~200mm 精度：＜±10% 风向：1mm；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 xml:space="preserve">5、负氧离子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量程：0-50000 个/m3 精度：±10 分辨率：1 个/m3；</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22440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土壤墒情监测仪 </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1、量程：温度：-40-60℃；湿度：0-100%RH；</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2、精度：温度：±0.3℃(@25℃)；湿度：±3%RH(10-80%RH）无凝露时</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3、分辨率：温度：0.1℃，湿度：0.1%RH。</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18960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4"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生态保护宣传智能终端</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性能参数：</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1、高清广角双摄，业高高配4800万高清主摄；远程可遥控的视频通话远超手机/IPAD体验</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2、6麦克风环形阵列，75DB噪音环境下识别率94%</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3、八核CPU，主频高达2.8GHZ+</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4、自主导航底盘，最小通过直径55CM,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5、高保真音箱，影院级声声入心的声场体验</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6、14寸高清屏幕</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7、外形设计：智能机器人外形设计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8、导航方式：支持激光雷达导航</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9、位移速度：1m/s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功能参数:</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1、林业科普展览馆：可以作为展览导览员，向参观者介绍各类植物、树木、野生动物等相关知识，并通过互动式问答增加参观者的参与感和学习效果。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2、导览服务：可以为游客提供导览服务，引导他们游览景点、解说植物、动物特征，同时提供相关的历史文化背景和生态保护知识。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3、教育培训：可以作为林业教育的辅助工具，为学生和参与者提供有趣的科普知识、实践操作体验和交互式学习环境。</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4、生产实践：可以协助工作人员进行信息查询、数据录入、巡视监控等工作，提高工作效率和数据管理水平。</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5、立足国有林场工作业务的核心工作需求，结合建德市寿昌国有林场现状，建立生态知识库，融合通用人工智能大模型和语音交互技术，在互动屏幕为用户提供林业专业知识问答服务。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6、专项数据训练，立足林业行业大模型技术，近百万条林业专项数据模型训练，根据林业用户需求，智能问答，助力智慧林业发展。</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108000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生态保护户外宣传屏</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1、屏幕尺寸：86寸；</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2、背光类型：LED直下式；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3、显示比例：16:9；</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4、分辨率：3840*2160；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5、亮度：2000-2500cd/㎡；</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6、响应时间：6ms;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7、主板：市场上主流主板；</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8、操作系统： Android/Windows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9、视频格式： MPG,  MPG-1,  MPG-2,  MPG-4,  AVI,  MP4,  TS,  MKV,  WMV</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10、图片格式： GIF,  JPEG,  PNG,  BMP</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11、音频输出： 8Ω10W * 2</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12、其他格式： MP3,  24bit  linear  PCM7.1  PDF/  RSS 新闻/天气预报</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13、联网方式： LAN 有线网络，WiFi 无线网络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14、更新方式： 网络远程更新，U 盘更新</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15、显示模式： 可控全屏、分屏播放（制作多画面显示，logo 区域、万年历区域、视频区域、 图片区域、字幕区域等）随意分割， 自行布局屏幕显示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16、程序升级： 远程升级，遥控器升级</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17、定时开关机： 支持设置任意时间段</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18、联网方式： 4G 模块/4G 路由器无线联网</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19、触摸方式： G+F 纳米触摸膜/G+G 电容触摸屏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20、工作温度： 0℃~+50℃（选装加热器可达-20℃~+50℃)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21、储存温度： -10℃~+60℃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22、工作湿度： 10%～90%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23、储存湿度： 5%～95%</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24、噪音： &lt;65dB</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25、整机包含户外雨棚、立柱（离地高度700mm)等配套辅材。</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13800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生态保护宣传移动终端</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屏幕尺寸：13英寸，硬盘参数：8GB+256GB，CPU核心数：8核心。</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3360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植物综合光谱仪</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7寸高清触摸屏，多参数测量，植物光谱测量仪测量数据包含光照度、光合有效辐射PAR（400～700nm）、光合光子通量密度PPFD、不同光质组成（红外、红、绿、蓝、紫外光等）及辐射强度、红蓝光质辐照度比值、叶绿素加权辐照度、色温、中心波长等光量子学参数和光学参数；</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2、快速响应，一键测量，快速检测光源光谱分布，可查询任一波长下的辐射值；</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3、数据云端保存，可导出，可以记录不同时间和空间的光谱数据；利用光谱数据反演植物生理、生化及生态状况；</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4、分析结果图包含光谱分布图（350~800nm）、CIE标准色品图（1931）、色容差图、显色指数CRI图；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5、多样化界面，结果直观，无需化学药剂快速高效，操作便捷；</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6、无损检测，可见光及红外光谱分析；</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7、测量方式：非破坏性测量叶片；</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8、测量光谱：可见光和红外光谱；</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9、样品类型：叶片或扁平的物体；</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10、扫描波长：400-1000nm，光谱带宽:+/-10nm;稳定性: +/-5%;反射率区间: 0-100%；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11、采样速度：3.8ms-10s；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12、采样直径：7.6nm；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13、光偏离：＜0.05%在600nm;0.10%在435nm；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14、分辨率：0.3-10nm FWHM；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15、线性修正：＞99.8%；</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75000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野生动物保护相机</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1、采用工业级400万传感器，物理分辨率2688 × 1520，增强夜视，最低照度0.001 Lux；</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2、采用高效阵列红外灯，红外照射距离最远可达15 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3、续航能力：抓图数量≥5000张或者工作时间≥3个月（取先满足者）；</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4、通讯方式：支持全网4G无线网络传输，支持Wi-Fi本地调试；</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5、接口功能：内置麦克风高清拾音，支持最大256 GB； MicroSD/MicroSDHC/MicroSDXC卡本地存储（实际储存）；</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6、高可靠性：符合IP67防尘防水设计；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7、包含2张存储卡，电池费用。</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9"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双光谱云台</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1、可见光像素：400万；</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2、透雾功能：光学透雾；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3、可见光防抖功能：电子防抖；</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4、可见光镜头焦距：5.5mm～248mm；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5、可见光视场角：水平：63.5°~1.9° ；垂直：37.4°~1.1°；</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6、可见光光学变倍：45倍；</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7、补光类型：激光；</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8、雨刷功能：支持手动/自动启动，支持单次/多次可设，雨刷频率、持续时间可设；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9、激光补光距离：800m；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10、火点侦测距离（最远）：3000m（目标大小2m×2m）；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11、周界防范距离（人）：500m（目标大小1.8m×0.5m）；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12、周界防范距离（车）：1500m（目标大小4m×1.4m）；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13、烟雾检测：支持；</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14、烟雾检测距离：5000m（目标大小5mx5m）；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15、网络接口：1个，10M/100M以太网口（RJ-45）；</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16、报警输入：7 路开关量输入(0-5vDC)；</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17、报警输出：2 路，支持报警联动；</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18、音频输入：1路（LINE IN；裸线）；</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19、音频输出：1路（LINE OUT；裸线）；</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20、设备在不增加外接设备、不扩展外置模块、不改变外观的情况下，激光补光模块和激光测距模块可同时正常工作。（投标文件中需提供具备CMA或CNAS标识的三方权威机构出具的检验报告扫描件或复印件并加盖公章）</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★21、MCBF≥350万次，单机连续运行时间≥2900小时。（投标文件中需提供具备CMA或CNAS标识的三方权威机构出具的检验报告扫描件或复印件并加盖公章）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52000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瞭望塔（含设备箱）</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高度15米（满足摄像机承重要求，保证防火监测摄像机使用高度和安全性）。热镀锌管，抗风速≥30m/s；抗裹冰≥8mm；接地电阻≤10Ω；平台设计承重≥100kg。</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设备箱参数：400（宽）×500（高）×300mm（深），不锈钢材质，板厚 1.5mm，含网络、电源二合一防雷器、漏电保护器等。</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包含瞭望塔基坑开挖、设备箱、防雷器、接地桩等施工费用，绿荷塘林区和长林林区共计3000m山路车辆无法通过，水泥、沙子、水、塔体等物资人工二次搬运，塔体拼接，后期养护、3年运维等费用。</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座</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42000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SLFH-太阳能供电系统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包含4块300W太阳能板，8块12V150Ah电池，包含连接线等其他配件；满足云台设备15天供电需求。</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19500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4"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一体式活动管理杆</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1、太阳能板：18V  200W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2、电池：12V 100AH，阴雨天续航时间10天。</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3、防水等级：IP65</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4、感应探头：距离16米，角度120度，3级灵敏度可调</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5、喇叭：8欧 10W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6、闪灯：红蓝双色高亮LED灯，功率2W。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7、LED屏：尺寸16*64CM，间距P10，大红色</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8、总体高4.5米</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9、上网方式：4G无线或有线宽带；</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10、集成电池保护机制，低于11V过放保护，高于13.8V过充保护；</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11、支持外接一路红外热释电感应探头；</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12、支持摄像机音频输入，进行扩大输出，功率10W；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13、语音播放声音功率10W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14、内置16MB存储器，可以存储99首语音文件；</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15、支持TF卡拷贝Mp3格式文件到主板的内存上；</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16、内置4G模块，包含GPS/北斗定位功能；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17、3个按键是初始化、音量加、音量减；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18、流量卡支持全网通；</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19、具备程序远程升级功能；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20、摄像枪机：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AI抓拍摄像枪机，400万像素，</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 xml:space="preserve">焦距：4-6mm ，可自动变焦；最低照度: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彩色：0.002 Lux；黑白：0.0002 Lux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支持H.265；内置麦克风、有1路音频输出，可实现双向对讲；</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具备人员动态监测功能。</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10560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8"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智能枪型摄像机</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1、传感器类型：1/2.7英寸CMOS；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2、像素：400万；</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3、最大分辨率：2688×1520；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4、最低照度：0.002lux（彩色模式）；0.0002lux（黑白模式）；0lux（补光灯开启）；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5、最大补光距离：60m（红外视频监控距离）30m（暖光视频监控距离）5m（暖光人脸检测距离）；</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6、补光灯：2颗（红外灯）;2颗（混光（红外+暖光）灯）；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7、镜头类型：电动变焦；</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8、镜头焦距：2.7mm～13.5mm；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9、镜头光圈：F1.6；</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10、视场角：水平：32°～111°；垂直：18°～57°；对角：36°～133°；</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11、通用行为分析：物品遗留；物品搬移；</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12、热度图：支持；</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13、周界防范：绊线入侵；区域入侵；快速移动（三项均支持人车分类及精准检测）；徘徊检测；人员聚集；停车检测；</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14、人员和车辆活动轨迹管理；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人数统计模式下,可开启/关闭人数去重功能,开启后可设置去重时间段、去重方式、灵敏度;可将去重人数信息以OSD方式叠加到预览西面中。（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24</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2040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8"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14</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智能球型摄像机</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1、传感器类型：1/1.8英寸CMOS；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2、像素：400万；</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3、最大分辨率：2560×1440；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4、、最低照度：彩色：0.005lux@F1.6黑白：0.0005lux@F1.60Lux（红外灯/激光开启）；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5、最大补光距离：30m（白光）；150m（红外）；</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6、补光类型：红外+白光；</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7、镜头焦距：5.4mm～135mm；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8、镜头光圈：F1.6~F4.0；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9、视场角：水平H：61.6°-3.6°垂直V：2°~35.7°对角D：4°~66.6°；</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10、光学变倍：25倍；</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11、定时任务：预置点;巡迹;巡航;线扫；</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12、可视域功能：支持；</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13、智能分类：易智能；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14、支持人员和车辆活动监测功能；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内置GPU芯片,算力≥2T；距离设备1m处,设备内置扬声器播放最大声级≥87.6dB(A)，设备web界面功能配置采用导航式操作,可选择全局方案和预置点方案,在方案配置中根据下一步提示配置不同的智能功能。（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6"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智能监控半球</w:t>
            </w:r>
          </w:p>
        </w:tc>
        <w:tc>
          <w:tcPr>
            <w:tcW w:w="4087" w:type="dxa"/>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1、传感器类型：1/1.8英寸CMOS；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2、像素：400万；</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3、最大分辨率：2688×1520；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4、最低照度：0.001lux（彩色模式）；0.0001lux（黑白模式）；0lux（补光灯开启）；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5、最大补光距离：60m（红外视频监控距离）6m（人脸检测距离）；</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6、补光灯：2颗（红外灯）;1颗（警戒灯）；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7、镜头类型：电动变焦；</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8、镜头焦距：2.7mm～12mm；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9、镜头光圈：F1.8；</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10、视场角：水平：115°～47°；垂直：62°～27°；对角：137°～54°；</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11、通用行为分析：物品遗留；物品搬移；</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12、热度图：支持；</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13、支持人员和车辆活动监测管理。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★14、角落亮度均匀性（corners）≥85%，四边亮度均匀性（sides）≥90%。（投标文件中需提供具备CMA或CNAS标识的三方权威机构出具的检验报告扫描件或复印件并加盖公章）</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★15、具有精准搜索功能，开启后可检测分析画面中人体各类特征后形成结构化数据上传后端。（投标文件中需提供具备CMA或CNAS标识的三方权威机构出具的检验报告扫描件或复印件并加盖公章）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1260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监控立杆1（含设备箱）</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1、监控立杆为采用优质Q235钢板，经大型折弯机一次成形的锥度杆；总高6米，壁厚4mm；热镀锌后表面静电喷塑处理；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2、设备箱尺寸 400（宽）×500（高）×300mm（深），不锈钢材质，板厚 1.5mm，含二合一防雷器、漏电保护器。</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17</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监控立杆2（含设备箱）</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1、监控立杆为采用优质Q235钢板，经大型折弯机一次成形的锥度杆；总高4米，壁厚2.5mm；热镀锌后表面静电喷塑处理；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2、设备箱尺寸 400（宽）×500（高）×300mm（深），不锈钢材质，板厚 1.5mm，含二合一防雷器、漏电保护器。</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18</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RYHD-太阳能供电系统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包含2块150W太阳能板，1块12v120Ah电池，1台太阳能供电器；1台逆变器，含防水箱、支架；满足设备15天供电</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3360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9"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19</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机场</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1、机场尺寸：≤600mmx600mmx500mm（舱盖闭合，不含气象站）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2、机场最大输入功率：设备最大输入功率1000W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3、机场工作环境温度：设备工作温度范围-20°C 至 45°C</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4、机场IP防护等级：机场设备具备≥IP55的防护等级</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5、机场IP防护等级：飞行器具备≥IP54防护等级</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6、机场最大抗风速度：≥12 m/s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7、机场最大作业半径：设备理想情况最大作业半径≥10公里</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8、机场RTK 基站卫星接收频率：机场以及飞行器设备所含RTK基站可同时接收GPS、GLONASS、BEIDOU、GALILEO四种卫星信号。</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9、机场RTK 基站定位精准度：水平精度≤1 cm+1 ppm（RMS），垂直精度≤2 cm+1 ppm（RMS）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10、机场输出电压：设备充电输出电压≥28V</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11、机场充电耗时：设备最短作业间隔≤35min</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12、机场天线：设备天线系统具备智能冗余设计，天线数量≥4天线</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13、机场内置电池容量：设备内置备用电池，续航时间≥5小时</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14、4G模块，无人机和机库之间的通信备份链路。放置在无人机内部，在无人机飞行距离较远或飞行至信号遮挡区域造成无人机信号不稳定时，自动切换至4G备份链路，保障安全。</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★15、机场充电性能输出电压：要求为直流电且＜36V;机场备用电池电池容量:≥12安时。（投标文件中需提供具备CMA或CNAS标识的三方权威机构出具的检验报告扫描件或复印件并加盖公章）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电池</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1、电池:容量:≥7500 毫安时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2、电池化学体系:镍钴锰酸锂</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3、电池能量:≥110 瓦时</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4、电池重量:≥550 克</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组</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机场综合服务包</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提供一年内，因无人机飞行造成的意外损坏在额度之内进行不限次数的置换/维修服务；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提供一年内，因无人机飞行造成的第三方人身/财产赔付保险，额度100万，人身财产比列3：2.</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提供一年内，无人机一次机场回厂家深度保养服务：易损件更换、电机更换、升级校准、部件检测、深度清洁</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年</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12240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8"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喊话器</w:t>
            </w:r>
          </w:p>
        </w:tc>
        <w:tc>
          <w:tcPr>
            <w:tcW w:w="4087" w:type="dxa"/>
            <w:vAlign w:val="center"/>
          </w:tcPr>
          <w:p>
            <w:pPr>
              <w:keepNext w:val="0"/>
              <w:keepLines w:val="0"/>
              <w:widowControl/>
              <w:numPr>
                <w:ilvl w:val="0"/>
                <w:numId w:val="2"/>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接口：E-port</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2、尺寸：≤L189*W110*H83mm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3、支持机型：兼容大疆Matrice 3D/3TD无人机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4、功率：≤38W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5、喊话器功率：≥15W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6、探照灯功率：≥18W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7、警示灯功率：≥5W</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8、喊话器一米处声压：≥120dB</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9、有效广播距离：≥200m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★10、警示灯模式：红蓝、红黄、6种颜色自定义。（投标文件中需提供具备CMA或CNAS标识的三方权威机构出具的检验报告扫描件或复印件并加盖公章）</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11、喊话器功能模式：实时喊话、录音上传、音频上传、文字转语音</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12、探照灯功能模式：常亮模式、爆闪模式、亮度调节、云台角度调节、云台跟随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13、光通量：≥1800lm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14、探照灯FOV：≥17°</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★15、IP等级：≥IP54。（投标文件中需提供具备CMA或CNAS标识的三方权威机构出具的检验报告扫描件或复印件并加盖公章）</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16、100m处光斑直径≥29.9m，探照面积≥701m²，中心光照度≥2.4Lux；</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17、50m处光斑直径≥14.9m，探照面积≥174m²，中心光照度≥9.6Lux；</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18、支持音频格式：mp3、wav、aac、flac、m4a、opus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19、云台转动角度：俯仰：-90°~+35°</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20、工作温度：-20°C~+50°C</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个</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7200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23</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路由器</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1、企业级专业路由器，400带机量；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2、IPSec VPN隧道数：100条；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3、内存：512MB；</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4、最大功耗：12W。</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24</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交换机</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1、24口企业级千兆交换机；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2、支持APR入侵检测功能、IP Source guard特性、DHCP Snooping特性、端口安全特性族；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3、支持802.1X和MAC认证。</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25</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网络机柜</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1、机柜尺寸：宽*深*高：600mm*800mm*1200mm；</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2、产品车载≥300KG，材质厚度:通体0.8mm/立柱1.5mm。</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26</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指挥终端</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1、内存容量：32G系列；</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2、系统：Windows 10；</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3、处理器：Intel i7；</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4、显卡：显存容量≥6G；</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5、硬盘容量：1TB ；</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6、屏幕英寸27英寸显示器；含鼠标套装。</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4"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27</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存储终端</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1、具有2个HDMI接口、2个VGA接口、2个RJ45网络接口、2个USB2.0接口、1个USB3.0接口、1个RS232接口、1个RS485接口、1个eSata接口；具有1路音频输入接口、2路音频输出接口，16路报警输入接口、9路报警输出接口，1个DC 12V输出接口；内置8*10T SATA接口硬盘</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2、可接入1T、2T、3T、4T、6T、8T、10T、12TB、14TB、16TB容量的SATA接口硬盘；</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3、可接入32路分辨率为1920×1080的视频图像；支持最大接入带宽256Mbps，最大存储带宽256Mbps，最大转发带宽160Mbps，最大回放带宽160Mbps</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4、支持网络状态检测，支持网络延时、丢包测试，支持网络抓包备份。</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166" w:type="dxa"/>
            <w:gridSpan w:val="8"/>
            <w:vAlign w:val="center"/>
          </w:tcPr>
          <w:p>
            <w:pPr>
              <w:keepNext w:val="0"/>
              <w:keepLines w:val="0"/>
              <w:widowControl/>
              <w:suppressLineNumbers w:val="0"/>
              <w:jc w:val="both"/>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序号</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品名</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主要技术参数及要求</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数量</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预算单价（元）</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智慧林业一体化管控平台</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1.组织管理功能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支持组织架构信息管理。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2.用户管理功能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支持各系统用户信息管理。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3.角色管理功能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支持各系统角色信息管理。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4.数据字典功能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具有调查因子代码表。</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5.网格配置功能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支持对林场网格数据管理。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6.版本管理功能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支持对手机端版本信息管理，含版本发布、下架、下载次数等信息。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7.系统管理功能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支持对各系统信息管理，含名称、排序、启用/停用等信息。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8.菜单管理功能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支持管理菜单级别、所属系统、启用/停用等信息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9.信息展示功能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支持平台主页面展示林场概况和宣传视频</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10.林场区域展示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支持林场区域在地图上展示，并以颜色区分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11.森林资源播报</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支持平台主页上展示林地总面积、森林覆盖率、公益林总面积、湿地总面积、自然林场总面积、活力木总储积量等林场数据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12.模式切换功能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支持常规模式和值班模式切换功能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13.天气播报功能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支持气温、风速、紫外线强度、能见度、二氧化碳浓度等气候数据播报</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14.林业交互模块</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在监控大屏前不需要通过鼠标和键盘操作平台，通话关键词唤醒“智能助手”，与智能助手对话，系统会根据用户要求执行相关操作；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15.知识服务模块</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系统支持对输入的林业相关问题通过模型算法进行生成式作答，支持问答记录导出，支持新建多个会话窗口，并支持查询历史会话记录;。</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16.智能值班模式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支持进入值班模式，机器人自动值班，如果出现险情会自动在地图上告警，并在系统告警中心转送相达负责人员。</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★17、语言指令识别</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通过语音指令进行系统交互操作，系统内置语音指令≥150条，支持新增、编辑、删除；系统指令识别率≥95%。支持将中文普通话语音转写为文字并在对话框输入显示；中文普通话语言转写。（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75520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75520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生态环境因子监测系统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1、林场一张图功能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可在GIS地图上展示林场管辖范围、气象监测设备、气体监测设备、土壤墒情设备、植物因子监测设备、动物抓拍相机的位置信息，点击可调取当前位置设备传感信息和详细介绍。</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2、支持对最新动物抓拍记录的显示，显示抓拍到的具体位置。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3、监控设备管理：设置并显示国有林场区域、地点、设备名称、设备类型、创建人、创建时间、启用状态等信息。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4、文件管理：支持对监控文件信息管理，按照监控设备、文件名称、时间等信息管理。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5、设备管理：包括设备编号、名称、所属区域、布设状态、经纬度、地址等。</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10、支持资源属性查看</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6、统计分析：</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支持根据监测设备基于时间数据分类统计，包括气象温度和湿度变化监测图、气象光照强度和大气压监测图、水质PH和溶解氧变化监测图、水质浊度和离子浓度变化监测图。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7、动物管理：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在野生动物资源库管理中，进行野生动物信息基础管理，可增加、修改、删除、查询野生动物信息，动物信息增加后，可在后续鉴定中进行所属物种的鉴定。</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1.支持按照物种名称、保护级别、出现时令、繁衍时令、冬眠时令条件查询动物列表；</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2.支持按照模板导入动物信息；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3.支持动物信息添加、编辑、删除操作；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4.支持动物信息详情查看操作。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8、上报事件统计：支持根据统计时间，查看时间范围类的事件来源统计、按监测设备排行统计、按区域排行统计以及巡护人员上报排行统计。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9、资源库分析：支持查看各类动物科属钟数量统计、科类统计排行、属类统计排行、上报次数统计排行；</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10、数据治理：支持野保相机设备数据拷贝，拷贝数据标记、数据清洗、数据整理、数据智能分析、专家识别服务。</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86000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森林防火预警监测系统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1、森林防火一张图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GIS地图上展示防火云台的位置信息，可直接调取实时监控画面；支持最新火情的告警显示，显示火点位置。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2、火情信息处理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接收系统上报的火情消息；按用户权限接收到火情消息，非上报用户无法接收到消息。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3、火情实时视频</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支持查看火情图片；点击地图上的火情预警按钮，即可查看火情实时视频。</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4、火情自动报警功能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火情自动报警包括语音提示，同时地图上自动火点位置标记，火点画面展示。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5、火点定位功能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平台接收到热成像双光谱设备上报的火情告警后，根据设备所在瞭望塔的经纬度位置，设备的水平俯仰角信息，定位出火情位置，并在电子地图上显示。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6、火情研判功能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值班人员能够对系统接收到的实时火情进行分级研判处理，处理类型有重要火情、常规火情、关注火情、非火情、重复告警。</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7、火情档案功能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扑火完毕的实时火情信息将会划入历史火情中，用户可以在历史火情列表中，通过时间、状态、预警类型等条件，查询历史火情信息。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8、火情统计功能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对平台报警数据的统计分析。支持火情统计报表时间粒度：年、月、周、日，统计对象：按报警事件、报警级别。</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9、防火资源管理功能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支持通过后台添加删除防火资源管理列表，展示防火资源的名称、防火类型、数量、经纬度、地址等信息。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10、防火监控管理功能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支持通过后台添加防火监控设备列表，展示区域、地点、设备名称、设备类型、创建人、创建时间、设备用途、启用状态等信息。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11、蔓延分析功能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支持火情发生后根据火情地点的气象信息，现场实际情况，通过大数据算法分析模拟出火情蔓延趋势，同时支持对火情发生地区的林种、树种、碳汇价值、受灾面积分析统计；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★12、报警信息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系统能够自动接收并下发报警信息，包括卫星遥感、视频监控报警、林长制/护林员、物联网、无人机等，并在地图上相应位置显示火点图标，热点漏报率＜千分之一，定位误差＜100米。（投标文件中需提供具备CMA或CNAS标识的三方权威机构出具的检验报告扫描件或复印件并加盖公章）</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★13、接入路数</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支持接入摄像设备及前端烟火检测是数据接入和后台控制功能，视频接入路数不≥300路。（投标文件中需提供具备CMA或CNAS标识的三方权威机构出具的检验报告扫描件或复印件并加盖公章）</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★14、火情处置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对报警信息列表中未处置的火情信息进行报警处理，并显示该火点的基本信息，如：是否为特殊用火、周边资源、接收详情。（投标文件中需提供具备CMA或CNAS标识的三方权威机构出具的检验报告扫描件或复印件并加盖公章）</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66500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无人机巡护管理系统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1、多路无人机低延时高清画面直播，支持同时多路无人机实时超清/高清/流畅多模式视频多屏直播、画中画直播；</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2、支持实时显示各项态势信息，支持显示不少于10项机场实时信息；支持显示不少于10项机场无人机实时信息包含；支持显示无人机挂载信息；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3、支持对机场无人机远程控制，提供至少8种远程控制操作；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4、支持基于不少于4种数据可视化载体进行无人机自动飞行路线配置；支持至少两种不同模式的航线配置策略；</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5、支持KMZ格式航线导入并下发至机场；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6、支持航点动作批量复制；完成航线规划后自动进行航点数、飞行里程、飞行时长预统计；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7、提供航线规划安全飞行提醒，超出机场无人机覆盖范围添加航点系统告警提示；航点在所划定的安全区域内，若低于该区域安全高度，自动调整航点高度保证飞行安全；</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8、机场无人机支持巡检任务下发，提供至少三种任务下发模式，无人机自动执行航线巡检任务；</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9、巡检数据留存及应用，巡检任务信息、设备信息、设备获取的图像、视频、轨迹数据上传至服务器，在地图叠加展示照片及数据图层。成果数据可查看、下载、删除；</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10、支持用户角色管理，自定义角色数据权限分配；</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11、态势显示：实时任务统计、动态数据、设备位置及状态、素材位置、人员全要素上图；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12、支持机场安全设置，基于地理信息个性化设置多扇区可飞区域范围及区域安全飞行高度；</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13、支持多层级组织架构管理、人员管理、素材管理、设备管理。</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87500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森林资源信息管理系统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1、林业一张图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支持林业一张图，通过GIS地图展示林业资源、概况、天气情况、空气质量、当前日期时间等信息；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2、林业资源分布专题图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具备对林业资源深度学习算法的智能终端管理能力，可以实现展示林业相关资源的分布位置等；支持普通地图、卫星地图和三维地图的展示模式；</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3、功能区划分专题图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主要展示各功能区的划分及位置；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4、改造更新专题图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主要展示近几年林业改造更新的状态及改造数据；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5、基础设施专题图</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主要展示公园的基础设施如卡口视频、办公室等数据位置；</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6、资源概况介绍</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展示林场林业概况信息，可实现语音播报效果；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7、林业资源展示</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可根据林场林业档案数据展示景点名称、数量、类别、面积等信息；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8、业务数据管理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业务数据包含其它业务系统生成的数据；导入公园林业档案数据到系统可以与系统中的图层叠加。点击网格配置中的导入配置，即可将网格数据导入到系统中。</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★9、资源管理</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支持林场相关专题图的导入功能，支持资源属性查看，支持资源信息不同维度的统计功能。（投标文件中需提供具备CMA或CNAS标识的三方权威机构出具的检验报告扫描件或复印件并加盖公章）</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10、支持资源属性查看</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资源信息不同纬度的统计功能</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88000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道路预警监测系统</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1、设备一览功能：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支持在系统的GIS地图上展示卡口分布的位置和卡口名称等基本信息，可以在GIS地图直接调取监控实时画面；</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2、设备观看功能：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可以分级列表展示林业的视频菜单，点击菜单后显示设备画面；</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3、视频监测管理功能：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可以通过后台设置并显示林业区域、地点、设备名称、设备类型、创建人、创建时间、启用状态等信息；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4、人员白名单管理功能：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可以通过后台设置人员白名单，展示人员所属区域、姓名、性别、联系方式、学历、岗位、职称级别、入职时间等信息。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5、人员黑名单管理功能：</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可通过后台上传黑名单人员图片到人脸识别库中；</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6、人员活动记录：</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支持对经过设备的人员活动轨迹、行为记录；</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7、车辆活动记录：</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卡口视频会记录经过摄像头观测范围的车辆活动情况；如该车辆是车辆黑名单中的车辆，卡口系统会发起车辆黑名单预警信息。</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75000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1433" w:type="dxa"/>
            <w:gridSpan w:val="2"/>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网络链路费</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包含项目所需网络链路费用，以业主实际需求为准。</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166" w:type="dxa"/>
            <w:gridSpan w:val="8"/>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软件定制开发清单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序号</w:t>
            </w:r>
          </w:p>
        </w:tc>
        <w:tc>
          <w:tcPr>
            <w:tcW w:w="716"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一级模块</w:t>
            </w: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二级模块</w:t>
            </w:r>
          </w:p>
        </w:tc>
        <w:tc>
          <w:tcPr>
            <w:tcW w:w="408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内容描述</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工作量（人/月）</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预算单价（元）</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716"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生态环境因子监测系统</w:t>
            </w: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动物管理</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在野生动物资源库管理中，进行野生动物信息基础管理，可增加、修改、删除、查询野生动物信息，动物信息增加后，可在后续鉴定中进行所属物种的鉴定。</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1.支持按照物种名称、保护级别、出现时令、繁衍时令、冬眠时令条件查询动物列表；</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2.支持按照模板导入动物信息；</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3.支持动物信息添加、编辑、删除操作；</w:t>
            </w:r>
            <w:r>
              <w:rPr>
                <w:rFonts w:hint="eastAsia" w:ascii="宋体" w:hAnsi="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4.支持动物信息详情查看操作。</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1.3</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Merge w:val="restart"/>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716" w:type="dxa"/>
            <w:vMerge w:val="restart"/>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森林防火预警监测系统</w:t>
            </w: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数据治理服务</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包括3年的火情数据训练治理服务，对前端收集到预数据进行数据清洗：对采集到的数据进行清洗和去重，确保数据准确和完整；云台数据调试：对收集到的云台数据进行分析、对比，过滤不同方位的错误数据，训练云台的准确性。</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1.5</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6"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防火设备接入</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接入寿昌林场现有1台海康威视防火云台，实现平台对接，数据融合管理，画面预览。</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0.12</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Merge w:val="restart"/>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716" w:type="dxa"/>
            <w:vMerge w:val="restart"/>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三维实景数据孪生系统</w:t>
            </w: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三维建模</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寿昌林场重点区域4个林区林地三维实景建模林地三维实景建模</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8.7</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692"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6"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森林资源调查与监测</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能直观呈现地形起伏，助力调查人员定位和评估森林资源分布，快速掌握不同区域森林资源状况，为资源管理提供准确地理空间信息。</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0.8</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92"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6"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林业规划与设计</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在进行造林、采伐、林道建设等规划时，3D模型可帮助规划者根据地形合理布局，如选择适宜造林地块、设计采伐路线以减少水土流失和对生态的破坏，规划林道时避免陡峭地形降低建设成本和安全风险。</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0.8</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6"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森林防火与病虫害防治</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能帮助防火指挥人员了解林区地形，制定科学防火策略；在病虫害防治中，依据地形确定监测点和防治作业路线。</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92"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6"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717"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旅游与教育</w:t>
            </w:r>
          </w:p>
        </w:tc>
        <w:tc>
          <w:tcPr>
            <w:tcW w:w="4087" w:type="dxa"/>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可用于开发林业旅游项目，设计旅游线路，让游客更好欣赏林区景观；在林业教育中，为学生提供直观地形场景，帮助理解林业与地形关系，提高教学效果。</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w:t>
            </w:r>
          </w:p>
        </w:tc>
        <w:tc>
          <w:tcPr>
            <w:tcW w:w="793"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982" w:type="dxa"/>
            <w:gridSpan w:val="7"/>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合计</w:t>
            </w:r>
          </w:p>
        </w:tc>
        <w:tc>
          <w:tcPr>
            <w:tcW w:w="1184" w:type="dxa"/>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2000000</w:t>
            </w:r>
          </w:p>
        </w:tc>
      </w:tr>
    </w:tbl>
    <w:p>
      <w:pPr>
        <w:spacing w:line="340" w:lineRule="exact"/>
        <w:jc w:val="left"/>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1、本项目为交钥匙工程。</w:t>
      </w:r>
      <w:r>
        <w:rPr>
          <w:rFonts w:hint="eastAsia" w:ascii="宋体" w:hAnsi="宋体" w:cs="宋体"/>
          <w:color w:val="auto"/>
          <w:highlight w:val="none"/>
        </w:rPr>
        <w:t>以上总金额包括系统设计开发、产品生产供货、运输装卸、安装调试、产品保护、备品备件、税金、培训、保险、验收、售后服务及辅助工作等完成本项目的所有费用。</w:t>
      </w:r>
    </w:p>
    <w:p>
      <w:pPr>
        <w:spacing w:line="340" w:lineRule="exact"/>
        <w:ind w:firstLine="420" w:firstLineChars="200"/>
        <w:jc w:val="left"/>
        <w:rPr>
          <w:rFonts w:hint="eastAsia" w:ascii="宋体" w:hAnsi="宋体" w:eastAsia="宋体" w:cs="宋体"/>
          <w:b/>
          <w:color w:val="auto"/>
          <w:sz w:val="28"/>
          <w:szCs w:val="28"/>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供货时提供产品合格证、原厂质保证明等相关资料。</w:t>
      </w:r>
    </w:p>
    <w:p>
      <w:pPr>
        <w:numPr>
          <w:ilvl w:val="0"/>
          <w:numId w:val="0"/>
        </w:numPr>
        <w:snapToGrid w:val="0"/>
        <w:spacing w:line="360" w:lineRule="auto"/>
        <w:rPr>
          <w:rFonts w:hint="eastAsia"/>
          <w:color w:val="auto"/>
          <w:highlight w:val="none"/>
          <w:lang w:eastAsia="zh-CN"/>
        </w:rPr>
      </w:pPr>
    </w:p>
    <w:p>
      <w:pPr>
        <w:numPr>
          <w:ilvl w:val="0"/>
          <w:numId w:val="0"/>
        </w:numPr>
        <w:snapToGrid w:val="0"/>
        <w:spacing w:line="360" w:lineRule="auto"/>
        <w:rPr>
          <w:rFonts w:hint="eastAsia"/>
          <w:color w:val="auto"/>
          <w:highlight w:val="none"/>
          <w:lang w:eastAsia="zh-CN"/>
        </w:rPr>
      </w:pPr>
      <w:r>
        <w:rPr>
          <w:rFonts w:hint="eastAsia"/>
          <w:color w:val="auto"/>
          <w:highlight w:val="none"/>
          <w:lang w:eastAsia="zh-CN"/>
        </w:rPr>
        <w:t>（二）其他要求</w:t>
      </w:r>
    </w:p>
    <w:p>
      <w:pPr>
        <w:numPr>
          <w:ilvl w:val="0"/>
          <w:numId w:val="0"/>
        </w:num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应组建能够满足本项目需要的项目组，按照工作范围和内容完成工作，并及时向采购单位汇报工作进展。其中项目负责人1人，具有项目管理专业人士资格认证（PMP）证书</w:t>
      </w:r>
      <w:r>
        <w:rPr>
          <w:rFonts w:hint="eastAsia" w:ascii="宋体" w:hAnsi="宋体" w:eastAsia="宋体" w:cs="宋体"/>
          <w:color w:val="auto"/>
          <w:highlight w:val="none"/>
          <w:lang w:val="zh-CN" w:eastAsia="zh-CN"/>
        </w:rPr>
        <w:t>；技术负责人</w:t>
      </w:r>
      <w:r>
        <w:rPr>
          <w:rFonts w:hint="eastAsia" w:ascii="宋体" w:hAnsi="宋体" w:eastAsia="宋体" w:cs="宋体"/>
          <w:color w:val="auto"/>
          <w:highlight w:val="none"/>
          <w:lang w:val="en-US" w:eastAsia="zh-CN"/>
        </w:rPr>
        <w:t>1人，具有系统架构设计师（高级）证书</w:t>
      </w:r>
      <w:r>
        <w:rPr>
          <w:rFonts w:hint="eastAsia" w:ascii="宋体" w:hAnsi="宋体" w:eastAsia="宋体" w:cs="宋体"/>
          <w:color w:val="auto"/>
          <w:highlight w:val="none"/>
          <w:lang w:eastAsia="zh-CN"/>
        </w:rPr>
        <w:t>。</w:t>
      </w:r>
    </w:p>
    <w:p>
      <w:pPr>
        <w:numPr>
          <w:ilvl w:val="0"/>
          <w:numId w:val="0"/>
        </w:num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、投标人提供的投标产品须相当于或优于采购需求技术参数要求。</w:t>
      </w:r>
    </w:p>
    <w:p>
      <w:pPr>
        <w:numPr>
          <w:ilvl w:val="0"/>
          <w:numId w:val="0"/>
        </w:num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、如果</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提供的设备（系统）与投标时提供的情况不符，均由</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负责整改，但不得损坏主体结构，所有费用含在投标总价中而不做调整。</w:t>
      </w:r>
    </w:p>
    <w:p>
      <w:pPr>
        <w:numPr>
          <w:ilvl w:val="0"/>
          <w:numId w:val="0"/>
        </w:num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需接受采购单位的管理，自行承担安全文明规范施工的责任，严格按安全标准组织安装，采取必要的安全防护措施，对安装、调试等负责，直至拿到竣工验收报告，其验收费用包括在投标总价中。</w:t>
      </w:r>
    </w:p>
    <w:p>
      <w:pPr>
        <w:numPr>
          <w:ilvl w:val="0"/>
          <w:numId w:val="0"/>
        </w:num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须遵守安全生产有关管理规定，严格按安全标准组织安装，采取必要的安全防护措施，消除事故隐患。由于</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造成的安全事故，其责任和因此发生的一切费用，由</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承担。</w:t>
      </w:r>
    </w:p>
    <w:p>
      <w:pPr>
        <w:numPr>
          <w:ilvl w:val="0"/>
          <w:numId w:val="0"/>
        </w:numPr>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、在安装过程中，如建筑结构或其它设备被损坏，</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将要负责修理或赔偿损失。</w:t>
      </w:r>
    </w:p>
    <w:p>
      <w:pPr>
        <w:widowControl/>
        <w:shd w:val="clear"/>
        <w:tabs>
          <w:tab w:val="left" w:pos="425"/>
          <w:tab w:val="left" w:pos="747"/>
        </w:tabs>
        <w:spacing w:line="360" w:lineRule="auto"/>
        <w:ind w:left="0" w:leftChars="0" w:firstLine="42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、安装施工用电用水装表计量，由</w:t>
      </w:r>
      <w:r>
        <w:rPr>
          <w:rFonts w:hint="eastAsia" w:ascii="宋体" w:hAnsi="宋体" w:cs="宋体"/>
          <w:color w:val="auto"/>
          <w:highlight w:val="none"/>
          <w:lang w:eastAsia="zh-CN"/>
        </w:rPr>
        <w:t>中标人</w:t>
      </w:r>
      <w:r>
        <w:rPr>
          <w:rFonts w:hint="eastAsia" w:ascii="宋体" w:hAnsi="宋体" w:eastAsia="宋体" w:cs="宋体"/>
          <w:color w:val="auto"/>
          <w:highlight w:val="none"/>
          <w:lang w:eastAsia="zh-CN"/>
        </w:rPr>
        <w:t>与采购单位按实结算。</w:t>
      </w: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&gt;</w:t>
      </w:r>
      <w:r>
        <w:rPr>
          <w:rFonts w:hint="eastAsia" w:ascii="宋体" w:hAnsi="宋体" w:eastAsia="宋体" w:cs="宋体"/>
          <w:b/>
          <w:color w:val="auto"/>
          <w:sz w:val="28"/>
          <w:szCs w:val="28"/>
          <w:highlight w:val="none"/>
          <w:lang w:val="en-US" w:eastAsia="zh-CN"/>
        </w:rPr>
        <w:t>商务条款</w:t>
      </w:r>
    </w:p>
    <w:p>
      <w:pPr>
        <w:autoSpaceDE w:val="0"/>
        <w:autoSpaceDN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1、采购的总体要求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1）必须符合招标文件(包括补充更正，如有)的技术要求和配置；必须是国内相应制造厂商生产并提供的原装合格产品；必须是</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7月1日</w:t>
      </w:r>
      <w:r>
        <w:rPr>
          <w:rFonts w:hint="eastAsia" w:ascii="宋体" w:hAnsi="宋体" w:eastAsia="宋体" w:cs="宋体"/>
          <w:color w:val="auto"/>
          <w:sz w:val="24"/>
          <w:highlight w:val="none"/>
        </w:rPr>
        <w:t>以后生产的、符合国家质量技术标准的设备。</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2）售后服务按国家市场监督管理总局和国家其他有关规定执行，国家没有规定的按厂商规定执行。国家规定标准低于厂商标准的按厂商标准执行，但最低免费原厂质保服务期不得少于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p>
    <w:p>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pPr>
        <w:autoSpaceDE w:val="0"/>
        <w:autoSpaceDN w:val="0"/>
        <w:snapToGrid w:val="0"/>
        <w:spacing w:line="360" w:lineRule="auto"/>
        <w:ind w:firstLine="480" w:firstLineChars="200"/>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p>
    <w:p>
      <w:pPr>
        <w:autoSpaceDE w:val="0"/>
        <w:autoSpaceDN w:val="0"/>
        <w:snapToGrid w:val="0"/>
        <w:spacing w:line="360" w:lineRule="auto"/>
        <w:ind w:firstLine="482" w:firstLineChars="200"/>
        <w:textAlignment w:val="bottom"/>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、售后服务</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本项目提供≥3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供应商免费技术服务和维修</w:t>
      </w:r>
      <w:r>
        <w:rPr>
          <w:rFonts w:hint="eastAsia" w:ascii="宋体" w:hAnsi="宋体" w:eastAsia="宋体" w:cs="宋体"/>
          <w:color w:val="auto"/>
          <w:sz w:val="24"/>
          <w:highlight w:val="none"/>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）在设备（或系统）整个使用期内，中标供应商应确保正常使用，在接到</w:t>
      </w:r>
      <w:r>
        <w:rPr>
          <w:rFonts w:hint="eastAsia" w:ascii="宋体" w:hAnsi="宋体" w:cs="宋体"/>
          <w:color w:val="auto"/>
          <w:sz w:val="24"/>
          <w:highlight w:val="none"/>
          <w:lang w:eastAsia="zh-CN"/>
        </w:rPr>
        <w:t>采购单位</w:t>
      </w:r>
      <w:r>
        <w:rPr>
          <w:rFonts w:hint="eastAsia" w:ascii="宋体" w:hAnsi="宋体" w:eastAsia="宋体" w:cs="宋体"/>
          <w:color w:val="auto"/>
          <w:sz w:val="24"/>
          <w:highlight w:val="none"/>
          <w:lang w:eastAsia="zh-CN"/>
        </w:rPr>
        <w:t>维修要求后在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小时内响应并提出解决方案，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小时内到达现场对故障进行处理，维修过程中所需材料中标供应商在接到通知后应及时提供，最长不超过48小时必须送达。若48小时内无法修复的，应及时提供相应备用设备并负责安装调试，为此，供应商应提供相应承诺书</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）在质保期内，中标供应商应负责对其提供的设备进行现场维修、损坏件更换，不收取额外费用，响应时间必须满足采购人工作正常运行的要求</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供应商在投标文件中须说明保修期内提供的服务计划。</w:t>
      </w:r>
    </w:p>
    <w:p>
      <w:pPr>
        <w:autoSpaceDE w:val="0"/>
        <w:autoSpaceDN w:val="0"/>
        <w:snapToGrid w:val="0"/>
        <w:spacing w:line="360" w:lineRule="auto"/>
        <w:ind w:right="-178" w:rightChars="-85"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培训</w:t>
      </w:r>
    </w:p>
    <w:p>
      <w:pPr>
        <w:autoSpaceDE w:val="0"/>
        <w:autoSpaceDN w:val="0"/>
        <w:snapToGrid w:val="0"/>
        <w:spacing w:line="360" w:lineRule="auto"/>
        <w:ind w:right="-178" w:rightChars="-85" w:firstLine="480" w:firstLineChars="200"/>
        <w:textAlignment w:val="bottom"/>
        <w:rPr>
          <w:rFonts w:hint="eastAsia"/>
          <w:color w:val="auto"/>
          <w:highlight w:val="none"/>
        </w:rPr>
      </w:pPr>
      <w:r>
        <w:rPr>
          <w:rFonts w:hint="eastAsia" w:ascii="宋体" w:hAnsi="宋体" w:eastAsia="宋体" w:cs="宋体"/>
          <w:color w:val="auto"/>
          <w:sz w:val="24"/>
          <w:highlight w:val="none"/>
          <w:lang w:val="en-US" w:eastAsia="zh-CN"/>
        </w:rPr>
        <w:t>投标单位应提供相应的培训计划，详细说明培训的方式、地点、人数、时间等实质性内容。</w:t>
      </w:r>
      <w:r>
        <w:rPr>
          <w:rFonts w:hint="eastAsia" w:ascii="宋体" w:hAnsi="宋体" w:cs="宋体"/>
          <w:color w:val="auto"/>
          <w:sz w:val="24"/>
          <w:highlight w:val="none"/>
          <w:lang w:val="en-US" w:eastAsia="zh-CN"/>
        </w:rPr>
        <w:t>中标人的培训课程应不少于24课时，必须培训指导至采购人相关人员熟练掌握设备（或系统）的操作。</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完成时间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交付期限：</w:t>
      </w:r>
      <w:r>
        <w:rPr>
          <w:rFonts w:hint="eastAsia" w:ascii="宋体" w:hAnsi="宋体" w:eastAsia="宋体" w:cs="宋体"/>
          <w:color w:val="auto"/>
          <w:sz w:val="24"/>
          <w:highlight w:val="none"/>
        </w:rPr>
        <w:t>合同签订生效之日</w:t>
      </w:r>
      <w:r>
        <w:rPr>
          <w:rFonts w:hint="eastAsia" w:ascii="宋体" w:hAnsi="宋体" w:eastAsia="宋体" w:cs="宋体"/>
          <w:color w:val="auto"/>
          <w:sz w:val="24"/>
          <w:highlight w:val="none"/>
          <w:lang w:eastAsia="zh-CN"/>
        </w:rPr>
        <w:t>起，必须在</w:t>
      </w:r>
      <w:r>
        <w:rPr>
          <w:rFonts w:hint="eastAsia" w:ascii="宋体" w:hAnsi="宋体" w:eastAsia="宋体" w:cs="宋体"/>
          <w:color w:val="auto"/>
          <w:sz w:val="24"/>
          <w:highlight w:val="none"/>
          <w:lang w:val="en-US" w:eastAsia="zh-CN"/>
        </w:rPr>
        <w:t>2025年6月30日前</w:t>
      </w:r>
      <w:r>
        <w:rPr>
          <w:rFonts w:hint="eastAsia" w:ascii="宋体" w:hAnsi="宋体" w:eastAsia="宋体" w:cs="宋体"/>
          <w:color w:val="auto"/>
          <w:sz w:val="24"/>
          <w:highlight w:val="none"/>
          <w:lang w:eastAsia="zh-CN"/>
        </w:rPr>
        <w:t>按采购单位要求完成交货、安装调试完成，无质量问题并通过最终验收后交付采购单位使用</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如在规定的时间内由于中标人的原因不能送达货物并安装调试完成通过验收的，中标人应承担由此给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造成的损失。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val="en-US"/>
        </w:rPr>
        <w:t>指定地点</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交付方式：中标人提供中标货物的安装、培训和技术指导。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1）中标人应提供设备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的有效检验材料，经采购人认可后，与合同的技术指标一起作为验收标准。采购人对设备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验收合格后，出具验收报告并在《建德市政府采购物品验收反馈表》上签署意见并加盖单位公章。验收中发现设备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达不到验收标准或合同规定的技术指标，中标人必须更换，并负担由此给采购人造成的损失，直到验收合格为止。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2）投标人应于投标书中提供设备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的验收标准和检测办法，并在验收中提供采购人认可的相应检测手段，验收标准应符合中国有关的国家、地方、行业的标准，如若中标，经采购人确认后作为验收的依据。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3）验收费用由中标人承担。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货</w:t>
      </w:r>
      <w:r>
        <w:rPr>
          <w:rFonts w:hint="eastAsia" w:ascii="宋体" w:hAnsi="宋体" w:eastAsia="宋体" w:cs="宋体"/>
          <w:b/>
          <w:bCs/>
          <w:color w:val="auto"/>
          <w:sz w:val="24"/>
          <w:highlight w:val="none"/>
          <w:lang w:val="en-US" w:eastAsia="zh-CN"/>
        </w:rPr>
        <w:t>款的结算</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采购人根据合同、投标文件等资料进行验收。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本采购项目的项目款分期支付。</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合同签订后，采购人向中标人支付合同价的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0%预付款（中标人需提供相应金额的预付款保函至采购人），设备（</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lang w:eastAsia="zh-CN"/>
        </w:rPr>
        <w:t>系统）到场安装调试完毕进行初验，初验合格、设备（</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lang w:eastAsia="zh-CN"/>
        </w:rPr>
        <w:t>系统）试运行</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eastAsia="zh-CN"/>
        </w:rPr>
        <w:t>日历天后无质量、服务问题，由中标人向采购人递交使用报告</w:t>
      </w:r>
      <w:r>
        <w:rPr>
          <w:rFonts w:hint="eastAsia" w:ascii="宋体" w:hAnsi="宋体" w:cs="宋体"/>
          <w:color w:val="auto"/>
          <w:sz w:val="24"/>
          <w:highlight w:val="none"/>
          <w:lang w:eastAsia="zh-CN"/>
        </w:rPr>
        <w:t>后</w:t>
      </w:r>
      <w:r>
        <w:rPr>
          <w:rFonts w:hint="eastAsia" w:ascii="宋体" w:hAnsi="宋体" w:eastAsia="宋体" w:cs="宋体"/>
          <w:color w:val="auto"/>
          <w:sz w:val="24"/>
          <w:highlight w:val="none"/>
          <w:lang w:eastAsia="zh-CN"/>
        </w:rPr>
        <w:t>进行终验，终验合格</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经</w:t>
      </w:r>
      <w:r>
        <w:rPr>
          <w:rFonts w:hint="eastAsia" w:ascii="宋体" w:hAnsi="宋体" w:eastAsia="宋体" w:cs="宋体"/>
          <w:color w:val="auto"/>
          <w:sz w:val="24"/>
          <w:highlight w:val="none"/>
          <w:lang w:val="en-US" w:eastAsia="zh-CN"/>
        </w:rPr>
        <w:t>结算审计结束后，由采购人向中标人支付余款（余款=结算审定价-已付款金额）。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支付项目款时，</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将结款申请1份、增值税专用发票1份、合同复印件1份、设备（</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系统）清单和经</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验收确认的《验收反馈表》和验收报告提交</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支付结算项目款。</w:t>
      </w:r>
    </w:p>
    <w:p>
      <w:pPr>
        <w:tabs>
          <w:tab w:val="left" w:pos="0"/>
        </w:tabs>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8、履约保证金：</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在合同签订后由中标人按合同总金额的1%作为履约保证金缴纳至采购人指定账户（可采用银行、保险公司出具保函形式提交）。经验收合格后，无质量、服务问题由采购人无息退还。因中标人的服务、质量原因造成采购人损失的，采购人有权要求中标人以其履约保证金作出补偿。</w:t>
      </w: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0" w:name="_Toc184314480"/>
      <w:bookmarkEnd w:id="40"/>
      <w:bookmarkStart w:id="41" w:name="_Toc184313284"/>
      <w:bookmarkEnd w:id="41"/>
      <w:bookmarkStart w:id="42" w:name="_Toc184308071"/>
      <w:bookmarkEnd w:id="42"/>
      <w:bookmarkStart w:id="43" w:name="_Toc184314481"/>
      <w:bookmarkEnd w:id="43"/>
      <w:bookmarkStart w:id="44" w:name="_Toc184310277"/>
      <w:bookmarkEnd w:id="44"/>
      <w:bookmarkStart w:id="45" w:name="_Toc184310307"/>
      <w:bookmarkEnd w:id="45"/>
      <w:bookmarkStart w:id="46" w:name="_Toc184308078"/>
      <w:bookmarkEnd w:id="46"/>
      <w:bookmarkStart w:id="47" w:name="_Toc184310309"/>
      <w:bookmarkEnd w:id="47"/>
      <w:bookmarkStart w:id="48" w:name="_Toc184312105"/>
      <w:bookmarkEnd w:id="48"/>
      <w:bookmarkStart w:id="49" w:name="_Toc184314425"/>
      <w:bookmarkEnd w:id="49"/>
      <w:bookmarkStart w:id="50" w:name="_Toc184312073"/>
      <w:bookmarkEnd w:id="50"/>
      <w:bookmarkStart w:id="51" w:name="_Toc184308066"/>
      <w:bookmarkEnd w:id="51"/>
      <w:bookmarkStart w:id="52" w:name="_Toc184314476"/>
      <w:bookmarkEnd w:id="52"/>
      <w:bookmarkStart w:id="53" w:name="_Toc184310310"/>
      <w:bookmarkEnd w:id="53"/>
      <w:bookmarkStart w:id="54" w:name="_Toc184310336"/>
      <w:bookmarkEnd w:id="54"/>
      <w:bookmarkStart w:id="55" w:name="_Toc184313242"/>
      <w:bookmarkEnd w:id="55"/>
      <w:bookmarkStart w:id="56" w:name="_Toc184308065"/>
      <w:bookmarkEnd w:id="56"/>
      <w:bookmarkStart w:id="57" w:name="_Toc184314416"/>
      <w:bookmarkEnd w:id="57"/>
      <w:bookmarkStart w:id="58" w:name="_Toc184313281"/>
      <w:bookmarkEnd w:id="58"/>
      <w:bookmarkStart w:id="59" w:name="_Toc184308094"/>
      <w:bookmarkEnd w:id="59"/>
      <w:bookmarkStart w:id="60" w:name="_Toc184314445"/>
      <w:bookmarkEnd w:id="60"/>
      <w:bookmarkStart w:id="61" w:name="_Toc184310284"/>
      <w:bookmarkEnd w:id="61"/>
      <w:bookmarkStart w:id="62" w:name="_Toc184313261"/>
      <w:bookmarkEnd w:id="62"/>
      <w:bookmarkStart w:id="63" w:name="_Toc184314449"/>
      <w:bookmarkEnd w:id="63"/>
      <w:bookmarkStart w:id="64" w:name="_Toc184308052"/>
      <w:bookmarkEnd w:id="64"/>
      <w:bookmarkStart w:id="65" w:name="_Toc184312139"/>
      <w:bookmarkEnd w:id="65"/>
      <w:bookmarkStart w:id="66" w:name="_Toc184312072"/>
      <w:bookmarkEnd w:id="66"/>
      <w:bookmarkStart w:id="67" w:name="_Toc184308091"/>
      <w:bookmarkEnd w:id="67"/>
      <w:bookmarkStart w:id="68" w:name="_Toc184313306"/>
      <w:bookmarkEnd w:id="68"/>
      <w:bookmarkStart w:id="69" w:name="_Toc184313270"/>
      <w:bookmarkEnd w:id="69"/>
      <w:bookmarkStart w:id="70" w:name="_Toc184312087"/>
      <w:bookmarkEnd w:id="70"/>
      <w:bookmarkStart w:id="71" w:name="_Toc184312121"/>
      <w:bookmarkEnd w:id="71"/>
      <w:bookmarkStart w:id="72" w:name="_Toc184314428"/>
      <w:bookmarkEnd w:id="72"/>
      <w:bookmarkStart w:id="73" w:name="_Toc184313257"/>
      <w:bookmarkEnd w:id="73"/>
      <w:bookmarkStart w:id="74" w:name="_Toc184310333"/>
      <w:bookmarkEnd w:id="74"/>
      <w:bookmarkStart w:id="75" w:name="_Toc184314420"/>
      <w:bookmarkEnd w:id="75"/>
      <w:bookmarkStart w:id="76" w:name="_Toc184314443"/>
      <w:bookmarkEnd w:id="76"/>
      <w:bookmarkStart w:id="77" w:name="_Toc184314463"/>
      <w:bookmarkEnd w:id="77"/>
      <w:bookmarkStart w:id="78" w:name="_Toc184310335"/>
      <w:bookmarkEnd w:id="78"/>
      <w:bookmarkStart w:id="79" w:name="_Toc184313240"/>
      <w:bookmarkEnd w:id="79"/>
      <w:bookmarkStart w:id="80" w:name="_Toc184314455"/>
      <w:bookmarkEnd w:id="80"/>
      <w:bookmarkStart w:id="81" w:name="_Toc184308081"/>
      <w:bookmarkEnd w:id="81"/>
      <w:bookmarkStart w:id="82" w:name="_Toc184314457"/>
      <w:bookmarkEnd w:id="82"/>
      <w:bookmarkStart w:id="83" w:name="_Toc184310279"/>
      <w:bookmarkEnd w:id="83"/>
      <w:bookmarkStart w:id="84" w:name="_Toc184314447"/>
      <w:bookmarkEnd w:id="84"/>
      <w:bookmarkStart w:id="85" w:name="_Toc184308075"/>
      <w:bookmarkEnd w:id="85"/>
      <w:bookmarkStart w:id="86" w:name="_Toc184314430"/>
      <w:bookmarkEnd w:id="86"/>
      <w:bookmarkStart w:id="87" w:name="_Toc184312116"/>
      <w:bookmarkEnd w:id="87"/>
      <w:bookmarkStart w:id="88" w:name="_Toc184308049"/>
      <w:bookmarkEnd w:id="88"/>
      <w:bookmarkStart w:id="89" w:name="_Toc184308056"/>
      <w:bookmarkEnd w:id="89"/>
      <w:bookmarkStart w:id="90" w:name="_Toc184313285"/>
      <w:bookmarkEnd w:id="90"/>
      <w:bookmarkStart w:id="91" w:name="_Toc184310331"/>
      <w:bookmarkEnd w:id="91"/>
      <w:bookmarkStart w:id="92" w:name="_Toc184312132"/>
      <w:bookmarkEnd w:id="92"/>
      <w:bookmarkStart w:id="93" w:name="_Toc184312086"/>
      <w:bookmarkEnd w:id="93"/>
      <w:bookmarkStart w:id="94" w:name="_Toc184314412"/>
      <w:bookmarkEnd w:id="94"/>
      <w:bookmarkStart w:id="95" w:name="_Toc184312110"/>
      <w:bookmarkEnd w:id="95"/>
      <w:bookmarkStart w:id="96" w:name="_Toc184308058"/>
      <w:bookmarkEnd w:id="96"/>
      <w:bookmarkStart w:id="97" w:name="_Toc184314479"/>
      <w:bookmarkEnd w:id="97"/>
      <w:bookmarkStart w:id="98" w:name="_Toc184308036"/>
      <w:bookmarkEnd w:id="98"/>
      <w:bookmarkStart w:id="99" w:name="_Toc184312103"/>
      <w:bookmarkEnd w:id="99"/>
      <w:bookmarkStart w:id="100" w:name="_Toc184308070"/>
      <w:bookmarkEnd w:id="100"/>
      <w:bookmarkStart w:id="101" w:name="_Toc184310311"/>
      <w:bookmarkEnd w:id="101"/>
      <w:bookmarkStart w:id="102" w:name="_Toc184310317"/>
      <w:bookmarkEnd w:id="102"/>
      <w:bookmarkStart w:id="103" w:name="_Toc184314436"/>
      <w:bookmarkEnd w:id="103"/>
      <w:bookmarkStart w:id="104" w:name="_Toc184313243"/>
      <w:bookmarkEnd w:id="104"/>
      <w:bookmarkStart w:id="105" w:name="_Toc184310327"/>
      <w:bookmarkEnd w:id="105"/>
      <w:bookmarkStart w:id="106" w:name="_Toc184312075"/>
      <w:bookmarkEnd w:id="106"/>
      <w:bookmarkStart w:id="107" w:name="_Toc184310289"/>
      <w:bookmarkEnd w:id="107"/>
      <w:bookmarkStart w:id="108" w:name="_Toc184308042"/>
      <w:bookmarkEnd w:id="108"/>
      <w:bookmarkStart w:id="109" w:name="_Toc184312133"/>
      <w:bookmarkEnd w:id="109"/>
      <w:bookmarkStart w:id="110" w:name="_Toc184312117"/>
      <w:bookmarkEnd w:id="110"/>
      <w:bookmarkStart w:id="111" w:name="_Toc184310318"/>
      <w:bookmarkEnd w:id="111"/>
      <w:bookmarkStart w:id="112" w:name="_Toc184308084"/>
      <w:bookmarkEnd w:id="112"/>
      <w:bookmarkStart w:id="113" w:name="_Toc184313307"/>
      <w:bookmarkEnd w:id="113"/>
      <w:bookmarkStart w:id="114" w:name="_Toc184310287"/>
      <w:bookmarkEnd w:id="114"/>
      <w:bookmarkStart w:id="115" w:name="_Toc184312078"/>
      <w:bookmarkEnd w:id="115"/>
      <w:bookmarkStart w:id="116" w:name="_Toc184310324"/>
      <w:bookmarkEnd w:id="116"/>
      <w:bookmarkStart w:id="117" w:name="_Toc184310315"/>
      <w:bookmarkEnd w:id="117"/>
      <w:bookmarkStart w:id="118" w:name="_Toc184310282"/>
      <w:bookmarkEnd w:id="118"/>
      <w:bookmarkStart w:id="119" w:name="_Toc184314419"/>
      <w:bookmarkEnd w:id="119"/>
      <w:bookmarkStart w:id="120" w:name="_Toc184308074"/>
      <w:bookmarkEnd w:id="120"/>
      <w:bookmarkStart w:id="121" w:name="_Toc184310342"/>
      <w:bookmarkEnd w:id="121"/>
      <w:bookmarkStart w:id="122" w:name="_Toc184314434"/>
      <w:bookmarkEnd w:id="122"/>
      <w:bookmarkStart w:id="123" w:name="_Toc184308067"/>
      <w:bookmarkEnd w:id="123"/>
      <w:bookmarkStart w:id="124" w:name="_Toc184313251"/>
      <w:bookmarkEnd w:id="124"/>
      <w:bookmarkStart w:id="125" w:name="_Toc184310292"/>
      <w:bookmarkEnd w:id="125"/>
      <w:bookmarkStart w:id="126" w:name="_Toc184310320"/>
      <w:bookmarkEnd w:id="126"/>
      <w:bookmarkStart w:id="127" w:name="_Toc184314410"/>
      <w:bookmarkEnd w:id="127"/>
      <w:bookmarkStart w:id="128" w:name="_Toc184308055"/>
      <w:bookmarkEnd w:id="128"/>
      <w:bookmarkStart w:id="129" w:name="_Toc184310300"/>
      <w:bookmarkEnd w:id="129"/>
      <w:bookmarkStart w:id="130" w:name="_Toc184312094"/>
      <w:bookmarkEnd w:id="130"/>
      <w:bookmarkStart w:id="131" w:name="_Toc184312091"/>
      <w:bookmarkEnd w:id="131"/>
      <w:bookmarkStart w:id="132" w:name="_Toc184313278"/>
      <w:bookmarkEnd w:id="132"/>
      <w:bookmarkStart w:id="133" w:name="_Toc184312138"/>
      <w:bookmarkEnd w:id="133"/>
      <w:bookmarkStart w:id="134" w:name="_Toc184312118"/>
      <w:bookmarkEnd w:id="134"/>
      <w:bookmarkStart w:id="135" w:name="_Toc184313239"/>
      <w:bookmarkEnd w:id="135"/>
      <w:bookmarkStart w:id="136" w:name="_Toc184308073"/>
      <w:bookmarkEnd w:id="136"/>
      <w:bookmarkStart w:id="137" w:name="_Toc184313271"/>
      <w:bookmarkEnd w:id="137"/>
      <w:bookmarkStart w:id="138" w:name="_Toc184314460"/>
      <w:bookmarkEnd w:id="138"/>
      <w:bookmarkStart w:id="139" w:name="_Toc184314475"/>
      <w:bookmarkEnd w:id="139"/>
      <w:bookmarkStart w:id="140" w:name="_Toc184310326"/>
      <w:bookmarkEnd w:id="140"/>
      <w:bookmarkStart w:id="141" w:name="_Toc184308083"/>
      <w:bookmarkEnd w:id="141"/>
      <w:bookmarkStart w:id="142" w:name="_Toc184312074"/>
      <w:bookmarkEnd w:id="142"/>
      <w:bookmarkStart w:id="143" w:name="_Toc184314462"/>
      <w:bookmarkEnd w:id="143"/>
      <w:bookmarkStart w:id="144" w:name="_Toc184313282"/>
      <w:bookmarkEnd w:id="144"/>
      <w:bookmarkStart w:id="145" w:name="_Toc184310323"/>
      <w:bookmarkEnd w:id="145"/>
      <w:bookmarkStart w:id="146" w:name="_Toc184313238"/>
      <w:bookmarkEnd w:id="146"/>
      <w:bookmarkStart w:id="147" w:name="_Toc184313280"/>
      <w:bookmarkEnd w:id="147"/>
      <w:bookmarkStart w:id="148" w:name="_Toc184308080"/>
      <w:bookmarkEnd w:id="148"/>
      <w:bookmarkStart w:id="149" w:name="_Toc184310278"/>
      <w:bookmarkEnd w:id="149"/>
      <w:bookmarkStart w:id="150" w:name="_Toc184312100"/>
      <w:bookmarkEnd w:id="150"/>
      <w:bookmarkStart w:id="151" w:name="_Toc184312112"/>
      <w:bookmarkEnd w:id="151"/>
      <w:bookmarkStart w:id="152" w:name="_Toc184313274"/>
      <w:bookmarkEnd w:id="152"/>
      <w:bookmarkStart w:id="153" w:name="_Toc184314426"/>
      <w:bookmarkEnd w:id="153"/>
      <w:bookmarkStart w:id="154" w:name="_Toc184312127"/>
      <w:bookmarkEnd w:id="154"/>
      <w:bookmarkStart w:id="155" w:name="_Toc184308092"/>
      <w:bookmarkEnd w:id="155"/>
      <w:bookmarkStart w:id="156" w:name="_Toc184313262"/>
      <w:bookmarkEnd w:id="156"/>
      <w:bookmarkStart w:id="157" w:name="_Toc184312126"/>
      <w:bookmarkEnd w:id="157"/>
      <w:bookmarkStart w:id="158" w:name="_Toc184312067"/>
      <w:bookmarkEnd w:id="158"/>
      <w:bookmarkStart w:id="159" w:name="_Toc184312109"/>
      <w:bookmarkEnd w:id="159"/>
      <w:bookmarkStart w:id="160" w:name="_Toc184308043"/>
      <w:bookmarkEnd w:id="160"/>
      <w:bookmarkStart w:id="161" w:name="_Toc184313247"/>
      <w:bookmarkEnd w:id="161"/>
      <w:bookmarkStart w:id="162" w:name="_Toc184312114"/>
      <w:bookmarkEnd w:id="162"/>
      <w:bookmarkStart w:id="163" w:name="_Toc184313304"/>
      <w:bookmarkEnd w:id="163"/>
      <w:bookmarkStart w:id="164" w:name="_Toc184312136"/>
      <w:bookmarkEnd w:id="164"/>
      <w:bookmarkStart w:id="165" w:name="_Toc184314467"/>
      <w:bookmarkEnd w:id="165"/>
      <w:bookmarkStart w:id="166" w:name="_Toc184313276"/>
      <w:bookmarkEnd w:id="166"/>
      <w:bookmarkStart w:id="167" w:name="_Toc184312070"/>
      <w:bookmarkEnd w:id="167"/>
      <w:bookmarkStart w:id="168" w:name="_Toc184314450"/>
      <w:bookmarkEnd w:id="168"/>
      <w:bookmarkStart w:id="169" w:name="_Toc184308098"/>
      <w:bookmarkEnd w:id="169"/>
      <w:bookmarkStart w:id="170" w:name="_Toc184308061"/>
      <w:bookmarkEnd w:id="170"/>
      <w:bookmarkStart w:id="171" w:name="_Toc184313244"/>
      <w:bookmarkEnd w:id="171"/>
      <w:bookmarkStart w:id="172" w:name="_Toc184313290"/>
      <w:bookmarkEnd w:id="172"/>
      <w:bookmarkStart w:id="173" w:name="_Toc184314465"/>
      <w:bookmarkEnd w:id="173"/>
      <w:bookmarkStart w:id="174" w:name="_Toc184310322"/>
      <w:bookmarkEnd w:id="174"/>
      <w:bookmarkStart w:id="175" w:name="_Toc184308079"/>
      <w:bookmarkEnd w:id="175"/>
      <w:bookmarkStart w:id="176" w:name="_Toc184312077"/>
      <w:bookmarkEnd w:id="176"/>
      <w:bookmarkStart w:id="177" w:name="_Toc184313241"/>
      <w:bookmarkEnd w:id="177"/>
      <w:bookmarkStart w:id="178" w:name="_Toc184308048"/>
      <w:bookmarkEnd w:id="178"/>
      <w:bookmarkStart w:id="179" w:name="_Toc184313246"/>
      <w:bookmarkEnd w:id="179"/>
      <w:bookmarkStart w:id="180" w:name="_Toc184313249"/>
      <w:bookmarkEnd w:id="180"/>
      <w:bookmarkStart w:id="181" w:name="_Toc184314424"/>
      <w:bookmarkEnd w:id="181"/>
      <w:bookmarkStart w:id="182" w:name="_Toc184308089"/>
      <w:bookmarkEnd w:id="182"/>
      <w:bookmarkStart w:id="183" w:name="_Toc184312096"/>
      <w:bookmarkEnd w:id="183"/>
      <w:bookmarkStart w:id="184" w:name="_Toc184308103"/>
      <w:bookmarkEnd w:id="184"/>
      <w:bookmarkStart w:id="185" w:name="_Toc184314423"/>
      <w:bookmarkEnd w:id="185"/>
      <w:bookmarkStart w:id="186" w:name="_Toc184312088"/>
      <w:bookmarkEnd w:id="186"/>
      <w:bookmarkStart w:id="187" w:name="_Toc184310298"/>
      <w:bookmarkEnd w:id="187"/>
      <w:bookmarkStart w:id="188" w:name="_Toc184314429"/>
      <w:bookmarkEnd w:id="188"/>
      <w:bookmarkStart w:id="189" w:name="_Toc184308060"/>
      <w:bookmarkEnd w:id="189"/>
      <w:bookmarkStart w:id="190" w:name="_Toc184314439"/>
      <w:bookmarkEnd w:id="190"/>
      <w:bookmarkStart w:id="191" w:name="_Toc184312079"/>
      <w:bookmarkEnd w:id="191"/>
      <w:bookmarkStart w:id="192" w:name="_Toc184310275"/>
      <w:bookmarkEnd w:id="192"/>
      <w:bookmarkStart w:id="193" w:name="_Toc184310306"/>
      <w:bookmarkEnd w:id="193"/>
      <w:bookmarkStart w:id="194" w:name="_Toc184313256"/>
      <w:bookmarkEnd w:id="194"/>
      <w:bookmarkStart w:id="195" w:name="_Toc184312119"/>
      <w:bookmarkEnd w:id="195"/>
      <w:bookmarkStart w:id="196" w:name="_Toc184312093"/>
      <w:bookmarkEnd w:id="196"/>
      <w:bookmarkStart w:id="197" w:name="_Toc184310343"/>
      <w:bookmarkEnd w:id="197"/>
      <w:bookmarkStart w:id="198" w:name="_Toc184310296"/>
      <w:bookmarkEnd w:id="198"/>
      <w:bookmarkStart w:id="199" w:name="_Toc184314418"/>
      <w:bookmarkEnd w:id="199"/>
      <w:bookmarkStart w:id="200" w:name="_Toc184310319"/>
      <w:bookmarkEnd w:id="200"/>
      <w:bookmarkStart w:id="201" w:name="_Toc184310293"/>
      <w:bookmarkEnd w:id="201"/>
      <w:bookmarkStart w:id="202" w:name="_Toc184310273"/>
      <w:bookmarkEnd w:id="202"/>
      <w:bookmarkStart w:id="203" w:name="_Toc184310330"/>
      <w:bookmarkEnd w:id="203"/>
      <w:bookmarkStart w:id="204" w:name="_Toc184312106"/>
      <w:bookmarkEnd w:id="204"/>
      <w:bookmarkStart w:id="205" w:name="_Toc184310303"/>
      <w:bookmarkEnd w:id="205"/>
      <w:bookmarkStart w:id="206" w:name="_Toc184312137"/>
      <w:bookmarkEnd w:id="206"/>
      <w:bookmarkStart w:id="207" w:name="_Toc184308107"/>
      <w:bookmarkEnd w:id="207"/>
      <w:bookmarkStart w:id="208" w:name="_Toc184312095"/>
      <w:bookmarkEnd w:id="208"/>
      <w:bookmarkStart w:id="209" w:name="_Toc184310337"/>
      <w:bookmarkEnd w:id="209"/>
      <w:bookmarkStart w:id="210" w:name="_Toc184308093"/>
      <w:bookmarkEnd w:id="210"/>
      <w:bookmarkStart w:id="211" w:name="_Toc184312134"/>
      <w:bookmarkEnd w:id="211"/>
      <w:bookmarkStart w:id="212" w:name="_Toc184314446"/>
      <w:bookmarkEnd w:id="212"/>
      <w:bookmarkStart w:id="213" w:name="_Toc184308053"/>
      <w:bookmarkEnd w:id="213"/>
      <w:bookmarkStart w:id="214" w:name="_Toc184310339"/>
      <w:bookmarkEnd w:id="214"/>
      <w:bookmarkStart w:id="215" w:name="_Toc184313245"/>
      <w:bookmarkEnd w:id="215"/>
      <w:bookmarkStart w:id="216" w:name="_Toc184310302"/>
      <w:bookmarkEnd w:id="216"/>
      <w:bookmarkStart w:id="217" w:name="_Toc184310338"/>
      <w:bookmarkEnd w:id="217"/>
      <w:bookmarkStart w:id="218" w:name="_Toc184314458"/>
      <w:bookmarkEnd w:id="218"/>
      <w:bookmarkStart w:id="219" w:name="_Toc184314474"/>
      <w:bookmarkEnd w:id="219"/>
      <w:bookmarkStart w:id="220" w:name="_Toc184314470"/>
      <w:bookmarkEnd w:id="220"/>
      <w:bookmarkStart w:id="221" w:name="_Toc184308101"/>
      <w:bookmarkEnd w:id="221"/>
      <w:bookmarkStart w:id="222" w:name="_Toc184313302"/>
      <w:bookmarkEnd w:id="222"/>
      <w:bookmarkStart w:id="223" w:name="_Toc184312101"/>
      <w:bookmarkEnd w:id="223"/>
      <w:bookmarkStart w:id="224" w:name="_Toc184313267"/>
      <w:bookmarkEnd w:id="224"/>
      <w:bookmarkStart w:id="225" w:name="_Toc184314438"/>
      <w:bookmarkEnd w:id="225"/>
      <w:bookmarkStart w:id="226" w:name="_Toc184310301"/>
      <w:bookmarkEnd w:id="226"/>
      <w:bookmarkStart w:id="227" w:name="_Toc184308095"/>
      <w:bookmarkEnd w:id="227"/>
      <w:bookmarkStart w:id="228" w:name="_Toc184310329"/>
      <w:bookmarkEnd w:id="228"/>
      <w:bookmarkStart w:id="229" w:name="_Toc184308069"/>
      <w:bookmarkEnd w:id="229"/>
      <w:bookmarkStart w:id="230" w:name="_Toc184312111"/>
      <w:bookmarkEnd w:id="230"/>
      <w:bookmarkStart w:id="231" w:name="_Toc184312108"/>
      <w:bookmarkEnd w:id="231"/>
      <w:bookmarkStart w:id="232" w:name="_Toc184313297"/>
      <w:bookmarkEnd w:id="232"/>
      <w:bookmarkStart w:id="233" w:name="_Toc184313248"/>
      <w:bookmarkEnd w:id="233"/>
      <w:bookmarkStart w:id="234" w:name="_Toc184314431"/>
      <w:bookmarkEnd w:id="234"/>
      <w:bookmarkStart w:id="235" w:name="_Toc184310304"/>
      <w:bookmarkEnd w:id="235"/>
      <w:bookmarkStart w:id="236" w:name="_Toc184312097"/>
      <w:bookmarkEnd w:id="236"/>
      <w:bookmarkStart w:id="237" w:name="_Toc184310290"/>
      <w:bookmarkEnd w:id="237"/>
      <w:bookmarkStart w:id="238" w:name="_Toc184310274"/>
      <w:bookmarkEnd w:id="238"/>
      <w:bookmarkStart w:id="239" w:name="_Toc184314473"/>
      <w:bookmarkEnd w:id="239"/>
      <w:bookmarkStart w:id="240" w:name="_Toc184314435"/>
      <w:bookmarkEnd w:id="240"/>
      <w:bookmarkStart w:id="241" w:name="_Toc184313289"/>
      <w:bookmarkEnd w:id="241"/>
      <w:bookmarkStart w:id="242" w:name="_Toc184313269"/>
      <w:bookmarkEnd w:id="242"/>
      <w:bookmarkStart w:id="243" w:name="_Toc184314414"/>
      <w:bookmarkEnd w:id="243"/>
      <w:bookmarkStart w:id="244" w:name="_Toc184314432"/>
      <w:bookmarkEnd w:id="244"/>
      <w:bookmarkStart w:id="245" w:name="_Toc184313295"/>
      <w:bookmarkEnd w:id="245"/>
      <w:bookmarkStart w:id="246" w:name="_Toc184313287"/>
      <w:bookmarkEnd w:id="246"/>
      <w:bookmarkStart w:id="247" w:name="_Toc184314413"/>
      <w:bookmarkEnd w:id="247"/>
      <w:bookmarkStart w:id="248" w:name="_Toc184312099"/>
      <w:bookmarkEnd w:id="248"/>
      <w:bookmarkStart w:id="249" w:name="_Toc184308068"/>
      <w:bookmarkEnd w:id="249"/>
      <w:bookmarkStart w:id="250" w:name="_Toc184308062"/>
      <w:bookmarkEnd w:id="250"/>
      <w:bookmarkStart w:id="251" w:name="_Toc184308088"/>
      <w:bookmarkEnd w:id="251"/>
      <w:bookmarkStart w:id="252" w:name="_Toc184313296"/>
      <w:bookmarkEnd w:id="252"/>
      <w:bookmarkStart w:id="253" w:name="_Toc184312085"/>
      <w:bookmarkEnd w:id="253"/>
      <w:bookmarkStart w:id="254" w:name="_Toc184308050"/>
      <w:bookmarkEnd w:id="254"/>
      <w:bookmarkStart w:id="255" w:name="_Toc184310332"/>
      <w:bookmarkEnd w:id="255"/>
      <w:bookmarkStart w:id="256" w:name="_Toc184312125"/>
      <w:bookmarkEnd w:id="256"/>
      <w:bookmarkStart w:id="257" w:name="_Toc184314433"/>
      <w:bookmarkEnd w:id="257"/>
      <w:bookmarkStart w:id="258" w:name="_Toc184310344"/>
      <w:bookmarkEnd w:id="258"/>
      <w:bookmarkStart w:id="259" w:name="_Toc184312120"/>
      <w:bookmarkEnd w:id="259"/>
      <w:bookmarkStart w:id="260" w:name="_Toc184310313"/>
      <w:bookmarkEnd w:id="260"/>
      <w:bookmarkStart w:id="261" w:name="_Toc184313310"/>
      <w:bookmarkEnd w:id="261"/>
      <w:bookmarkStart w:id="262" w:name="_Toc184313279"/>
      <w:bookmarkEnd w:id="262"/>
      <w:bookmarkStart w:id="263" w:name="_Toc184313291"/>
      <w:bookmarkEnd w:id="263"/>
      <w:bookmarkStart w:id="264" w:name="_Toc184314442"/>
      <w:bookmarkEnd w:id="264"/>
      <w:bookmarkStart w:id="265" w:name="_Toc184313288"/>
      <w:bookmarkEnd w:id="265"/>
      <w:bookmarkStart w:id="266" w:name="_Toc184314478"/>
      <w:bookmarkEnd w:id="266"/>
      <w:bookmarkStart w:id="267" w:name="_Toc184310285"/>
      <w:bookmarkEnd w:id="267"/>
      <w:bookmarkStart w:id="268" w:name="_Toc184310294"/>
      <w:bookmarkEnd w:id="268"/>
      <w:bookmarkStart w:id="269" w:name="_Toc184310286"/>
      <w:bookmarkEnd w:id="269"/>
      <w:bookmarkStart w:id="270" w:name="_Toc184314471"/>
      <w:bookmarkEnd w:id="270"/>
      <w:bookmarkStart w:id="271" w:name="_Toc184313265"/>
      <w:bookmarkEnd w:id="271"/>
      <w:bookmarkStart w:id="272" w:name="_Toc184312069"/>
      <w:bookmarkEnd w:id="272"/>
      <w:bookmarkStart w:id="273" w:name="_Toc184308096"/>
      <w:bookmarkEnd w:id="273"/>
      <w:bookmarkStart w:id="274" w:name="_Toc184312107"/>
      <w:bookmarkEnd w:id="274"/>
      <w:bookmarkStart w:id="275" w:name="_Toc184310276"/>
      <w:bookmarkEnd w:id="275"/>
      <w:bookmarkStart w:id="276" w:name="_Toc184314427"/>
      <w:bookmarkEnd w:id="276"/>
      <w:bookmarkStart w:id="277" w:name="_Toc184308106"/>
      <w:bookmarkEnd w:id="277"/>
      <w:bookmarkStart w:id="278" w:name="_Toc184308051"/>
      <w:bookmarkEnd w:id="278"/>
      <w:bookmarkStart w:id="279" w:name="_Toc184313263"/>
      <w:bookmarkEnd w:id="279"/>
      <w:bookmarkStart w:id="280" w:name="_Toc184308077"/>
      <w:bookmarkEnd w:id="280"/>
      <w:bookmarkStart w:id="281" w:name="_Toc184313264"/>
      <w:bookmarkEnd w:id="281"/>
      <w:bookmarkStart w:id="282" w:name="_Toc184314451"/>
      <w:bookmarkEnd w:id="282"/>
      <w:bookmarkStart w:id="283" w:name="_Toc184308054"/>
      <w:bookmarkEnd w:id="283"/>
      <w:bookmarkStart w:id="284" w:name="_Toc184312068"/>
      <w:bookmarkEnd w:id="284"/>
      <w:bookmarkStart w:id="285" w:name="_Toc184314421"/>
      <w:bookmarkEnd w:id="285"/>
      <w:bookmarkStart w:id="286" w:name="_Toc184312081"/>
      <w:bookmarkEnd w:id="286"/>
      <w:bookmarkStart w:id="287" w:name="_Toc184313300"/>
      <w:bookmarkEnd w:id="287"/>
      <w:bookmarkStart w:id="288" w:name="_Toc184314452"/>
      <w:bookmarkEnd w:id="288"/>
      <w:bookmarkStart w:id="289" w:name="_Toc184314472"/>
      <w:bookmarkEnd w:id="289"/>
      <w:bookmarkStart w:id="290" w:name="_Toc184314441"/>
      <w:bookmarkEnd w:id="290"/>
      <w:bookmarkStart w:id="291" w:name="_Toc184308085"/>
      <w:bookmarkEnd w:id="291"/>
      <w:bookmarkStart w:id="292" w:name="_Toc184312113"/>
      <w:bookmarkEnd w:id="292"/>
      <w:bookmarkStart w:id="293" w:name="_Toc184310316"/>
      <w:bookmarkEnd w:id="293"/>
      <w:bookmarkStart w:id="294" w:name="_Toc184308037"/>
      <w:bookmarkEnd w:id="294"/>
      <w:bookmarkStart w:id="295" w:name="_Toc184312082"/>
      <w:bookmarkEnd w:id="295"/>
      <w:bookmarkStart w:id="296" w:name="_Toc184308100"/>
      <w:bookmarkEnd w:id="296"/>
      <w:bookmarkStart w:id="297" w:name="_Toc184310297"/>
      <w:bookmarkEnd w:id="297"/>
      <w:bookmarkStart w:id="298" w:name="_Toc184312090"/>
      <w:bookmarkEnd w:id="298"/>
      <w:bookmarkStart w:id="299" w:name="_Toc184310340"/>
      <w:bookmarkEnd w:id="299"/>
      <w:bookmarkStart w:id="300" w:name="_Toc184308057"/>
      <w:bookmarkEnd w:id="300"/>
      <w:bookmarkStart w:id="301" w:name="_Toc184313277"/>
      <w:bookmarkEnd w:id="301"/>
      <w:bookmarkStart w:id="302" w:name="_Toc184312071"/>
      <w:bookmarkEnd w:id="302"/>
      <w:bookmarkStart w:id="303" w:name="_Toc184308045"/>
      <w:bookmarkEnd w:id="303"/>
      <w:bookmarkStart w:id="304" w:name="_Toc184308086"/>
      <w:bookmarkEnd w:id="304"/>
      <w:bookmarkStart w:id="305" w:name="_Toc184310341"/>
      <w:bookmarkEnd w:id="305"/>
      <w:bookmarkStart w:id="306" w:name="_Toc184312104"/>
      <w:bookmarkEnd w:id="306"/>
      <w:bookmarkStart w:id="307" w:name="_Toc184313292"/>
      <w:bookmarkEnd w:id="307"/>
      <w:bookmarkStart w:id="308" w:name="_Toc184314448"/>
      <w:bookmarkEnd w:id="308"/>
      <w:bookmarkStart w:id="309" w:name="_Toc184314422"/>
      <w:bookmarkEnd w:id="309"/>
      <w:bookmarkStart w:id="310" w:name="_Toc184310280"/>
      <w:bookmarkEnd w:id="310"/>
      <w:bookmarkStart w:id="311" w:name="_Toc184310334"/>
      <w:bookmarkEnd w:id="311"/>
      <w:bookmarkStart w:id="312" w:name="_Toc184314440"/>
      <w:bookmarkEnd w:id="312"/>
      <w:bookmarkStart w:id="313" w:name="_Toc184314417"/>
      <w:bookmarkEnd w:id="313"/>
      <w:bookmarkStart w:id="314" w:name="_Toc184313268"/>
      <w:bookmarkEnd w:id="314"/>
      <w:bookmarkStart w:id="315" w:name="_Toc184310321"/>
      <w:bookmarkEnd w:id="315"/>
      <w:bookmarkStart w:id="316" w:name="_Toc184313266"/>
      <w:bookmarkEnd w:id="316"/>
      <w:bookmarkStart w:id="317" w:name="_Toc184310299"/>
      <w:bookmarkEnd w:id="317"/>
      <w:bookmarkStart w:id="318" w:name="_Toc184308102"/>
      <w:bookmarkEnd w:id="318"/>
      <w:bookmarkStart w:id="319" w:name="_Toc184313308"/>
      <w:bookmarkEnd w:id="319"/>
      <w:bookmarkStart w:id="320" w:name="_Toc184308063"/>
      <w:bookmarkEnd w:id="320"/>
      <w:bookmarkStart w:id="321" w:name="_Toc184314461"/>
      <w:bookmarkEnd w:id="321"/>
      <w:bookmarkStart w:id="322" w:name="_Toc184312129"/>
      <w:bookmarkEnd w:id="322"/>
      <w:bookmarkStart w:id="323" w:name="_Toc184308046"/>
      <w:bookmarkEnd w:id="323"/>
      <w:bookmarkStart w:id="324" w:name="_Toc184308039"/>
      <w:bookmarkEnd w:id="324"/>
      <w:bookmarkStart w:id="325" w:name="_Toc184313255"/>
      <w:bookmarkEnd w:id="325"/>
      <w:bookmarkStart w:id="326" w:name="_Toc184313252"/>
      <w:bookmarkEnd w:id="326"/>
      <w:bookmarkStart w:id="327" w:name="_Toc184308040"/>
      <w:bookmarkEnd w:id="327"/>
      <w:bookmarkStart w:id="328" w:name="_Toc184310308"/>
      <w:bookmarkEnd w:id="328"/>
      <w:bookmarkStart w:id="329" w:name="_Toc184308099"/>
      <w:bookmarkEnd w:id="329"/>
      <w:bookmarkStart w:id="330" w:name="_Toc184310312"/>
      <w:bookmarkEnd w:id="330"/>
      <w:bookmarkStart w:id="331" w:name="_Toc184312089"/>
      <w:bookmarkEnd w:id="331"/>
      <w:bookmarkStart w:id="332" w:name="_Toc184314444"/>
      <w:bookmarkEnd w:id="332"/>
      <w:bookmarkStart w:id="333" w:name="_Toc184308044"/>
      <w:bookmarkEnd w:id="333"/>
      <w:bookmarkStart w:id="334" w:name="_Toc184312092"/>
      <w:bookmarkEnd w:id="334"/>
      <w:bookmarkStart w:id="335" w:name="_Toc184312098"/>
      <w:bookmarkEnd w:id="335"/>
      <w:bookmarkStart w:id="336" w:name="_Toc184312076"/>
      <w:bookmarkEnd w:id="336"/>
      <w:bookmarkStart w:id="337" w:name="_Toc184312084"/>
      <w:bookmarkEnd w:id="337"/>
      <w:bookmarkStart w:id="338" w:name="_Toc184313260"/>
      <w:bookmarkEnd w:id="338"/>
      <w:bookmarkStart w:id="339" w:name="_Toc184308047"/>
      <w:bookmarkEnd w:id="339"/>
      <w:bookmarkStart w:id="340" w:name="_Toc184308038"/>
      <w:bookmarkEnd w:id="340"/>
      <w:bookmarkStart w:id="341" w:name="_Toc184310288"/>
      <w:bookmarkEnd w:id="341"/>
      <w:bookmarkStart w:id="342" w:name="_Toc184312135"/>
      <w:bookmarkEnd w:id="342"/>
      <w:bookmarkStart w:id="343" w:name="_Toc184314456"/>
      <w:bookmarkEnd w:id="343"/>
      <w:bookmarkStart w:id="344" w:name="_Toc184313294"/>
      <w:bookmarkEnd w:id="344"/>
      <w:bookmarkStart w:id="345" w:name="_Toc184308041"/>
      <w:bookmarkEnd w:id="345"/>
      <w:bookmarkStart w:id="346" w:name="_Toc184313273"/>
      <w:bookmarkEnd w:id="346"/>
      <w:bookmarkStart w:id="347" w:name="_Toc184308072"/>
      <w:bookmarkEnd w:id="347"/>
      <w:bookmarkStart w:id="348" w:name="_Toc184314453"/>
      <w:bookmarkEnd w:id="348"/>
      <w:bookmarkStart w:id="349" w:name="_Toc184308105"/>
      <w:bookmarkEnd w:id="349"/>
      <w:bookmarkStart w:id="350" w:name="_Toc184314469"/>
      <w:bookmarkEnd w:id="350"/>
      <w:bookmarkStart w:id="351" w:name="_Toc184313293"/>
      <w:bookmarkEnd w:id="351"/>
      <w:bookmarkStart w:id="352" w:name="_Toc184312083"/>
      <w:bookmarkEnd w:id="352"/>
      <w:bookmarkStart w:id="353" w:name="_Toc184313258"/>
      <w:bookmarkEnd w:id="353"/>
      <w:bookmarkStart w:id="354" w:name="_Toc184314411"/>
      <w:bookmarkEnd w:id="354"/>
      <w:bookmarkStart w:id="355" w:name="_Toc184313286"/>
      <w:bookmarkEnd w:id="355"/>
      <w:bookmarkStart w:id="356" w:name="_Toc184308076"/>
      <w:bookmarkEnd w:id="356"/>
      <w:bookmarkStart w:id="357" w:name="_Toc184313299"/>
      <w:bookmarkEnd w:id="357"/>
      <w:bookmarkStart w:id="358" w:name="_Toc184310283"/>
      <w:bookmarkEnd w:id="358"/>
      <w:bookmarkStart w:id="359" w:name="_Toc184313305"/>
      <w:bookmarkEnd w:id="359"/>
      <w:bookmarkStart w:id="360" w:name="_Toc184308108"/>
      <w:bookmarkEnd w:id="360"/>
      <w:bookmarkStart w:id="361" w:name="_Toc184312115"/>
      <w:bookmarkEnd w:id="361"/>
      <w:bookmarkStart w:id="362" w:name="_Toc184313250"/>
      <w:bookmarkEnd w:id="362"/>
      <w:bookmarkStart w:id="363" w:name="_Toc184310325"/>
      <w:bookmarkEnd w:id="363"/>
      <w:bookmarkStart w:id="364" w:name="_Toc184314466"/>
      <w:bookmarkEnd w:id="364"/>
      <w:bookmarkStart w:id="365" w:name="_Toc184308059"/>
      <w:bookmarkEnd w:id="365"/>
      <w:bookmarkStart w:id="366" w:name="_Toc184313254"/>
      <w:bookmarkEnd w:id="366"/>
      <w:bookmarkStart w:id="367" w:name="_Toc184310328"/>
      <w:bookmarkEnd w:id="367"/>
      <w:bookmarkStart w:id="368" w:name="_Toc184313253"/>
      <w:bookmarkEnd w:id="368"/>
      <w:bookmarkStart w:id="369" w:name="_Toc184310281"/>
      <w:bookmarkEnd w:id="369"/>
      <w:bookmarkStart w:id="370" w:name="_Toc184312128"/>
      <w:bookmarkEnd w:id="370"/>
      <w:bookmarkStart w:id="371" w:name="_Toc184314415"/>
      <w:bookmarkEnd w:id="371"/>
      <w:bookmarkStart w:id="372" w:name="_Toc184310272"/>
      <w:bookmarkEnd w:id="372"/>
      <w:bookmarkStart w:id="373" w:name="_Toc184313303"/>
      <w:bookmarkEnd w:id="373"/>
      <w:bookmarkStart w:id="374" w:name="_Toc184308082"/>
      <w:bookmarkEnd w:id="374"/>
      <w:bookmarkStart w:id="375" w:name="_Toc184310314"/>
      <w:bookmarkEnd w:id="375"/>
      <w:bookmarkStart w:id="376" w:name="_Toc184312130"/>
      <w:bookmarkEnd w:id="376"/>
      <w:bookmarkStart w:id="377" w:name="_Toc184313301"/>
      <w:bookmarkEnd w:id="377"/>
      <w:bookmarkStart w:id="378" w:name="_Toc184312123"/>
      <w:bookmarkEnd w:id="378"/>
      <w:bookmarkStart w:id="379" w:name="_Toc184313283"/>
      <w:bookmarkEnd w:id="379"/>
      <w:bookmarkStart w:id="380" w:name="_Toc184308064"/>
      <w:bookmarkEnd w:id="380"/>
      <w:bookmarkStart w:id="381" w:name="_Toc184314482"/>
      <w:bookmarkEnd w:id="381"/>
      <w:bookmarkStart w:id="382" w:name="_Toc184314459"/>
      <w:bookmarkEnd w:id="382"/>
      <w:bookmarkStart w:id="383" w:name="_Toc184310305"/>
      <w:bookmarkEnd w:id="383"/>
      <w:bookmarkStart w:id="384" w:name="_Toc184314468"/>
      <w:bookmarkEnd w:id="384"/>
      <w:bookmarkStart w:id="385" w:name="_Toc184313275"/>
      <w:bookmarkEnd w:id="385"/>
      <w:bookmarkStart w:id="386" w:name="_Toc184312102"/>
      <w:bookmarkEnd w:id="386"/>
      <w:bookmarkStart w:id="387" w:name="_Toc184313272"/>
      <w:bookmarkEnd w:id="387"/>
      <w:bookmarkStart w:id="388" w:name="_Toc184308104"/>
      <w:bookmarkEnd w:id="388"/>
      <w:bookmarkStart w:id="389" w:name="_Toc184308097"/>
      <w:bookmarkEnd w:id="389"/>
      <w:bookmarkStart w:id="390" w:name="_Toc184310291"/>
      <w:bookmarkEnd w:id="390"/>
      <w:bookmarkStart w:id="391" w:name="_Toc184314437"/>
      <w:bookmarkEnd w:id="391"/>
      <w:bookmarkStart w:id="392" w:name="_Toc184314477"/>
      <w:bookmarkEnd w:id="392"/>
      <w:bookmarkStart w:id="393" w:name="_Toc184312080"/>
      <w:bookmarkEnd w:id="393"/>
      <w:bookmarkStart w:id="394" w:name="_Toc184312124"/>
      <w:bookmarkEnd w:id="394"/>
      <w:bookmarkStart w:id="395" w:name="_Toc184313309"/>
      <w:bookmarkEnd w:id="395"/>
      <w:bookmarkStart w:id="396" w:name="_Toc184313259"/>
      <w:bookmarkEnd w:id="396"/>
      <w:bookmarkStart w:id="397" w:name="_Toc184314454"/>
      <w:bookmarkEnd w:id="397"/>
      <w:bookmarkStart w:id="398" w:name="_Toc184314464"/>
      <w:bookmarkEnd w:id="398"/>
      <w:bookmarkStart w:id="399" w:name="_Toc184308090"/>
      <w:bookmarkEnd w:id="399"/>
      <w:bookmarkStart w:id="400" w:name="_Toc184312122"/>
      <w:bookmarkEnd w:id="400"/>
      <w:bookmarkStart w:id="401" w:name="_Toc184312131"/>
      <w:bookmarkEnd w:id="401"/>
      <w:bookmarkStart w:id="402" w:name="_Toc184310295"/>
      <w:bookmarkEnd w:id="402"/>
      <w:bookmarkStart w:id="403" w:name="_Toc184308087"/>
      <w:bookmarkEnd w:id="403"/>
      <w:bookmarkStart w:id="404" w:name="_Toc184313298"/>
      <w:bookmarkEnd w:id="404"/>
      <w:r>
        <w:rPr>
          <w:rFonts w:hint="eastAsia" w:ascii="宋体" w:hAnsi="宋体" w:cs="宋体"/>
          <w:b/>
          <w:color w:val="auto"/>
          <w:sz w:val="36"/>
          <w:szCs w:val="36"/>
          <w:highlight w:val="none"/>
        </w:rPr>
        <w:t>评标办法</w:t>
      </w:r>
    </w:p>
    <w:p>
      <w:pPr>
        <w:snapToGrid w:val="0"/>
        <w:spacing w:line="360" w:lineRule="auto"/>
        <w:ind w:firstLine="643"/>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894"/>
        <w:gridCol w:w="803"/>
        <w:gridCol w:w="112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548" w:type="dxa"/>
            <w:vAlign w:val="center"/>
          </w:tcPr>
          <w:p>
            <w:pPr>
              <w:snapToGrid w:val="0"/>
              <w:spacing w:line="240" w:lineRule="auto"/>
              <w:jc w:val="center"/>
              <w:rPr>
                <w:rFonts w:ascii="宋体" w:hAnsi="宋体" w:eastAsia="宋体" w:cs="仿宋_GB2312"/>
                <w:color w:val="auto"/>
                <w:sz w:val="24"/>
                <w:highlight w:val="none"/>
              </w:rPr>
            </w:pPr>
            <w:bookmarkStart w:id="405" w:name="OLE_LINK1"/>
            <w:r>
              <w:rPr>
                <w:rFonts w:hint="eastAsia" w:ascii="宋体" w:hAnsi="宋体" w:eastAsia="宋体" w:cs="仿宋_GB2312"/>
                <w:color w:val="auto"/>
                <w:sz w:val="24"/>
                <w:highlight w:val="none"/>
              </w:rPr>
              <w:t>序号</w:t>
            </w:r>
          </w:p>
        </w:tc>
        <w:tc>
          <w:tcPr>
            <w:tcW w:w="4894" w:type="dxa"/>
            <w:vAlign w:val="center"/>
          </w:tcPr>
          <w:p>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803" w:type="dxa"/>
            <w:vAlign w:val="center"/>
          </w:tcPr>
          <w:p>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127" w:type="dxa"/>
            <w:vAlign w:val="center"/>
          </w:tcPr>
          <w:p>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685" w:type="dxa"/>
            <w:vAlign w:val="top"/>
          </w:tcPr>
          <w:p>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ascii="宋体" w:hAnsi="宋体" w:eastAsia="宋体" w:cs="仿宋_GB2312"/>
                <w:color w:val="auto"/>
                <w:sz w:val="24"/>
                <w:highlight w:val="none"/>
              </w:rPr>
            </w:pPr>
            <w:r>
              <w:rPr>
                <w:rFonts w:hint="eastAsia" w:ascii="宋体" w:hAnsi="宋体" w:cs="宋体"/>
                <w:color w:val="auto"/>
                <w:sz w:val="24"/>
                <w:highlight w:val="none"/>
              </w:rPr>
              <w:t>1</w:t>
            </w:r>
          </w:p>
        </w:tc>
        <w:tc>
          <w:tcPr>
            <w:tcW w:w="4894" w:type="dxa"/>
            <w:vAlign w:val="center"/>
          </w:tcPr>
          <w:p>
            <w:pPr>
              <w:widowControl/>
              <w:spacing w:line="240" w:lineRule="auto"/>
              <w:rPr>
                <w:rFonts w:ascii="宋体" w:hAnsi="宋体" w:eastAsia="宋体" w:cs="仿宋_GB2312"/>
                <w:color w:val="auto"/>
                <w:sz w:val="24"/>
                <w:highlight w:val="none"/>
              </w:rPr>
            </w:pPr>
            <w:r>
              <w:rPr>
                <w:rFonts w:hint="eastAsia" w:ascii="宋体" w:hAnsi="宋体" w:cs="宋体"/>
                <w:color w:val="auto"/>
                <w:kern w:val="0"/>
                <w:sz w:val="24"/>
                <w:highlight w:val="none"/>
                <w:lang w:eastAsia="zh-CN"/>
              </w:rPr>
              <w:t>投标产品技术性能指标及技术参数全部符合采购需求清单明确指标参数得21分。投标产品关键技术指标（标有“</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的指标）不满足或缺漏项的每项扣1.5分，超过3项及以上不满足的或缺漏项的，本项不得分；非关键技术指标不满足或缺漏项的每项扣1分，扣完为止；技术参数要求提供证明材料的，投标人需按照要求提供，否则视为不满足。</w:t>
            </w:r>
          </w:p>
        </w:tc>
        <w:tc>
          <w:tcPr>
            <w:tcW w:w="803" w:type="dxa"/>
            <w:vAlign w:val="center"/>
          </w:tcPr>
          <w:p>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21</w:t>
            </w:r>
          </w:p>
        </w:tc>
        <w:tc>
          <w:tcPr>
            <w:tcW w:w="1127" w:type="dxa"/>
            <w:vAlign w:val="center"/>
          </w:tcPr>
          <w:p>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894" w:type="dxa"/>
            <w:vAlign w:val="center"/>
          </w:tcPr>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根据投标人提供进度计划的内容进行打分，最高得</w:t>
            </w:r>
            <w:r>
              <w:rPr>
                <w:rFonts w:hint="eastAsia" w:ascii="宋体" w:hAnsi="宋体" w:cs="宋体"/>
                <w:color w:val="auto"/>
                <w:kern w:val="0"/>
                <w:sz w:val="24"/>
                <w:highlight w:val="none"/>
                <w:lang w:val="en-US" w:eastAsia="zh-CN"/>
              </w:rPr>
              <w:t>5分</w:t>
            </w:r>
            <w:r>
              <w:rPr>
                <w:rFonts w:hint="eastAsia" w:ascii="宋体" w:hAnsi="宋体" w:cs="宋体"/>
                <w:color w:val="auto"/>
                <w:kern w:val="0"/>
                <w:sz w:val="24"/>
                <w:highlight w:val="none"/>
                <w:lang w:eastAsia="zh-CN"/>
              </w:rPr>
              <w:t>。</w:t>
            </w:r>
          </w:p>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①进度计划的内容全面详尽，符合实际情况的得5分；</w:t>
            </w:r>
          </w:p>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②进度计划的内容较全面详尽，较符合实际情况的得4分；</w:t>
            </w:r>
          </w:p>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③进度计划的内容基本全面，基本符合实际情况的得3分；</w:t>
            </w:r>
          </w:p>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④进度计划的内容不全面或不符合实际情况的得2分；</w:t>
            </w:r>
          </w:p>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⑤进度计划的内容明显存在缺陷的得1分；</w:t>
            </w:r>
          </w:p>
          <w:p>
            <w:pPr>
              <w:widowControl/>
              <w:spacing w:line="240" w:lineRule="auto"/>
              <w:rPr>
                <w:rFonts w:hint="eastAsia"/>
                <w:color w:val="auto"/>
                <w:highlight w:val="none"/>
              </w:rPr>
            </w:pPr>
            <w:r>
              <w:rPr>
                <w:rFonts w:hint="eastAsia" w:ascii="宋体" w:hAnsi="宋体" w:cs="宋体"/>
                <w:color w:val="auto"/>
                <w:kern w:val="0"/>
                <w:sz w:val="24"/>
                <w:highlight w:val="none"/>
                <w:lang w:eastAsia="zh-CN"/>
              </w:rPr>
              <w:t>⑥未提供相应内容的不得分。</w:t>
            </w:r>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48" w:type="dxa"/>
            <w:shd w:val="clear" w:color="auto" w:fill="auto"/>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4894" w:type="dxa"/>
            <w:shd w:val="clear" w:color="auto" w:fill="auto"/>
            <w:vAlign w:val="center"/>
          </w:tcPr>
          <w:p>
            <w:pPr>
              <w:widowControl/>
              <w:spacing w:line="24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w:t>
            </w:r>
            <w:r>
              <w:rPr>
                <w:rFonts w:hint="default" w:ascii="宋体" w:hAnsi="宋体" w:cs="宋体"/>
                <w:color w:val="auto"/>
                <w:kern w:val="0"/>
                <w:sz w:val="24"/>
                <w:highlight w:val="none"/>
                <w:lang w:val="en-US" w:eastAsia="zh-CN"/>
              </w:rPr>
              <w:t>投标人提供项目实施方案</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包括但不限于软件开发、安装调试、系统集成、试运行、验收等内容，同时提供组织机构、工作时间进度表、管理和协调方法、关键步骤的思路和要点等</w:t>
            </w:r>
            <w:r>
              <w:rPr>
                <w:rFonts w:hint="eastAsia" w:ascii="宋体" w:hAnsi="宋体" w:cs="宋体"/>
                <w:color w:val="auto"/>
                <w:kern w:val="0"/>
                <w:sz w:val="24"/>
                <w:highlight w:val="none"/>
                <w:lang w:val="en-US" w:eastAsia="zh-CN"/>
              </w:rPr>
              <w:t>）进行打分，最高得5分</w:t>
            </w:r>
            <w:r>
              <w:rPr>
                <w:rFonts w:hint="default" w:ascii="宋体" w:hAnsi="宋体" w:cs="宋体"/>
                <w:color w:val="auto"/>
                <w:kern w:val="0"/>
                <w:sz w:val="24"/>
                <w:highlight w:val="none"/>
                <w:lang w:val="en-US" w:eastAsia="zh-CN"/>
              </w:rPr>
              <w:t>。</w:t>
            </w:r>
          </w:p>
          <w:p>
            <w:pPr>
              <w:widowControl/>
              <w:spacing w:line="240" w:lineRule="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①方案全面详尽，符合实际情况的得5分；</w:t>
            </w:r>
          </w:p>
          <w:p>
            <w:pPr>
              <w:widowControl/>
              <w:spacing w:line="240" w:lineRule="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②方案较全面详尽，较符合实际情况的得4分；</w:t>
            </w:r>
          </w:p>
          <w:p>
            <w:pPr>
              <w:widowControl/>
              <w:spacing w:line="240" w:lineRule="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③方案基本全面，基本符合实际情况的得3分；</w:t>
            </w:r>
          </w:p>
          <w:p>
            <w:pPr>
              <w:widowControl/>
              <w:spacing w:line="240" w:lineRule="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④方案不全面或不符合实际情况的得2分；</w:t>
            </w:r>
          </w:p>
          <w:p>
            <w:pPr>
              <w:widowControl/>
              <w:spacing w:line="240" w:lineRule="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⑤方案明显存在缺陷的得1分；</w:t>
            </w:r>
          </w:p>
          <w:p>
            <w:pPr>
              <w:widowControl/>
              <w:spacing w:line="240" w:lineRule="auto"/>
              <w:rPr>
                <w:rFonts w:hint="default"/>
                <w:color w:val="auto"/>
                <w:highlight w:val="none"/>
                <w:lang w:val="en-US" w:eastAsia="zh-CN"/>
              </w:rPr>
            </w:pPr>
            <w:r>
              <w:rPr>
                <w:rFonts w:hint="default" w:ascii="宋体" w:hAnsi="宋体" w:cs="宋体"/>
                <w:color w:val="auto"/>
                <w:kern w:val="0"/>
                <w:sz w:val="24"/>
                <w:highlight w:val="none"/>
                <w:lang w:val="en-US" w:eastAsia="zh-CN"/>
              </w:rPr>
              <w:t>⑥未提供相应内容的不得分。</w:t>
            </w:r>
          </w:p>
        </w:tc>
        <w:tc>
          <w:tcPr>
            <w:tcW w:w="803" w:type="dxa"/>
            <w:shd w:val="clear" w:color="auto" w:fill="auto"/>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shd w:val="clear" w:color="auto" w:fill="auto"/>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atLeast"/>
        </w:trPr>
        <w:tc>
          <w:tcPr>
            <w:tcW w:w="548" w:type="dxa"/>
            <w:shd w:val="clear" w:color="auto" w:fill="auto"/>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4894" w:type="dxa"/>
            <w:shd w:val="clear" w:color="auto" w:fill="auto"/>
            <w:vAlign w:val="center"/>
          </w:tcPr>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根据投标人提供</w:t>
            </w:r>
            <w:r>
              <w:rPr>
                <w:rFonts w:hint="eastAsia" w:ascii="宋体" w:hAnsi="宋体" w:cs="宋体"/>
                <w:color w:val="auto"/>
                <w:kern w:val="0"/>
                <w:sz w:val="24"/>
                <w:highlight w:val="none"/>
              </w:rPr>
              <w:t>的工作</w:t>
            </w:r>
            <w:r>
              <w:rPr>
                <w:rFonts w:hint="eastAsia" w:ascii="宋体" w:hAnsi="宋体" w:cs="宋体"/>
                <w:color w:val="auto"/>
                <w:kern w:val="0"/>
                <w:sz w:val="24"/>
                <w:highlight w:val="none"/>
                <w:lang w:eastAsia="zh-CN"/>
              </w:rPr>
              <w:t>制度（包括</w:t>
            </w:r>
            <w:r>
              <w:rPr>
                <w:rFonts w:hint="eastAsia" w:ascii="宋体" w:hAnsi="宋体" w:cs="宋体"/>
                <w:color w:val="auto"/>
                <w:kern w:val="0"/>
                <w:sz w:val="24"/>
                <w:highlight w:val="none"/>
              </w:rPr>
              <w:t>安全制度、巡检制度、值班制度、考核制度、台账制度、汇报制度、应急处置等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进行</w:t>
            </w:r>
            <w:r>
              <w:rPr>
                <w:rFonts w:hint="eastAsia" w:ascii="宋体" w:hAnsi="宋体" w:cs="宋体"/>
                <w:color w:val="auto"/>
                <w:kern w:val="0"/>
                <w:sz w:val="24"/>
                <w:highlight w:val="none"/>
                <w:lang w:eastAsia="zh-CN"/>
              </w:rPr>
              <w:t>打分，最高得</w:t>
            </w:r>
            <w:r>
              <w:rPr>
                <w:rFonts w:hint="eastAsia" w:ascii="宋体" w:hAnsi="宋体" w:cs="宋体"/>
                <w:color w:val="auto"/>
                <w:kern w:val="0"/>
                <w:sz w:val="24"/>
                <w:highlight w:val="none"/>
                <w:lang w:val="en-US" w:eastAsia="zh-CN"/>
              </w:rPr>
              <w:t>4分</w:t>
            </w:r>
            <w:r>
              <w:rPr>
                <w:rFonts w:hint="eastAsia" w:ascii="宋体" w:hAnsi="宋体" w:cs="宋体"/>
                <w:color w:val="auto"/>
                <w:kern w:val="0"/>
                <w:sz w:val="24"/>
                <w:highlight w:val="none"/>
                <w:lang w:eastAsia="zh-CN"/>
              </w:rPr>
              <w:t>。</w:t>
            </w:r>
          </w:p>
          <w:p>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①工作制度全面详尽，符合实际情况的得4分；</w:t>
            </w:r>
          </w:p>
          <w:p>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②工作制度较全面详尽，较符合实际情况的得3分；</w:t>
            </w:r>
          </w:p>
          <w:p>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③工作制度基本全面，基本符合实际情况的得2分；</w:t>
            </w:r>
          </w:p>
          <w:p>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④工作制度不全面或不符合实际情况的得1分；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⑤未提供相应内容的不得分。</w:t>
            </w:r>
          </w:p>
        </w:tc>
        <w:tc>
          <w:tcPr>
            <w:tcW w:w="803" w:type="dxa"/>
            <w:shd w:val="clear" w:color="auto" w:fill="auto"/>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1127" w:type="dxa"/>
            <w:shd w:val="clear" w:color="auto" w:fill="auto"/>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548" w:type="dxa"/>
            <w:vAlign w:val="center"/>
          </w:tcPr>
          <w:p>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894" w:type="dxa"/>
            <w:vAlign w:val="center"/>
          </w:tcPr>
          <w:p>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根据投标人</w:t>
            </w:r>
            <w:r>
              <w:rPr>
                <w:rFonts w:hint="eastAsia" w:ascii="宋体" w:hAnsi="宋体" w:cs="宋体"/>
                <w:color w:val="auto"/>
                <w:kern w:val="0"/>
                <w:sz w:val="24"/>
                <w:highlight w:val="none"/>
              </w:rPr>
              <w:t>提供林区瞭望塔建设方案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包括但不限于瞭望塔施工图纸、林场审批保证方案、瞭望塔施工工作程序和步骤、关键步骤的思路和要点、进度保证措施等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进行打分，最高得5分。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①方案全面详尽，符合实际情况的得5分；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②方案较全面详尽，较符合实际情况的得4分；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③方案基本全面，基本符合实际情况的得3分；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④方案不全面或不符合实际情况的得2分；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⑤方案明显存在缺陷的得1分；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⑥未提供相应内容的不得分。</w:t>
            </w:r>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548" w:type="dxa"/>
            <w:vAlign w:val="center"/>
          </w:tcPr>
          <w:p>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894" w:type="dxa"/>
            <w:vAlign w:val="center"/>
          </w:tcPr>
          <w:p>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根据</w:t>
            </w:r>
            <w:r>
              <w:rPr>
                <w:rFonts w:hint="eastAsia" w:ascii="宋体" w:hAnsi="宋体" w:cs="宋体"/>
                <w:color w:val="auto"/>
                <w:kern w:val="0"/>
                <w:sz w:val="24"/>
                <w:highlight w:val="none"/>
              </w:rPr>
              <w:t>投标人提供培训方案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包括但不限于培训内容、时间、地点、人次、师资力量安排等，系统计算机管理人员培训，重点培训为软件的安装、维护、调试、配置及使用技能；业务人员培训，重点对相应应用的操作、使用</w:t>
            </w:r>
            <w:r>
              <w:rPr>
                <w:rFonts w:hint="eastAsia" w:ascii="宋体" w:hAnsi="宋体" w:cs="宋体"/>
                <w:color w:val="auto"/>
                <w:kern w:val="0"/>
                <w:sz w:val="24"/>
                <w:highlight w:val="none"/>
                <w:lang w:eastAsia="zh-CN"/>
              </w:rPr>
              <w:t>等）</w:t>
            </w:r>
            <w:r>
              <w:rPr>
                <w:rFonts w:hint="eastAsia" w:ascii="宋体" w:hAnsi="宋体" w:cs="宋体"/>
                <w:color w:val="auto"/>
                <w:kern w:val="0"/>
                <w:sz w:val="24"/>
                <w:highlight w:val="none"/>
                <w:lang w:val="en-US" w:eastAsia="zh-CN"/>
              </w:rPr>
              <w:t>进行打分，最高得3分。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①方案全面详尽，符合实际情况的得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②方案较全面详尽，较符合实际情况的得</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③方案基本全面，基本符合实际情况的得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④方案不全面或不符合实际情况的得</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⑤方案明显存在缺陷的得1分；</w:t>
            </w:r>
          </w:p>
          <w:p>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⑥未提供相应内容的不得分。</w:t>
            </w:r>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7"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8" w:type="dxa"/>
            <w:vAlign w:val="center"/>
          </w:tcPr>
          <w:p>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894" w:type="dxa"/>
            <w:vAlign w:val="center"/>
          </w:tcPr>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投标人拟派本项目的项目负责人具有项目管理专业人士资格认证（PMP）证书得2分。</w:t>
            </w:r>
          </w:p>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（投标文件中需提供拟派本项目的项目负责人相应证书复印件及近三个月在投标单位连续缴纳社保证明材料复印件并加盖公章，不提供不得分。）</w:t>
            </w:r>
          </w:p>
        </w:tc>
        <w:tc>
          <w:tcPr>
            <w:tcW w:w="803" w:type="dxa"/>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27"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894" w:type="dxa"/>
            <w:vAlign w:val="center"/>
          </w:tcPr>
          <w:p>
            <w:pPr>
              <w:widowControl/>
              <w:spacing w:line="24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投标人拟派本项目的技术负责人具有系统架构设计师（高级）证书得2分。</w:t>
            </w:r>
          </w:p>
          <w:p>
            <w:pPr>
              <w:widowControl/>
              <w:spacing w:line="240" w:lineRule="auto"/>
              <w:rPr>
                <w:rFonts w:hint="eastAsia" w:ascii="宋体" w:hAnsi="宋体" w:cs="宋体"/>
                <w:color w:val="auto"/>
                <w:kern w:val="0"/>
                <w:sz w:val="24"/>
                <w:highlight w:val="none"/>
                <w:lang w:eastAsia="zh-CN"/>
              </w:rPr>
            </w:pPr>
            <w:r>
              <w:rPr>
                <w:rFonts w:hint="eastAsia" w:ascii="宋体" w:hAnsi="宋体" w:eastAsia="宋体" w:cs="宋体"/>
                <w:color w:val="auto"/>
                <w:sz w:val="24"/>
                <w:szCs w:val="24"/>
                <w:highlight w:val="none"/>
                <w:lang w:val="en-US" w:eastAsia="zh-CN"/>
              </w:rPr>
              <w:t>（投标文件中需提供拟派本项目的技术负责人相应证书复印件及近三个月在投标单位连续缴纳社保证明材料复印件并加盖公章，不提供不得分。）</w:t>
            </w:r>
          </w:p>
        </w:tc>
        <w:tc>
          <w:tcPr>
            <w:tcW w:w="803" w:type="dxa"/>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27"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客观分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894" w:type="dxa"/>
            <w:vAlign w:val="center"/>
          </w:tcPr>
          <w:p>
            <w:pPr>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投标人按相应功能要求提供演示视频，演示时间控制在</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分钟内，演示要求如下：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一、智慧林业一体化管控平台（5.5分）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1、知识服务模块</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系统支持对输入的林业相关问题通过模型算法进行生成式作答，支持问答记录导出，支持新建多个会话窗口，并支持查询历史会话记录，全部满足得0.5分，不满足不得分。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2、页面设置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（1）首页需搭载地理图层展示功能，涵盖“资源信息中心”“物联感知网”“告警中心”“火险防控网”等关键模块，构建起林业资源全方位管控体系；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（2）首页操控“资源信息中心”模块在地理图层上以色彩分布清晰呈现林场优势树种、地类、林种及森林类别分布状况，为资源管理提供直观依据；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首页操控“物联感知网”可精准查询林场内防火云台、智能卡口、无人机、遥感卫星、野保相机、生物监测、气象监测、虫情监测等各类物联感知设备总数、离线详情及预警数量等信息。点击对应设备图标，能在地理图层精准定位设备分布，且可直接查看设备采集数据内容，实现感知网络可视化管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首页操控“告警中心”集中展示各类告警信息，包括但不限于森林火情、车辆预警、人员预警等类型。依据告警信息类型筛选查询便捷高效，同时支持处置状态展示，涵盖待处置、处置中、已处置等状态，并能统计展示历史已处置预警信息总数。系统根据告警种类差异，在地理图层以特定图标预警，助力管理人员快速掌握告警关键要素。</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首页通过“火险防控网”可综合展示当日风速、空气湿度、空气温度、臭氧、PM2.5、大气压力等气候信息，经计算得出当日火险等级，并以图标形式在地理图层标注林场范围内防火资源及重点对象地理位置分布，为火险防控提供科学支撑。满足1个得1分，最高得5分。</w:t>
            </w:r>
          </w:p>
          <w:p>
            <w:pPr>
              <w:widowControl/>
              <w:numPr>
                <w:ilvl w:val="0"/>
                <w:numId w:val="3"/>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森林防火预警监测系统（1.5分）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1、可视域分析</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支持通过指定瞭望塔高度与摄像机的可视范围，客户端会结合DEM数据计算出该点的可视范围，并在地图上显示出来，绿色部分代表可以观测到的区域，红色部分代表不能观测到的区域，为森林防火预警监测提供精准视野规划；全部满足得0.5分，不满足不得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2、二次标注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系统集成深度学习功能，针对历史火情预警信息实现二次精准标注。标注内容丰富多样，涵盖烟火、烟、雾、阳光、水面反光、灰尘、灯光、云、工厂废气、大型废气等关键信息。管理人员能够对预警画面进行红框标注实际情况，且标注完成的数据可无缝上传至训练中心，持续优化火情预警精准度，筑牢森林防火安全防线。全部满足得1分，不满足不得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三、生态环境因子监测系统（0.5分）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1、一张图功能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能够基于GIS地图，支持统一查看AI监测设备、野保相机上报的影像数据，包括影像编号、拍摄时间、设备信息、所属区域等。支持影像详情查看，包括图片或短视频、影像名称、状态、相关设备信息等；对于已鉴定影像，平台支持影像鉴定内容查看。支持设备详情查看，包括设备编号、名称、所属区域、布设状态、经纬度、地址等，打造生态环境监测信息全景视角；全部满足得0.5分，不满足不得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四、森林资源信息管理系统（0.5分）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1、资源总览</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根据地理信息图展示林场所属区域，林场总面积、植物种类、天气情况。基于GIS地图的专属图层的可视化展示；根据地理信息图展示林场所属小班区域，点击每个小班区域，显示该区域基础信息，包含：资源概况、所属分林场、林地、林种、面积、林权、植物种类、天气情况。全部满足得0.5分，不满足不得分。</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（需提供演示演说的现场拍摄的视频</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分钟之内，仅提供PPT演示不得分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803" w:type="dxa"/>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127" w:type="dxa"/>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客观分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48" w:type="dxa"/>
            <w:vAlign w:val="center"/>
          </w:tcPr>
          <w:p>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894" w:type="dxa"/>
            <w:shd w:val="clear" w:color="auto" w:fill="auto"/>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是否踏勘情况，提供采购单位踏勘确认书的得2分。（以采购单位出具的现场踏勘证明材料为准，投标文件中需提供现场踏勘证明材料复印件并加盖公章，不提供不得分）</w:t>
            </w:r>
          </w:p>
        </w:tc>
        <w:tc>
          <w:tcPr>
            <w:tcW w:w="803" w:type="dxa"/>
            <w:shd w:val="clear" w:color="auto" w:fill="auto"/>
            <w:vAlign w:val="center"/>
          </w:tcPr>
          <w:p>
            <w:pPr>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127" w:type="dxa"/>
            <w:shd w:val="clear" w:color="auto" w:fill="auto"/>
            <w:vAlign w:val="center"/>
          </w:tcPr>
          <w:p>
            <w:pPr>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85" w:type="dxa"/>
            <w:shd w:val="clear" w:color="auto" w:fill="auto"/>
            <w:vAlign w:val="center"/>
          </w:tcPr>
          <w:p>
            <w:pPr>
              <w:spacing w:line="240" w:lineRule="auto"/>
              <w:jc w:val="center"/>
              <w:outlineLvl w:val="0"/>
              <w:rPr>
                <w:rFonts w:ascii="宋体" w:hAnsi="宋体" w:eastAsia="宋体"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548" w:type="dxa"/>
            <w:vAlign w:val="center"/>
          </w:tcPr>
          <w:p>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11</w:t>
            </w:r>
          </w:p>
        </w:tc>
        <w:tc>
          <w:tcPr>
            <w:tcW w:w="4894"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根据现场踏勘提出合理化建议，且提出相应的措施方案，根据其内容情况进行打分，最高得3分。</w:t>
            </w:r>
          </w:p>
          <w:p>
            <w:pPr>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①建议与措施全面详尽，合理，符合实际情况的得3分；</w:t>
            </w:r>
          </w:p>
          <w:p>
            <w:pPr>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②建议与措施基本全面，基本符合实际情况的得2分；</w:t>
            </w:r>
          </w:p>
          <w:p>
            <w:pPr>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③建议与措施不全面或不符合实际情况的得1分；</w:t>
            </w:r>
          </w:p>
          <w:p>
            <w:pPr>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④未提供相应内容的不得分。</w:t>
            </w:r>
          </w:p>
        </w:tc>
        <w:tc>
          <w:tcPr>
            <w:tcW w:w="803" w:type="dxa"/>
            <w:vAlign w:val="center"/>
          </w:tcPr>
          <w:p>
            <w:pPr>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127" w:type="dxa"/>
            <w:vAlign w:val="center"/>
          </w:tcPr>
          <w:p>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trPr>
        <w:tc>
          <w:tcPr>
            <w:tcW w:w="548" w:type="dxa"/>
            <w:vAlign w:val="center"/>
          </w:tcPr>
          <w:p>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12</w:t>
            </w:r>
          </w:p>
        </w:tc>
        <w:tc>
          <w:tcPr>
            <w:tcW w:w="4894" w:type="dxa"/>
            <w:vAlign w:val="center"/>
          </w:tcPr>
          <w:p>
            <w:pPr>
              <w:widowControl/>
              <w:spacing w:line="240" w:lineRule="auto"/>
              <w:rPr>
                <w:rFonts w:hint="eastAsia" w:ascii="宋体" w:hAnsi="宋体" w:cs="宋体"/>
                <w:color w:val="auto"/>
                <w:kern w:val="0"/>
                <w:sz w:val="24"/>
                <w:highlight w:val="none"/>
              </w:rPr>
            </w:pPr>
            <w:r>
              <w:rPr>
                <w:rFonts w:hint="eastAsia" w:ascii="宋体" w:hAnsi="宋体" w:eastAsia="宋体" w:cs="仿宋_GB2312"/>
                <w:color w:val="auto"/>
                <w:sz w:val="24"/>
                <w:highlight w:val="none"/>
              </w:rPr>
              <w:t>投标人</w:t>
            </w:r>
            <w:r>
              <w:rPr>
                <w:rFonts w:hint="eastAsia" w:ascii="宋体" w:hAnsi="宋体" w:eastAsia="宋体" w:cs="仿宋_GB2312"/>
                <w:color w:val="auto"/>
                <w:sz w:val="24"/>
                <w:highlight w:val="none"/>
                <w:lang w:eastAsia="zh-CN"/>
              </w:rPr>
              <w:t>具有</w:t>
            </w:r>
            <w:r>
              <w:rPr>
                <w:rFonts w:hint="eastAsia" w:ascii="宋体" w:hAnsi="宋体" w:eastAsia="宋体" w:cs="仿宋_GB2312"/>
                <w:color w:val="auto"/>
                <w:sz w:val="24"/>
                <w:highlight w:val="none"/>
              </w:rPr>
              <w:t>生态感知类软件著作权证书、林业机器人类软件著作权证书、数字治理类软件著作权证书、精准勘察类软件著作权证书，每提供一个得1分，最高得4分。</w:t>
            </w:r>
            <w:r>
              <w:rPr>
                <w:rFonts w:hint="eastAsia" w:ascii="宋体" w:hAnsi="宋体" w:eastAsia="宋体" w:cs="仿宋_GB2312"/>
                <w:color w:val="auto"/>
                <w:sz w:val="24"/>
                <w:highlight w:val="none"/>
                <w:lang w:eastAsia="zh-CN"/>
              </w:rPr>
              <w:t>（投标文件中须提供相关证书复印件并加盖公章，不提供不得分）</w:t>
            </w:r>
          </w:p>
        </w:tc>
        <w:tc>
          <w:tcPr>
            <w:tcW w:w="803" w:type="dxa"/>
            <w:vAlign w:val="center"/>
          </w:tcPr>
          <w:p>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4</w:t>
            </w:r>
          </w:p>
        </w:tc>
        <w:tc>
          <w:tcPr>
            <w:tcW w:w="1127" w:type="dxa"/>
            <w:vAlign w:val="center"/>
          </w:tcPr>
          <w:p>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548" w:type="dxa"/>
            <w:vAlign w:val="center"/>
          </w:tcPr>
          <w:p>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4894" w:type="dxa"/>
            <w:vAlign w:val="center"/>
          </w:tcPr>
          <w:p>
            <w:pPr>
              <w:pStyle w:val="643"/>
              <w:widowControl w:val="0"/>
              <w:ind w:firstLine="0" w:firstLineChars="0"/>
              <w:rPr>
                <w:rFonts w:hint="eastAsia" w:hAnsi="宋体" w:cs="宋体"/>
                <w:color w:val="auto"/>
                <w:sz w:val="24"/>
                <w:highlight w:val="none"/>
                <w:lang w:val="zh-CN" w:eastAsia="zh-CN"/>
              </w:rPr>
            </w:pPr>
            <w:r>
              <w:rPr>
                <w:rFonts w:hint="eastAsia" w:ascii="宋体" w:hAnsi="宋体" w:cs="宋体"/>
                <w:color w:val="auto"/>
                <w:sz w:val="24"/>
                <w:highlight w:val="none"/>
                <w:lang w:val="zh-CN"/>
              </w:rPr>
              <w:t>根据投标</w:t>
            </w:r>
            <w:r>
              <w:rPr>
                <w:rFonts w:hint="eastAsia" w:hAnsi="宋体" w:cs="宋体"/>
                <w:color w:val="auto"/>
                <w:sz w:val="24"/>
                <w:highlight w:val="none"/>
                <w:lang w:val="zh-CN"/>
              </w:rPr>
              <w:t>人</w:t>
            </w:r>
            <w:r>
              <w:rPr>
                <w:rFonts w:hint="eastAsia" w:ascii="宋体" w:hAnsi="宋体" w:cs="宋体"/>
                <w:color w:val="auto"/>
                <w:sz w:val="24"/>
                <w:highlight w:val="none"/>
                <w:lang w:val="zh-CN"/>
              </w:rPr>
              <w:t>售后服务</w:t>
            </w:r>
            <w:r>
              <w:rPr>
                <w:rFonts w:hint="eastAsia" w:hAnsi="宋体" w:cs="宋体"/>
                <w:color w:val="auto"/>
                <w:sz w:val="24"/>
                <w:highlight w:val="none"/>
                <w:lang w:val="zh-CN"/>
              </w:rPr>
              <w:t>方案（</w:t>
            </w:r>
            <w:r>
              <w:rPr>
                <w:rFonts w:hint="eastAsia" w:ascii="宋体" w:hAnsi="宋体" w:cs="宋体"/>
                <w:color w:val="auto"/>
                <w:sz w:val="24"/>
                <w:highlight w:val="none"/>
                <w:lang w:val="zh-CN"/>
              </w:rPr>
              <w:t>包括维修能力、对用户故障的响应、定期巡检方案、质保期内外的后续技术支持、3年质保期等</w:t>
            </w:r>
            <w:r>
              <w:rPr>
                <w:rFonts w:hint="eastAsia" w:hAnsi="宋体" w:cs="宋体"/>
                <w:color w:val="auto"/>
                <w:sz w:val="24"/>
                <w:highlight w:val="none"/>
                <w:lang w:val="zh-CN"/>
              </w:rPr>
              <w:t>）</w:t>
            </w:r>
            <w:r>
              <w:rPr>
                <w:rFonts w:hint="eastAsia" w:hAnsi="宋体" w:cs="宋体"/>
                <w:color w:val="auto"/>
                <w:sz w:val="24"/>
                <w:highlight w:val="none"/>
                <w:lang w:val="zh-CN" w:eastAsia="zh-CN"/>
              </w:rPr>
              <w:t>进行打分，最高得</w:t>
            </w:r>
            <w:r>
              <w:rPr>
                <w:rFonts w:hint="eastAsia" w:hAnsi="宋体" w:cs="宋体"/>
                <w:color w:val="auto"/>
                <w:sz w:val="24"/>
                <w:highlight w:val="none"/>
                <w:lang w:val="en-US" w:eastAsia="zh-CN"/>
              </w:rPr>
              <w:t>3</w:t>
            </w:r>
            <w:r>
              <w:rPr>
                <w:rFonts w:hint="eastAsia" w:hAnsi="宋体" w:cs="宋体"/>
                <w:color w:val="auto"/>
                <w:sz w:val="24"/>
                <w:highlight w:val="none"/>
                <w:lang w:val="zh-CN" w:eastAsia="zh-CN"/>
              </w:rPr>
              <w:t>分。</w:t>
            </w:r>
          </w:p>
          <w:p>
            <w:pPr>
              <w:pStyle w:val="64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①方案全面详尽，符合实际情况的得</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val="zh-CN"/>
              </w:rPr>
              <w:t>分；</w:t>
            </w:r>
          </w:p>
          <w:p>
            <w:pPr>
              <w:pStyle w:val="64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②方案较全面详尽，较符合实际情况的得</w:t>
            </w:r>
            <w:r>
              <w:rPr>
                <w:rFonts w:hint="eastAsia" w:ascii="宋体" w:hAnsi="宋体" w:eastAsia="宋体" w:cs="宋体"/>
                <w:color w:val="auto"/>
                <w:sz w:val="24"/>
                <w:szCs w:val="22"/>
                <w:highlight w:val="none"/>
                <w:lang w:val="en-US" w:eastAsia="zh-CN"/>
              </w:rPr>
              <w:t>2.5</w:t>
            </w:r>
            <w:r>
              <w:rPr>
                <w:rFonts w:hint="eastAsia" w:ascii="宋体" w:hAnsi="宋体" w:eastAsia="宋体" w:cs="宋体"/>
                <w:color w:val="auto"/>
                <w:sz w:val="24"/>
                <w:szCs w:val="22"/>
                <w:highlight w:val="none"/>
                <w:lang w:val="zh-CN"/>
              </w:rPr>
              <w:t>分；</w:t>
            </w:r>
          </w:p>
          <w:p>
            <w:pPr>
              <w:pStyle w:val="64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③方案基本全面，基本符合实际情况的得</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val="zh-CN"/>
              </w:rPr>
              <w:t>分；</w:t>
            </w:r>
          </w:p>
          <w:p>
            <w:pPr>
              <w:pStyle w:val="64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④方案不全面或不符合实际情况的得</w:t>
            </w:r>
            <w:r>
              <w:rPr>
                <w:rFonts w:hint="eastAsia" w:ascii="宋体" w:hAnsi="宋体" w:eastAsia="宋体" w:cs="宋体"/>
                <w:color w:val="auto"/>
                <w:sz w:val="24"/>
                <w:szCs w:val="22"/>
                <w:highlight w:val="none"/>
                <w:lang w:val="en-US" w:eastAsia="zh-CN"/>
              </w:rPr>
              <w:t>1.5</w:t>
            </w:r>
            <w:r>
              <w:rPr>
                <w:rFonts w:hint="eastAsia" w:ascii="宋体" w:hAnsi="宋体" w:eastAsia="宋体" w:cs="宋体"/>
                <w:color w:val="auto"/>
                <w:sz w:val="24"/>
                <w:szCs w:val="22"/>
                <w:highlight w:val="none"/>
                <w:lang w:val="zh-CN"/>
              </w:rPr>
              <w:t>分；</w:t>
            </w:r>
          </w:p>
          <w:p>
            <w:pPr>
              <w:pStyle w:val="64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⑤方案明显存在缺陷的得1分；</w:t>
            </w:r>
          </w:p>
          <w:p>
            <w:pPr>
              <w:pStyle w:val="643"/>
              <w:widowControl w:val="0"/>
              <w:ind w:firstLine="0" w:firstLineChars="0"/>
              <w:rPr>
                <w:rFonts w:hint="eastAsia" w:ascii="宋体" w:hAnsi="宋体" w:cs="宋体"/>
                <w:color w:val="auto"/>
                <w:sz w:val="24"/>
                <w:highlight w:val="none"/>
                <w:lang w:val="zh-CN"/>
              </w:rPr>
            </w:pPr>
            <w:r>
              <w:rPr>
                <w:rFonts w:hint="eastAsia" w:ascii="宋体" w:hAnsi="宋体" w:eastAsia="宋体" w:cs="宋体"/>
                <w:color w:val="auto"/>
                <w:sz w:val="24"/>
                <w:szCs w:val="22"/>
                <w:highlight w:val="none"/>
                <w:lang w:val="zh-CN"/>
              </w:rPr>
              <w:t>⑥未提供相应内容的不得分。</w:t>
            </w:r>
          </w:p>
        </w:tc>
        <w:tc>
          <w:tcPr>
            <w:tcW w:w="803" w:type="dxa"/>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7"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548" w:type="dxa"/>
            <w:vAlign w:val="center"/>
          </w:tcPr>
          <w:p>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14</w:t>
            </w:r>
          </w:p>
        </w:tc>
        <w:tc>
          <w:tcPr>
            <w:tcW w:w="4894" w:type="dxa"/>
            <w:vAlign w:val="center"/>
          </w:tcPr>
          <w:p>
            <w:pPr>
              <w:spacing w:line="240" w:lineRule="auto"/>
              <w:rPr>
                <w:rFonts w:hint="eastAsia" w:ascii="宋体" w:hAnsi="宋体" w:cs="宋体"/>
                <w:color w:val="auto"/>
                <w:spacing w:val="4"/>
                <w:kern w:val="0"/>
                <w:sz w:val="24"/>
                <w:highlight w:val="none"/>
              </w:rPr>
            </w:pPr>
            <w:bookmarkStart w:id="406" w:name="OLE_LINK11"/>
            <w:r>
              <w:rPr>
                <w:rFonts w:hint="eastAsia" w:ascii="宋体" w:hAnsi="宋体" w:cs="宋体"/>
                <w:color w:val="auto"/>
                <w:kern w:val="0"/>
                <w:sz w:val="24"/>
                <w:highlight w:val="none"/>
                <w:lang w:eastAsia="zh-CN"/>
              </w:rPr>
              <w:t>投标人提供自2022年1月1日以来（时间以签约时间为准）同类项目成功案例，每提供1个案例得1分，最高得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分。</w:t>
            </w:r>
            <w:r>
              <w:rPr>
                <w:rFonts w:hint="eastAsia" w:ascii="宋体" w:hAnsi="宋体" w:cs="宋体"/>
                <w:color w:val="auto"/>
                <w:kern w:val="0"/>
                <w:sz w:val="24"/>
                <w:highlight w:val="none"/>
                <w:lang w:val="en-US" w:eastAsia="zh-CN"/>
              </w:rPr>
              <w:t>（投标文件中须提供有效的合同复印件并加盖公章，不提供不得分。）</w:t>
            </w:r>
            <w:bookmarkEnd w:id="406"/>
          </w:p>
        </w:tc>
        <w:tc>
          <w:tcPr>
            <w:tcW w:w="803" w:type="dxa"/>
            <w:vAlign w:val="center"/>
          </w:tcPr>
          <w:p>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3</w:t>
            </w:r>
          </w:p>
        </w:tc>
        <w:tc>
          <w:tcPr>
            <w:tcW w:w="1127" w:type="dxa"/>
            <w:vAlign w:val="center"/>
          </w:tcPr>
          <w:p>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客观分</w:t>
            </w:r>
          </w:p>
        </w:tc>
        <w:tc>
          <w:tcPr>
            <w:tcW w:w="1685" w:type="dxa"/>
            <w:vAlign w:val="center"/>
          </w:tcPr>
          <w:p>
            <w:pPr>
              <w:spacing w:line="240" w:lineRule="auto"/>
              <w:jc w:val="center"/>
              <w:outlineLvl w:val="0"/>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8" w:type="dxa"/>
            <w:vAlign w:val="center"/>
          </w:tcPr>
          <w:p>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894" w:type="dxa"/>
            <w:vAlign w:val="top"/>
          </w:tcPr>
          <w:p>
            <w:pPr>
              <w:widowControl/>
              <w:snapToGrid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0］的计算公式计算。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结果四舍五入保留2位小数点</w:t>
            </w:r>
            <w:r>
              <w:rPr>
                <w:rFonts w:hint="eastAsia" w:ascii="宋体" w:hAnsi="宋体" w:eastAsia="宋体" w:cs="宋体"/>
                <w:color w:val="auto"/>
                <w:sz w:val="24"/>
                <w:highlight w:val="none"/>
                <w:lang w:eastAsia="zh-CN"/>
              </w:rPr>
              <w:t>）</w:t>
            </w:r>
          </w:p>
          <w:p>
            <w:pPr>
              <w:widowControl/>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803" w:type="dxa"/>
            <w:vAlign w:val="center"/>
          </w:tcPr>
          <w:p>
            <w:pPr>
              <w:widowControl/>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7" w:type="dxa"/>
            <w:vAlign w:val="center"/>
          </w:tcPr>
          <w:p>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85" w:type="dxa"/>
            <w:vAlign w:val="center"/>
          </w:tcPr>
          <w:p>
            <w:pPr>
              <w:spacing w:line="24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bookmarkEnd w:id="405"/>
    </w:tbl>
    <w:p>
      <w:pPr>
        <w:snapToGrid w:val="0"/>
        <w:spacing w:line="360" w:lineRule="auto"/>
        <w:ind w:firstLine="400"/>
        <w:rPr>
          <w:rFonts w:hint="eastAsia" w:ascii="宋体" w:hAnsi="宋体" w:cs="宋体"/>
          <w:color w:val="auto"/>
          <w:sz w:val="20"/>
          <w:szCs w:val="20"/>
          <w:highlight w:val="none"/>
          <w:shd w:val="clear" w:color="auto" w:fill="FFFFFF"/>
        </w:rPr>
      </w:pPr>
    </w:p>
    <w:p>
      <w:pPr>
        <w:snapToGrid w:val="0"/>
        <w:spacing w:line="360" w:lineRule="auto"/>
        <w:ind w:firstLine="400"/>
        <w:rPr>
          <w:rFonts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ind w:firstLine="643"/>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643"/>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ind w:firstLine="723"/>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eastAsia="宋体" w:cs="宋体"/>
          <w:b/>
          <w:bCs/>
          <w:color w:val="auto"/>
          <w:kern w:val="0"/>
          <w:sz w:val="24"/>
          <w:highlight w:val="none"/>
          <w:lang w:val="en-US" w:eastAsia="zh-CN"/>
        </w:rPr>
        <w:t>本</w:t>
      </w:r>
      <w:r>
        <w:rPr>
          <w:rFonts w:hint="eastAsia" w:ascii="宋体" w:hAnsi="宋体" w:eastAsia="宋体" w:cs="宋体"/>
          <w:b/>
          <w:bCs/>
          <w:color w:val="auto"/>
          <w:kern w:val="0"/>
          <w:sz w:val="24"/>
          <w:highlight w:val="none"/>
          <w:lang w:eastAsia="zh-CN"/>
        </w:rPr>
        <w:t>项目设有招标风险控制价，</w:t>
      </w:r>
      <w:r>
        <w:rPr>
          <w:rFonts w:hint="eastAsia" w:ascii="宋体" w:hAnsi="宋体" w:eastAsia="宋体" w:cs="宋体"/>
          <w:b/>
          <w:bCs/>
          <w:color w:val="auto"/>
          <w:kern w:val="0"/>
          <w:sz w:val="24"/>
          <w:highlight w:val="none"/>
          <w:lang w:val="zh-CN" w:eastAsia="zh-CN"/>
        </w:rPr>
        <w:t>设定投标人的投标报价低于满足招标文件全部实质性要求的所有投标人平均报价的</w:t>
      </w:r>
      <w:r>
        <w:rPr>
          <w:rFonts w:hint="eastAsia" w:ascii="宋体" w:hAnsi="宋体" w:eastAsia="宋体" w:cs="宋体"/>
          <w:b/>
          <w:bCs/>
          <w:color w:val="auto"/>
          <w:kern w:val="0"/>
          <w:sz w:val="24"/>
          <w:highlight w:val="none"/>
          <w:lang w:val="en-US" w:eastAsia="zh-CN"/>
        </w:rPr>
        <w:t>70</w:t>
      </w:r>
      <w:r>
        <w:rPr>
          <w:rFonts w:hint="eastAsia" w:ascii="宋体" w:hAnsi="宋体" w:eastAsia="宋体" w:cs="宋体"/>
          <w:b/>
          <w:bCs/>
          <w:color w:val="auto"/>
          <w:kern w:val="0"/>
          <w:sz w:val="24"/>
          <w:highlight w:val="none"/>
          <w:lang w:val="zh-CN" w:eastAsia="zh-CN"/>
        </w:rPr>
        <w:t>%作否决投标处理</w:t>
      </w:r>
      <w:r>
        <w:rPr>
          <w:rFonts w:hint="eastAsia" w:ascii="宋体" w:hAnsi="宋体" w:cs="宋体"/>
          <w:b/>
          <w:bCs/>
          <w:color w:val="auto"/>
          <w:kern w:val="0"/>
          <w:sz w:val="24"/>
          <w:highlight w:val="none"/>
          <w:lang w:val="zh-CN" w:eastAsia="zh-CN"/>
        </w:rPr>
        <w:t>。</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val="0"/>
          <w:bCs/>
          <w:color w:val="auto"/>
          <w:sz w:val="24"/>
          <w:szCs w:val="24"/>
          <w:highlight w:val="none"/>
          <w:lang w:val="en-US" w:eastAsia="zh-CN"/>
        </w:rPr>
        <w:t>若</w:t>
      </w:r>
      <w:r>
        <w:rPr>
          <w:rFonts w:hint="eastAsia" w:ascii="宋体" w:hAnsi="宋体" w:cs="宋体"/>
          <w:color w:val="auto"/>
          <w:kern w:val="0"/>
          <w:sz w:val="24"/>
          <w:highlight w:val="none"/>
        </w:rPr>
        <w:t>量化指标评审得分</w:t>
      </w:r>
      <w:r>
        <w:rPr>
          <w:rFonts w:hint="eastAsia" w:ascii="宋体" w:hAnsi="宋体" w:eastAsia="宋体" w:cs="宋体"/>
          <w:b w:val="0"/>
          <w:bCs/>
          <w:color w:val="auto"/>
          <w:sz w:val="24"/>
          <w:szCs w:val="24"/>
          <w:highlight w:val="none"/>
          <w:lang w:val="en-US" w:eastAsia="zh-CN"/>
        </w:rPr>
        <w:t>也相同的，由评标委员会成员</w:t>
      </w:r>
      <w:r>
        <w:rPr>
          <w:rFonts w:hint="eastAsia" w:ascii="宋体" w:hAnsi="宋体" w:eastAsia="宋体" w:cs="宋体"/>
          <w:color w:val="auto"/>
          <w:kern w:val="0"/>
          <w:sz w:val="24"/>
          <w:highlight w:val="none"/>
        </w:rPr>
        <w:t>采取随机抽取</w:t>
      </w:r>
      <w:r>
        <w:rPr>
          <w:rFonts w:hint="eastAsia" w:ascii="宋体" w:hAnsi="宋体" w:eastAsia="宋体" w:cs="宋体"/>
          <w:color w:val="auto"/>
          <w:kern w:val="0"/>
          <w:sz w:val="24"/>
          <w:highlight w:val="none"/>
          <w:lang w:eastAsia="zh-CN"/>
        </w:rPr>
        <w:t>（抽签）</w:t>
      </w:r>
      <w:r>
        <w:rPr>
          <w:rFonts w:hint="eastAsia" w:ascii="宋体" w:hAnsi="宋体" w:eastAsia="宋体" w:cs="宋体"/>
          <w:color w:val="auto"/>
          <w:kern w:val="0"/>
          <w:sz w:val="24"/>
          <w:highlight w:val="none"/>
        </w:rPr>
        <w:t>方式确定</w:t>
      </w:r>
      <w:r>
        <w:rPr>
          <w:rFonts w:hint="eastAsia" w:ascii="宋体" w:hAnsi="宋体" w:eastAsia="宋体" w:cs="宋体"/>
          <w:color w:val="auto"/>
          <w:kern w:val="0"/>
          <w:sz w:val="24"/>
          <w:highlight w:val="none"/>
          <w:lang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ind w:firstLine="643"/>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pStyle w:val="135"/>
        <w:spacing w:before="0"/>
        <w:ind w:firstLine="48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bCs/>
          <w:color w:val="auto"/>
          <w:kern w:val="0"/>
          <w:sz w:val="24"/>
          <w:highlight w:val="none"/>
          <w:lang w:val="en-US" w:eastAsia="zh-CN"/>
        </w:rPr>
        <w:t>本</w:t>
      </w:r>
      <w:r>
        <w:rPr>
          <w:rFonts w:hint="eastAsia" w:ascii="宋体" w:hAnsi="宋体" w:eastAsia="宋体" w:cs="宋体"/>
          <w:b/>
          <w:bCs/>
          <w:color w:val="auto"/>
          <w:kern w:val="0"/>
          <w:sz w:val="24"/>
          <w:highlight w:val="none"/>
          <w:lang w:eastAsia="zh-CN"/>
        </w:rPr>
        <w:t>项目设有招标风险控制价，</w:t>
      </w:r>
      <w:r>
        <w:rPr>
          <w:rFonts w:hint="eastAsia" w:ascii="宋体" w:hAnsi="宋体" w:eastAsia="宋体" w:cs="宋体"/>
          <w:b/>
          <w:bCs/>
          <w:color w:val="auto"/>
          <w:kern w:val="0"/>
          <w:sz w:val="24"/>
          <w:highlight w:val="none"/>
          <w:lang w:val="zh-CN" w:eastAsia="zh-CN"/>
        </w:rPr>
        <w:t>设定投标人的投标报价低于满足招标文件全部实质性要求的所有投标人平均报价的</w:t>
      </w:r>
      <w:r>
        <w:rPr>
          <w:rFonts w:hint="eastAsia" w:ascii="宋体" w:hAnsi="宋体" w:eastAsia="宋体" w:cs="宋体"/>
          <w:b/>
          <w:bCs/>
          <w:color w:val="auto"/>
          <w:kern w:val="0"/>
          <w:sz w:val="24"/>
          <w:highlight w:val="none"/>
          <w:lang w:val="en-US" w:eastAsia="zh-CN"/>
        </w:rPr>
        <w:t>70</w:t>
      </w:r>
      <w:r>
        <w:rPr>
          <w:rFonts w:hint="eastAsia" w:ascii="宋体" w:hAnsi="宋体" w:eastAsia="宋体" w:cs="宋体"/>
          <w:b/>
          <w:bCs/>
          <w:color w:val="auto"/>
          <w:kern w:val="0"/>
          <w:sz w:val="24"/>
          <w:highlight w:val="none"/>
          <w:lang w:val="zh-CN" w:eastAsia="zh-CN"/>
        </w:rPr>
        <w:t>%作否决投标处理</w:t>
      </w:r>
      <w:r>
        <w:rPr>
          <w:rFonts w:hint="eastAsia" w:ascii="宋体" w:hAnsi="宋体" w:eastAsia="宋体" w:cs="宋体"/>
          <w:b/>
          <w:bCs/>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7"/>
        <w:snapToGrid w:val="0"/>
        <w:spacing w:line="360" w:lineRule="auto"/>
        <w:rPr>
          <w:rFonts w:cs="宋体"/>
          <w:color w:val="auto"/>
          <w:highlight w:val="none"/>
        </w:rPr>
      </w:pPr>
      <w:r>
        <w:rPr>
          <w:rFonts w:hint="eastAsia" w:cs="宋体"/>
          <w:color w:val="auto"/>
          <w:highlight w:val="none"/>
        </w:rPr>
        <w:t>5.4因重大变故，采购任务取消的。</w:t>
      </w:r>
    </w:p>
    <w:p>
      <w:pPr>
        <w:pStyle w:val="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7.2已确定中标供应商但尚未签订政府采购合同的，中标结果无效，从合格的中标候选人中另行确定中标供应商；没有合格的中标候选人的，重新开展采购活动。</w:t>
      </w:r>
    </w:p>
    <w:p>
      <w:pPr>
        <w:pStyle w:val="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outlineLvl w:val="0"/>
        <w:rPr>
          <w:rFonts w:hint="eastAsia" w:ascii="宋体" w:hAnsi="宋体" w:eastAsia="宋体" w:cs="宋体"/>
          <w:b/>
          <w:color w:val="auto"/>
          <w:sz w:val="36"/>
          <w:szCs w:val="36"/>
          <w:highlight w:val="none"/>
        </w:rPr>
      </w:pPr>
    </w:p>
    <w:p>
      <w:pPr>
        <w:rPr>
          <w:rFonts w:hint="eastAsia" w:ascii="宋体" w:hAnsi="宋体" w:eastAsia="宋体" w:cs="宋体"/>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pStyle w:val="50"/>
        <w:rPr>
          <w:rFonts w:hint="eastAsia"/>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3"/>
        <w:adjustRightInd w:val="0"/>
        <w:snapToGrid w:val="0"/>
        <w:spacing w:before="0" w:after="0" w:line="360" w:lineRule="auto"/>
        <w:jc w:val="center"/>
        <w:rPr>
          <w:rFonts w:hint="eastAsia" w:ascii="宋体" w:hAnsi="宋体" w:eastAsia="宋体" w:cs="宋体"/>
          <w:bCs w:val="0"/>
          <w:color w:val="auto"/>
          <w:sz w:val="32"/>
          <w:highlight w:val="none"/>
        </w:rPr>
      </w:pPr>
      <w:r>
        <w:rPr>
          <w:rStyle w:val="358"/>
          <w:rFonts w:hint="eastAsia" w:ascii="宋体" w:hAnsi="宋体" w:cs="宋体"/>
          <w:b/>
          <w:color w:val="auto"/>
          <w:sz w:val="36"/>
          <w:szCs w:val="36"/>
          <w:highlight w:val="none"/>
        </w:rPr>
        <w:t>合同范本及格式</w:t>
      </w:r>
    </w:p>
    <w:p>
      <w:pPr>
        <w:pStyle w:val="37"/>
        <w:snapToGrid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（本合同为合同样稿，最终稿由三方协商后确定）</w:t>
      </w:r>
    </w:p>
    <w:p>
      <w:pPr>
        <w:pStyle w:val="37"/>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合同编号：    </w:t>
      </w:r>
    </w:p>
    <w:p>
      <w:pPr>
        <w:spacing w:after="156"/>
        <w:jc w:val="left"/>
        <w:rPr>
          <w:rFonts w:hint="eastAsia" w:ascii="宋体" w:hAnsi="宋体" w:eastAsia="宋体" w:cs="宋体"/>
          <w:color w:val="auto"/>
          <w:sz w:val="24"/>
          <w:highlight w:val="none"/>
        </w:rPr>
      </w:pPr>
    </w:p>
    <w:p>
      <w:pPr>
        <w:pStyle w:val="37"/>
        <w:snapToGrid w:val="0"/>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甲方（使用方）：</w:t>
      </w:r>
    </w:p>
    <w:p>
      <w:pPr>
        <w:pStyle w:val="37"/>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乙方（供应商）:</w:t>
      </w:r>
    </w:p>
    <w:p>
      <w:pPr>
        <w:pStyle w:val="37"/>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见证方（代理机构）：</w:t>
      </w:r>
    </w:p>
    <w:p>
      <w:pPr>
        <w:pStyle w:val="37"/>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（采购方式），确定乙方为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（项目全称）的</w:t>
      </w:r>
      <w:r>
        <w:rPr>
          <w:rFonts w:hint="eastAsia" w:hAnsi="宋体" w:cs="宋体"/>
          <w:color w:val="auto"/>
          <w:sz w:val="24"/>
          <w:szCs w:val="24"/>
          <w:highlight w:val="none"/>
          <w:lang w:eastAsia="zh-CN"/>
        </w:rPr>
        <w:t>中标单位</w:t>
      </w:r>
      <w:r>
        <w:rPr>
          <w:rFonts w:hint="eastAsia" w:ascii="宋体" w:hAnsi="宋体" w:eastAsia="宋体" w:cs="宋体"/>
          <w:color w:val="auto"/>
          <w:sz w:val="24"/>
          <w:szCs w:val="24"/>
          <w:highlight w:val="none"/>
        </w:rPr>
        <w:t>。为明确双方的权利和义务，经甲乙双方协商达成合同如下：</w:t>
      </w:r>
    </w:p>
    <w:p>
      <w:pPr>
        <w:pStyle w:val="37"/>
        <w:snapToGrid w:val="0"/>
        <w:spacing w:line="440" w:lineRule="exact"/>
        <w:ind w:firstLine="241" w:firstLineChars="100"/>
        <w:rPr>
          <w:rFonts w:hint="eastAsia" w:hAnsi="宋体" w:cs="宋体"/>
          <w:color w:val="auto"/>
          <w:sz w:val="24"/>
          <w:szCs w:val="24"/>
          <w:highlight w:val="none"/>
        </w:rPr>
      </w:pPr>
      <w:r>
        <w:rPr>
          <w:rFonts w:hint="eastAsia" w:hAnsi="宋体" w:cs="宋体"/>
          <w:b/>
          <w:color w:val="auto"/>
          <w:sz w:val="24"/>
          <w:szCs w:val="24"/>
          <w:highlight w:val="none"/>
        </w:rPr>
        <w:t>第一条：货物内容、数量、价款</w:t>
      </w:r>
    </w:p>
    <w:tbl>
      <w:tblPr>
        <w:tblStyle w:val="76"/>
        <w:tblW w:w="9628" w:type="dxa"/>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6"/>
        <w:gridCol w:w="1284"/>
        <w:gridCol w:w="776"/>
        <w:gridCol w:w="2694"/>
        <w:gridCol w:w="940"/>
        <w:gridCol w:w="940"/>
        <w:gridCol w:w="1284"/>
        <w:gridCol w:w="128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426"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8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776"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269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规格型号（或配置）及主要技术参数</w:t>
            </w:r>
          </w:p>
        </w:tc>
        <w:tc>
          <w:tcPr>
            <w:tcW w:w="940"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40"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8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中标单价</w:t>
            </w:r>
          </w:p>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128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中标总价</w:t>
            </w:r>
          </w:p>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84"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962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left="27"/>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rPr>
              <w:t>合同价：人民币（大写）</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元）</w:t>
            </w:r>
          </w:p>
        </w:tc>
      </w:tr>
    </w:tbl>
    <w:p>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w:t>
      </w:r>
      <w:r>
        <w:rPr>
          <w:rFonts w:hint="eastAsia" w:ascii="宋体" w:hAnsi="宋体" w:cs="宋体"/>
          <w:color w:val="auto"/>
          <w:kern w:val="0"/>
          <w:sz w:val="18"/>
          <w:szCs w:val="18"/>
          <w:highlight w:val="none"/>
          <w:lang w:val="en-US" w:eastAsia="zh-CN"/>
        </w:rPr>
        <w:t>1、本项目为交钥匙工程。</w:t>
      </w:r>
      <w:r>
        <w:rPr>
          <w:rFonts w:hint="eastAsia" w:ascii="宋体" w:hAnsi="宋体" w:cs="宋体"/>
          <w:color w:val="auto"/>
          <w:kern w:val="0"/>
          <w:sz w:val="18"/>
          <w:szCs w:val="18"/>
          <w:highlight w:val="none"/>
        </w:rPr>
        <w:t>以上总金额包括系统设计开发、产品生产供货、运输装卸、安装调试、产品保护、备品备件、税金、培训、保险、验收、售后服务及辅助工作等完成本项目的所有费用。</w:t>
      </w:r>
    </w:p>
    <w:p>
      <w:pPr>
        <w:widowControl/>
        <w:spacing w:line="240" w:lineRule="auto"/>
        <w:ind w:firstLine="360" w:firstLineChars="20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供货时提供产品合格证、原厂质保证明等相关资料。</w:t>
      </w:r>
    </w:p>
    <w:p>
      <w:pPr>
        <w:widowControl/>
        <w:spacing w:line="360" w:lineRule="auto"/>
        <w:jc w:val="left"/>
        <w:rPr>
          <w:rFonts w:hint="eastAsia" w:ascii="宋体" w:hAnsi="宋体" w:cs="宋体"/>
          <w:b/>
          <w:color w:val="auto"/>
          <w:kern w:val="0"/>
          <w:sz w:val="24"/>
          <w:highlight w:val="none"/>
        </w:rPr>
      </w:pPr>
    </w:p>
    <w:p>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第二条：质量要求</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.必须符合招标文件(包括补充更正，如有)的技术要求和配置；必须是国内相应制造厂商生产并提供的原装合格产品；必须是2024年7月1日以后生产的、符合国家质量技术标准的设备。</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售后服务按国家市场监督管理总局和国家其他有关规定执行，国家没有规定的按厂商规定执行。国家规定标准低于厂商标准的按厂商标准执行。</w:t>
      </w:r>
    </w:p>
    <w:p>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第三条：合同履行时间、地点</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1.安装完成时间：合同签订生效之日起，必须在2025年6月30日前按</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要求完成交货、安装调试完成，无质量问题并通过最终验收后交付</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使用。如在规定的时间内由于</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的原因不能送达货物并安装调试完成通过验收的，</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应承担由此给</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造成的损失。</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2.安装地点：由</w:t>
      </w:r>
      <w:r>
        <w:rPr>
          <w:rFonts w:hint="eastAsia" w:ascii="宋体" w:hAnsi="宋体" w:cs="宋体"/>
          <w:bCs/>
          <w:color w:val="auto"/>
          <w:sz w:val="24"/>
          <w:szCs w:val="24"/>
          <w:highlight w:val="none"/>
          <w:lang w:eastAsia="zh-CN"/>
        </w:rPr>
        <w:t>甲方及使用单位</w:t>
      </w:r>
      <w:r>
        <w:rPr>
          <w:rFonts w:hint="eastAsia" w:ascii="宋体" w:hAnsi="宋体" w:cs="宋体"/>
          <w:bCs/>
          <w:color w:val="auto"/>
          <w:sz w:val="24"/>
          <w:szCs w:val="24"/>
          <w:highlight w:val="none"/>
        </w:rPr>
        <w:t>指定。</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3.安装标准：符合我国国家有关技术规范要求和技术标准，所有的设备必须保证安装到位。</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免费提供中标设备</w:t>
      </w:r>
      <w:r>
        <w:rPr>
          <w:rFonts w:hint="eastAsia" w:ascii="宋体" w:hAnsi="宋体" w:cs="宋体"/>
          <w:bCs/>
          <w:color w:val="auto"/>
          <w:sz w:val="24"/>
          <w:szCs w:val="24"/>
          <w:highlight w:val="none"/>
          <w:lang w:eastAsia="zh-CN"/>
        </w:rPr>
        <w:t>（或系统）</w:t>
      </w:r>
      <w:r>
        <w:rPr>
          <w:rFonts w:hint="eastAsia" w:ascii="宋体" w:hAnsi="宋体" w:cs="宋体"/>
          <w:bCs/>
          <w:color w:val="auto"/>
          <w:sz w:val="24"/>
          <w:szCs w:val="24"/>
          <w:highlight w:val="none"/>
        </w:rPr>
        <w:t>的安装</w:t>
      </w:r>
      <w:r>
        <w:rPr>
          <w:rFonts w:hint="eastAsia" w:ascii="宋体" w:hAnsi="宋体" w:cs="宋体"/>
          <w:bCs/>
          <w:color w:val="auto"/>
          <w:sz w:val="24"/>
          <w:szCs w:val="24"/>
          <w:highlight w:val="none"/>
          <w:lang w:eastAsia="zh-CN"/>
        </w:rPr>
        <w:t>调试</w:t>
      </w:r>
      <w:r>
        <w:rPr>
          <w:rFonts w:hint="eastAsia" w:ascii="宋体" w:hAnsi="宋体" w:cs="宋体"/>
          <w:bCs/>
          <w:color w:val="auto"/>
          <w:sz w:val="24"/>
          <w:szCs w:val="24"/>
          <w:highlight w:val="none"/>
        </w:rPr>
        <w:t>服务。</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凡合同所列机型停产或市场断货，乙方可在不改变品牌、机型、档次、基本功能等前提下，提供相应配置高于原配置的商品。</w:t>
      </w:r>
    </w:p>
    <w:p>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 第四条：验收</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乙方应提供设备（或系统）的有效检验材料，经甲方认可后，与合同的技术指标一起作为验收标准。甲方对设备（或系统）验收合格后，出具验收报告并在《建德市政府采购物品验收反馈表》上签署意见并加盖单位公章。验收中发现设备（或系统）达不到验收标准或合同规定的技术指标，乙方必须更换，并负担由此给甲方造成的损失，直到验收合格为止。</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投标人应于投标书中提供设备（或系统）的验收标准和检测办法，并在验收中提供甲方认可的相应检测手段，验收标准应符合中国有关的国家、地方、行业的标准，如若中标，经甲方确认后作为验收的依据。</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验收费用由乙方承担。</w:t>
      </w:r>
    </w:p>
    <w:p>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w:t>
      </w:r>
      <w:r>
        <w:rPr>
          <w:rFonts w:hint="eastAsia" w:ascii="宋体" w:hAnsi="宋体" w:cs="宋体"/>
          <w:b/>
          <w:color w:val="auto"/>
          <w:kern w:val="0"/>
          <w:sz w:val="24"/>
          <w:highlight w:val="none"/>
          <w:lang w:eastAsia="zh-CN"/>
        </w:rPr>
        <w:t>项目款</w:t>
      </w:r>
      <w:r>
        <w:rPr>
          <w:rFonts w:hint="eastAsia" w:ascii="宋体" w:hAnsi="宋体" w:cs="宋体"/>
          <w:b/>
          <w:color w:val="auto"/>
          <w:kern w:val="0"/>
          <w:sz w:val="24"/>
          <w:highlight w:val="none"/>
        </w:rPr>
        <w:t>支付</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甲方根据合同、投标文件等资料进行验收。</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本采购项目的项目款分期支付。</w:t>
      </w:r>
    </w:p>
    <w:p>
      <w:pPr>
        <w:spacing w:line="360" w:lineRule="auto"/>
        <w:ind w:firstLine="460" w:firstLineChars="192"/>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合同签订后，甲方向乙方支付合同价的</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0%预付款（乙方需提供相应金额的预付款保函至甲方），设备（或系统）到场安装调试完毕进行初验，初验合格、设备（或系统）试运行</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lang w:eastAsia="zh-CN"/>
        </w:rPr>
        <w:t>日历天后无质量、服务问题，由乙方向甲方递交使用报告，进行终验，终验合格后，经</w:t>
      </w:r>
      <w:r>
        <w:rPr>
          <w:rFonts w:hint="eastAsia" w:ascii="宋体" w:hAnsi="宋体" w:cs="宋体"/>
          <w:bCs/>
          <w:color w:val="auto"/>
          <w:sz w:val="24"/>
          <w:szCs w:val="24"/>
          <w:highlight w:val="none"/>
          <w:lang w:val="en-US" w:eastAsia="zh-CN"/>
        </w:rPr>
        <w:t>结算审计结束后，由甲方向乙方支付余款（余款=结算审定价-已付款金额）。</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color w:val="auto"/>
          <w:sz w:val="24"/>
          <w:highlight w:val="none"/>
        </w:rPr>
        <w:t>支付项目款时，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将结款申请1份、增值税专用发票1份、合同复印件1份、设备（</w:t>
      </w:r>
      <w:r>
        <w:rPr>
          <w:rFonts w:hint="eastAsia" w:ascii="宋体" w:hAnsi="宋体" w:cs="宋体"/>
          <w:color w:val="auto"/>
          <w:sz w:val="24"/>
          <w:highlight w:val="none"/>
          <w:lang w:eastAsia="zh-CN"/>
        </w:rPr>
        <w:t>或</w:t>
      </w:r>
      <w:r>
        <w:rPr>
          <w:rFonts w:hint="eastAsia" w:ascii="宋体" w:hAnsi="宋体" w:cs="宋体"/>
          <w:color w:val="auto"/>
          <w:sz w:val="24"/>
          <w:highlight w:val="none"/>
        </w:rPr>
        <w:t>系统）清单和经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验收确认的《验收反馈表》和验收报告提交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支付结算项目款。</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第六条：履约保证金</w:t>
      </w:r>
    </w:p>
    <w:p>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在合同签订后由乙方按合同总金额的1%作为履约保证金缴纳至甲方指定账户（可采用银行、保险公司出具保函形式提交）。经验收合格后，无质量、服务问题由甲方无息退还。因乙方的服务、质量原因造成甲方损失的，甲方有权要求乙方以其履约保证金作出补偿</w:t>
      </w:r>
      <w:r>
        <w:rPr>
          <w:rFonts w:hint="eastAsia" w:ascii="宋体" w:hAnsi="宋体" w:cs="宋体"/>
          <w:color w:val="auto"/>
          <w:kern w:val="0"/>
          <w:sz w:val="24"/>
          <w:highlight w:val="none"/>
        </w:rPr>
        <w:t>。</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第七条：售后服务</w:t>
      </w:r>
    </w:p>
    <w:p>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本项目提供</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cs="宋体"/>
          <w:color w:val="auto"/>
          <w:kern w:val="0"/>
          <w:sz w:val="24"/>
          <w:highlight w:val="none"/>
        </w:rPr>
        <w:t>。</w:t>
      </w:r>
    </w:p>
    <w:p>
      <w:pPr>
        <w:adjustRightInd w:val="0"/>
        <w:snapToGrid w:val="0"/>
        <w:spacing w:line="360" w:lineRule="auto"/>
        <w:ind w:firstLine="424" w:firstLineChars="177"/>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在设备（或系统）整个使用期内，供应商应确保正常使用，在接到用户维修要求后在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小时内响应并提出解决方案，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小时内到达现场对故障进行处理，维修过程中所需材料供应商在接到通知后应及时提供，最长不超过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小时必须送达。若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小时内无法修复的，应及时提供相应备用设备并负责安装调试，为此，供应商应提供相应承诺书</w:t>
      </w:r>
      <w:r>
        <w:rPr>
          <w:rFonts w:hint="eastAsia" w:ascii="宋体" w:hAnsi="宋体" w:cs="宋体"/>
          <w:color w:val="auto"/>
          <w:kern w:val="0"/>
          <w:sz w:val="24"/>
          <w:highlight w:val="none"/>
          <w:lang w:val="en-US" w:eastAsia="zh-CN"/>
        </w:rPr>
        <w:t>。</w:t>
      </w:r>
    </w:p>
    <w:p>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在质保期内，乙方应负责对其提供的设备进行现场维修、损坏件更换，不收取额外费用，响应时间必须满足甲方工作正常运行的要求</w:t>
      </w:r>
      <w:r>
        <w:rPr>
          <w:rFonts w:hint="eastAsia" w:ascii="宋体" w:hAnsi="宋体" w:cs="宋体"/>
          <w:color w:val="auto"/>
          <w:kern w:val="0"/>
          <w:sz w:val="24"/>
          <w:highlight w:val="none"/>
          <w:lang w:val="en-US" w:eastAsia="zh-CN"/>
        </w:rPr>
        <w:t>。</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第八条：</w:t>
      </w:r>
      <w:r>
        <w:rPr>
          <w:rFonts w:hint="eastAsia" w:ascii="宋体" w:hAnsi="宋体" w:cs="宋体"/>
          <w:color w:val="auto"/>
          <w:kern w:val="0"/>
          <w:sz w:val="24"/>
          <w:highlight w:val="none"/>
        </w:rPr>
        <w:t>乙方承担合同标的供货、安装调试及交付前的一切费用(包括不可预见费用)和市场风险。</w:t>
      </w:r>
    </w:p>
    <w:p>
      <w:pPr>
        <w:widowControl/>
        <w:spacing w:line="360" w:lineRule="auto"/>
        <w:ind w:firstLine="241" w:firstLineChars="1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第九条：其他约定</w:t>
      </w:r>
    </w:p>
    <w:p>
      <w:pPr>
        <w:adjustRightInd w:val="0"/>
        <w:snapToGrid w:val="0"/>
        <w:spacing w:line="360" w:lineRule="auto"/>
        <w:ind w:firstLine="424" w:firstLineChars="177"/>
        <w:rPr>
          <w:rFonts w:hint="eastAsia" w:ascii="宋体" w:hAnsi="宋体" w:cs="宋体"/>
          <w:color w:val="auto"/>
          <w:kern w:val="0"/>
          <w:sz w:val="24"/>
          <w:szCs w:val="22"/>
          <w:highlight w:val="none"/>
          <w:u w:val="single"/>
        </w:rPr>
      </w:pPr>
      <w:r>
        <w:rPr>
          <w:rFonts w:hint="eastAsia" w:ascii="宋体" w:hAnsi="宋体" w:cs="宋体"/>
          <w:color w:val="auto"/>
          <w:kern w:val="0"/>
          <w:sz w:val="24"/>
          <w:szCs w:val="22"/>
          <w:highlight w:val="none"/>
          <w:u w:val="single"/>
        </w:rPr>
        <w:t>1.根据招标文件要求和投标文件响应内容提供设备及服务。</w:t>
      </w:r>
    </w:p>
    <w:p>
      <w:pPr>
        <w:adjustRightInd w:val="0"/>
        <w:snapToGrid w:val="0"/>
        <w:spacing w:line="360" w:lineRule="auto"/>
        <w:ind w:firstLine="424" w:firstLineChars="177"/>
        <w:rPr>
          <w:rFonts w:hint="eastAsia" w:ascii="宋体" w:hAnsi="宋体" w:cs="宋体"/>
          <w:color w:val="auto"/>
          <w:kern w:val="0"/>
          <w:sz w:val="24"/>
          <w:szCs w:val="22"/>
          <w:highlight w:val="none"/>
          <w:u w:val="single"/>
        </w:rPr>
      </w:pPr>
      <w:r>
        <w:rPr>
          <w:rFonts w:hint="eastAsia" w:ascii="宋体" w:hAnsi="宋体" w:cs="宋体"/>
          <w:color w:val="auto"/>
          <w:kern w:val="0"/>
          <w:sz w:val="24"/>
          <w:szCs w:val="22"/>
          <w:highlight w:val="none"/>
          <w:u w:val="single"/>
        </w:rPr>
        <w:t xml:space="preserve">2.                                   </w:t>
      </w:r>
      <w:r>
        <w:rPr>
          <w:rFonts w:hint="eastAsia" w:ascii="宋体" w:hAnsi="宋体" w:cs="宋体"/>
          <w:color w:val="auto"/>
          <w:kern w:val="0"/>
          <w:sz w:val="24"/>
          <w:szCs w:val="22"/>
          <w:highlight w:val="none"/>
          <w:u w:val="single"/>
          <w:lang w:val="en-US" w:eastAsia="zh-CN"/>
        </w:rPr>
        <w:t xml:space="preserve">               </w:t>
      </w:r>
    </w:p>
    <w:p>
      <w:pPr>
        <w:widowControl/>
        <w:spacing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第十条：违约责任</w:t>
      </w:r>
    </w:p>
    <w:p>
      <w:pPr>
        <w:widowControl/>
        <w:spacing w:line="360" w:lineRule="auto"/>
        <w:ind w:firstLine="5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相关部门按照政府采购的有关规定对乙方进行处理。</w:t>
      </w:r>
    </w:p>
    <w:p>
      <w:pPr>
        <w:widowControl/>
        <w:spacing w:line="360" w:lineRule="auto"/>
        <w:ind w:firstLine="480" w:firstLineChars="20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乙方按合同要求将货物送达甲方后，经验收通过后，甲方超出付款期支付货款的，每逾一天，甲方应向乙方支付合同货物金额的千分之三的滞纳金。若遇特殊情况甲方要求推迟供货或验收的，必须事先征得乙方的同意，否则应承担由此给乙方造成的损失。</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第十一条：争议的解决</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1.因质量问题发生争议的，由甲方委托有关技术部门进行质量鉴定，该鉴定的结论甲乙双方应当接受，各方均有权直接向对方索赔，并签订书面处理协议书，报见证方备案。</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2.双方无法通过协商解决合同争议的，任何一方有权向建德市人民法院提出诉讼。</w:t>
      </w:r>
    </w:p>
    <w:p>
      <w:pPr>
        <w:widowControl/>
        <w:spacing w:line="360" w:lineRule="auto"/>
        <w:ind w:firstLine="241" w:firstLineChars="1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第十二条：不可抗力</w:t>
      </w:r>
    </w:p>
    <w:p>
      <w:pPr>
        <w:widowControl/>
        <w:spacing w:line="360" w:lineRule="auto"/>
        <w:ind w:firstLine="480" w:firstLineChars="20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pPr>
        <w:widowControl/>
        <w:spacing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第十三条：合同的生效</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1.本合同一式</w:t>
      </w:r>
      <w:r>
        <w:rPr>
          <w:rFonts w:hint="eastAsia" w:ascii="宋体" w:hAnsi="宋体" w:cs="宋体"/>
          <w:color w:val="auto"/>
          <w:kern w:val="0"/>
          <w:sz w:val="24"/>
          <w:szCs w:val="22"/>
          <w:highlight w:val="none"/>
          <w:lang w:val="en-US" w:eastAsia="zh-CN"/>
        </w:rPr>
        <w:t>拾</w:t>
      </w:r>
      <w:r>
        <w:rPr>
          <w:rFonts w:hint="eastAsia" w:ascii="宋体" w:hAnsi="宋体" w:cs="宋体"/>
          <w:color w:val="auto"/>
          <w:kern w:val="0"/>
          <w:sz w:val="24"/>
          <w:szCs w:val="22"/>
          <w:highlight w:val="none"/>
        </w:rPr>
        <w:t>份，甲</w:t>
      </w:r>
      <w:r>
        <w:rPr>
          <w:rFonts w:hint="eastAsia" w:ascii="宋体" w:hAnsi="宋体" w:cs="宋体"/>
          <w:color w:val="auto"/>
          <w:kern w:val="0"/>
          <w:sz w:val="24"/>
          <w:szCs w:val="22"/>
          <w:highlight w:val="none"/>
          <w:lang w:eastAsia="zh-CN"/>
        </w:rPr>
        <w:t>方</w:t>
      </w:r>
      <w:r>
        <w:rPr>
          <w:rFonts w:hint="eastAsia" w:ascii="宋体" w:hAnsi="宋体" w:cs="宋体"/>
          <w:color w:val="auto"/>
          <w:kern w:val="0"/>
          <w:sz w:val="24"/>
          <w:szCs w:val="22"/>
          <w:highlight w:val="none"/>
          <w:lang w:val="en-US" w:eastAsia="zh-CN"/>
        </w:rPr>
        <w:t>六</w:t>
      </w:r>
      <w:r>
        <w:rPr>
          <w:rFonts w:hint="eastAsia" w:ascii="宋体" w:hAnsi="宋体" w:cs="宋体"/>
          <w:color w:val="auto"/>
          <w:kern w:val="0"/>
          <w:sz w:val="24"/>
          <w:szCs w:val="22"/>
          <w:highlight w:val="none"/>
          <w:lang w:eastAsia="zh-CN"/>
        </w:rPr>
        <w:t>份，</w:t>
      </w:r>
      <w:r>
        <w:rPr>
          <w:rFonts w:hint="eastAsia" w:ascii="宋体" w:hAnsi="宋体" w:cs="宋体"/>
          <w:color w:val="auto"/>
          <w:kern w:val="0"/>
          <w:sz w:val="24"/>
          <w:szCs w:val="22"/>
          <w:highlight w:val="none"/>
        </w:rPr>
        <w:t>乙方二份，见证单位一份，监管部门一份。</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2.本合同经甲乙双方法定代表人或委托代理人签字并加盖公章经见证方见证后生效。</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3.本合同未尽事宜，经双方商议可续签补充协议。该补充协议与本合同具有相同法律效力，但该补充协议的内容不能实质性修改招标文件的主要条款。</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4.本合同未涉及的部分以招标文件（项目编号：</w:t>
      </w:r>
      <w:r>
        <w:rPr>
          <w:rFonts w:hint="eastAsia" w:ascii="宋体" w:hAnsi="宋体" w:cs="宋体"/>
          <w:color w:val="auto"/>
          <w:kern w:val="0"/>
          <w:sz w:val="24"/>
          <w:szCs w:val="22"/>
          <w:highlight w:val="none"/>
          <w:u w:val="single"/>
          <w:lang w:val="en-US" w:eastAsia="zh-CN"/>
        </w:rPr>
        <w:t xml:space="preserve">         </w:t>
      </w:r>
      <w:r>
        <w:rPr>
          <w:rFonts w:hint="eastAsia" w:ascii="宋体" w:hAnsi="宋体" w:cs="宋体"/>
          <w:color w:val="auto"/>
          <w:kern w:val="0"/>
          <w:sz w:val="24"/>
          <w:szCs w:val="22"/>
          <w:highlight w:val="none"/>
        </w:rPr>
        <w:t>）(包括补充更正，如有)为准，上述招标文件与乙方针对本项目投标文件及记录是本合同的附件，与本合同具有同等法律效力，但附件与主合同的规定不一致时，以主合同为准。</w:t>
      </w:r>
    </w:p>
    <w:p>
      <w:pPr>
        <w:pStyle w:val="37"/>
        <w:snapToGrid w:val="0"/>
        <w:spacing w:line="440" w:lineRule="exact"/>
        <w:rPr>
          <w:rFonts w:hint="eastAsia" w:hAnsi="宋体" w:cs="宋体"/>
          <w:b/>
          <w:color w:val="auto"/>
          <w:sz w:val="24"/>
          <w:szCs w:val="24"/>
          <w:highlight w:val="none"/>
        </w:rPr>
      </w:pPr>
    </w:p>
    <w:p>
      <w:pPr>
        <w:pStyle w:val="38"/>
        <w:rPr>
          <w:rFonts w:hint="eastAsia" w:hAnsi="宋体" w:cs="宋体"/>
          <w:b/>
          <w:color w:val="auto"/>
          <w:highlight w:val="none"/>
        </w:rPr>
      </w:pPr>
    </w:p>
    <w:p>
      <w:pPr>
        <w:pStyle w:val="37"/>
        <w:snapToGrid w:val="0"/>
        <w:spacing w:line="440" w:lineRule="exact"/>
        <w:rPr>
          <w:rFonts w:hint="eastAsia" w:hAnsi="宋体" w:cs="宋体"/>
          <w:b/>
          <w:color w:val="auto"/>
          <w:sz w:val="24"/>
          <w:szCs w:val="24"/>
          <w:highlight w:val="none"/>
        </w:rPr>
      </w:pPr>
    </w:p>
    <w:p>
      <w:pPr>
        <w:pStyle w:val="37"/>
        <w:snapToGrid w:val="0"/>
        <w:spacing w:line="440" w:lineRule="exact"/>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8"/>
        <w:rPr>
          <w:rFonts w:hint="eastAsia" w:hAnsi="宋体" w:cs="宋体"/>
          <w:b/>
          <w:color w:val="auto"/>
          <w:sz w:val="24"/>
          <w:szCs w:val="24"/>
          <w:highlight w:val="none"/>
        </w:rPr>
      </w:pPr>
    </w:p>
    <w:p>
      <w:pPr>
        <w:pStyle w:val="37"/>
        <w:snapToGrid w:val="0"/>
        <w:spacing w:line="440" w:lineRule="exact"/>
        <w:rPr>
          <w:rFonts w:hint="eastAsia" w:hAnsi="宋体" w:cs="宋体"/>
          <w:b/>
          <w:color w:val="auto"/>
          <w:sz w:val="24"/>
          <w:szCs w:val="24"/>
          <w:highlight w:val="none"/>
        </w:rPr>
      </w:pPr>
    </w:p>
    <w:p>
      <w:pPr>
        <w:pStyle w:val="37"/>
        <w:snapToGrid w:val="0"/>
        <w:spacing w:line="440" w:lineRule="exact"/>
        <w:ind w:firstLine="241" w:firstLineChars="100"/>
        <w:rPr>
          <w:rFonts w:hint="eastAsia" w:hAnsi="宋体" w:cs="宋体"/>
          <w:b/>
          <w:color w:val="auto"/>
          <w:sz w:val="24"/>
          <w:szCs w:val="24"/>
          <w:highlight w:val="none"/>
        </w:rPr>
      </w:pPr>
      <w:r>
        <w:rPr>
          <w:rFonts w:hint="eastAsia" w:hAnsi="宋体" w:cs="宋体"/>
          <w:b/>
          <w:color w:val="auto"/>
          <w:sz w:val="24"/>
          <w:szCs w:val="24"/>
          <w:highlight w:val="none"/>
        </w:rPr>
        <w:t>甲方（盖章）：                               乙方（盖章）：</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法定代表人或受委托人                         法定代表人或受委托人</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（签字）                                     （签字）</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地址：                                       地址：</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邮编：                                       邮编：</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电话：                                       电话：</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传真：                                       传真：</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签约时间：     年   月   日</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签约地点：</w:t>
      </w:r>
    </w:p>
    <w:p>
      <w:pPr>
        <w:pStyle w:val="37"/>
        <w:snapToGrid w:val="0"/>
        <w:spacing w:line="440" w:lineRule="exact"/>
        <w:ind w:left="180" w:hanging="180" w:hangingChars="75"/>
        <w:rPr>
          <w:rFonts w:hint="eastAsia" w:hAnsi="宋体" w:cs="宋体"/>
          <w:color w:val="auto"/>
          <w:sz w:val="24"/>
          <w:szCs w:val="24"/>
          <w:highlight w:val="none"/>
        </w:rPr>
      </w:pP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见证单位：（盖章）</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法定代表人或委托代理人（签字或盖章）:</w:t>
      </w:r>
    </w:p>
    <w:p>
      <w:pPr>
        <w:pStyle w:val="37"/>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时间：    年   月   日</w:t>
      </w:r>
    </w:p>
    <w:p>
      <w:pPr>
        <w:pStyle w:val="37"/>
        <w:rPr>
          <w:color w:val="auto"/>
          <w:highlight w:val="none"/>
        </w:rPr>
      </w:pPr>
    </w:p>
    <w:p>
      <w:pPr>
        <w:spacing w:line="480" w:lineRule="auto"/>
        <w:jc w:val="both"/>
        <w:rPr>
          <w:rFonts w:hint="eastAsia" w:ascii="宋体" w:hAnsi="宋体" w:eastAsia="宋体" w:cs="宋体"/>
          <w:b/>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1446" w:firstLineChars="400"/>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
      <w:r>
        <w:rPr>
          <w:rFonts w:hint="eastAsia" w:ascii="宋体" w:hAnsi="宋体" w:eastAsia="宋体" w:cs="宋体"/>
          <w:b/>
          <w:color w:val="auto"/>
          <w:sz w:val="36"/>
          <w:szCs w:val="20"/>
          <w:highlight w:val="none"/>
        </w:rPr>
        <w:t xml:space="preserve"> </w:t>
      </w:r>
      <w:bookmarkEnd w:id="39"/>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建德市寿昌林场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firstLine="480" w:firstLineChars="200"/>
        <w:rPr>
          <w:rFonts w:hint="eastAsia" w:ascii="宋体" w:hAnsi="宋体" w:eastAsia="宋体" w:cs="宋体"/>
          <w:color w:val="auto"/>
          <w:sz w:val="24"/>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、本项目的特定资格要求</w:t>
      </w:r>
    </w:p>
    <w:p>
      <w:pPr>
        <w:widowControl/>
        <w:spacing w:line="360" w:lineRule="auto"/>
        <w:ind w:firstLine="482" w:firstLineChars="200"/>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建德市寿昌林场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建德市寿昌林场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3"/>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建德市寿昌林场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5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3"/>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bookmarkStart w:id="40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7"/>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7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76"/>
        <w:tblW w:w="8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02"/>
        <w:gridCol w:w="1059"/>
        <w:gridCol w:w="1198"/>
        <w:gridCol w:w="264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05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7"/>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304"/>
        <w:gridCol w:w="31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04"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182"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45"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04" w:type="dxa"/>
          </w:tcPr>
          <w:p>
            <w:pPr>
              <w:jc w:val="center"/>
              <w:rPr>
                <w:rFonts w:hint="eastAsia" w:ascii="宋体" w:hAnsi="宋体" w:eastAsia="宋体" w:cs="宋体"/>
                <w:b/>
                <w:color w:val="auto"/>
                <w:kern w:val="0"/>
                <w:sz w:val="32"/>
                <w:szCs w:val="32"/>
                <w:highlight w:val="none"/>
              </w:rPr>
            </w:pPr>
          </w:p>
        </w:tc>
        <w:tc>
          <w:tcPr>
            <w:tcW w:w="3182" w:type="dxa"/>
          </w:tcPr>
          <w:p>
            <w:pPr>
              <w:jc w:val="center"/>
              <w:rPr>
                <w:rFonts w:hint="eastAsia" w:ascii="宋体" w:hAnsi="宋体" w:eastAsia="宋体" w:cs="宋体"/>
                <w:b/>
                <w:color w:val="auto"/>
                <w:kern w:val="0"/>
                <w:sz w:val="32"/>
                <w:szCs w:val="32"/>
                <w:highlight w:val="none"/>
              </w:rPr>
            </w:pPr>
          </w:p>
        </w:tc>
        <w:tc>
          <w:tcPr>
            <w:tcW w:w="1145"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04" w:type="dxa"/>
          </w:tcPr>
          <w:p>
            <w:pPr>
              <w:jc w:val="center"/>
              <w:rPr>
                <w:rFonts w:hint="eastAsia" w:ascii="宋体" w:hAnsi="宋体" w:eastAsia="宋体" w:cs="宋体"/>
                <w:b/>
                <w:color w:val="auto"/>
                <w:kern w:val="0"/>
                <w:sz w:val="32"/>
                <w:szCs w:val="32"/>
                <w:highlight w:val="none"/>
              </w:rPr>
            </w:pPr>
          </w:p>
        </w:tc>
        <w:tc>
          <w:tcPr>
            <w:tcW w:w="3182" w:type="dxa"/>
          </w:tcPr>
          <w:p>
            <w:pPr>
              <w:jc w:val="center"/>
              <w:rPr>
                <w:rFonts w:hint="eastAsia" w:ascii="宋体" w:hAnsi="宋体" w:eastAsia="宋体" w:cs="宋体"/>
                <w:b/>
                <w:color w:val="auto"/>
                <w:kern w:val="0"/>
                <w:sz w:val="32"/>
                <w:szCs w:val="32"/>
                <w:highlight w:val="none"/>
              </w:rPr>
            </w:pPr>
          </w:p>
        </w:tc>
        <w:tc>
          <w:tcPr>
            <w:tcW w:w="1145"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04" w:type="dxa"/>
          </w:tcPr>
          <w:p>
            <w:pPr>
              <w:jc w:val="center"/>
              <w:rPr>
                <w:rFonts w:hint="eastAsia" w:ascii="宋体" w:hAnsi="宋体" w:eastAsia="宋体" w:cs="宋体"/>
                <w:b/>
                <w:color w:val="auto"/>
                <w:kern w:val="0"/>
                <w:sz w:val="32"/>
                <w:szCs w:val="32"/>
                <w:highlight w:val="none"/>
              </w:rPr>
            </w:pPr>
          </w:p>
        </w:tc>
        <w:tc>
          <w:tcPr>
            <w:tcW w:w="3182" w:type="dxa"/>
          </w:tcPr>
          <w:p>
            <w:pPr>
              <w:jc w:val="center"/>
              <w:rPr>
                <w:rFonts w:hint="eastAsia" w:ascii="宋体" w:hAnsi="宋体" w:eastAsia="宋体" w:cs="宋体"/>
                <w:b/>
                <w:color w:val="auto"/>
                <w:kern w:val="0"/>
                <w:sz w:val="32"/>
                <w:szCs w:val="32"/>
                <w:highlight w:val="none"/>
              </w:rPr>
            </w:pPr>
          </w:p>
        </w:tc>
        <w:tc>
          <w:tcPr>
            <w:tcW w:w="1145"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val="zh-CN"/>
        </w:rPr>
        <w:t>采购</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建德市寿昌林场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6" w:type="first"/>
          <w:footerReference r:id="rId8" w:type="first"/>
          <w:headerReference r:id="rId5" w:type="default"/>
          <w:footerReference r:id="rId7"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4"/>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pPr>
        <w:snapToGrid w:val="0"/>
        <w:spacing w:line="360" w:lineRule="auto"/>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建德市寿昌林场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76"/>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1903"/>
        <w:gridCol w:w="1180"/>
        <w:gridCol w:w="698"/>
        <w:gridCol w:w="698"/>
        <w:gridCol w:w="69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0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18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1903"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9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4479"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3997"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4479"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3997"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pStyle w:val="83"/>
        <w:rPr>
          <w:rFonts w:hint="eastAsia" w:ascii="宋体" w:hAnsi="宋体" w:eastAsia="宋体" w:cs="宋体"/>
          <w:b/>
          <w:color w:val="auto"/>
          <w:spacing w:val="6"/>
          <w:sz w:val="32"/>
          <w:szCs w:val="32"/>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建德市寿昌林场</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bookmarkStart w:id="408"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8"/>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建德市林业总场寿昌林场现代化林场能力提升项目-生态智慧林场建设项目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eastAsia="宋体" w:cs="宋体"/>
          <w:color w:val="auto"/>
          <w:kern w:val="0"/>
          <w:sz w:val="24"/>
          <w:highlight w:val="none"/>
          <w:lang w:val="zh-CN"/>
        </w:rPr>
        <w:t>、分包工作履行期限、地点、方式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三</w:t>
      </w:r>
      <w:r>
        <w:rPr>
          <w:rFonts w:hint="eastAsia" w:ascii="宋体" w:hAnsi="宋体" w:eastAsia="宋体" w:cs="宋体"/>
          <w:color w:val="auto"/>
          <w:kern w:val="0"/>
          <w:sz w:val="24"/>
          <w:highlight w:val="none"/>
          <w:lang w:val="zh-CN"/>
        </w:rPr>
        <w:t>、质量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六</w:t>
      </w:r>
      <w:r>
        <w:rPr>
          <w:rFonts w:hint="eastAsia" w:ascii="宋体" w:hAnsi="宋体" w:eastAsia="宋体" w:cs="宋体"/>
          <w:color w:val="auto"/>
          <w:kern w:val="0"/>
          <w:sz w:val="24"/>
          <w:highlight w:val="none"/>
          <w:lang w:val="zh-CN"/>
        </w:rPr>
        <w:t>、争议解决的办法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both"/>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Vijaya"/>
    <w:panose1 w:val="020B0604020202020204"/>
    <w:charset w:val="00"/>
    <w:family w:val="auto"/>
    <w:pitch w:val="default"/>
    <w:sig w:usb0="00000000" w:usb1="00000000" w:usb2="00000000" w:usb3="00000000" w:csb0="6000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ohit Devanagari">
    <w:altName w:val="Vijay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Vijay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AmdtSymbols">
    <w:altName w:val="NumberOnly"/>
    <w:panose1 w:val="02000500000000020004"/>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3000509000000000000"/>
    <w:charset w:val="00"/>
    <w:family w:val="script"/>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MS PGothic">
    <w:panose1 w:val="020B0600070205080204"/>
    <w:charset w:val="80"/>
    <w:family w:val="swiss"/>
    <w:pitch w:val="default"/>
    <w:sig w:usb0="E00002FF" w:usb1="6AC7FDFB" w:usb2="00000012" w:usb3="00000000" w:csb0="4002009F" w:csb1="DFD70000"/>
  </w:font>
  <w:font w:name="Kingsoft Sign">
    <w:altName w:val="Segoe Print"/>
    <w:panose1 w:val="05050102010706020507"/>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Hiragino Sans">
    <w:altName w:val="MS UI Gothic"/>
    <w:panose1 w:val="020B0300000000000000"/>
    <w:charset w:val="80"/>
    <w:family w:val="auto"/>
    <w:pitch w:val="default"/>
    <w:sig w:usb0="00000000" w:usb1="00000000" w:usb2="00000012" w:usb3="00000000" w:csb0="0002000D" w:csb1="00000000"/>
  </w:font>
  <w:font w:name="???|CS?o｡ﾀ?">
    <w:altName w:val="Segoe Print"/>
    <w:panose1 w:val="00000000000000000000"/>
    <w:charset w:val="00"/>
    <w:family w:val="modern"/>
    <w:pitch w:val="default"/>
    <w:sig w:usb0="00000000" w:usb1="00000000" w:usb2="00000010" w:usb3="00000000" w:csb0="00020000" w:csb1="00000000"/>
  </w:font>
  <w:font w:name="长城仿宋">
    <w:altName w:val="仿宋"/>
    <w:panose1 w:val="00000000000000000000"/>
    <w:charset w:val="00"/>
    <w:family w:val="modern"/>
    <w:pitch w:val="default"/>
    <w:sig w:usb0="00000000" w:usb1="00000000" w:usb2="0000001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Baskerville">
    <w:altName w:val="PMingLiU-ExtB"/>
    <w:panose1 w:val="02020502070401020303"/>
    <w:charset w:val="00"/>
    <w:family w:val="roman"/>
    <w:pitch w:val="default"/>
    <w:sig w:usb0="00000000" w:usb1="00000000" w:usb2="00000000" w:usb3="00000000" w:csb0="2000019F" w:csb1="00000000"/>
  </w:font>
  <w:font w:name="Times">
    <w:altName w:val="Times New Roman"/>
    <w:panose1 w:val="00000500000000020000"/>
    <w:charset w:val="00"/>
    <w:family w:val="roman"/>
    <w:pitch w:val="default"/>
    <w:sig w:usb0="00000000" w:usb1="00000000" w:usb2="00000000" w:usb3="00000000" w:csb0="2000019F" w:csb1="4F010000"/>
  </w:font>
  <w:font w:name="等线">
    <w:altName w:val="SJQY"/>
    <w:panose1 w:val="02010600030101010101"/>
    <w:charset w:val="00"/>
    <w:family w:val="roman"/>
    <w:pitch w:val="default"/>
    <w:sig w:usb0="00000000" w:usb1="00000000" w:usb2="00000016" w:usb3="00000000" w:csb0="0004000F" w:csb1="00000000"/>
  </w:font>
  <w:font w:name="ƨ">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汉仪楷体简">
    <w:altName w:val="宋体"/>
    <w:panose1 w:val="02010600000101010101"/>
    <w:charset w:val="86"/>
    <w:family w:val="auto"/>
    <w:pitch w:val="default"/>
    <w:sig w:usb0="00000000" w:usb1="00000000" w:usb2="00000002"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Kingsoft Math">
    <w:altName w:val="Cambria Math"/>
    <w:panose1 w:val="02040503050406030204"/>
    <w:charset w:val="00"/>
    <w:family w:val="auto"/>
    <w:pitch w:val="default"/>
    <w:sig w:usb0="00000000" w:usb1="00000000" w:usb2="00000000" w:usb3="00000000" w:csb0="2000019F" w:csb1="00000000"/>
  </w:font>
  <w:font w:name="隶书">
    <w:altName w:val="微软雅黑"/>
    <w:panose1 w:val="02010509060101010101"/>
    <w:charset w:val="00"/>
    <w:family w:val="modern"/>
    <w:pitch w:val="default"/>
    <w:sig w:usb0="00000000" w:usb1="00000000" w:usb2="0000001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JQY">
    <w:panose1 w:val="02010600030101010101"/>
    <w:charset w:val="86"/>
    <w:family w:val="auto"/>
    <w:pitch w:val="default"/>
    <w:sig w:usb0="00000003" w:usb1="080E0000" w:usb2="00000000" w:usb3="00000000" w:csb0="00040001" w:csb1="00000000"/>
  </w:font>
  <w:font w:name="Century">
    <w:altName w:val="Nyala"/>
    <w:panose1 w:val="02040604050505020304"/>
    <w:charset w:val="00"/>
    <w:family w:val="auto"/>
    <w:pitch w:val="default"/>
    <w:sig w:usb0="00000000" w:usb1="00000000" w:usb2="00000000" w:usb3="00000000" w:csb0="2000009F" w:csb1="DFD7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Latha">
    <w:panose1 w:val="020B0604020202020204"/>
    <w:charset w:val="00"/>
    <w:family w:val="roman"/>
    <w:pitch w:val="default"/>
    <w:sig w:usb0="0010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Segoe UI Symbol">
    <w:panose1 w:val="020B0502040204020203"/>
    <w:charset w:val="00"/>
    <w:family w:val="auto"/>
    <w:pitch w:val="default"/>
    <w:sig w:usb0="8000006F" w:usb1="1200FBEF" w:usb2="0064C000" w:usb3="00000002" w:csb0="00000001" w:csb1="4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FZXH1JW--GB1-0">
    <w:altName w:val="微软雅黑"/>
    <w:panose1 w:val="00000000000000000000"/>
    <w:charset w:val="86"/>
    <w:family w:val="auto"/>
    <w:pitch w:val="default"/>
    <w:sig w:usb0="00000000" w:usb1="00000000" w:usb2="00000010" w:usb3="00000000" w:csb0="00040000" w:csb1="00000000"/>
  </w:font>
  <w:font w:name="宋体..璂..">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DejaVu Math TeX Gyre">
    <w:altName w:val="NumberOnly"/>
    <w:panose1 w:val="02000503000000000000"/>
    <w:charset w:val="00"/>
    <w:family w:val="auto"/>
    <w:pitch w:val="default"/>
    <w:sig w:usb0="00000000" w:usb1="00000000" w:usb2="02000000" w:usb3="00000000" w:csb0="60000193" w:csb1="0DD40000"/>
  </w:font>
  <w:font w:name="Calibri Light">
    <w:panose1 w:val="020F0302020204030204"/>
    <w:charset w:val="00"/>
    <w:family w:val="swiss"/>
    <w:pitch w:val="default"/>
    <w:sig w:usb0="A00002EF" w:usb1="4000207B" w:usb2="00000000"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FuturaA Bk BT">
    <w:altName w:val="Segoe Print"/>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Garamond">
    <w:altName w:val="PMingLiU-ExtB"/>
    <w:panose1 w:val="02020404030301010803"/>
    <w:charset w:val="00"/>
    <w:family w:val="roman"/>
    <w:pitch w:val="default"/>
    <w:sig w:usb0="00000000"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Microsoft JhengHei">
    <w:panose1 w:val="020B0604030504040204"/>
    <w:charset w:val="88"/>
    <w:family w:val="auto"/>
    <w:pitch w:val="default"/>
    <w:sig w:usb0="00000087" w:usb1="28AF4000" w:usb2="00000016" w:usb3="00000000" w:csb0="00100009" w:csb1="00000000"/>
  </w:font>
  <w:font w:name="..ì.">
    <w:altName w:val="宋体"/>
    <w:panose1 w:val="00000000000000000000"/>
    <w:charset w:val="86"/>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长城仿宋">
    <w:altName w:val="黑体"/>
    <w:panose1 w:val="00000000000000000000"/>
    <w:charset w:val="86"/>
    <w:family w:val="modern"/>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Lucida Console">
    <w:panose1 w:val="020B0609040504020204"/>
    <w:charset w:val="00"/>
    <w:family w:val="auto"/>
    <w:pitch w:val="default"/>
    <w:sig w:usb0="8000028F" w:usb1="00001800" w:usb2="00000000" w:usb3="00000000" w:csb0="0000001F" w:csb1="D7D70000"/>
  </w:font>
  <w:font w:name="汉仪书宋二简">
    <w:altName w:val="宋体"/>
    <w:panose1 w:val="02010600000101010101"/>
    <w:charset w:val="86"/>
    <w:family w:val="auto"/>
    <w:pitch w:val="default"/>
    <w:sig w:usb0="00000000" w:usb1="00000000" w:usb2="00000002" w:usb3="00000000" w:csb0="00040000" w:csb1="00000000"/>
  </w:font>
  <w:font w:name="MT Extra">
    <w:panose1 w:val="05050102010205020202"/>
    <w:charset w:val="00"/>
    <w:family w:val="auto"/>
    <w:pitch w:val="default"/>
    <w:sig w:usb0="80000000" w:usb1="00000000" w:usb2="00000000" w:usb3="00000000" w:csb0="00000000" w:csb1="00000000"/>
  </w:font>
  <w:font w:name="仿宋_GB2312;仿宋">
    <w:altName w:val="仿宋"/>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Wingdings-Regular">
    <w:altName w:val="Courier New"/>
    <w:panose1 w:val="00000000000000000000"/>
    <w:charset w:val="02"/>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9" w:usb3="00000000" w:csb0="000001FF" w:csb1="00000000"/>
  </w:font>
  <w:font w:name="Segoe UI Semibold">
    <w:panose1 w:val="020B0702040204020203"/>
    <w:charset w:val="00"/>
    <w:family w:val="auto"/>
    <w:pitch w:val="default"/>
    <w:sig w:usb0="E00002FF" w:usb1="4000A47B"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mnRiwAQAARAMAAA4AAABkcnMvZTJvRG9jLnhtbK1SzY7TMBC+I/EO&#10;lu80aVlB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F/W7t5Q4bnFLp+/fTj9+nX5+Ja/zhPoQGyy8C7cwRRHdLHdQYPMXhZCh&#10;TPV4nqocEhH4uFyv1usahy8wNweIUz3/HiCmG+ktyQ6jgGsr0+SHjzGNpXNJ7mZcts5fa2PGbH6p&#10;Ms2RWPbSsBsmtjvfHlElnimCdx6+UNLjyhl1eJOUmA8OJ5qvY3Zgdnazw53AHxkdecXw/jFh+8It&#10;Nxs7TBxwVUXddFb5Fn6PS9Xz8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7Jp0YsAEA&#10;AEQDAAAOAAAAAAAAAAEAIAAAAB8BAABkcnMvZTJvRG9jLnhtbFBLBQYAAAAABgAGAFkBAABBBQAA&#10;AAA=&#10;">
              <v:fill on="f" focussize="0,0"/>
              <v:stroke on="f"/>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K2bLOuvAQAA&#10;RAMAAA4AAAAAAAAAAQAgAAAAHwEAAGRycy9lMm9Eb2MueG1sUEsFBgAAAAAGAAYAWQEAAEAFAAAA&#10;AA==&#10;">
              <v:fill on="f" focussize="0,0"/>
              <v:stroke on="f"/>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69"/>
      </w:rPr>
    </w:pPr>
    <w:r>
      <w:fldChar w:fldCharType="begin"/>
    </w:r>
    <w:r>
      <w:rPr>
        <w:rStyle w:val="69"/>
      </w:rPr>
      <w:instrText xml:space="preserve">PAGE  </w:instrText>
    </w:r>
    <w:r>
      <w:fldChar w:fldCharType="end"/>
    </w:r>
  </w:p>
  <w:p>
    <w:pPr>
      <w:pStyle w:val="4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91899912"/>
    <w:bookmarkStart w:id="410" w:name="_Toc131845147"/>
    <w:bookmarkStart w:id="411" w:name="_Toc36110187"/>
    <w:bookmarkStart w:id="412" w:name="_Toc164085800"/>
    <w:r>
      <w:rPr>
        <w:rFonts w:hint="eastAsia" w:ascii="仿宋_GB2312" w:eastAsia="仿宋_GB2312"/>
        <w:kern w:val="0"/>
        <w:szCs w:val="21"/>
      </w:rPr>
      <w:t xml:space="preserve"> 页</w:t>
    </w:r>
    <w:bookmarkEnd w:id="409"/>
    <w:bookmarkEnd w:id="410"/>
    <w:bookmarkEnd w:id="411"/>
    <w:bookmarkEnd w:id="41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59CF8E31"/>
    <w:multiLevelType w:val="singleLevel"/>
    <w:tmpl w:val="59CF8E31"/>
    <w:lvl w:ilvl="0" w:tentative="0">
      <w:start w:val="9"/>
      <w:numFmt w:val="decimal"/>
      <w:lvlText w:val="%1."/>
      <w:lvlJc w:val="left"/>
      <w:pPr>
        <w:tabs>
          <w:tab w:val="left" w:pos="312"/>
        </w:tabs>
      </w:pPr>
    </w:lvl>
  </w:abstractNum>
  <w:abstractNum w:abstractNumId="2">
    <w:nsid w:val="67C5B1EB"/>
    <w:multiLevelType w:val="singleLevel"/>
    <w:tmpl w:val="67C5B1EB"/>
    <w:lvl w:ilvl="0" w:tentative="0">
      <w:start w:val="1"/>
      <w:numFmt w:val="decimal"/>
      <w:suff w:val="nothing"/>
      <w:lvlText w:val="%1、"/>
      <w:lvlJc w:val="left"/>
    </w:lvl>
  </w:abstractNum>
  <w:abstractNum w:abstractNumId="3">
    <w:nsid w:val="67C69C38"/>
    <w:multiLevelType w:val="singleLevel"/>
    <w:tmpl w:val="67C69C38"/>
    <w:lvl w:ilvl="0" w:tentative="0">
      <w:start w:val="2"/>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854FA0"/>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83652C"/>
    <w:rsid w:val="07952E86"/>
    <w:rsid w:val="07B6268B"/>
    <w:rsid w:val="0806137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0064A5"/>
    <w:rsid w:val="0A0D0002"/>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22007"/>
    <w:rsid w:val="0CFE707A"/>
    <w:rsid w:val="0D063BDA"/>
    <w:rsid w:val="0D08375F"/>
    <w:rsid w:val="0D184CFB"/>
    <w:rsid w:val="0D4A7419"/>
    <w:rsid w:val="0D556D8D"/>
    <w:rsid w:val="0D5C24F8"/>
    <w:rsid w:val="0D6C7EC0"/>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1380"/>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35162B"/>
    <w:rsid w:val="1644684C"/>
    <w:rsid w:val="16535D4D"/>
    <w:rsid w:val="16646293"/>
    <w:rsid w:val="166565F0"/>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D2057"/>
    <w:rsid w:val="1CE51334"/>
    <w:rsid w:val="1CEC2B3E"/>
    <w:rsid w:val="1CF279B4"/>
    <w:rsid w:val="1CFF214E"/>
    <w:rsid w:val="1D0139E2"/>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CF6B18"/>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EA6F69"/>
    <w:rsid w:val="25F74A5C"/>
    <w:rsid w:val="25FA3833"/>
    <w:rsid w:val="26152DFC"/>
    <w:rsid w:val="2628662C"/>
    <w:rsid w:val="262D45DE"/>
    <w:rsid w:val="26443D59"/>
    <w:rsid w:val="264F2AD0"/>
    <w:rsid w:val="2653592E"/>
    <w:rsid w:val="26840205"/>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D41FD"/>
    <w:rsid w:val="27907362"/>
    <w:rsid w:val="27AA40BC"/>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B26DE1"/>
    <w:rsid w:val="2ADB626D"/>
    <w:rsid w:val="2AEA324F"/>
    <w:rsid w:val="2AEF78BB"/>
    <w:rsid w:val="2B0674C1"/>
    <w:rsid w:val="2B1971F4"/>
    <w:rsid w:val="2B437463"/>
    <w:rsid w:val="2B512E32"/>
    <w:rsid w:val="2B703976"/>
    <w:rsid w:val="2B725225"/>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8C0571"/>
    <w:rsid w:val="2CBC739B"/>
    <w:rsid w:val="2CD258AD"/>
    <w:rsid w:val="2CE82D6F"/>
    <w:rsid w:val="2D1A3236"/>
    <w:rsid w:val="2D2F71A3"/>
    <w:rsid w:val="2D343236"/>
    <w:rsid w:val="2D375814"/>
    <w:rsid w:val="2D52151C"/>
    <w:rsid w:val="2D575011"/>
    <w:rsid w:val="2D7B1018"/>
    <w:rsid w:val="2D7C0EAC"/>
    <w:rsid w:val="2D872B3B"/>
    <w:rsid w:val="2DA27975"/>
    <w:rsid w:val="2DAF5F38"/>
    <w:rsid w:val="2DD15014"/>
    <w:rsid w:val="2DD24266"/>
    <w:rsid w:val="2DD7176A"/>
    <w:rsid w:val="2DE73B8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378F3"/>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5D54F0C"/>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5F2FFB"/>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6B3438"/>
    <w:rsid w:val="3A744481"/>
    <w:rsid w:val="3A8C5CE4"/>
    <w:rsid w:val="3A8C7BEF"/>
    <w:rsid w:val="3A906246"/>
    <w:rsid w:val="3AA27206"/>
    <w:rsid w:val="3AB44F63"/>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B790E"/>
    <w:rsid w:val="4360274F"/>
    <w:rsid w:val="43657023"/>
    <w:rsid w:val="436A53CA"/>
    <w:rsid w:val="43977AB6"/>
    <w:rsid w:val="43A3342B"/>
    <w:rsid w:val="43BB30E7"/>
    <w:rsid w:val="43BE56FA"/>
    <w:rsid w:val="43C77C27"/>
    <w:rsid w:val="43D639BD"/>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DEE6E26"/>
    <w:rsid w:val="4DF461E9"/>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337B0"/>
    <w:rsid w:val="555D4828"/>
    <w:rsid w:val="557A0749"/>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00B7A"/>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DFB7BE"/>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73164F"/>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47ED3"/>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646DC"/>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6236F6"/>
    <w:rsid w:val="67780F59"/>
    <w:rsid w:val="67990E3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5B28FA"/>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295812"/>
    <w:rsid w:val="6B3D3BD5"/>
    <w:rsid w:val="6B3D3FDE"/>
    <w:rsid w:val="6B573233"/>
    <w:rsid w:val="6B5B46E4"/>
    <w:rsid w:val="6B5B6274"/>
    <w:rsid w:val="6B635123"/>
    <w:rsid w:val="6B935D53"/>
    <w:rsid w:val="6BA0301F"/>
    <w:rsid w:val="6BA73DCD"/>
    <w:rsid w:val="6BBE4C73"/>
    <w:rsid w:val="6BCD06D0"/>
    <w:rsid w:val="6BFD579B"/>
    <w:rsid w:val="6C08629F"/>
    <w:rsid w:val="6C196F71"/>
    <w:rsid w:val="6C1B3E73"/>
    <w:rsid w:val="6C226FCB"/>
    <w:rsid w:val="6C2A5301"/>
    <w:rsid w:val="6C31226F"/>
    <w:rsid w:val="6C452A9D"/>
    <w:rsid w:val="6C552F0B"/>
    <w:rsid w:val="6C74077D"/>
    <w:rsid w:val="6C8C67B7"/>
    <w:rsid w:val="6C9C3206"/>
    <w:rsid w:val="6C9D744C"/>
    <w:rsid w:val="6CA34196"/>
    <w:rsid w:val="6CBD10F1"/>
    <w:rsid w:val="6CD231EE"/>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2DC4"/>
    <w:rsid w:val="6DCE3AA5"/>
    <w:rsid w:val="6DD41A5B"/>
    <w:rsid w:val="6DF43C2E"/>
    <w:rsid w:val="6DF51CA3"/>
    <w:rsid w:val="6E020BA6"/>
    <w:rsid w:val="6E174662"/>
    <w:rsid w:val="6E335A77"/>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2729C5"/>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3F80"/>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07FCF"/>
    <w:rsid w:val="7AAB1D04"/>
    <w:rsid w:val="7ABA4368"/>
    <w:rsid w:val="7AD038B6"/>
    <w:rsid w:val="7AD05746"/>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492D38"/>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715AF2"/>
    <w:rsid w:val="7F886E69"/>
    <w:rsid w:val="7F97027D"/>
    <w:rsid w:val="7FAF435C"/>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link w:val="66"/>
    <w:unhideWhenUsed/>
    <w:qFormat/>
    <w:uiPriority w:val="1"/>
    <w:rPr>
      <w:rFonts w:ascii="仿宋_GB2312" w:eastAsia="仿宋_GB2312"/>
      <w:b/>
      <w:sz w:val="32"/>
      <w:szCs w:val="32"/>
    </w:rPr>
  </w:style>
  <w:style w:type="table" w:default="1" w:styleId="76">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99"/>
    <w:pPr>
      <w:ind w:firstLine="480" w:firstLineChars="200"/>
    </w:pPr>
    <w:rPr>
      <w:rFonts w:ascii="Calibri" w:hAnsi="Calibri" w:eastAsia="仿宋_GB2312"/>
      <w:kern w:val="0"/>
      <w:sz w:val="24"/>
      <w:szCs w:val="32"/>
    </w:rPr>
  </w:style>
  <w:style w:type="paragraph" w:styleId="6">
    <w:name w:val="Normal Indent"/>
    <w:basedOn w:val="1"/>
    <w:next w:val="7"/>
    <w:link w:val="19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8"/>
    <w:qFormat/>
    <w:uiPriority w:val="0"/>
    <w:pPr>
      <w:spacing w:line="480" w:lineRule="exact"/>
      <w:ind w:firstLine="480" w:firstLineChars="200"/>
    </w:pPr>
    <w:rPr>
      <w:rFonts w:ascii="宋体" w:hAnsi="宋体"/>
      <w:sz w:val="24"/>
    </w:rPr>
  </w:style>
  <w:style w:type="paragraph" w:styleId="14">
    <w:name w:val="annotation subject"/>
    <w:basedOn w:val="15"/>
    <w:next w:val="15"/>
    <w:link w:val="100"/>
    <w:qFormat/>
    <w:uiPriority w:val="0"/>
    <w:rPr>
      <w:b/>
      <w:bCs/>
    </w:rPr>
  </w:style>
  <w:style w:type="paragraph" w:styleId="15">
    <w:name w:val="annotation text"/>
    <w:basedOn w:val="1"/>
    <w:link w:val="347"/>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next w:val="20"/>
    <w:link w:val="324"/>
    <w:qFormat/>
    <w:uiPriority w:val="0"/>
    <w:pPr>
      <w:ind w:firstLine="420"/>
    </w:pPr>
    <w:rPr>
      <w:rFonts w:hAnsi="Calibri" w:cs="Times New Roman"/>
      <w:snapToGrid/>
      <w:szCs w:val="20"/>
    </w:rPr>
  </w:style>
  <w:style w:type="paragraph" w:styleId="18">
    <w:name w:val="Body Text"/>
    <w:basedOn w:val="1"/>
    <w:next w:val="19"/>
    <w:link w:val="433"/>
    <w:qFormat/>
    <w:uiPriority w:val="0"/>
    <w:pPr>
      <w:autoSpaceDE w:val="0"/>
      <w:autoSpaceDN w:val="0"/>
      <w:spacing w:line="360" w:lineRule="auto"/>
    </w:pPr>
    <w:rPr>
      <w:rFonts w:ascii="宋体" w:hAnsi="Arial" w:cs="Arial"/>
      <w:snapToGrid w:val="0"/>
      <w:sz w:val="24"/>
      <w:szCs w:val="21"/>
      <w:lang w:val="zh-CN"/>
    </w:rPr>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3">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4">
    <w:name w:val="caption"/>
    <w:basedOn w:val="1"/>
    <w:next w:val="1"/>
    <w:link w:val="233"/>
    <w:qFormat/>
    <w:uiPriority w:val="0"/>
    <w:rPr>
      <w:b/>
      <w:sz w:val="28"/>
      <w:szCs w:val="20"/>
    </w:rPr>
  </w:style>
  <w:style w:type="paragraph" w:styleId="25">
    <w:name w:val="index 5"/>
    <w:basedOn w:val="1"/>
    <w:next w:val="1"/>
    <w:qFormat/>
    <w:uiPriority w:val="0"/>
    <w:pPr>
      <w:adjustRightInd/>
      <w:ind w:left="800" w:leftChars="800" w:firstLine="200" w:firstLineChars="200"/>
    </w:pPr>
  </w:style>
  <w:style w:type="paragraph" w:styleId="26">
    <w:name w:val="Document Map"/>
    <w:basedOn w:val="1"/>
    <w:link w:val="206"/>
    <w:qFormat/>
    <w:uiPriority w:val="0"/>
    <w:pPr>
      <w:shd w:val="clear" w:color="auto" w:fill="000080"/>
    </w:pPr>
  </w:style>
  <w:style w:type="paragraph" w:styleId="27">
    <w:name w:val="Salutation"/>
    <w:basedOn w:val="1"/>
    <w:next w:val="1"/>
    <w:link w:val="301"/>
    <w:qFormat/>
    <w:uiPriority w:val="0"/>
    <w:rPr>
      <w:rFonts w:ascii="仿宋_GB2312" w:eastAsia="仿宋_GB2312"/>
      <w:sz w:val="28"/>
      <w:szCs w:val="20"/>
    </w:rPr>
  </w:style>
  <w:style w:type="paragraph" w:styleId="28">
    <w:name w:val="Body Text 3"/>
    <w:basedOn w:val="1"/>
    <w:link w:val="333"/>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129"/>
    <w:qFormat/>
    <w:uiPriority w:val="0"/>
    <w:rPr>
      <w:rFonts w:ascii="宋体" w:hAnsi="Courier New" w:cs="Arial"/>
      <w:snapToGrid w:val="0"/>
      <w:szCs w:val="21"/>
    </w:rPr>
  </w:style>
  <w:style w:type="paragraph" w:customStyle="1" w:styleId="38">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5"/>
    <w:qFormat/>
    <w:uiPriority w:val="0"/>
    <w:pPr>
      <w:ind w:left="100" w:leftChars="2500"/>
    </w:pPr>
    <w:rPr>
      <w:rFonts w:ascii="宋体"/>
      <w:sz w:val="24"/>
      <w:szCs w:val="21"/>
      <w:lang w:val="zh-CN"/>
    </w:rPr>
  </w:style>
  <w:style w:type="paragraph" w:styleId="42">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3">
    <w:name w:val="endnote text"/>
    <w:basedOn w:val="1"/>
    <w:link w:val="933"/>
    <w:qFormat/>
    <w:uiPriority w:val="0"/>
    <w:rPr>
      <w:lang w:val="zh-CN"/>
    </w:rPr>
  </w:style>
  <w:style w:type="paragraph" w:styleId="44">
    <w:name w:val="Balloon Text"/>
    <w:basedOn w:val="1"/>
    <w:link w:val="192"/>
    <w:qFormat/>
    <w:uiPriority w:val="0"/>
    <w:rPr>
      <w:sz w:val="18"/>
      <w:szCs w:val="18"/>
    </w:rPr>
  </w:style>
  <w:style w:type="paragraph" w:styleId="45">
    <w:name w:val="footer"/>
    <w:basedOn w:val="1"/>
    <w:link w:val="386"/>
    <w:qFormat/>
    <w:uiPriority w:val="99"/>
    <w:pPr>
      <w:tabs>
        <w:tab w:val="center" w:pos="4153"/>
        <w:tab w:val="right" w:pos="8306"/>
      </w:tabs>
      <w:snapToGrid w:val="0"/>
      <w:jc w:val="left"/>
    </w:pPr>
    <w:rPr>
      <w:sz w:val="18"/>
      <w:szCs w:val="18"/>
    </w:rPr>
  </w:style>
  <w:style w:type="paragraph" w:styleId="46">
    <w:name w:val="envelope return"/>
    <w:basedOn w:val="1"/>
    <w:qFormat/>
    <w:uiPriority w:val="0"/>
    <w:pPr>
      <w:widowControl w:val="0"/>
      <w:snapToGrid w:val="0"/>
      <w:jc w:val="both"/>
    </w:pPr>
    <w:rPr>
      <w:rFonts w:hint="eastAsia" w:ascii="Arial" w:hAnsi="Arial" w:eastAsia="宋体" w:cs="Arial"/>
      <w:kern w:val="2"/>
      <w:sz w:val="21"/>
      <w:lang w:val="en-US" w:eastAsia="zh-CN" w:bidi="ar-SA"/>
    </w:rPr>
  </w:style>
  <w:style w:type="paragraph" w:styleId="47">
    <w:name w:val="Body Text First Indent 2"/>
    <w:basedOn w:val="7"/>
    <w:next w:val="1"/>
    <w:link w:val="125"/>
    <w:qFormat/>
    <w:uiPriority w:val="0"/>
    <w:pPr>
      <w:adjustRightInd/>
      <w:spacing w:after="120" w:line="240" w:lineRule="auto"/>
      <w:ind w:left="420" w:leftChars="200" w:firstLine="210"/>
    </w:pPr>
    <w:rPr>
      <w:sz w:val="21"/>
    </w:rPr>
  </w:style>
  <w:style w:type="paragraph" w:styleId="48">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customStyle="1" w:styleId="66">
    <w:name w:val="_Style 10"/>
    <w:basedOn w:val="1"/>
    <w:next w:val="1"/>
    <w:link w:val="65"/>
    <w:qFormat/>
    <w:uiPriority w:val="0"/>
    <w:rPr>
      <w:rFonts w:ascii="仿宋_GB2312" w:eastAsia="仿宋_GB2312"/>
      <w:b/>
      <w:sz w:val="32"/>
      <w:szCs w:val="32"/>
    </w:rPr>
  </w:style>
  <w:style w:type="character" w:styleId="67">
    <w:name w:val="Strong"/>
    <w:qFormat/>
    <w:uiPriority w:val="22"/>
    <w:rPr>
      <w:b/>
      <w:bCs/>
    </w:rPr>
  </w:style>
  <w:style w:type="character" w:styleId="68">
    <w:name w:val="endnote reference"/>
    <w:qFormat/>
    <w:uiPriority w:val="0"/>
    <w:rPr>
      <w:vertAlign w:val="superscript"/>
    </w:rPr>
  </w:style>
  <w:style w:type="character" w:styleId="69">
    <w:name w:val="page number"/>
    <w:basedOn w:val="65"/>
    <w:qFormat/>
    <w:uiPriority w:val="0"/>
    <w:rPr>
      <w:rFonts w:ascii="Arial" w:hAnsi="Arial" w:eastAsia="黑体" w:cs="Arial"/>
      <w:snapToGrid w:val="0"/>
      <w:kern w:val="0"/>
      <w:szCs w:val="21"/>
    </w:rPr>
  </w:style>
  <w:style w:type="character" w:styleId="70">
    <w:name w:val="FollowedHyperlink"/>
    <w:qFormat/>
    <w:uiPriority w:val="99"/>
    <w:rPr>
      <w:rFonts w:ascii="Arial" w:hAnsi="Arial" w:eastAsia="黑体" w:cs="Arial"/>
      <w:snapToGrid w:val="0"/>
      <w:color w:val="000000"/>
      <w:kern w:val="0"/>
      <w:sz w:val="18"/>
      <w:szCs w:val="18"/>
      <w:u w:val="none"/>
    </w:rPr>
  </w:style>
  <w:style w:type="character" w:styleId="71">
    <w:name w:val="Emphasis"/>
    <w:qFormat/>
    <w:uiPriority w:val="20"/>
    <w:rPr>
      <w:color w:val="CC0033"/>
    </w:rPr>
  </w:style>
  <w:style w:type="character" w:styleId="72">
    <w:name w:val="line number"/>
    <w:basedOn w:val="65"/>
    <w:qFormat/>
    <w:uiPriority w:val="0"/>
    <w:rPr>
      <w:rFonts w:ascii="Arial" w:hAnsi="Arial" w:eastAsia="黑体" w:cs="Arial"/>
      <w:snapToGrid w:val="0"/>
      <w:kern w:val="0"/>
      <w:szCs w:val="21"/>
    </w:rPr>
  </w:style>
  <w:style w:type="character" w:styleId="73">
    <w:name w:val="Hyperlink"/>
    <w:basedOn w:val="65"/>
    <w:qFormat/>
    <w:uiPriority w:val="99"/>
    <w:rPr>
      <w:rFonts w:ascii="Arial" w:hAnsi="Arial" w:eastAsia="黑体" w:cs="Arial"/>
      <w:snapToGrid w:val="0"/>
      <w:color w:val="000000"/>
      <w:kern w:val="0"/>
      <w:sz w:val="18"/>
      <w:szCs w:val="18"/>
      <w:u w:val="none"/>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Theme"/>
    <w:basedOn w:val="7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Elegant"/>
    <w:basedOn w:val="7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Grid 5"/>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1">
    <w:name w:val="Table Grid 8"/>
    <w:basedOn w:val="7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2">
    <w:name w:val="Table Professional"/>
    <w:basedOn w:val="7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3">
    <w:name w:val="首行缩进"/>
    <w:basedOn w:val="1"/>
    <w:next w:val="1"/>
    <w:qFormat/>
    <w:uiPriority w:val="0"/>
    <w:pPr>
      <w:spacing w:line="360" w:lineRule="auto"/>
      <w:ind w:firstLine="480" w:firstLineChars="200"/>
    </w:pPr>
    <w:rPr>
      <w:rFonts w:ascii="宋体"/>
      <w:sz w:val="24"/>
      <w:szCs w:val="20"/>
    </w:rPr>
  </w:style>
  <w:style w:type="paragraph" w:customStyle="1" w:styleId="84">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7"/>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3"/>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65"/>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1"/>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4"/>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6"/>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4"/>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38"/>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7"/>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42"/>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6"/>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7"/>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8"/>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5"/>
    <w:qFormat/>
    <w:uiPriority w:val="0"/>
    <w:rPr>
      <w:kern w:val="2"/>
      <w:sz w:val="21"/>
      <w:szCs w:val="24"/>
    </w:rPr>
  </w:style>
  <w:style w:type="character" w:customStyle="1" w:styleId="348">
    <w:name w:val="签名 Char"/>
    <w:link w:val="49"/>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65"/>
    <w:qFormat/>
    <w:uiPriority w:val="0"/>
    <w:rPr>
      <w:rFonts w:hint="eastAsia" w:ascii="宋体" w:hAnsi="宋体" w:eastAsia="宋体"/>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5"/>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8"/>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38"/>
    <w:next w:val="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38"/>
    <w:next w:val="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2"/>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18"/>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3"/>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6"/>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3"/>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70">
    <w:name w:val="Basistekst Batenburg"/>
    <w:basedOn w:val="971"/>
    <w:qFormat/>
    <w:uiPriority w:val="0"/>
  </w:style>
  <w:style w:type="paragraph" w:customStyle="1" w:styleId="971">
    <w:name w:val="Zsysbasis Batenburg"/>
    <w:next w:val="970"/>
    <w:qFormat/>
    <w:uiPriority w:val="0"/>
    <w:pPr>
      <w:spacing w:line="300" w:lineRule="atLeast"/>
    </w:pPr>
    <w:rPr>
      <w:rFonts w:ascii="Calibri" w:hAnsi="Calibri" w:eastAsia="宋体" w:cs="Times New Roman"/>
      <w:sz w:val="22"/>
      <w:szCs w:val="18"/>
      <w:lang w:val="en-US" w:eastAsia="zh-CN" w:bidi="ar-SA"/>
    </w:rPr>
  </w:style>
  <w:style w:type="paragraph" w:customStyle="1" w:styleId="972">
    <w:name w:val="BodyText1I2"/>
    <w:basedOn w:val="1"/>
    <w:qFormat/>
    <w:uiPriority w:val="0"/>
    <w:pPr>
      <w:adjustRightInd/>
      <w:spacing w:line="360" w:lineRule="auto"/>
      <w:ind w:firstLine="420"/>
      <w:jc w:val="left"/>
    </w:pPr>
    <w:rPr>
      <w:rFonts w:ascii="宋体" w:hAnsi="宋体" w:cs="宋体"/>
      <w:szCs w:val="21"/>
    </w:rPr>
  </w:style>
  <w:style w:type="paragraph" w:customStyle="1" w:styleId="973">
    <w:name w:val="msonospacing"/>
    <w:basedOn w:val="1"/>
    <w:qFormat/>
    <w:uiPriority w:val="0"/>
    <w:rPr>
      <w:szCs w:val="22"/>
    </w:rPr>
  </w:style>
  <w:style w:type="character" w:customStyle="1" w:styleId="974">
    <w:name w:val="font121"/>
    <w:basedOn w:val="65"/>
    <w:qFormat/>
    <w:uiPriority w:val="0"/>
    <w:rPr>
      <w:rFonts w:hint="eastAsia" w:ascii="宋体" w:hAnsi="宋体" w:eastAsia="宋体" w:cs="宋体"/>
      <w:color w:val="000000"/>
      <w:sz w:val="21"/>
      <w:szCs w:val="21"/>
      <w:u w:val="none"/>
    </w:rPr>
  </w:style>
  <w:style w:type="character" w:customStyle="1" w:styleId="975">
    <w:name w:val="font131"/>
    <w:basedOn w:val="65"/>
    <w:qFormat/>
    <w:uiPriority w:val="0"/>
    <w:rPr>
      <w:rFonts w:hint="eastAsia" w:ascii="宋体" w:hAnsi="宋体" w:eastAsia="宋体" w:cs="宋体"/>
      <w:color w:val="000000"/>
      <w:sz w:val="20"/>
      <w:szCs w:val="20"/>
      <w:u w:val="single"/>
    </w:rPr>
  </w:style>
  <w:style w:type="character" w:customStyle="1" w:styleId="976">
    <w:name w:val="font141"/>
    <w:basedOn w:val="65"/>
    <w:qFormat/>
    <w:uiPriority w:val="0"/>
    <w:rPr>
      <w:rFonts w:hint="eastAsia" w:ascii="宋体" w:hAnsi="宋体" w:eastAsia="宋体" w:cs="宋体"/>
      <w:i/>
      <w:iCs/>
      <w:color w:val="000000"/>
      <w:sz w:val="20"/>
      <w:szCs w:val="20"/>
      <w:u w:val="none"/>
    </w:rPr>
  </w:style>
  <w:style w:type="character" w:customStyle="1" w:styleId="977">
    <w:name w:val="font151"/>
    <w:basedOn w:val="65"/>
    <w:qFormat/>
    <w:uiPriority w:val="0"/>
    <w:rPr>
      <w:rFonts w:hint="eastAsia" w:ascii="宋体" w:hAnsi="宋体" w:eastAsia="宋体" w:cs="宋体"/>
      <w:color w:val="000000"/>
      <w:sz w:val="20"/>
      <w:szCs w:val="20"/>
      <w:u w:val="none"/>
      <w:vertAlign w:val="superscript"/>
    </w:rPr>
  </w:style>
  <w:style w:type="character" w:customStyle="1" w:styleId="978">
    <w:name w:val="font161"/>
    <w:basedOn w:val="65"/>
    <w:qFormat/>
    <w:uiPriority w:val="0"/>
    <w:rPr>
      <w:rFonts w:hint="eastAsia" w:ascii="宋体" w:hAnsi="宋体" w:eastAsia="宋体" w:cs="宋体"/>
      <w:color w:val="000000"/>
      <w:sz w:val="18"/>
      <w:szCs w:val="18"/>
      <w:u w:val="none"/>
    </w:rPr>
  </w:style>
  <w:style w:type="character" w:customStyle="1" w:styleId="979">
    <w:name w:val="font112"/>
    <w:basedOn w:val="65"/>
    <w:qFormat/>
    <w:uiPriority w:val="0"/>
    <w:rPr>
      <w:rFonts w:hint="eastAsia" w:ascii="宋体" w:hAnsi="宋体" w:eastAsia="宋体" w:cs="宋体"/>
      <w:color w:val="000000"/>
      <w:sz w:val="21"/>
      <w:szCs w:val="21"/>
      <w:u w:val="none"/>
    </w:rPr>
  </w:style>
  <w:style w:type="paragraph" w:customStyle="1" w:styleId="980">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15003</Words>
  <Characters>16575</Characters>
  <Lines>279</Lines>
  <Paragraphs>78</Paragraphs>
  <TotalTime>82</TotalTime>
  <ScaleCrop>false</ScaleCrop>
  <LinksUpToDate>false</LinksUpToDate>
  <CharactersWithSpaces>17000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2023-11-13T09:31:00Z</cp:lastPrinted>
  <dcterms:modified xsi:type="dcterms:W3CDTF">2025-03-06T07:25:10Z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8A27297DE55F44C487895BD19BD5710A_13</vt:lpwstr>
  </property>
</Properties>
</file>