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auto"/>
          <w:sz w:val="24"/>
          <w:highlight w:val="none"/>
        </w:rPr>
      </w:pPr>
    </w:p>
    <w:p>
      <w:pPr>
        <w:adjustRightInd/>
        <w:spacing w:line="360" w:lineRule="auto"/>
        <w:jc w:val="center"/>
        <w:rPr>
          <w:rFonts w:hint="eastAsia" w:ascii="宋体" w:hAnsi="宋体" w:eastAsia="宋体" w:cs="宋体"/>
          <w:b/>
          <w:color w:val="auto"/>
          <w:sz w:val="48"/>
          <w:szCs w:val="48"/>
          <w:highlight w:val="none"/>
        </w:rPr>
      </w:pPr>
    </w:p>
    <w:p>
      <w:pPr>
        <w:adjustRightInd/>
        <w:spacing w:line="360" w:lineRule="auto"/>
        <w:jc w:val="center"/>
        <w:rPr>
          <w:rFonts w:hint="eastAsia" w:ascii="宋体" w:hAnsi="宋体" w:eastAsia="宋体" w:cs="宋体"/>
          <w:color w:val="auto"/>
          <w:sz w:val="40"/>
          <w:szCs w:val="40"/>
          <w:highlight w:val="none"/>
        </w:rPr>
      </w:pPr>
      <w:bookmarkStart w:id="0" w:name="OLE_LINK7"/>
      <w:r>
        <w:rPr>
          <w:rFonts w:hint="eastAsia" w:ascii="宋体" w:hAnsi="宋体" w:cs="宋体"/>
          <w:b/>
          <w:color w:val="auto"/>
          <w:sz w:val="44"/>
          <w:szCs w:val="44"/>
          <w:highlight w:val="none"/>
          <w:lang w:eastAsia="zh-CN"/>
        </w:rPr>
        <w:t>建德市乾潭镇下梓村数字乡村建设采购项目</w:t>
      </w:r>
      <w:r>
        <w:rPr>
          <w:rFonts w:hint="eastAsia" w:ascii="宋体" w:hAnsi="宋体" w:eastAsia="宋体" w:cs="宋体"/>
          <w:color w:val="auto"/>
          <w:sz w:val="40"/>
          <w:szCs w:val="40"/>
          <w:highlight w:val="none"/>
        </w:rPr>
        <w:t xml:space="preserve"> </w:t>
      </w:r>
      <w:bookmarkEnd w:id="0"/>
    </w:p>
    <w:p>
      <w:pPr>
        <w:adjustRightInd/>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w:t>
      </w:r>
    </w:p>
    <w:p>
      <w:pPr>
        <w:adjustRightInd/>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w:t>
      </w:r>
      <w:r>
        <w:rPr>
          <w:rFonts w:hint="eastAsia" w:ascii="宋体" w:hAnsi="宋体" w:cs="宋体"/>
          <w:b/>
          <w:color w:val="auto"/>
          <w:sz w:val="36"/>
          <w:szCs w:val="36"/>
          <w:highlight w:val="none"/>
          <w:lang w:eastAsia="zh-CN"/>
        </w:rPr>
        <w:t>非政府采购</w:t>
      </w:r>
      <w:r>
        <w:rPr>
          <w:rFonts w:hint="eastAsia" w:ascii="宋体" w:hAnsi="宋体" w:eastAsia="宋体" w:cs="宋体"/>
          <w:b/>
          <w:color w:val="auto"/>
          <w:sz w:val="36"/>
          <w:szCs w:val="36"/>
          <w:highlight w:val="none"/>
        </w:rPr>
        <w:t>）（电子招投标）</w:t>
      </w:r>
    </w:p>
    <w:p>
      <w:pPr>
        <w:snapToGrid w:val="0"/>
        <w:spacing w:line="360" w:lineRule="auto"/>
        <w:jc w:val="center"/>
        <w:rPr>
          <w:rFonts w:hint="eastAsia" w:ascii="宋体" w:hAnsi="宋体" w:eastAsia="宋体" w:cs="宋体"/>
          <w:color w:val="auto"/>
          <w:sz w:val="30"/>
          <w:szCs w:val="30"/>
          <w:highlight w:val="none"/>
        </w:rPr>
      </w:pPr>
    </w:p>
    <w:p>
      <w:pPr>
        <w:snapToGrid w:val="0"/>
        <w:spacing w:line="360" w:lineRule="auto"/>
        <w:jc w:val="center"/>
        <w:rPr>
          <w:rFonts w:hint="eastAsia" w:ascii="宋体" w:hAnsi="宋体" w:eastAsia="宋体" w:cs="宋体"/>
          <w:b/>
          <w:color w:val="auto"/>
          <w:sz w:val="30"/>
          <w:szCs w:val="30"/>
          <w:highlight w:val="none"/>
          <w:lang w:val="en-US" w:eastAsia="zh-CN"/>
        </w:rPr>
      </w:pPr>
      <w:r>
        <w:rPr>
          <w:rFonts w:hint="eastAsia" w:ascii="宋体" w:hAnsi="宋体" w:eastAsia="宋体" w:cs="宋体"/>
          <w:color w:val="auto"/>
          <w:sz w:val="30"/>
          <w:szCs w:val="30"/>
          <w:highlight w:val="none"/>
        </w:rPr>
        <w:t>编号</w:t>
      </w:r>
      <w:r>
        <w:rPr>
          <w:rFonts w:hint="eastAsia" w:ascii="宋体" w:hAnsi="宋体" w:cs="宋体"/>
          <w:color w:val="auto"/>
          <w:sz w:val="30"/>
          <w:szCs w:val="30"/>
          <w:highlight w:val="none"/>
          <w:lang w:eastAsia="zh-CN"/>
        </w:rPr>
        <w:t>：</w:t>
      </w:r>
      <w:bookmarkStart w:id="1" w:name="OLE_LINK6"/>
      <w:r>
        <w:rPr>
          <w:rFonts w:hint="eastAsia" w:ascii="宋体" w:hAnsi="宋体" w:cs="宋体"/>
          <w:b w:val="0"/>
          <w:bCs/>
          <w:color w:val="auto"/>
          <w:sz w:val="30"/>
          <w:szCs w:val="30"/>
          <w:highlight w:val="none"/>
          <w:lang w:eastAsia="zh-CN"/>
        </w:rPr>
        <w:t>JDBWCG2025-034</w:t>
      </w:r>
      <w:bookmarkEnd w:id="1"/>
    </w:p>
    <w:p>
      <w:pPr>
        <w:adjustRightInd/>
        <w:spacing w:line="360" w:lineRule="auto"/>
        <w:rPr>
          <w:rFonts w:hint="eastAsia" w:ascii="宋体" w:hAnsi="宋体" w:eastAsia="宋体" w:cs="宋体"/>
          <w:color w:val="auto"/>
          <w:sz w:val="28"/>
          <w:szCs w:val="20"/>
          <w:highlight w:val="none"/>
        </w:rPr>
      </w:pPr>
    </w:p>
    <w:p>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pPr>
        <w:spacing w:line="360" w:lineRule="auto"/>
        <w:jc w:val="center"/>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32"/>
          <w:szCs w:val="32"/>
          <w:highlight w:val="none"/>
        </w:rPr>
      </w:pPr>
    </w:p>
    <w:p>
      <w:pPr>
        <w:snapToGrid w:val="0"/>
        <w:spacing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采购人：</w:t>
      </w:r>
      <w:bookmarkStart w:id="2" w:name="OLE_LINK5"/>
      <w:bookmarkStart w:id="3" w:name="OLE_LINK4"/>
      <w:r>
        <w:rPr>
          <w:rFonts w:hint="eastAsia" w:ascii="宋体" w:hAnsi="宋体" w:cs="宋体"/>
          <w:b/>
          <w:color w:val="auto"/>
          <w:sz w:val="32"/>
          <w:szCs w:val="32"/>
          <w:highlight w:val="none"/>
          <w:lang w:eastAsia="zh-CN"/>
        </w:rPr>
        <w:t>建德市乾潭镇下梓村</w:t>
      </w:r>
      <w:bookmarkEnd w:id="2"/>
      <w:r>
        <w:rPr>
          <w:rFonts w:hint="eastAsia" w:ascii="宋体" w:hAnsi="宋体" w:cs="宋体"/>
          <w:b/>
          <w:color w:val="auto"/>
          <w:sz w:val="32"/>
          <w:szCs w:val="32"/>
          <w:highlight w:val="none"/>
          <w:lang w:eastAsia="zh-CN"/>
        </w:rPr>
        <w:t>股份经济合作社</w:t>
      </w:r>
      <w:bookmarkEnd w:id="3"/>
    </w:p>
    <w:p>
      <w:pPr>
        <w:snapToGrid w:val="0"/>
        <w:spacing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采购代理机构：</w:t>
      </w:r>
      <w:r>
        <w:rPr>
          <w:rFonts w:hint="eastAsia" w:ascii="宋体" w:hAnsi="宋体" w:cs="宋体"/>
          <w:b/>
          <w:color w:val="auto"/>
          <w:sz w:val="32"/>
          <w:szCs w:val="32"/>
          <w:highlight w:val="none"/>
          <w:lang w:eastAsia="zh-CN"/>
        </w:rPr>
        <w:t>杭州博望建设工程招标投标代理有限公司</w:t>
      </w:r>
    </w:p>
    <w:p>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cs="宋体"/>
          <w:bCs/>
          <w:color w:val="auto"/>
          <w:sz w:val="32"/>
          <w:szCs w:val="32"/>
          <w:highlight w:val="none"/>
          <w:lang w:eastAsia="zh-CN"/>
        </w:rPr>
        <w:t>五</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三</w:t>
      </w:r>
      <w:r>
        <w:rPr>
          <w:rFonts w:hint="eastAsia" w:ascii="宋体" w:hAnsi="宋体" w:eastAsia="宋体" w:cs="宋体"/>
          <w:bCs/>
          <w:color w:val="auto"/>
          <w:sz w:val="32"/>
          <w:szCs w:val="32"/>
          <w:highlight w:val="none"/>
        </w:rPr>
        <w:t>月</w:t>
      </w:r>
      <w:r>
        <w:rPr>
          <w:rFonts w:hint="eastAsia" w:ascii="宋体" w:hAnsi="宋体" w:cs="宋体"/>
          <w:bCs/>
          <w:color w:val="auto"/>
          <w:sz w:val="32"/>
          <w:szCs w:val="32"/>
          <w:highlight w:val="none"/>
          <w:lang w:val="en-US" w:eastAsia="zh-CN"/>
        </w:rPr>
        <w:t>十一</w:t>
      </w:r>
      <w:r>
        <w:rPr>
          <w:rFonts w:hint="eastAsia" w:ascii="宋体" w:hAnsi="宋体" w:eastAsia="宋体" w:cs="宋体"/>
          <w:bCs/>
          <w:color w:val="auto"/>
          <w:sz w:val="32"/>
          <w:szCs w:val="32"/>
          <w:highlight w:val="none"/>
        </w:rPr>
        <w:t>日</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4" w:name="_Hlt67893495"/>
      <w:bookmarkEnd w:id="4"/>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pPr>
        <w:spacing w:line="360" w:lineRule="auto"/>
        <w:ind w:firstLine="549" w:firstLineChars="229"/>
        <w:rPr>
          <w:rFonts w:hint="eastAsia" w:ascii="宋体" w:hAnsi="宋体" w:eastAsia="宋体" w:cs="宋体"/>
          <w:color w:val="auto"/>
          <w:sz w:val="24"/>
          <w:highlight w:val="none"/>
        </w:rPr>
      </w:pPr>
      <w:bookmarkStart w:id="5" w:name="_Hlt91233176"/>
      <w:bookmarkEnd w:id="5"/>
      <w:bookmarkStart w:id="6" w:name="_Toc91899869"/>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adjustRightInd/>
        <w:spacing w:line="360" w:lineRule="auto"/>
        <w:jc w:val="center"/>
        <w:outlineLvl w:val="0"/>
        <w:rPr>
          <w:rFonts w:hint="eastAsia" w:ascii="宋体" w:hAnsi="宋体" w:eastAsia="宋体" w:cs="宋体"/>
          <w:b/>
          <w:color w:val="auto"/>
          <w:sz w:val="36"/>
          <w:szCs w:val="20"/>
          <w:highlight w:val="none"/>
        </w:rPr>
      </w:pPr>
      <w:bookmarkStart w:id="7" w:name="第一部分"/>
      <w:r>
        <w:rPr>
          <w:rFonts w:hint="eastAsia" w:ascii="宋体" w:hAnsi="宋体" w:eastAsia="宋体" w:cs="宋体"/>
          <w:b/>
          <w:color w:val="auto"/>
          <w:sz w:val="36"/>
          <w:szCs w:val="36"/>
          <w:highlight w:val="none"/>
        </w:rPr>
        <w:br w:type="page"/>
      </w:r>
      <w:bookmarkEnd w:id="6"/>
      <w:bookmarkEnd w:id="7"/>
      <w:bookmarkStart w:id="8" w:name="_Hlt74649545"/>
      <w:bookmarkEnd w:id="8"/>
      <w:bookmarkStart w:id="9" w:name="_Hlt74728647"/>
      <w:bookmarkEnd w:id="9"/>
      <w:bookmarkStart w:id="10" w:name="_Hlt74707423"/>
      <w:bookmarkEnd w:id="10"/>
      <w:bookmarkStart w:id="11" w:name="_Hlt74729822"/>
      <w:bookmarkEnd w:id="11"/>
      <w:bookmarkStart w:id="12" w:name="_Toc91899871"/>
      <w:bookmarkStart w:id="13" w:name="第二部分"/>
      <w:bookmarkStart w:id="14" w:name="_Toc91899870"/>
      <w:r>
        <w:rPr>
          <w:rFonts w:hint="eastAsia" w:ascii="宋体" w:hAnsi="宋体" w:eastAsia="宋体" w:cs="宋体"/>
          <w:b/>
          <w:color w:val="auto"/>
          <w:sz w:val="36"/>
          <w:szCs w:val="20"/>
          <w:highlight w:val="none"/>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建德市乾潭镇下梓村数字乡村建设采购项目</w:t>
      </w:r>
      <w:r>
        <w:rPr>
          <w:rFonts w:hint="eastAsia" w:ascii="宋体" w:hAnsi="宋体" w:eastAsia="宋体" w:cs="宋体"/>
          <w:color w:val="auto"/>
          <w:sz w:val="24"/>
          <w:highlight w:val="none"/>
        </w:rPr>
        <w:t>招标项目的潜在投标人应在</w:t>
      </w:r>
      <w:r>
        <w:rPr>
          <w:rFonts w:hint="eastAsia" w:ascii="宋体" w:hAnsi="宋体" w:eastAsia="宋体" w:cs="宋体"/>
          <w:color w:val="auto"/>
          <w:sz w:val="24"/>
          <w:highlight w:val="none"/>
          <w:lang w:val="en-US" w:eastAsia="zh-CN"/>
        </w:rPr>
        <w:t>乐</w:t>
      </w:r>
      <w:r>
        <w:rPr>
          <w:rFonts w:hint="eastAsia" w:ascii="宋体" w:hAnsi="宋体" w:eastAsia="宋体" w:cs="宋体"/>
          <w:color w:val="auto"/>
          <w:sz w:val="24"/>
          <w:highlight w:val="none"/>
        </w:rPr>
        <w:t>采云平台（</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"采购文件（7.9新版本）.doc"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https://www.lecaiyun.com/</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"https://www.zcygov.cn/）获取（下载）招标文件，并于202%20年%20月%20日%20点%20分00秒"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获取（下载）招标文件，并于</w:t>
      </w:r>
      <w:r>
        <w:rPr>
          <w:rFonts w:hint="eastAsia" w:ascii="宋体" w:hAnsi="宋体" w:cs="宋体"/>
          <w:b/>
          <w:bCs/>
          <w:color w:val="auto"/>
          <w:sz w:val="24"/>
          <w:highlight w:val="none"/>
          <w:lang w:eastAsia="zh-CN"/>
        </w:rPr>
        <w:t>2025年</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lang w:eastAsia="zh-CN"/>
        </w:rPr>
        <w:t>月</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lang w:eastAsia="zh-CN"/>
        </w:rPr>
        <w:t>日</w:t>
      </w:r>
      <w:r>
        <w:rPr>
          <w:rFonts w:hint="eastAsia" w:ascii="宋体" w:hAnsi="宋体" w:cs="宋体"/>
          <w:b/>
          <w:bCs/>
          <w:color w:val="auto"/>
          <w:sz w:val="24"/>
          <w:highlight w:val="none"/>
          <w:lang w:val="en-US" w:eastAsia="zh-CN"/>
        </w:rPr>
        <w:t>09</w:t>
      </w:r>
      <w:r>
        <w:rPr>
          <w:rFonts w:hint="eastAsia" w:ascii="宋体" w:hAnsi="宋体" w:eastAsia="宋体" w:cs="宋体"/>
          <w:b/>
          <w:bCs/>
          <w:color w:val="auto"/>
          <w:sz w:val="24"/>
          <w:highlight w:val="none"/>
        </w:rPr>
        <w:t>点</w:t>
      </w:r>
      <w:r>
        <w:rPr>
          <w:rFonts w:hint="eastAsia" w:ascii="宋体" w:hAnsi="宋体" w:eastAsia="宋体" w:cs="宋体"/>
          <w:b/>
          <w:bCs/>
          <w:color w:val="auto"/>
          <w:sz w:val="24"/>
          <w:highlight w:val="none"/>
          <w:lang w:val="en-US" w:eastAsia="zh-CN"/>
        </w:rPr>
        <w:t>00</w:t>
      </w:r>
      <w:r>
        <w:rPr>
          <w:rFonts w:hint="eastAsia" w:ascii="宋体" w:hAnsi="宋体" w:eastAsia="宋体" w:cs="宋体"/>
          <w:b/>
          <w:bCs/>
          <w:color w:val="auto"/>
          <w:sz w:val="24"/>
          <w:highlight w:val="none"/>
        </w:rPr>
        <w:t>分00秒</w:t>
      </w:r>
      <w:r>
        <w:rPr>
          <w:rFonts w:hint="eastAsia" w:ascii="宋体" w:hAnsi="宋体" w:eastAsia="宋体" w:cs="宋体"/>
          <w:color w:val="auto"/>
          <w:sz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pPr>
        <w:keepNext w:val="0"/>
        <w:keepLines w:val="0"/>
        <w:pageBreakBefore w:val="0"/>
        <w:kinsoku/>
        <w:wordWrap/>
        <w:overflowPunct/>
        <w:topLinePunct w:val="0"/>
        <w:autoSpaceDE/>
        <w:autoSpaceDN/>
        <w:bidi w:val="0"/>
        <w:adjustRightInd w:val="0"/>
        <w:spacing w:line="48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pPr>
        <w:keepNext w:val="0"/>
        <w:keepLines w:val="0"/>
        <w:pageBreakBefore w:val="0"/>
        <w:kinsoku/>
        <w:wordWrap/>
        <w:overflowPunct/>
        <w:topLinePunct w:val="0"/>
        <w:autoSpaceDE/>
        <w:autoSpaceDN/>
        <w:bidi w:val="0"/>
        <w:adjustRightInd w:val="0"/>
        <w:spacing w:line="48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JDBWCG2025-034</w:t>
      </w:r>
      <w:r>
        <w:rPr>
          <w:rFonts w:hint="eastAsia" w:ascii="宋体" w:hAnsi="宋体" w:eastAsia="宋体" w:cs="宋体"/>
          <w:color w:val="auto"/>
          <w:sz w:val="24"/>
          <w:highlight w:val="none"/>
          <w:lang w:eastAsia="zh-CN"/>
        </w:rPr>
        <w:t xml:space="preserve"> </w:t>
      </w:r>
    </w:p>
    <w:p>
      <w:pPr>
        <w:keepNext w:val="0"/>
        <w:keepLines w:val="0"/>
        <w:pageBreakBefore w:val="0"/>
        <w:kinsoku/>
        <w:wordWrap/>
        <w:overflowPunct/>
        <w:topLinePunct w:val="0"/>
        <w:autoSpaceDE/>
        <w:autoSpaceDN/>
        <w:bidi w:val="0"/>
        <w:adjustRightInd w:val="0"/>
        <w:spacing w:line="48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项目名称：</w:t>
      </w:r>
      <w:r>
        <w:rPr>
          <w:rFonts w:hint="eastAsia" w:ascii="宋体" w:hAnsi="宋体" w:cs="宋体"/>
          <w:color w:val="auto"/>
          <w:sz w:val="24"/>
          <w:highlight w:val="none"/>
          <w:lang w:eastAsia="zh-CN"/>
        </w:rPr>
        <w:t>建德市乾潭镇下梓村数字乡村建设采购项目</w:t>
      </w:r>
    </w:p>
    <w:p>
      <w:pPr>
        <w:keepNext w:val="0"/>
        <w:keepLines w:val="0"/>
        <w:pageBreakBefore w:val="0"/>
        <w:kinsoku/>
        <w:wordWrap/>
        <w:overflowPunct/>
        <w:topLinePunct w:val="0"/>
        <w:autoSpaceDE/>
        <w:autoSpaceDN/>
        <w:bidi w:val="0"/>
        <w:adjustRightInd w:val="0"/>
        <w:spacing w:line="480" w:lineRule="exact"/>
        <w:ind w:firstLine="482"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预算金额（元）：</w:t>
      </w:r>
      <w:r>
        <w:rPr>
          <w:rFonts w:hint="eastAsia" w:ascii="宋体" w:hAnsi="宋体" w:cs="宋体"/>
          <w:b w:val="0"/>
          <w:bCs/>
          <w:color w:val="auto"/>
          <w:sz w:val="24"/>
          <w:highlight w:val="none"/>
          <w:lang w:val="en-US" w:eastAsia="zh-CN"/>
        </w:rPr>
        <w:t xml:space="preserve">3050000.00 </w:t>
      </w:r>
    </w:p>
    <w:p>
      <w:pPr>
        <w:keepNext w:val="0"/>
        <w:keepLines w:val="0"/>
        <w:pageBreakBefore w:val="0"/>
        <w:kinsoku/>
        <w:wordWrap/>
        <w:overflowPunct/>
        <w:topLinePunct w:val="0"/>
        <w:autoSpaceDE/>
        <w:autoSpaceDN/>
        <w:bidi w:val="0"/>
        <w:adjustRightInd w:val="0"/>
        <w:spacing w:line="480" w:lineRule="exact"/>
        <w:ind w:firstLine="480"/>
        <w:textAlignment w:val="auto"/>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最高限价（元）：</w:t>
      </w:r>
      <w:r>
        <w:rPr>
          <w:rFonts w:hint="eastAsia" w:ascii="宋体" w:hAnsi="宋体" w:cs="宋体"/>
          <w:b w:val="0"/>
          <w:bCs/>
          <w:color w:val="auto"/>
          <w:sz w:val="24"/>
          <w:highlight w:val="none"/>
          <w:lang w:val="en-US" w:eastAsia="zh-CN"/>
        </w:rPr>
        <w:t>3050000.00</w:t>
      </w:r>
      <w:r>
        <w:rPr>
          <w:rFonts w:hint="eastAsia" w:ascii="宋体" w:hAnsi="宋体" w:eastAsia="宋体" w:cs="宋体"/>
          <w:b w:val="0"/>
          <w:bCs/>
          <w:color w:val="auto"/>
          <w:sz w:val="24"/>
          <w:highlight w:val="none"/>
          <w:lang w:val="en-US" w:eastAsia="zh-CN"/>
        </w:rPr>
        <w:t xml:space="preserve"> </w:t>
      </w:r>
      <w:r>
        <w:rPr>
          <w:rFonts w:hint="eastAsia" w:ascii="宋体" w:hAnsi="宋体" w:cs="宋体"/>
          <w:b/>
          <w:color w:val="auto"/>
          <w:sz w:val="24"/>
          <w:highlight w:val="none"/>
          <w:lang w:val="en-US" w:eastAsia="zh-CN"/>
        </w:rPr>
        <w:t xml:space="preserve"> </w:t>
      </w:r>
    </w:p>
    <w:p>
      <w:pPr>
        <w:keepNext w:val="0"/>
        <w:keepLines w:val="0"/>
        <w:pageBreakBefore w:val="0"/>
        <w:kinsoku/>
        <w:wordWrap/>
        <w:overflowPunct/>
        <w:topLinePunct w:val="0"/>
        <w:autoSpaceDE/>
        <w:autoSpaceDN/>
        <w:bidi w:val="0"/>
        <w:adjustRightInd w:val="0"/>
        <w:spacing w:line="480" w:lineRule="exact"/>
        <w:ind w:firstLine="463" w:firstLineChars="192"/>
        <w:textAlignment w:val="auto"/>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采购需求：</w:t>
      </w:r>
      <w:bookmarkStart w:id="15" w:name="OLE_LINK2"/>
      <w:r>
        <w:rPr>
          <w:rFonts w:hint="eastAsia" w:ascii="宋体" w:hAnsi="宋体" w:eastAsia="宋体" w:cs="宋体"/>
          <w:b w:val="0"/>
          <w:bCs/>
          <w:color w:val="auto"/>
          <w:sz w:val="24"/>
          <w:highlight w:val="none"/>
          <w:lang w:eastAsia="zh-CN"/>
        </w:rPr>
        <w:t>建德市乾潭镇下梓村数字乡村建设采购项目</w:t>
      </w:r>
      <w:r>
        <w:rPr>
          <w:rFonts w:hint="eastAsia" w:ascii="宋体" w:hAnsi="宋体" w:cs="宋体"/>
          <w:color w:val="auto"/>
          <w:sz w:val="24"/>
          <w:szCs w:val="24"/>
          <w:highlight w:val="none"/>
          <w:lang w:eastAsia="zh-CN"/>
        </w:rPr>
        <w:t>设备一批</w:t>
      </w:r>
      <w:bookmarkEnd w:id="15"/>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包设计开发、产品生产供货、运输装卸、安装调试、产品保护、备品备件、税金、培训、保险、验收、售后服务及辅助工作等完成本项目的所有费用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具体内容详见</w:t>
      </w:r>
      <w:r>
        <w:rPr>
          <w:rFonts w:hint="eastAsia" w:ascii="宋体" w:hAnsi="宋体" w:eastAsia="宋体" w:cs="宋体"/>
          <w:snapToGrid/>
          <w:color w:val="auto"/>
          <w:kern w:val="2"/>
          <w:sz w:val="24"/>
          <w:szCs w:val="24"/>
          <w:highlight w:val="none"/>
        </w:rPr>
        <w:t>招标文件第三部分采购需求为准，供应商可点击本公告下方“浏览采购文件”查看采购需求。</w:t>
      </w:r>
    </w:p>
    <w:p>
      <w:pPr>
        <w:keepNext w:val="0"/>
        <w:keepLines w:val="0"/>
        <w:pageBreakBefore w:val="0"/>
        <w:kinsoku/>
        <w:wordWrap/>
        <w:overflowPunct/>
        <w:topLinePunct w:val="0"/>
        <w:autoSpaceDE/>
        <w:autoSpaceDN/>
        <w:bidi w:val="0"/>
        <w:adjustRightInd w:val="0"/>
        <w:spacing w:line="480" w:lineRule="exact"/>
        <w:ind w:firstLine="463" w:firstLineChars="192"/>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合同履约期限：</w:t>
      </w:r>
      <w:r>
        <w:rPr>
          <w:rFonts w:hint="eastAsia" w:ascii="宋体" w:hAnsi="宋体" w:eastAsia="宋体" w:cs="宋体"/>
          <w:color w:val="auto"/>
          <w:sz w:val="24"/>
          <w:szCs w:val="24"/>
          <w:highlight w:val="none"/>
          <w:lang w:val="en-US" w:eastAsia="zh-CN"/>
        </w:rPr>
        <w:t>中标人在签订合同后，必须在90日历天内按采购单位要求完成交货、安装调试完成，无质量问题并通过验收后交付采购单位使用。</w:t>
      </w:r>
    </w:p>
    <w:p>
      <w:pPr>
        <w:pStyle w:val="6"/>
        <w:keepNext w:val="0"/>
        <w:keepLines w:val="0"/>
        <w:pageBreakBefore w:val="0"/>
        <w:kinsoku/>
        <w:wordWrap/>
        <w:overflowPunct/>
        <w:topLinePunct w:val="0"/>
        <w:autoSpaceDE/>
        <w:autoSpaceDN/>
        <w:bidi w:val="0"/>
        <w:adjustRightInd w:val="0"/>
        <w:spacing w:line="480" w:lineRule="exact"/>
        <w:ind w:firstLine="480"/>
        <w:textAlignment w:val="auto"/>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color w:val="auto"/>
            <w:kern w:val="0"/>
            <w:sz w:val="24"/>
            <w:highlight w:val="none"/>
          </w:rPr>
          <w:id w:val="203545383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ascii="宋体" w:hAnsi="宋体" w:eastAsia="宋体" w:cs="宋体"/>
          <w:b/>
          <w:color w:val="auto"/>
          <w:sz w:val="24"/>
          <w:highlight w:val="none"/>
        </w:rPr>
        <w:t>是</w:t>
      </w:r>
      <w:r>
        <w:rPr>
          <w:rFonts w:hint="eastAsia" w:ascii="宋体" w:hAnsi="宋体" w:eastAsia="宋体" w:cs="宋体"/>
          <w:b/>
          <w:snapToGrid/>
          <w:color w:val="auto"/>
          <w:kern w:val="2"/>
          <w:sz w:val="24"/>
          <w:highlight w:val="none"/>
        </w:rPr>
        <w:t>；</w:t>
      </w:r>
      <w:sdt>
        <w:sdtPr>
          <w:rPr>
            <w:rFonts w:hint="eastAsia" w:ascii="宋体" w:hAnsi="宋体" w:eastAsia="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pPr>
        <w:keepNext w:val="0"/>
        <w:keepLines w:val="0"/>
        <w:pageBreakBefore w:val="0"/>
        <w:kinsoku/>
        <w:wordWrap/>
        <w:overflowPunct/>
        <w:topLinePunct w:val="0"/>
        <w:autoSpaceDE/>
        <w:autoSpaceDN/>
        <w:bidi w:val="0"/>
        <w:adjustRightInd w:val="0"/>
        <w:spacing w:line="48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pPr>
        <w:keepNext w:val="0"/>
        <w:keepLines w:val="0"/>
        <w:pageBreakBefore w:val="0"/>
        <w:kinsoku/>
        <w:wordWrap/>
        <w:overflowPunct/>
        <w:topLinePunct w:val="0"/>
        <w:autoSpaceDE/>
        <w:autoSpaceDN/>
        <w:bidi w:val="0"/>
        <w:adjustRightInd w:val="0"/>
        <w:spacing w:line="48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投标人均应满足以下资格要求：</w:t>
      </w:r>
    </w:p>
    <w:p>
      <w:pPr>
        <w:keepNext w:val="0"/>
        <w:keepLines w:val="0"/>
        <w:pageBreakBefore w:val="0"/>
        <w:kinsoku/>
        <w:wordWrap/>
        <w:overflowPunct/>
        <w:topLinePunct w:val="0"/>
        <w:autoSpaceDE/>
        <w:autoSpaceDN/>
        <w:bidi w:val="0"/>
        <w:adjustRightInd w:val="0"/>
        <w:spacing w:line="480" w:lineRule="exact"/>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（一） 基本</w:t>
      </w:r>
      <w:r>
        <w:rPr>
          <w:rFonts w:hint="eastAsia" w:ascii="宋体" w:hAnsi="宋体" w:eastAsia="宋体" w:cs="宋体"/>
          <w:b/>
          <w:color w:val="auto"/>
          <w:sz w:val="24"/>
          <w:highlight w:val="none"/>
        </w:rPr>
        <w:t>资格要求</w:t>
      </w:r>
      <w:r>
        <w:rPr>
          <w:rFonts w:hint="eastAsia" w:ascii="宋体" w:hAnsi="宋体" w:eastAsia="宋体" w:cs="宋体"/>
          <w:b/>
          <w:color w:val="auto"/>
          <w:sz w:val="24"/>
          <w:highlight w:val="none"/>
          <w:lang w:eastAsia="zh-CN"/>
        </w:rPr>
        <w:t>：</w:t>
      </w:r>
    </w:p>
    <w:p>
      <w:pPr>
        <w:keepNext w:val="0"/>
        <w:keepLines w:val="0"/>
        <w:pageBreakBefore w:val="0"/>
        <w:kinsoku/>
        <w:wordWrap/>
        <w:overflowPunct/>
        <w:topLinePunct w:val="0"/>
        <w:autoSpaceDE/>
        <w:autoSpaceDN/>
        <w:bidi w:val="0"/>
        <w:adjustRightInd w:val="0"/>
        <w:spacing w:line="480" w:lineRule="exact"/>
        <w:ind w:firstLine="240" w:firstLineChars="1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1.</w:t>
      </w:r>
      <w:r>
        <w:rPr>
          <w:rFonts w:hint="eastAsia" w:ascii="宋体" w:hAnsi="宋体" w:eastAsia="宋体" w:cs="宋体"/>
          <w:b w:val="0"/>
          <w:bCs/>
          <w:color w:val="auto"/>
          <w:sz w:val="24"/>
          <w:highlight w:val="none"/>
          <w:lang w:eastAsia="zh-CN"/>
        </w:rPr>
        <w:t>具有独立承担民事责任的能力；</w:t>
      </w:r>
    </w:p>
    <w:p>
      <w:pPr>
        <w:keepNext w:val="0"/>
        <w:keepLines w:val="0"/>
        <w:pageBreakBefore w:val="0"/>
        <w:kinsoku/>
        <w:wordWrap/>
        <w:overflowPunct/>
        <w:topLinePunct w:val="0"/>
        <w:autoSpaceDE/>
        <w:autoSpaceDN/>
        <w:bidi w:val="0"/>
        <w:adjustRightInd w:val="0"/>
        <w:spacing w:line="480" w:lineRule="exact"/>
        <w:ind w:firstLine="240" w:firstLineChars="1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2.</w:t>
      </w:r>
      <w:r>
        <w:rPr>
          <w:rFonts w:hint="eastAsia" w:ascii="宋体" w:hAnsi="宋体" w:eastAsia="宋体" w:cs="宋体"/>
          <w:b w:val="0"/>
          <w:bCs/>
          <w:color w:val="auto"/>
          <w:sz w:val="24"/>
          <w:highlight w:val="none"/>
          <w:lang w:eastAsia="zh-CN"/>
        </w:rPr>
        <w:t xml:space="preserve">具有良好的商业信誉和健全的财务会计制度； </w:t>
      </w:r>
    </w:p>
    <w:p>
      <w:pPr>
        <w:keepNext w:val="0"/>
        <w:keepLines w:val="0"/>
        <w:pageBreakBefore w:val="0"/>
        <w:kinsoku/>
        <w:wordWrap/>
        <w:overflowPunct/>
        <w:topLinePunct w:val="0"/>
        <w:autoSpaceDE/>
        <w:autoSpaceDN/>
        <w:bidi w:val="0"/>
        <w:adjustRightInd w:val="0"/>
        <w:spacing w:line="480" w:lineRule="exact"/>
        <w:ind w:firstLine="240" w:firstLineChars="1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3.</w:t>
      </w:r>
      <w:r>
        <w:rPr>
          <w:rFonts w:hint="eastAsia" w:ascii="宋体" w:hAnsi="宋体" w:eastAsia="宋体" w:cs="宋体"/>
          <w:b w:val="0"/>
          <w:bCs/>
          <w:color w:val="auto"/>
          <w:sz w:val="24"/>
          <w:highlight w:val="none"/>
          <w:lang w:eastAsia="zh-CN"/>
        </w:rPr>
        <w:t>具有履行合同所必需的设备和专业技术能力；</w:t>
      </w:r>
    </w:p>
    <w:p>
      <w:pPr>
        <w:keepNext w:val="0"/>
        <w:keepLines w:val="0"/>
        <w:pageBreakBefore w:val="0"/>
        <w:kinsoku/>
        <w:wordWrap/>
        <w:overflowPunct/>
        <w:topLinePunct w:val="0"/>
        <w:autoSpaceDE/>
        <w:autoSpaceDN/>
        <w:bidi w:val="0"/>
        <w:adjustRightInd w:val="0"/>
        <w:spacing w:line="480" w:lineRule="exact"/>
        <w:ind w:firstLine="240" w:firstLineChars="1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4.</w:t>
      </w:r>
      <w:r>
        <w:rPr>
          <w:rFonts w:hint="eastAsia" w:ascii="宋体" w:hAnsi="宋体" w:eastAsia="宋体" w:cs="宋体"/>
          <w:b w:val="0"/>
          <w:bCs/>
          <w:color w:val="auto"/>
          <w:sz w:val="24"/>
          <w:highlight w:val="none"/>
          <w:lang w:eastAsia="zh-CN"/>
        </w:rPr>
        <w:t>有依法缴纳税收和社会保障资金的良好记录；</w:t>
      </w:r>
    </w:p>
    <w:p>
      <w:pPr>
        <w:keepNext w:val="0"/>
        <w:keepLines w:val="0"/>
        <w:pageBreakBefore w:val="0"/>
        <w:kinsoku/>
        <w:wordWrap/>
        <w:overflowPunct/>
        <w:topLinePunct w:val="0"/>
        <w:autoSpaceDE/>
        <w:autoSpaceDN/>
        <w:bidi w:val="0"/>
        <w:adjustRightInd w:val="0"/>
        <w:spacing w:line="480" w:lineRule="exact"/>
        <w:ind w:firstLine="240" w:firstLineChars="1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5.参加采购活动前三年内，在经营活动中没有重大违法记录；</w:t>
      </w:r>
    </w:p>
    <w:p>
      <w:pPr>
        <w:keepNext w:val="0"/>
        <w:keepLines w:val="0"/>
        <w:pageBreakBefore w:val="0"/>
        <w:kinsoku/>
        <w:wordWrap/>
        <w:overflowPunct/>
        <w:topLinePunct w:val="0"/>
        <w:autoSpaceDE/>
        <w:autoSpaceDN/>
        <w:bidi w:val="0"/>
        <w:adjustRightInd w:val="0"/>
        <w:spacing w:line="480" w:lineRule="exact"/>
        <w:ind w:firstLine="240" w:firstLineChars="100"/>
        <w:textAlignment w:val="auto"/>
        <w:rPr>
          <w:rFonts w:hint="eastAsia" w:ascii="宋体" w:hAnsi="宋体" w:eastAsia="宋体" w:cs="宋体"/>
          <w:b/>
          <w:color w:val="auto"/>
          <w:sz w:val="24"/>
          <w:highlight w:val="none"/>
          <w:lang w:eastAsia="zh-CN"/>
        </w:rPr>
      </w:pPr>
      <w:r>
        <w:rPr>
          <w:rFonts w:hint="eastAsia" w:ascii="宋体" w:hAnsi="宋体" w:eastAsia="宋体" w:cs="宋体"/>
          <w:b w:val="0"/>
          <w:bCs/>
          <w:color w:val="auto"/>
          <w:sz w:val="24"/>
          <w:highlight w:val="none"/>
          <w:lang w:eastAsia="zh-CN"/>
        </w:rPr>
        <w:t>6.具有法律、行政法规规定的其他条件。</w:t>
      </w:r>
    </w:p>
    <w:p>
      <w:pPr>
        <w:keepNext w:val="0"/>
        <w:keepLines w:val="0"/>
        <w:pageBreakBefore w:val="0"/>
        <w:kinsoku/>
        <w:wordWrap/>
        <w:overflowPunct/>
        <w:topLinePunct w:val="0"/>
        <w:autoSpaceDE/>
        <w:autoSpaceDN/>
        <w:bidi w:val="0"/>
        <w:adjustRightInd w:val="0"/>
        <w:spacing w:line="480" w:lineRule="exact"/>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（二）</w:t>
      </w:r>
      <w:r>
        <w:rPr>
          <w:rFonts w:hint="eastAsia" w:ascii="宋体" w:hAnsi="宋体" w:eastAsia="宋体" w:cs="宋体"/>
          <w:b w:val="0"/>
          <w:bCs/>
          <w:color w:val="auto"/>
          <w:sz w:val="24"/>
          <w:highlight w:val="none"/>
          <w:lang w:eastAsia="zh-CN"/>
        </w:rPr>
        <w:t>未被“信用中国”（www.creditchina.gov.cn）、中国政府采购网（www.ccgp.gov.cn）列入失信被执行人、重大税收违法失信主体、政府采购严重违法失信行为记录名单；</w:t>
      </w:r>
    </w:p>
    <w:p>
      <w:pPr>
        <w:keepNext w:val="0"/>
        <w:keepLines w:val="0"/>
        <w:pageBreakBefore w:val="0"/>
        <w:kinsoku/>
        <w:wordWrap/>
        <w:overflowPunct/>
        <w:topLinePunct w:val="0"/>
        <w:autoSpaceDE/>
        <w:autoSpaceDN/>
        <w:bidi w:val="0"/>
        <w:adjustRightInd w:val="0"/>
        <w:spacing w:line="480" w:lineRule="exact"/>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w:t>
      </w:r>
      <w:r>
        <w:rPr>
          <w:rFonts w:hint="eastAsia" w:ascii="宋体" w:hAnsi="宋体" w:cs="宋体"/>
          <w:b w:val="0"/>
          <w:bCs/>
          <w:color w:val="auto"/>
          <w:sz w:val="24"/>
          <w:highlight w:val="none"/>
          <w:lang w:eastAsia="zh-CN"/>
        </w:rPr>
        <w:t>三</w:t>
      </w:r>
      <w:r>
        <w:rPr>
          <w:rFonts w:hint="eastAsia" w:ascii="宋体" w:hAnsi="宋体" w:eastAsia="宋体" w:cs="宋体"/>
          <w:b w:val="0"/>
          <w:bCs/>
          <w:color w:val="auto"/>
          <w:sz w:val="24"/>
          <w:highlight w:val="none"/>
          <w:lang w:eastAsia="zh-CN"/>
        </w:rPr>
        <w:t>）本项目的特定资格要求：无；</w:t>
      </w:r>
    </w:p>
    <w:p>
      <w:pPr>
        <w:keepNext w:val="0"/>
        <w:keepLines w:val="0"/>
        <w:pageBreakBefore w:val="0"/>
        <w:kinsoku/>
        <w:wordWrap/>
        <w:overflowPunct/>
        <w:topLinePunct w:val="0"/>
        <w:autoSpaceDE/>
        <w:autoSpaceDN/>
        <w:bidi w:val="0"/>
        <w:adjustRightInd w:val="0"/>
        <w:spacing w:line="480" w:lineRule="exact"/>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w:t>
      </w:r>
      <w:r>
        <w:rPr>
          <w:rFonts w:hint="eastAsia" w:ascii="宋体" w:hAnsi="宋体" w:cs="宋体"/>
          <w:b w:val="0"/>
          <w:bCs/>
          <w:color w:val="auto"/>
          <w:sz w:val="24"/>
          <w:highlight w:val="none"/>
          <w:lang w:val="en-US" w:eastAsia="zh-CN"/>
        </w:rPr>
        <w:t>四</w:t>
      </w:r>
      <w:r>
        <w:rPr>
          <w:rFonts w:hint="eastAsia" w:ascii="宋体" w:hAnsi="宋体" w:eastAsia="宋体" w:cs="宋体"/>
          <w:b w:val="0"/>
          <w:bCs/>
          <w:color w:val="auto"/>
          <w:sz w:val="24"/>
          <w:highlight w:val="none"/>
          <w:lang w:val="en-US" w:eastAsia="zh-CN"/>
        </w:rPr>
        <w:t>）</w:t>
      </w:r>
      <w:r>
        <w:rPr>
          <w:rFonts w:hint="eastAsia" w:ascii="宋体" w:hAnsi="宋体" w:eastAsia="宋体" w:cs="宋体"/>
          <w:b w:val="0"/>
          <w:bCs/>
          <w:color w:val="auto"/>
          <w:sz w:val="24"/>
          <w:highlight w:val="none"/>
          <w:lang w:eastAsia="zh-CN"/>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pPr>
        <w:keepNext w:val="0"/>
        <w:keepLines w:val="0"/>
        <w:pageBreakBefore w:val="0"/>
        <w:kinsoku/>
        <w:wordWrap/>
        <w:overflowPunct/>
        <w:topLinePunct w:val="0"/>
        <w:autoSpaceDE/>
        <w:autoSpaceDN/>
        <w:bidi w:val="0"/>
        <w:adjustRightInd w:val="0"/>
        <w:spacing w:line="480" w:lineRule="exact"/>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 xml:space="preserve">三、获取招标文件 </w:t>
      </w:r>
    </w:p>
    <w:p>
      <w:pPr>
        <w:keepNext w:val="0"/>
        <w:keepLines w:val="0"/>
        <w:pageBreakBefore w:val="0"/>
        <w:kinsoku/>
        <w:wordWrap/>
        <w:overflowPunct/>
        <w:topLinePunct w:val="0"/>
        <w:autoSpaceDE/>
        <w:autoSpaceDN/>
        <w:bidi w:val="0"/>
        <w:adjustRightInd w:val="0"/>
        <w:spacing w:line="480" w:lineRule="exact"/>
        <w:ind w:firstLine="482" w:firstLineChars="200"/>
        <w:textAlignment w:val="auto"/>
        <w:rPr>
          <w:rFonts w:hint="eastAsia" w:ascii="宋体" w:hAnsi="宋体" w:eastAsia="宋体" w:cs="宋体"/>
          <w:color w:val="auto"/>
          <w:sz w:val="24"/>
          <w:highlight w:val="none"/>
        </w:rPr>
      </w:pPr>
      <w:r>
        <w:rPr>
          <w:rFonts w:hint="eastAsia" w:ascii="宋体" w:hAnsi="宋体" w:cs="宋体"/>
          <w:b/>
          <w:color w:val="auto"/>
          <w:sz w:val="24"/>
          <w:highlight w:val="none"/>
          <w:lang w:val="en-US" w:eastAsia="zh-CN"/>
        </w:rPr>
        <w:t>1.</w:t>
      </w: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u w:val="single"/>
          <w:lang w:eastAsia="zh-CN"/>
        </w:rPr>
        <w:t>自公告发布之日起</w:t>
      </w:r>
      <w:r>
        <w:rPr>
          <w:rFonts w:hint="eastAsia" w:ascii="宋体" w:hAnsi="宋体" w:eastAsia="宋体" w:cs="宋体"/>
          <w:color w:val="auto"/>
          <w:sz w:val="24"/>
          <w:highlight w:val="none"/>
          <w:u w:val="single"/>
        </w:rPr>
        <w:t>至</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lang w:eastAsia="zh-CN"/>
        </w:rPr>
        <w:t>日</w:t>
      </w:r>
      <w:r>
        <w:rPr>
          <w:rFonts w:hint="eastAsia" w:ascii="宋体" w:hAnsi="宋体" w:eastAsia="宋体" w:cs="宋体"/>
          <w:color w:val="auto"/>
          <w:sz w:val="24"/>
          <w:highlight w:val="none"/>
          <w:u w:val="single"/>
        </w:rPr>
        <w:t xml:space="preserve">，每天上午 00:00至12:00 ，下午 12:00至23:59 </w:t>
      </w:r>
      <w:r>
        <w:rPr>
          <w:rFonts w:hint="eastAsia" w:ascii="宋体" w:hAnsi="宋体" w:eastAsia="宋体" w:cs="宋体"/>
          <w:color w:val="auto"/>
          <w:sz w:val="24"/>
          <w:highlight w:val="none"/>
        </w:rPr>
        <w:t>（北京时间，线上获取法定节假日均可，线下获取文件法定节假日除外）获取采购文件的时间期限截止之日之后有潜在供应商提出获取采购文件的，采购机构将允许其获取，但该供应商如对采购文件有异议的，应于自采购文件公告期限届满之日起七个工作日内且在投标截止时间之前以书面形式向采购机构提出。</w:t>
      </w:r>
    </w:p>
    <w:p>
      <w:pPr>
        <w:keepNext w:val="0"/>
        <w:keepLines w:val="0"/>
        <w:pageBreakBefore w:val="0"/>
        <w:kinsoku/>
        <w:wordWrap/>
        <w:overflowPunct/>
        <w:topLinePunct w:val="0"/>
        <w:autoSpaceDE/>
        <w:autoSpaceDN/>
        <w:bidi w:val="0"/>
        <w:adjustRightInd w:val="0"/>
        <w:spacing w:line="480" w:lineRule="exact"/>
        <w:ind w:firstLine="482" w:firstLineChars="200"/>
        <w:textAlignment w:val="auto"/>
        <w:rPr>
          <w:rFonts w:hint="eastAsia" w:ascii="宋体" w:hAnsi="宋体" w:eastAsia="宋体" w:cs="宋体"/>
          <w:color w:val="auto"/>
          <w:sz w:val="24"/>
          <w:highlight w:val="none"/>
        </w:rPr>
      </w:pPr>
      <w:r>
        <w:rPr>
          <w:rFonts w:hint="eastAsia" w:ascii="宋体" w:hAnsi="宋体" w:cs="宋体"/>
          <w:b/>
          <w:color w:val="auto"/>
          <w:sz w:val="24"/>
          <w:highlight w:val="none"/>
          <w:lang w:val="en-US" w:eastAsia="zh-CN"/>
        </w:rPr>
        <w:t>2.</w:t>
      </w:r>
      <w:r>
        <w:rPr>
          <w:rFonts w:hint="eastAsia" w:ascii="宋体" w:hAnsi="宋体" w:eastAsia="宋体" w:cs="宋体"/>
          <w:b/>
          <w:color w:val="auto"/>
          <w:sz w:val="24"/>
          <w:highlight w:val="none"/>
        </w:rPr>
        <w:t>地点（网址）：</w:t>
      </w:r>
      <w:r>
        <w:rPr>
          <w:rFonts w:hint="eastAsia" w:ascii="宋体" w:hAnsi="宋体" w:cs="宋体"/>
          <w:color w:val="auto"/>
          <w:sz w:val="24"/>
          <w:highlight w:val="none"/>
          <w:lang w:eastAsia="zh-CN"/>
        </w:rPr>
        <w:t>乐采云平台（https://www.lecaiyun.com/）。</w:t>
      </w:r>
      <w:r>
        <w:rPr>
          <w:rFonts w:hint="eastAsia" w:ascii="宋体" w:hAnsi="宋体" w:eastAsia="宋体" w:cs="宋体"/>
          <w:color w:val="auto"/>
          <w:sz w:val="24"/>
          <w:highlight w:val="none"/>
        </w:rPr>
        <w:t xml:space="preserve"> </w:t>
      </w:r>
    </w:p>
    <w:p>
      <w:pPr>
        <w:keepNext w:val="0"/>
        <w:keepLines w:val="0"/>
        <w:pageBreakBefore w:val="0"/>
        <w:kinsoku/>
        <w:wordWrap/>
        <w:overflowPunct/>
        <w:topLinePunct w:val="0"/>
        <w:autoSpaceDE/>
        <w:autoSpaceDN/>
        <w:bidi w:val="0"/>
        <w:adjustRightInd w:val="0"/>
        <w:spacing w:line="480" w:lineRule="exact"/>
        <w:ind w:firstLine="482" w:firstLineChars="200"/>
        <w:textAlignment w:val="auto"/>
        <w:rPr>
          <w:rFonts w:hint="eastAsia" w:ascii="宋体" w:hAnsi="宋体" w:eastAsia="宋体" w:cs="宋体"/>
          <w:color w:val="auto"/>
          <w:sz w:val="24"/>
          <w:highlight w:val="none"/>
        </w:rPr>
      </w:pPr>
      <w:r>
        <w:rPr>
          <w:rFonts w:hint="eastAsia" w:ascii="宋体" w:hAnsi="宋体" w:cs="宋体"/>
          <w:b/>
          <w:color w:val="auto"/>
          <w:sz w:val="24"/>
          <w:highlight w:val="none"/>
          <w:lang w:val="en-US" w:eastAsia="zh-CN"/>
        </w:rPr>
        <w:t>3.</w:t>
      </w: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线上获取（供应商</w:t>
      </w:r>
      <w:r>
        <w:rPr>
          <w:rFonts w:hint="eastAsia" w:ascii="宋体" w:hAnsi="宋体" w:eastAsia="宋体" w:cs="宋体"/>
          <w:color w:val="auto"/>
          <w:sz w:val="24"/>
          <w:highlight w:val="none"/>
          <w:lang w:val="en-US" w:eastAsia="zh-CN"/>
        </w:rPr>
        <w:t>注册成为乐采云平台供应商后，登录平台-项目采购-获取采购文件）。</w:t>
      </w:r>
      <w:r>
        <w:rPr>
          <w:rFonts w:hint="eastAsia" w:ascii="宋体" w:hAnsi="宋体" w:eastAsia="宋体" w:cs="宋体"/>
          <w:color w:val="auto"/>
          <w:sz w:val="24"/>
          <w:highlight w:val="none"/>
        </w:rPr>
        <w:t xml:space="preserve"> </w:t>
      </w:r>
    </w:p>
    <w:p>
      <w:pPr>
        <w:keepNext w:val="0"/>
        <w:keepLines w:val="0"/>
        <w:pageBreakBefore w:val="0"/>
        <w:kinsoku/>
        <w:wordWrap/>
        <w:overflowPunct/>
        <w:topLinePunct w:val="0"/>
        <w:autoSpaceDE/>
        <w:autoSpaceDN/>
        <w:bidi w:val="0"/>
        <w:adjustRightInd w:val="0"/>
        <w:spacing w:line="48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售价（元）：</w:t>
      </w:r>
      <w:r>
        <w:rPr>
          <w:rFonts w:hint="eastAsia" w:ascii="宋体" w:hAnsi="宋体" w:eastAsia="宋体" w:cs="宋体"/>
          <w:b w:val="0"/>
          <w:bCs/>
          <w:color w:val="auto"/>
          <w:sz w:val="24"/>
          <w:highlight w:val="none"/>
          <w:lang w:eastAsia="zh-CN"/>
        </w:rPr>
        <w:t>免费</w:t>
      </w:r>
      <w:r>
        <w:rPr>
          <w:rFonts w:hint="eastAsia" w:ascii="宋体" w:hAnsi="宋体" w:eastAsia="宋体" w:cs="宋体"/>
          <w:b/>
          <w:color w:val="auto"/>
          <w:sz w:val="24"/>
          <w:highlight w:val="none"/>
        </w:rPr>
        <w:tab/>
      </w:r>
    </w:p>
    <w:p>
      <w:pPr>
        <w:keepNext w:val="0"/>
        <w:keepLines w:val="0"/>
        <w:pageBreakBefore w:val="0"/>
        <w:kinsoku/>
        <w:wordWrap/>
        <w:overflowPunct/>
        <w:topLinePunct w:val="0"/>
        <w:autoSpaceDE/>
        <w:autoSpaceDN/>
        <w:bidi w:val="0"/>
        <w:adjustRightInd w:val="0"/>
        <w:spacing w:line="48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rPr>
        <w:t>供应商获取采购文件时须提交的文件资料：</w:t>
      </w:r>
      <w:r>
        <w:rPr>
          <w:rFonts w:hint="eastAsia" w:ascii="宋体" w:hAnsi="宋体" w:eastAsia="宋体" w:cs="宋体"/>
          <w:b w:val="0"/>
          <w:bCs/>
          <w:color w:val="auto"/>
          <w:sz w:val="24"/>
          <w:highlight w:val="none"/>
        </w:rPr>
        <w:t>无。</w:t>
      </w:r>
    </w:p>
    <w:p>
      <w:pPr>
        <w:keepNext w:val="0"/>
        <w:keepLines w:val="0"/>
        <w:pageBreakBefore w:val="0"/>
        <w:kinsoku/>
        <w:wordWrap/>
        <w:overflowPunct/>
        <w:topLinePunct w:val="0"/>
        <w:autoSpaceDE/>
        <w:autoSpaceDN/>
        <w:bidi w:val="0"/>
        <w:adjustRightInd w:val="0"/>
        <w:spacing w:line="48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6.</w:t>
      </w:r>
      <w:r>
        <w:rPr>
          <w:rFonts w:hint="eastAsia" w:ascii="宋体" w:hAnsi="宋体" w:eastAsia="宋体" w:cs="宋体"/>
          <w:b/>
          <w:color w:val="auto"/>
          <w:sz w:val="24"/>
          <w:highlight w:val="none"/>
        </w:rPr>
        <w:t>提示：</w:t>
      </w:r>
    </w:p>
    <w:p>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（1）采购人、采购代理机构依托</w:t>
      </w:r>
      <w:r>
        <w:rPr>
          <w:rFonts w:hint="eastAsia" w:ascii="宋体" w:hAnsi="宋体" w:eastAsia="宋体" w:cs="宋体"/>
          <w:color w:val="auto"/>
          <w:sz w:val="24"/>
          <w:highlight w:val="none"/>
          <w:lang w:val="en-US" w:eastAsia="zh-CN"/>
        </w:rPr>
        <w:t>乐采云平台</w:t>
      </w:r>
      <w:r>
        <w:rPr>
          <w:rFonts w:hint="eastAsia" w:ascii="宋体" w:hAnsi="宋体" w:eastAsia="宋体" w:cs="宋体"/>
          <w:color w:val="auto"/>
          <w:sz w:val="24"/>
          <w:highlight w:val="none"/>
        </w:rPr>
        <w:t>完成本项目的电子交易活动，平台不接受未按上述方式获取采购文件的供应商进行投标活动；</w:t>
      </w:r>
    </w:p>
    <w:p>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（2）对未按上述方式获取采购文件的供应商对该文件提出的质疑，采购人或采购代理机构将不予处理；</w:t>
      </w:r>
    </w:p>
    <w:p>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（3）采购人或者采购代理机构对已发出的采购文件等进行必要的澄清或者修改的，采购人或者采购代理机构将无法通过</w:t>
      </w:r>
      <w:r>
        <w:rPr>
          <w:rFonts w:hint="eastAsia" w:ascii="宋体" w:hAnsi="宋体" w:eastAsia="宋体" w:cs="宋体"/>
          <w:color w:val="auto"/>
          <w:sz w:val="24"/>
          <w:highlight w:val="none"/>
          <w:lang w:val="en-US" w:eastAsia="zh-CN"/>
        </w:rPr>
        <w:t>乐采云平台</w:t>
      </w:r>
      <w:r>
        <w:rPr>
          <w:rFonts w:hint="eastAsia" w:ascii="宋体" w:hAnsi="宋体" w:eastAsia="宋体" w:cs="宋体"/>
          <w:color w:val="auto"/>
          <w:sz w:val="24"/>
          <w:highlight w:val="none"/>
        </w:rPr>
        <w:t>通知未按上述方式获取采购文件的供应商；</w:t>
      </w:r>
    </w:p>
    <w:p>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（4）供应商只有在“</w:t>
      </w:r>
      <w:r>
        <w:rPr>
          <w:rFonts w:hint="eastAsia" w:ascii="宋体" w:hAnsi="宋体" w:eastAsia="宋体" w:cs="宋体"/>
          <w:color w:val="auto"/>
          <w:sz w:val="24"/>
          <w:highlight w:val="none"/>
          <w:lang w:val="en-US" w:eastAsia="zh-CN"/>
        </w:rPr>
        <w:t>乐采云平台</w:t>
      </w:r>
      <w:r>
        <w:rPr>
          <w:rFonts w:hint="eastAsia" w:ascii="宋体" w:hAnsi="宋体" w:eastAsia="宋体" w:cs="宋体"/>
          <w:color w:val="auto"/>
          <w:sz w:val="24"/>
          <w:highlight w:val="none"/>
        </w:rPr>
        <w:t>”完成获取采购文件申请并下载了采购文件后才被视为合法获取了采购文件，否则投标将被拒绝。（供应商获取采购文件时间以供应商完成获取采购文件申请后下载采购文件的时间为准）。</w:t>
      </w:r>
    </w:p>
    <w:p>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注：请供应商按上述要求获取采购文件，如未在“</w:t>
      </w:r>
      <w:r>
        <w:rPr>
          <w:rFonts w:hint="eastAsia" w:ascii="宋体" w:hAnsi="宋体" w:eastAsia="宋体" w:cs="宋体"/>
          <w:color w:val="auto"/>
          <w:sz w:val="24"/>
          <w:highlight w:val="none"/>
          <w:lang w:val="en-US" w:eastAsia="zh-CN"/>
        </w:rPr>
        <w:t>乐采云</w:t>
      </w:r>
      <w:r>
        <w:rPr>
          <w:rFonts w:hint="eastAsia" w:ascii="宋体" w:hAnsi="宋体" w:eastAsia="宋体" w:cs="宋体"/>
          <w:color w:val="auto"/>
          <w:sz w:val="24"/>
          <w:highlight w:val="none"/>
        </w:rPr>
        <w:t>”系统内完成相关流程，引起的投标无效责任自负。</w:t>
      </w:r>
    </w:p>
    <w:p>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（5）不提供采购文件纸质版；</w:t>
      </w:r>
    </w:p>
    <w:p>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仿宋_GB2312" w:hAnsi="仿宋_GB2312" w:eastAsia="仿宋_GB2312" w:cs="仿宋_GB2312"/>
          <w:color w:val="auto"/>
          <w:sz w:val="28"/>
          <w:szCs w:val="28"/>
          <w:highlight w:val="none"/>
        </w:rPr>
      </w:pPr>
      <w:r>
        <w:rPr>
          <w:rFonts w:hint="eastAsia" w:ascii="宋体" w:hAnsi="宋体" w:eastAsia="宋体" w:cs="宋体"/>
          <w:color w:val="auto"/>
          <w:sz w:val="24"/>
          <w:highlight w:val="none"/>
        </w:rPr>
        <w:t>（6）获取采购文件的时间期限截止之日之后有潜在供应商提出获取采购文件的，采购机构将允许其获取，但该供应商如对采购文件有异议的，应于自采购文件公告期限届满之日起七个工作日内且在投标截止时间之前以书面形式向采购机构提出。</w:t>
      </w:r>
    </w:p>
    <w:p>
      <w:pPr>
        <w:keepNext w:val="0"/>
        <w:keepLines w:val="0"/>
        <w:pageBreakBefore w:val="0"/>
        <w:kinsoku/>
        <w:wordWrap/>
        <w:overflowPunct/>
        <w:topLinePunct w:val="0"/>
        <w:autoSpaceDE/>
        <w:autoSpaceDN/>
        <w:bidi w:val="0"/>
        <w:adjustRightInd w:val="0"/>
        <w:spacing w:line="480" w:lineRule="exact"/>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七、提交投标文件截止时间与地点：</w:t>
      </w:r>
    </w:p>
    <w:p>
      <w:pPr>
        <w:pStyle w:val="6"/>
        <w:keepNext w:val="0"/>
        <w:keepLines w:val="0"/>
        <w:pageBreakBefore w:val="0"/>
        <w:kinsoku/>
        <w:wordWrap/>
        <w:overflowPunct/>
        <w:topLinePunct w:val="0"/>
        <w:autoSpaceDE/>
        <w:autoSpaceDN/>
        <w:bidi w:val="0"/>
        <w:adjustRightInd w:val="0"/>
        <w:spacing w:before="158" w:line="480" w:lineRule="exact"/>
        <w:ind w:firstLine="434" w:firstLineChars="181"/>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1.提交投标文件截止时间：202</w:t>
      </w:r>
      <w:r>
        <w:rPr>
          <w:rFonts w:hint="eastAsia" w:hAnsi="宋体" w:cs="宋体"/>
          <w:snapToGrid/>
          <w:color w:val="auto"/>
          <w:kern w:val="2"/>
          <w:sz w:val="24"/>
          <w:szCs w:val="24"/>
          <w:highlight w:val="none"/>
          <w:lang w:val="en-US" w:eastAsia="zh-CN" w:bidi="ar-SA"/>
        </w:rPr>
        <w:t>5</w:t>
      </w:r>
      <w:r>
        <w:rPr>
          <w:rFonts w:hint="eastAsia" w:ascii="宋体" w:hAnsi="宋体" w:eastAsia="宋体" w:cs="宋体"/>
          <w:snapToGrid/>
          <w:color w:val="auto"/>
          <w:kern w:val="2"/>
          <w:sz w:val="24"/>
          <w:szCs w:val="24"/>
          <w:highlight w:val="none"/>
          <w:lang w:val="en-US" w:eastAsia="zh-CN" w:bidi="ar-SA"/>
        </w:rPr>
        <w:t>年</w:t>
      </w:r>
      <w:r>
        <w:rPr>
          <w:rFonts w:hint="eastAsia" w:hAnsi="宋体" w:cs="宋体"/>
          <w:snapToGrid/>
          <w:color w:val="auto"/>
          <w:kern w:val="2"/>
          <w:sz w:val="24"/>
          <w:szCs w:val="24"/>
          <w:highlight w:val="none"/>
          <w:lang w:val="en-US" w:eastAsia="zh-CN" w:bidi="ar-SA"/>
        </w:rPr>
        <w:t>4</w:t>
      </w:r>
      <w:r>
        <w:rPr>
          <w:rFonts w:hint="eastAsia" w:ascii="宋体" w:hAnsi="宋体" w:eastAsia="宋体" w:cs="宋体"/>
          <w:snapToGrid/>
          <w:color w:val="auto"/>
          <w:kern w:val="2"/>
          <w:sz w:val="24"/>
          <w:szCs w:val="24"/>
          <w:highlight w:val="none"/>
          <w:lang w:val="en-US" w:eastAsia="zh-CN" w:bidi="ar-SA"/>
        </w:rPr>
        <w:t>月</w:t>
      </w:r>
      <w:r>
        <w:rPr>
          <w:rFonts w:hint="eastAsia" w:hAnsi="宋体" w:cs="宋体"/>
          <w:snapToGrid/>
          <w:color w:val="auto"/>
          <w:kern w:val="2"/>
          <w:sz w:val="24"/>
          <w:szCs w:val="24"/>
          <w:highlight w:val="none"/>
          <w:lang w:val="en-US" w:eastAsia="zh-CN" w:bidi="ar-SA"/>
        </w:rPr>
        <w:t>1日09</w:t>
      </w:r>
      <w:r>
        <w:rPr>
          <w:rFonts w:hint="eastAsia" w:ascii="宋体" w:hAnsi="宋体" w:eastAsia="宋体" w:cs="宋体"/>
          <w:snapToGrid/>
          <w:color w:val="auto"/>
          <w:kern w:val="2"/>
          <w:sz w:val="24"/>
          <w:szCs w:val="24"/>
          <w:highlight w:val="none"/>
          <w:lang w:val="en-US" w:eastAsia="zh-CN" w:bidi="ar-SA"/>
        </w:rPr>
        <w:t>时00分（北京时间）；</w:t>
      </w:r>
    </w:p>
    <w:p>
      <w:pPr>
        <w:pStyle w:val="6"/>
        <w:keepNext w:val="0"/>
        <w:keepLines w:val="0"/>
        <w:pageBreakBefore w:val="0"/>
        <w:kinsoku/>
        <w:wordWrap/>
        <w:overflowPunct/>
        <w:topLinePunct w:val="0"/>
        <w:autoSpaceDE/>
        <w:autoSpaceDN/>
        <w:bidi w:val="0"/>
        <w:adjustRightInd w:val="0"/>
        <w:spacing w:before="158" w:line="480" w:lineRule="exact"/>
        <w:ind w:firstLine="434" w:firstLineChars="181"/>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2.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pStyle w:val="6"/>
        <w:keepNext w:val="0"/>
        <w:keepLines w:val="0"/>
        <w:pageBreakBefore w:val="0"/>
        <w:kinsoku/>
        <w:wordWrap/>
        <w:overflowPunct/>
        <w:topLinePunct w:val="0"/>
        <w:autoSpaceDE/>
        <w:autoSpaceDN/>
        <w:bidi w:val="0"/>
        <w:adjustRightInd w:val="0"/>
        <w:spacing w:before="158" w:line="480" w:lineRule="exact"/>
        <w:ind w:firstLine="434" w:firstLineChars="181"/>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3.投标地点（网址）：本项目采用全流程电子化交易，无须参加现场开标会 （</w:t>
      </w:r>
      <w:r>
        <w:rPr>
          <w:rFonts w:hint="eastAsia" w:ascii="宋体" w:hAnsi="宋体" w:eastAsia="宋体" w:cs="宋体"/>
          <w:snapToGrid/>
          <w:color w:val="auto"/>
          <w:kern w:val="2"/>
          <w:sz w:val="24"/>
          <w:szCs w:val="24"/>
          <w:highlight w:val="none"/>
          <w:lang w:val="en-US" w:eastAsia="zh-CN" w:bidi="ar-SA"/>
        </w:rPr>
        <w:fldChar w:fldCharType="begin"/>
      </w:r>
      <w:r>
        <w:rPr>
          <w:rFonts w:hint="eastAsia" w:ascii="宋体" w:hAnsi="宋体" w:eastAsia="宋体" w:cs="宋体"/>
          <w:snapToGrid/>
          <w:color w:val="auto"/>
          <w:kern w:val="2"/>
          <w:sz w:val="24"/>
          <w:szCs w:val="24"/>
          <w:highlight w:val="none"/>
          <w:lang w:val="en-US" w:eastAsia="zh-CN" w:bidi="ar-SA"/>
        </w:rPr>
        <w:instrText xml:space="preserve"> HYPERLINK "采购文件（7.9新版本）.doc" </w:instrText>
      </w:r>
      <w:r>
        <w:rPr>
          <w:rFonts w:hint="eastAsia" w:ascii="宋体" w:hAnsi="宋体" w:eastAsia="宋体" w:cs="宋体"/>
          <w:snapToGrid/>
          <w:color w:val="auto"/>
          <w:kern w:val="2"/>
          <w:sz w:val="24"/>
          <w:szCs w:val="24"/>
          <w:highlight w:val="none"/>
          <w:lang w:val="en-US" w:eastAsia="zh-CN" w:bidi="ar-SA"/>
        </w:rPr>
        <w:fldChar w:fldCharType="separate"/>
      </w:r>
      <w:r>
        <w:rPr>
          <w:rFonts w:hint="eastAsia" w:ascii="宋体" w:hAnsi="宋体" w:eastAsia="宋体" w:cs="宋体"/>
          <w:snapToGrid/>
          <w:color w:val="auto"/>
          <w:kern w:val="2"/>
          <w:sz w:val="24"/>
          <w:szCs w:val="24"/>
          <w:highlight w:val="none"/>
          <w:lang w:val="en-US" w:eastAsia="zh-CN" w:bidi="ar-SA"/>
        </w:rPr>
        <w:t>https://www.lecaiyun.com/</w:t>
      </w:r>
      <w:r>
        <w:rPr>
          <w:rFonts w:hint="eastAsia" w:ascii="宋体" w:hAnsi="宋体" w:eastAsia="宋体" w:cs="宋体"/>
          <w:snapToGrid/>
          <w:color w:val="auto"/>
          <w:kern w:val="2"/>
          <w:sz w:val="24"/>
          <w:szCs w:val="24"/>
          <w:highlight w:val="none"/>
          <w:lang w:val="en-US" w:eastAsia="zh-CN" w:bidi="ar-SA"/>
        </w:rPr>
        <w:fldChar w:fldCharType="end"/>
      </w:r>
      <w:r>
        <w:rPr>
          <w:rFonts w:hint="eastAsia" w:ascii="宋体" w:hAnsi="宋体" w:eastAsia="宋体" w:cs="宋体"/>
          <w:snapToGrid/>
          <w:color w:val="auto"/>
          <w:kern w:val="2"/>
          <w:sz w:val="24"/>
          <w:szCs w:val="24"/>
          <w:highlight w:val="none"/>
          <w:lang w:val="en-US" w:eastAsia="zh-CN" w:bidi="ar-SA"/>
        </w:rPr>
        <w:t>）。</w:t>
      </w:r>
    </w:p>
    <w:p>
      <w:pPr>
        <w:keepNext w:val="0"/>
        <w:keepLines w:val="0"/>
        <w:pageBreakBefore w:val="0"/>
        <w:kinsoku/>
        <w:wordWrap/>
        <w:overflowPunct/>
        <w:topLinePunct w:val="0"/>
        <w:autoSpaceDE/>
        <w:autoSpaceDN/>
        <w:bidi w:val="0"/>
        <w:adjustRightInd w:val="0"/>
        <w:spacing w:line="480" w:lineRule="exact"/>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val="en-US" w:eastAsia="zh-CN"/>
        </w:rPr>
        <w:t>八</w:t>
      </w:r>
      <w:r>
        <w:rPr>
          <w:rFonts w:hint="eastAsia" w:ascii="宋体" w:hAnsi="宋体" w:eastAsia="宋体" w:cs="宋体"/>
          <w:b/>
          <w:color w:val="auto"/>
          <w:sz w:val="24"/>
          <w:highlight w:val="none"/>
          <w:lang w:eastAsia="zh-CN"/>
        </w:rPr>
        <w:t>、开标时间与地点：</w:t>
      </w:r>
    </w:p>
    <w:p>
      <w:pPr>
        <w:pStyle w:val="6"/>
        <w:keepNext w:val="0"/>
        <w:keepLines w:val="0"/>
        <w:pageBreakBefore w:val="0"/>
        <w:kinsoku/>
        <w:wordWrap/>
        <w:overflowPunct/>
        <w:topLinePunct w:val="0"/>
        <w:autoSpaceDE/>
        <w:autoSpaceDN/>
        <w:bidi w:val="0"/>
        <w:adjustRightInd w:val="0"/>
        <w:spacing w:before="158" w:line="480" w:lineRule="exact"/>
        <w:ind w:firstLine="434" w:firstLineChars="181"/>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1.开标时间：202</w:t>
      </w:r>
      <w:r>
        <w:rPr>
          <w:rFonts w:hint="eastAsia" w:hAnsi="宋体" w:cs="宋体"/>
          <w:snapToGrid/>
          <w:color w:val="auto"/>
          <w:kern w:val="2"/>
          <w:sz w:val="24"/>
          <w:szCs w:val="24"/>
          <w:highlight w:val="none"/>
          <w:lang w:val="en-US" w:eastAsia="zh-CN" w:bidi="ar-SA"/>
        </w:rPr>
        <w:t>5</w:t>
      </w:r>
      <w:r>
        <w:rPr>
          <w:rFonts w:hint="eastAsia" w:ascii="宋体" w:hAnsi="宋体" w:eastAsia="宋体" w:cs="宋体"/>
          <w:snapToGrid/>
          <w:color w:val="auto"/>
          <w:kern w:val="2"/>
          <w:sz w:val="24"/>
          <w:szCs w:val="24"/>
          <w:highlight w:val="none"/>
          <w:lang w:val="en-US" w:eastAsia="zh-CN" w:bidi="ar-SA"/>
        </w:rPr>
        <w:t>年</w:t>
      </w:r>
      <w:r>
        <w:rPr>
          <w:rFonts w:hint="eastAsia" w:hAnsi="宋体" w:cs="宋体"/>
          <w:snapToGrid/>
          <w:color w:val="auto"/>
          <w:kern w:val="2"/>
          <w:sz w:val="24"/>
          <w:szCs w:val="24"/>
          <w:highlight w:val="none"/>
          <w:lang w:val="en-US" w:eastAsia="zh-CN" w:bidi="ar-SA"/>
        </w:rPr>
        <w:t>4</w:t>
      </w:r>
      <w:r>
        <w:rPr>
          <w:rFonts w:hint="eastAsia" w:ascii="宋体" w:hAnsi="宋体" w:eastAsia="宋体" w:cs="宋体"/>
          <w:snapToGrid/>
          <w:color w:val="auto"/>
          <w:kern w:val="2"/>
          <w:sz w:val="24"/>
          <w:szCs w:val="24"/>
          <w:highlight w:val="none"/>
          <w:lang w:val="en-US" w:eastAsia="zh-CN" w:bidi="ar-SA"/>
        </w:rPr>
        <w:t>月</w:t>
      </w:r>
      <w:r>
        <w:rPr>
          <w:rFonts w:hint="eastAsia" w:hAnsi="宋体" w:cs="宋体"/>
          <w:snapToGrid/>
          <w:color w:val="auto"/>
          <w:kern w:val="2"/>
          <w:sz w:val="24"/>
          <w:szCs w:val="24"/>
          <w:highlight w:val="none"/>
          <w:lang w:val="en-US" w:eastAsia="zh-CN" w:bidi="ar-SA"/>
        </w:rPr>
        <w:t>1日09</w:t>
      </w:r>
      <w:r>
        <w:rPr>
          <w:rFonts w:hint="eastAsia" w:ascii="宋体" w:hAnsi="宋体" w:eastAsia="宋体" w:cs="宋体"/>
          <w:snapToGrid/>
          <w:color w:val="auto"/>
          <w:kern w:val="2"/>
          <w:sz w:val="24"/>
          <w:szCs w:val="24"/>
          <w:highlight w:val="none"/>
          <w:lang w:val="en-US" w:eastAsia="zh-CN" w:bidi="ar-SA"/>
        </w:rPr>
        <w:t>时</w:t>
      </w:r>
      <w:r>
        <w:rPr>
          <w:rFonts w:hint="eastAsia" w:hAnsi="宋体" w:cs="宋体"/>
          <w:snapToGrid/>
          <w:color w:val="auto"/>
          <w:kern w:val="2"/>
          <w:sz w:val="24"/>
          <w:szCs w:val="24"/>
          <w:highlight w:val="none"/>
          <w:lang w:val="en-US" w:eastAsia="zh-CN" w:bidi="ar-SA"/>
        </w:rPr>
        <w:t>00</w:t>
      </w:r>
      <w:r>
        <w:rPr>
          <w:rFonts w:hint="eastAsia" w:ascii="宋体" w:hAnsi="宋体" w:eastAsia="宋体" w:cs="宋体"/>
          <w:snapToGrid/>
          <w:color w:val="auto"/>
          <w:kern w:val="2"/>
          <w:sz w:val="24"/>
          <w:szCs w:val="24"/>
          <w:highlight w:val="none"/>
          <w:lang w:val="en-US" w:eastAsia="zh-CN" w:bidi="ar-SA"/>
        </w:rPr>
        <w:t>分（北京时间）；</w:t>
      </w:r>
    </w:p>
    <w:p>
      <w:pPr>
        <w:pStyle w:val="6"/>
        <w:keepNext w:val="0"/>
        <w:keepLines w:val="0"/>
        <w:pageBreakBefore w:val="0"/>
        <w:kinsoku/>
        <w:wordWrap/>
        <w:overflowPunct/>
        <w:topLinePunct w:val="0"/>
        <w:autoSpaceDE/>
        <w:autoSpaceDN/>
        <w:bidi w:val="0"/>
        <w:adjustRightInd w:val="0"/>
        <w:spacing w:before="158" w:line="480" w:lineRule="exact"/>
        <w:ind w:firstLine="434" w:firstLineChars="181"/>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2.开标地点（网址）：</w:t>
      </w:r>
      <w:r>
        <w:rPr>
          <w:rFonts w:hint="eastAsia" w:ascii="宋体" w:hAnsi="宋体" w:cs="宋体"/>
          <w:color w:val="auto"/>
          <w:sz w:val="24"/>
          <w:highlight w:val="none"/>
          <w:lang w:eastAsia="zh-CN"/>
        </w:rPr>
        <w:t>乐采云平台</w:t>
      </w:r>
      <w:r>
        <w:rPr>
          <w:rFonts w:hint="eastAsia" w:ascii="宋体" w:hAnsi="宋体" w:eastAsia="宋体" w:cs="宋体"/>
          <w:snapToGrid/>
          <w:color w:val="auto"/>
          <w:kern w:val="2"/>
          <w:sz w:val="24"/>
          <w:szCs w:val="24"/>
          <w:highlight w:val="none"/>
          <w:lang w:val="en-US" w:eastAsia="zh-CN" w:bidi="ar-SA"/>
        </w:rPr>
        <w:t>（</w:t>
      </w:r>
      <w:r>
        <w:rPr>
          <w:rFonts w:hint="eastAsia" w:ascii="宋体" w:hAnsi="宋体" w:eastAsia="宋体" w:cs="宋体"/>
          <w:snapToGrid/>
          <w:color w:val="auto"/>
          <w:kern w:val="2"/>
          <w:sz w:val="24"/>
          <w:szCs w:val="24"/>
          <w:highlight w:val="none"/>
          <w:lang w:val="en-US" w:eastAsia="zh-CN" w:bidi="ar-SA"/>
        </w:rPr>
        <w:fldChar w:fldCharType="begin"/>
      </w:r>
      <w:r>
        <w:rPr>
          <w:rFonts w:hint="eastAsia" w:ascii="宋体" w:hAnsi="宋体" w:eastAsia="宋体" w:cs="宋体"/>
          <w:snapToGrid/>
          <w:color w:val="auto"/>
          <w:kern w:val="2"/>
          <w:sz w:val="24"/>
          <w:szCs w:val="24"/>
          <w:highlight w:val="none"/>
          <w:lang w:val="en-US" w:eastAsia="zh-CN" w:bidi="ar-SA"/>
        </w:rPr>
        <w:instrText xml:space="preserve"> HYPERLINK "采购文件（7.9新版本）.doc" </w:instrText>
      </w:r>
      <w:r>
        <w:rPr>
          <w:rFonts w:hint="eastAsia" w:ascii="宋体" w:hAnsi="宋体" w:eastAsia="宋体" w:cs="宋体"/>
          <w:snapToGrid/>
          <w:color w:val="auto"/>
          <w:kern w:val="2"/>
          <w:sz w:val="24"/>
          <w:szCs w:val="24"/>
          <w:highlight w:val="none"/>
          <w:lang w:val="en-US" w:eastAsia="zh-CN" w:bidi="ar-SA"/>
        </w:rPr>
        <w:fldChar w:fldCharType="separate"/>
      </w:r>
      <w:r>
        <w:rPr>
          <w:rFonts w:hint="eastAsia" w:ascii="宋体" w:hAnsi="宋体" w:eastAsia="宋体" w:cs="宋体"/>
          <w:snapToGrid/>
          <w:color w:val="auto"/>
          <w:kern w:val="2"/>
          <w:sz w:val="24"/>
          <w:szCs w:val="24"/>
          <w:highlight w:val="none"/>
          <w:lang w:val="en-US" w:eastAsia="zh-CN" w:bidi="ar-SA"/>
        </w:rPr>
        <w:t>https://www.lecaiyun.com/</w:t>
      </w:r>
      <w:r>
        <w:rPr>
          <w:rFonts w:hint="eastAsia" w:ascii="宋体" w:hAnsi="宋体" w:eastAsia="宋体" w:cs="宋体"/>
          <w:snapToGrid/>
          <w:color w:val="auto"/>
          <w:kern w:val="2"/>
          <w:sz w:val="24"/>
          <w:szCs w:val="24"/>
          <w:highlight w:val="none"/>
          <w:lang w:val="en-US" w:eastAsia="zh-CN" w:bidi="ar-SA"/>
        </w:rPr>
        <w:fldChar w:fldCharType="end"/>
      </w:r>
      <w:r>
        <w:rPr>
          <w:rFonts w:hint="eastAsia" w:ascii="宋体" w:hAnsi="宋体" w:eastAsia="宋体" w:cs="宋体"/>
          <w:snapToGrid/>
          <w:color w:val="auto"/>
          <w:kern w:val="2"/>
          <w:sz w:val="24"/>
          <w:szCs w:val="24"/>
          <w:highlight w:val="none"/>
          <w:lang w:val="en-US" w:eastAsia="zh-CN" w:bidi="ar-SA"/>
        </w:rPr>
        <w:t>）</w:t>
      </w:r>
      <w:r>
        <w:rPr>
          <w:rFonts w:hint="eastAsia" w:hAnsi="宋体" w:cs="宋体"/>
          <w:snapToGrid/>
          <w:color w:val="auto"/>
          <w:kern w:val="2"/>
          <w:sz w:val="24"/>
          <w:szCs w:val="24"/>
          <w:highlight w:val="none"/>
          <w:lang w:val="en-US" w:eastAsia="zh-CN" w:bidi="ar-SA"/>
        </w:rPr>
        <w:t>，实行在线开标响应。</w:t>
      </w:r>
    </w:p>
    <w:p>
      <w:pPr>
        <w:keepNext w:val="0"/>
        <w:keepLines w:val="0"/>
        <w:pageBreakBefore w:val="0"/>
        <w:kinsoku/>
        <w:wordWrap/>
        <w:overflowPunct/>
        <w:topLinePunct w:val="0"/>
        <w:autoSpaceDE/>
        <w:autoSpaceDN/>
        <w:bidi w:val="0"/>
        <w:adjustRightInd w:val="0"/>
        <w:spacing w:line="480" w:lineRule="exact"/>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 xml:space="preserve">九、公告期限 </w:t>
      </w:r>
    </w:p>
    <w:p>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pPr>
        <w:keepNext w:val="0"/>
        <w:keepLines w:val="0"/>
        <w:pageBreakBefore w:val="0"/>
        <w:kinsoku/>
        <w:wordWrap/>
        <w:overflowPunct/>
        <w:topLinePunct w:val="0"/>
        <w:autoSpaceDE/>
        <w:autoSpaceDN/>
        <w:bidi w:val="0"/>
        <w:adjustRightInd w:val="0"/>
        <w:spacing w:line="480" w:lineRule="exact"/>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十、本项目为非政府采购项目。</w:t>
      </w:r>
    </w:p>
    <w:p>
      <w:pPr>
        <w:keepNext w:val="0"/>
        <w:keepLines w:val="0"/>
        <w:pageBreakBefore w:val="0"/>
        <w:kinsoku/>
        <w:wordWrap/>
        <w:overflowPunct/>
        <w:topLinePunct w:val="0"/>
        <w:autoSpaceDE/>
        <w:autoSpaceDN/>
        <w:bidi w:val="0"/>
        <w:adjustRightInd w:val="0"/>
        <w:spacing w:line="48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十一</w:t>
      </w:r>
      <w:r>
        <w:rPr>
          <w:rFonts w:hint="eastAsia" w:ascii="宋体" w:hAnsi="宋体" w:eastAsia="宋体" w:cs="宋体"/>
          <w:b/>
          <w:color w:val="auto"/>
          <w:sz w:val="24"/>
          <w:highlight w:val="none"/>
        </w:rPr>
        <w:t>、电子招投标的说明：</w:t>
      </w:r>
    </w:p>
    <w:p>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1.电子招投标：本项目以数据电文形式，依托“乐采云平台（www.lecaiyun.com）”进行招投标活动，各投标人应按照本项目采购文件和乐采云平台的要求编制、加密并递交投标文件，不接受纸质投标文件。</w:t>
      </w:r>
    </w:p>
    <w:p>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2.投标准备：</w:t>
      </w:r>
    </w:p>
    <w:p>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投标人应为乐采云平台供应商，注册地址：乐采云平台-商家注册--注册地址：https://middle-lcy.lecaiyun.com/v-settle-front/enter/accountNew?settleCategory=1&amp;entranceType=150&amp;utm=luban.luban-PC-55609.ct001.9.d37d2350548211ef93937d90641fa708），进行乐采云平台供应商资料填写，通过平台审核后成为乐采云平台供应商。</w:t>
      </w:r>
    </w:p>
    <w:p>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2）申领CA数字证书---申领流程详见“乐采云平台-服务中心-CA管理-申领CA证书-CA驱动和申领流程”：投标人应在开标前完成CA数字证书办理，完成CA数字证书办理预计1-2周左右，各投标人应充分考虑办理时间等因素。</w:t>
      </w:r>
    </w:p>
    <w:p>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办理流程详见:CA管理操作指南https://lecaiyun.com/helpcenter/document#/document/detail?siteCode=lecaiyun&amp;manualId=2185&amp;topicId=12851</w:t>
      </w:r>
    </w:p>
    <w:p>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3）安装“乐采云电子交易客户端”----投标人通过乐采云平台电子投标工具制作投标文件，前往“乐采云平台-服务中心-电子交易客户端”进行下载并安装。乐采云电子交易客户端：https://sitecdn.zcycdn.com/zcy-client/bidding-client-new/official/lcy/LeCaiYunSetup.latest.exe</w:t>
      </w:r>
    </w:p>
    <w:p>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3.采购文件的获取：使用账号登录或者使用CA登录乐采云平台；进入“项目采购”应用，在获取采购文件菜单中选择项目，获取采购文件。</w:t>
      </w:r>
    </w:p>
    <w:p>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4.投标文件的制作：在“乐采云电子交易客户端”中完成“填写基本信息”、“导入投标文件”、“标书关联”、“标书检查”、“电子签名”、“生成电子标书”等操作。</w:t>
      </w:r>
    </w:p>
    <w:p>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5.投标文件的传输递交：投标人在投标截止时间前将加密的投标文件上传至乐采云平台。</w:t>
      </w:r>
    </w:p>
    <w:p>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6.投标文件的解密：投标人按照平台提示和采购文件的规定在开标时间起30分钟内完成在线解密。</w:t>
      </w:r>
    </w:p>
    <w:p>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b/>
          <w:color w:val="auto"/>
          <w:sz w:val="24"/>
          <w:highlight w:val="none"/>
          <w:lang w:val="en-US" w:eastAsia="zh-CN"/>
        </w:rPr>
      </w:pPr>
      <w:r>
        <w:rPr>
          <w:rFonts w:hint="eastAsia" w:ascii="宋体" w:hAnsi="宋体" w:eastAsia="宋体" w:cs="宋体"/>
          <w:b w:val="0"/>
          <w:bCs/>
          <w:color w:val="auto"/>
          <w:sz w:val="24"/>
          <w:highlight w:val="none"/>
          <w:lang w:val="en-US" w:eastAsia="zh-CN"/>
        </w:rPr>
        <w:t>7.供应商在使用系统进行投标的过程中遇到涉及平台使用的任何问题，可致电乐采云平台技术支持热线咨询，联系方式：95763。</w:t>
      </w:r>
    </w:p>
    <w:p>
      <w:pPr>
        <w:keepNext w:val="0"/>
        <w:keepLines w:val="0"/>
        <w:pageBreakBefore w:val="0"/>
        <w:kinsoku/>
        <w:wordWrap/>
        <w:overflowPunct/>
        <w:topLinePunct w:val="0"/>
        <w:autoSpaceDE/>
        <w:autoSpaceDN/>
        <w:bidi w:val="0"/>
        <w:adjustRightInd w:val="0"/>
        <w:spacing w:line="480" w:lineRule="exact"/>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十一、对本次采购提出询问、质疑、投诉，请按以下方式联系</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建德市乾潭镇下梓村股份经济合作社</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cs="宋体"/>
          <w:color w:val="auto"/>
          <w:sz w:val="24"/>
          <w:highlight w:val="none"/>
          <w:lang w:eastAsia="zh-CN"/>
        </w:rPr>
        <w:t xml:space="preserve">建德市乾潭镇下梓村  </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 xml:space="preserve">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陈先生</w:t>
      </w:r>
      <w:r>
        <w:rPr>
          <w:rFonts w:hint="eastAsia" w:ascii="宋体" w:hAnsi="宋体" w:cs="宋体"/>
          <w:color w:val="auto"/>
          <w:sz w:val="24"/>
          <w:highlight w:val="none"/>
          <w:lang w:eastAsia="zh-CN"/>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eastAsia="zh-CN"/>
        </w:rPr>
        <w:t xml:space="preserve">13375713712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 xml:space="preserve">陈先生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highlight w:val="none"/>
        </w:rPr>
        <w:t xml:space="preserve"> </w:t>
      </w:r>
    </w:p>
    <w:p>
      <w:pPr>
        <w:spacing w:line="360" w:lineRule="auto"/>
        <w:ind w:firstLine="480"/>
        <w:rPr>
          <w:rFonts w:hint="eastAsia" w:ascii="宋体" w:hAnsi="宋体" w:eastAsia="宋体" w:cs="宋体"/>
          <w:color w:val="auto"/>
          <w:sz w:val="24"/>
          <w:highlight w:val="none"/>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18042313050</w:t>
      </w:r>
      <w:r>
        <w:rPr>
          <w:rFonts w:hint="eastAsia" w:ascii="宋体" w:hAnsi="宋体" w:eastAsia="宋体" w:cs="宋体"/>
          <w:color w:val="auto"/>
          <w:sz w:val="24"/>
          <w:highlight w:val="none"/>
        </w:rPr>
        <w:t xml:space="preserve">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2.采购代理机构信息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杭州博望建设工程招标投标代理有限公司</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bookmarkStart w:id="16" w:name="OLE_LINK13"/>
      <w:r>
        <w:rPr>
          <w:rFonts w:hint="eastAsia" w:ascii="宋体" w:hAnsi="宋体" w:eastAsia="宋体" w:cs="宋体"/>
          <w:color w:val="auto"/>
          <w:sz w:val="24"/>
          <w:highlight w:val="none"/>
        </w:rPr>
        <w:t>浙江省建德市新安江街道新安财富城6幢b座</w:t>
      </w:r>
      <w:r>
        <w:rPr>
          <w:rFonts w:hint="eastAsia" w:ascii="宋体" w:hAnsi="宋体" w:eastAsia="宋体" w:cs="宋体"/>
          <w:color w:val="auto"/>
          <w:sz w:val="24"/>
          <w:highlight w:val="none"/>
          <w:lang w:val="en-US" w:eastAsia="zh-CN"/>
        </w:rPr>
        <w:t>1201</w:t>
      </w:r>
      <w:r>
        <w:rPr>
          <w:rFonts w:hint="eastAsia" w:ascii="宋体" w:hAnsi="宋体" w:eastAsia="宋体" w:cs="宋体"/>
          <w:color w:val="auto"/>
          <w:sz w:val="24"/>
          <w:highlight w:val="none"/>
        </w:rPr>
        <w:t>室</w:t>
      </w:r>
      <w:bookmarkEnd w:id="16"/>
    </w:p>
    <w:p>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传    真：</w:t>
      </w:r>
      <w:r>
        <w:rPr>
          <w:rFonts w:hint="eastAsia" w:ascii="宋体" w:hAnsi="宋体" w:cs="宋体"/>
          <w:color w:val="auto"/>
          <w:sz w:val="24"/>
          <w:szCs w:val="24"/>
          <w:highlight w:val="none"/>
          <w:lang w:val="en-US" w:eastAsia="zh-CN"/>
        </w:rPr>
        <w:t>/</w:t>
      </w:r>
    </w:p>
    <w:p>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eastAsia="zh-CN"/>
        </w:rPr>
        <w:t>陈先生</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w:t>
      </w:r>
      <w:r>
        <w:rPr>
          <w:rFonts w:hint="eastAsia" w:ascii="宋体" w:hAnsi="宋体" w:cs="宋体"/>
          <w:color w:val="auto"/>
          <w:sz w:val="24"/>
          <w:highlight w:val="none"/>
          <w:lang w:val="en-US" w:eastAsia="zh-CN"/>
        </w:rPr>
        <w:t>13758155274</w:t>
      </w:r>
      <w:r>
        <w:rPr>
          <w:rFonts w:hint="eastAsia" w:ascii="宋体" w:hAnsi="宋体" w:eastAsia="宋体" w:cs="宋体"/>
          <w:color w:val="auto"/>
          <w:sz w:val="24"/>
          <w:highlight w:val="none"/>
          <w:lang w:val="en-US" w:eastAsia="zh-CN"/>
        </w:rPr>
        <w:t xml:space="preserve">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w:t>
      </w:r>
      <w:r>
        <w:rPr>
          <w:rFonts w:hint="eastAsia" w:ascii="宋体" w:hAnsi="宋体" w:eastAsia="宋体" w:cs="宋体"/>
          <w:color w:val="auto"/>
          <w:sz w:val="24"/>
          <w:highlight w:val="none"/>
          <w:lang w:val="en-US" w:eastAsia="zh-CN"/>
        </w:rPr>
        <w:t>黄先生</w:t>
      </w:r>
    </w:p>
    <w:p>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质疑联系方式：0571-64182360</w:t>
      </w:r>
    </w:p>
    <w:p>
      <w:pPr>
        <w:spacing w:line="360" w:lineRule="auto"/>
        <w:rPr>
          <w:rFonts w:ascii="宋体" w:hAnsi="宋体" w:cs="宋体"/>
          <w:color w:val="auto"/>
          <w:sz w:val="24"/>
          <w:highlight w:val="none"/>
        </w:rPr>
      </w:pPr>
      <w:r>
        <w:rPr>
          <w:rFonts w:hint="eastAsia" w:ascii="宋体" w:hAnsi="宋体" w:eastAsia="宋体" w:cs="宋体"/>
          <w:color w:val="auto"/>
          <w:sz w:val="24"/>
          <w:highlight w:val="none"/>
        </w:rPr>
        <w:t xml:space="preserve">    3.</w:t>
      </w:r>
      <w:r>
        <w:rPr>
          <w:rFonts w:hint="eastAsia" w:ascii="宋体" w:hAnsi="宋体" w:cs="宋体"/>
          <w:color w:val="auto"/>
          <w:sz w:val="24"/>
          <w:highlight w:val="none"/>
        </w:rPr>
        <w:t xml:space="preserve">监督管理部门            </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名 称：建德市乾潭镇人民政府</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地 址：建德市乾潭镇</w:t>
      </w:r>
      <w:r>
        <w:rPr>
          <w:rFonts w:hint="eastAsia" w:ascii="宋体" w:hAnsi="宋体" w:cs="宋体"/>
          <w:color w:val="auto"/>
          <w:sz w:val="24"/>
          <w:highlight w:val="none"/>
          <w:lang w:eastAsia="zh-CN"/>
        </w:rPr>
        <w:t>世纪广场</w:t>
      </w:r>
      <w:r>
        <w:rPr>
          <w:rFonts w:hint="eastAsia" w:ascii="宋体" w:hAnsi="宋体" w:cs="宋体"/>
          <w:color w:val="auto"/>
          <w:sz w:val="24"/>
          <w:highlight w:val="none"/>
          <w:lang w:val="en-US" w:eastAsia="zh-CN"/>
        </w:rPr>
        <w:t>1号</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传    真：/</w:t>
      </w:r>
    </w:p>
    <w:p>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联 系 人：</w:t>
      </w:r>
      <w:r>
        <w:rPr>
          <w:rFonts w:hint="eastAsia" w:ascii="宋体" w:hAnsi="宋体" w:cs="宋体"/>
          <w:color w:val="auto"/>
          <w:sz w:val="24"/>
          <w:highlight w:val="none"/>
          <w:lang w:eastAsia="zh-CN"/>
        </w:rPr>
        <w:t>叶女士</w:t>
      </w:r>
    </w:p>
    <w:p>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监督投诉电话：</w:t>
      </w:r>
      <w:r>
        <w:rPr>
          <w:rFonts w:hint="eastAsia" w:ascii="宋体" w:hAnsi="宋体" w:eastAsia="宋体" w:cs="宋体"/>
          <w:color w:val="auto"/>
          <w:sz w:val="24"/>
          <w:highlight w:val="none"/>
          <w:lang w:val="en-US" w:eastAsia="zh-CN"/>
        </w:rPr>
        <w:t>15158882701</w:t>
      </w:r>
    </w:p>
    <w:p>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若对项目采购电子交易系统操作有疑问，可登录乐采云（</w:t>
      </w:r>
      <w:r>
        <w:rPr>
          <w:rFonts w:hint="eastAsia" w:ascii="宋体" w:hAnsi="宋体" w:eastAsia="宋体" w:cs="宋体"/>
          <w:b w:val="0"/>
          <w:bCs/>
          <w:color w:val="auto"/>
          <w:sz w:val="24"/>
          <w:highlight w:val="none"/>
          <w:lang w:val="en-US" w:eastAsia="zh-CN"/>
        </w:rPr>
        <w:fldChar w:fldCharType="begin"/>
      </w:r>
      <w:r>
        <w:rPr>
          <w:rFonts w:hint="eastAsia" w:ascii="宋体" w:hAnsi="宋体" w:eastAsia="宋体" w:cs="宋体"/>
          <w:b w:val="0"/>
          <w:bCs/>
          <w:color w:val="auto"/>
          <w:sz w:val="24"/>
          <w:highlight w:val="none"/>
          <w:lang w:val="en-US" w:eastAsia="zh-CN"/>
        </w:rPr>
        <w:instrText xml:space="preserve"> HYPERLINK "采购文件（7.9新版本）.doc" </w:instrText>
      </w:r>
      <w:r>
        <w:rPr>
          <w:rFonts w:hint="eastAsia" w:ascii="宋体" w:hAnsi="宋体" w:eastAsia="宋体" w:cs="宋体"/>
          <w:b w:val="0"/>
          <w:bCs/>
          <w:color w:val="auto"/>
          <w:sz w:val="24"/>
          <w:highlight w:val="none"/>
          <w:lang w:val="en-US" w:eastAsia="zh-CN"/>
        </w:rPr>
        <w:fldChar w:fldCharType="separate"/>
      </w:r>
      <w:r>
        <w:rPr>
          <w:rFonts w:hint="eastAsia" w:ascii="宋体" w:hAnsi="宋体" w:eastAsia="宋体" w:cs="宋体"/>
          <w:b w:val="0"/>
          <w:bCs/>
          <w:color w:val="auto"/>
          <w:sz w:val="24"/>
          <w:highlight w:val="none"/>
          <w:lang w:val="en-US" w:eastAsia="zh-CN"/>
        </w:rPr>
        <w:t>https://www.lecaiyun.com/</w:t>
      </w:r>
      <w:r>
        <w:rPr>
          <w:rFonts w:hint="eastAsia" w:ascii="宋体" w:hAnsi="宋体" w:eastAsia="宋体" w:cs="宋体"/>
          <w:b w:val="0"/>
          <w:bCs/>
          <w:color w:val="auto"/>
          <w:sz w:val="24"/>
          <w:highlight w:val="none"/>
          <w:lang w:val="en-US" w:eastAsia="zh-CN"/>
        </w:rPr>
        <w:fldChar w:fldCharType="end"/>
      </w:r>
      <w:r>
        <w:rPr>
          <w:rFonts w:hint="eastAsia" w:ascii="宋体" w:hAnsi="宋体" w:eastAsia="宋体" w:cs="宋体"/>
          <w:b w:val="0"/>
          <w:bCs/>
          <w:color w:val="auto"/>
          <w:sz w:val="24"/>
          <w:highlight w:val="none"/>
          <w:lang w:val="en-US" w:eastAsia="zh-CN"/>
        </w:rPr>
        <w:t>），点击右侧咨询小采，获取采小蜜智能服务管家帮助，或拨打政采云有限公司服务热线95763获取热线服务帮助。</w:t>
      </w:r>
    </w:p>
    <w:p>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CA问题联系电话（人工）：汇信CA 400-888-4636；天谷CA 400-087-8198。</w:t>
      </w:r>
    </w:p>
    <w:p>
      <w:pPr>
        <w:pStyle w:val="36"/>
        <w:spacing w:line="360" w:lineRule="auto"/>
        <w:rPr>
          <w:rFonts w:hint="eastAsia" w:ascii="宋体" w:hAnsi="宋体" w:eastAsia="宋体" w:cs="宋体"/>
          <w:b/>
          <w:color w:val="auto"/>
          <w:sz w:val="36"/>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36"/>
          <w:szCs w:val="20"/>
          <w:highlight w:val="none"/>
        </w:rPr>
        <w:t xml:space="preserve"> </w:t>
      </w:r>
    </w:p>
    <w:p>
      <w:pPr>
        <w:pStyle w:val="4"/>
        <w:rPr>
          <w:rFonts w:hint="eastAsia" w:ascii="宋体" w:hAnsi="宋体" w:eastAsia="宋体" w:cs="宋体"/>
          <w:snapToGrid w:val="0"/>
          <w:color w:val="auto"/>
          <w:highlight w:val="none"/>
        </w:rPr>
      </w:pPr>
      <w:r>
        <w:rPr>
          <w:rFonts w:hint="eastAsia" w:ascii="宋体" w:hAnsi="宋体" w:eastAsia="宋体" w:cs="宋体"/>
          <w:color w:val="auto"/>
          <w:highlight w:val="none"/>
        </w:rPr>
        <w:br w:type="page"/>
      </w:r>
    </w:p>
    <w:bookmarkEnd w:id="12"/>
    <w:bookmarkEnd w:id="13"/>
    <w:bookmarkEnd w:id="14"/>
    <w:p>
      <w:pPr>
        <w:adjustRightInd/>
        <w:spacing w:line="360" w:lineRule="auto"/>
        <w:ind w:firstLine="723"/>
        <w:jc w:val="center"/>
        <w:outlineLvl w:val="0"/>
        <w:rPr>
          <w:rFonts w:ascii="宋体" w:hAnsi="宋体" w:cs="宋体"/>
          <w:b/>
          <w:color w:val="auto"/>
          <w:sz w:val="36"/>
          <w:szCs w:val="20"/>
          <w:highlight w:val="none"/>
        </w:rPr>
      </w:pPr>
      <w:bookmarkStart w:id="17" w:name="_Toc91899903"/>
      <w:bookmarkStart w:id="18" w:name="第三部分"/>
      <w:bookmarkStart w:id="19" w:name="_Toc164416483"/>
      <w:r>
        <w:rPr>
          <w:rFonts w:hint="eastAsia" w:ascii="宋体" w:hAnsi="宋体" w:cs="宋体"/>
          <w:b/>
          <w:color w:val="auto"/>
          <w:sz w:val="36"/>
          <w:szCs w:val="20"/>
          <w:highlight w:val="none"/>
        </w:rPr>
        <w:t>第二部分 投标人须知</w:t>
      </w:r>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76"/>
        <w:tblW w:w="888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786"/>
        <w:gridCol w:w="6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0" w:hRule="atLeast"/>
          <w:tblHeader/>
        </w:trPr>
        <w:tc>
          <w:tcPr>
            <w:tcW w:w="629" w:type="dxa"/>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786" w:type="dxa"/>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472" w:type="dxa"/>
            <w:vAlign w:val="center"/>
          </w:tcPr>
          <w:p>
            <w:pPr>
              <w:snapToGrid w:val="0"/>
              <w:ind w:firstLine="482"/>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02" w:hRule="atLeast"/>
          <w:tblHeader/>
        </w:trPr>
        <w:tc>
          <w:tcPr>
            <w:tcW w:w="629" w:type="dxa"/>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1</w:t>
            </w:r>
          </w:p>
        </w:tc>
        <w:tc>
          <w:tcPr>
            <w:tcW w:w="1786" w:type="dxa"/>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472" w:type="dxa"/>
            <w:vAlign w:val="center"/>
          </w:tcPr>
          <w:p>
            <w:pPr>
              <w:rPr>
                <w:rFonts w:ascii="宋体" w:hAnsi="宋体" w:cs="宋体"/>
                <w:color w:val="auto"/>
                <w:sz w:val="24"/>
                <w:highlight w:val="none"/>
              </w:rPr>
            </w:pPr>
            <w:r>
              <w:rPr>
                <w:rFonts w:hint="eastAsia" w:ascii="宋体" w:hAnsi="宋体" w:cs="宋体"/>
                <w:color w:val="auto"/>
                <w:sz w:val="24"/>
                <w:highlight w:val="none"/>
              </w:rPr>
              <w:t>货物类。单一产品或核心产品为：</w:t>
            </w:r>
            <w:r>
              <w:rPr>
                <w:rFonts w:hint="eastAsia" w:ascii="宋体" w:hAnsi="宋体" w:cs="宋体"/>
                <w:color w:val="auto"/>
                <w:sz w:val="24"/>
                <w:highlight w:val="none"/>
                <w:lang w:val="en-US" w:eastAsia="zh-CN"/>
              </w:rPr>
              <w:t>核心交换机</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0" w:hRule="atLeast"/>
          <w:tblHeader/>
        </w:trPr>
        <w:tc>
          <w:tcPr>
            <w:tcW w:w="629" w:type="dxa"/>
          </w:tcPr>
          <w:p>
            <w:pPr>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c>
          <w:tcPr>
            <w:tcW w:w="1786" w:type="dxa"/>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是否允许采购</w:t>
            </w:r>
          </w:p>
          <w:p>
            <w:pPr>
              <w:snapToGrid w:val="0"/>
              <w:jc w:val="center"/>
              <w:rPr>
                <w:rFonts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进口产品</w:t>
            </w:r>
          </w:p>
        </w:tc>
        <w:tc>
          <w:tcPr>
            <w:tcW w:w="6472" w:type="dxa"/>
            <w:vAlign w:val="center"/>
          </w:tcPr>
          <w:p>
            <w:pPr>
              <w:rPr>
                <w:rFonts w:ascii="宋体" w:hAnsi="宋体" w:cs="宋体"/>
                <w:color w:val="auto"/>
                <w:kern w:val="0"/>
                <w:sz w:val="24"/>
                <w:highlight w:val="none"/>
              </w:rPr>
            </w:pPr>
            <w:r>
              <w:rPr>
                <w:rFonts w:hint="eastAsia" w:ascii="宋体" w:hAnsi="宋体" w:cs="宋体"/>
                <w:color w:val="auto"/>
                <w:kern w:val="0"/>
                <w:sz w:val="24"/>
                <w:highlight w:val="none"/>
              </w:rPr>
              <w:sym w:font="Wingdings" w:char="00FE"/>
            </w:r>
            <w:r>
              <w:rPr>
                <w:rFonts w:hint="eastAsia" w:ascii="宋体" w:hAnsi="宋体" w:cs="宋体"/>
                <w:color w:val="auto"/>
                <w:kern w:val="0"/>
                <w:sz w:val="24"/>
                <w:highlight w:val="none"/>
              </w:rPr>
              <w:t>本项目不允许采购进口产品。</w:t>
            </w:r>
          </w:p>
          <w:p>
            <w:pPr>
              <w:rPr>
                <w:rFonts w:ascii="宋体" w:hAnsi="宋体" w:eastAsia="宋体" w:cs="宋体"/>
                <w:color w:val="auto"/>
                <w:kern w:val="2"/>
                <w:sz w:val="21"/>
                <w:szCs w:val="24"/>
                <w:highlight w:val="none"/>
                <w:lang w:val="en-US" w:eastAsia="zh-CN" w:bidi="ar-SA"/>
              </w:rPr>
            </w:pP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32" w:hRule="atLeast"/>
          <w:tblHeader/>
        </w:trPr>
        <w:tc>
          <w:tcPr>
            <w:tcW w:w="629" w:type="dxa"/>
          </w:tcPr>
          <w:p>
            <w:pPr>
              <w:snapToGrid w:val="0"/>
              <w:jc w:val="center"/>
              <w:rPr>
                <w:rFonts w:ascii="宋体" w:hAnsi="宋体" w:cs="宋体"/>
                <w:color w:val="auto"/>
                <w:sz w:val="24"/>
                <w:highlight w:val="none"/>
              </w:rPr>
            </w:pPr>
          </w:p>
          <w:p>
            <w:pPr>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1786" w:type="dxa"/>
            <w:vAlign w:val="center"/>
          </w:tcPr>
          <w:p>
            <w:pPr>
              <w:snapToGrid w:val="0"/>
              <w:jc w:val="center"/>
              <w:rPr>
                <w:rFonts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分包</w:t>
            </w:r>
          </w:p>
        </w:tc>
        <w:tc>
          <w:tcPr>
            <w:tcW w:w="6472" w:type="dxa"/>
            <w:vAlign w:val="center"/>
          </w:tcPr>
          <w:p>
            <w:pPr>
              <w:rPr>
                <w:rFonts w:hint="eastAsia" w:ascii="宋体" w:hAnsi="宋体" w:cs="宋体"/>
                <w:color w:val="auto"/>
                <w:sz w:val="24"/>
                <w:highlight w:val="none"/>
              </w:rPr>
            </w:pPr>
            <w:r>
              <w:rPr>
                <w:rFonts w:ascii="Wingdings" w:hAnsi="Wingdings" w:cs="宋体"/>
                <w:color w:val="auto"/>
                <w:kern w:val="0"/>
                <w:sz w:val="24"/>
                <w:highlight w:val="none"/>
              </w:rPr>
              <w:sym w:font="Wingdings" w:char="00A8"/>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pPr>
              <w:rPr>
                <w:rFonts w:ascii="宋体" w:hAnsi="宋体" w:eastAsia="宋体" w:cs="宋体"/>
                <w:color w:val="auto"/>
                <w:kern w:val="2"/>
                <w:sz w:val="24"/>
                <w:szCs w:val="24"/>
                <w:highlight w:val="none"/>
                <w:lang w:val="en-US" w:eastAsia="zh-CN" w:bidi="ar-SA"/>
              </w:rPr>
            </w:pPr>
            <w:r>
              <w:rPr>
                <w:rFonts w:ascii="Wingdings" w:hAnsi="Wingdings" w:cs="宋体"/>
                <w:color w:val="auto"/>
                <w:kern w:val="0"/>
                <w:sz w:val="24"/>
                <w:highlight w:val="none"/>
              </w:rPr>
              <w:sym w:font="Wingdings" w:char="00FE"/>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000" w:hRule="atLeast"/>
          <w:tblHeader/>
        </w:trPr>
        <w:tc>
          <w:tcPr>
            <w:tcW w:w="629" w:type="dxa"/>
            <w:vAlign w:val="center"/>
          </w:tcPr>
          <w:p>
            <w:pPr>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1786" w:type="dxa"/>
            <w:vAlign w:val="center"/>
          </w:tcPr>
          <w:p>
            <w:pPr>
              <w:snapToGrid w:val="0"/>
              <w:jc w:val="center"/>
              <w:rPr>
                <w:rFonts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开标前答疑会或现场考察</w:t>
            </w:r>
          </w:p>
        </w:tc>
        <w:tc>
          <w:tcPr>
            <w:tcW w:w="6472" w:type="dxa"/>
            <w:vAlign w:val="center"/>
          </w:tcPr>
          <w:p>
            <w:pPr>
              <w:rPr>
                <w:rFonts w:ascii="宋体" w:hAnsi="宋体" w:cs="宋体"/>
                <w:color w:val="auto"/>
                <w:sz w:val="24"/>
                <w:highlight w:val="none"/>
              </w:rPr>
            </w:pPr>
            <w:r>
              <w:rPr>
                <w:rFonts w:ascii="Wingdings" w:hAnsi="Wingdings" w:cs="宋体"/>
                <w:color w:val="auto"/>
                <w:kern w:val="0"/>
                <w:sz w:val="24"/>
                <w:highlight w:val="none"/>
              </w:rPr>
              <w:sym w:font="Wingdings" w:char="00FE"/>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rPr>
                <w:rFonts w:ascii="宋体" w:hAnsi="宋体" w:eastAsia="宋体" w:cs="宋体"/>
                <w:color w:val="auto"/>
                <w:kern w:val="2"/>
                <w:sz w:val="24"/>
                <w:szCs w:val="20"/>
                <w:highlight w:val="none"/>
                <w:lang w:val="en-US" w:eastAsia="zh-CN" w:bidi="ar-SA"/>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59" w:hRule="atLeast"/>
          <w:tblHeader/>
        </w:trPr>
        <w:tc>
          <w:tcPr>
            <w:tcW w:w="629" w:type="dxa"/>
          </w:tcPr>
          <w:p>
            <w:pPr>
              <w:snapToGrid w:val="0"/>
              <w:jc w:val="center"/>
              <w:rPr>
                <w:rFonts w:ascii="宋体" w:hAnsi="宋体" w:cs="宋体"/>
                <w:color w:val="auto"/>
                <w:sz w:val="24"/>
                <w:highlight w:val="none"/>
              </w:rPr>
            </w:pPr>
          </w:p>
          <w:p>
            <w:pPr>
              <w:snapToGrid w:val="0"/>
              <w:jc w:val="center"/>
              <w:rPr>
                <w:rFonts w:ascii="宋体" w:hAnsi="宋体" w:cs="宋体"/>
                <w:color w:val="auto"/>
                <w:sz w:val="24"/>
                <w:highlight w:val="none"/>
              </w:rPr>
            </w:pPr>
          </w:p>
          <w:p>
            <w:pPr>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1786" w:type="dxa"/>
            <w:vAlign w:val="center"/>
          </w:tcPr>
          <w:p>
            <w:pPr>
              <w:snapToGrid w:val="0"/>
              <w:jc w:val="center"/>
              <w:rPr>
                <w:rFonts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样品提供</w:t>
            </w:r>
          </w:p>
        </w:tc>
        <w:tc>
          <w:tcPr>
            <w:tcW w:w="6472" w:type="dxa"/>
            <w:vAlign w:val="center"/>
          </w:tcPr>
          <w:p>
            <w:pPr>
              <w:rPr>
                <w:rFonts w:ascii="宋体" w:hAnsi="宋体" w:cs="宋体"/>
                <w:color w:val="auto"/>
                <w:sz w:val="24"/>
                <w:highlight w:val="none"/>
              </w:rPr>
            </w:pPr>
            <w:r>
              <w:rPr>
                <w:rFonts w:ascii="Wingdings" w:hAnsi="Wingdings" w:cs="宋体"/>
                <w:color w:val="auto"/>
                <w:kern w:val="0"/>
                <w:sz w:val="24"/>
                <w:highlight w:val="none"/>
              </w:rPr>
              <w:sym w:font="Wingdings" w:char="00FE"/>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rPr>
                <w:rFonts w:ascii="宋体" w:hAnsi="宋体" w:cs="宋体"/>
                <w:color w:val="auto"/>
                <w:kern w:val="0"/>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B要求提供，</w:t>
            </w:r>
          </w:p>
          <w:p>
            <w:pPr>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否；☐是，检测机构的要求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rPr>
                <w:rFonts w:ascii="宋体" w:hAnsi="宋体" w:cs="宋体"/>
                <w:color w:val="auto"/>
                <w:sz w:val="24"/>
                <w:highlight w:val="none"/>
              </w:rPr>
            </w:pPr>
            <w:r>
              <w:rPr>
                <w:rFonts w:hint="eastAsia" w:ascii="宋体" w:hAnsi="宋体" w:cs="宋体"/>
                <w:color w:val="auto"/>
                <w:sz w:val="24"/>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rPr>
                <w:rFonts w:ascii="宋体" w:hAnsi="宋体" w:eastAsia="宋体" w:cs="宋体"/>
                <w:b/>
                <w:color w:val="auto"/>
                <w:kern w:val="2"/>
                <w:sz w:val="24"/>
                <w:szCs w:val="24"/>
                <w:highlight w:val="none"/>
                <w:lang w:val="en-US" w:eastAsia="zh-CN" w:bidi="ar-SA"/>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239" w:hRule="atLeast"/>
          <w:tblHeader/>
        </w:trPr>
        <w:tc>
          <w:tcPr>
            <w:tcW w:w="629" w:type="dxa"/>
          </w:tcPr>
          <w:p>
            <w:pPr>
              <w:snapToGrid w:val="0"/>
              <w:jc w:val="center"/>
              <w:rPr>
                <w:rFonts w:ascii="宋体" w:hAnsi="宋体" w:cs="宋体"/>
                <w:color w:val="auto"/>
                <w:sz w:val="24"/>
                <w:highlight w:val="none"/>
              </w:rPr>
            </w:pPr>
          </w:p>
          <w:p>
            <w:pPr>
              <w:snapToGrid w:val="0"/>
              <w:jc w:val="center"/>
              <w:rPr>
                <w:rFonts w:ascii="宋体" w:hAnsi="宋体" w:cs="宋体"/>
                <w:color w:val="auto"/>
                <w:sz w:val="24"/>
                <w:highlight w:val="none"/>
              </w:rPr>
            </w:pPr>
          </w:p>
          <w:p>
            <w:pPr>
              <w:snapToGrid w:val="0"/>
              <w:jc w:val="center"/>
              <w:rPr>
                <w:rFonts w:ascii="宋体" w:hAnsi="宋体" w:cs="宋体"/>
                <w:color w:val="auto"/>
                <w:sz w:val="24"/>
                <w:highlight w:val="none"/>
              </w:rPr>
            </w:pPr>
          </w:p>
          <w:p>
            <w:pPr>
              <w:snapToGrid w:val="0"/>
              <w:jc w:val="center"/>
              <w:rPr>
                <w:rFonts w:ascii="宋体" w:hAnsi="宋体" w:cs="宋体"/>
                <w:color w:val="auto"/>
                <w:sz w:val="24"/>
                <w:highlight w:val="none"/>
              </w:rPr>
            </w:pPr>
          </w:p>
          <w:p>
            <w:pPr>
              <w:snapToGrid w:val="0"/>
              <w:jc w:val="center"/>
              <w:rPr>
                <w:rFonts w:ascii="宋体" w:hAnsi="宋体" w:cs="宋体"/>
                <w:color w:val="auto"/>
                <w:sz w:val="24"/>
                <w:highlight w:val="none"/>
              </w:rPr>
            </w:pPr>
          </w:p>
          <w:p>
            <w:pPr>
              <w:snapToGrid w:val="0"/>
              <w:jc w:val="center"/>
              <w:rPr>
                <w:rFonts w:ascii="宋体" w:hAnsi="宋体" w:cs="宋体"/>
                <w:color w:val="auto"/>
                <w:sz w:val="24"/>
                <w:highlight w:val="none"/>
              </w:rPr>
            </w:pPr>
          </w:p>
          <w:p>
            <w:pPr>
              <w:snapToGrid w:val="0"/>
              <w:jc w:val="center"/>
              <w:rPr>
                <w:rFonts w:ascii="宋体" w:hAnsi="宋体" w:cs="宋体"/>
                <w:color w:val="auto"/>
                <w:sz w:val="24"/>
                <w:highlight w:val="none"/>
              </w:rPr>
            </w:pPr>
          </w:p>
          <w:p>
            <w:pPr>
              <w:snapToGrid w:val="0"/>
              <w:jc w:val="center"/>
              <w:rPr>
                <w:rFonts w:ascii="宋体" w:hAnsi="宋体" w:cs="宋体"/>
                <w:color w:val="auto"/>
                <w:sz w:val="24"/>
                <w:highlight w:val="none"/>
              </w:rPr>
            </w:pPr>
          </w:p>
          <w:p>
            <w:pPr>
              <w:snapToGrid w:val="0"/>
              <w:jc w:val="center"/>
              <w:rPr>
                <w:rFonts w:ascii="宋体" w:hAnsi="宋体" w:cs="宋体"/>
                <w:color w:val="auto"/>
                <w:sz w:val="24"/>
                <w:highlight w:val="none"/>
              </w:rPr>
            </w:pPr>
          </w:p>
          <w:p>
            <w:pPr>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1786" w:type="dxa"/>
            <w:vAlign w:val="center"/>
          </w:tcPr>
          <w:p>
            <w:pPr>
              <w:snapToGrid w:val="0"/>
              <w:jc w:val="center"/>
              <w:rPr>
                <w:rFonts w:ascii="宋体" w:hAnsi="宋体" w:eastAsia="宋体" w:cs="宋体"/>
                <w:bCs/>
                <w:color w:val="auto"/>
                <w:kern w:val="2"/>
                <w:sz w:val="24"/>
                <w:szCs w:val="24"/>
                <w:highlight w:val="none"/>
                <w:lang w:val="en-US" w:eastAsia="zh-CN" w:bidi="ar-SA"/>
              </w:rPr>
            </w:pPr>
            <w:r>
              <w:rPr>
                <w:rFonts w:hint="eastAsia" w:ascii="宋体" w:hAnsi="宋体" w:cs="宋体"/>
                <w:b/>
                <w:color w:val="auto"/>
                <w:sz w:val="24"/>
                <w:highlight w:val="none"/>
              </w:rPr>
              <w:t>方案讲解演示</w:t>
            </w:r>
          </w:p>
        </w:tc>
        <w:tc>
          <w:tcPr>
            <w:tcW w:w="6472" w:type="dxa"/>
            <w:vAlign w:val="center"/>
          </w:tcPr>
          <w:p>
            <w:pPr>
              <w:snapToGrid w:val="0"/>
              <w:spacing w:line="240" w:lineRule="auto"/>
              <w:rPr>
                <w:rFonts w:ascii="宋体" w:hAnsi="宋体" w:cs="宋体"/>
                <w:color w:val="auto"/>
                <w:sz w:val="24"/>
                <w:highlight w:val="none"/>
              </w:rPr>
            </w:pP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240" w:lineRule="auto"/>
              <w:rPr>
                <w:rFonts w:ascii="宋体" w:hAnsi="宋体" w:cs="宋体"/>
                <w:color w:val="auto"/>
                <w:kern w:val="0"/>
                <w:sz w:val="24"/>
                <w:highlight w:val="none"/>
              </w:rPr>
            </w:pPr>
            <w:r>
              <w:rPr>
                <w:rFonts w:ascii="Wingdings" w:hAnsi="Wingdings" w:cs="宋体"/>
                <w:color w:val="auto"/>
                <w:kern w:val="0"/>
                <w:sz w:val="24"/>
                <w:highlight w:val="none"/>
              </w:rPr>
              <w:sym w:font="Wingdings" w:char="00FE"/>
            </w:r>
            <w:r>
              <w:rPr>
                <w:rFonts w:hint="eastAsia" w:ascii="宋体" w:hAnsi="宋体" w:cs="宋体"/>
                <w:color w:val="auto"/>
                <w:kern w:val="0"/>
                <w:sz w:val="24"/>
                <w:highlight w:val="none"/>
              </w:rPr>
              <w:t>B组织。</w:t>
            </w:r>
          </w:p>
          <w:p>
            <w:pPr>
              <w:snapToGrid w:val="0"/>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rPr>
              <w:t>人。讲解演示结束后按要求解答评标委员会提问。</w:t>
            </w:r>
          </w:p>
          <w:p>
            <w:pPr>
              <w:snapToGrid w:val="0"/>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（2）方案讲解演示方式：</w:t>
            </w:r>
          </w:p>
          <w:p>
            <w:pPr>
              <w:snapToGrid w:val="0"/>
              <w:spacing w:line="240" w:lineRule="auto"/>
              <w:rPr>
                <w:rFonts w:ascii="宋体" w:hAnsi="宋体" w:cs="宋体"/>
                <w:color w:val="auto"/>
                <w:kern w:val="0"/>
                <w:sz w:val="24"/>
                <w:highlight w:val="none"/>
              </w:rPr>
            </w:pPr>
            <w:r>
              <w:rPr>
                <w:rFonts w:hint="eastAsia" w:ascii="宋体" w:hAnsi="宋体" w:cs="宋体"/>
                <w:color w:val="auto"/>
                <w:kern w:val="0"/>
                <w:sz w:val="24"/>
                <w:highlight w:val="none"/>
                <w:lang w:eastAsia="zh-CN"/>
              </w:rPr>
              <w:t>乐采云平台</w:t>
            </w:r>
            <w:r>
              <w:rPr>
                <w:rFonts w:hint="eastAsia" w:ascii="宋体" w:hAnsi="宋体" w:cs="宋体"/>
                <w:color w:val="auto"/>
                <w:kern w:val="0"/>
                <w:sz w:val="24"/>
                <w:highlight w:val="none"/>
              </w:rPr>
              <w:t>在线讲解演示。</w:t>
            </w:r>
            <w:r>
              <w:rPr>
                <w:rFonts w:hint="eastAsia" w:ascii="宋体" w:hAnsi="宋体" w:cs="宋体"/>
                <w:color w:val="auto"/>
                <w:kern w:val="0"/>
                <w:sz w:val="24"/>
                <w:highlight w:val="none"/>
                <w:lang w:eastAsia="zh-CN"/>
              </w:rPr>
              <w:t>乐采云平台</w:t>
            </w:r>
            <w:r>
              <w:rPr>
                <w:rFonts w:hint="eastAsia" w:ascii="宋体" w:hAnsi="宋体" w:cs="宋体"/>
                <w:color w:val="auto"/>
                <w:kern w:val="0"/>
                <w:sz w:val="24"/>
                <w:highlight w:val="none"/>
              </w:rPr>
              <w:t>在线讲解需投标人根据</w:t>
            </w:r>
            <w:r>
              <w:rPr>
                <w:rFonts w:hint="eastAsia" w:ascii="宋体" w:hAnsi="宋体" w:cs="宋体"/>
                <w:color w:val="auto"/>
                <w:kern w:val="0"/>
                <w:sz w:val="24"/>
                <w:highlight w:val="none"/>
                <w:lang w:eastAsia="zh-CN"/>
              </w:rPr>
              <w:t>乐采云平台</w:t>
            </w:r>
            <w:r>
              <w:rPr>
                <w:rFonts w:hint="eastAsia" w:ascii="宋体" w:hAnsi="宋体" w:cs="宋体"/>
                <w:color w:val="auto"/>
                <w:kern w:val="0"/>
                <w:sz w:val="24"/>
                <w:highlight w:val="none"/>
              </w:rPr>
              <w:t>操作要求做好准备工作，提前完善软硬件配置环境。</w:t>
            </w:r>
          </w:p>
          <w:p>
            <w:pPr>
              <w:snapToGrid w:val="0"/>
              <w:spacing w:line="240" w:lineRule="auto"/>
              <w:rPr>
                <w:rFonts w:ascii="宋体" w:hAnsi="宋体" w:cs="宋体"/>
                <w:color w:val="auto"/>
                <w:kern w:val="0"/>
                <w:sz w:val="24"/>
                <w:highlight w:val="none"/>
              </w:rPr>
            </w:pPr>
            <w:r>
              <w:rPr>
                <w:rFonts w:hint="eastAsia" w:ascii="宋体" w:hAnsi="宋体" w:cs="宋体"/>
                <w:color w:val="auto"/>
                <w:kern w:val="0"/>
                <w:sz w:val="24"/>
                <w:highlight w:val="none"/>
                <w:lang w:eastAsia="zh-CN"/>
              </w:rPr>
              <w:t>建议各投标人将演示视频制作成光盘或U盘并进行密封作为备份文件</w:t>
            </w:r>
            <w:r>
              <w:rPr>
                <w:rFonts w:hint="eastAsia" w:ascii="宋体" w:hAnsi="宋体" w:cs="宋体"/>
                <w:color w:val="auto"/>
                <w:kern w:val="0"/>
                <w:sz w:val="24"/>
                <w:highlight w:val="none"/>
                <w:lang w:val="en-US" w:eastAsia="zh-CN"/>
              </w:rPr>
              <w:t>，在因平台原因导致本项目演示环节无法顺利开展的情况下，将采用演示视频的备份文件。备份文件要求详见招标文件内容</w:t>
            </w:r>
            <w:r>
              <w:rPr>
                <w:rFonts w:hint="eastAsia" w:ascii="宋体" w:hAnsi="宋体" w:cs="宋体"/>
                <w:color w:val="auto"/>
                <w:kern w:val="0"/>
                <w:sz w:val="24"/>
                <w:highlight w:val="none"/>
              </w:rPr>
              <w:t>。</w:t>
            </w:r>
          </w:p>
          <w:p>
            <w:pPr>
              <w:snapToGrid w:val="0"/>
              <w:spacing w:line="240" w:lineRule="auto"/>
              <w:rPr>
                <w:rFonts w:ascii="宋体" w:hAnsi="宋体" w:eastAsia="宋体" w:cs="宋体"/>
                <w:b/>
                <w:color w:val="auto"/>
                <w:kern w:val="0"/>
                <w:sz w:val="24"/>
                <w:szCs w:val="24"/>
                <w:highlight w:val="none"/>
                <w:lang w:val="zh-CN" w:eastAsia="zh-CN" w:bidi="ar-SA"/>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61" w:hRule="atLeast"/>
          <w:tblHeader/>
        </w:trPr>
        <w:tc>
          <w:tcPr>
            <w:tcW w:w="629" w:type="dxa"/>
            <w:vMerge w:val="restart"/>
          </w:tcPr>
          <w:p>
            <w:pPr>
              <w:snapToGrid w:val="0"/>
              <w:jc w:val="center"/>
              <w:rPr>
                <w:rFonts w:ascii="宋体" w:hAnsi="宋体" w:cs="宋体"/>
                <w:color w:val="auto"/>
                <w:sz w:val="24"/>
                <w:highlight w:val="none"/>
              </w:rPr>
            </w:pPr>
          </w:p>
          <w:p>
            <w:pPr>
              <w:snapToGrid w:val="0"/>
              <w:jc w:val="center"/>
              <w:rPr>
                <w:rFonts w:ascii="宋体" w:hAnsi="宋体" w:cs="宋体"/>
                <w:color w:val="auto"/>
                <w:sz w:val="24"/>
                <w:highlight w:val="none"/>
              </w:rPr>
            </w:pPr>
          </w:p>
          <w:p>
            <w:pPr>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7</w:t>
            </w:r>
          </w:p>
        </w:tc>
        <w:tc>
          <w:tcPr>
            <w:tcW w:w="1786" w:type="dxa"/>
            <w:vMerge w:val="restart"/>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472" w:type="dxa"/>
            <w:vAlign w:val="center"/>
          </w:tcPr>
          <w:p>
            <w:pPr>
              <w:rPr>
                <w:rFonts w:ascii="宋体" w:hAnsi="宋体" w:cs="宋体"/>
                <w:color w:val="auto"/>
                <w:sz w:val="24"/>
                <w:highlight w:val="none"/>
              </w:rPr>
            </w:pPr>
            <w:r>
              <w:rPr>
                <w:rFonts w:hint="eastAsia" w:ascii="宋体" w:hAnsi="宋体" w:cs="宋体"/>
                <w:color w:val="auto"/>
                <w:sz w:val="24"/>
                <w:highlight w:val="none"/>
              </w:rPr>
              <w:t>（1）资格证明文件：见招标文件第二部分</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.1。</w:t>
            </w:r>
          </w:p>
          <w:p>
            <w:pPr>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9" w:hRule="atLeast"/>
          <w:tblHeader/>
        </w:trPr>
        <w:tc>
          <w:tcPr>
            <w:tcW w:w="629" w:type="dxa"/>
            <w:vMerge w:val="continue"/>
          </w:tcPr>
          <w:p>
            <w:pPr>
              <w:snapToGrid w:val="0"/>
              <w:jc w:val="center"/>
              <w:rPr>
                <w:rFonts w:ascii="宋体" w:hAnsi="宋体" w:cs="宋体"/>
                <w:color w:val="auto"/>
                <w:sz w:val="24"/>
                <w:highlight w:val="none"/>
              </w:rPr>
            </w:pPr>
          </w:p>
        </w:tc>
        <w:tc>
          <w:tcPr>
            <w:tcW w:w="1786" w:type="dxa"/>
            <w:vMerge w:val="continue"/>
            <w:vAlign w:val="center"/>
          </w:tcPr>
          <w:p>
            <w:pPr>
              <w:snapToGrid w:val="0"/>
              <w:ind w:firstLine="482"/>
              <w:jc w:val="center"/>
              <w:rPr>
                <w:rFonts w:ascii="宋体" w:hAnsi="宋体" w:cs="宋体"/>
                <w:b/>
                <w:color w:val="auto"/>
                <w:sz w:val="24"/>
                <w:highlight w:val="none"/>
              </w:rPr>
            </w:pPr>
          </w:p>
        </w:tc>
        <w:tc>
          <w:tcPr>
            <w:tcW w:w="6472" w:type="dxa"/>
            <w:vAlign w:val="center"/>
          </w:tcPr>
          <w:p>
            <w:pPr>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475" w:hRule="atLeast"/>
          <w:tblHeader/>
        </w:trPr>
        <w:tc>
          <w:tcPr>
            <w:tcW w:w="629" w:type="dxa"/>
            <w:vAlign w:val="center"/>
          </w:tcPr>
          <w:p>
            <w:pPr>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1786" w:type="dxa"/>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472" w:type="dxa"/>
            <w:vAlign w:val="center"/>
          </w:tcPr>
          <w:p>
            <w:pPr>
              <w:snapToGrid w:val="0"/>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开标一览表（报价表）是报价的唯一载体，如投标人在乐采云平台填写的投标报价与投标文件报价文件中开标一览表（报价表）不一致的，以报价文件中开标一览表（报价表）为准。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ind w:firstLine="240" w:firstLineChars="100"/>
              <w:jc w:val="left"/>
              <w:rPr>
                <w:rFonts w:ascii="宋体" w:hAnsi="宋体" w:cs="宋体"/>
                <w:b/>
                <w:color w:val="auto"/>
                <w:kern w:val="0"/>
                <w:sz w:val="24"/>
                <w:highlight w:val="none"/>
                <w:lang w:val="zh-CN"/>
              </w:rPr>
            </w:pPr>
            <w:r>
              <w:rPr>
                <w:rFonts w:hint="eastAsia" w:ascii="宋体" w:hAnsi="宋体" w:eastAsia="宋体" w:cs="宋体"/>
                <w:color w:val="auto"/>
                <w:sz w:val="24"/>
                <w:highlight w:val="none"/>
              </w:rPr>
              <w:t>▲</w:t>
            </w:r>
            <w:r>
              <w:rPr>
                <w:rFonts w:hint="eastAsia" w:ascii="宋体" w:hAnsi="宋体" w:cs="宋体"/>
                <w:b/>
                <w:color w:val="auto"/>
                <w:kern w:val="0"/>
                <w:sz w:val="24"/>
                <w:highlight w:val="none"/>
                <w:lang w:val="zh-CN"/>
              </w:rPr>
              <w:t>投标报价出现下列情形的，投标无效：</w:t>
            </w:r>
          </w:p>
          <w:p>
            <w:pPr>
              <w:snapToGrid w:val="0"/>
              <w:ind w:firstLine="240" w:firstLineChars="100"/>
              <w:jc w:val="left"/>
              <w:rPr>
                <w:rFonts w:ascii="宋体" w:hAnsi="宋体" w:cs="宋体"/>
                <w:b/>
                <w:color w:val="auto"/>
                <w:kern w:val="0"/>
                <w:sz w:val="24"/>
                <w:highlight w:val="none"/>
                <w:lang w:val="zh-CN"/>
              </w:rPr>
            </w:pPr>
            <w:r>
              <w:rPr>
                <w:rFonts w:hint="eastAsia" w:ascii="宋体" w:hAnsi="宋体" w:eastAsia="宋体" w:cs="宋体"/>
                <w:color w:val="auto"/>
                <w:sz w:val="24"/>
                <w:highlight w:val="none"/>
              </w:rPr>
              <w:t>▲</w:t>
            </w:r>
            <w:r>
              <w:rPr>
                <w:rFonts w:hint="eastAsia" w:ascii="宋体" w:hAnsi="宋体" w:cs="宋体"/>
                <w:b/>
                <w:color w:val="auto"/>
                <w:kern w:val="0"/>
                <w:sz w:val="24"/>
                <w:highlight w:val="none"/>
                <w:lang w:val="zh-CN"/>
              </w:rPr>
              <w:t>投标文件出现不是唯一的、有选择性投标报价的；</w:t>
            </w:r>
          </w:p>
          <w:p>
            <w:pPr>
              <w:snapToGrid w:val="0"/>
              <w:ind w:firstLine="240" w:firstLineChars="100"/>
              <w:jc w:val="left"/>
              <w:rPr>
                <w:rFonts w:hint="eastAsia" w:ascii="宋体" w:hAnsi="宋体" w:cs="宋体"/>
                <w:b/>
                <w:color w:val="auto"/>
                <w:kern w:val="0"/>
                <w:sz w:val="24"/>
                <w:highlight w:val="none"/>
                <w:lang w:val="zh-CN"/>
              </w:rPr>
            </w:pPr>
            <w:r>
              <w:rPr>
                <w:rFonts w:hint="eastAsia" w:ascii="宋体" w:hAnsi="宋体" w:eastAsia="宋体" w:cs="宋体"/>
                <w:color w:val="auto"/>
                <w:sz w:val="24"/>
                <w:highlight w:val="none"/>
              </w:rPr>
              <w:t>▲</w:t>
            </w:r>
            <w:r>
              <w:rPr>
                <w:rFonts w:hint="eastAsia" w:ascii="宋体" w:hAnsi="宋体" w:cs="宋体"/>
                <w:b/>
                <w:color w:val="auto"/>
                <w:kern w:val="0"/>
                <w:sz w:val="24"/>
                <w:highlight w:val="none"/>
                <w:lang w:val="zh-CN"/>
              </w:rPr>
              <w:t>投标报价超过招标文件中规定的预算金额或者最高限价的；</w:t>
            </w:r>
          </w:p>
          <w:p>
            <w:pPr>
              <w:ind w:firstLine="240" w:firstLineChars="100"/>
              <w:rPr>
                <w:rFonts w:hint="eastAsia" w:ascii="宋体" w:hAnsi="宋体" w:cs="宋体"/>
                <w:b/>
                <w:color w:val="auto"/>
                <w:sz w:val="24"/>
                <w:szCs w:val="21"/>
                <w:highlight w:val="none"/>
              </w:rPr>
            </w:pPr>
            <w:r>
              <w:rPr>
                <w:rFonts w:hint="eastAsia" w:ascii="宋体" w:hAnsi="宋体" w:eastAsia="宋体" w:cs="宋体"/>
                <w:color w:val="auto"/>
                <w:sz w:val="24"/>
                <w:highlight w:val="none"/>
              </w:rPr>
              <w:t>▲</w:t>
            </w: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ind w:firstLine="240" w:firstLineChars="100"/>
              <w:rPr>
                <w:rFonts w:ascii="宋体" w:hAnsi="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303" w:hRule="atLeast"/>
          <w:tblHeader/>
        </w:trPr>
        <w:tc>
          <w:tcPr>
            <w:tcW w:w="629" w:type="dxa"/>
            <w:vAlign w:val="center"/>
          </w:tcPr>
          <w:p>
            <w:pPr>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1786" w:type="dxa"/>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备份投标文件</w:t>
            </w:r>
          </w:p>
          <w:p>
            <w:pPr>
              <w:snapToGrid w:val="0"/>
              <w:jc w:val="center"/>
              <w:rPr>
                <w:rFonts w:ascii="宋体" w:hAnsi="宋体" w:cs="宋体"/>
                <w:b/>
                <w:color w:val="auto"/>
                <w:sz w:val="24"/>
                <w:highlight w:val="none"/>
              </w:rPr>
            </w:pPr>
            <w:r>
              <w:rPr>
                <w:rFonts w:hint="eastAsia" w:ascii="宋体" w:hAnsi="宋体" w:cs="宋体"/>
                <w:b/>
                <w:color w:val="auto"/>
                <w:sz w:val="24"/>
                <w:highlight w:val="none"/>
              </w:rPr>
              <w:t>送达地点和</w:t>
            </w:r>
          </w:p>
          <w:p>
            <w:pPr>
              <w:snapToGrid w:val="0"/>
              <w:jc w:val="center"/>
              <w:rPr>
                <w:rFonts w:ascii="宋体" w:hAnsi="宋体" w:cs="宋体"/>
                <w:b/>
                <w:color w:val="auto"/>
                <w:sz w:val="24"/>
                <w:highlight w:val="none"/>
              </w:rPr>
            </w:pPr>
            <w:r>
              <w:rPr>
                <w:rFonts w:hint="eastAsia" w:ascii="宋体" w:hAnsi="宋体" w:cs="宋体"/>
                <w:b/>
                <w:color w:val="auto"/>
                <w:sz w:val="24"/>
                <w:highlight w:val="none"/>
              </w:rPr>
              <w:t>签收人员</w:t>
            </w:r>
          </w:p>
        </w:tc>
        <w:tc>
          <w:tcPr>
            <w:tcW w:w="6472" w:type="dxa"/>
            <w:vAlign w:val="center"/>
          </w:tcPr>
          <w:p>
            <w:pPr>
              <w:pStyle w:val="36"/>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▲未传输递交电子投标文件的，投标无效。</w:t>
            </w:r>
          </w:p>
          <w:p>
            <w:pPr>
              <w:pStyle w:val="36"/>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▲未按规定提供相应的备份投标文件，造成项目开评标活动无法进行下去的，投标无效。</w:t>
            </w:r>
          </w:p>
          <w:p>
            <w:pPr>
              <w:pStyle w:val="36"/>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kern w:val="28"/>
                <w:sz w:val="24"/>
                <w:szCs w:val="24"/>
                <w:highlight w:val="none"/>
                <w:u w:val="single"/>
              </w:rPr>
              <w:t>浙江省杭州市建德市新安江街道新安东路新安财富城6幢</w:t>
            </w:r>
            <w:r>
              <w:rPr>
                <w:rFonts w:hint="eastAsia" w:hAnsi="宋体" w:cs="宋体"/>
                <w:color w:val="auto"/>
                <w:kern w:val="28"/>
                <w:sz w:val="24"/>
                <w:szCs w:val="24"/>
                <w:highlight w:val="none"/>
                <w:u w:val="single"/>
                <w:lang w:val="en-US" w:eastAsia="zh-CN"/>
              </w:rPr>
              <w:t>B座</w:t>
            </w:r>
            <w:r>
              <w:rPr>
                <w:rFonts w:hint="eastAsia" w:hAnsi="宋体" w:cs="宋体"/>
                <w:color w:val="auto"/>
                <w:kern w:val="28"/>
                <w:sz w:val="24"/>
                <w:szCs w:val="24"/>
                <w:highlight w:val="none"/>
                <w:u w:val="single"/>
              </w:rPr>
              <w:t>120</w:t>
            </w:r>
            <w:r>
              <w:rPr>
                <w:rFonts w:hint="eastAsia" w:hAnsi="宋体" w:cs="宋体"/>
                <w:color w:val="auto"/>
                <w:kern w:val="28"/>
                <w:sz w:val="24"/>
                <w:szCs w:val="24"/>
                <w:highlight w:val="none"/>
                <w:u w:val="single"/>
                <w:lang w:val="en-US" w:eastAsia="zh-CN"/>
              </w:rPr>
              <w:t>1</w:t>
            </w:r>
            <w:r>
              <w:rPr>
                <w:rFonts w:hint="eastAsia" w:hAnsi="宋体" w:cs="宋体"/>
                <w:color w:val="auto"/>
                <w:kern w:val="28"/>
                <w:sz w:val="24"/>
                <w:szCs w:val="24"/>
                <w:highlight w:val="none"/>
                <w:u w:val="single"/>
              </w:rPr>
              <w:t>室</w:t>
            </w:r>
            <w:r>
              <w:rPr>
                <w:rFonts w:hint="eastAsia" w:hAnsi="宋体" w:cs="宋体"/>
                <w:color w:val="auto"/>
                <w:kern w:val="28"/>
                <w:sz w:val="24"/>
                <w:szCs w:val="24"/>
                <w:highlight w:val="none"/>
              </w:rPr>
              <w:t>；备份投标文件签收人员联系电话：</w:t>
            </w:r>
            <w:r>
              <w:rPr>
                <w:rFonts w:hint="eastAsia" w:hAnsi="宋体" w:cs="宋体"/>
                <w:color w:val="auto"/>
                <w:kern w:val="28"/>
                <w:sz w:val="24"/>
                <w:szCs w:val="24"/>
                <w:highlight w:val="none"/>
                <w:u w:val="single"/>
                <w:lang w:eastAsia="zh-CN"/>
              </w:rPr>
              <w:t>陈先生</w:t>
            </w:r>
            <w:r>
              <w:rPr>
                <w:rFonts w:hint="eastAsia" w:hAnsi="宋体" w:cs="宋体"/>
                <w:color w:val="auto"/>
                <w:kern w:val="28"/>
                <w:sz w:val="24"/>
                <w:szCs w:val="24"/>
                <w:highlight w:val="none"/>
                <w:u w:val="single"/>
              </w:rPr>
              <w:t>，</w:t>
            </w:r>
            <w:r>
              <w:rPr>
                <w:rFonts w:hint="eastAsia" w:hAnsi="宋体" w:cs="宋体"/>
                <w:color w:val="auto"/>
                <w:kern w:val="28"/>
                <w:sz w:val="24"/>
                <w:szCs w:val="24"/>
                <w:highlight w:val="none"/>
                <w:u w:val="single"/>
                <w:lang w:val="en-US" w:eastAsia="zh-CN"/>
              </w:rPr>
              <w:t>13758155274</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303" w:hRule="atLeast"/>
          <w:tblHeader/>
        </w:trPr>
        <w:tc>
          <w:tcPr>
            <w:tcW w:w="629" w:type="dxa"/>
            <w:vAlign w:val="center"/>
          </w:tcPr>
          <w:p>
            <w:pPr>
              <w:snapToGrid w:val="0"/>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1786" w:type="dxa"/>
            <w:vAlign w:val="center"/>
          </w:tcPr>
          <w:p>
            <w:pPr>
              <w:jc w:val="center"/>
              <w:rPr>
                <w:rFonts w:hint="eastAsia" w:ascii="宋体" w:hAnsi="宋体" w:eastAsia="宋体" w:cs="宋体"/>
                <w:snapToGrid w:val="0"/>
                <w:color w:val="auto"/>
                <w:kern w:val="28"/>
                <w:sz w:val="24"/>
                <w:highlight w:val="none"/>
              </w:rPr>
            </w:pPr>
            <w:r>
              <w:rPr>
                <w:rFonts w:hint="eastAsia" w:ascii="宋体" w:hAnsi="宋体" w:eastAsia="宋体" w:cs="宋体"/>
                <w:b/>
                <w:bCs/>
                <w:snapToGrid w:val="0"/>
                <w:color w:val="auto"/>
                <w:kern w:val="28"/>
                <w:sz w:val="24"/>
                <w:highlight w:val="none"/>
                <w:lang w:val="zh-CN"/>
              </w:rPr>
              <w:t>纸质版投标文件要求</w:t>
            </w:r>
          </w:p>
        </w:tc>
        <w:tc>
          <w:tcPr>
            <w:tcW w:w="6472" w:type="dxa"/>
            <w:vAlign w:val="center"/>
          </w:tcPr>
          <w:p>
            <w:pPr>
              <w:rPr>
                <w:rFonts w:hint="eastAsia" w:ascii="宋体" w:hAnsi="宋体" w:eastAsia="宋体" w:cs="宋体"/>
                <w:snapToGrid w:val="0"/>
                <w:color w:val="auto"/>
                <w:kern w:val="28"/>
                <w:sz w:val="24"/>
                <w:highlight w:val="none"/>
                <w:lang w:val="zh-CN" w:eastAsia="zh-CN"/>
              </w:rPr>
            </w:pPr>
            <w:r>
              <w:rPr>
                <w:rFonts w:hint="eastAsia" w:ascii="宋体" w:hAnsi="宋体" w:eastAsia="宋体" w:cs="宋体"/>
                <w:snapToGrid w:val="0"/>
                <w:color w:val="auto"/>
                <w:kern w:val="28"/>
                <w:sz w:val="24"/>
                <w:highlight w:val="none"/>
                <w:lang w:val="zh-CN" w:eastAsia="zh-CN"/>
              </w:rPr>
              <w:t>中标人必须在中标后三日内递交纸质版投标文件。（未提供纸质投标文件或纸质投标文件与电子投标文件不一致的，不得签订合同）</w:t>
            </w:r>
          </w:p>
          <w:p>
            <w:pPr>
              <w:rPr>
                <w:rFonts w:hint="eastAsia"/>
                <w:color w:val="auto"/>
                <w:highlight w:val="none"/>
              </w:rPr>
            </w:pPr>
            <w:r>
              <w:rPr>
                <w:rFonts w:hint="eastAsia" w:ascii="宋体" w:hAnsi="宋体" w:eastAsia="宋体" w:cs="宋体"/>
                <w:snapToGrid w:val="0"/>
                <w:color w:val="auto"/>
                <w:kern w:val="28"/>
                <w:sz w:val="24"/>
                <w:highlight w:val="none"/>
                <w:lang w:val="zh-CN" w:eastAsia="zh-CN"/>
              </w:rPr>
              <w:t>纸质版</w:t>
            </w:r>
            <w:r>
              <w:rPr>
                <w:rFonts w:hint="eastAsia" w:ascii="宋体" w:hAnsi="宋体" w:eastAsia="宋体" w:cs="宋体"/>
                <w:snapToGrid w:val="0"/>
                <w:color w:val="auto"/>
                <w:kern w:val="28"/>
                <w:sz w:val="24"/>
                <w:highlight w:val="none"/>
                <w:lang w:eastAsia="zh-CN"/>
              </w:rPr>
              <w:t>投标</w:t>
            </w:r>
            <w:r>
              <w:rPr>
                <w:rFonts w:hint="eastAsia" w:ascii="宋体" w:hAnsi="宋体" w:eastAsia="宋体" w:cs="宋体"/>
                <w:snapToGrid w:val="0"/>
                <w:color w:val="auto"/>
                <w:kern w:val="28"/>
                <w:sz w:val="24"/>
                <w:highlight w:val="none"/>
                <w:lang w:val="zh-CN" w:eastAsia="zh-CN"/>
              </w:rPr>
              <w:t>文件的组成：由资格文件、</w:t>
            </w:r>
            <w:r>
              <w:rPr>
                <w:rFonts w:hint="eastAsia" w:ascii="宋体" w:hAnsi="宋体" w:eastAsia="宋体" w:cs="宋体"/>
                <w:snapToGrid w:val="0"/>
                <w:color w:val="auto"/>
                <w:kern w:val="28"/>
                <w:sz w:val="24"/>
                <w:highlight w:val="none"/>
                <w:lang w:eastAsia="zh-CN"/>
              </w:rPr>
              <w:t>商务</w:t>
            </w:r>
            <w:r>
              <w:rPr>
                <w:rFonts w:hint="eastAsia" w:ascii="宋体" w:hAnsi="宋体" w:eastAsia="宋体" w:cs="宋体"/>
                <w:snapToGrid w:val="0"/>
                <w:color w:val="auto"/>
                <w:kern w:val="28"/>
                <w:sz w:val="24"/>
                <w:highlight w:val="none"/>
                <w:lang w:val="zh-CN" w:eastAsia="zh-CN"/>
              </w:rPr>
              <w:t>技术文件、报价文件各正本1份，副本</w:t>
            </w:r>
            <w:r>
              <w:rPr>
                <w:rFonts w:hint="eastAsia" w:ascii="宋体" w:hAnsi="宋体" w:cs="宋体"/>
                <w:snapToGrid w:val="0"/>
                <w:color w:val="auto"/>
                <w:kern w:val="28"/>
                <w:sz w:val="24"/>
                <w:highlight w:val="none"/>
                <w:lang w:val="en-US" w:eastAsia="zh-CN"/>
              </w:rPr>
              <w:t>5</w:t>
            </w:r>
            <w:r>
              <w:rPr>
                <w:rFonts w:hint="eastAsia" w:ascii="宋体" w:hAnsi="宋体" w:eastAsia="宋体" w:cs="宋体"/>
                <w:snapToGrid w:val="0"/>
                <w:color w:val="auto"/>
                <w:kern w:val="28"/>
                <w:sz w:val="24"/>
                <w:highlight w:val="none"/>
                <w:lang w:eastAsia="zh-CN"/>
              </w:rPr>
              <w:t>份</w:t>
            </w:r>
            <w:r>
              <w:rPr>
                <w:rFonts w:hint="eastAsia" w:ascii="宋体" w:hAnsi="宋体" w:eastAsia="宋体" w:cs="宋体"/>
                <w:snapToGrid w:val="0"/>
                <w:color w:val="auto"/>
                <w:kern w:val="28"/>
                <w:sz w:val="24"/>
                <w:highlight w:val="none"/>
                <w:lang w:val="zh-CN" w:eastAsia="zh-CN"/>
              </w:rPr>
              <w:t>（副本可为正本的复印件，标书封面加盖公章）组成。以上文件须采用胶装装订方式。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0" w:hRule="atLeast"/>
          <w:tblHeader/>
        </w:trPr>
        <w:tc>
          <w:tcPr>
            <w:tcW w:w="629" w:type="dxa"/>
            <w:vAlign w:val="center"/>
          </w:tcPr>
          <w:p>
            <w:pPr>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1786" w:type="dxa"/>
            <w:vAlign w:val="center"/>
          </w:tcPr>
          <w:p>
            <w:pPr>
              <w:snapToGrid w:val="0"/>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采购代理服务费</w:t>
            </w:r>
          </w:p>
        </w:tc>
        <w:tc>
          <w:tcPr>
            <w:tcW w:w="6472" w:type="dxa"/>
            <w:vAlign w:val="center"/>
          </w:tcPr>
          <w:p>
            <w:pPr>
              <w:rPr>
                <w:rFonts w:ascii="宋体" w:hAnsi="宋体" w:eastAsia="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本项目不收取采购代理服务费。</w:t>
            </w:r>
          </w:p>
          <w:p>
            <w:pPr>
              <w:rPr>
                <w:rFonts w:ascii="宋体" w:hAnsi="宋体" w:eastAsia="宋体" w:cs="宋体"/>
                <w:color w:val="auto"/>
                <w:kern w:val="0"/>
                <w:sz w:val="24"/>
                <w:highlight w:val="none"/>
              </w:rPr>
            </w:pPr>
            <w:r>
              <w:rPr>
                <w:rFonts w:hint="eastAsia" w:ascii="宋体" w:hAnsi="宋体" w:eastAsia="宋体" w:cs="Arial"/>
                <w:color w:val="auto"/>
                <w:kern w:val="0"/>
                <w:sz w:val="24"/>
                <w:highlight w:val="none"/>
              </w:rPr>
              <w:sym w:font="Wingdings" w:char="00FE"/>
            </w:r>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本项目收取采购代理服务费。</w:t>
            </w:r>
            <w:r>
              <w:rPr>
                <w:rFonts w:hint="eastAsia" w:ascii="宋体" w:hAnsi="宋体" w:cs="宋体"/>
                <w:snapToGrid w:val="0"/>
                <w:color w:val="auto"/>
                <w:kern w:val="28"/>
                <w:sz w:val="24"/>
                <w:highlight w:val="none"/>
              </w:rPr>
              <w:t>响应总报价应包含采购服务费，采购服务费按照国家发展计划委员会计价格[2002]1980 号文《招标代理服务费管理暂行办法》及发改办价格[2003]857号文的收费标准（</w:t>
            </w:r>
            <w:r>
              <w:rPr>
                <w:rFonts w:hint="eastAsia" w:ascii="宋体" w:hAnsi="宋体" w:eastAsia="宋体" w:cs="宋体"/>
                <w:color w:val="auto"/>
                <w:sz w:val="24"/>
                <w:highlight w:val="none"/>
                <w:lang w:eastAsia="zh-CN"/>
              </w:rPr>
              <w:t>货物</w:t>
            </w:r>
            <w:r>
              <w:rPr>
                <w:rFonts w:hint="eastAsia" w:ascii="宋体" w:hAnsi="宋体" w:cs="宋体"/>
                <w:snapToGrid w:val="0"/>
                <w:color w:val="auto"/>
                <w:kern w:val="28"/>
                <w:sz w:val="24"/>
                <w:highlight w:val="none"/>
              </w:rPr>
              <w:t>类）计取，</w:t>
            </w:r>
            <w:r>
              <w:rPr>
                <w:rFonts w:hint="eastAsia" w:hAnsi="宋体" w:cs="宋体"/>
                <w:snapToGrid w:val="0"/>
                <w:color w:val="auto"/>
                <w:kern w:val="28"/>
                <w:sz w:val="24"/>
                <w:szCs w:val="24"/>
                <w:highlight w:val="none"/>
                <w:shd w:val="clear"/>
              </w:rPr>
              <w:t>采购服务费</w:t>
            </w:r>
            <w:r>
              <w:rPr>
                <w:rFonts w:hint="eastAsia" w:hAnsi="宋体" w:cs="宋体"/>
                <w:snapToGrid w:val="0"/>
                <w:color w:val="auto"/>
                <w:kern w:val="28"/>
                <w:sz w:val="24"/>
                <w:szCs w:val="24"/>
                <w:highlight w:val="none"/>
                <w:shd w:val="clear"/>
                <w:lang w:val="en-US" w:eastAsia="zh-CN"/>
              </w:rPr>
              <w:t>为</w:t>
            </w:r>
            <w:r>
              <w:rPr>
                <w:rFonts w:hint="eastAsia" w:hAnsi="宋体" w:cs="宋体"/>
                <w:snapToGrid w:val="0"/>
                <w:color w:val="auto"/>
                <w:kern w:val="28"/>
                <w:sz w:val="24"/>
                <w:szCs w:val="24"/>
                <w:highlight w:val="none"/>
                <w:shd w:val="clear"/>
              </w:rPr>
              <w:t>人民币</w:t>
            </w:r>
            <w:r>
              <w:rPr>
                <w:rFonts w:hint="eastAsia" w:hAnsi="宋体" w:cs="宋体"/>
                <w:snapToGrid w:val="0"/>
                <w:color w:val="auto"/>
                <w:kern w:val="28"/>
                <w:sz w:val="24"/>
                <w:szCs w:val="24"/>
                <w:highlight w:val="none"/>
                <w:shd w:val="clear"/>
                <w:lang w:val="en-US" w:eastAsia="zh-CN"/>
              </w:rPr>
              <w:t>贰万贰仟伍佰叁拾元整</w:t>
            </w:r>
            <w:r>
              <w:rPr>
                <w:rFonts w:hint="eastAsia" w:hAnsi="宋体" w:cs="宋体"/>
                <w:snapToGrid w:val="0"/>
                <w:color w:val="auto"/>
                <w:kern w:val="28"/>
                <w:sz w:val="24"/>
                <w:szCs w:val="24"/>
                <w:highlight w:val="none"/>
                <w:shd w:val="clear"/>
              </w:rPr>
              <w:t>（¥：</w:t>
            </w:r>
            <w:r>
              <w:rPr>
                <w:rFonts w:hint="eastAsia" w:ascii="宋体" w:hAnsi="宋体" w:cs="宋体"/>
                <w:snapToGrid w:val="0"/>
                <w:color w:val="auto"/>
                <w:kern w:val="28"/>
                <w:sz w:val="24"/>
                <w:szCs w:val="24"/>
                <w:highlight w:val="none"/>
                <w:shd w:val="clear"/>
                <w:lang w:val="en-US" w:eastAsia="zh-CN"/>
              </w:rPr>
              <w:t>22530</w:t>
            </w:r>
            <w:r>
              <w:rPr>
                <w:rFonts w:hint="eastAsia" w:ascii="宋体" w:hAnsi="宋体" w:eastAsia="宋体" w:cs="宋体"/>
                <w:snapToGrid w:val="0"/>
                <w:color w:val="auto"/>
                <w:kern w:val="28"/>
                <w:sz w:val="24"/>
                <w:szCs w:val="24"/>
                <w:highlight w:val="none"/>
                <w:shd w:val="clear"/>
                <w:lang w:val="en-US" w:eastAsia="zh-CN"/>
              </w:rPr>
              <w:t>.00</w:t>
            </w:r>
            <w:r>
              <w:rPr>
                <w:rFonts w:hint="eastAsia" w:hAnsi="宋体" w:cs="宋体"/>
                <w:snapToGrid w:val="0"/>
                <w:color w:val="auto"/>
                <w:kern w:val="28"/>
                <w:sz w:val="24"/>
                <w:szCs w:val="24"/>
                <w:highlight w:val="none"/>
                <w:shd w:val="clear"/>
              </w:rPr>
              <w:t>元）</w:t>
            </w:r>
            <w:r>
              <w:rPr>
                <w:rFonts w:hint="eastAsia" w:ascii="宋体" w:hAnsi="宋体" w:cs="宋体"/>
                <w:snapToGrid w:val="0"/>
                <w:color w:val="auto"/>
                <w:kern w:val="28"/>
                <w:sz w:val="24"/>
                <w:highlight w:val="none"/>
              </w:rPr>
              <w:t>；</w:t>
            </w:r>
            <w:r>
              <w:rPr>
                <w:rFonts w:hint="eastAsia" w:ascii="宋体" w:hAnsi="宋体" w:eastAsia="宋体" w:cs="宋体"/>
                <w:snapToGrid w:val="0"/>
                <w:color w:val="auto"/>
                <w:kern w:val="28"/>
                <w:sz w:val="24"/>
                <w:highlight w:val="none"/>
              </w:rPr>
              <w:t>由</w:t>
            </w:r>
            <w:r>
              <w:rPr>
                <w:rFonts w:hint="eastAsia" w:ascii="宋体" w:hAnsi="宋体" w:cs="宋体"/>
                <w:snapToGrid w:val="0"/>
                <w:color w:val="auto"/>
                <w:kern w:val="28"/>
                <w:sz w:val="24"/>
                <w:highlight w:val="none"/>
                <w:lang w:eastAsia="zh-CN"/>
              </w:rPr>
              <w:t>中标</w:t>
            </w:r>
            <w:r>
              <w:rPr>
                <w:rFonts w:hint="eastAsia" w:ascii="宋体" w:hAnsi="宋体" w:eastAsia="宋体" w:cs="宋体"/>
                <w:snapToGrid w:val="0"/>
                <w:color w:val="auto"/>
                <w:kern w:val="28"/>
                <w:sz w:val="24"/>
                <w:highlight w:val="none"/>
              </w:rPr>
              <w:t>供应商在领取</w:t>
            </w:r>
            <w:r>
              <w:rPr>
                <w:rFonts w:hint="eastAsia" w:ascii="宋体" w:hAnsi="宋体" w:cs="宋体"/>
                <w:snapToGrid w:val="0"/>
                <w:color w:val="auto"/>
                <w:kern w:val="28"/>
                <w:sz w:val="24"/>
                <w:highlight w:val="none"/>
                <w:lang w:eastAsia="zh-CN"/>
              </w:rPr>
              <w:t>中标</w:t>
            </w:r>
            <w:r>
              <w:rPr>
                <w:rFonts w:hint="eastAsia" w:ascii="宋体" w:hAnsi="宋体" w:eastAsia="宋体" w:cs="宋体"/>
                <w:snapToGrid w:val="0"/>
                <w:color w:val="auto"/>
                <w:kern w:val="28"/>
                <w:sz w:val="24"/>
                <w:highlight w:val="none"/>
              </w:rPr>
              <w:t>通知书时支付给采购代理公司</w:t>
            </w:r>
            <w:r>
              <w:rPr>
                <w:rFonts w:hint="eastAsia" w:ascii="宋体" w:hAnsi="宋体" w:cs="宋体"/>
                <w:snapToGrid w:val="0"/>
                <w:color w:val="auto"/>
                <w:kern w:val="28"/>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0" w:hRule="atLeast"/>
          <w:tblHeader/>
        </w:trPr>
        <w:tc>
          <w:tcPr>
            <w:tcW w:w="629" w:type="dxa"/>
            <w:vMerge w:val="restart"/>
            <w:vAlign w:val="center"/>
          </w:tcPr>
          <w:p>
            <w:pPr>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1786" w:type="dxa"/>
            <w:vMerge w:val="restart"/>
            <w:vAlign w:val="center"/>
          </w:tcPr>
          <w:p>
            <w:pPr>
              <w:snapToGrid w:val="0"/>
              <w:jc w:val="center"/>
              <w:rPr>
                <w:rFonts w:ascii="宋体" w:hAnsi="宋体" w:cs="宋体"/>
                <w:b/>
                <w:color w:val="auto"/>
                <w:sz w:val="24"/>
                <w:highlight w:val="none"/>
              </w:rPr>
            </w:pPr>
            <w:r>
              <w:rPr>
                <w:rFonts w:hint="eastAsia" w:ascii="宋体" w:hAnsi="宋体" w:eastAsia="宋体" w:cs="仿宋_GB2312"/>
                <w:b/>
                <w:color w:val="auto"/>
                <w:sz w:val="24"/>
                <w:highlight w:val="none"/>
              </w:rPr>
              <w:t>特别说明</w:t>
            </w:r>
          </w:p>
        </w:tc>
        <w:tc>
          <w:tcPr>
            <w:tcW w:w="6472" w:type="dxa"/>
            <w:vAlign w:val="center"/>
          </w:tcPr>
          <w:p>
            <w:pPr>
              <w:spacing w:line="240" w:lineRule="auto"/>
              <w:rPr>
                <w:rFonts w:ascii="宋体" w:hAnsi="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35" w:hRule="atLeast"/>
          <w:tblHeader/>
        </w:trPr>
        <w:tc>
          <w:tcPr>
            <w:tcW w:w="629" w:type="dxa"/>
            <w:vMerge w:val="continue"/>
            <w:vAlign w:val="center"/>
          </w:tcPr>
          <w:p>
            <w:pPr>
              <w:snapToGrid w:val="0"/>
              <w:jc w:val="center"/>
              <w:rPr>
                <w:rFonts w:hint="eastAsia" w:ascii="宋体" w:hAnsi="宋体" w:cs="宋体"/>
                <w:color w:val="auto"/>
                <w:sz w:val="24"/>
                <w:highlight w:val="none"/>
              </w:rPr>
            </w:pPr>
          </w:p>
        </w:tc>
        <w:tc>
          <w:tcPr>
            <w:tcW w:w="1786" w:type="dxa"/>
            <w:vMerge w:val="continue"/>
            <w:vAlign w:val="center"/>
          </w:tcPr>
          <w:p>
            <w:pPr>
              <w:snapToGrid w:val="0"/>
              <w:jc w:val="center"/>
              <w:rPr>
                <w:rFonts w:hint="eastAsia" w:ascii="宋体" w:hAnsi="宋体" w:eastAsia="宋体" w:cs="仿宋_GB2312"/>
                <w:b/>
                <w:color w:val="auto"/>
                <w:sz w:val="24"/>
                <w:highlight w:val="none"/>
              </w:rPr>
            </w:pPr>
          </w:p>
        </w:tc>
        <w:tc>
          <w:tcPr>
            <w:tcW w:w="6472" w:type="dxa"/>
            <w:vAlign w:val="center"/>
          </w:tcPr>
          <w:p>
            <w:pPr>
              <w:spacing w:line="24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4746284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pPr>
              <w:spacing w:line="240" w:lineRule="auto"/>
              <w:rPr>
                <w:rFonts w:hint="eastAsia" w:ascii="宋体" w:hAnsi="宋体" w:eastAsia="宋体" w:cs="Arial"/>
                <w:color w:val="auto"/>
                <w:kern w:val="0"/>
                <w:sz w:val="24"/>
                <w:highlight w:val="none"/>
              </w:rPr>
            </w:pPr>
            <w:sdt>
              <w:sdtPr>
                <w:rPr>
                  <w:rFonts w:hint="eastAsia" w:ascii="宋体" w:hAnsi="宋体" w:eastAsia="宋体" w:cs="宋体"/>
                  <w:color w:val="auto"/>
                  <w:kern w:val="0"/>
                  <w:sz w:val="24"/>
                  <w:highlight w:val="none"/>
                </w:rPr>
                <w:id w:val="14745517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9" w:hRule="atLeast"/>
          <w:tblHeader/>
        </w:trPr>
        <w:tc>
          <w:tcPr>
            <w:tcW w:w="629" w:type="dxa"/>
            <w:vAlign w:val="center"/>
          </w:tcPr>
          <w:p>
            <w:pPr>
              <w:snapToGrid w:val="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1786" w:type="dxa"/>
            <w:vAlign w:val="center"/>
          </w:tcPr>
          <w:p>
            <w:pPr>
              <w:snapToGrid w:val="0"/>
              <w:jc w:val="center"/>
              <w:rPr>
                <w:rFonts w:hint="eastAsia" w:ascii="宋体" w:hAnsi="宋体" w:eastAsia="宋体" w:cs="仿宋_GB2312"/>
                <w:b/>
                <w:color w:val="auto"/>
                <w:sz w:val="24"/>
                <w:highlight w:val="none"/>
              </w:rPr>
            </w:pPr>
            <w:r>
              <w:rPr>
                <w:rFonts w:hint="eastAsia" w:ascii="宋体" w:hAnsi="宋体" w:cs="宋体"/>
                <w:b/>
                <w:bCs/>
                <w:color w:val="auto"/>
                <w:sz w:val="24"/>
                <w:highlight w:val="none"/>
                <w:lang w:val="en-US" w:eastAsia="zh-CN"/>
              </w:rPr>
              <w:t>其他</w:t>
            </w:r>
          </w:p>
        </w:tc>
        <w:tc>
          <w:tcPr>
            <w:tcW w:w="6472" w:type="dxa"/>
            <w:vAlign w:val="center"/>
          </w:tcPr>
          <w:p>
            <w:pPr>
              <w:snapToGrid w:val="0"/>
              <w:jc w:val="left"/>
              <w:rPr>
                <w:rFonts w:hint="eastAsia" w:ascii="宋体" w:hAnsi="宋体" w:eastAsia="宋体" w:cs="宋体"/>
                <w:color w:val="auto"/>
                <w:kern w:val="0"/>
                <w:sz w:val="24"/>
                <w:highlight w:val="none"/>
              </w:rPr>
            </w:pPr>
            <w:r>
              <w:rPr>
                <w:rFonts w:hint="eastAsia" w:ascii="宋体" w:hAnsi="宋体" w:cs="宋体"/>
                <w:b w:val="0"/>
                <w:bCs w:val="0"/>
                <w:color w:val="auto"/>
                <w:sz w:val="24"/>
                <w:highlight w:val="none"/>
                <w:lang w:val="en-US" w:eastAsia="zh-CN"/>
              </w:rPr>
              <w:t>现场踏勘：供应商如需现场踏勘，自行与采购单位联系，不统一组织。</w:t>
            </w:r>
          </w:p>
        </w:tc>
      </w:tr>
    </w:tbl>
    <w:p>
      <w:pPr>
        <w:snapToGrid w:val="0"/>
        <w:spacing w:line="360" w:lineRule="auto"/>
        <w:ind w:firstLine="643"/>
        <w:jc w:val="center"/>
        <w:rPr>
          <w:rFonts w:ascii="宋体" w:hAnsi="宋体" w:cs="宋体"/>
          <w:b/>
          <w:color w:val="auto"/>
          <w:sz w:val="32"/>
          <w:szCs w:val="20"/>
          <w:highlight w:val="none"/>
        </w:rPr>
      </w:pPr>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ind w:firstLine="241" w:firstLineChars="100"/>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w:t>
      </w:r>
      <w:r>
        <w:rPr>
          <w:rFonts w:hint="eastAsia" w:ascii="宋体" w:hAnsi="宋体" w:cs="宋体"/>
          <w:color w:val="auto"/>
          <w:sz w:val="24"/>
          <w:highlight w:val="none"/>
          <w:lang w:val="en-US" w:eastAsia="zh-CN"/>
        </w:rPr>
        <w:t>乐采</w:t>
      </w:r>
      <w:r>
        <w:rPr>
          <w:rFonts w:hint="eastAsia" w:ascii="宋体" w:hAnsi="宋体" w:cs="宋体"/>
          <w:color w:val="auto"/>
          <w:sz w:val="24"/>
          <w:highlight w:val="none"/>
        </w:rPr>
        <w:t>云平台（</w:t>
      </w:r>
      <w:r>
        <w:rPr>
          <w:rFonts w:hint="eastAsia" w:ascii="宋体" w:hAnsi="宋体" w:cs="宋体"/>
          <w:color w:val="auto"/>
          <w:sz w:val="24"/>
          <w:highlight w:val="none"/>
          <w:lang w:eastAsia="zh-CN"/>
        </w:rPr>
        <w:t>https://www.lecaiyun.com/</w:t>
      </w:r>
      <w:r>
        <w:rPr>
          <w:rFonts w:hint="eastAsia" w:ascii="宋体" w:hAnsi="宋体" w:cs="宋体"/>
          <w:color w:val="auto"/>
          <w:sz w:val="24"/>
          <w:highlight w:val="none"/>
        </w:rPr>
        <w:t>）。</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2.7 “▲” 系指实质性要求条款，“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r>
        <w:rPr>
          <w:rFonts w:hint="eastAsia" w:ascii="宋体" w:hAnsi="宋体" w:cs="宋体"/>
          <w:color w:val="auto"/>
          <w:sz w:val="24"/>
          <w:highlight w:val="none"/>
        </w:rPr>
        <w:cr/>
      </w:r>
      <w:r>
        <w:rPr>
          <w:rFonts w:hint="eastAsia" w:ascii="宋体" w:hAnsi="宋体" w:cs="宋体"/>
          <w:color w:val="auto"/>
          <w:sz w:val="24"/>
          <w:highlight w:val="none"/>
          <w:lang w:val="en-US" w:eastAsia="zh-CN"/>
        </w:rPr>
        <w:t xml:space="preserve"> </w:t>
      </w: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.询问、质疑、投诉</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val="zh-CN"/>
        </w:rPr>
        <w:t>.1在线询问、质疑、投诉。根据《浙江省财政厅关于进一步促进政府采购公平竞争打造最优营商环境的通知》（浙财采监（2021）22号）文件关于“健全行政裁决机制”要求，鼓励供应商在线提起询问，路径为：乐采云-项目采购-询问质疑投诉-询问列表；鼓励供应商在线提起质疑，路径为：乐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val="zh-CN"/>
        </w:rPr>
        <w:t>.2供应商询问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供应商对非政府采购活动事项有疑问的，可以提出询问，采购人或者采购代理机构应当在</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val="zh-CN"/>
        </w:rPr>
        <w:t>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val="zh-CN"/>
        </w:rPr>
        <w:t>.3供应商质疑</w:t>
      </w:r>
    </w:p>
    <w:p>
      <w:pPr>
        <w:pStyle w:val="36"/>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en-US" w:eastAsia="zh-CN"/>
        </w:rPr>
        <w:t>3</w:t>
      </w:r>
      <w:r>
        <w:rPr>
          <w:rFonts w:hint="eastAsia" w:hAnsi="宋体" w:cs="宋体"/>
          <w:color w:val="auto"/>
          <w:kern w:val="0"/>
          <w:sz w:val="24"/>
          <w:highlight w:val="none"/>
          <w:lang w:val="zh-CN"/>
        </w:rPr>
        <w:t>.3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6"/>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en-US" w:eastAsia="zh-CN"/>
        </w:rPr>
        <w:t>3</w:t>
      </w:r>
      <w:r>
        <w:rPr>
          <w:rFonts w:hint="eastAsia" w:hAnsi="宋体" w:cs="宋体"/>
          <w:color w:val="auto"/>
          <w:kern w:val="0"/>
          <w:sz w:val="24"/>
          <w:highlight w:val="none"/>
          <w:lang w:val="zh-CN"/>
        </w:rPr>
        <w:t>.3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lang w:val="en-US" w:eastAsia="zh-CN"/>
        </w:rPr>
        <w:t>3</w:t>
      </w:r>
      <w:r>
        <w:rPr>
          <w:rFonts w:hint="eastAsia" w:hAnsi="宋体" w:cs="宋体"/>
          <w:snapToGrid/>
          <w:color w:val="auto"/>
          <w:kern w:val="2"/>
          <w:sz w:val="24"/>
          <w:highlight w:val="none"/>
        </w:rPr>
        <w:t>.3.2.1对招标文件提出质疑的，质疑期限为供应商获得招标文件之日或者招标文件公告期限届满之日起计算。</w:t>
      </w:r>
    </w:p>
    <w:p>
      <w:pPr>
        <w:pStyle w:val="36"/>
        <w:spacing w:line="360" w:lineRule="auto"/>
        <w:ind w:left="479" w:leftChars="228"/>
        <w:rPr>
          <w:rFonts w:hAnsi="宋体" w:cs="宋体"/>
          <w:color w:val="auto"/>
          <w:sz w:val="24"/>
          <w:highlight w:val="none"/>
        </w:rPr>
      </w:pPr>
      <w:r>
        <w:rPr>
          <w:rFonts w:hint="eastAsia" w:hAnsi="宋体" w:cs="宋体"/>
          <w:color w:val="auto"/>
          <w:sz w:val="24"/>
          <w:highlight w:val="none"/>
          <w:lang w:val="en-US" w:eastAsia="zh-CN"/>
        </w:rPr>
        <w:t>3</w:t>
      </w:r>
      <w:r>
        <w:rPr>
          <w:rFonts w:hint="eastAsia" w:hAnsi="宋体" w:cs="宋体"/>
          <w:color w:val="auto"/>
          <w:sz w:val="24"/>
          <w:highlight w:val="none"/>
        </w:rPr>
        <w:t>.3.2.2对采购过程提出质疑的，质疑期限为各采购程序环节结束之日起计算。</w:t>
      </w:r>
      <w:r>
        <w:rPr>
          <w:rFonts w:hint="eastAsia" w:hAnsi="宋体" w:cs="宋体"/>
          <w:color w:val="auto"/>
          <w:sz w:val="24"/>
          <w:highlight w:val="none"/>
          <w:lang w:val="en-US" w:eastAsia="zh-CN"/>
        </w:rPr>
        <w:t>3</w:t>
      </w:r>
      <w:r>
        <w:rPr>
          <w:rFonts w:hint="eastAsia" w:hAnsi="宋体" w:cs="宋体"/>
          <w:color w:val="auto"/>
          <w:sz w:val="24"/>
          <w:highlight w:val="none"/>
        </w:rPr>
        <w:t>.3.2.3对采购结果提出质疑的，质疑期限自采购结果公告期限届满之日起计算。</w:t>
      </w:r>
    </w:p>
    <w:p>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en-US" w:eastAsia="zh-CN"/>
        </w:rPr>
        <w:t>3</w:t>
      </w:r>
      <w:r>
        <w:rPr>
          <w:rFonts w:hint="eastAsia" w:hAnsi="宋体" w:cs="宋体"/>
          <w:color w:val="auto"/>
          <w:kern w:val="0"/>
          <w:sz w:val="24"/>
          <w:highlight w:val="none"/>
          <w:lang w:val="zh-CN"/>
        </w:rPr>
        <w:t>.3.3</w:t>
      </w:r>
      <w:r>
        <w:rPr>
          <w:rFonts w:hint="eastAsia" w:hAnsi="宋体" w:cs="宋体"/>
          <w:color w:val="auto"/>
          <w:sz w:val="24"/>
          <w:highlight w:val="none"/>
        </w:rPr>
        <w:t>供应商提出质疑应当提交质疑函和必要的证明材料。质疑函应当包括下列内容：</w:t>
      </w:r>
    </w:p>
    <w:p>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lang w:val="en-US" w:eastAsia="zh-CN"/>
        </w:rPr>
        <w:t>3.3.3.</w:t>
      </w:r>
      <w:r>
        <w:rPr>
          <w:rFonts w:hint="eastAsia" w:hAnsi="宋体" w:cs="宋体"/>
          <w:color w:val="auto"/>
          <w:kern w:val="0"/>
          <w:sz w:val="24"/>
          <w:highlight w:val="none"/>
          <w:lang w:val="zh-CN"/>
        </w:rPr>
        <w:t>1供应商的姓名或者名称、地址、邮编、联系人及联系电话；</w:t>
      </w:r>
    </w:p>
    <w:p>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3.3.3.2质疑项目的名称、编号；</w:t>
      </w:r>
    </w:p>
    <w:p>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3.3.3.3具体、明确的质疑事项和与质疑事项相关的请求；</w:t>
      </w:r>
    </w:p>
    <w:p>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3.3.3.4事实依据；</w:t>
      </w:r>
    </w:p>
    <w:p>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3.3.3.5必要的法律依据；</w:t>
      </w:r>
    </w:p>
    <w:p>
      <w:pPr>
        <w:pStyle w:val="36"/>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3.3.3.6提出质疑的日期。</w:t>
      </w:r>
    </w:p>
    <w:p>
      <w:pPr>
        <w:pStyle w:val="890"/>
        <w:snapToGrid w:val="0"/>
        <w:spacing w:after="240" w:afterAutospacing="0" w:line="360" w:lineRule="auto"/>
        <w:ind w:firstLine="48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90"/>
        <w:snapToGrid w:val="0"/>
        <w:spacing w:after="240" w:afterAutospacing="0" w:line="360" w:lineRule="auto"/>
        <w:ind w:firstLine="480"/>
        <w:contextualSpacing/>
        <w:rPr>
          <w:color w:val="auto"/>
          <w:highlight w:val="none"/>
        </w:rPr>
      </w:pPr>
      <w:r>
        <w:rPr>
          <w:rFonts w:hint="eastAsia"/>
          <w:color w:val="auto"/>
          <w:highlight w:val="none"/>
        </w:rPr>
        <w:t>质疑函范本及制作说明详见附件2。</w:t>
      </w:r>
    </w:p>
    <w:p>
      <w:pPr>
        <w:pStyle w:val="890"/>
        <w:snapToGrid w:val="0"/>
        <w:spacing w:after="240" w:afterAutospacing="0" w:line="360" w:lineRule="auto"/>
        <w:ind w:firstLine="480"/>
        <w:contextualSpacing/>
        <w:rPr>
          <w:color w:val="auto"/>
          <w:highlight w:val="none"/>
        </w:rPr>
      </w:pPr>
      <w:r>
        <w:rPr>
          <w:rFonts w:hint="eastAsia"/>
          <w:color w:val="auto"/>
          <w:highlight w:val="none"/>
          <w:lang w:val="en-US" w:eastAsia="zh-CN"/>
        </w:rPr>
        <w:t>3</w:t>
      </w:r>
      <w:r>
        <w:rPr>
          <w:rFonts w:hint="eastAsia"/>
          <w:color w:val="auto"/>
          <w:highlight w:val="none"/>
        </w:rPr>
        <w:t>.3.4对同一采购程序环节的质疑，供应商须在法定质疑期内一次性提出。</w:t>
      </w:r>
    </w:p>
    <w:p>
      <w:pPr>
        <w:pStyle w:val="890"/>
        <w:snapToGrid w:val="0"/>
        <w:spacing w:after="240" w:afterAutospacing="0" w:line="360" w:lineRule="auto"/>
        <w:ind w:firstLine="480"/>
        <w:contextualSpacing/>
        <w:rPr>
          <w:color w:val="auto"/>
          <w:highlight w:val="none"/>
        </w:rPr>
      </w:pPr>
      <w:r>
        <w:rPr>
          <w:rFonts w:hint="eastAsia"/>
          <w:color w:val="auto"/>
          <w:highlight w:val="none"/>
          <w:lang w:val="en-US" w:eastAsia="zh-CN"/>
        </w:rPr>
        <w:t>3</w:t>
      </w:r>
      <w:r>
        <w:rPr>
          <w:rFonts w:hint="eastAsia"/>
          <w:color w:val="auto"/>
          <w:highlight w:val="none"/>
          <w:lang w:val="zh-CN"/>
        </w:rPr>
        <w:t>.3</w:t>
      </w:r>
      <w:r>
        <w:rPr>
          <w:rFonts w:hint="eastAsia"/>
          <w:color w:val="auto"/>
          <w:highlight w:val="none"/>
        </w:rPr>
        <w:t>.5采购人或者采购代理机构应当在收到供应商的书面质疑后七个工作日内作出答复，但答复的内容不得涉及商业秘密。</w:t>
      </w:r>
    </w:p>
    <w:p>
      <w:pPr>
        <w:pStyle w:val="890"/>
        <w:snapToGrid w:val="0"/>
        <w:spacing w:after="240" w:afterAutospacing="0" w:line="360" w:lineRule="auto"/>
        <w:ind w:firstLine="480"/>
        <w:contextualSpacing/>
        <w:rPr>
          <w:color w:val="auto"/>
          <w:highlight w:val="none"/>
        </w:rPr>
      </w:pPr>
      <w:r>
        <w:rPr>
          <w:rFonts w:hint="eastAsia"/>
          <w:color w:val="auto"/>
          <w:highlight w:val="none"/>
          <w:lang w:val="en-US" w:eastAsia="zh-CN"/>
        </w:rPr>
        <w:t>3</w:t>
      </w:r>
      <w:r>
        <w:rPr>
          <w:rFonts w:hint="eastAsia"/>
          <w:color w:val="auto"/>
          <w:highlight w:val="none"/>
          <w:lang w:val="zh-CN"/>
        </w:rPr>
        <w:t>.3</w:t>
      </w:r>
      <w:r>
        <w:rPr>
          <w:rFonts w:hint="eastAsia"/>
          <w:color w:val="auto"/>
          <w:highlight w:val="none"/>
        </w:rPr>
        <w:t>.6询问或者质疑事项可能影响采购结果的，采购人应当暂停签订合同，已经签订合同的，应当中止履行合同。</w:t>
      </w:r>
    </w:p>
    <w:p>
      <w:pPr>
        <w:pStyle w:val="890"/>
        <w:snapToGrid w:val="0"/>
        <w:spacing w:after="240" w:afterAutospacing="0" w:line="360" w:lineRule="auto"/>
        <w:ind w:firstLine="480" w:firstLineChars="200"/>
        <w:contextualSpacing/>
        <w:rPr>
          <w:color w:val="auto"/>
          <w:highlight w:val="none"/>
          <w:lang w:val="zh-CN"/>
        </w:rPr>
      </w:pPr>
      <w:r>
        <w:rPr>
          <w:rFonts w:hint="eastAsia"/>
          <w:color w:val="auto"/>
          <w:highlight w:val="none"/>
          <w:lang w:val="en-US" w:eastAsia="zh-CN"/>
        </w:rPr>
        <w:t>3</w:t>
      </w:r>
      <w:r>
        <w:rPr>
          <w:rFonts w:hint="eastAsia"/>
          <w:color w:val="auto"/>
          <w:highlight w:val="none"/>
          <w:lang w:val="zh-CN"/>
        </w:rPr>
        <w:t>.4供应商投诉</w:t>
      </w:r>
    </w:p>
    <w:p>
      <w:pPr>
        <w:pStyle w:val="890"/>
        <w:snapToGrid w:val="0"/>
        <w:spacing w:after="240" w:afterAutospacing="0" w:line="360" w:lineRule="auto"/>
        <w:ind w:firstLine="480"/>
        <w:contextualSpacing/>
        <w:rPr>
          <w:color w:val="auto"/>
          <w:highlight w:val="none"/>
        </w:rPr>
      </w:pPr>
      <w:r>
        <w:rPr>
          <w:rFonts w:hint="eastAsia"/>
          <w:color w:val="auto"/>
          <w:highlight w:val="none"/>
          <w:lang w:val="en-US" w:eastAsia="zh-CN"/>
        </w:rPr>
        <w:t>3</w:t>
      </w:r>
      <w:r>
        <w:rPr>
          <w:rFonts w:hint="eastAsia"/>
          <w:color w:val="auto"/>
          <w:highlight w:val="none"/>
        </w:rPr>
        <w:t>.4.1质疑供应商对采购人、采购代理机构的答复不满意或者采购人、采购代理机构未在规定的时间内作出答复的，可以在答复期满后十五个工作日内向</w:t>
      </w:r>
      <w:r>
        <w:rPr>
          <w:rFonts w:hint="eastAsia" w:ascii="宋体" w:hAnsi="宋体" w:cs="宋体"/>
          <w:color w:val="auto"/>
          <w:sz w:val="24"/>
          <w:highlight w:val="none"/>
        </w:rPr>
        <w:t>监管部门</w:t>
      </w:r>
      <w:r>
        <w:rPr>
          <w:rFonts w:hint="eastAsia"/>
          <w:color w:val="auto"/>
          <w:highlight w:val="none"/>
        </w:rPr>
        <w:t>提出投诉。</w:t>
      </w:r>
    </w:p>
    <w:p>
      <w:pPr>
        <w:pStyle w:val="890"/>
        <w:snapToGrid w:val="0"/>
        <w:spacing w:after="240" w:afterAutospacing="0" w:line="360" w:lineRule="auto"/>
        <w:ind w:firstLine="480"/>
        <w:contextualSpacing/>
        <w:rPr>
          <w:color w:val="auto"/>
          <w:highlight w:val="none"/>
        </w:rPr>
      </w:pPr>
      <w:r>
        <w:rPr>
          <w:rFonts w:hint="eastAsia"/>
          <w:color w:val="auto"/>
          <w:highlight w:val="none"/>
          <w:lang w:val="en-US" w:eastAsia="zh-CN"/>
        </w:rPr>
        <w:t>3</w:t>
      </w:r>
      <w:r>
        <w:rPr>
          <w:rFonts w:hint="eastAsia"/>
          <w:color w:val="auto"/>
          <w:highlight w:val="none"/>
        </w:rPr>
        <w:t>.4.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90"/>
        <w:snapToGrid w:val="0"/>
        <w:spacing w:after="240" w:afterAutospacing="0" w:line="360" w:lineRule="auto"/>
        <w:ind w:firstLine="480"/>
        <w:contextualSpacing/>
        <w:rPr>
          <w:color w:val="auto"/>
          <w:highlight w:val="none"/>
        </w:rPr>
      </w:pPr>
      <w:r>
        <w:rPr>
          <w:rFonts w:hint="eastAsia"/>
          <w:color w:val="auto"/>
          <w:highlight w:val="none"/>
          <w:lang w:val="en-US" w:eastAsia="zh-CN"/>
        </w:rPr>
        <w:t>3</w:t>
      </w:r>
      <w:r>
        <w:rPr>
          <w:rFonts w:hint="eastAsia"/>
          <w:color w:val="auto"/>
          <w:highlight w:val="none"/>
        </w:rPr>
        <w:t>.4.3供应商投诉应当有明确的请求和必要的证明材料。</w:t>
      </w:r>
    </w:p>
    <w:p>
      <w:pPr>
        <w:pStyle w:val="890"/>
        <w:snapToGrid w:val="0"/>
        <w:spacing w:after="240" w:afterAutospacing="0" w:line="360" w:lineRule="auto"/>
        <w:ind w:firstLine="480"/>
        <w:contextualSpacing/>
        <w:rPr>
          <w:color w:val="auto"/>
          <w:highlight w:val="none"/>
        </w:rPr>
      </w:pPr>
      <w:r>
        <w:rPr>
          <w:rFonts w:hint="eastAsia"/>
          <w:color w:val="auto"/>
          <w:highlight w:val="none"/>
          <w:lang w:val="en-US" w:eastAsia="zh-CN"/>
        </w:rPr>
        <w:t>3</w:t>
      </w:r>
      <w:r>
        <w:rPr>
          <w:rFonts w:hint="eastAsia"/>
          <w:color w:val="auto"/>
          <w:highlight w:val="none"/>
        </w:rPr>
        <w:t>.4.4以联合体形式参加政府采购活动的，其投诉应当由组成联合体的所有供应商共同提出。</w:t>
      </w:r>
    </w:p>
    <w:p>
      <w:pPr>
        <w:pStyle w:val="890"/>
        <w:snapToGrid w:val="0"/>
        <w:spacing w:after="240" w:afterAutospacing="0" w:line="360" w:lineRule="auto"/>
        <w:ind w:firstLine="480"/>
        <w:contextualSpacing/>
        <w:rPr>
          <w:color w:val="auto"/>
          <w:highlight w:val="none"/>
        </w:rPr>
      </w:pPr>
      <w:r>
        <w:rPr>
          <w:rFonts w:hint="eastAsia"/>
          <w:color w:val="auto"/>
          <w:highlight w:val="none"/>
        </w:rPr>
        <w:t>投诉书范本及制作说明详见附件3。</w:t>
      </w:r>
    </w:p>
    <w:p>
      <w:pPr>
        <w:pStyle w:val="136"/>
        <w:snapToGrid w:val="0"/>
        <w:spacing w:before="0"/>
        <w:ind w:firstLine="360"/>
        <w:rPr>
          <w:rFonts w:ascii="宋体" w:hAnsi="宋体" w:cs="宋体"/>
          <w:color w:val="auto"/>
          <w:sz w:val="18"/>
          <w:szCs w:val="18"/>
          <w:highlight w:val="none"/>
        </w:rPr>
      </w:pPr>
    </w:p>
    <w:p>
      <w:pPr>
        <w:adjustRightInd/>
        <w:spacing w:line="360" w:lineRule="auto"/>
        <w:ind w:firstLine="643"/>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6"/>
        <w:spacing w:line="360" w:lineRule="auto"/>
        <w:ind w:firstLine="482"/>
        <w:rPr>
          <w:rFonts w:hAnsi="宋体" w:cs="宋体"/>
          <w:b/>
          <w:color w:val="auto"/>
          <w:sz w:val="24"/>
          <w:szCs w:val="24"/>
          <w:highlight w:val="none"/>
        </w:rPr>
      </w:pPr>
      <w:r>
        <w:rPr>
          <w:rFonts w:hint="eastAsia" w:hAnsi="宋体" w:cs="宋体"/>
          <w:b/>
          <w:color w:val="auto"/>
          <w:sz w:val="24"/>
          <w:szCs w:val="24"/>
          <w:highlight w:val="none"/>
          <w:lang w:val="en-US" w:eastAsia="zh-CN"/>
        </w:rPr>
        <w:t>4</w:t>
      </w:r>
      <w:r>
        <w:rPr>
          <w:rFonts w:hint="eastAsia" w:hAnsi="宋体" w:cs="宋体"/>
          <w:b/>
          <w:color w:val="auto"/>
          <w:sz w:val="24"/>
          <w:szCs w:val="24"/>
          <w:highlight w:val="none"/>
        </w:rPr>
        <w:t>．招标文件的构成</w:t>
      </w:r>
    </w:p>
    <w:p>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lang w:val="en-US" w:eastAsia="zh-CN"/>
        </w:rPr>
        <w:t>4</w:t>
      </w:r>
      <w:r>
        <w:rPr>
          <w:rFonts w:hint="eastAsia" w:hAnsi="宋体" w:cs="宋体"/>
          <w:color w:val="auto"/>
          <w:sz w:val="24"/>
          <w:szCs w:val="24"/>
          <w:highlight w:val="none"/>
        </w:rPr>
        <w:t>.1 招标文件包括下列文件及附件：</w:t>
      </w:r>
    </w:p>
    <w:p>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lang w:val="en-US" w:eastAsia="zh-CN"/>
        </w:rPr>
        <w:t>4</w:t>
      </w:r>
      <w:r>
        <w:rPr>
          <w:rFonts w:hint="eastAsia" w:hAnsi="宋体" w:cs="宋体"/>
          <w:color w:val="auto"/>
          <w:sz w:val="24"/>
          <w:szCs w:val="24"/>
          <w:highlight w:val="none"/>
        </w:rPr>
        <w:t>.1.1招标公告；</w:t>
      </w:r>
    </w:p>
    <w:p>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lang w:val="en-US" w:eastAsia="zh-CN"/>
        </w:rPr>
        <w:t>4</w:t>
      </w:r>
      <w:r>
        <w:rPr>
          <w:rFonts w:hint="eastAsia" w:hAnsi="宋体" w:cs="宋体"/>
          <w:color w:val="auto"/>
          <w:sz w:val="24"/>
          <w:szCs w:val="24"/>
          <w:highlight w:val="none"/>
        </w:rPr>
        <w:t>.1.2投标人须知；</w:t>
      </w:r>
    </w:p>
    <w:p>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lang w:val="en-US" w:eastAsia="zh-CN"/>
        </w:rPr>
        <w:t>4</w:t>
      </w:r>
      <w:r>
        <w:rPr>
          <w:rFonts w:hint="eastAsia" w:hAnsi="宋体" w:cs="宋体"/>
          <w:color w:val="auto"/>
          <w:sz w:val="24"/>
          <w:szCs w:val="24"/>
          <w:highlight w:val="none"/>
        </w:rPr>
        <w:t>.1.3采购需求；</w:t>
      </w:r>
    </w:p>
    <w:p>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lang w:val="en-US" w:eastAsia="zh-CN"/>
        </w:rPr>
        <w:t>4</w:t>
      </w:r>
      <w:r>
        <w:rPr>
          <w:rFonts w:hint="eastAsia" w:hAnsi="宋体" w:cs="宋体"/>
          <w:color w:val="auto"/>
          <w:sz w:val="24"/>
          <w:szCs w:val="24"/>
          <w:highlight w:val="none"/>
        </w:rPr>
        <w:t>.1.4评标办法；</w:t>
      </w:r>
    </w:p>
    <w:p>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lang w:val="en-US" w:eastAsia="zh-CN"/>
        </w:rPr>
        <w:t>4</w:t>
      </w:r>
      <w:r>
        <w:rPr>
          <w:rFonts w:hint="eastAsia" w:hAnsi="宋体" w:cs="宋体"/>
          <w:color w:val="auto"/>
          <w:sz w:val="24"/>
          <w:szCs w:val="24"/>
          <w:highlight w:val="none"/>
        </w:rPr>
        <w:t>.1.5拟签订的合同文本；</w:t>
      </w:r>
    </w:p>
    <w:p>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lang w:val="en-US" w:eastAsia="zh-CN"/>
        </w:rPr>
        <w:t>4</w:t>
      </w:r>
      <w:r>
        <w:rPr>
          <w:rFonts w:hint="eastAsia" w:hAnsi="宋体" w:cs="宋体"/>
          <w:color w:val="auto"/>
          <w:sz w:val="24"/>
          <w:highlight w:val="none"/>
        </w:rPr>
        <w:t>.1.6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6"/>
        <w:spacing w:line="360" w:lineRule="auto"/>
        <w:ind w:firstLine="482"/>
        <w:rPr>
          <w:rFonts w:hAnsi="宋体" w:cs="宋体"/>
          <w:b/>
          <w:color w:val="auto"/>
          <w:sz w:val="24"/>
          <w:szCs w:val="24"/>
          <w:highlight w:val="none"/>
        </w:rPr>
      </w:pPr>
      <w:r>
        <w:rPr>
          <w:rFonts w:hint="eastAsia" w:hAnsi="宋体" w:cs="宋体"/>
          <w:b/>
          <w:color w:val="auto"/>
          <w:sz w:val="24"/>
          <w:szCs w:val="24"/>
          <w:highlight w:val="none"/>
          <w:lang w:val="en-US" w:eastAsia="zh-CN"/>
        </w:rPr>
        <w:t>5</w:t>
      </w:r>
      <w:r>
        <w:rPr>
          <w:rFonts w:hint="eastAsia" w:hAnsi="宋体" w:cs="宋体"/>
          <w:b/>
          <w:color w:val="auto"/>
          <w:sz w:val="24"/>
          <w:szCs w:val="24"/>
          <w:highlight w:val="none"/>
        </w:rPr>
        <w:t>. 招标文件的澄清、修改</w:t>
      </w:r>
    </w:p>
    <w:p>
      <w:pPr>
        <w:pStyle w:val="136"/>
        <w:snapToGrid w:val="0"/>
        <w:spacing w:before="0"/>
        <w:ind w:firstLine="480"/>
        <w:rPr>
          <w:rFonts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.1已获取招标文件的潜在投标人，若有问题需要澄清，应于投标截止时间前，以书面形式向采购代理机构提出。</w:t>
      </w:r>
    </w:p>
    <w:p>
      <w:pPr>
        <w:pStyle w:val="136"/>
        <w:snapToGrid w:val="0"/>
        <w:spacing w:before="0"/>
        <w:ind w:firstLine="480"/>
        <w:rPr>
          <w:rFonts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18"/>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ind w:firstLine="602"/>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6"/>
        <w:spacing w:line="360" w:lineRule="auto"/>
        <w:ind w:firstLine="482"/>
        <w:rPr>
          <w:rFonts w:hAnsi="宋体" w:cs="宋体"/>
          <w:b/>
          <w:color w:val="auto"/>
          <w:sz w:val="24"/>
          <w:szCs w:val="24"/>
          <w:highlight w:val="none"/>
        </w:rPr>
      </w:pPr>
      <w:r>
        <w:rPr>
          <w:rFonts w:hint="eastAsia" w:hAnsi="宋体" w:cs="宋体"/>
          <w:b/>
          <w:color w:val="auto"/>
          <w:sz w:val="24"/>
          <w:szCs w:val="24"/>
          <w:highlight w:val="none"/>
          <w:lang w:val="en-US" w:eastAsia="zh-CN"/>
        </w:rPr>
        <w:t>6</w:t>
      </w:r>
      <w:r>
        <w:rPr>
          <w:rFonts w:hint="eastAsia" w:hAnsi="宋体" w:cs="宋体"/>
          <w:b/>
          <w:color w:val="auto"/>
          <w:sz w:val="24"/>
          <w:szCs w:val="24"/>
          <w:highlight w:val="none"/>
        </w:rPr>
        <w:t>.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6"/>
        <w:spacing w:line="360" w:lineRule="auto"/>
        <w:ind w:firstLine="482"/>
        <w:rPr>
          <w:rFonts w:hAnsi="宋体" w:cs="宋体"/>
          <w:b/>
          <w:color w:val="auto"/>
          <w:sz w:val="24"/>
          <w:szCs w:val="24"/>
          <w:highlight w:val="none"/>
        </w:rPr>
      </w:pPr>
      <w:r>
        <w:rPr>
          <w:rFonts w:hint="eastAsia" w:hAnsi="宋体" w:cs="宋体"/>
          <w:b/>
          <w:color w:val="auto"/>
          <w:sz w:val="24"/>
          <w:szCs w:val="24"/>
          <w:highlight w:val="none"/>
          <w:lang w:val="en-US" w:eastAsia="zh-CN"/>
        </w:rPr>
        <w:t>7</w:t>
      </w:r>
      <w:r>
        <w:rPr>
          <w:rFonts w:hint="eastAsia" w:hAnsi="宋体" w:cs="宋体"/>
          <w:b/>
          <w:color w:val="auto"/>
          <w:sz w:val="24"/>
          <w:szCs w:val="24"/>
          <w:highlight w:val="none"/>
        </w:rPr>
        <w:t>.开标前答疑会或现场考察</w:t>
      </w:r>
    </w:p>
    <w:p>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6"/>
        <w:spacing w:line="360" w:lineRule="auto"/>
        <w:ind w:firstLine="482"/>
        <w:rPr>
          <w:rFonts w:hAnsi="宋体" w:cs="宋体"/>
          <w:b/>
          <w:color w:val="auto"/>
          <w:sz w:val="24"/>
          <w:szCs w:val="24"/>
          <w:highlight w:val="none"/>
        </w:rPr>
      </w:pPr>
      <w:r>
        <w:rPr>
          <w:rFonts w:hint="eastAsia" w:hAnsi="宋体" w:cs="宋体"/>
          <w:b/>
          <w:color w:val="auto"/>
          <w:sz w:val="24"/>
          <w:szCs w:val="24"/>
          <w:highlight w:val="none"/>
          <w:lang w:val="en-US" w:eastAsia="zh-CN"/>
        </w:rPr>
        <w:t>8</w:t>
      </w:r>
      <w:r>
        <w:rPr>
          <w:rFonts w:hint="eastAsia" w:hAnsi="宋体" w:cs="宋体"/>
          <w:b/>
          <w:color w:val="auto"/>
          <w:sz w:val="24"/>
          <w:szCs w:val="24"/>
          <w:highlight w:val="none"/>
        </w:rPr>
        <w:t>. 投标文件的语言</w:t>
      </w:r>
    </w:p>
    <w:p>
      <w:pPr>
        <w:autoSpaceDE w:val="0"/>
        <w:autoSpaceDN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投标文件及投标人与采购有关的来往通知、函件和文件均应使用中文。</w:t>
      </w:r>
    </w:p>
    <w:p>
      <w:pPr>
        <w:numPr>
          <w:ilvl w:val="0"/>
          <w:numId w:val="1"/>
        </w:numPr>
        <w:autoSpaceDE w:val="0"/>
        <w:autoSpaceDN w:val="0"/>
        <w:spacing w:line="360" w:lineRule="auto"/>
        <w:ind w:firstLine="482" w:firstLineChars="200"/>
        <w:rPr>
          <w:rFonts w:hint="eastAsia" w:hAnsi="宋体" w:cs="宋体"/>
          <w:b/>
          <w:color w:val="auto"/>
          <w:sz w:val="24"/>
          <w:szCs w:val="24"/>
          <w:highlight w:val="none"/>
        </w:rPr>
      </w:pPr>
      <w:r>
        <w:rPr>
          <w:rFonts w:hint="eastAsia" w:hAnsi="宋体" w:cs="宋体"/>
          <w:b/>
          <w:bCs/>
          <w:color w:val="auto"/>
          <w:sz w:val="24"/>
          <w:szCs w:val="24"/>
          <w:highlight w:val="none"/>
        </w:rPr>
        <w:t>投标文件</w:t>
      </w:r>
      <w:r>
        <w:rPr>
          <w:rFonts w:hint="eastAsia" w:hAnsi="宋体" w:cs="宋体"/>
          <w:b/>
          <w:color w:val="auto"/>
          <w:sz w:val="24"/>
          <w:szCs w:val="24"/>
          <w:highlight w:val="none"/>
        </w:rPr>
        <w:t>的组成</w:t>
      </w:r>
    </w:p>
    <w:p>
      <w:pPr>
        <w:pStyle w:val="36"/>
        <w:spacing w:line="360" w:lineRule="auto"/>
        <w:ind w:firstLine="482" w:firstLineChars="200"/>
        <w:rPr>
          <w:color w:val="auto"/>
          <w:highlight w:val="none"/>
        </w:rPr>
      </w:pPr>
      <w:r>
        <w:rPr>
          <w:rFonts w:hint="eastAsia" w:hAnsi="宋体" w:cs="宋体"/>
          <w:b/>
          <w:color w:val="auto"/>
          <w:sz w:val="24"/>
          <w:szCs w:val="24"/>
          <w:highlight w:val="none"/>
          <w:u w:val="single"/>
        </w:rPr>
        <w:t>响应文件组成如下：</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.1.1符合参加</w:t>
      </w:r>
      <w:r>
        <w:rPr>
          <w:rFonts w:hint="eastAsia" w:ascii="宋体" w:hAnsi="宋体" w:cs="宋体"/>
          <w:color w:val="auto"/>
          <w:sz w:val="24"/>
          <w:highlight w:val="none"/>
          <w:lang w:eastAsia="zh-CN"/>
        </w:rPr>
        <w:t>非</w:t>
      </w:r>
      <w:r>
        <w:rPr>
          <w:rFonts w:hint="eastAsia" w:ascii="宋体" w:hAnsi="宋体" w:cs="宋体"/>
          <w:color w:val="auto"/>
          <w:sz w:val="24"/>
          <w:highlight w:val="none"/>
        </w:rPr>
        <w:t>政府采购活动应当具备的一般条件的承诺函；</w:t>
      </w:r>
    </w:p>
    <w:p>
      <w:pPr>
        <w:snapToGrid w:val="0"/>
        <w:spacing w:line="360" w:lineRule="auto"/>
        <w:ind w:firstLine="960" w:firstLineChars="400"/>
        <w:rPr>
          <w:rFonts w:hint="eastAsia" w:ascii="宋体" w:hAnsi="宋体" w:cs="宋体"/>
          <w:snapToGrid w:val="0"/>
          <w:color w:val="auto"/>
          <w:kern w:val="28"/>
          <w:sz w:val="24"/>
          <w:szCs w:val="20"/>
          <w:highlight w:val="none"/>
        </w:rPr>
      </w:pPr>
      <w:r>
        <w:rPr>
          <w:rFonts w:hint="eastAsia" w:ascii="宋体" w:hAnsi="宋体" w:cs="宋体"/>
          <w:color w:val="auto"/>
          <w:sz w:val="24"/>
          <w:highlight w:val="none"/>
          <w:lang w:val="en-US" w:eastAsia="zh-CN"/>
        </w:rPr>
        <w:t>9</w:t>
      </w:r>
      <w:r>
        <w:rPr>
          <w:rFonts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snapToGrid w:val="0"/>
          <w:color w:val="auto"/>
          <w:kern w:val="28"/>
          <w:sz w:val="24"/>
          <w:szCs w:val="20"/>
          <w:highlight w:val="none"/>
        </w:rPr>
        <w:t>联合协议（如果有)；</w:t>
      </w:r>
    </w:p>
    <w:p>
      <w:pPr>
        <w:snapToGrid w:val="0"/>
        <w:spacing w:line="360" w:lineRule="auto"/>
        <w:ind w:firstLine="960" w:firstLineChars="40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lang w:val="en-US" w:eastAsia="zh-CN"/>
        </w:rPr>
        <w:t>9</w:t>
      </w:r>
      <w:r>
        <w:rPr>
          <w:rFonts w:hint="eastAsia" w:ascii="宋体" w:hAnsi="宋体" w:cs="宋体"/>
          <w:snapToGrid w:val="0"/>
          <w:color w:val="auto"/>
          <w:kern w:val="28"/>
          <w:sz w:val="24"/>
          <w:szCs w:val="20"/>
          <w:highlight w:val="none"/>
        </w:rPr>
        <w:t>.1.3落实采购政策需满足的资格要求（如果有)；</w:t>
      </w:r>
    </w:p>
    <w:p>
      <w:pPr>
        <w:snapToGrid w:val="0"/>
        <w:spacing w:line="360" w:lineRule="auto"/>
        <w:ind w:firstLine="960" w:firstLineChars="400"/>
        <w:rPr>
          <w:rFonts w:ascii="宋体" w:hAnsi="宋体" w:cs="宋体"/>
          <w:color w:val="auto"/>
          <w:sz w:val="24"/>
          <w:highlight w:val="none"/>
        </w:rPr>
      </w:pP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.2.2授权委托书或法定代表人（单位负责人、自然人本人）身份证明；</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.2.3分包意向协议（如果有)；</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.2.4符合性审查资料；</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.2.5评标标准相应的商务技术资料；</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.2.6投标标的清单；</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.2.7商务技术偏离表；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.3.1开标一览表（报价表）；</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136"/>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w:t>
      </w:r>
      <w:r>
        <w:rPr>
          <w:rFonts w:hint="eastAsia" w:ascii="宋体" w:hAnsi="宋体" w:cs="宋体"/>
          <w:b/>
          <w:color w:val="auto"/>
          <w:szCs w:val="24"/>
          <w:highlight w:val="none"/>
          <w:lang w:val="en-US" w:eastAsia="zh-CN"/>
        </w:rPr>
        <w:t>0</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cs="宋体"/>
          <w:color w:val="auto"/>
          <w:kern w:val="0"/>
          <w:sz w:val="24"/>
          <w:highlight w:val="none"/>
          <w:lang w:val="en-US" w:eastAsia="zh-CN"/>
        </w:rPr>
        <w:t>0</w:t>
      </w:r>
      <w:r>
        <w:rPr>
          <w:rFonts w:hint="eastAsia" w:ascii="宋体" w:hAnsi="宋体" w:eastAsia="宋体" w:cs="宋体"/>
          <w:color w:val="auto"/>
          <w:kern w:val="0"/>
          <w:sz w:val="24"/>
          <w:highlight w:val="none"/>
          <w:lang w:val="zh-CN"/>
        </w:rPr>
        <w:t>.2安装“</w:t>
      </w:r>
      <w:r>
        <w:rPr>
          <w:rFonts w:hint="eastAsia" w:ascii="宋体" w:hAnsi="宋体" w:eastAsia="宋体" w:cs="宋体"/>
          <w:color w:val="auto"/>
          <w:kern w:val="0"/>
          <w:sz w:val="24"/>
          <w:highlight w:val="none"/>
          <w:lang w:val="en-US" w:eastAsia="zh-CN"/>
        </w:rPr>
        <w:t>乐采云</w:t>
      </w:r>
      <w:r>
        <w:rPr>
          <w:rFonts w:hint="eastAsia" w:ascii="宋体" w:hAnsi="宋体" w:eastAsia="宋体" w:cs="宋体"/>
          <w:color w:val="auto"/>
          <w:kern w:val="0"/>
          <w:sz w:val="24"/>
          <w:highlight w:val="none"/>
          <w:lang w:val="zh-CN"/>
        </w:rPr>
        <w:t>电子交易客户端”----投标人通过</w:t>
      </w:r>
      <w:r>
        <w:rPr>
          <w:rFonts w:hint="eastAsia" w:ascii="宋体" w:hAnsi="宋体" w:eastAsia="宋体" w:cs="宋体"/>
          <w:color w:val="auto"/>
          <w:kern w:val="0"/>
          <w:sz w:val="24"/>
          <w:highlight w:val="none"/>
          <w:lang w:val="zh-CN" w:eastAsia="zh-CN"/>
        </w:rPr>
        <w:t>乐采云平台</w:t>
      </w:r>
      <w:r>
        <w:rPr>
          <w:rFonts w:hint="eastAsia" w:ascii="宋体" w:hAnsi="宋体" w:eastAsia="宋体" w:cs="宋体"/>
          <w:color w:val="auto"/>
          <w:kern w:val="0"/>
          <w:sz w:val="24"/>
          <w:highlight w:val="none"/>
          <w:lang w:val="zh-CN"/>
        </w:rPr>
        <w:t>电子投标工具制作投标文件，前往“</w:t>
      </w:r>
      <w:r>
        <w:rPr>
          <w:rFonts w:hint="eastAsia" w:ascii="宋体" w:hAnsi="宋体" w:eastAsia="宋体" w:cs="宋体"/>
          <w:color w:val="auto"/>
          <w:kern w:val="0"/>
          <w:sz w:val="24"/>
          <w:highlight w:val="none"/>
          <w:lang w:val="en-US" w:eastAsia="zh-CN"/>
        </w:rPr>
        <w:t>乐采云平台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en-US" w:eastAsia="zh-CN"/>
        </w:rPr>
        <w:t>服务中心</w:t>
      </w:r>
      <w:r>
        <w:rPr>
          <w:rFonts w:hint="eastAsia" w:ascii="宋体" w:hAnsi="宋体" w:eastAsia="宋体" w:cs="宋体"/>
          <w:color w:val="auto"/>
          <w:kern w:val="0"/>
          <w:sz w:val="24"/>
          <w:highlight w:val="none"/>
          <w:lang w:val="zh-CN"/>
        </w:rPr>
        <w:t>-电子交易客户端”进行下载并安装。</w:t>
      </w:r>
      <w:r>
        <w:rPr>
          <w:rFonts w:hint="eastAsia" w:ascii="宋体" w:hAnsi="宋体" w:eastAsia="宋体" w:cs="宋体"/>
          <w:color w:val="auto"/>
          <w:kern w:val="0"/>
          <w:sz w:val="24"/>
          <w:highlight w:val="none"/>
          <w:lang w:val="en-US" w:eastAsia="zh-CN"/>
        </w:rPr>
        <w:t>乐采云</w:t>
      </w:r>
      <w:r>
        <w:rPr>
          <w:rFonts w:hint="eastAsia" w:ascii="宋体" w:hAnsi="宋体" w:eastAsia="宋体" w:cs="宋体"/>
          <w:color w:val="auto"/>
          <w:kern w:val="0"/>
          <w:sz w:val="24"/>
          <w:highlight w:val="none"/>
          <w:lang w:val="zh-CN"/>
        </w:rPr>
        <w:t>电子交易客户端：https://sitecdn.zcycdn.com/zcy-client/bidding-client-new/official/lcy/LeCaiYunSetup.latest.exe</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cs="宋体"/>
          <w:color w:val="auto"/>
          <w:kern w:val="0"/>
          <w:sz w:val="24"/>
          <w:highlight w:val="none"/>
          <w:lang w:val="en-US" w:eastAsia="zh-CN"/>
        </w:rPr>
        <w:t>0</w:t>
      </w:r>
      <w:r>
        <w:rPr>
          <w:rFonts w:hint="eastAsia" w:ascii="宋体" w:hAnsi="宋体" w:eastAsia="宋体" w:cs="宋体"/>
          <w:color w:val="auto"/>
          <w:kern w:val="0"/>
          <w:sz w:val="24"/>
          <w:highlight w:val="none"/>
          <w:lang w:val="zh-CN"/>
        </w:rPr>
        <w:t>.3使用“乐采云电子交易客户端”需要提前申领CA数字证书，申领CA数字证书---申领流程详见“</w:t>
      </w:r>
      <w:r>
        <w:rPr>
          <w:rFonts w:hint="eastAsia" w:ascii="宋体" w:hAnsi="宋体" w:eastAsia="宋体" w:cs="宋体"/>
          <w:color w:val="auto"/>
          <w:kern w:val="0"/>
          <w:sz w:val="24"/>
          <w:highlight w:val="none"/>
          <w:lang w:val="en-US" w:eastAsia="zh-CN"/>
        </w:rPr>
        <w:t>乐采云平台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en-US" w:eastAsia="zh-CN"/>
        </w:rPr>
        <w:t>服务中心</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en-US" w:eastAsia="zh-CN"/>
        </w:rPr>
        <w:t>CA管理-申领CA证书</w:t>
      </w:r>
      <w:r>
        <w:rPr>
          <w:rFonts w:hint="eastAsia" w:ascii="宋体" w:hAnsi="宋体" w:eastAsia="宋体" w:cs="宋体"/>
          <w:color w:val="auto"/>
          <w:kern w:val="0"/>
          <w:sz w:val="24"/>
          <w:highlight w:val="none"/>
          <w:lang w:val="zh-CN"/>
        </w:rPr>
        <w:t>-CA驱动和申领流程”：投标人应在开标前完成CA数字证书办理，完成CA数字证书办理预计1-2周左右，各投标人应充分考虑办理时间等因素。</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办理流程详见:CA管理操作指南https://lecaiyun.com/helpcenter/document#/document/detail?siteCode=lecaiyun&amp;manualId=2185&amp;topicId=12851</w:t>
      </w:r>
    </w:p>
    <w:p>
      <w:pPr>
        <w:pStyle w:val="49"/>
        <w:rPr>
          <w:rFonts w:hint="eastAsia"/>
          <w:color w:val="auto"/>
          <w:highlight w:val="none"/>
          <w:lang w:val="zh-CN"/>
        </w:rPr>
      </w:pP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.投标文件的签署、盖章</w:t>
      </w:r>
    </w:p>
    <w:p>
      <w:pPr>
        <w:pStyle w:val="136"/>
        <w:snapToGrid w:val="0"/>
        <w:spacing w:before="0"/>
        <w:ind w:firstLine="480"/>
        <w:rPr>
          <w:rFonts w:ascii="宋体" w:hAnsi="宋体" w:cs="宋体"/>
          <w:b/>
          <w:color w:val="auto"/>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1</w:t>
      </w:r>
      <w:r>
        <w:rPr>
          <w:rFonts w:hint="eastAsia" w:ascii="宋体" w:hAnsi="宋体" w:cs="宋体"/>
          <w:color w:val="auto"/>
          <w:szCs w:val="24"/>
          <w:highlight w:val="none"/>
        </w:rPr>
        <w:t>.1投标文件按照招标文件第六部分格式要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1</w:t>
      </w:r>
      <w:r>
        <w:rPr>
          <w:rFonts w:hint="eastAsia" w:ascii="宋体" w:hAnsi="宋体" w:cs="宋体"/>
          <w:color w:val="auto"/>
          <w:highlight w:val="none"/>
        </w:rPr>
        <w:t>.2为确保网上操作合法、有效和安全，投标人应当在投标截止时间前完成在“</w:t>
      </w:r>
      <w:r>
        <w:rPr>
          <w:rFonts w:hint="eastAsia" w:ascii="宋体" w:hAnsi="宋体" w:cs="宋体"/>
          <w:color w:val="auto"/>
          <w:highlight w:val="none"/>
          <w:lang w:val="en-US" w:eastAsia="zh-CN"/>
        </w:rPr>
        <w:t>乐采云平台</w:t>
      </w:r>
      <w:r>
        <w:rPr>
          <w:rFonts w:hint="eastAsia" w:ascii="宋体" w:hAnsi="宋体" w:cs="宋体"/>
          <w:color w:val="auto"/>
          <w:highlight w:val="none"/>
        </w:rPr>
        <w:t>”的身份认证，确保在电子投标过程中能够对相关数据电文进行加密和使用电子签名。</w:t>
      </w:r>
    </w:p>
    <w:p>
      <w:pPr>
        <w:pStyle w:val="136"/>
        <w:snapToGrid w:val="0"/>
        <w:spacing w:before="0"/>
        <w:ind w:firstLine="480"/>
        <w:rPr>
          <w:rFonts w:ascii="宋体" w:hAnsi="宋体" w:cs="宋体"/>
          <w:color w:val="auto"/>
          <w:szCs w:val="24"/>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1</w:t>
      </w:r>
      <w:r>
        <w:rPr>
          <w:rFonts w:hint="eastAsia" w:ascii="宋体" w:hAnsi="宋体" w:cs="宋体"/>
          <w:color w:val="auto"/>
          <w:highlight w:val="none"/>
        </w:rPr>
        <w:t>.3招标文件对投标文件签署、盖章的要求适用于电子签名。</w:t>
      </w:r>
    </w:p>
    <w:p>
      <w:pPr>
        <w:pStyle w:val="13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w:t>
      </w:r>
      <w:r>
        <w:rPr>
          <w:rFonts w:hint="eastAsia" w:ascii="宋体" w:hAnsi="宋体" w:cs="宋体"/>
          <w:b/>
          <w:color w:val="auto"/>
          <w:szCs w:val="24"/>
          <w:highlight w:val="none"/>
          <w:lang w:val="en-US" w:eastAsia="zh-CN"/>
        </w:rPr>
        <w:t>2</w:t>
      </w:r>
      <w:r>
        <w:rPr>
          <w:rFonts w:hint="eastAsia" w:ascii="宋体" w:hAnsi="宋体" w:cs="宋体"/>
          <w:b/>
          <w:color w:val="auto"/>
          <w:szCs w:val="24"/>
          <w:highlight w:val="none"/>
        </w:rPr>
        <w:t>. 投标文件的提交、补充、修改、撤回</w:t>
      </w:r>
    </w:p>
    <w:p>
      <w:pPr>
        <w:pStyle w:val="136"/>
        <w:ind w:firstLine="480"/>
        <w:rPr>
          <w:rFonts w:ascii="宋体" w:hAnsi="宋体" w:cs="宋体"/>
          <w:color w:val="auto"/>
          <w:szCs w:val="24"/>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6"/>
        <w:spacing w:before="0"/>
        <w:ind w:firstLine="480"/>
        <w:rPr>
          <w:rFonts w:ascii="宋体" w:hAnsi="宋体" w:cs="宋体"/>
          <w:color w:val="auto"/>
          <w:szCs w:val="24"/>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.2电子交易平台收到投标文件，将妥善保存并即时向供应商发出确认回执通知。在投标截止时间前，除供应商补充、修改或者撤回投标文件外，任何单位和个人不得解密或提取投标文件。</w:t>
      </w:r>
    </w:p>
    <w:p>
      <w:pPr>
        <w:pStyle w:val="136"/>
        <w:spacing w:before="0"/>
        <w:ind w:firstLine="480"/>
        <w:rPr>
          <w:rFonts w:ascii="宋体" w:hAnsi="宋体" w:cs="宋体"/>
          <w:color w:val="auto"/>
          <w:szCs w:val="24"/>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.3采购人、采购代理机构可以视情况延长投标文件提交的截止时间。在上述情况下，采购代理机构与投标人以前在投标截止期方面的全部权利、责任和义务，将适用于延长至新的投标截止期。</w:t>
      </w:r>
    </w:p>
    <w:p>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w:t>
      </w:r>
      <w:r>
        <w:rPr>
          <w:rFonts w:hint="eastAsia" w:hAnsi="宋体" w:cs="宋体"/>
          <w:b/>
          <w:color w:val="auto"/>
          <w:sz w:val="24"/>
          <w:szCs w:val="24"/>
          <w:highlight w:val="none"/>
          <w:lang w:val="en-US" w:eastAsia="zh-CN"/>
        </w:rPr>
        <w:t>3</w:t>
      </w:r>
      <w:r>
        <w:rPr>
          <w:rFonts w:hint="eastAsia" w:hAnsi="宋体" w:cs="宋体"/>
          <w:b/>
          <w:color w:val="auto"/>
          <w:sz w:val="24"/>
          <w:szCs w:val="24"/>
          <w:highlight w:val="none"/>
        </w:rPr>
        <w:t>.备份投标文件</w:t>
      </w:r>
    </w:p>
    <w:p>
      <w:pPr>
        <w:pStyle w:val="36"/>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pPr>
        <w:pStyle w:val="36"/>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.2备份投标文件须在“</w:t>
      </w:r>
      <w:r>
        <w:rPr>
          <w:rFonts w:hint="eastAsia" w:hAnsi="宋体" w:cs="宋体"/>
          <w:color w:val="auto"/>
          <w:sz w:val="24"/>
          <w:szCs w:val="24"/>
          <w:highlight w:val="none"/>
          <w:lang w:val="en-US" w:eastAsia="zh-CN"/>
        </w:rPr>
        <w:t>乐</w:t>
      </w:r>
      <w:r>
        <w:rPr>
          <w:rFonts w:hint="eastAsia" w:hAnsi="宋体" w:cs="宋体"/>
          <w:color w:val="auto"/>
          <w:sz w:val="24"/>
          <w:szCs w:val="24"/>
          <w:highlight w:val="none"/>
        </w:rPr>
        <w:t>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.3直接提交备份投标文件的，投标人应于投标截止时间前在招标公告中载明的开标地点将备份投标文件提交给采购代理机构，采购代理机构将拒绝接受逾期送达的备份投标文件。</w:t>
      </w:r>
    </w:p>
    <w:p>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6"/>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w:t>
      </w:r>
      <w:r>
        <w:rPr>
          <w:rFonts w:hint="eastAsia" w:hAnsi="宋体" w:cs="宋体"/>
          <w:b/>
          <w:color w:val="auto"/>
          <w:sz w:val="24"/>
          <w:szCs w:val="24"/>
          <w:highlight w:val="none"/>
          <w:lang w:val="en-US" w:eastAsia="zh-CN"/>
        </w:rPr>
        <w:t>3</w:t>
      </w:r>
      <w:r>
        <w:rPr>
          <w:rFonts w:hint="eastAsia" w:hAnsi="宋体" w:cs="宋体"/>
          <w:b/>
          <w:color w:val="auto"/>
          <w:sz w:val="24"/>
          <w:szCs w:val="24"/>
          <w:highlight w:val="none"/>
        </w:rPr>
        <w:t>.5投标人仅提交备份投标文件，未在电子交易平台传输递交投标文件的，投标无效。</w:t>
      </w:r>
    </w:p>
    <w:p>
      <w:pPr>
        <w:pStyle w:val="13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w:t>
      </w:r>
      <w:r>
        <w:rPr>
          <w:rFonts w:hint="eastAsia" w:ascii="宋体" w:hAnsi="宋体" w:cs="宋体"/>
          <w:b/>
          <w:color w:val="auto"/>
          <w:szCs w:val="24"/>
          <w:highlight w:val="none"/>
          <w:lang w:val="en-US" w:eastAsia="zh-CN"/>
        </w:rPr>
        <w:t>4</w:t>
      </w:r>
      <w:r>
        <w:rPr>
          <w:rFonts w:hint="eastAsia" w:ascii="宋体" w:hAnsi="宋体" w:cs="宋体"/>
          <w:b/>
          <w:color w:val="auto"/>
          <w:szCs w:val="24"/>
          <w:highlight w:val="none"/>
        </w:rPr>
        <w:t>.投标文件的无效处理</w:t>
      </w:r>
    </w:p>
    <w:p>
      <w:pPr>
        <w:pStyle w:val="7"/>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13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w:t>
      </w:r>
      <w:r>
        <w:rPr>
          <w:rFonts w:hint="eastAsia" w:ascii="宋体" w:hAnsi="宋体" w:cs="宋体"/>
          <w:b/>
          <w:color w:val="auto"/>
          <w:szCs w:val="24"/>
          <w:highlight w:val="none"/>
          <w:lang w:val="en-US" w:eastAsia="zh-CN"/>
        </w:rPr>
        <w:t>5</w:t>
      </w:r>
      <w:r>
        <w:rPr>
          <w:rFonts w:hint="eastAsia" w:ascii="宋体" w:hAnsi="宋体" w:cs="宋体"/>
          <w:b/>
          <w:color w:val="auto"/>
          <w:szCs w:val="24"/>
          <w:highlight w:val="none"/>
        </w:rPr>
        <w:t>.投标有效期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w:t>
      </w:r>
      <w:r>
        <w:rPr>
          <w:rFonts w:hint="eastAsia" w:ascii="宋体" w:hAnsi="宋体" w:cs="宋体"/>
          <w:color w:val="auto"/>
          <w:sz w:val="24"/>
          <w:szCs w:val="20"/>
          <w:highlight w:val="none"/>
          <w:lang w:val="en-US" w:eastAsia="zh-CN"/>
        </w:rPr>
        <w:t>5</w:t>
      </w:r>
      <w:r>
        <w:rPr>
          <w:rFonts w:hint="eastAsia" w:ascii="宋体" w:hAnsi="宋体" w:cs="宋体"/>
          <w:color w:val="auto"/>
          <w:sz w:val="24"/>
          <w:szCs w:val="20"/>
          <w:highlight w:val="none"/>
        </w:rPr>
        <w:t>.1投标有效期为从提交投标文件的截止之日起90天。▲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36"/>
        <w:spacing w:before="0"/>
        <w:ind w:firstLine="48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5</w:t>
      </w:r>
      <w:r>
        <w:rPr>
          <w:rFonts w:hint="eastAsia" w:ascii="宋体" w:hAnsi="宋体" w:cs="宋体"/>
          <w:color w:val="auto"/>
          <w:highlight w:val="none"/>
        </w:rPr>
        <w:t>.2投标文件合格投递后，自投标截止日期起，在投标有效期内有效。</w:t>
      </w:r>
    </w:p>
    <w:p>
      <w:pPr>
        <w:pStyle w:val="136"/>
        <w:spacing w:before="0"/>
        <w:ind w:firstLine="48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5</w:t>
      </w:r>
      <w:r>
        <w:rPr>
          <w:rFonts w:hint="eastAsia" w:ascii="宋体" w:hAnsi="宋体" w:cs="宋体"/>
          <w:color w:val="auto"/>
          <w:highlight w:val="none"/>
        </w:rPr>
        <w:t>.3在原定投标有效期满之前，如果出现特殊情况，采购代理机构可以以书面形式通知投标人延长投标有效期。投标人同意延长的，不得要求或被允许修改其投标文件，投标人拒绝延长的，其投标无效。</w:t>
      </w:r>
    </w:p>
    <w:p>
      <w:pPr>
        <w:pStyle w:val="136"/>
        <w:spacing w:before="0"/>
        <w:ind w:firstLine="643"/>
        <w:rPr>
          <w:rFonts w:ascii="宋体" w:hAnsi="宋体" w:cs="宋体"/>
          <w:b/>
          <w:color w:val="auto"/>
          <w:sz w:val="32"/>
          <w:highlight w:val="none"/>
        </w:rPr>
      </w:pPr>
    </w:p>
    <w:p>
      <w:pPr>
        <w:pStyle w:val="136"/>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61"/>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w:t>
      </w:r>
      <w:r>
        <w:rPr>
          <w:rFonts w:hint="eastAsia" w:ascii="宋体" w:hAnsi="宋体" w:cs="宋体"/>
          <w:b/>
          <w:color w:val="auto"/>
          <w:sz w:val="24"/>
          <w:szCs w:val="24"/>
          <w:highlight w:val="none"/>
          <w:lang w:val="en-US" w:eastAsia="zh-CN"/>
        </w:rPr>
        <w:t>6</w:t>
      </w:r>
      <w:r>
        <w:rPr>
          <w:rFonts w:hint="eastAsia" w:ascii="宋体" w:hAnsi="宋体" w:cs="宋体"/>
          <w:b/>
          <w:color w:val="auto"/>
          <w:sz w:val="24"/>
          <w:szCs w:val="24"/>
          <w:highlight w:val="none"/>
        </w:rPr>
        <w:t>.开标</w:t>
      </w:r>
      <w:r>
        <w:rPr>
          <w:rFonts w:hint="eastAsia" w:ascii="宋体" w:hAnsi="宋体" w:cs="宋体"/>
          <w:color w:val="auto"/>
          <w:sz w:val="24"/>
          <w:highlight w:val="none"/>
        </w:rPr>
        <w:t xml:space="preserve"> </w:t>
      </w:r>
    </w:p>
    <w:p>
      <w:pPr>
        <w:pStyle w:val="561"/>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.1采购代理机构按照招标文件规定的时间通过电子交易平台组织开标，所有投标人均应当准时在线参加。投标人不足3家的，不得开标。</w:t>
      </w:r>
    </w:p>
    <w:p>
      <w:pPr>
        <w:pStyle w:val="561"/>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.2开标时，电子交易平台按开标时间自动提取所有投标文件。采购代理机构依托电子交易平台发起开始解密指令，投标人按照平台提示和招标文件的规定在半小时内完成在线解密。</w:t>
      </w:r>
    </w:p>
    <w:p>
      <w:pPr>
        <w:pStyle w:val="561"/>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line="360" w:lineRule="auto"/>
        <w:ind w:firstLine="241" w:firstLineChars="100"/>
        <w:jc w:val="left"/>
        <w:rPr>
          <w:rFonts w:ascii="宋体" w:hAnsi="宋体" w:cs="宋体"/>
          <w:b/>
          <w:color w:val="auto"/>
          <w:sz w:val="24"/>
          <w:szCs w:val="20"/>
          <w:highlight w:val="none"/>
        </w:rPr>
      </w:pPr>
      <w:r>
        <w:rPr>
          <w:rFonts w:hint="eastAsia" w:ascii="宋体" w:hAnsi="宋体" w:cs="宋体"/>
          <w:b/>
          <w:color w:val="auto"/>
          <w:sz w:val="24"/>
          <w:szCs w:val="20"/>
          <w:highlight w:val="none"/>
        </w:rPr>
        <w:t>1</w:t>
      </w:r>
      <w:r>
        <w:rPr>
          <w:rFonts w:hint="eastAsia" w:ascii="宋体" w:hAnsi="宋体" w:cs="宋体"/>
          <w:b/>
          <w:color w:val="auto"/>
          <w:sz w:val="24"/>
          <w:szCs w:val="20"/>
          <w:highlight w:val="none"/>
          <w:lang w:val="en-US" w:eastAsia="zh-CN"/>
        </w:rPr>
        <w:t>7.</w:t>
      </w:r>
      <w:r>
        <w:rPr>
          <w:rFonts w:hint="eastAsia" w:ascii="宋体" w:hAnsi="宋体" w:cs="宋体"/>
          <w:b/>
          <w:color w:val="auto"/>
          <w:sz w:val="24"/>
          <w:szCs w:val="20"/>
          <w:highlight w:val="none"/>
        </w:rPr>
        <w:t>资格审查</w:t>
      </w:r>
    </w:p>
    <w:p>
      <w:pPr>
        <w:pStyle w:val="561"/>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.1</w:t>
      </w:r>
      <w:r>
        <w:rPr>
          <w:rFonts w:hint="eastAsia" w:ascii="宋体" w:hAnsi="宋体" w:eastAsia="宋体" w:cs="宋体"/>
          <w:color w:val="auto"/>
          <w:sz w:val="24"/>
          <w:highlight w:val="none"/>
        </w:rPr>
        <w:t>采购人或采购代理机构</w:t>
      </w:r>
      <w:r>
        <w:rPr>
          <w:rFonts w:hint="eastAsia" w:ascii="宋体" w:hAnsi="宋体" w:cs="宋体"/>
          <w:color w:val="auto"/>
          <w:sz w:val="24"/>
          <w:highlight w:val="none"/>
        </w:rPr>
        <w:t>依据法律法规和招标文件的规定，对投标人的资格进行审查。</w:t>
      </w:r>
    </w:p>
    <w:p>
      <w:pPr>
        <w:pStyle w:val="561"/>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.2投标人未按照招标文件要求提供与资格条件相应的有效资格证明材料的，视为投标人不具备招标文件中规定的资格要求，其投标无效。</w:t>
      </w:r>
    </w:p>
    <w:p>
      <w:pPr>
        <w:pStyle w:val="561"/>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.3对未通过资格审查的投标人，采购人或采购代理机构告知其未通过的原因。</w:t>
      </w:r>
    </w:p>
    <w:p>
      <w:pPr>
        <w:pStyle w:val="561"/>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.4合格投标人不足3家的，不再评标。</w:t>
      </w:r>
    </w:p>
    <w:p>
      <w:pPr>
        <w:pStyle w:val="136"/>
        <w:spacing w:before="0"/>
        <w:ind w:firstLine="241" w:firstLineChars="100"/>
        <w:rPr>
          <w:rFonts w:ascii="宋体" w:hAnsi="宋体" w:cs="宋体"/>
          <w:b/>
          <w:color w:val="auto"/>
          <w:szCs w:val="24"/>
          <w:highlight w:val="none"/>
        </w:rPr>
      </w:pPr>
      <w:r>
        <w:rPr>
          <w:rFonts w:hint="eastAsia" w:ascii="宋体" w:hAnsi="宋体" w:cs="宋体"/>
          <w:b/>
          <w:color w:val="auto"/>
          <w:szCs w:val="24"/>
          <w:highlight w:val="none"/>
          <w:lang w:val="en-US" w:eastAsia="zh-CN"/>
        </w:rPr>
        <w:t>18</w:t>
      </w:r>
      <w:r>
        <w:rPr>
          <w:rFonts w:hint="eastAsia" w:ascii="宋体" w:hAnsi="宋体" w:cs="宋体"/>
          <w:b/>
          <w:color w:val="auto"/>
          <w:szCs w:val="24"/>
          <w:highlight w:val="none"/>
        </w:rPr>
        <w:t>、信用信息查询</w:t>
      </w:r>
    </w:p>
    <w:p>
      <w:pPr>
        <w:pStyle w:val="13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lang w:val="en-US" w:eastAsia="zh-CN"/>
        </w:rPr>
        <w:t>18</w:t>
      </w:r>
      <w:r>
        <w:rPr>
          <w:rFonts w:hint="eastAsia" w:ascii="宋体" w:hAnsi="宋体" w:cs="宋体"/>
          <w:color w:val="auto"/>
          <w:kern w:val="0"/>
          <w:szCs w:val="24"/>
          <w:highlight w:val="none"/>
        </w:rPr>
        <w:t>.1信用信息查询渠道及截止时间：</w:t>
      </w:r>
      <w:r>
        <w:rPr>
          <w:rFonts w:hint="eastAsia" w:ascii="宋体" w:hAnsi="宋体" w:eastAsia="宋体" w:cs="宋体"/>
          <w:color w:val="auto"/>
          <w:sz w:val="24"/>
          <w:highlight w:val="none"/>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pPr>
        <w:pStyle w:val="13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lang w:val="en-US" w:eastAsia="zh-CN"/>
        </w:rPr>
        <w:t>18</w:t>
      </w:r>
      <w:r>
        <w:rPr>
          <w:rFonts w:hint="eastAsia" w:ascii="宋体" w:hAnsi="宋体" w:cs="宋体"/>
          <w:color w:val="auto"/>
          <w:kern w:val="0"/>
          <w:szCs w:val="24"/>
          <w:highlight w:val="none"/>
        </w:rPr>
        <w:t>.2信用信息查询记录和证据留存的具体方式：现场查询的投标人的信用记录、查询结果经确认后将与采购文件一起存档。</w:t>
      </w:r>
    </w:p>
    <w:p>
      <w:pPr>
        <w:pStyle w:val="13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lang w:val="en-US" w:eastAsia="zh-CN"/>
        </w:rPr>
        <w:t>18</w:t>
      </w:r>
      <w:r>
        <w:rPr>
          <w:rFonts w:hint="eastAsia" w:ascii="宋体" w:hAnsi="宋体" w:cs="宋体"/>
          <w:color w:val="auto"/>
          <w:kern w:val="0"/>
          <w:szCs w:val="24"/>
          <w:highlight w:val="none"/>
        </w:rPr>
        <w:t>.3信用信息的使用规则：经查询列入失信被执行人名单、重大税收违法失信主体、政府采购严重违法失信行为记录名单的投标人将被拒绝参与政府采购活动。</w:t>
      </w:r>
    </w:p>
    <w:p>
      <w:pPr>
        <w:pStyle w:val="136"/>
        <w:spacing w:before="0"/>
        <w:ind w:firstLine="480"/>
        <w:rPr>
          <w:rFonts w:ascii="宋体" w:hAnsi="宋体" w:cs="宋体"/>
          <w:color w:val="auto"/>
          <w:highlight w:val="none"/>
        </w:rPr>
      </w:pPr>
      <w:r>
        <w:rPr>
          <w:rFonts w:hint="eastAsia" w:ascii="宋体" w:hAnsi="宋体" w:cs="宋体"/>
          <w:color w:val="auto"/>
          <w:kern w:val="0"/>
          <w:szCs w:val="24"/>
          <w:highlight w:val="none"/>
          <w:lang w:val="en-US" w:eastAsia="zh-CN"/>
        </w:rPr>
        <w:t>18</w:t>
      </w:r>
      <w:r>
        <w:rPr>
          <w:rFonts w:hint="eastAsia" w:ascii="宋体" w:hAnsi="宋体" w:cs="宋体"/>
          <w:color w:val="auto"/>
          <w:kern w:val="0"/>
          <w:szCs w:val="24"/>
          <w:highlight w:val="none"/>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36"/>
        <w:spacing w:before="0"/>
        <w:ind w:firstLine="0" w:firstLineChars="0"/>
        <w:rPr>
          <w:rFonts w:ascii="宋体" w:hAnsi="宋体" w:cs="宋体"/>
          <w:color w:val="auto"/>
          <w:kern w:val="0"/>
          <w:szCs w:val="24"/>
          <w:highlight w:val="none"/>
        </w:rPr>
      </w:pPr>
    </w:p>
    <w:p>
      <w:pPr>
        <w:snapToGrid w:val="0"/>
        <w:spacing w:line="360" w:lineRule="auto"/>
        <w:ind w:firstLine="723"/>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lang w:val="en-US" w:eastAsia="zh-CN"/>
        </w:rPr>
        <w:t>19</w:t>
      </w:r>
      <w:r>
        <w:rPr>
          <w:rFonts w:hint="eastAsia" w:ascii="宋体" w:hAnsi="宋体" w:cs="宋体"/>
          <w:b/>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ind w:firstLine="482"/>
        <w:rPr>
          <w:rFonts w:ascii="宋体" w:hAnsi="宋体" w:cs="宋体"/>
          <w:b/>
          <w:color w:val="auto"/>
          <w:sz w:val="24"/>
          <w:highlight w:val="none"/>
        </w:rPr>
      </w:pPr>
    </w:p>
    <w:p>
      <w:pPr>
        <w:snapToGrid w:val="0"/>
        <w:spacing w:line="360" w:lineRule="auto"/>
        <w:ind w:firstLine="723"/>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7"/>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0</w:t>
      </w:r>
      <w:r>
        <w:rPr>
          <w:rFonts w:hint="eastAsia" w:cs="宋体"/>
          <w:b/>
          <w:color w:val="auto"/>
          <w:highlight w:val="none"/>
        </w:rPr>
        <w:t>. 确定中标供应商</w:t>
      </w:r>
    </w:p>
    <w:p>
      <w:pPr>
        <w:pStyle w:val="136"/>
        <w:snapToGrid w:val="0"/>
        <w:spacing w:before="0"/>
        <w:ind w:firstLine="480"/>
        <w:rPr>
          <w:rFonts w:ascii="宋体" w:hAnsi="宋体" w:cs="宋体"/>
          <w:b/>
          <w:color w:val="auto"/>
          <w:szCs w:val="24"/>
          <w:highlight w:val="none"/>
        </w:rPr>
      </w:pPr>
      <w:r>
        <w:rPr>
          <w:rFonts w:hint="eastAsia" w:ascii="宋体" w:hAnsi="宋体" w:eastAsia="宋体" w:cs="宋体"/>
          <w:color w:val="auto"/>
          <w:szCs w:val="24"/>
          <w:highlight w:val="none"/>
        </w:rPr>
        <w:t>采购项目</w:t>
      </w:r>
      <w:r>
        <w:rPr>
          <w:rFonts w:hint="eastAsia" w:ascii="宋体" w:hAnsi="宋体" w:cs="宋体"/>
          <w:color w:val="auto"/>
          <w:szCs w:val="24"/>
          <w:highlight w:val="none"/>
        </w:rPr>
        <w:t>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或者中标人。中标、成交通知书和中标、成交结果公告应当在规定时间内同时发出。</w:t>
      </w:r>
    </w:p>
    <w:p>
      <w:pPr>
        <w:pStyle w:val="136"/>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val="en-US" w:eastAsia="zh-CN"/>
        </w:rPr>
        <w:t>1</w:t>
      </w:r>
      <w:r>
        <w:rPr>
          <w:rFonts w:hint="eastAsia" w:ascii="宋体" w:hAnsi="宋体" w:cs="宋体"/>
          <w:b/>
          <w:color w:val="auto"/>
          <w:szCs w:val="24"/>
          <w:highlight w:val="none"/>
        </w:rPr>
        <w:t>. 中标通知与中标结果公告</w:t>
      </w:r>
      <w:r>
        <w:rPr>
          <w:rFonts w:hint="eastAsia" w:ascii="宋体" w:hAnsi="宋体" w:cs="宋体"/>
          <w:b/>
          <w:color w:val="auto"/>
          <w:szCs w:val="24"/>
          <w:highlight w:val="none"/>
        </w:rPr>
        <w:tab/>
      </w:r>
    </w:p>
    <w:p>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.1自中标人确定之日起2个工作日内，采购代理机构通过电子交易平台向中标人发出中标通知书，同时编制发布采购结果公告。采购代理机构也可以以纸质形式进行中标通知。</w:t>
      </w:r>
    </w:p>
    <w:p>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.3公告期限为1个工作日。</w:t>
      </w:r>
    </w:p>
    <w:p>
      <w:pPr>
        <w:pStyle w:val="84"/>
        <w:rPr>
          <w:color w:val="auto"/>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7"/>
        <w:spacing w:line="360" w:lineRule="auto"/>
        <w:ind w:left="479" w:hanging="479" w:hangingChars="199"/>
        <w:rPr>
          <w:rFonts w:cs="宋体"/>
          <w:b/>
          <w:color w:val="auto"/>
          <w:highlight w:val="none"/>
        </w:rPr>
      </w:pPr>
      <w:r>
        <w:rPr>
          <w:rFonts w:hint="eastAsia" w:cs="宋体"/>
          <w:b/>
          <w:color w:val="auto"/>
          <w:highlight w:val="none"/>
          <w:lang w:val="en-US" w:eastAsia="zh-CN"/>
        </w:rPr>
        <w:t>22</w:t>
      </w:r>
      <w:r>
        <w:rPr>
          <w:rFonts w:hint="eastAsia" w:cs="宋体"/>
          <w:b/>
          <w:color w:val="auto"/>
          <w:highlight w:val="none"/>
        </w:rPr>
        <w:t xml:space="preserve">. </w:t>
      </w:r>
      <w:r>
        <w:rPr>
          <w:rFonts w:hint="eastAsia" w:cs="宋体"/>
          <w:color w:val="auto"/>
          <w:highlight w:val="none"/>
        </w:rPr>
        <w:t>合同主要条款详见第五部分拟签订的合同文本。</w:t>
      </w:r>
    </w:p>
    <w:p>
      <w:pPr>
        <w:pStyle w:val="7"/>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3</w:t>
      </w:r>
      <w:r>
        <w:rPr>
          <w:rFonts w:hint="eastAsia" w:cs="宋体"/>
          <w:b/>
          <w:color w:val="auto"/>
          <w:highlight w:val="none"/>
        </w:rPr>
        <w:t>. 合同的签订</w:t>
      </w:r>
    </w:p>
    <w:p>
      <w:pPr>
        <w:widowControl/>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w:t>
      </w:r>
      <w:r>
        <w:rPr>
          <w:rFonts w:hint="eastAsia" w:ascii="宋体" w:hAnsi="宋体" w:eastAsia="宋体" w:cs="宋体"/>
          <w:color w:val="auto"/>
          <w:kern w:val="0"/>
          <w:sz w:val="24"/>
          <w:highlight w:val="none"/>
        </w:rPr>
        <w:t>并在签订之日起2个工作日内将采购合同在浙江政府采购网上公告。</w:t>
      </w:r>
      <w:r>
        <w:rPr>
          <w:rFonts w:hint="eastAsia" w:ascii="宋体" w:hAnsi="宋体" w:cs="宋体"/>
          <w:color w:val="auto"/>
          <w:kern w:val="0"/>
          <w:sz w:val="24"/>
          <w:highlight w:val="none"/>
        </w:rPr>
        <w:t>鼓励有条件的采购人视情缩减采购合同签订时限，提高采购效率，杜绝“冷、硬、横、推”等不当行为。除不可抗力等特殊情况外，原则上应当在中标通知书发出之日起</w:t>
      </w: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日内，与中标供应商按照采购文件确定的事项签订采购合同。</w:t>
      </w:r>
    </w:p>
    <w:p>
      <w:pPr>
        <w:pStyle w:val="136"/>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lang w:val="en-US" w:eastAsia="zh-CN"/>
        </w:rPr>
        <w:t>3</w:t>
      </w:r>
      <w:r>
        <w:rPr>
          <w:rFonts w:hint="eastAsia" w:ascii="宋体" w:hAnsi="宋体" w:cs="宋体"/>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3</w:t>
      </w:r>
      <w:r>
        <w:rPr>
          <w:rFonts w:hint="eastAsia" w:ascii="宋体" w:hAnsi="宋体" w:cs="宋体"/>
          <w:color w:val="auto"/>
          <w:highlight w:val="none"/>
        </w:rPr>
        <w:t>.3如签订合同并生效后，供应商无故拒绝或延期，除按照合同条款处理外，列入不良行为记录一次，并给予通报。</w:t>
      </w:r>
    </w:p>
    <w:p>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3</w:t>
      </w:r>
      <w:r>
        <w:rPr>
          <w:rFonts w:hint="eastAsia" w:ascii="宋体" w:hAnsi="宋体" w:cs="宋体"/>
          <w:color w:val="auto"/>
          <w:highlight w:val="none"/>
        </w:rPr>
        <w:t>.4中标</w:t>
      </w:r>
      <w:r>
        <w:rPr>
          <w:rFonts w:hint="eastAsia" w:ascii="宋体" w:hAnsi="宋体" w:cs="宋体"/>
          <w:color w:val="auto"/>
          <w:highlight w:val="none"/>
          <w:lang w:val="en-US" w:eastAsia="zh-CN"/>
        </w:rPr>
        <w:t>人</w:t>
      </w:r>
      <w:r>
        <w:rPr>
          <w:rFonts w:hint="eastAsia" w:ascii="宋体" w:hAnsi="宋体" w:cs="宋体"/>
          <w:color w:val="auto"/>
          <w:highlight w:val="none"/>
        </w:rPr>
        <w:t>拒绝与采购人签订合同的，采购人可以按照评审报告推荐的中标或者成交候选人名单排序，确定下一候选人为中标</w:t>
      </w:r>
      <w:r>
        <w:rPr>
          <w:rFonts w:hint="eastAsia" w:ascii="宋体" w:hAnsi="宋体" w:cs="宋体"/>
          <w:color w:val="auto"/>
          <w:highlight w:val="none"/>
          <w:lang w:val="en-US" w:eastAsia="zh-CN"/>
        </w:rPr>
        <w:t>人</w:t>
      </w:r>
      <w:r>
        <w:rPr>
          <w:rFonts w:hint="eastAsia" w:ascii="宋体" w:hAnsi="宋体" w:cs="宋体"/>
          <w:color w:val="auto"/>
          <w:highlight w:val="none"/>
        </w:rPr>
        <w:t>，也可以重新开展政府采购活动。</w:t>
      </w:r>
    </w:p>
    <w:p>
      <w:pPr>
        <w:pStyle w:val="136"/>
        <w:snapToGrid w:val="0"/>
        <w:spacing w:before="0" w:after="12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3</w:t>
      </w:r>
      <w:r>
        <w:rPr>
          <w:rFonts w:hint="eastAsia" w:ascii="宋体" w:hAnsi="宋体" w:cs="宋体"/>
          <w:color w:val="auto"/>
          <w:highlight w:val="none"/>
        </w:rPr>
        <w:t>.5采购合同由采购人与中标</w:t>
      </w:r>
      <w:r>
        <w:rPr>
          <w:rFonts w:hint="eastAsia" w:ascii="宋体" w:hAnsi="宋体" w:cs="宋体"/>
          <w:color w:val="auto"/>
          <w:highlight w:val="none"/>
          <w:lang w:val="en-US" w:eastAsia="zh-CN"/>
        </w:rPr>
        <w:t>人</w:t>
      </w:r>
      <w:r>
        <w:rPr>
          <w:rFonts w:hint="eastAsia" w:ascii="宋体" w:hAnsi="宋体" w:cs="宋体"/>
          <w:color w:val="auto"/>
          <w:highlight w:val="none"/>
        </w:rPr>
        <w:t>根据招标文件、投标文件等内容通过政府采购电子交易平台在线签订，自动备案。</w:t>
      </w:r>
    </w:p>
    <w:p>
      <w:pPr>
        <w:pStyle w:val="7"/>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4</w:t>
      </w:r>
      <w:r>
        <w:rPr>
          <w:rFonts w:hint="eastAsia" w:cs="宋体"/>
          <w:b/>
          <w:color w:val="auto"/>
          <w:highlight w:val="none"/>
        </w:rPr>
        <w:t>. 履约保证金</w:t>
      </w:r>
    </w:p>
    <w:p>
      <w:pPr>
        <w:tabs>
          <w:tab w:val="left" w:pos="0"/>
        </w:tabs>
        <w:spacing w:line="360" w:lineRule="auto"/>
        <w:ind w:firstLine="480"/>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84"/>
        <w:rPr>
          <w:color w:val="auto"/>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6"/>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hint="eastAsia" w:ascii="宋体" w:hAnsi="宋体" w:cs="宋体"/>
          <w:b/>
          <w:bCs/>
          <w:color w:val="auto"/>
          <w:szCs w:val="24"/>
          <w:highlight w:val="none"/>
          <w:lang w:val="en-US" w:eastAsia="zh-CN"/>
        </w:rPr>
        <w:t>5</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 xml:space="preserve">.1电子交易平台发生故障而无法登录访问的； </w:t>
      </w:r>
    </w:p>
    <w:p>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.2电子交易平台应用或数据库出现错误，不能进行正常操作的；</w:t>
      </w:r>
    </w:p>
    <w:p>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.3电子交易平台发现严重安全漏洞，有潜在泄密危险的；</w:t>
      </w:r>
    </w:p>
    <w:p>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 xml:space="preserve">.4病毒发作导致不能进行正常操作的； </w:t>
      </w:r>
    </w:p>
    <w:p>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.5其他无法保证电子交易的公平、公正和安全的情况。</w:t>
      </w:r>
    </w:p>
    <w:p>
      <w:pPr>
        <w:pStyle w:val="136"/>
        <w:snapToGrid w:val="0"/>
        <w:spacing w:before="0"/>
        <w:ind w:firstLine="0" w:firstLineChars="0"/>
        <w:rPr>
          <w:rFonts w:hint="eastAsia"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b/>
          <w:bCs/>
          <w:color w:val="auto"/>
          <w:highlight w:val="none"/>
        </w:rPr>
        <w:t>2</w:t>
      </w:r>
      <w:r>
        <w:rPr>
          <w:rFonts w:hint="eastAsia" w:ascii="宋体" w:hAnsi="宋体" w:cs="宋体"/>
          <w:b/>
          <w:bCs/>
          <w:color w:val="auto"/>
          <w:highlight w:val="none"/>
          <w:lang w:val="en-US" w:eastAsia="zh-CN"/>
        </w:rPr>
        <w:t>6</w:t>
      </w:r>
      <w:r>
        <w:rPr>
          <w:rFonts w:hint="eastAsia" w:ascii="宋体" w:hAnsi="宋体" w:cs="宋体"/>
          <w:b/>
          <w:bCs/>
          <w:color w:val="auto"/>
          <w:highlight w:val="none"/>
        </w:rPr>
        <w:t>.</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pStyle w:val="136"/>
        <w:snapToGrid w:val="0"/>
        <w:spacing w:before="0"/>
        <w:ind w:firstLine="0" w:firstLineChars="0"/>
        <w:rPr>
          <w:rFonts w:hint="eastAsia" w:ascii="宋体" w:hAnsi="宋体" w:cs="宋体"/>
          <w:color w:val="auto"/>
          <w:highlight w:val="none"/>
        </w:rPr>
      </w:pPr>
    </w:p>
    <w:p>
      <w:pPr>
        <w:snapToGrid w:val="0"/>
        <w:spacing w:line="360" w:lineRule="auto"/>
        <w:ind w:left="120" w:leftChars="57" w:firstLine="482" w:firstLineChars="150"/>
        <w:jc w:val="center"/>
        <w:rPr>
          <w:rFonts w:hint="eastAsia" w:ascii="宋体" w:hAnsi="宋体" w:cs="宋体"/>
          <w:b/>
          <w:color w:val="auto"/>
          <w:sz w:val="32"/>
          <w:highlight w:val="none"/>
        </w:rPr>
      </w:pPr>
    </w:p>
    <w:p>
      <w:pPr>
        <w:snapToGrid w:val="0"/>
        <w:spacing w:line="360" w:lineRule="auto"/>
        <w:ind w:left="120" w:leftChars="57" w:firstLine="482" w:firstLineChars="150"/>
        <w:jc w:val="center"/>
        <w:rPr>
          <w:rFonts w:hint="eastAsia"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7"/>
        <w:spacing w:line="360" w:lineRule="auto"/>
        <w:ind w:firstLine="0" w:firstLineChars="0"/>
        <w:rPr>
          <w:rFonts w:cs="宋体"/>
          <w:b/>
          <w:color w:val="auto"/>
          <w:highlight w:val="none"/>
        </w:rPr>
      </w:pPr>
      <w:r>
        <w:rPr>
          <w:rFonts w:hint="eastAsia" w:cs="宋体"/>
          <w:b/>
          <w:color w:val="auto"/>
          <w:highlight w:val="none"/>
          <w:lang w:val="en-US" w:eastAsia="zh-CN"/>
        </w:rPr>
        <w:t>27</w:t>
      </w:r>
      <w:r>
        <w:rPr>
          <w:rFonts w:hint="eastAsia" w:cs="宋体"/>
          <w:b/>
          <w:color w:val="auto"/>
          <w:highlight w:val="none"/>
        </w:rPr>
        <w:t>.验收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27</w:t>
      </w:r>
      <w:r>
        <w:rPr>
          <w:rFonts w:hint="eastAsia" w:ascii="宋体" w:hAnsi="宋体" w:cs="宋体"/>
          <w:color w:val="auto"/>
          <w:kern w:val="0"/>
          <w:sz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27</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27</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color w:val="auto"/>
          <w:kern w:val="0"/>
          <w:sz w:val="24"/>
          <w:highlight w:val="none"/>
        </w:rPr>
        <w:sectPr>
          <w:footerReference r:id="rId4" w:type="first"/>
          <w:footerReference r:id="rId3" w:type="default"/>
          <w:pgSz w:w="11906" w:h="16838"/>
          <w:pgMar w:top="680" w:right="1418" w:bottom="468" w:left="1418" w:header="851" w:footer="992" w:gutter="0"/>
          <w:cols w:space="720" w:num="1"/>
          <w:titlePg/>
          <w:docGrid w:linePitch="312" w:charSpace="0"/>
        </w:sectPr>
      </w:pPr>
      <w:r>
        <w:rPr>
          <w:rFonts w:hint="eastAsia" w:ascii="宋体" w:hAnsi="宋体" w:cs="宋体"/>
          <w:color w:val="auto"/>
          <w:kern w:val="0"/>
          <w:sz w:val="24"/>
          <w:highlight w:val="none"/>
          <w:lang w:val="en-US" w:eastAsia="zh-CN"/>
        </w:rPr>
        <w:t>27</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w:t>
      </w:r>
      <w:r>
        <w:rPr>
          <w:rFonts w:hint="eastAsia" w:ascii="宋体" w:hAnsi="宋体" w:eastAsia="宋体" w:cs="宋体"/>
          <w:color w:val="auto"/>
          <w:kern w:val="0"/>
          <w:sz w:val="24"/>
          <w:highlight w:val="none"/>
        </w:rPr>
        <w:t>供应商在履约过程中有</w:t>
      </w:r>
      <w:r>
        <w:rPr>
          <w:rFonts w:hint="eastAsia" w:ascii="宋体" w:hAnsi="宋体" w:cs="宋体"/>
          <w:color w:val="auto"/>
          <w:kern w:val="0"/>
          <w:sz w:val="24"/>
          <w:highlight w:val="none"/>
          <w:lang w:eastAsia="zh-CN"/>
        </w:rPr>
        <w:t>相关</w:t>
      </w:r>
      <w:r>
        <w:rPr>
          <w:rFonts w:hint="eastAsia" w:ascii="宋体" w:hAnsi="宋体" w:eastAsia="宋体" w:cs="宋体"/>
          <w:color w:val="auto"/>
          <w:kern w:val="0"/>
          <w:sz w:val="24"/>
          <w:highlight w:val="none"/>
        </w:rPr>
        <w:t>法律法规规定的违法违规情形的，采购人应当及时报告</w:t>
      </w:r>
      <w:r>
        <w:rPr>
          <w:rFonts w:hint="eastAsia" w:ascii="宋体" w:hAnsi="宋体" w:cs="宋体"/>
          <w:color w:val="auto"/>
          <w:kern w:val="0"/>
          <w:sz w:val="24"/>
          <w:highlight w:val="none"/>
          <w:lang w:eastAsia="zh-CN"/>
        </w:rPr>
        <w:t>监督管理</w:t>
      </w:r>
      <w:r>
        <w:rPr>
          <w:rFonts w:hint="eastAsia" w:ascii="宋体" w:hAnsi="宋体" w:eastAsia="宋体" w:cs="宋体"/>
          <w:color w:val="auto"/>
          <w:kern w:val="0"/>
          <w:sz w:val="24"/>
          <w:highlight w:val="none"/>
        </w:rPr>
        <w:t>部门。</w:t>
      </w:r>
      <w:bookmarkEnd w:id="17"/>
      <w:bookmarkStart w:id="20" w:name="_Hlt68057669"/>
      <w:bookmarkEnd w:id="20"/>
      <w:bookmarkStart w:id="21" w:name="_Hlt74729768"/>
      <w:bookmarkEnd w:id="21"/>
      <w:bookmarkStart w:id="22" w:name="_Hlt74707468"/>
      <w:bookmarkEnd w:id="22"/>
      <w:bookmarkStart w:id="23" w:name="_Hlt75236011"/>
      <w:bookmarkEnd w:id="23"/>
      <w:bookmarkStart w:id="24" w:name="_Hlt74714665"/>
      <w:bookmarkEnd w:id="24"/>
      <w:bookmarkStart w:id="25" w:name="_Hlt75236290"/>
      <w:bookmarkEnd w:id="25"/>
      <w:bookmarkStart w:id="26" w:name="_Hlt68073093"/>
      <w:bookmarkEnd w:id="26"/>
      <w:bookmarkStart w:id="27" w:name="_Hlt68072990"/>
      <w:bookmarkEnd w:id="27"/>
      <w:bookmarkStart w:id="28" w:name="_Hlt74730295"/>
      <w:bookmarkEnd w:id="28"/>
      <w:bookmarkStart w:id="29" w:name="_Hlt75236101"/>
      <w:bookmarkEnd w:id="29"/>
      <w:bookmarkStart w:id="30" w:name="_Hlt68072998"/>
      <w:bookmarkEnd w:id="30"/>
      <w:bookmarkStart w:id="31" w:name="_Hlt68403820"/>
      <w:bookmarkEnd w:id="31"/>
    </w:p>
    <w:bookmarkEnd w:id="18"/>
    <w:bookmarkEnd w:id="19"/>
    <w:p>
      <w:pPr>
        <w:spacing w:line="360" w:lineRule="auto"/>
        <w:jc w:val="center"/>
        <w:outlineLvl w:val="0"/>
        <w:rPr>
          <w:rFonts w:hint="eastAsia" w:ascii="宋体" w:hAnsi="宋体" w:eastAsia="宋体" w:cs="宋体"/>
          <w:b/>
          <w:color w:val="auto"/>
          <w:sz w:val="36"/>
          <w:szCs w:val="36"/>
          <w:highlight w:val="none"/>
        </w:rPr>
      </w:pPr>
      <w:bookmarkStart w:id="32" w:name="第四部分"/>
      <w:r>
        <w:rPr>
          <w:rFonts w:hint="eastAsia" w:ascii="宋体" w:hAnsi="宋体" w:eastAsia="宋体" w:cs="宋体"/>
          <w:b/>
          <w:color w:val="auto"/>
          <w:sz w:val="36"/>
          <w:szCs w:val="36"/>
          <w:highlight w:val="none"/>
        </w:rPr>
        <w:t>第三部分   采购需求</w:t>
      </w:r>
    </w:p>
    <w:bookmarkEnd w:id="32"/>
    <w:p>
      <w:pPr>
        <w:snapToGrid w:val="0"/>
        <w:rPr>
          <w:rFonts w:ascii="宋体" w:hAnsi="宋体" w:cs="宋体"/>
          <w:color w:val="auto"/>
          <w:highlight w:val="none"/>
        </w:rPr>
      </w:pPr>
      <w:bookmarkStart w:id="33" w:name="第五部分"/>
      <w:bookmarkStart w:id="34" w:name="_Toc86217003"/>
      <w:r>
        <w:rPr>
          <w:rFonts w:hint="eastAsia" w:ascii="宋体" w:hAnsi="宋体" w:cs="宋体"/>
          <w:b/>
          <w:bCs/>
          <w:color w:val="auto"/>
          <w:sz w:val="28"/>
          <w:szCs w:val="28"/>
          <w:highlight w:val="none"/>
        </w:rPr>
        <w:t>一、需求内容及数量</w:t>
      </w:r>
    </w:p>
    <w:tbl>
      <w:tblPr>
        <w:tblStyle w:val="76"/>
        <w:tblW w:w="14180" w:type="dxa"/>
        <w:jc w:val="center"/>
        <w:tblInd w:w="0" w:type="dxa"/>
        <w:tblLayout w:type="fixed"/>
        <w:tblCellMar>
          <w:top w:w="0" w:type="dxa"/>
          <w:left w:w="108" w:type="dxa"/>
          <w:bottom w:w="0" w:type="dxa"/>
          <w:right w:w="108" w:type="dxa"/>
        </w:tblCellMar>
      </w:tblPr>
      <w:tblGrid>
        <w:gridCol w:w="5569"/>
        <w:gridCol w:w="3108"/>
        <w:gridCol w:w="994"/>
        <w:gridCol w:w="1042"/>
        <w:gridCol w:w="2884"/>
        <w:gridCol w:w="583"/>
      </w:tblGrid>
      <w:tr>
        <w:tblPrEx>
          <w:tblLayout w:type="fixed"/>
          <w:tblCellMar>
            <w:top w:w="0" w:type="dxa"/>
            <w:left w:w="108" w:type="dxa"/>
            <w:bottom w:w="0" w:type="dxa"/>
            <w:right w:w="108" w:type="dxa"/>
          </w:tblCellMar>
        </w:tblPrEx>
        <w:trPr>
          <w:trHeight w:val="691" w:hRule="atLeast"/>
          <w:jc w:val="center"/>
        </w:trPr>
        <w:tc>
          <w:tcPr>
            <w:tcW w:w="5569"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s="宋体"/>
                <w:b/>
                <w:bCs/>
                <w:color w:val="auto"/>
                <w:sz w:val="24"/>
                <w:szCs w:val="24"/>
                <w:highlight w:val="none"/>
              </w:rPr>
            </w:pPr>
            <w:r>
              <w:rPr>
                <w:rFonts w:hint="eastAsia" w:hAnsi="宋体" w:cs="宋体"/>
                <w:b/>
                <w:bCs/>
                <w:color w:val="auto"/>
                <w:sz w:val="24"/>
                <w:szCs w:val="24"/>
                <w:highlight w:val="none"/>
              </w:rPr>
              <w:t>项目名称</w:t>
            </w:r>
          </w:p>
        </w:tc>
        <w:tc>
          <w:tcPr>
            <w:tcW w:w="3108"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s="宋体"/>
                <w:b/>
                <w:bCs/>
                <w:color w:val="auto"/>
                <w:sz w:val="24"/>
                <w:szCs w:val="24"/>
                <w:highlight w:val="none"/>
              </w:rPr>
            </w:pPr>
            <w:r>
              <w:rPr>
                <w:rFonts w:hint="eastAsia" w:hAnsi="宋体" w:cs="宋体"/>
                <w:b/>
                <w:bCs/>
                <w:color w:val="auto"/>
                <w:sz w:val="24"/>
                <w:szCs w:val="24"/>
                <w:highlight w:val="none"/>
              </w:rPr>
              <w:t>主要技术规范</w:t>
            </w:r>
          </w:p>
          <w:p>
            <w:pPr>
              <w:jc w:val="center"/>
              <w:rPr>
                <w:rFonts w:hAnsi="宋体" w:cs="宋体"/>
                <w:b/>
                <w:bCs/>
                <w:color w:val="auto"/>
                <w:sz w:val="24"/>
                <w:szCs w:val="24"/>
                <w:highlight w:val="none"/>
              </w:rPr>
            </w:pPr>
            <w:r>
              <w:rPr>
                <w:rFonts w:hint="eastAsia" w:hAnsi="宋体" w:cs="宋体"/>
                <w:b/>
                <w:bCs/>
                <w:color w:val="auto"/>
                <w:sz w:val="24"/>
                <w:szCs w:val="24"/>
                <w:highlight w:val="none"/>
              </w:rPr>
              <w:t>和服务要求</w:t>
            </w: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bCs/>
                <w:color w:val="auto"/>
                <w:sz w:val="24"/>
                <w:szCs w:val="24"/>
                <w:highlight w:val="none"/>
              </w:rPr>
            </w:pPr>
            <w:r>
              <w:rPr>
                <w:rFonts w:hint="eastAsia" w:hAnsi="宋体" w:cs="宋体"/>
                <w:b/>
                <w:bCs/>
                <w:color w:val="auto"/>
                <w:sz w:val="24"/>
                <w:szCs w:val="24"/>
                <w:highlight w:val="none"/>
              </w:rPr>
              <w:t>单位</w:t>
            </w:r>
          </w:p>
        </w:tc>
        <w:tc>
          <w:tcPr>
            <w:tcW w:w="1042"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bCs/>
                <w:color w:val="auto"/>
                <w:sz w:val="24"/>
                <w:szCs w:val="24"/>
                <w:highlight w:val="none"/>
              </w:rPr>
            </w:pPr>
            <w:r>
              <w:rPr>
                <w:rFonts w:hint="eastAsia" w:hAnsi="宋体" w:cs="宋体"/>
                <w:b/>
                <w:bCs/>
                <w:color w:val="auto"/>
                <w:sz w:val="24"/>
                <w:szCs w:val="24"/>
                <w:highlight w:val="none"/>
              </w:rPr>
              <w:t>数量</w:t>
            </w:r>
          </w:p>
        </w:tc>
        <w:tc>
          <w:tcPr>
            <w:tcW w:w="2884"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bCs/>
                <w:color w:val="auto"/>
                <w:sz w:val="24"/>
                <w:szCs w:val="24"/>
                <w:highlight w:val="none"/>
              </w:rPr>
            </w:pPr>
            <w:r>
              <w:rPr>
                <w:rFonts w:hint="eastAsia" w:hAnsi="宋体" w:cs="宋体"/>
                <w:b/>
                <w:bCs/>
                <w:color w:val="auto"/>
                <w:sz w:val="24"/>
                <w:szCs w:val="24"/>
                <w:highlight w:val="none"/>
              </w:rPr>
              <w:t>预算价（元）</w:t>
            </w:r>
          </w:p>
        </w:tc>
        <w:tc>
          <w:tcPr>
            <w:tcW w:w="58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bCs/>
                <w:color w:val="auto"/>
                <w:sz w:val="24"/>
                <w:szCs w:val="24"/>
                <w:highlight w:val="none"/>
              </w:rPr>
            </w:pPr>
            <w:r>
              <w:rPr>
                <w:rFonts w:hint="eastAsia" w:hAnsi="宋体" w:cs="宋体"/>
                <w:b/>
                <w:bCs/>
                <w:color w:val="auto"/>
                <w:sz w:val="24"/>
                <w:szCs w:val="24"/>
                <w:highlight w:val="none"/>
              </w:rPr>
              <w:t>备注</w:t>
            </w:r>
          </w:p>
        </w:tc>
      </w:tr>
      <w:tr>
        <w:tblPrEx>
          <w:tblLayout w:type="fixed"/>
          <w:tblCellMar>
            <w:top w:w="0" w:type="dxa"/>
            <w:left w:w="108" w:type="dxa"/>
            <w:bottom w:w="0" w:type="dxa"/>
            <w:right w:w="108" w:type="dxa"/>
          </w:tblCellMar>
        </w:tblPrEx>
        <w:trPr>
          <w:cantSplit/>
          <w:trHeight w:val="1116" w:hRule="atLeast"/>
          <w:jc w:val="center"/>
        </w:trPr>
        <w:tc>
          <w:tcPr>
            <w:tcW w:w="5569"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s="宋体"/>
                <w:color w:val="auto"/>
                <w:sz w:val="24"/>
                <w:szCs w:val="24"/>
                <w:highlight w:val="none"/>
              </w:rPr>
            </w:pPr>
            <w:r>
              <w:rPr>
                <w:rFonts w:hint="eastAsia" w:hAnsi="宋体" w:cs="宋体"/>
                <w:color w:val="auto"/>
                <w:sz w:val="24"/>
                <w:szCs w:val="24"/>
                <w:highlight w:val="none"/>
                <w:lang w:eastAsia="zh-CN"/>
              </w:rPr>
              <w:t>建德市乾潭镇下梓村数字乡村建设采购项目</w:t>
            </w:r>
          </w:p>
        </w:tc>
        <w:tc>
          <w:tcPr>
            <w:tcW w:w="3108" w:type="dxa"/>
            <w:tcBorders>
              <w:top w:val="single" w:color="auto" w:sz="4" w:space="0"/>
              <w:left w:val="single" w:color="auto" w:sz="4" w:space="0"/>
              <w:right w:val="single" w:color="auto" w:sz="4" w:space="0"/>
            </w:tcBorders>
            <w:vAlign w:val="center"/>
          </w:tcPr>
          <w:p>
            <w:pPr>
              <w:jc w:val="center"/>
              <w:rPr>
                <w:rFonts w:hAnsi="宋体" w:cs="宋体"/>
                <w:color w:val="auto"/>
                <w:sz w:val="24"/>
                <w:szCs w:val="24"/>
                <w:highlight w:val="none"/>
              </w:rPr>
            </w:pPr>
            <w:r>
              <w:rPr>
                <w:rFonts w:hint="eastAsia" w:hAnsi="宋体" w:cs="宋体"/>
                <w:color w:val="auto"/>
                <w:sz w:val="24"/>
                <w:szCs w:val="24"/>
                <w:highlight w:val="none"/>
              </w:rPr>
              <w:t>详见本章“</w:t>
            </w:r>
            <w:r>
              <w:rPr>
                <w:rFonts w:hint="eastAsia" w:hAnsi="宋体" w:cs="宋体"/>
                <w:color w:val="auto"/>
                <w:sz w:val="24"/>
                <w:szCs w:val="24"/>
                <w:highlight w:val="none"/>
                <w:lang w:eastAsia="zh-CN"/>
              </w:rPr>
              <w:t>二、</w:t>
            </w:r>
            <w:r>
              <w:rPr>
                <w:rFonts w:hint="eastAsia" w:hAnsi="宋体" w:cs="宋体"/>
                <w:color w:val="auto"/>
                <w:sz w:val="24"/>
                <w:szCs w:val="24"/>
                <w:highlight w:val="none"/>
              </w:rPr>
              <w:t>采购内容”</w:t>
            </w: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10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8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3050000.00</w:t>
            </w:r>
          </w:p>
        </w:tc>
        <w:tc>
          <w:tcPr>
            <w:tcW w:w="58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auto"/>
                <w:sz w:val="24"/>
                <w:szCs w:val="24"/>
                <w:highlight w:val="none"/>
              </w:rPr>
            </w:pPr>
          </w:p>
        </w:tc>
      </w:tr>
      <w:tr>
        <w:tblPrEx>
          <w:tblLayout w:type="fixed"/>
          <w:tblCellMar>
            <w:top w:w="0" w:type="dxa"/>
            <w:left w:w="108" w:type="dxa"/>
            <w:bottom w:w="0" w:type="dxa"/>
            <w:right w:w="108" w:type="dxa"/>
          </w:tblCellMar>
        </w:tblPrEx>
        <w:trPr>
          <w:trHeight w:val="566" w:hRule="exact"/>
          <w:jc w:val="center"/>
        </w:trPr>
        <w:tc>
          <w:tcPr>
            <w:tcW w:w="13597" w:type="dxa"/>
            <w:gridSpan w:val="5"/>
            <w:tcBorders>
              <w:top w:val="single" w:color="auto" w:sz="4" w:space="0"/>
              <w:left w:val="single" w:color="auto" w:sz="4" w:space="0"/>
              <w:bottom w:val="single" w:color="auto" w:sz="4" w:space="0"/>
              <w:right w:val="single" w:color="auto" w:sz="4" w:space="0"/>
            </w:tcBorders>
            <w:vAlign w:val="center"/>
          </w:tcPr>
          <w:p>
            <w:pPr>
              <w:rPr>
                <w:rFonts w:hint="eastAsia" w:hAnsi="宋体" w:cs="宋体"/>
                <w:color w:val="auto"/>
                <w:sz w:val="24"/>
                <w:szCs w:val="24"/>
                <w:highlight w:val="none"/>
              </w:rPr>
            </w:pPr>
            <w:r>
              <w:rPr>
                <w:rFonts w:hint="eastAsia" w:hAnsi="宋体" w:cs="宋体"/>
                <w:color w:val="auto"/>
                <w:sz w:val="24"/>
                <w:szCs w:val="24"/>
                <w:highlight w:val="none"/>
              </w:rPr>
              <w:t>预算价：人民币（大写</w:t>
            </w:r>
            <w:r>
              <w:rPr>
                <w:rFonts w:hint="eastAsia" w:hAnsi="宋体" w:cs="宋体"/>
                <w:color w:val="auto"/>
                <w:sz w:val="24"/>
                <w:szCs w:val="24"/>
                <w:highlight w:val="none"/>
                <w:lang w:eastAsia="zh-CN"/>
              </w:rPr>
              <w:t>）叁佰零伍万</w:t>
            </w:r>
            <w:r>
              <w:rPr>
                <w:rFonts w:hint="eastAsia" w:hAnsi="宋体" w:cs="宋体"/>
                <w:color w:val="auto"/>
                <w:sz w:val="24"/>
                <w:szCs w:val="24"/>
                <w:highlight w:val="none"/>
              </w:rPr>
              <w:t>元整（￥</w:t>
            </w:r>
            <w:r>
              <w:rPr>
                <w:rFonts w:hint="eastAsia" w:asciiTheme="minorEastAsia" w:hAnsiTheme="minorEastAsia" w:eastAsiaTheme="minorEastAsia"/>
                <w:b w:val="0"/>
                <w:bCs/>
                <w:color w:val="auto"/>
                <w:sz w:val="24"/>
                <w:highlight w:val="none"/>
                <w:lang w:val="en-US" w:eastAsia="zh-CN"/>
              </w:rPr>
              <w:t>3050000.00</w:t>
            </w:r>
            <w:r>
              <w:rPr>
                <w:rFonts w:hint="eastAsia" w:hAnsi="宋体" w:cs="宋体"/>
                <w:color w:val="auto"/>
                <w:sz w:val="24"/>
                <w:szCs w:val="24"/>
                <w:highlight w:val="none"/>
              </w:rPr>
              <w:t>元）</w:t>
            </w:r>
          </w:p>
        </w:tc>
        <w:tc>
          <w:tcPr>
            <w:tcW w:w="583" w:type="dxa"/>
            <w:tcBorders>
              <w:top w:val="single" w:color="auto" w:sz="4" w:space="0"/>
              <w:left w:val="single" w:color="auto" w:sz="4" w:space="0"/>
              <w:bottom w:val="single" w:color="auto" w:sz="4" w:space="0"/>
              <w:right w:val="single" w:color="auto" w:sz="4" w:space="0"/>
            </w:tcBorders>
            <w:vAlign w:val="center"/>
          </w:tcPr>
          <w:p>
            <w:pPr>
              <w:rPr>
                <w:rFonts w:hAnsi="宋体" w:cs="宋体"/>
                <w:color w:val="auto"/>
                <w:sz w:val="24"/>
                <w:szCs w:val="24"/>
                <w:highlight w:val="none"/>
              </w:rPr>
            </w:pPr>
          </w:p>
        </w:tc>
      </w:tr>
    </w:tbl>
    <w:p>
      <w:pPr>
        <w:spacing w:line="240" w:lineRule="auto"/>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注：</w:t>
      </w:r>
      <w:r>
        <w:rPr>
          <w:rFonts w:hint="eastAsia" w:ascii="宋体" w:hAnsi="宋体" w:cs="宋体"/>
          <w:color w:val="auto"/>
          <w:sz w:val="21"/>
          <w:szCs w:val="21"/>
          <w:highlight w:val="none"/>
          <w:lang w:val="en-US" w:eastAsia="zh-CN"/>
        </w:rPr>
        <w:t>1、本项目为交钥匙工程。以上总金额包设计开发、产品生产供货、运输装卸、安装调试、产品保护、备品备件、税金、培训、保险、验收、售后服务及辅助工作等完成本项目的所有费用。</w:t>
      </w:r>
    </w:p>
    <w:p>
      <w:pPr>
        <w:spacing w:line="24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2、供货时提供产品合格证、原厂质保证明等相关资料</w:t>
      </w:r>
      <w:r>
        <w:rPr>
          <w:rFonts w:hint="eastAsia" w:ascii="宋体" w:hAnsi="宋体" w:cs="宋体"/>
          <w:color w:val="auto"/>
          <w:sz w:val="21"/>
          <w:szCs w:val="21"/>
          <w:highlight w:val="none"/>
        </w:rPr>
        <w:t>。</w:t>
      </w:r>
    </w:p>
    <w:p>
      <w:pPr>
        <w:spacing w:line="340" w:lineRule="exact"/>
        <w:jc w:val="left"/>
        <w:rPr>
          <w:rFonts w:ascii="宋体" w:hAnsi="宋体" w:cs="宋体"/>
          <w:color w:val="auto"/>
          <w:kern w:val="0"/>
          <w:highlight w:val="none"/>
        </w:rPr>
      </w:pPr>
    </w:p>
    <w:p>
      <w:pPr>
        <w:snapToGrid w:val="0"/>
        <w:rPr>
          <w:rFonts w:hint="eastAsia" w:ascii="宋体" w:hAnsi="宋体" w:eastAsia="宋体" w:cs="宋体"/>
          <w:b/>
          <w:bCs/>
          <w:color w:val="auto"/>
          <w:sz w:val="28"/>
          <w:szCs w:val="28"/>
          <w:highlight w:val="none"/>
        </w:rPr>
      </w:pPr>
    </w:p>
    <w:p>
      <w:pPr>
        <w:numPr>
          <w:ilvl w:val="0"/>
          <w:numId w:val="0"/>
        </w:numPr>
        <w:snapToGrid w:val="0"/>
        <w:spacing w:line="360" w:lineRule="auto"/>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lang w:eastAsia="zh-CN"/>
        </w:rPr>
        <w:t>二、</w:t>
      </w:r>
      <w:r>
        <w:rPr>
          <w:rFonts w:hint="eastAsia" w:ascii="宋体" w:hAnsi="宋体" w:eastAsia="宋体" w:cs="宋体"/>
          <w:b/>
          <w:bCs/>
          <w:color w:val="auto"/>
          <w:sz w:val="28"/>
          <w:szCs w:val="28"/>
          <w:highlight w:val="none"/>
        </w:rPr>
        <w:t>采购内容</w:t>
      </w:r>
    </w:p>
    <w:p>
      <w:pPr>
        <w:numPr>
          <w:ilvl w:val="0"/>
          <w:numId w:val="0"/>
        </w:numPr>
        <w:snapToGrid w:val="0"/>
        <w:spacing w:line="360" w:lineRule="auto"/>
        <w:rPr>
          <w:rFonts w:hint="eastAsia" w:eastAsia="宋体"/>
          <w:color w:val="auto"/>
          <w:sz w:val="24"/>
          <w:szCs w:val="24"/>
          <w:highlight w:val="none"/>
          <w:lang w:eastAsia="zh-CN"/>
        </w:rPr>
      </w:pPr>
      <w:r>
        <w:rPr>
          <w:rFonts w:hint="eastAsia"/>
          <w:color w:val="auto"/>
          <w:sz w:val="24"/>
          <w:szCs w:val="24"/>
          <w:highlight w:val="none"/>
          <w:lang w:eastAsia="zh-CN"/>
        </w:rPr>
        <w:t>（一）采购清单</w:t>
      </w:r>
    </w:p>
    <w:tbl>
      <w:tblPr>
        <w:tblStyle w:val="76"/>
        <w:tblW w:w="13946"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92"/>
        <w:gridCol w:w="1223"/>
        <w:gridCol w:w="1337"/>
        <w:gridCol w:w="1127"/>
        <w:gridCol w:w="1107"/>
        <w:gridCol w:w="4844"/>
        <w:gridCol w:w="681"/>
        <w:gridCol w:w="681"/>
        <w:gridCol w:w="1166"/>
        <w:gridCol w:w="11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2"/>
                <w:szCs w:val="22"/>
                <w:highlight w:val="none"/>
                <w:u w:val="none"/>
                <w:shd w:val="clear" w:color="auto" w:fill="auto"/>
              </w:rPr>
            </w:pPr>
            <w:r>
              <w:rPr>
                <w:rFonts w:hint="eastAsia" w:ascii="宋体" w:hAnsi="宋体" w:eastAsia="宋体" w:cs="宋体"/>
                <w:b/>
                <w:bCs/>
                <w:i w:val="0"/>
                <w:iCs w:val="0"/>
                <w:color w:val="auto"/>
                <w:kern w:val="0"/>
                <w:sz w:val="22"/>
                <w:szCs w:val="22"/>
                <w:highlight w:val="none"/>
                <w:u w:val="none"/>
                <w:shd w:val="clear" w:color="auto" w:fill="auto"/>
                <w:lang w:val="en-US" w:eastAsia="zh-CN" w:bidi="ar"/>
              </w:rPr>
              <w:t>序号</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2"/>
                <w:szCs w:val="22"/>
                <w:highlight w:val="none"/>
                <w:u w:val="none"/>
                <w:shd w:val="clear" w:color="auto" w:fill="auto"/>
              </w:rPr>
            </w:pPr>
            <w:r>
              <w:rPr>
                <w:rFonts w:hint="eastAsia" w:ascii="宋体" w:hAnsi="宋体" w:eastAsia="宋体" w:cs="宋体"/>
                <w:b/>
                <w:bCs/>
                <w:i w:val="0"/>
                <w:iCs w:val="0"/>
                <w:color w:val="auto"/>
                <w:kern w:val="0"/>
                <w:sz w:val="22"/>
                <w:szCs w:val="22"/>
                <w:highlight w:val="none"/>
                <w:u w:val="none"/>
                <w:shd w:val="clear" w:color="auto" w:fill="auto"/>
                <w:lang w:val="en-US" w:eastAsia="zh-CN" w:bidi="ar"/>
              </w:rPr>
              <w:t>名称</w:t>
            </w:r>
          </w:p>
        </w:tc>
        <w:tc>
          <w:tcPr>
            <w:tcW w:w="357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2"/>
                <w:szCs w:val="22"/>
                <w:highlight w:val="none"/>
                <w:u w:val="none"/>
                <w:shd w:val="clear" w:color="auto" w:fill="auto"/>
              </w:rPr>
            </w:pPr>
            <w:r>
              <w:rPr>
                <w:rFonts w:hint="eastAsia" w:ascii="宋体" w:hAnsi="宋体" w:eastAsia="宋体" w:cs="宋体"/>
                <w:b/>
                <w:bCs/>
                <w:i w:val="0"/>
                <w:iCs w:val="0"/>
                <w:color w:val="auto"/>
                <w:kern w:val="0"/>
                <w:sz w:val="22"/>
                <w:szCs w:val="22"/>
                <w:highlight w:val="none"/>
                <w:u w:val="none"/>
                <w:shd w:val="clear" w:color="auto" w:fill="auto"/>
                <w:lang w:val="en-US" w:eastAsia="zh-CN" w:bidi="ar"/>
              </w:rPr>
              <w:t>建设内容</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2"/>
                <w:szCs w:val="22"/>
                <w:highlight w:val="none"/>
                <w:u w:val="none"/>
                <w:shd w:val="clear" w:color="auto" w:fill="auto"/>
              </w:rPr>
            </w:pPr>
            <w:r>
              <w:rPr>
                <w:rFonts w:hint="eastAsia" w:ascii="宋体" w:hAnsi="宋体" w:eastAsia="宋体" w:cs="宋体"/>
                <w:b/>
                <w:bCs/>
                <w:i w:val="0"/>
                <w:iCs w:val="0"/>
                <w:color w:val="auto"/>
                <w:kern w:val="0"/>
                <w:sz w:val="22"/>
                <w:szCs w:val="22"/>
                <w:highlight w:val="none"/>
                <w:u w:val="none"/>
                <w:shd w:val="clear" w:color="auto" w:fill="auto"/>
                <w:lang w:val="en-US" w:eastAsia="zh-CN" w:bidi="ar"/>
              </w:rPr>
              <w:t>主要技术参数及要求</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2"/>
                <w:szCs w:val="22"/>
                <w:highlight w:val="none"/>
                <w:u w:val="none"/>
                <w:shd w:val="clear" w:color="auto" w:fill="auto"/>
              </w:rPr>
            </w:pPr>
            <w:r>
              <w:rPr>
                <w:rFonts w:hint="eastAsia" w:ascii="宋体" w:hAnsi="宋体" w:eastAsia="宋体" w:cs="宋体"/>
                <w:b/>
                <w:bCs/>
                <w:i w:val="0"/>
                <w:iCs w:val="0"/>
                <w:color w:val="auto"/>
                <w:kern w:val="0"/>
                <w:sz w:val="22"/>
                <w:szCs w:val="22"/>
                <w:highlight w:val="none"/>
                <w:u w:val="none"/>
                <w:shd w:val="clear" w:color="auto" w:fill="auto"/>
                <w:lang w:val="en-US" w:eastAsia="zh-CN" w:bidi="ar"/>
              </w:rPr>
              <w:t>数量</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2"/>
                <w:szCs w:val="22"/>
                <w:highlight w:val="none"/>
                <w:u w:val="none"/>
                <w:shd w:val="clear" w:color="auto" w:fill="auto"/>
              </w:rPr>
            </w:pPr>
            <w:r>
              <w:rPr>
                <w:rFonts w:hint="eastAsia" w:ascii="宋体" w:hAnsi="宋体" w:eastAsia="宋体" w:cs="宋体"/>
                <w:b/>
                <w:bCs/>
                <w:i w:val="0"/>
                <w:iCs w:val="0"/>
                <w:color w:val="auto"/>
                <w:kern w:val="0"/>
                <w:sz w:val="22"/>
                <w:szCs w:val="22"/>
                <w:highlight w:val="none"/>
                <w:u w:val="none"/>
                <w:shd w:val="clear" w:color="auto" w:fill="auto"/>
                <w:lang w:val="en-US" w:eastAsia="zh-CN" w:bidi="ar"/>
              </w:rPr>
              <w:t>单位</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2"/>
                <w:szCs w:val="22"/>
                <w:highlight w:val="none"/>
                <w:u w:val="none"/>
                <w:shd w:val="clear" w:color="auto" w:fill="auto"/>
              </w:rPr>
            </w:pPr>
            <w:r>
              <w:rPr>
                <w:rFonts w:hint="eastAsia" w:ascii="宋体" w:hAnsi="宋体" w:eastAsia="宋体" w:cs="宋体"/>
                <w:b/>
                <w:bCs/>
                <w:i w:val="0"/>
                <w:iCs w:val="0"/>
                <w:color w:val="auto"/>
                <w:kern w:val="0"/>
                <w:sz w:val="22"/>
                <w:szCs w:val="22"/>
                <w:highlight w:val="none"/>
                <w:u w:val="none"/>
                <w:shd w:val="clear" w:color="auto" w:fill="auto"/>
                <w:lang w:val="en-US" w:eastAsia="zh-CN" w:bidi="ar"/>
              </w:rPr>
              <w:t>预算单价（元）</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2"/>
                <w:szCs w:val="22"/>
                <w:highlight w:val="none"/>
                <w:u w:val="none"/>
                <w:shd w:val="clear" w:color="auto" w:fill="auto"/>
                <w:lang w:val="en-US" w:eastAsia="zh-CN" w:bidi="ar"/>
              </w:rPr>
            </w:pPr>
            <w:r>
              <w:rPr>
                <w:rFonts w:hint="eastAsia" w:ascii="宋体" w:hAnsi="宋体" w:eastAsia="宋体" w:cs="宋体"/>
                <w:b/>
                <w:bCs/>
                <w:i w:val="0"/>
                <w:iCs w:val="0"/>
                <w:color w:val="auto"/>
                <w:kern w:val="0"/>
                <w:sz w:val="22"/>
                <w:szCs w:val="22"/>
                <w:highlight w:val="none"/>
                <w:u w:val="none"/>
                <w:shd w:val="clear" w:color="auto" w:fill="auto"/>
                <w:lang w:val="en-US" w:eastAsia="zh-CN" w:bidi="ar"/>
              </w:rPr>
              <w:t>预算总价（元）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w:t>
            </w:r>
          </w:p>
        </w:tc>
        <w:tc>
          <w:tcPr>
            <w:tcW w:w="122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数字基建</w:t>
            </w:r>
          </w:p>
        </w:tc>
        <w:tc>
          <w:tcPr>
            <w:tcW w:w="357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数字驾驶舱（对接建德市统建数字乡村平台）</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实现驾驶舱集成管理，并完成实时数据采集及对接</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lang w:val="en-US"/>
              </w:rPr>
            </w:pPr>
            <w:r>
              <w:rPr>
                <w:rFonts w:hint="eastAsia" w:ascii="宋体" w:hAnsi="宋体" w:eastAsia="宋体" w:cs="宋体"/>
                <w:i w:val="0"/>
                <w:iCs w:val="0"/>
                <w:color w:val="auto"/>
                <w:kern w:val="0"/>
                <w:sz w:val="22"/>
                <w:szCs w:val="22"/>
                <w:highlight w:val="none"/>
                <w:u w:val="none"/>
                <w:shd w:val="clear" w:color="auto" w:fill="auto"/>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套</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3000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2</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智慧充电桩</w:t>
            </w:r>
          </w:p>
        </w:tc>
        <w:tc>
          <w:tcPr>
            <w:tcW w:w="22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含30KW壁挂直流充电桩及安装固定件、强电供电到位等</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2"/>
              </w:numPr>
              <w:suppressLineNumbers w:val="0"/>
              <w:spacing w:line="240" w:lineRule="auto"/>
              <w:ind w:right="441" w:rightChars="210"/>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额定容量≥30kW</w:t>
            </w:r>
          </w:p>
          <w:p>
            <w:pPr>
              <w:keepNext w:val="0"/>
              <w:keepLines w:val="0"/>
              <w:widowControl/>
              <w:numPr>
                <w:ilvl w:val="0"/>
                <w:numId w:val="2"/>
              </w:numPr>
              <w:suppressLineNumbers w:val="0"/>
              <w:spacing w:line="240" w:lineRule="auto"/>
              <w:ind w:right="441" w:rightChars="210"/>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充电枪数：单枪</w:t>
            </w:r>
          </w:p>
          <w:p>
            <w:pPr>
              <w:keepNext w:val="0"/>
              <w:keepLines w:val="0"/>
              <w:widowControl/>
              <w:numPr>
                <w:ilvl w:val="0"/>
                <w:numId w:val="0"/>
              </w:numPr>
              <w:suppressLineNumbers w:val="0"/>
              <w:spacing w:line="240" w:lineRule="auto"/>
              <w:ind w:right="8" w:rightChars="0"/>
              <w:jc w:val="left"/>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3、显示方式≥4.3寸电容屏</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4、充电方式：扫码启动、刷卡启动、VIN码启动、密码启动（选配）</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5、充电模式：电量模式、金额模式</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★6、目测检查充电桩铭牌位置和内容的正确性与完整性，铭牌内容应符合 NB/33001-2018 中8.1.1的规定。目测检查充电桩 接线、接地及安全标志的正确性与完整性。通过观察并用一块浸透蒸馏水的脱脂棉在约15s内擦拭15个来回，随后用一块浸透汽油的脱脂棉在约15s内擦拭15个来回，试验期间应用约为 2N/㎡的压力将脱脂棉压在标志上，试验后，标志仍应易于辨认，（投标文件中须提供第三方检测机构出具的有效检验报告复印件并加盖公章）</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7、充电桩风扇可根据当前温度智能调速，（投标文件中须提供第三方检测机构出具的有效检验报告复印件并加盖公章）</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★8、充电桩双枪连接连接负载进行正常充电，在一把充电枪A充电结束拔枪之后，查看充电桩是否将其所占用的功率自动调配至另一把正在充电的充电枪 B；若再将这把充电枪A连接至负载进行充电，查看充电桩是否将功率调配回此充电枪，进行充电工作，可以按要求分配功率，（投标文件中须提供第三方检测机构出具的有效检验报告复印件并加盖公章）</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★9、在恒流状态下，输出直流电流设定在规定的额定值的 20%～100%范围内，在设定的直流输出电流≥30A时， 充电桩的输出电流误差不应超过±0.3%；在设定的输 出电流&lt;30A 时，充电桩的输出电流误差不应超过± 0.3A，（投标文件中须提供第三方检测机构出具的有效检验报告复印件并加盖公章）</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10、待机功耗：&lt;30W</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11、输入特性：交流输入电压</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12、三相AC380V(A/B/C+N+PE)±15%</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13、交流输入电流≥46A</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14、交流电源频率：50Hz±5Hz</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15、满载充电效率：≥95.5%</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16、功率因数≥0.99</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17、谐波电流(THD)≤5%</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18、最大输出功率：≥30kW</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19、输出电压范围：200Vdc~1000Vdc</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20、恒功率区间：300Vdc~1000Vdc</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21、整机最大输出电流：100ADC</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22、充电桩可扩展支持自定义语音播报、双向语音对讲功能，（须提供第三方检测机构出具的有效检验报告复印件）</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23、低压辅助电源12V/24V(可手动选择)</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26、材质工艺：钣金机身</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3</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套</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33340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100020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3</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智慧路灯</w:t>
            </w:r>
          </w:p>
        </w:tc>
        <w:tc>
          <w:tcPr>
            <w:tcW w:w="22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智慧路灯</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1、光源：LED/钠灯；</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2、额定功率：≥200W；</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3、灯杆尺寸：≥6米；</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4、加工工艺：铁焊、铝材、等离子切割；</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5、适用场景：广场、体育场等；</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6、产品配件：灯杆、光源、预埋件等；</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7、控制功能：高敏感感光控制早晚自动开关；</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8、一键报警按钮：报警方式手动报警、远程联动报警、报警指示灯红色LED；</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9、监控：像素≥200万25倍变焦360°旋转球机；</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10、无线WIFI：支持；</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11、灯头：≥6个；</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12、包含室外音柱，功率（70V)：≥7.5W，频率响应：120Hz-15KHz，防护等级：IP66；</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13、含安装，辅材。</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2</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套</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75000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4</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路面全息灯光互动投影</w:t>
            </w:r>
          </w:p>
        </w:tc>
        <w:tc>
          <w:tcPr>
            <w:tcW w:w="22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激光投影机（地面）</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1、流明≥3500；</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2、分辨率≥1280*800；</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3、激光光源技术;对比度3000000:1；</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4、高校防尘:光源寿命≥20000h；</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5、功耗≥240W，待机功率≤0.5W；</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6、支持直接开关机；</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7、投射比≥0.52。</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2</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台</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15000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5</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22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无缝融合系统</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1、4通道融合处理器，最高支持≥1920*1200，融合处理器自带播放系统，可以多开窗口，支持画中画，支持窗口漫游，可以播放影片和图片；</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2、自带播放功能系统，支持多开窗口（画中画）融合，视频、图片等数据源；打开窗口数量无限制（视融合主机性能而定），可随时拖拽窗口位置及缩放大小，真正实现所见及所得；</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3、自定义融合背景图；视频、图片等多媒体资源管理，自动生成缩略图，友好的可视化界面，置高性能视频播放器，支持4K极清支持视频格式：avi、rmvb、rm、mkv、wmv、mp4、mpeg、、mov支持图片格式：jpg、jpeg、png、bmp；</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4、几何校正：基于B样条曲面技术，对图像进行自由变形处理，适合任意平面、曲面，几何调节控制点可任意加减，可对电子沙盘等复杂地形环境进行精细调节，支持自定义背景图调节；</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5、边缘消隐：融合带Gamma校正处理，多灰阶以及RGB色阶调节，投影机边缘叠加高消隐处理，使投影画面平滑过渡，对色差较大的LCD投影机也能保持色彩一致。支持暗场补光；</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6、可以无线手机或者IPAD控制切换影片播放，支持一路高清采集。</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2</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通道</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5000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6</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22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融合互动服务器</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1、CPU≥Intel-i3处理器；</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2、运存≥8G运存，含独立显卡；</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3、内存≥硬盘500G。</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台</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6000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7</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22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恒温防水机箱、立柱</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1、智能测控主板的供电由麦格米特开关电源稳定输出；</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2、内置温控探头和温湿度传感器；</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3、6路调速风扇，每路风扇转速峰值≥6000/分钟，风量≥5m³/分钟；</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4、F6中效空气过滤网，有透气高效，防尘、防蚊虫的功能；</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5、预留≥10A多功能插座；</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6、投影机供电设有交流接触器，如有故障报警立即跳开电源，保护投影机；</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7、预留RS485，RS232中控接口；</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8、防水等级：IP67。</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2</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套</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18000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36000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8</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22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多屏保</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1、单台输入分辨率:≥1920*4320@60HZ兼容输入:≥1个HDMI2.0、≥1个DP1.2输入接口视频像素频率:≥500MHZ；</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2、输出:≥2个HDMI/≥3个HDMI/≥4个HDMI；</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3、电源:≥12V/2A。</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套</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5000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9</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22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互动感应器</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定制专用交互系统+定制专用捕捉传感器（感应器）。</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2</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套</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5000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10</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22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互动软件</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40+高清互动片源感应交互系统（实现程序与感应之间的交互系统）。</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2</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套</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5000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11</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2234"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其他配件</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定制20米HDMI线（防雪花点）。</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2</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根</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600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12</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2234"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USB延长线≥10米。</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2</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条</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400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13</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2234"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其它电源插板、串口、转接头等辅材。</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2</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条</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300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14</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2234"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 xml:space="preserve">工程机投影仪立杆（含安装，辅材）。  </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1、立杆高度3米，内径14米厘米外层镀锌。</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 xml:space="preserve">2、材质：高强度铝合金/热镀锌钢，具备防锈、耐腐蚀性能。  </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3、连接件：不锈钢螺栓及加固件，抗老化，底部三角/四角稳定底座，可配重或固定地钉，增强抗风性。</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2</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套</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600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15</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2234"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无线鼠标键盘+摇控。</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套</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1200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16</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牌坊灯光数控</w:t>
            </w:r>
          </w:p>
        </w:tc>
        <w:tc>
          <w:tcPr>
            <w:tcW w:w="22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综合布线及管网</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线缆布线布管（PE50）、手井等。</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套</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120000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17</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2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智控灯光</w:t>
            </w: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投光灯</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输入电压/功率：AC220V/≥12W</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光源：CREE/12PCS</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光束角：≥10°</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色温：≥2000K</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控制方式：ON/OFF</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IK等级：IK08</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IP等级：IP66</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安装方式：支架螺丝固定</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20</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个</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1500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18</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2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借杆灯、公园灯等其他灯</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输入电压/功率：AC220V/50Hz/≥20W</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LED颗数/光源数量：晶元</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色温：≥1900K</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安装方式：固定</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IP等级：IP65</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30</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个</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1667</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50010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19</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2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沿线亮化</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输入电压/功率：DC24V/≥18W</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光源：LUMILEDS</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光束角：≥15°</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色温：≥1900K</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控制方式：ON/OFF</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IK等级：IK08</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IP等级：IP65</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安装方式：支架螺丝固定</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2000</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米</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60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20</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2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防雨盒</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≥280*150*75mm；材质：铝合金</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60</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个</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120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7200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1"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21</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2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配电箱</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电源输入：AC380V，级数-3P+N+E</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接线方式：AC380V三相五线制输入，AC220V输出直接接空开输出端</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电源输出：AC220V，级数-L+N+E</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功率输出：12*4KW</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输出路数：12路AC220V</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外壳颜色：白色</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安装方式：璧挂式</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防护等级：IP55</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2</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台</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6000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22</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2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防水插头线</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橡胶护套圆线/5实芯</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100</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条</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109</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10900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23</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智慧厕所</w:t>
            </w:r>
          </w:p>
        </w:tc>
        <w:tc>
          <w:tcPr>
            <w:tcW w:w="22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智能除臭机</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1、催生正负极高能等离子；</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2、一键自动模式:在24小时多次消毒和净化；</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3、释放负氧离子空气维生素；</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 xml:space="preserve">4、杀菌除味模式:最长定时≥24小时； </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5、无滤芯、无耗材、无二次污染；</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 xml:space="preserve">6、除烟降尘模式:最长定时≥24小时； </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7、智能控制:遥控、定时功能。</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2</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台</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3250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24</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22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扫码取纸机</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1、扫码取纸，每人取纸间隔可调节；</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2、每次取纸长度≥50cm；</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3、整体切纸模块。</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4、电压220V-12A</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台</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4500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25</w:t>
            </w:r>
          </w:p>
        </w:tc>
        <w:tc>
          <w:tcPr>
            <w:tcW w:w="122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数字产业</w:t>
            </w:r>
          </w:p>
        </w:tc>
        <w:tc>
          <w:tcPr>
            <w:tcW w:w="133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板凳龙非遗体验馆</w:t>
            </w:r>
          </w:p>
        </w:tc>
        <w:tc>
          <w:tcPr>
            <w:tcW w:w="112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沉浸式数字空间</w:t>
            </w: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激光投影机</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1、亮度：≥5000ANSI流明</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2、显示技术：3LCD</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3、芯片尺寸：≥3*0.64”</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4、分辨率：WUXGA 分辨率尺寸≥(1920 x 1200)</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5、光源类型：激光MCL</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6、光源时长：正常模式下≥20000hrs，</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2</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台</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18500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37000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26</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2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投影机吊杆</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1、使用机型：竖投投影机吊架</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2、螺丝型号：M4，M5，M6，M8</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 xml:space="preserve">3、三面倾仰角度: 45°，一面倾仰角度: 90°  </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 xml:space="preserve">4、可伸缩范围：150-90.mm   </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5、水平旋转角度：360°</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6、材质：锌合金，钢</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7、承重：≥30KG</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2</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套</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500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27</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2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服务器</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服务器定制≥8G/≥240G/≥T600/工控机箱。</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台</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9000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28</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2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融合处理</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光影鲨，融合，播控软件，支持接入中控，播放，暂停，上下切片源，音量调节等。</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2</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套</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1500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29</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2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沉浸式空间搭建及氛围造景</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120平基础墙体轻钢龙骨石膏板+阻燃板+乳胶漆（6.275+6220）*2+6395+5990）*3.3搭配造景。</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项</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129000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129000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30</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2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龙主题氛围三维动画</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以龙及传统文化为主题元素制作三维动画。</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60</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秒</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1667</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100020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31</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2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智能数字入口</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1、入口采用摆闸；</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2、使用环境：室内外；</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3、电机类型：无刷直流伺服电机；</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4、设备容量：支持≥6万卡，≥18万事件；</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5、红外对数：≥6对；</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6、产品尺寸：≥1200mm×210mm×1000mm；</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7、通道宽度：≥550mm；</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8、箱体：顶盖厚度≥1mm,箱体厚度≥1mm；</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9、门翼：其中厚度≥8mm；</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10、通行速率：≥20人/分钟，受人员情况和通行模式影响；</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11、电源电压：≥AC 240 V，50/60 Hz；</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12、整机功耗：单通道待机≥35W，运行≥65W。</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项</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21000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21000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32</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2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文化互动查询系统</w:t>
            </w: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文化互动设施</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结合主题内容进行实物展示与查询设备相辅相成，虚实呼应，让参观者深入了解本土文化。</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套</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39000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39000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33</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2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互动设备</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1、尺寸：≥32寸一体机；</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 xml:space="preserve">2、CPU：≥4代I5； </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 xml:space="preserve">3、内存：≥8+128G。  </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台</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5000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34</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2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互动内容定制</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梳理内容形成交互，点击查询板凳龙及下梓村相关文化图文。</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套</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17000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17000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35</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2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板凳龙制作视频定制</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根据需求进行脚本创作，对板凳龙相关制作进行拍摄，并通过剪辑包装形成完整影片。</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150</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秒</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926</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138900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36</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2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板凳龙制作虚拟教学系统</w:t>
            </w: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互动呈现面</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1.名称：P1.5室内LED全彩屏</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2、像素间距：≥1.538mm；</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3、像素密度：≥422500点/㎡；</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4、模组尺寸：≥320mm×160mm，</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5、平整度：模组、箱体、整屏均满足≤0.1；</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6、色彩偏离度：ΔE≤0.9；</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7、白平衡亮度：0～1200（亮度可调）；</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8、最大对比度：≥12000：1；</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9、色温：1000K～13000K 可调；</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10、可视角度：水平≥160°，垂直水平≥160°；  11、换帧频率：50&amp;60Hz；</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12、刷新频率：≥3840Hz；</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13、发光点中心距偏差：≤1%；</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14、亮度均匀性：≥99%；</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15、色度均匀性：在±0.003Cx,Cy之内；</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16、峰值功耗：峰值：≤350 W/㎡，平均值：≤150 W/㎡；</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 xml:space="preserve">17、电源能耗转换；具有 PFC功能，PF=0.98 电源功率因数≥0.95 </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18、像素失控率：≤0.00001；</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 xml:space="preserve">19、成像原理：LED主动发光；                                                                                         </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 xml:space="preserve">★20、表面处理：支持喷墨工艺：显示屏产品可定制无面罩、采用无喷墨工艺，且采用低反射率LED灯板支持面罩，斜条纹卡扣式处理，与摄像机角度配合做不反光处理，有效去除摩尔纹现象支持树脂覆压膜工艺处理：对LED封装单元形成有效的保护，防止刮蹭伤害屏幕，纳米镀膜防潮。LED表面硬度可达等级≥莫氏9级，足以对抗极端恶劣的使用环境，实现真正的防水、防潮、防尘、防撞击、抗UV，有效避免掉灯的现象发生。（投标文件中须提供权威检测机构出具的同时印有CMA、ilac-MRA和CNAS认证标识的检测报告复印件并加盖公章）                                                                                                   </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 xml:space="preserve">★21、防护功能：防腐蚀、防虫、防静电、防撞、防摔、抗震动、搞雷击等功能，具有过压、过流、断电保护、分布上电措施，具有实时监控温度，故障报警功能，具有动态扫描方式LED显示屏驱动电路保护功能。（投标文件中须提供权威检测机构出具的同时印有CMA、ilac-MRA和CNAS认证标识的检测报告复印件并加盖公章）                                                                                                                                                                                                                                                                          </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 xml:space="preserve">★22、蓝光辐射实验：在 20℃-30℃的暗室内以恒流电源0.35A, 50Hz 正常工作，15分钟后测试，屏体蓝光符合GB/T20145-2006 光生物安全性标准，无视网膜蓝光危害，蓝光加权辐射亮度（LB）≤0.45。（投标文件中须提供权威检测机构出具的同时印有CMA、ilac-MRA和CNAS认证标识的检测报告复印件并加盖公章）                                                                                                                                                                                                      </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8</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7125</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57000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37</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2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视频播放软件</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LED控制软件功能要求：</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1、显示屏专用管理软件，配合发送卡、接收卡、监控卡以及多功能卡，用户可以方便的实现对LED显示屏的智能配置、参数调节、亮度控制、电源管理、屏体校正以及硬件监控。</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2、控制软件的系统中任意信号可在屏幕的任意位置开多个窗口，无公共区域的限制，可任意叠加、缩放、拉伸、画中画显示，为用户提供灵活的应用。</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3、信号源管理：此功能用于管理所有接入到综合平台的各种视频信号、计算机信号网络信号的相关信息，可调整输入信号源的亮度、对比度、名称；可对信号源进行裁剪，仅将需要的部分在大屏幕上显示。</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4、开窗管理：此功能可以通过基本开窗、强制开窗、拖动信号源开窗、通过按钮开窗等方式进行 开窗，并可对窗口进行分组、信号切换等操作。</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5、场景及预案管理：通过综合平台管理软件，可以把各种显示信号的组合定义为场景，操作人员可以 按照需要，随时调用场景，可以快速实现各种显示组合之间的切换；操作人员还可以把 各种显示窗口、显示场景以及周边设备的状态定义为预案，可以让平台软件定时自动 地调用各种场景或者信号源显示，不需要人工干预。</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 xml:space="preserve">6、多样化控制方式，支持远程控制方式：RS-232、TCP/IP。Windows 版的管理控制软件可以轻松实现对视频墙的管理和控制。 移动终端版管理软件，可以通过 TCP/IP 协议控制视频墙输入源的切换、缩放和管理，可以轻松的实现场景调用等功能。移动端支持 iOS和Andriod系统。 </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7、兼容第三方中控系统，开放的接口使得控制平台可以集成到几乎任何第三方控制系统。</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8、支持视频、音频、图像、文字、Flash、Gif等形式的媒体文件的播放；</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9、支持Word、Excel、PPT的显示；</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 xml:space="preserve">10、支持时钟、计时的显示； </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11、支持外部视频信号（TV、AV、S-Video）的播放；</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 xml:space="preserve">12、支持多页面多分区的节目编辑，提供视频切换功能、分区特效，以及三维特效动画； </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13、支持对LED大屏幕的手工、相机逐点校正，兼容其它专业校正设备采集的校正数据；</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★14、控制软件具有亮度智能调节功能。（投标文件中须提供LED显示屏亮度智能调节控制系统功能证明材料复印件并加盖公章）</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★15、控制软件具有故障监测报警功能。（投标文件中须提供LED显示屏亮度智能调节控制系统功能证明材料复印件并加盖公章）</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★16、控制软件具有色彩智能控制功能。（投标文件中须提供LED显示屏亮度智能调节控制系统功能证明材料复印件并加盖公章）</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套</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4300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4300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38</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2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图像拼接控制器</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1、标准机架式设备，纯硬件FPGA嵌入式架构，单通道开4窗口；HDMI信号无缝输入卡4个；HDMI信号无缝输出卡4个</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2、输入接口：2路HDMI信号输入、</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3、输出接口：2路HDMI信号输出；</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4、控制方式：1路RS232串口，1路RJ45网口；</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★5、支持板卡热插拔，设备运行中能自动识别新插入板卡。（投标文件中须提供公安部安全防范报警系统产品质量监督检验测试中心出具的同时印有CMA、CAL、ilac-MRA、CNAS认证标识的检测报告复印件并加盖公章）</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6、应能通过通信端口和控制软件，手动操作在任意输出端显示多个任意大小的窗口。（投标文件中须提供公安部安全防范报警系统产品质量监督检验测试中心出具的同时印有CMA、CAL、ilac-MRA、CNAS认证标识的检测报告复印件并加盖公章）</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7、单个DUAL-LINK接口支持3840×2160，30fps和4096×2160，24fps信号接入，支持自定义分辨率输入。（投标文件中须提供公安部安全防范报警系统产品质量监督检验测试中心出具的同时印有CMA、CAL、ilac-MRA、CNAS认证标识的检测报告复印件并加盖公章）</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台</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1700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39</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2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屏幕包边装饰</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不锈钢或其它材质，材质和颜色具体按照采购单位要求，与现场环境协调统一。</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8</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500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40</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2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教学视频定制</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根据需求进行脚本创作，对板凳龙相关制作进行拍摄，并通过剪辑包装形成完整影片。</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150</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秒</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887</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133050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41</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2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趣味照片互动系统</w:t>
            </w: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互动设备</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1、尺寸：≥32寸一体机；</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 xml:space="preserve">2、CPU：≥4代I5； </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3、内存：≥8+128G；</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4、前维护支架。</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台</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18000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42</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2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互动内容定制</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fldChar w:fldCharType="begin"/>
            </w:r>
            <w:r>
              <w:rPr>
                <w:rFonts w:hint="eastAsia" w:ascii="宋体" w:hAnsi="宋体" w:eastAsia="宋体" w:cs="宋体"/>
                <w:i w:val="0"/>
                <w:iCs w:val="0"/>
                <w:color w:val="auto"/>
                <w:kern w:val="0"/>
                <w:sz w:val="22"/>
                <w:szCs w:val="22"/>
                <w:highlight w:val="none"/>
                <w:u w:val="none"/>
                <w:shd w:val="clear" w:color="auto" w:fill="auto"/>
                <w:lang w:val="en-US" w:eastAsia="zh-CN" w:bidi="ar"/>
              </w:rPr>
              <w:instrText xml:space="preserve"> HYPERLINK "https://zhida.zhihu.com/search?content_id=185057856&amp;content_type=Article&amp;match_order=1&amp;q=%E7%80%91%E5%B8%83%E6%B5%81&amp;zd_token=eyJhbGciOiJIUzI1NiIsInR5cCI6IkpXVCJ9.eyJpc3MiOiJ6aGlkYV9zZXJ2ZXIiLCJleHAiOjE3MzE3NTgwNjgsInEiOiLngJHluIPmtYEiLCJ6aGlkYV9zb3VyY2UiOiJlbnRpdHkiLCJjb250ZW50X2lkIjoxODUwNTc4NTYsImNvbnRlbnRfdHlwZSI6IkFydGljbGUiLCJtYXRjaF9vcmRlciI6MSwiemRfdG9rZW4iOm51bGx9.7NiHI4aaPSkZhPI70bXMDCRlXBUji7744p6-XTYGtEM&amp;zhida_source=entity" \o "https://zhida.zhihu.com/search?content_id=185057856&amp;content_type=Article&amp;match_order=1&amp;q=%E7%80%91%E5%B8%83%E6%B5%81&amp;zd_token=eyJhbGciOiJIUzI1NiIsInR5cCI6IkpXVCJ9.eyJpc3MiOiJ6aGlkYV9zZXJ2ZXIiLCJleHAiOjE3MzE3NTgwNjgsInEiOiLngJHluIPmtYEiLCJ6aGlkYV9zb3VyY2Ui" </w:instrText>
            </w:r>
            <w:r>
              <w:rPr>
                <w:rFonts w:hint="eastAsia" w:ascii="宋体" w:hAnsi="宋体" w:eastAsia="宋体" w:cs="宋体"/>
                <w:i w:val="0"/>
                <w:iCs w:val="0"/>
                <w:color w:val="auto"/>
                <w:kern w:val="0"/>
                <w:sz w:val="22"/>
                <w:szCs w:val="22"/>
                <w:highlight w:val="none"/>
                <w:u w:val="none"/>
                <w:shd w:val="clear" w:color="auto" w:fill="auto"/>
                <w:lang w:val="en-US" w:eastAsia="zh-CN" w:bidi="ar"/>
              </w:rPr>
              <w:fldChar w:fldCharType="separate"/>
            </w:r>
            <w:r>
              <w:rPr>
                <w:rFonts w:hint="eastAsia" w:ascii="宋体" w:hAnsi="宋体" w:eastAsia="宋体" w:cs="宋体"/>
                <w:i w:val="0"/>
                <w:iCs w:val="0"/>
                <w:color w:val="auto"/>
                <w:kern w:val="0"/>
                <w:sz w:val="22"/>
                <w:szCs w:val="22"/>
                <w:highlight w:val="none"/>
                <w:u w:val="none"/>
                <w:shd w:val="clear" w:color="auto" w:fill="auto"/>
                <w:lang w:val="en-US" w:eastAsia="zh-CN" w:bidi="ar"/>
              </w:rPr>
              <w:t>瀑布流滚动的方式，展示大量数据，对每一张图所展示的内容进行文字等扩展介绍。</w:t>
            </w:r>
            <w:r>
              <w:rPr>
                <w:rFonts w:hint="eastAsia" w:ascii="宋体" w:hAnsi="宋体" w:eastAsia="宋体" w:cs="宋体"/>
                <w:i w:val="0"/>
                <w:iCs w:val="0"/>
                <w:color w:val="auto"/>
                <w:kern w:val="0"/>
                <w:sz w:val="22"/>
                <w:szCs w:val="22"/>
                <w:highlight w:val="none"/>
                <w:u w:val="none"/>
                <w:shd w:val="clear" w:color="auto" w:fill="auto"/>
                <w:lang w:val="en-US" w:eastAsia="zh-CN" w:bidi="ar"/>
              </w:rPr>
              <w:fldChar w:fldCharType="end"/>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套</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12000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43</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2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中控主机</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1、内核≥Cortex-M3，系统主频≥144MHz；</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2、64KB SRAM，256KB Flash；</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3、前面板带≥1个液晶显示屏，支持系统信息显示，显示内容包含设备名称、设备IP地址，设备版本等系统信息，便于故障定位、设备维护；</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4、独立可编程的红外发射接口，支持控制多台相同或不同的红外设备；</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5、可编程RS-232控制接口，用户可编程设置自定义控制协议和代码；</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6、≥2路24V供电RS-485控制接口，用户可编程设置自定义控制协议和代码；</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7、数字输入/输出 IO 接口；</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8、支持≥1路USB、≥1路RS-232、≥1路RJ-45网络控制接口；</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9、支持≥AC220V 供电；</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台</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16000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16000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44</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2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编程调试</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工程师根据现场情况进行定制。</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套</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5800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45</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2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电源管理器</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1、通讯方式：支持RS-485接口、RJ-45接口、IO接口；</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2、地址码：用户自行设定，ID旋转开关选择ID；</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3、支持≥8路继电控制，每路继电器都有三连接点的接线柱,具有常开与常闭的功能；</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4、单路载入容量：AC/220V/40A；</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5、IO控制：内部自带≥8个IO接口，可独立使用；</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6、手动控制：机器正前方有≥8个按键，紧急情况下可手动控制继电器的开关，在中控出现故障时可以使用这一功能，很好的保护其他的设备。</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台</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1500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46</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2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播控软件</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控制电脑端视频播放。</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2</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套</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1600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47</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2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中控平板</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输入设备 平板≥12寸。</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台</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3800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48</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2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继电箱</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1、通讯方式：支持RS-485接口、RJ-45接口、IO接口</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2、地址码：用户自行设定，ID旋转开关选择ID</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3、支持8路继电控制，每路继电器都有三连接点的接线柱,具有常开与常闭的功能</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4、单路载入容量：AC/220V/40A</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5、IO控制：内部自带8个IO接口，可独立使用</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6、手动控制：机器正前方有8个按键，紧急情况下可手动控制继电器的开关，在中控出现故障时可以使用这一功能，很好的保护其他的设备</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套</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2500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49</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2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机柜</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尺寸：≥600*800*42U</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台</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2100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50</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2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企业级路由器</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双核千兆企业VPN路由器 防火墙/VPN/微信连WiFi。</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个</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1800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51</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2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无线AP</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AC1200双频无线吸顶AP 企业级无线覆盖 千兆网口。</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2</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台</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450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52</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2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网线</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6类。</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2</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箱</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750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53</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2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HDMI光纤高清线</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50米/根。</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2</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根</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550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54</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2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JDG管</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ф20管</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80</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米</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8</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55</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2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轨道射灯</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轨道射灯，白光/暖光 功率≥20W</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项</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8500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56</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2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灯带</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硅胶内嵌灯带，白光/暖白120珠，功率≥8W</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25</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米</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28</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57</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2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灯串</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 xml:space="preserve">1、供电方式：DC24v </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2、灯间距≤10cm</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3、LED灯源</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350</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米</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9</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3150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58</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2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背景布</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宽度≥60cm，透光不透明纱幔</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350</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米</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20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59</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2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灯笼</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长度≥35cm，直径≥20cm，图案可根据采购单位要求定制</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80</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个</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18</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1440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60</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2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接电走电布线</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定制。</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项</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3600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61</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2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吸盘</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定制。</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台</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1900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62</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2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配电设备</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1、配电柜输入电压为交流380V±15%，工频≥50HZ，总功率≥20KW。具有过压、过流、过载、欠压、浪涌、短路、断路以及漏电等保护功能；</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2、配电柜含PLC控制模块，具有远程控制功能。可以通过PLC软件实现远程开关屏、远程通讯、电源监视、温度监控、消防监控等操作。</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台</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3800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63</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2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控制电脑</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1、CPU:≥I5-8500；</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2、≥8G内存；</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3、≥1T机械硬盘；</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4、含DVD光驱；</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5、≥2G独显；</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6、千兆网卡；</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7、含≥21寸显示器，USB键鼠。</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台</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4500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64</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2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结构框架</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落地或贴墙安装，钢结构支架；显示屏钢结构制作及安装,含钢结构制作、显示屏安装、铝塑板包边制作安装等，采用Q235B国标材料。</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8</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1835</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14680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65</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2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造型围挡</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木工板或其它材质，采用激光雕刻技术，材质和颜色具体按照设计要求，与现场环境协调统一。</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33</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630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20790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66</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2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学习配套相关定制</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1、桌椅套装材质：橡胶木。</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2、桌子尺寸：≥120×50×70cm</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3、凳子尺寸:≥38×28×40cm</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2</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套</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4500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67</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22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巧克力3D打印机</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1、机器框架：钣金结构；</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2、设备尺寸：≥740mm*720mm*1600mm；</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3、成型尺寸：≥40*40*35mm；</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 xml:space="preserve">4、喷头数量：≥1；                                                     </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5、打印速度：≥15mm/s；</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 xml:space="preserve">6、喷嘴直径：≥0.8mm；                                                                                                                                     </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7、前门结构：全自动封闭；</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8、支持文件格式：STL/OBJ；</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9、控制方式：微信扫码；</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 xml:space="preserve">10、输入电压：≥220V；                       </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 xml:space="preserve">11、功率：≥225W；                                                                                                                                                                                                                                                                                                                                                                                                              </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12、特性：屏幕扫码，直接打印，操作极简；海量模型库，紧跟IP时尚潮流；自由创意DIY，所画即所得；神秘占卜，智慧AI交互；智能云管理平台，数据实时监控；</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2</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台</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25000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68</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22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玩具3D打印机</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1、机器框架：钣金结构；</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2、设备尺寸：≥740*720*1600mm；</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3、成型尺寸：≥40*40*35mm；</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 xml:space="preserve">4、打印机数量：≥2个；                      </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5、打印速度：≥30mm/s；</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 xml:space="preserve">6、喷嘴直径：≥0.5mm；                  </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7、前门结构：全自动封闭；</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8、支持文件格式：STL/OBJ；</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9、控制方式：微信扫码；</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 xml:space="preserve">10、输入电压：≥220V；                       </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 xml:space="preserve">11、功率：≥150W；                                                         </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12、特性：手机扫码，直接打印，操作极简；海量模型库，紧跟IP时尚潮流；智能云管理平台，数据实时监控。</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套</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30000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69</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22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3D打印机辅材费用</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包含巧克力和玩具3D打印机材料。</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20</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包</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4000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70</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无动力乐园配套</w:t>
            </w:r>
          </w:p>
        </w:tc>
        <w:tc>
          <w:tcPr>
            <w:tcW w:w="22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IP网络广播主机</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1、显示屏尺寸：≥14英寸</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2、屏幕颜色：≥TFT262144色真彩色</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3、显示屏：≥高分辨率LED液晶屏(1920*1080)</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4、触摸屏：10点电容触摸屏</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5、工作环境温度：-10℃~50℃</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6、相对湿度：10%～95%，非凝结状态</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7、接口：1×HDMI接口，1×DVI接口，1×VGA接口；2×LAN接口；6×COM接口；8×USB接口；1×MIC IN接口，1×LINE OUT接口，1×LINE IN接口；1×PS/2接口</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8、存储：支持3.5"、2.5"、mSATA硬盘；标配:mSATA 128G</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9、内存：≥8G</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10、网卡：2个Realtek GbE，1000M</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11、网络协议：支持IPV6、IPV4网络协议</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12、CPU：4核 4线程 ≥3.2GHz</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13、电源：输入电压:AC100V-240V</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14、软件操作平台：Windows Server 2008 R2 Standard(x64)，Windows Server 2012 R2 Standard(x64)及以上</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15、尺寸（W×D×H）：≥484×339.5×353.5mm</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台</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18000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71</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22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IP软件</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广播系统管理和控制软件，安装于网络广播控制中心或计算机，是广播系统数据交换、系统运行和功能操作的综合管理平台。</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1</w:t>
            </w:r>
            <w:r>
              <w:rPr>
                <w:rFonts w:hint="eastAsia" w:ascii="宋体" w:hAnsi="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US" w:eastAsia="zh-CN" w:bidi="ar"/>
              </w:rPr>
              <w:t>支持广播、对讲、实时采集、终端监听进行录音。</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2</w:t>
            </w:r>
            <w:r>
              <w:rPr>
                <w:rFonts w:hint="eastAsia" w:ascii="宋体" w:hAnsi="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US" w:eastAsia="zh-CN" w:bidi="ar"/>
              </w:rPr>
              <w:t>支持远程遥控点播功能，实现操场远程遥控点播。</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3</w:t>
            </w:r>
            <w:r>
              <w:rPr>
                <w:rFonts w:hint="eastAsia" w:ascii="宋体" w:hAnsi="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US" w:eastAsia="zh-CN" w:bidi="ar"/>
              </w:rPr>
              <w:t>支持终端音频采播功能，实现听力考试语音文件采播。</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4</w:t>
            </w:r>
            <w:r>
              <w:rPr>
                <w:rFonts w:hint="eastAsia" w:ascii="宋体" w:hAnsi="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US" w:eastAsia="zh-CN" w:bidi="ar"/>
              </w:rPr>
              <w:t>支持本地音频采集功能，播放到任意指定终端。</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5</w:t>
            </w:r>
            <w:r>
              <w:rPr>
                <w:rFonts w:hint="eastAsia" w:ascii="宋体" w:hAnsi="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US" w:eastAsia="zh-CN" w:bidi="ar"/>
              </w:rPr>
              <w:t>支持离线定时打铃功能，实现断网时终端托管执行定时打铃任务；支持定时打铃任务离线下载。</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6</w:t>
            </w:r>
            <w:r>
              <w:rPr>
                <w:rFonts w:hint="eastAsia" w:ascii="宋体" w:hAnsi="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US" w:eastAsia="zh-CN" w:bidi="ar"/>
              </w:rPr>
              <w:t>扩展支持电话广播功能，实现电话发起全区广播、分区广播、终端对讲的功能。</w:t>
            </w:r>
            <w:r>
              <w:rPr>
                <w:rFonts w:hint="eastAsia" w:ascii="宋体" w:hAnsi="宋体" w:eastAsia="宋体" w:cs="宋体"/>
                <w:i w:val="0"/>
                <w:color w:val="auto"/>
                <w:kern w:val="0"/>
                <w:sz w:val="22"/>
                <w:szCs w:val="22"/>
                <w:highlight w:val="none"/>
                <w:u w:val="none"/>
                <w:lang w:val="en-US" w:eastAsia="zh-CN" w:bidi="ar"/>
              </w:rPr>
              <w:br w:type="textWrapping"/>
            </w:r>
            <w:r>
              <w:rPr>
                <w:rFonts w:hint="eastAsia" w:ascii="宋体" w:hAnsi="宋体" w:eastAsia="宋体" w:cs="宋体"/>
                <w:i w:val="0"/>
                <w:color w:val="auto"/>
                <w:kern w:val="0"/>
                <w:sz w:val="22"/>
                <w:szCs w:val="22"/>
                <w:highlight w:val="none"/>
                <w:u w:val="none"/>
                <w:lang w:val="en-US" w:eastAsia="zh-CN" w:bidi="ar"/>
              </w:rPr>
              <w:t>7</w:t>
            </w:r>
            <w:r>
              <w:rPr>
                <w:rFonts w:hint="eastAsia" w:ascii="宋体" w:hAnsi="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US" w:eastAsia="zh-CN" w:bidi="ar"/>
              </w:rPr>
              <w:t>支持文本广播功能，可实现将文本转成语音，支持后台调整语速、设置播放语音功能。</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套</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7500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72</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22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监听音箱</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1、网络接口：标准RJ45输入</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2、传输速率：≥100Mbps</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3、支持协议：TCP/IP，UDP</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4、音频格式：MP3</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5、音频模式：16位CD音质</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6、采样率：8KHz～48KHz</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7、频率响应：80Hz～16KHz   +1/-3dB</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8、谐波失真：≤1%</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9、信噪比：＞65dB</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10、整机功耗：≤50W</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11、保护电路：过载、短路保护电路</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12、工作环境温度：5℃～40℃</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13、工作环境湿度：20%～80%相对湿度，无结露</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 xml:space="preserve">14、工作电源：190V-240V 50Hz-60Hz </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台</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2500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73</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22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电源时序器</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1、额定输出电压：AC~220V50Hz</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2、额定输出电流：≥30A</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3、可控制电源：≥8路</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4、每路动作延时时间：1秒</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5、供电电源：AC，220V 50/60Hz</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6、单路额定输出电源：≥10A</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7、尺寸（LxWxH）：≥484x295x44mm</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技术参数</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1、额定输出电压：AC~220V50Hz</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2、额定输出电流：30A</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3、可控制电源：8路</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4、每路动作延时时间：1秒</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5、供电电源：VAC，220V50/60Hz，30A</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6、单路额定输出电源：10A</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7、尺寸（LxWxH）：≥484x295x44mm</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个</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1500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74</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22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寻呼话筒</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1、网络接口：标准RJ45输入</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2、支持协议：TCP/IP，UDP</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3、网络协议：支持IPv6、IPv4网络协议</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4、音频格式：MP3</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5、采样率：8KHz~48KHz</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6、传输速率：≥100Mbps</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7、音频模式：16位CD音质</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8、显示屏尺寸：≥7英寸</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9、总偕波失真：≤1%</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10、内置喇叭频率响应：317Hz~3.4KHz  +1/-3dB</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11、LIEN OUT频率响应：80Hz~16KHz  +1/-3dB</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12、信噪比：&gt;65dB</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13、工作温度：5℃～40℃</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14、工作湿度：20%～80%相对湿度，无结露</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15、整机功耗：≤6W</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16、尺寸：≥200×160×60 mm</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台</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3500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75</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22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IP网络消防矩阵</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1、网络接口：标准RJ45输入</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2、传输速率：≥100Mbps</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3、支持协议：TCP/IP，UDP</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4、短路输入：≥32路</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5、功耗：≤20W</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6、工作温度：5℃～40℃</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7、工作湿度：20%～80%相对湿度，无结露</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8、电源：190V-240V 50Hz-60Hz</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9、尺寸：≥484×303×88mm</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台</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5000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76</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22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IP功放</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1、网络接口：标准RJ45输入</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2、传输速率：≥100Mbps</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3、支持协议：TCP/IP，UDP</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4、音频格式：MP3</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5、音频模式：16位CD音质</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6、采样率：8kHz～48kHz</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7、USB接口：最大支持16G内存U盘接入</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8、待机功耗：＜10W</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9、频率响应：80Hz～16kHz   +1/-3dB</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10、谐波失真：≤1%</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11、信噪比：＞65dB</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12、输出方式：100V定压输出</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13、短路输入：干接点输入</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14、保护电路：直流输出、过载、过温、短路保护电路</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15、工作环境温度：5℃～40℃</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16、工作环境湿度：20%～80%相对湿度，无结露</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17、输入电源：~220V 50Hz</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18、尺寸：≥484 x 346 x 88mm</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台</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5000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77</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22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草坪音箱</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1、功率(100V)：≥15W</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2、功率(70V)：≥7.5W</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3、频率响应：120Hz-16KHz</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4、灵敏度：≥96dB</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5、喇叭单元：≥5.5″</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6、防护等级：IP66</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7、安装尺寸(mm)：≥300mm</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8、尺寸（mm）：≥255×270×210</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9、材料：有机树脂</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6</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台</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1500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78</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22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数据通讯管线到位</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项</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5000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79</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22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太阳能智慧座椅</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1、太阳能供电：单晶硅太阳能电池；</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2、感应照明：人来灯亮，人走延时灯灭，感应距离≥4米；</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3、广告灯箱：通过均匀分布的免接变压器灯条，让灯箱展现高亮度无暗区、无频闪的高清效果；</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4、USB充电：标准USB接口，防水长寿命，连接手机即可充电；</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5、无线充电：符合WPC的QI标准无线充电感应线圈，内置隔离磁片，无线充电过充保护，内置智能芯片充满自动断电，有效感应距离≥6mm，即放即充；</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6、氛围灯：低压LED柔性灯光；</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7、尺寸：≥1750*500*500mm；</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8、含安装，辅材。</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3</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套</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20000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80</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2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游戏互动投影</w:t>
            </w: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激光投影机</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1、流明≥3500；</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2、分辨率≥1280*800；</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3、激光光源技术；对比度3000000:1；</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4、高校防尘：光源寿命≥20000h；</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5、功耗≥240W，待机功率≤0.5W；</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6、支持直接开关机；</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7、投射比≥0.52。</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台</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45000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45000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81</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2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融合系统</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1、≥4通道融合处理器，支持≥1920*1200，融合处理器自带播放系统，可以多开窗口，支持画中画，支持窗口漫游，可以播放影片和图片；打开窗口数量无限制（视融合主机性能而定），可随时拖拽窗口位置及缩放大小；</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2、自定义融合背景图；视频、图片等多媒体资源管理，自动生成缩略图，支持≥4K极清支持视频格式：avi、rmvb、rm、mkv、wmv、mp4、mpeg、mov支持图片格式：jpg、jpeg、png、bmp；</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3、几何校正：基于B样条曲面技术，对图像进行自由变形处理，适合任意平面、曲面，几何调节控制点可任意加减，可对电子沙盘等复杂地形环境进行精细调节，支持自定义背景图调节；</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4、边缘消隐：融合带Gamma校正处理，多灰阶以及RGB色阶调节，投影机边缘叠加高消隐处理，使投影画面平滑过渡，对色差较大的LCD投影机也能保持色彩一致支持暗场补光；</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可以无线手机或者IPAD控制切换影片播放，支持一路高清采集。</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4</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通道</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3750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82</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2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融合互动服务器</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1、CPU≥Intel-i3处理器；</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2、运存≥8G运存，含独立显卡；</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3、内存硬盘≥500G。</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台</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33000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33000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83</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2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互动感应器</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定制专用交互系统+定制专用捕捉传感器（感应器）。</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个</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7000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84</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资源梳理</w:t>
            </w:r>
          </w:p>
        </w:tc>
        <w:tc>
          <w:tcPr>
            <w:tcW w:w="22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导游导览信息交互模块 ，交互展示内容界面、餐饮美食、酒店民宿、游玩攻略、点位管理、路线规划、语音讲解资源整合</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全景图拍摄、渲染、效果图制作、点位采集、乡村路线AR导航定制、全村手绘地图绘制、渲染、效果图制作。</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套</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240000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240000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85</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向村行</w:t>
            </w:r>
          </w:p>
        </w:tc>
        <w:tc>
          <w:tcPr>
            <w:tcW w:w="22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向村行（服务）</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1、乡村业态整合，采摘、露营、民宿、农家乐、体验、研学、乐园、观景八大类业态展示；</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2、特色村品牌打造景区村、艺术村、文创村、非遗村等特色乡村品牌打造；</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3、主题游线推荐，风光游、亲子游.研学游、特色村等、主题游线推荐；</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4、商家线下指导，对村内民宿、茶叶等产业商家进行一对一照片内容拍摄、商品定价等售卖环节指导。</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5</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年</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20000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86</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票务系统</w:t>
            </w:r>
          </w:p>
        </w:tc>
        <w:tc>
          <w:tcPr>
            <w:tcW w:w="22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无动力乐园、板凳龙体验馆、蔬果采摘票务系统集成</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无动力乐园、板凳龙体验馆、蔬果采摘票务系统集成。</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项</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150000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87</w:t>
            </w:r>
          </w:p>
        </w:tc>
        <w:tc>
          <w:tcPr>
            <w:tcW w:w="122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数字治理</w:t>
            </w:r>
          </w:p>
        </w:tc>
        <w:tc>
          <w:tcPr>
            <w:tcW w:w="133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森林防火及防溺水预警提示</w:t>
            </w:r>
          </w:p>
        </w:tc>
        <w:tc>
          <w:tcPr>
            <w:tcW w:w="22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太阳能森林防火语音播报系统、数据通讯到位等</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1、符合GB/T28181-2016技术要求；</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2、全景球一体式双镜头摄像机，含≥1个广角镜头（全景）及≥一个云台变焦镜头（特写）；</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3、全景镜头不小于1/1.8"星光级CMOS传感器，有效像素≥400万，分辨率支持≥2688*1520，支持最低照度彩色≥0.0001Lux@F1.0，黑白照度≥0.0005Lux@F1.0</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4、云台变焦镜头：不小于1/2.8"CMOS传感器，有效像素≥400万，焦距范围：4.8—120mm,≥25倍光学变焦，支持最低照度彩色≥0.001Lux@F1.5，黑白≥0.0005Lux@F1.5；</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5、支持H.264、MJPEG、H.265视频编码标准；</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6、支持全景相机和特写相机联动跟踪功能，在跟踪模式下，被跟踪目标始终显示在特写相机画面中央；可对设定区域的机动车、二轮车、三轮车、行人进行分类跟踪，可设定持续跟踪时间，可自动变倍。(投标文件中须提供第三方检测机构出具的有效检验报告复印件并加盖公章）</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7、支持通过内置扬声器播放语音，支持智能行为分析触发后联动声音报警和白光灯闪烁报警，可对声音报警次数，报警语音、灯光闪烁频率、时长、周期进行设置；</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8、支持全景相机和特写相机自动或手动标定方式，能进行全景相机画面与特写相机画面中所有坐标数据的关联；</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★9、支持在设定的侦测区域内具有目标移动时可在客户端给出报警提示，可同时支持≥396个区域移动侦测。(投标文件中须提供第三方检测机构出具的有效检验报告复印件并加盖公章）</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10、支持前端分析越过危险区域，通过音柱联动实时喊话告警；</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11、支持≥2路告警输入，≥1路告警输出，≥1路音频输入，≥1路音频输出，≥1个扬声器，≥1个RJ45，≥1路RS485串口；</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12、音柱额定功率：45W，电源输入：190~240V 50-60Hz。</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★13、在同一静止场景、相同 图像参数，摄像机开启U-Code高级模式与普通模式相比，码率节约90%(投标文件中须提供第三方检测机构出具的有效检验报告复印件并加盖公章）</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14、太阳能板：≥30W；</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15、电池：≥10AH；</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16、高音质喇叭：≥20W</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2</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套</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9000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88</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22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太阳能水库安全语音播报系统、数据通讯到位等</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1、符合GB/T28181-2016技术要求；</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2、全景球一体式双镜头摄像机，含≥1个广角镜头（全景）及≥一个云台变焦镜头（特写）；</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3、全景镜头不小于1/1.8"星光级CMOS传感器，有效像素≥400万，分辨率支持≥2688*1520，支持最低照度彩色≥0.0001Lux@F1.0，黑白照度≥0.0005Lux@F1.0</w:t>
            </w:r>
            <w:r>
              <w:rPr>
                <w:rFonts w:hint="eastAsia" w:ascii="宋体" w:hAnsi="宋体" w:cs="宋体"/>
                <w:i w:val="0"/>
                <w:iCs w:val="0"/>
                <w:color w:val="auto"/>
                <w:kern w:val="0"/>
                <w:sz w:val="22"/>
                <w:szCs w:val="22"/>
                <w:highlight w:val="none"/>
                <w:u w:val="none"/>
                <w:shd w:val="clear" w:color="auto" w:fill="auto"/>
                <w:lang w:val="en-US" w:eastAsia="zh-CN" w:bidi="ar"/>
              </w:rPr>
              <w:t>；</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4、云台变焦镜头：不小于1/2.8"CMOS传感器，有效像素≥400万，焦距范围：4.8—120mm,≥25倍光学变焦，支持最低照度彩色≥0.001Lux@F1.5，黑白≥0.0005Lux@F1.5；</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5、支持H.264、MJPEG、H.265视频编码标准；</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6、支持全景相机和特写相机联动跟踪功能，在跟踪模式下，被跟踪目标始终显示在特写相机画面中央；可对设定区域的机动车、二轮车、三轮车、行人进行分类跟踪，可设定持续跟踪时间，可自动变倍。(投标文件中须提供第三方检测机构出具的有效检验报告复印件并加盖公章）</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7、支持通过内置扬声器播放语音，支持智能行为分析触发后联动声音报警和白光灯闪烁报警，可对声音报警次数，报警语音、灯光闪烁频率、时长、周期进行设置；</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8、支持全景相机和特写相机自动或手动标定方式，能进行全景相机画面与特写相机画面中所有坐标数据的关联；</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★9、支持在设定的侦测区域内具有目标移动时可在客户端给出报警提示，可同时支持≥396个区域移动侦测。(投标文件中须提供第三方检测机构出具的有效检验报告复印件并加盖公章）</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10、支持前端分析越过危险区域，通过音柱联动实时喊话告警；</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11、支持≥2路告警输入，≥1路告警输出，≥1路音频输入，≥1路音频输出，≥1个扬声器，≥1个RJ45，≥1路RS485串口；</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12、音柱额定功率：45W，电源输入：190~240V 50-60Hz。</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★13、在同一静止场景、相同 图像参数，摄像机开启U-Code高级模式与普通模式相比，码率节约90%。(投标文件中须提供第三方检测机构出具的有效检验报告复印件并加盖公章）</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14、太阳能板：≥30W；</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15、电池：≥10AH；</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16、高音质喇叭：≥20W；</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10</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套</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9000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89</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高空鹰眼监测系统</w:t>
            </w:r>
          </w:p>
        </w:tc>
        <w:tc>
          <w:tcPr>
            <w:tcW w:w="22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高空鹰眼监测相机</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定制（全景热成像云监控服务）。</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5</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cs="宋体"/>
                <w:i w:val="0"/>
                <w:iCs w:val="0"/>
                <w:color w:val="auto"/>
                <w:kern w:val="0"/>
                <w:sz w:val="22"/>
                <w:szCs w:val="22"/>
                <w:highlight w:val="none"/>
                <w:u w:val="none"/>
                <w:shd w:val="clear" w:color="auto" w:fill="auto"/>
                <w:lang w:val="en-US" w:eastAsia="zh-CN" w:bidi="ar"/>
              </w:rPr>
              <w:t>年</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39000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195000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90</w:t>
            </w:r>
          </w:p>
        </w:tc>
        <w:tc>
          <w:tcPr>
            <w:tcW w:w="122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数字服务</w:t>
            </w:r>
          </w:p>
        </w:tc>
        <w:tc>
          <w:tcPr>
            <w:tcW w:w="133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数字生活馆</w:t>
            </w:r>
          </w:p>
        </w:tc>
        <w:tc>
          <w:tcPr>
            <w:tcW w:w="22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AED急救机</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1、防水防尘 IP55</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2、抗跌落 1.5m</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3、电池性能 待机时间：≥5 年</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4、脉冲电压 ≤1,100V</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5、低电量 低电量报警后最大能量（200J）放电次数：≥15 次</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6、连续使用 连续使用时间：≥16 小时</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7、能量保持 如操作者未按下除颤/放电按键，将在 30 秒后自动进行内部放电</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8、运行温度 -20℃～55℃</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9、存储湿度度 存储温度：-40℃～70℃（已安装电池）相对湿度：≤95%（非凝结状态）</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套</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20000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91</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22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听书机</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1、显示类型：LED背光源</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2、可书写面积：21.5英寸</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3、液晶分辨率：≥1920×1080</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4、输入：100-240VAC,50/60HZ</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5、安装方式：壁挂</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6、外观：镀锌冷轧钢、钢琴烤漆</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7、玻璃：钢化防爆玻璃</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8、听书方式：喇叭发生or按钮切换耳机</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9、Cpu：R3288 内存2G存储16G</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10、系统模块：图书、视频、音频、公告、专题、云资源、期刊</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11、支持PDF、epub、MP4、MP3等资源的展示，公告支持图文、音视频的组合展示</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12、系统支持总分模式，支持上级的资源推送和专题运营</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13、系统支持用户自己运营，并从出版集团资源库挑选适合自己的图书、音频、视频、期刊等资源展示。</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14、系统支持设备的单台管理也支持设备的群组化管理</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15、微信扫码端提供书城、个人书架管理</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16、提供云资源，包含图书、听书、视频</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套</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20000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92</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22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电脑</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1、处理器≥I3-12100；</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2、内存≥16G；</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3、机械硬盘≥2T；</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4、2G独显{双HDMI输出}包含显示器，主机、键鼠。</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套</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8500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93</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22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网传盒</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1、HDMI1.3网线延长器；</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2、材质：铝合金；</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3、分辨率:≥1080P/60Hz；</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4、HDMI线长:≥50米；</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5、电源适配器供电:≥5V/1A( 内正外负）。</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2</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套</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1250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94</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22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转接头（DVI转HDMI）</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DVI转HDMI。</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2</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条</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250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95</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22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辅材（HDMI高清线）</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15米HDMI高清线。</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5</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条</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400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96</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22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监控</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1、采用≥1/3"400万星光级CMOS传感器，镜头焦距：2.8mm、4mm、6mm可选。</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2、支持智能双光、红外补光、白光补光三种补光模式；红外补光距离≥30m，暖光补光距离≥30m。</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3、支持最低照度：彩色≤0.0005lux，黑白≤0.0001lux。投标文件中须提供公安部权威机构检测报告复印件并加盖公章。</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4、具有宽动态自动切换设置功能。在环境亮度变化时，可自动进行关闭／开启切换。投标文件中须提供公安部权威机构检测报告复印件并加盖公章。</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5、支持畸变矫正功能，开启畸变矫正功能后，输出视频图像几何失真应减小。投标文件中须提供公安部权威机构检测报告复印件并加盖公章。</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6、具有自动、关闭、开启透雾设置功能，透雾等级1～9级可设置，当摄像机检测到雾的浓度达到设定的阈值时，可自动在算法透雾和光学透雾之间进行切换。投标文件中须提供公安部权威机构检测报告复印件并加盖公章。</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7、在同一静止场景、相同图像参数，摄像机开启高级模式与普通模式相比，码率节约90％五码流均可开启智能编码功能。投标文件中须提供公安部权威机构检测报告复印件并加盖公章。</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8、具有8行字符显示，字体可设置为32×32像素、48×48像素、64×64像素、72×72像素、96×96、128×128像素等模式；7×16种字体颜色、描边、背景、空心等样式可设置叠加的OSD可以在屏幕中滚动显示可以叠加图片格式的OSD。投标文件中须提供公安部权威机构检测报告复印件并加盖公章。</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9、摄像机可对距离摄像机15m处的声音进行采集，并可通过客户端软件进行播放；具有双向语音对讲和单向语音广播功能。投标文件中须提供公安部权威机构检测报告复印件并加盖公章。</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★10、摄像机支持IPSAN或以ISCSI直存方式进行双路传输数据，存储方式可设置为高端、基础、云存储。</w:t>
            </w:r>
            <w:r>
              <w:rPr>
                <w:rFonts w:hint="eastAsia" w:ascii="宋体" w:hAnsi="宋体" w:cs="宋体"/>
                <w:i w:val="0"/>
                <w:iCs w:val="0"/>
                <w:color w:val="auto"/>
                <w:kern w:val="0"/>
                <w:sz w:val="22"/>
                <w:szCs w:val="22"/>
                <w:highlight w:val="none"/>
                <w:u w:val="none"/>
                <w:shd w:val="clear" w:color="auto" w:fill="auto"/>
                <w:lang w:val="en-US" w:eastAsia="zh-CN" w:bidi="ar"/>
              </w:rPr>
              <w:t>（</w:t>
            </w:r>
            <w:r>
              <w:rPr>
                <w:rFonts w:hint="eastAsia" w:ascii="宋体" w:hAnsi="宋体" w:eastAsia="宋体" w:cs="宋体"/>
                <w:i w:val="0"/>
                <w:iCs w:val="0"/>
                <w:color w:val="auto"/>
                <w:kern w:val="0"/>
                <w:sz w:val="22"/>
                <w:szCs w:val="22"/>
                <w:highlight w:val="none"/>
                <w:u w:val="none"/>
                <w:shd w:val="clear" w:color="auto" w:fill="auto"/>
                <w:lang w:val="en-US" w:eastAsia="zh-CN" w:bidi="ar"/>
              </w:rPr>
              <w:t>投标文件中须提供公安部权威机构检测报告复印件并加盖公章。</w:t>
            </w:r>
            <w:r>
              <w:rPr>
                <w:rFonts w:hint="eastAsia" w:ascii="宋体" w:hAnsi="宋体" w:cs="宋体"/>
                <w:i w:val="0"/>
                <w:iCs w:val="0"/>
                <w:color w:val="auto"/>
                <w:kern w:val="0"/>
                <w:sz w:val="22"/>
                <w:szCs w:val="22"/>
                <w:highlight w:val="none"/>
                <w:u w:val="none"/>
                <w:shd w:val="clear" w:color="auto" w:fill="auto"/>
                <w:lang w:val="en-US" w:eastAsia="zh-CN" w:bidi="ar"/>
              </w:rPr>
              <w:t>）</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★13、通过提取摄像机通信网络数据包方式获得的经过数字随机混淆处理的视频码流无法正常播放。（投标文件中须提供公安部权威机构检测报告复印件并加盖公章。）</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14、将经过摄像机视频内容保护处理的视频转换为普通视频（可被通用播放器正常播放）需要单独授权。</w:t>
            </w:r>
            <w:r>
              <w:rPr>
                <w:rFonts w:hint="eastAsia" w:ascii="宋体" w:hAnsi="宋体" w:cs="宋体"/>
                <w:i w:val="0"/>
                <w:iCs w:val="0"/>
                <w:color w:val="auto"/>
                <w:kern w:val="0"/>
                <w:sz w:val="22"/>
                <w:szCs w:val="22"/>
                <w:highlight w:val="none"/>
                <w:u w:val="none"/>
                <w:shd w:val="clear" w:color="auto" w:fill="auto"/>
                <w:lang w:val="en-US" w:eastAsia="zh-CN" w:bidi="ar"/>
              </w:rPr>
              <w:t>（</w:t>
            </w:r>
            <w:r>
              <w:rPr>
                <w:rFonts w:hint="eastAsia" w:ascii="宋体" w:hAnsi="宋体" w:eastAsia="宋体" w:cs="宋体"/>
                <w:i w:val="0"/>
                <w:iCs w:val="0"/>
                <w:color w:val="auto"/>
                <w:kern w:val="0"/>
                <w:sz w:val="22"/>
                <w:szCs w:val="22"/>
                <w:highlight w:val="none"/>
                <w:u w:val="none"/>
                <w:shd w:val="clear" w:color="auto" w:fill="auto"/>
                <w:lang w:val="en-US" w:eastAsia="zh-CN" w:bidi="ar"/>
              </w:rPr>
              <w:t>投标文件中须提供公安部权威机构检测报告复印件并加盖公章。</w:t>
            </w:r>
            <w:r>
              <w:rPr>
                <w:rFonts w:hint="eastAsia" w:ascii="宋体" w:hAnsi="宋体" w:cs="宋体"/>
                <w:i w:val="0"/>
                <w:iCs w:val="0"/>
                <w:color w:val="auto"/>
                <w:kern w:val="0"/>
                <w:sz w:val="22"/>
                <w:szCs w:val="22"/>
                <w:highlight w:val="none"/>
                <w:u w:val="none"/>
                <w:shd w:val="clear" w:color="auto" w:fill="auto"/>
                <w:lang w:val="en-US" w:eastAsia="zh-CN" w:bidi="ar"/>
              </w:rPr>
              <w:t>）</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15、摄像机可支持内置数字证书，并支持采用数字证书对解码秘钥进行加密。</w:t>
            </w:r>
            <w:r>
              <w:rPr>
                <w:rFonts w:hint="eastAsia" w:ascii="宋体" w:hAnsi="宋体" w:cs="宋体"/>
                <w:i w:val="0"/>
                <w:iCs w:val="0"/>
                <w:color w:val="auto"/>
                <w:kern w:val="0"/>
                <w:sz w:val="22"/>
                <w:szCs w:val="22"/>
                <w:highlight w:val="none"/>
                <w:u w:val="none"/>
                <w:shd w:val="clear" w:color="auto" w:fill="auto"/>
                <w:lang w:val="en-US" w:eastAsia="zh-CN" w:bidi="ar"/>
              </w:rPr>
              <w:t>（</w:t>
            </w:r>
            <w:r>
              <w:rPr>
                <w:rFonts w:hint="eastAsia" w:ascii="宋体" w:hAnsi="宋体" w:eastAsia="宋体" w:cs="宋体"/>
                <w:i w:val="0"/>
                <w:iCs w:val="0"/>
                <w:color w:val="auto"/>
                <w:kern w:val="0"/>
                <w:sz w:val="22"/>
                <w:szCs w:val="22"/>
                <w:highlight w:val="none"/>
                <w:u w:val="none"/>
                <w:shd w:val="clear" w:color="auto" w:fill="auto"/>
                <w:lang w:val="en-US" w:eastAsia="zh-CN" w:bidi="ar"/>
              </w:rPr>
              <w:t>投标文件中须提供公安部权威机构检测报告复印件并加盖公章。</w:t>
            </w:r>
            <w:r>
              <w:rPr>
                <w:rFonts w:hint="eastAsia" w:ascii="宋体" w:hAnsi="宋体" w:cs="宋体"/>
                <w:i w:val="0"/>
                <w:iCs w:val="0"/>
                <w:color w:val="auto"/>
                <w:kern w:val="0"/>
                <w:sz w:val="22"/>
                <w:szCs w:val="22"/>
                <w:highlight w:val="none"/>
                <w:u w:val="none"/>
                <w:shd w:val="clear" w:color="auto" w:fill="auto"/>
                <w:lang w:val="en-US" w:eastAsia="zh-CN" w:bidi="ar"/>
              </w:rPr>
              <w:t>）</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★16、摄像机可通过WEB客户端或客户端软件设置登录密码时，可自动提示所设密码的复杂度，包括高、中、低三种。投标文件中须提供公安部权威机构检测报告复印件并加盖公章。</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22、适用-45～70℃温度环境工作。</w:t>
            </w:r>
            <w:r>
              <w:rPr>
                <w:rFonts w:hint="eastAsia" w:ascii="宋体" w:hAnsi="宋体" w:cs="宋体"/>
                <w:i w:val="0"/>
                <w:iCs w:val="0"/>
                <w:color w:val="auto"/>
                <w:kern w:val="0"/>
                <w:sz w:val="22"/>
                <w:szCs w:val="22"/>
                <w:highlight w:val="none"/>
                <w:u w:val="none"/>
                <w:shd w:val="clear" w:color="auto" w:fill="auto"/>
                <w:lang w:val="en-US" w:eastAsia="zh-CN" w:bidi="ar"/>
              </w:rPr>
              <w:t>（</w:t>
            </w:r>
            <w:r>
              <w:rPr>
                <w:rFonts w:hint="eastAsia" w:ascii="宋体" w:hAnsi="宋体" w:eastAsia="宋体" w:cs="宋体"/>
                <w:i w:val="0"/>
                <w:iCs w:val="0"/>
                <w:color w:val="auto"/>
                <w:kern w:val="0"/>
                <w:sz w:val="22"/>
                <w:szCs w:val="22"/>
                <w:highlight w:val="none"/>
                <w:u w:val="none"/>
                <w:shd w:val="clear" w:color="auto" w:fill="auto"/>
                <w:lang w:val="en-US" w:eastAsia="zh-CN" w:bidi="ar"/>
              </w:rPr>
              <w:t>投标文件中须提供公安部权威机构检测报告复印件并加盖公章。</w:t>
            </w:r>
            <w:r>
              <w:rPr>
                <w:rFonts w:hint="eastAsia" w:ascii="宋体" w:hAnsi="宋体" w:cs="宋体"/>
                <w:i w:val="0"/>
                <w:iCs w:val="0"/>
                <w:color w:val="auto"/>
                <w:kern w:val="0"/>
                <w:sz w:val="22"/>
                <w:szCs w:val="22"/>
                <w:highlight w:val="none"/>
                <w:u w:val="none"/>
                <w:shd w:val="clear" w:color="auto" w:fill="auto"/>
                <w:lang w:val="en-US" w:eastAsia="zh-CN" w:bidi="ar"/>
              </w:rPr>
              <w:t>）</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23、支持IP68防护等级。</w:t>
            </w:r>
            <w:r>
              <w:rPr>
                <w:rFonts w:hint="eastAsia" w:ascii="宋体" w:hAnsi="宋体" w:cs="宋体"/>
                <w:i w:val="0"/>
                <w:iCs w:val="0"/>
                <w:color w:val="auto"/>
                <w:kern w:val="0"/>
                <w:sz w:val="22"/>
                <w:szCs w:val="22"/>
                <w:highlight w:val="none"/>
                <w:u w:val="none"/>
                <w:shd w:val="clear" w:color="auto" w:fill="auto"/>
                <w:lang w:val="en-US" w:eastAsia="zh-CN" w:bidi="ar"/>
              </w:rPr>
              <w:t>（</w:t>
            </w:r>
            <w:r>
              <w:rPr>
                <w:rFonts w:hint="eastAsia" w:ascii="宋体" w:hAnsi="宋体" w:eastAsia="宋体" w:cs="宋体"/>
                <w:i w:val="0"/>
                <w:iCs w:val="0"/>
                <w:color w:val="auto"/>
                <w:kern w:val="0"/>
                <w:sz w:val="22"/>
                <w:szCs w:val="22"/>
                <w:highlight w:val="none"/>
                <w:u w:val="none"/>
                <w:shd w:val="clear" w:color="auto" w:fill="auto"/>
                <w:lang w:val="en-US" w:eastAsia="zh-CN" w:bidi="ar"/>
              </w:rPr>
              <w:t>投标文件中须提供公安部权威机构检测报告复印件并加盖公章。</w:t>
            </w:r>
            <w:r>
              <w:rPr>
                <w:rFonts w:hint="eastAsia" w:ascii="宋体" w:hAnsi="宋体" w:cs="宋体"/>
                <w:i w:val="0"/>
                <w:iCs w:val="0"/>
                <w:color w:val="auto"/>
                <w:kern w:val="0"/>
                <w:sz w:val="22"/>
                <w:szCs w:val="22"/>
                <w:highlight w:val="none"/>
                <w:u w:val="none"/>
                <w:shd w:val="clear" w:color="auto" w:fill="auto"/>
                <w:lang w:val="en-US" w:eastAsia="zh-CN" w:bidi="ar"/>
              </w:rPr>
              <w:t>）</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套</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4000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97</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22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冷藏柜</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1、功率：≥230W；</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2、净容积：≥300L；</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3、机器尺寸：≥500*620*1700mm；</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4、内部尺寸：≥500*450*1300mm；</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5、能效等级：一级能效；</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6、温度范围：0°~10°C；</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7、24H耗电量：≥1KW。</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套</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10000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98</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一老一小配套设施</w:t>
            </w:r>
          </w:p>
        </w:tc>
        <w:tc>
          <w:tcPr>
            <w:tcW w:w="22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智慧棋艺桌</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1、棋桌尺寸：≥91*81*60CM；</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2、屏幕尺寸：≥31寸；</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3、座椅：≥35*30*40CM；</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4、CPU:≥i5;</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5、内存：≥4GB；</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6、硬盘：≥128G固态硬盘；</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7、支持多点红外触控、整机寿命：≥50000小时；</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8、功能模块：包含中国象棋、围棋、五子棋、国际象棋、国际跳棋、军棋、飞行棋、跳棋、蛇棋、黑白棋、扫雷、植物大战僵尸、连连看、斗兽棋、数字华容道、蜘蛛纸牌，支持人人对弈和人机对弈、打谱、残局、复盘（棋谱记忆）等五大功能模块；人机对战还包含了多种难度选择，可根据自己的段位自由选择；</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含安装，辅材。</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套</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47000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47000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99</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22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儿童阅读多功能平板</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1、操作系统：荣耀MagicOS 7.2(基于Android 13)；</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2、屏幕尺寸：≥13英寸；</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3、CPU： ≥高通骁龙888；</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4、摄像头： 前置：≥900万像素，后置：≥1300万像素；</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5、电池：≥10050mAh（典型值）；</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6、充电接口： Type-C接口；</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7、热门电子图书，分类包含励志成长、文学作品、少儿故事、历史军事、人文社科、古典国学、中外名著、推荐图书、教材教辅、人物传记、外语阅读、哲学宗教、经济管理、法律政治、生活百科、党政图书分类；</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8、图书信息完善。包括图书阅读量、下载量、作者、分类；</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9、可对图书进行收藏或者下载阅读并在线全文阅读；</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10、推荐读者喜欢的类型图书目录选读；</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11、护眼模式等多种阅读模式可选。</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2</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台</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9000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100</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室外活动音响</w:t>
            </w:r>
          </w:p>
        </w:tc>
        <w:tc>
          <w:tcPr>
            <w:tcW w:w="22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活动音响</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1、≥21寸显示屏</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2、低音喇叭12寸≥1个</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3、中音喇叭3寸≥1个</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4、高音喇叭≥3个</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5、处理器4核</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6、系统版本安卓</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7、闪存/内存≥1G+8G</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台</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29500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29500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101</w:t>
            </w:r>
          </w:p>
        </w:tc>
        <w:tc>
          <w:tcPr>
            <w:tcW w:w="122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其他</w:t>
            </w:r>
          </w:p>
        </w:tc>
        <w:tc>
          <w:tcPr>
            <w:tcW w:w="133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机房网络模块</w:t>
            </w:r>
          </w:p>
        </w:tc>
        <w:tc>
          <w:tcPr>
            <w:tcW w:w="22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监视器</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1、显示分辨率≥1920x1080；</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2、光源采用E-LED；</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3、亮度：≥250cd/m²；</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4、对比度可支持4000:1；</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5、响应时间≤6.5ms；</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6、刷新率≥60Hz；</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7、色域≥72%NTSC；</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8、尺寸≥27寸。</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台</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1500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102</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22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监视器管理器</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1、CPU≥i5-12400；</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2、内存≥16G ；</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3、固态硬盘≥1TB；</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4、电源：≥300W；</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5、运存：≥16G；</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6、含有线键盘、鼠标。</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台</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7000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103</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22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接入交换机</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1、交换容量336Gbps，包转发率96Mpps；</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2、24个10/100/1000BASE-T 电口，4个SFP端口，1个Console口；</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3、支持端口镜像和流镜像功能、端口聚合；</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4、支持基于端口、MAC、协议的VLAN；</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5、支持静态路由</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6、支持STP/RSTP/MSTP；</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7、支持IP Source Guard特性，防止包括MAC欺骗、IP欺骗、MAC/IP欺骗在内的非法地址仿冒，以及DoS攻击；</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8、支持端口安全特性族，可有效防范基于MAC地址的攻击，实现基于MAC地址允许/限制流量</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9、支持丰富的IPV6业务特性及多种IPv6管理手段</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10、支持CLI命令行，Web网管，TELNET，使设备管理更方便。并且支持SSH2.0等加密方式，使得管理更加安全</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3</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台</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1600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104</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22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核心交换机</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1、以太网交换机(24*GE+4*SFP Plus) ，交换容量1.28Tbps/12.8Tbps，包转发率192Mpps；</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2、支持 SNMPv1/v2/v3，</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3、支持 ERPS 以太环保护协议（G.8032），</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4、支持 IRF2 智能弹性架构，</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5、支持 BGP4，BGP4+ for IPv6，</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6、支持等价路由，策略路由，</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7、支持 iMC 智能管理中心。</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8、支持 CLI 命令行，Web 网管，TELNET，使设备管理更方便，并且支持 SSH2.0等加密方式，本次配置双电源双风扇。</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台</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12000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105</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22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机柜</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1、容量：≥42U；</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2、尺寸：≥600*600*42U；</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3、带pdu电源（10位）。</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台</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3600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106</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22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机柜</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1、容量：≥22U；</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2、尺寸：≥600*600*22U；</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3、带pdu电源（10位）。</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台</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2600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107</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22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硬盘录像机</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1、视频接入路数：≥32</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2、网络输出带宽：≥320Mbps</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3、设备录像可支持录像分辨率：32MP/24MP/12MP/8MP/7MP/6MP/5MP/4MP/3MP/1080p/UXGA/720p/VGA/4CIF/DCIF/2CIF/CIF/QCIF</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4、扩展存储≥1个eSATA接口</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5、网络协议：IPv6, HTTPS, UPnP, SNMP, NTP, SADP, SMTP, PPPoE</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6、网络接口：≥2个，RJ45 可支持10M/100M/1000M自适应以太网口</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7、USB接口：≥2个USB 2.0（前置），≥2个USB 3.0（后置）</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8、支持走廊模式：可设置走廊模式预览，对画面顺时针旋转90度、逆时针旋转90度，支持32/16/9/7/5/4/3分屏预览，（须提供具有CMA、CNAS标识的国家认可的第三方检测机构出具的有效检验报告复印件）</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★9、可接入1T-22T容量的SATA接口硬盘，可接入AI硬盘，可接入加密硬盘，支持不同品牌的监控级和企业级硬盘混合接入</w:t>
            </w:r>
            <w:r>
              <w:rPr>
                <w:rFonts w:hint="eastAsia" w:ascii="宋体" w:hAnsi="宋体" w:cs="宋体"/>
                <w:i w:val="0"/>
                <w:iCs w:val="0"/>
                <w:color w:val="auto"/>
                <w:kern w:val="0"/>
                <w:sz w:val="22"/>
                <w:szCs w:val="22"/>
                <w:highlight w:val="none"/>
                <w:u w:val="none"/>
                <w:shd w:val="clear" w:color="auto" w:fill="auto"/>
                <w:lang w:val="en-US" w:eastAsia="zh-CN" w:bidi="ar"/>
              </w:rPr>
              <w:t>。</w:t>
            </w:r>
            <w:r>
              <w:rPr>
                <w:rFonts w:hint="eastAsia" w:ascii="宋体" w:hAnsi="宋体" w:eastAsia="宋体" w:cs="宋体"/>
                <w:i w:val="0"/>
                <w:iCs w:val="0"/>
                <w:color w:val="auto"/>
                <w:kern w:val="0"/>
                <w:sz w:val="22"/>
                <w:szCs w:val="22"/>
                <w:highlight w:val="none"/>
                <w:u w:val="none"/>
                <w:shd w:val="clear" w:color="auto" w:fill="auto"/>
                <w:lang w:val="en-US" w:eastAsia="zh-CN" w:bidi="ar"/>
              </w:rPr>
              <w:t>（投标文件中须提供具有CMA、CNAS标识的国家认可的第三方检测机构出具的有效检验报告复印件并加盖公章）</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★10、具有磁盘阵列功能，支持RAID0、RAID1、RAID5、RAID6、RAID10、RAID50、RAID60、JOBD模式</w:t>
            </w:r>
            <w:r>
              <w:rPr>
                <w:rFonts w:hint="eastAsia" w:ascii="宋体" w:hAnsi="宋体" w:cs="宋体"/>
                <w:i w:val="0"/>
                <w:iCs w:val="0"/>
                <w:color w:val="auto"/>
                <w:kern w:val="0"/>
                <w:sz w:val="22"/>
                <w:szCs w:val="22"/>
                <w:highlight w:val="none"/>
                <w:u w:val="none"/>
                <w:shd w:val="clear" w:color="auto" w:fill="auto"/>
                <w:lang w:val="en-US" w:eastAsia="zh-CN" w:bidi="ar"/>
              </w:rPr>
              <w:t>。</w:t>
            </w:r>
            <w:r>
              <w:rPr>
                <w:rFonts w:hint="eastAsia" w:ascii="宋体" w:hAnsi="宋体" w:eastAsia="宋体" w:cs="宋体"/>
                <w:i w:val="0"/>
                <w:iCs w:val="0"/>
                <w:color w:val="auto"/>
                <w:kern w:val="0"/>
                <w:sz w:val="22"/>
                <w:szCs w:val="22"/>
                <w:highlight w:val="none"/>
                <w:u w:val="none"/>
                <w:shd w:val="clear" w:color="auto" w:fill="auto"/>
                <w:lang w:val="en-US" w:eastAsia="zh-CN" w:bidi="ar"/>
              </w:rPr>
              <w:t>（投标文件中须提供具有CMA、CNAS标识的国家认可的第三方检测机构出具的有效检验报告复印件并加盖公章）</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★11、支持结构化抓拍库（存储于硬盘中）存储2亿条结构化抓拍图片历史记录</w:t>
            </w:r>
            <w:r>
              <w:rPr>
                <w:rFonts w:hint="eastAsia" w:ascii="宋体" w:hAnsi="宋体" w:cs="宋体"/>
                <w:i w:val="0"/>
                <w:iCs w:val="0"/>
                <w:color w:val="auto"/>
                <w:kern w:val="0"/>
                <w:sz w:val="22"/>
                <w:szCs w:val="22"/>
                <w:highlight w:val="none"/>
                <w:u w:val="none"/>
                <w:shd w:val="clear" w:color="auto" w:fill="auto"/>
                <w:lang w:val="en-US" w:eastAsia="zh-CN" w:bidi="ar"/>
              </w:rPr>
              <w:t>。</w:t>
            </w:r>
            <w:r>
              <w:rPr>
                <w:rFonts w:hint="eastAsia" w:ascii="宋体" w:hAnsi="宋体" w:eastAsia="宋体" w:cs="宋体"/>
                <w:i w:val="0"/>
                <w:iCs w:val="0"/>
                <w:color w:val="auto"/>
                <w:kern w:val="0"/>
                <w:sz w:val="22"/>
                <w:szCs w:val="22"/>
                <w:highlight w:val="none"/>
                <w:u w:val="none"/>
                <w:shd w:val="clear" w:color="auto" w:fill="auto"/>
                <w:lang w:val="en-US" w:eastAsia="zh-CN" w:bidi="ar"/>
              </w:rPr>
              <w:t>（投标文件中须提供具有CMA、CNAS标识的国家认可的第三方检测机构出具的有效检验报告复印件并加盖公章）</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台</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4500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108</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22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监控存储硬盘</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1、内存：≥6TB，"缓存:256MB</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2、转速:5400RPM</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3、接口类型:SATA</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4、尺寸大小:≥3.5英寸</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5、硬盘类型:监控级</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6</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块</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1500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109</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22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平台服务器</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操作系统:Linux</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CPU:Intel高性能处理器</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内存:4GB</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USB:4*USB3.0</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整机功耗:≤40W</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电源:交流电源输入：100～240V AC；50Hz/60Hz</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尺寸（带面板）</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(高×深×宽):≥48mm×345.5mm×440mm/1U</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（面板不可拆卸）</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工作环境温度:—10°C～55°C（推荐温度：0°C～50°C）</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工作环境湿度:10RH%～90RH%（非凝结）</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台</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13000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13000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110</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22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管理平台软件</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1、超强管理：支持对IPC、NVR、智能设备、智能识别门禁、门禁控制器、出入口、云端设备、解码器、网络键盘、门禁主机、报警主机等统一接入管理</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2、超大带宽：支持接入512Mbps、转发384Mbps</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3、强兼容性：支持标准ONVIF、GB/T28181协议、视图库协议、RTSP协议</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4、多种业务：支持实况、回放、轮巡、视图、电视墙、电子地图、语音对讲、语音广播、报警联动等基础功能，还支持周界、人员检测、智能识别、卡口、出入口、门禁、考勤、结5、构化检测、人数统计等智能化功能</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6、灵活访问：支持人机客户端（C/S、B/S）、PC客户端（C/S、B/S）、移动客户端（IOS、Android）</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7、稳定可靠：嵌入式Linux一体机、支持802.1x认证、ARP防攻击、HTTPS安全链接、SSH安全开关；支持网络容错、负载均衡、多IP设定、安全密码、IP地址过滤</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8、运维简洁：支持多元数据融幕，支持查看服务器状态、设备通道在线情况、硬盘情况、在线用户、带宽统计、丢包率统计、日志查询等运维统计功能</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项</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2000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111</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22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安全防护路由</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 xml:space="preserve">高性能业务处理能力 </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 xml:space="preserve">1、采用业界高性能ARM四核CPU，结合H3C公司先进的软硬件技术，提供千兆业务并发处理能力和极佳的网络体验。 </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 xml:space="preserve">2、NAT会话数：≥24万条。 </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 xml:space="preserve">3、建议带机量：≥700。 </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 xml:space="preserve">多WAN负载均衡 </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 xml:space="preserve">4、默认四WAN，部分LAN口可以切换为WAN口，最多可支持2*10 GE+6*GE WAN并发接入。 </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 xml:space="preserve">5、支持多种WAN链路负载分担模式：基于运营商目的地址、基于WAN链路带宽、基于策略路由等。 </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 xml:space="preserve">6、内置运营商地址库，同时提供一键下载官网最新运营商地址库，操作简单方便。 </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 xml:space="preserve">上网行为管控 </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 xml:space="preserve">7、支持抖音、爱奇艺、优酷、京东、淘宝等互联网常见应用的识别和控制。 </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 xml:space="preserve">8、支持HTTP和HTTPS协议URL过滤，网站黑白名单，关键字模糊匹配。 </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 xml:space="preserve">9、支持包过滤的防火墙功能，可以灵活定义流量控制策略。 </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 xml:space="preserve">10、支持基于IP的网络流量限速机制和NAT表项限制机制。 </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 xml:space="preserve">内置AC </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 xml:space="preserve">11、支持内置AC功能，对H3C Mini系列无线AP的统一管理、配置和升级。 </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 xml:space="preserve">12、AP零配置，即插即用。 </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 xml:space="preserve">企业级VPN功能 </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 xml:space="preserve">13、支持IPSec VPN，支持多种加密算法，方便企业通过Internet构建虚拟私有网络。 </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 xml:space="preserve">14、支持硬件VPN加密引擎。 </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 xml:space="preserve">15、支持L2TP VPN，同时支持LNS和LAC模式。 </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 xml:space="preserve">云简网络管理平台  </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 xml:space="preserve">16、配合云简网络管理平台，企业无需自己搭建专业的管理服务器和软件，即可享用专业的网络管理和运维服务，极大降低企业用户网络管理的投资成本，同时提高网络运维管理体验。 </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17、支持通过云简网络管理平台远程登录ERG3 WEB网管，进行业务配置和方便远程诊断。</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台</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10000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112</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网络接入费</w:t>
            </w:r>
          </w:p>
        </w:tc>
        <w:tc>
          <w:tcPr>
            <w:tcW w:w="22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设备点接入专线（20兆三年入网费用）</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20兆定制专线。</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6</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路</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7200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43200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113</w:t>
            </w: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i w:val="0"/>
                <w:iCs w:val="0"/>
                <w:color w:val="auto"/>
                <w:sz w:val="22"/>
                <w:szCs w:val="22"/>
                <w:highlight w:val="none"/>
                <w:u w:val="none"/>
                <w:shd w:val="clear" w:color="auto" w:fill="auto"/>
              </w:rPr>
            </w:pPr>
          </w:p>
        </w:tc>
        <w:tc>
          <w:tcPr>
            <w:tcW w:w="22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机房专线（100兆三年入网费用）</w:t>
            </w:r>
          </w:p>
        </w:tc>
        <w:tc>
          <w:tcPr>
            <w:tcW w:w="4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100兆定制专线。</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路</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color w:val="auto"/>
                <w:kern w:val="0"/>
                <w:sz w:val="22"/>
                <w:szCs w:val="22"/>
                <w:highlight w:val="none"/>
                <w:u w:val="none"/>
                <w:lang w:val="en-US" w:eastAsia="zh-CN" w:bidi="ar"/>
              </w:rPr>
              <w:t>28800</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color w:val="auto"/>
                <w:kern w:val="0"/>
                <w:sz w:val="22"/>
                <w:szCs w:val="22"/>
                <w:highlight w:val="none"/>
                <w:u w:val="none"/>
                <w:lang w:val="en-US" w:eastAsia="zh-CN" w:bidi="ar"/>
              </w:rPr>
              <w:t>28800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0230"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r>
              <w:rPr>
                <w:rFonts w:hint="eastAsia" w:ascii="宋体" w:hAnsi="宋体" w:eastAsia="宋体" w:cs="宋体"/>
                <w:i w:val="0"/>
                <w:iCs w:val="0"/>
                <w:color w:val="auto"/>
                <w:kern w:val="0"/>
                <w:sz w:val="22"/>
                <w:szCs w:val="22"/>
                <w:highlight w:val="none"/>
                <w:u w:val="none"/>
                <w:shd w:val="clear" w:color="auto" w:fill="auto"/>
                <w:lang w:val="en-US" w:eastAsia="zh-CN" w:bidi="ar"/>
              </w:rPr>
              <w:t>合计：</w:t>
            </w: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2"/>
                <w:szCs w:val="22"/>
                <w:highlight w:val="none"/>
                <w:u w:val="none"/>
                <w:shd w:val="clear" w:color="auto" w:fill="auto"/>
                <w:lang w:val="en-US" w:eastAsia="zh-CN" w:bidi="ar"/>
              </w:rPr>
            </w:pP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3050000</w:t>
            </w:r>
          </w:p>
        </w:tc>
      </w:tr>
    </w:tbl>
    <w:p>
      <w:pPr>
        <w:spacing w:line="240" w:lineRule="auto"/>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注：1、本项目为交钥匙工程。以上总金额包设计开发、产品生产供货、运输装卸、安装调试、产品保护、备品备件、税金、培训、保险、验收、售后服务及辅助工作等完成本项目的所有费用。</w:t>
      </w:r>
    </w:p>
    <w:p>
      <w:pPr>
        <w:spacing w:line="240" w:lineRule="auto"/>
        <w:ind w:firstLine="420" w:firstLineChars="20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2、供货时提供产品合格证、原厂质保证明等相关资料。</w:t>
      </w:r>
    </w:p>
    <w:p>
      <w:pPr>
        <w:widowControl/>
        <w:shd w:val="clear"/>
        <w:tabs>
          <w:tab w:val="left" w:pos="425"/>
          <w:tab w:val="left" w:pos="747"/>
        </w:tabs>
        <w:spacing w:line="360" w:lineRule="auto"/>
        <w:ind w:left="0" w:leftChars="0" w:firstLine="0" w:firstLineChars="0"/>
        <w:jc w:val="left"/>
        <w:rPr>
          <w:rFonts w:hint="eastAsia" w:ascii="宋体" w:hAnsi="宋体" w:eastAsia="宋体" w:cs="宋体"/>
          <w:b/>
          <w:color w:val="auto"/>
          <w:sz w:val="28"/>
          <w:szCs w:val="28"/>
          <w:highlight w:val="none"/>
        </w:rPr>
        <w:sectPr>
          <w:headerReference r:id="rId6" w:type="first"/>
          <w:footerReference r:id="rId8" w:type="first"/>
          <w:headerReference r:id="rId5" w:type="default"/>
          <w:footerReference r:id="rId7" w:type="default"/>
          <w:pgSz w:w="16838" w:h="11905" w:orient="landscape"/>
          <w:pgMar w:top="1814" w:right="1474" w:bottom="1814" w:left="1474" w:header="851" w:footer="850" w:gutter="0"/>
          <w:cols w:space="0" w:num="1"/>
          <w:rtlGutter w:val="0"/>
          <w:docGrid w:linePitch="312" w:charSpace="0"/>
        </w:sectPr>
      </w:pPr>
    </w:p>
    <w:p>
      <w:pPr>
        <w:pStyle w:val="83"/>
        <w:rPr>
          <w:rFonts w:hint="eastAsia"/>
          <w:color w:val="auto"/>
          <w:highlight w:val="none"/>
        </w:rPr>
      </w:pPr>
    </w:p>
    <w:p>
      <w:pPr>
        <w:numPr>
          <w:ilvl w:val="0"/>
          <w:numId w:val="0"/>
        </w:numPr>
        <w:snapToGrid w:val="0"/>
        <w:spacing w:line="360" w:lineRule="auto"/>
        <w:rPr>
          <w:rFonts w:hint="eastAsia"/>
          <w:color w:val="auto"/>
          <w:sz w:val="24"/>
          <w:szCs w:val="24"/>
          <w:highlight w:val="none"/>
          <w:lang w:eastAsia="zh-CN"/>
        </w:rPr>
      </w:pPr>
      <w:r>
        <w:rPr>
          <w:rFonts w:hint="eastAsia"/>
          <w:color w:val="auto"/>
          <w:sz w:val="24"/>
          <w:szCs w:val="24"/>
          <w:highlight w:val="none"/>
          <w:lang w:eastAsia="zh-CN"/>
        </w:rPr>
        <w:t>（二）其他要求</w:t>
      </w:r>
    </w:p>
    <w:p>
      <w:pPr>
        <w:numPr>
          <w:ilvl w:val="0"/>
          <w:numId w:val="0"/>
        </w:numPr>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eastAsia="zh-CN"/>
        </w:rPr>
        <w:t>中标人</w:t>
      </w:r>
      <w:r>
        <w:rPr>
          <w:rFonts w:hint="eastAsia" w:ascii="宋体" w:hAnsi="宋体" w:eastAsia="宋体" w:cs="宋体"/>
          <w:color w:val="auto"/>
          <w:sz w:val="24"/>
          <w:szCs w:val="24"/>
          <w:highlight w:val="none"/>
          <w:lang w:eastAsia="zh-CN"/>
        </w:rPr>
        <w:t>应组建能够满足本项目需要的项目组，按照工作范围和内容完成工作，并及时向采购单位汇报工作进展。其中项目负责人1人，具有</w:t>
      </w:r>
      <w:r>
        <w:rPr>
          <w:rFonts w:hint="eastAsia" w:ascii="宋体" w:hAnsi="宋体" w:cs="宋体"/>
          <w:color w:val="auto"/>
          <w:sz w:val="24"/>
          <w:szCs w:val="24"/>
          <w:highlight w:val="none"/>
          <w:lang w:eastAsia="zh-CN"/>
        </w:rPr>
        <w:t>有效的高级工程师（信息技术）证书、注册信息安全管理人员(CIS0)证书、系统集成项目管理工程师、PMP证书</w:t>
      </w:r>
      <w:r>
        <w:rPr>
          <w:rFonts w:hint="eastAsia" w:ascii="宋体" w:hAnsi="宋体" w:eastAsia="宋体" w:cs="宋体"/>
          <w:color w:val="auto"/>
          <w:sz w:val="24"/>
          <w:szCs w:val="24"/>
          <w:highlight w:val="none"/>
          <w:lang w:val="zh-CN" w:eastAsia="zh-CN"/>
        </w:rPr>
        <w:t>；技术负责人</w:t>
      </w:r>
      <w:r>
        <w:rPr>
          <w:rFonts w:hint="eastAsia" w:ascii="宋体" w:hAnsi="宋体" w:eastAsia="宋体" w:cs="宋体"/>
          <w:color w:val="auto"/>
          <w:sz w:val="24"/>
          <w:szCs w:val="24"/>
          <w:highlight w:val="none"/>
          <w:lang w:val="en-US" w:eastAsia="zh-CN"/>
        </w:rPr>
        <w:t>1人，具有有效的注册信息安全工程师（CISE）、信息系统项目管理师证书（高级）、信息安全保障人员认证证书、PMP证书</w:t>
      </w:r>
      <w:r>
        <w:rPr>
          <w:rFonts w:hint="eastAsia" w:ascii="宋体" w:hAnsi="宋体" w:cs="宋体"/>
          <w:color w:val="auto"/>
          <w:sz w:val="24"/>
          <w:szCs w:val="24"/>
          <w:highlight w:val="none"/>
          <w:lang w:val="en-US" w:eastAsia="zh-CN"/>
        </w:rPr>
        <w:t>；项目组成员(除项目负责人、技术负责人外)具有有效的中级及以上职称证书</w:t>
      </w:r>
      <w:r>
        <w:rPr>
          <w:rFonts w:hint="eastAsia" w:ascii="宋体" w:hAnsi="宋体" w:eastAsia="宋体" w:cs="宋体"/>
          <w:color w:val="auto"/>
          <w:sz w:val="24"/>
          <w:szCs w:val="24"/>
          <w:highlight w:val="none"/>
          <w:lang w:eastAsia="zh-CN"/>
        </w:rPr>
        <w:t>。</w:t>
      </w:r>
    </w:p>
    <w:p>
      <w:pPr>
        <w:numPr>
          <w:ilvl w:val="0"/>
          <w:numId w:val="0"/>
        </w:numPr>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、投标人提供的投标产品须相当于或优于采购需求技术参数要求。</w:t>
      </w:r>
    </w:p>
    <w:p>
      <w:pPr>
        <w:numPr>
          <w:ilvl w:val="0"/>
          <w:numId w:val="0"/>
        </w:numPr>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、如果</w:t>
      </w:r>
      <w:r>
        <w:rPr>
          <w:rFonts w:hint="eastAsia" w:ascii="宋体" w:hAnsi="宋体" w:cs="宋体"/>
          <w:color w:val="auto"/>
          <w:sz w:val="24"/>
          <w:szCs w:val="24"/>
          <w:highlight w:val="none"/>
          <w:lang w:eastAsia="zh-CN"/>
        </w:rPr>
        <w:t>中标人</w:t>
      </w:r>
      <w:r>
        <w:rPr>
          <w:rFonts w:hint="eastAsia" w:ascii="宋体" w:hAnsi="宋体" w:eastAsia="宋体" w:cs="宋体"/>
          <w:color w:val="auto"/>
          <w:sz w:val="24"/>
          <w:szCs w:val="24"/>
          <w:highlight w:val="none"/>
          <w:lang w:eastAsia="zh-CN"/>
        </w:rPr>
        <w:t>提供的设备（系统）与投标时提供的情况不符，均由</w:t>
      </w:r>
      <w:r>
        <w:rPr>
          <w:rFonts w:hint="eastAsia" w:ascii="宋体" w:hAnsi="宋体" w:cs="宋体"/>
          <w:color w:val="auto"/>
          <w:sz w:val="24"/>
          <w:szCs w:val="24"/>
          <w:highlight w:val="none"/>
          <w:lang w:eastAsia="zh-CN"/>
        </w:rPr>
        <w:t>中标人</w:t>
      </w:r>
      <w:r>
        <w:rPr>
          <w:rFonts w:hint="eastAsia" w:ascii="宋体" w:hAnsi="宋体" w:eastAsia="宋体" w:cs="宋体"/>
          <w:color w:val="auto"/>
          <w:sz w:val="24"/>
          <w:szCs w:val="24"/>
          <w:highlight w:val="none"/>
          <w:lang w:eastAsia="zh-CN"/>
        </w:rPr>
        <w:t>负责整改，但不得损坏主体结构，所有费用含在投标总价中而不做调整。</w:t>
      </w:r>
    </w:p>
    <w:p>
      <w:pPr>
        <w:numPr>
          <w:ilvl w:val="0"/>
          <w:numId w:val="0"/>
        </w:numPr>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中标人</w:t>
      </w:r>
      <w:r>
        <w:rPr>
          <w:rFonts w:hint="eastAsia" w:ascii="宋体" w:hAnsi="宋体" w:eastAsia="宋体" w:cs="宋体"/>
          <w:color w:val="auto"/>
          <w:sz w:val="24"/>
          <w:szCs w:val="24"/>
          <w:highlight w:val="none"/>
          <w:lang w:eastAsia="zh-CN"/>
        </w:rPr>
        <w:t>需接受采购单位的管理，自行承担安全文明规范施工的责任，严格按安全标准组织安装，采取必要的安全防护措施，对安装、调试等负责，直至拿到竣工验收报告，其验收费用包括在投标总价中。</w:t>
      </w:r>
    </w:p>
    <w:p>
      <w:pPr>
        <w:numPr>
          <w:ilvl w:val="0"/>
          <w:numId w:val="0"/>
        </w:numPr>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中标人</w:t>
      </w:r>
      <w:r>
        <w:rPr>
          <w:rFonts w:hint="eastAsia" w:ascii="宋体" w:hAnsi="宋体" w:eastAsia="宋体" w:cs="宋体"/>
          <w:color w:val="auto"/>
          <w:sz w:val="24"/>
          <w:szCs w:val="24"/>
          <w:highlight w:val="none"/>
          <w:lang w:eastAsia="zh-CN"/>
        </w:rPr>
        <w:t>须遵守安全生产有关管理规定，严格按安全标准组织安装，采取必要的安全防护措施，消除事故隐患。由于</w:t>
      </w:r>
      <w:r>
        <w:rPr>
          <w:rFonts w:hint="eastAsia" w:ascii="宋体" w:hAnsi="宋体" w:cs="宋体"/>
          <w:color w:val="auto"/>
          <w:sz w:val="24"/>
          <w:szCs w:val="24"/>
          <w:highlight w:val="none"/>
          <w:lang w:eastAsia="zh-CN"/>
        </w:rPr>
        <w:t>中标人</w:t>
      </w:r>
      <w:r>
        <w:rPr>
          <w:rFonts w:hint="eastAsia" w:ascii="宋体" w:hAnsi="宋体" w:eastAsia="宋体" w:cs="宋体"/>
          <w:color w:val="auto"/>
          <w:sz w:val="24"/>
          <w:szCs w:val="24"/>
          <w:highlight w:val="none"/>
          <w:lang w:eastAsia="zh-CN"/>
        </w:rPr>
        <w:t>造成的安全事故，其责任和因此发生的一切费用，由</w:t>
      </w:r>
      <w:r>
        <w:rPr>
          <w:rFonts w:hint="eastAsia" w:ascii="宋体" w:hAnsi="宋体" w:cs="宋体"/>
          <w:color w:val="auto"/>
          <w:sz w:val="24"/>
          <w:szCs w:val="24"/>
          <w:highlight w:val="none"/>
          <w:lang w:eastAsia="zh-CN"/>
        </w:rPr>
        <w:t>中标人</w:t>
      </w:r>
      <w:r>
        <w:rPr>
          <w:rFonts w:hint="eastAsia" w:ascii="宋体" w:hAnsi="宋体" w:eastAsia="宋体" w:cs="宋体"/>
          <w:color w:val="auto"/>
          <w:sz w:val="24"/>
          <w:szCs w:val="24"/>
          <w:highlight w:val="none"/>
          <w:lang w:eastAsia="zh-CN"/>
        </w:rPr>
        <w:t>承担。</w:t>
      </w:r>
    </w:p>
    <w:p>
      <w:pPr>
        <w:numPr>
          <w:ilvl w:val="0"/>
          <w:numId w:val="0"/>
        </w:numPr>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、在安装过程中，如建筑结构或其它设备被损坏，</w:t>
      </w:r>
      <w:r>
        <w:rPr>
          <w:rFonts w:hint="eastAsia" w:ascii="宋体" w:hAnsi="宋体" w:cs="宋体"/>
          <w:color w:val="auto"/>
          <w:sz w:val="24"/>
          <w:szCs w:val="24"/>
          <w:highlight w:val="none"/>
          <w:lang w:eastAsia="zh-CN"/>
        </w:rPr>
        <w:t>中标人</w:t>
      </w:r>
      <w:r>
        <w:rPr>
          <w:rFonts w:hint="eastAsia" w:ascii="宋体" w:hAnsi="宋体" w:eastAsia="宋体" w:cs="宋体"/>
          <w:color w:val="auto"/>
          <w:sz w:val="24"/>
          <w:szCs w:val="24"/>
          <w:highlight w:val="none"/>
          <w:lang w:eastAsia="zh-CN"/>
        </w:rPr>
        <w:t>将要负责修理或赔偿损失。</w:t>
      </w:r>
    </w:p>
    <w:p>
      <w:pPr>
        <w:widowControl/>
        <w:shd w:val="clear"/>
        <w:tabs>
          <w:tab w:val="left" w:pos="425"/>
          <w:tab w:val="left" w:pos="747"/>
        </w:tabs>
        <w:spacing w:line="360" w:lineRule="auto"/>
        <w:ind w:left="0" w:leftChars="0"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、安装施工用电用水装表计量，由</w:t>
      </w:r>
      <w:r>
        <w:rPr>
          <w:rFonts w:hint="eastAsia" w:ascii="宋体" w:hAnsi="宋体" w:cs="宋体"/>
          <w:color w:val="auto"/>
          <w:sz w:val="24"/>
          <w:szCs w:val="24"/>
          <w:highlight w:val="none"/>
          <w:lang w:eastAsia="zh-CN"/>
        </w:rPr>
        <w:t>中标人</w:t>
      </w:r>
      <w:r>
        <w:rPr>
          <w:rFonts w:hint="eastAsia" w:ascii="宋体" w:hAnsi="宋体" w:eastAsia="宋体" w:cs="宋体"/>
          <w:color w:val="auto"/>
          <w:sz w:val="24"/>
          <w:szCs w:val="24"/>
          <w:highlight w:val="none"/>
          <w:lang w:eastAsia="zh-CN"/>
        </w:rPr>
        <w:t>与采购单位按实结算。</w:t>
      </w:r>
    </w:p>
    <w:p>
      <w:pPr>
        <w:widowControl/>
        <w:shd w:val="clear"/>
        <w:tabs>
          <w:tab w:val="left" w:pos="425"/>
          <w:tab w:val="left" w:pos="747"/>
        </w:tabs>
        <w:spacing w:line="360" w:lineRule="auto"/>
        <w:ind w:left="0" w:leftChars="0" w:firstLine="0" w:firstLineChars="0"/>
        <w:jc w:val="left"/>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&lt;</w:t>
      </w:r>
      <w:r>
        <w:rPr>
          <w:rFonts w:hint="eastAsia" w:ascii="宋体" w:hAnsi="宋体" w:eastAsia="宋体" w:cs="宋体"/>
          <w:b/>
          <w:color w:val="auto"/>
          <w:sz w:val="28"/>
          <w:szCs w:val="28"/>
          <w:highlight w:val="none"/>
          <w:lang w:val="en-US" w:eastAsia="zh-CN"/>
        </w:rPr>
        <w:t>三</w:t>
      </w:r>
      <w:r>
        <w:rPr>
          <w:rFonts w:hint="eastAsia" w:ascii="宋体" w:hAnsi="宋体" w:eastAsia="宋体" w:cs="宋体"/>
          <w:b/>
          <w:color w:val="auto"/>
          <w:sz w:val="28"/>
          <w:szCs w:val="28"/>
          <w:highlight w:val="none"/>
        </w:rPr>
        <w:t>&gt;</w:t>
      </w:r>
      <w:r>
        <w:rPr>
          <w:rFonts w:hint="eastAsia" w:ascii="宋体" w:hAnsi="宋体" w:eastAsia="宋体" w:cs="宋体"/>
          <w:b/>
          <w:color w:val="auto"/>
          <w:sz w:val="28"/>
          <w:szCs w:val="28"/>
          <w:highlight w:val="none"/>
          <w:lang w:val="en-US" w:eastAsia="zh-CN"/>
        </w:rPr>
        <w:t>商务条款</w:t>
      </w:r>
    </w:p>
    <w:p>
      <w:pPr>
        <w:autoSpaceDE w:val="0"/>
        <w:autoSpaceDN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1、采购的总体要求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1）必须符合招标文件(包括补充更正，如有)的技术要求和配置；必须是国内相应制造厂商生产并提供的原装合格产品；必须是202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7月1日</w:t>
      </w:r>
      <w:r>
        <w:rPr>
          <w:rFonts w:hint="eastAsia" w:ascii="宋体" w:hAnsi="宋体" w:eastAsia="宋体" w:cs="宋体"/>
          <w:color w:val="auto"/>
          <w:sz w:val="24"/>
          <w:highlight w:val="none"/>
        </w:rPr>
        <w:t>以后生产的、符合国家质量技术标准的设备。</w:t>
      </w:r>
    </w:p>
    <w:p>
      <w:pPr>
        <w:autoSpaceDE w:val="0"/>
        <w:autoSpaceDN w:val="0"/>
        <w:snapToGrid w:val="0"/>
        <w:spacing w:line="360" w:lineRule="auto"/>
        <w:ind w:right="-178" w:rightChars="-85"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2）售后服务按国家市场监督管理总局和国家其他有关规定执行，国家没有规定的按厂商规定执行。国家规定标准低于厂商标准的按厂商标准执行，但最低免费原厂质保服务期不得少于</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年。</w:t>
      </w:r>
    </w:p>
    <w:p>
      <w:pPr>
        <w:shd w:val="clear" w:color="auto" w:fill="auto"/>
        <w:autoSpaceDE w:val="0"/>
        <w:autoSpaceDN w:val="0"/>
        <w:adjustRightInd w:val="0"/>
        <w:snapToGrid w:val="0"/>
        <w:spacing w:line="360" w:lineRule="auto"/>
        <w:ind w:right="-178" w:rightChars="-85" w:firstLine="482" w:firstLineChars="200"/>
        <w:textAlignment w:val="bottom"/>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付款方式</w:t>
      </w:r>
    </w:p>
    <w:p>
      <w:pPr>
        <w:autoSpaceDE w:val="0"/>
        <w:autoSpaceDN w:val="0"/>
        <w:snapToGrid w:val="0"/>
        <w:spacing w:line="360" w:lineRule="auto"/>
        <w:ind w:firstLine="480" w:firstLineChars="200"/>
        <w:textAlignment w:val="bottom"/>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 按财务结算要求，通过银行划帐方式结算。</w:t>
      </w:r>
    </w:p>
    <w:p>
      <w:pPr>
        <w:autoSpaceDE w:val="0"/>
        <w:autoSpaceDN w:val="0"/>
        <w:snapToGrid w:val="0"/>
        <w:spacing w:line="360" w:lineRule="auto"/>
        <w:ind w:firstLine="482" w:firstLineChars="200"/>
        <w:textAlignment w:val="bottom"/>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3</w:t>
      </w:r>
      <w:r>
        <w:rPr>
          <w:rFonts w:hint="eastAsia" w:ascii="宋体" w:hAnsi="宋体" w:eastAsia="宋体" w:cs="宋体"/>
          <w:b/>
          <w:color w:val="auto"/>
          <w:sz w:val="24"/>
          <w:highlight w:val="none"/>
        </w:rPr>
        <w:t>、售后服务</w:t>
      </w:r>
    </w:p>
    <w:p>
      <w:pPr>
        <w:autoSpaceDE w:val="0"/>
        <w:autoSpaceDN w:val="0"/>
        <w:snapToGrid w:val="0"/>
        <w:spacing w:line="360" w:lineRule="auto"/>
        <w:ind w:right="-178" w:rightChars="-85"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本项目提供≥3年的质保期（若设备原厂商提供更长质保期，则按最长的质保期执行），质保期从验收合格交付使用之日起算；质保期内因不能排除的故障而影响工作的情况每发生一次，其质保期相应延长60天，质保期内因设备本身缺陷造成各种故障应由中标供应商免费技术服务和维修</w:t>
      </w:r>
      <w:r>
        <w:rPr>
          <w:rFonts w:hint="eastAsia" w:ascii="宋体" w:hAnsi="宋体" w:eastAsia="宋体" w:cs="宋体"/>
          <w:color w:val="auto"/>
          <w:sz w:val="24"/>
          <w:highlight w:val="none"/>
        </w:rPr>
        <w:t>。</w:t>
      </w:r>
    </w:p>
    <w:p>
      <w:pPr>
        <w:autoSpaceDE w:val="0"/>
        <w:autoSpaceDN w:val="0"/>
        <w:snapToGrid w:val="0"/>
        <w:spacing w:line="360" w:lineRule="auto"/>
        <w:ind w:right="-178" w:rightChars="-85" w:firstLine="480" w:firstLineChars="200"/>
        <w:textAlignment w:val="bottom"/>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）在设备（或系统）整个使用期内，中标供应商应确保正常使用，在接到</w:t>
      </w:r>
      <w:r>
        <w:rPr>
          <w:rFonts w:hint="eastAsia" w:ascii="宋体" w:hAnsi="宋体" w:cs="宋体"/>
          <w:color w:val="auto"/>
          <w:sz w:val="24"/>
          <w:highlight w:val="none"/>
          <w:lang w:eastAsia="zh-CN"/>
        </w:rPr>
        <w:t>采购单位</w:t>
      </w:r>
      <w:r>
        <w:rPr>
          <w:rFonts w:hint="eastAsia" w:ascii="宋体" w:hAnsi="宋体" w:eastAsia="宋体" w:cs="宋体"/>
          <w:color w:val="auto"/>
          <w:sz w:val="24"/>
          <w:highlight w:val="none"/>
          <w:lang w:eastAsia="zh-CN"/>
        </w:rPr>
        <w:t>维修要求后在</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eastAsia="zh-CN"/>
        </w:rPr>
        <w:t>小时内响应并提出解决方案，</w:t>
      </w: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lang w:eastAsia="zh-CN"/>
        </w:rPr>
        <w:t>小时内到达现场对故障进行处理，维修过程中所需材料中标供应商在接到通知后应及时提供，最长不超过48小时必须送达。若48小时内无法修复的，应及时提供相应备用设备并负责安装调试，为此，供应商应提供相应承诺书</w:t>
      </w:r>
      <w:r>
        <w:rPr>
          <w:rFonts w:hint="eastAsia" w:ascii="宋体" w:hAnsi="宋体" w:eastAsia="宋体" w:cs="宋体"/>
          <w:color w:val="auto"/>
          <w:sz w:val="24"/>
          <w:highlight w:val="none"/>
          <w:lang w:val="en-US" w:eastAsia="zh-CN"/>
        </w:rPr>
        <w:t>。</w:t>
      </w:r>
    </w:p>
    <w:p>
      <w:pPr>
        <w:autoSpaceDE w:val="0"/>
        <w:autoSpaceDN w:val="0"/>
        <w:snapToGrid w:val="0"/>
        <w:spacing w:line="360" w:lineRule="auto"/>
        <w:ind w:right="-178" w:rightChars="-85" w:firstLine="480" w:firstLineChars="200"/>
        <w:textAlignment w:val="bottom"/>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）在质保期内，中标供应商应负责对其提供的设备进行现场维修、损坏件更换，不收取额外费用，响应时间必须满足采购人工作正常运行的要求</w:t>
      </w:r>
      <w:r>
        <w:rPr>
          <w:rFonts w:hint="eastAsia" w:ascii="宋体" w:hAnsi="宋体" w:eastAsia="宋体" w:cs="宋体"/>
          <w:color w:val="auto"/>
          <w:sz w:val="24"/>
          <w:highlight w:val="none"/>
          <w:lang w:val="en-US" w:eastAsia="zh-CN"/>
        </w:rPr>
        <w:t>。</w:t>
      </w:r>
    </w:p>
    <w:p>
      <w:pPr>
        <w:autoSpaceDE w:val="0"/>
        <w:autoSpaceDN w:val="0"/>
        <w:snapToGrid w:val="0"/>
        <w:spacing w:line="360" w:lineRule="auto"/>
        <w:ind w:right="-178" w:rightChars="-85" w:firstLine="480" w:firstLineChars="200"/>
        <w:textAlignment w:val="bottom"/>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供应商在投标文件中须说明保修期内提供的服务计划。</w:t>
      </w:r>
    </w:p>
    <w:p>
      <w:pPr>
        <w:autoSpaceDE w:val="0"/>
        <w:autoSpaceDN w:val="0"/>
        <w:snapToGrid w:val="0"/>
        <w:spacing w:line="360" w:lineRule="auto"/>
        <w:ind w:right="-178" w:rightChars="-85" w:firstLine="482" w:firstLineChars="200"/>
        <w:textAlignment w:val="bottom"/>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4</w:t>
      </w:r>
      <w:r>
        <w:rPr>
          <w:rFonts w:hint="eastAsia" w:ascii="宋体" w:hAnsi="宋体" w:cs="宋体"/>
          <w:b/>
          <w:bCs/>
          <w:color w:val="auto"/>
          <w:sz w:val="24"/>
          <w:highlight w:val="none"/>
          <w:lang w:val="en-US" w:eastAsia="zh-CN"/>
        </w:rPr>
        <w:t>、</w:t>
      </w:r>
      <w:r>
        <w:rPr>
          <w:rFonts w:hint="eastAsia" w:ascii="宋体" w:hAnsi="宋体" w:eastAsia="宋体" w:cs="宋体"/>
          <w:b/>
          <w:bCs/>
          <w:color w:val="auto"/>
          <w:sz w:val="24"/>
          <w:highlight w:val="none"/>
          <w:lang w:val="en-US" w:eastAsia="zh-CN"/>
        </w:rPr>
        <w:t>培训</w:t>
      </w:r>
    </w:p>
    <w:p>
      <w:pPr>
        <w:autoSpaceDE w:val="0"/>
        <w:autoSpaceDN w:val="0"/>
        <w:snapToGrid w:val="0"/>
        <w:spacing w:line="360" w:lineRule="auto"/>
        <w:ind w:right="-178" w:rightChars="-85" w:firstLine="480" w:firstLineChars="200"/>
        <w:textAlignment w:val="bottom"/>
        <w:rPr>
          <w:rFonts w:hint="eastAsia"/>
          <w:color w:val="auto"/>
          <w:highlight w:val="none"/>
        </w:rPr>
      </w:pPr>
      <w:r>
        <w:rPr>
          <w:rFonts w:hint="eastAsia" w:ascii="宋体" w:hAnsi="宋体" w:eastAsia="宋体" w:cs="宋体"/>
          <w:color w:val="auto"/>
          <w:sz w:val="24"/>
          <w:highlight w:val="none"/>
          <w:lang w:val="en-US" w:eastAsia="zh-CN"/>
        </w:rPr>
        <w:t>投标单位应提供相应的培训计划，详细说明培训的方式、地点、人数、时间等实质性内容。</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5</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完成时间</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交付期限：合同签订生效之日</w:t>
      </w:r>
      <w:r>
        <w:rPr>
          <w:rFonts w:hint="eastAsia" w:ascii="宋体" w:hAnsi="宋体" w:eastAsia="宋体" w:cs="宋体"/>
          <w:color w:val="auto"/>
          <w:sz w:val="24"/>
          <w:highlight w:val="none"/>
          <w:lang w:eastAsia="zh-CN"/>
        </w:rPr>
        <w:t>起，必须在</w:t>
      </w:r>
      <w:r>
        <w:rPr>
          <w:rFonts w:hint="eastAsia" w:ascii="宋体" w:hAnsi="宋体" w:eastAsia="宋体" w:cs="宋体"/>
          <w:color w:val="auto"/>
          <w:sz w:val="24"/>
          <w:highlight w:val="none"/>
          <w:lang w:val="en-US" w:eastAsia="zh-CN"/>
        </w:rPr>
        <w:t>90日历天内</w:t>
      </w:r>
      <w:r>
        <w:rPr>
          <w:rFonts w:hint="eastAsia" w:ascii="宋体" w:hAnsi="宋体" w:eastAsia="宋体" w:cs="宋体"/>
          <w:color w:val="auto"/>
          <w:sz w:val="24"/>
          <w:highlight w:val="none"/>
          <w:lang w:eastAsia="zh-CN"/>
        </w:rPr>
        <w:t>按采购单位要求完成交货、安装调试完成，无质量问题并通过验收后交付采购单位使用</w:t>
      </w:r>
      <w:r>
        <w:rPr>
          <w:rFonts w:hint="eastAsia" w:ascii="宋体" w:hAnsi="宋体" w:eastAsia="宋体" w:cs="宋体"/>
          <w:color w:val="auto"/>
          <w:sz w:val="24"/>
          <w:highlight w:val="none"/>
        </w:rPr>
        <w:t>。如在规定的时间内由于中标人的原因不能送达货物并安装调试完成通过验收的，中标人应承担由此给</w:t>
      </w:r>
      <w:r>
        <w:rPr>
          <w:rFonts w:hint="eastAsia" w:ascii="宋体" w:hAnsi="宋体" w:eastAsia="宋体" w:cs="宋体"/>
          <w:color w:val="auto"/>
          <w:sz w:val="24"/>
          <w:highlight w:val="none"/>
          <w:lang w:val="en-US" w:eastAsia="zh-CN"/>
        </w:rPr>
        <w:t>采购人</w:t>
      </w:r>
      <w:r>
        <w:rPr>
          <w:rFonts w:hint="eastAsia" w:ascii="宋体" w:hAnsi="宋体" w:eastAsia="宋体" w:cs="宋体"/>
          <w:color w:val="auto"/>
          <w:sz w:val="24"/>
          <w:highlight w:val="none"/>
        </w:rPr>
        <w:t>造成的损失。</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交付地点：</w:t>
      </w:r>
      <w:r>
        <w:rPr>
          <w:rFonts w:hint="eastAsia" w:ascii="宋体" w:hAnsi="宋体" w:cs="宋体"/>
          <w:color w:val="auto"/>
          <w:sz w:val="24"/>
          <w:highlight w:val="none"/>
          <w:lang w:eastAsia="zh-CN"/>
        </w:rPr>
        <w:t>采购人</w:t>
      </w:r>
      <w:r>
        <w:rPr>
          <w:rFonts w:hint="eastAsia" w:ascii="宋体" w:hAnsi="宋体" w:eastAsia="宋体" w:cs="宋体"/>
          <w:color w:val="auto"/>
          <w:sz w:val="24"/>
          <w:highlight w:val="none"/>
          <w:lang w:val="en-US"/>
        </w:rPr>
        <w:t>指定地点</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交付方式：中标人提供中标货物的安装、培训和技术指导。</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6</w:t>
      </w:r>
      <w:r>
        <w:rPr>
          <w:rFonts w:hint="eastAsia" w:ascii="宋体" w:hAnsi="宋体" w:eastAsia="宋体" w:cs="宋体"/>
          <w:b/>
          <w:bCs/>
          <w:color w:val="auto"/>
          <w:sz w:val="24"/>
          <w:highlight w:val="none"/>
        </w:rPr>
        <w:t>、验收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1）中标人应提供设备</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或</w:t>
      </w:r>
      <w:r>
        <w:rPr>
          <w:rFonts w:hint="eastAsia" w:ascii="宋体" w:hAnsi="宋体" w:eastAsia="宋体" w:cs="宋体"/>
          <w:color w:val="auto"/>
          <w:sz w:val="24"/>
          <w:highlight w:val="none"/>
        </w:rPr>
        <w:t>系统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的有效检验材料，经采购人认可后，与合同的技术指标一起作为验收标准。采购人对设备</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或</w:t>
      </w:r>
      <w:r>
        <w:rPr>
          <w:rFonts w:hint="eastAsia" w:ascii="宋体" w:hAnsi="宋体" w:eastAsia="宋体" w:cs="宋体"/>
          <w:color w:val="auto"/>
          <w:sz w:val="24"/>
          <w:highlight w:val="none"/>
        </w:rPr>
        <w:t>系统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验收合格后，出具验收报告并在《建德市政府采购物品验收反馈表》上签署意见并加盖单位公章。验收中发现设备</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或</w:t>
      </w:r>
      <w:r>
        <w:rPr>
          <w:rFonts w:hint="eastAsia" w:ascii="宋体" w:hAnsi="宋体" w:eastAsia="宋体" w:cs="宋体"/>
          <w:color w:val="auto"/>
          <w:sz w:val="24"/>
          <w:highlight w:val="none"/>
        </w:rPr>
        <w:t>系统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达不到验收标准或合同规定的技术指标，中标人必须更换，并负担由此给采购人造成的损失，直到验收合格为止。</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2）投标人应于投标书中提供设备</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或</w:t>
      </w:r>
      <w:r>
        <w:rPr>
          <w:rFonts w:hint="eastAsia" w:ascii="宋体" w:hAnsi="宋体" w:eastAsia="宋体" w:cs="宋体"/>
          <w:color w:val="auto"/>
          <w:sz w:val="24"/>
          <w:highlight w:val="none"/>
        </w:rPr>
        <w:t>系统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的验收标准和检测办法，并在验收中提供采购人认可的相应检测手段，验收标准应符合中国有关的国家、地方、行业的标准，如若中标，经采购人确认后作为验收的依据。</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3）验收费用由中标人承担。</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7</w:t>
      </w: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val="en-US" w:eastAsia="zh-CN"/>
        </w:rPr>
        <w:t>货</w:t>
      </w:r>
      <w:r>
        <w:rPr>
          <w:rFonts w:hint="eastAsia" w:ascii="宋体" w:hAnsi="宋体" w:eastAsia="宋体" w:cs="宋体"/>
          <w:b/>
          <w:bCs/>
          <w:color w:val="auto"/>
          <w:sz w:val="24"/>
          <w:highlight w:val="none"/>
          <w:lang w:val="en-US" w:eastAsia="zh-CN"/>
        </w:rPr>
        <w:t>款的结算</w:t>
      </w:r>
    </w:p>
    <w:p>
      <w:pPr>
        <w:tabs>
          <w:tab w:val="left" w:pos="0"/>
        </w:tabs>
        <w:spacing w:line="360" w:lineRule="auto"/>
        <w:ind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采购</w:t>
      </w:r>
      <w:r>
        <w:rPr>
          <w:rFonts w:hint="eastAsia" w:ascii="宋体" w:hAnsi="宋体" w:cs="宋体"/>
          <w:color w:val="auto"/>
          <w:kern w:val="0"/>
          <w:sz w:val="24"/>
          <w:highlight w:val="none"/>
          <w:lang w:val="en-US" w:eastAsia="zh-CN"/>
        </w:rPr>
        <w:t>人</w:t>
      </w:r>
      <w:r>
        <w:rPr>
          <w:rFonts w:hint="eastAsia" w:ascii="宋体" w:hAnsi="宋体" w:eastAsia="宋体" w:cs="宋体"/>
          <w:color w:val="auto"/>
          <w:kern w:val="0"/>
          <w:sz w:val="24"/>
          <w:highlight w:val="none"/>
          <w:lang w:val="en-US" w:eastAsia="zh-CN"/>
        </w:rPr>
        <w:t>根据合同、投标文件等资料进行验收。</w:t>
      </w:r>
    </w:p>
    <w:p>
      <w:pPr>
        <w:tabs>
          <w:tab w:val="left" w:pos="0"/>
        </w:tabs>
        <w:spacing w:line="360" w:lineRule="auto"/>
        <w:ind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项目款结算采取分期付款方式。</w:t>
      </w:r>
    </w:p>
    <w:p>
      <w:pPr>
        <w:tabs>
          <w:tab w:val="left" w:pos="0"/>
        </w:tabs>
        <w:spacing w:line="360" w:lineRule="auto"/>
        <w:ind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合同签订生效以及具备实施条件后，采购</w:t>
      </w:r>
      <w:r>
        <w:rPr>
          <w:rFonts w:hint="eastAsia" w:ascii="宋体" w:hAnsi="宋体" w:cs="宋体"/>
          <w:color w:val="auto"/>
          <w:kern w:val="0"/>
          <w:sz w:val="24"/>
          <w:highlight w:val="none"/>
          <w:lang w:val="en-US" w:eastAsia="zh-CN"/>
        </w:rPr>
        <w:t>人</w:t>
      </w:r>
      <w:r>
        <w:rPr>
          <w:rFonts w:hint="eastAsia" w:ascii="宋体" w:hAnsi="宋体" w:eastAsia="宋体" w:cs="宋体"/>
          <w:color w:val="auto"/>
          <w:kern w:val="0"/>
          <w:sz w:val="24"/>
          <w:highlight w:val="none"/>
          <w:lang w:val="en-US" w:eastAsia="zh-CN"/>
        </w:rPr>
        <w:t>向中标</w:t>
      </w:r>
      <w:r>
        <w:rPr>
          <w:rFonts w:hint="eastAsia" w:ascii="宋体" w:hAnsi="宋体" w:cs="宋体"/>
          <w:color w:val="auto"/>
          <w:kern w:val="0"/>
          <w:sz w:val="24"/>
          <w:highlight w:val="none"/>
          <w:lang w:val="en-US" w:eastAsia="zh-CN"/>
        </w:rPr>
        <w:t>人</w:t>
      </w:r>
      <w:r>
        <w:rPr>
          <w:rFonts w:hint="eastAsia" w:ascii="宋体" w:hAnsi="宋体" w:eastAsia="宋体" w:cs="宋体"/>
          <w:color w:val="auto"/>
          <w:kern w:val="0"/>
          <w:sz w:val="24"/>
          <w:highlight w:val="none"/>
          <w:lang w:val="en-US" w:eastAsia="zh-CN"/>
        </w:rPr>
        <w:t>支付合同总价30%的预付款；中标</w:t>
      </w:r>
      <w:r>
        <w:rPr>
          <w:rFonts w:hint="eastAsia" w:ascii="宋体" w:hAnsi="宋体" w:cs="宋体"/>
          <w:color w:val="auto"/>
          <w:kern w:val="0"/>
          <w:sz w:val="24"/>
          <w:highlight w:val="none"/>
          <w:lang w:val="en-US" w:eastAsia="zh-CN"/>
        </w:rPr>
        <w:t>人</w:t>
      </w:r>
      <w:r>
        <w:rPr>
          <w:rFonts w:hint="eastAsia" w:ascii="宋体" w:hAnsi="宋体" w:eastAsia="宋体" w:cs="宋体"/>
          <w:color w:val="auto"/>
          <w:kern w:val="0"/>
          <w:sz w:val="24"/>
          <w:highlight w:val="none"/>
          <w:lang w:val="en-US" w:eastAsia="zh-CN"/>
        </w:rPr>
        <w:t>在规定的时间内将设备运至现场并安装</w:t>
      </w:r>
      <w:r>
        <w:rPr>
          <w:rFonts w:hint="eastAsia" w:ascii="宋体" w:hAnsi="宋体" w:cs="宋体"/>
          <w:color w:val="auto"/>
          <w:kern w:val="0"/>
          <w:sz w:val="24"/>
          <w:highlight w:val="none"/>
          <w:lang w:val="en-US" w:eastAsia="zh-CN"/>
        </w:rPr>
        <w:t>调试</w:t>
      </w:r>
      <w:r>
        <w:rPr>
          <w:rFonts w:hint="eastAsia" w:ascii="宋体" w:hAnsi="宋体" w:eastAsia="宋体" w:cs="宋体"/>
          <w:color w:val="auto"/>
          <w:kern w:val="0"/>
          <w:sz w:val="24"/>
          <w:highlight w:val="none"/>
          <w:lang w:val="en-US" w:eastAsia="zh-CN"/>
        </w:rPr>
        <w:t>完毕后，由采购</w:t>
      </w:r>
      <w:r>
        <w:rPr>
          <w:rFonts w:hint="eastAsia" w:ascii="宋体" w:hAnsi="宋体" w:cs="宋体"/>
          <w:color w:val="auto"/>
          <w:kern w:val="0"/>
          <w:sz w:val="24"/>
          <w:highlight w:val="none"/>
          <w:lang w:val="en-US" w:eastAsia="zh-CN"/>
        </w:rPr>
        <w:t>人</w:t>
      </w:r>
      <w:r>
        <w:rPr>
          <w:rFonts w:hint="eastAsia" w:ascii="宋体" w:hAnsi="宋体" w:eastAsia="宋体" w:cs="宋体"/>
          <w:color w:val="auto"/>
          <w:kern w:val="0"/>
          <w:sz w:val="24"/>
          <w:highlight w:val="none"/>
          <w:lang w:val="en-US" w:eastAsia="zh-CN"/>
        </w:rPr>
        <w:t>向中标人支付合同总价20%的项目款；项目验收通过后，由采购人向中标人支付剩余50%的项目款。</w:t>
      </w:r>
    </w:p>
    <w:p>
      <w:pPr>
        <w:tabs>
          <w:tab w:val="left" w:pos="0"/>
        </w:tabs>
        <w:spacing w:line="360" w:lineRule="auto"/>
        <w:ind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支付项目款时，中标</w:t>
      </w:r>
      <w:r>
        <w:rPr>
          <w:rFonts w:hint="eastAsia" w:ascii="宋体" w:hAnsi="宋体" w:cs="宋体"/>
          <w:color w:val="auto"/>
          <w:kern w:val="0"/>
          <w:sz w:val="24"/>
          <w:highlight w:val="none"/>
          <w:lang w:val="en-US" w:eastAsia="zh-CN"/>
        </w:rPr>
        <w:t>人</w:t>
      </w:r>
      <w:r>
        <w:rPr>
          <w:rFonts w:hint="eastAsia" w:ascii="宋体" w:hAnsi="宋体" w:eastAsia="宋体" w:cs="宋体"/>
          <w:color w:val="auto"/>
          <w:kern w:val="0"/>
          <w:sz w:val="24"/>
          <w:highlight w:val="none"/>
          <w:lang w:val="en-US" w:eastAsia="zh-CN"/>
        </w:rPr>
        <w:t>将结款申请1份、增值税专用发票原件（开具当期支付金额）及复印件1份、合同复印件1份、系设备（系统）清单和经采购</w:t>
      </w:r>
      <w:r>
        <w:rPr>
          <w:rFonts w:hint="eastAsia" w:ascii="宋体" w:hAnsi="宋体" w:cs="宋体"/>
          <w:color w:val="auto"/>
          <w:kern w:val="0"/>
          <w:sz w:val="24"/>
          <w:highlight w:val="none"/>
          <w:lang w:val="en-US" w:eastAsia="zh-CN"/>
        </w:rPr>
        <w:t>人</w:t>
      </w:r>
      <w:r>
        <w:rPr>
          <w:rFonts w:hint="eastAsia" w:ascii="宋体" w:hAnsi="宋体" w:eastAsia="宋体" w:cs="宋体"/>
          <w:color w:val="auto"/>
          <w:kern w:val="0"/>
          <w:sz w:val="24"/>
          <w:highlight w:val="none"/>
          <w:lang w:val="en-US" w:eastAsia="zh-CN"/>
        </w:rPr>
        <w:t>验收确认的《验收反馈表》和验收报告提交采购</w:t>
      </w:r>
      <w:r>
        <w:rPr>
          <w:rFonts w:hint="eastAsia" w:ascii="宋体" w:hAnsi="宋体" w:cs="宋体"/>
          <w:color w:val="auto"/>
          <w:kern w:val="0"/>
          <w:sz w:val="24"/>
          <w:highlight w:val="none"/>
          <w:lang w:val="en-US" w:eastAsia="zh-CN"/>
        </w:rPr>
        <w:t>人</w:t>
      </w:r>
      <w:r>
        <w:rPr>
          <w:rFonts w:hint="eastAsia" w:ascii="宋体" w:hAnsi="宋体" w:eastAsia="宋体" w:cs="宋体"/>
          <w:color w:val="auto"/>
          <w:kern w:val="0"/>
          <w:sz w:val="24"/>
          <w:highlight w:val="none"/>
          <w:lang w:val="en-US" w:eastAsia="zh-CN"/>
        </w:rPr>
        <w:t>，由采购</w:t>
      </w:r>
      <w:r>
        <w:rPr>
          <w:rFonts w:hint="eastAsia" w:ascii="宋体" w:hAnsi="宋体" w:cs="宋体"/>
          <w:color w:val="auto"/>
          <w:kern w:val="0"/>
          <w:sz w:val="24"/>
          <w:highlight w:val="none"/>
          <w:lang w:val="en-US" w:eastAsia="zh-CN"/>
        </w:rPr>
        <w:t>人</w:t>
      </w:r>
      <w:r>
        <w:rPr>
          <w:rFonts w:hint="eastAsia" w:ascii="宋体" w:hAnsi="宋体" w:eastAsia="宋体" w:cs="宋体"/>
          <w:color w:val="auto"/>
          <w:kern w:val="0"/>
          <w:sz w:val="24"/>
          <w:highlight w:val="none"/>
          <w:lang w:val="en-US" w:eastAsia="zh-CN"/>
        </w:rPr>
        <w:t>向中标</w:t>
      </w:r>
      <w:r>
        <w:rPr>
          <w:rFonts w:hint="eastAsia" w:ascii="宋体" w:hAnsi="宋体" w:cs="宋体"/>
          <w:color w:val="auto"/>
          <w:kern w:val="0"/>
          <w:sz w:val="24"/>
          <w:highlight w:val="none"/>
          <w:lang w:val="en-US" w:eastAsia="zh-CN"/>
        </w:rPr>
        <w:t>人</w:t>
      </w:r>
      <w:r>
        <w:rPr>
          <w:rFonts w:hint="eastAsia" w:ascii="宋体" w:hAnsi="宋体" w:eastAsia="宋体" w:cs="宋体"/>
          <w:color w:val="auto"/>
          <w:kern w:val="0"/>
          <w:sz w:val="24"/>
          <w:highlight w:val="none"/>
          <w:lang w:val="en-US" w:eastAsia="zh-CN"/>
        </w:rPr>
        <w:t>支付结算当期项目款。</w:t>
      </w:r>
    </w:p>
    <w:p>
      <w:pPr>
        <w:tabs>
          <w:tab w:val="left" w:pos="0"/>
        </w:tabs>
        <w:spacing w:line="360" w:lineRule="auto"/>
        <w:ind w:firstLine="480"/>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8、履约保证金：</w:t>
      </w:r>
    </w:p>
    <w:p>
      <w:pPr>
        <w:tabs>
          <w:tab w:val="left" w:pos="0"/>
        </w:tabs>
        <w:spacing w:line="360" w:lineRule="auto"/>
        <w:ind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在合同签订后由中标人按合同总金额的1%作为履约保证金缴纳至采购人指定账户（可采用银行、保险公司出具保函形式提交）。经验收合格后，无质量、服务问题由采购人无息退还。因中标人的服务、质量原因造成采购人损失的，采购人有权要求中标人以其履约保证金作出补偿。</w:t>
      </w: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5" w:name="_Toc184312068"/>
      <w:bookmarkEnd w:id="35"/>
      <w:bookmarkStart w:id="36" w:name="_Toc184312132"/>
      <w:bookmarkEnd w:id="36"/>
      <w:bookmarkStart w:id="37" w:name="_Toc184310279"/>
      <w:bookmarkEnd w:id="37"/>
      <w:bookmarkStart w:id="38" w:name="_Toc184308036"/>
      <w:bookmarkEnd w:id="38"/>
      <w:bookmarkStart w:id="39" w:name="_Toc184314447"/>
      <w:bookmarkEnd w:id="39"/>
      <w:bookmarkStart w:id="40" w:name="_Toc184313246"/>
      <w:bookmarkEnd w:id="40"/>
      <w:bookmarkStart w:id="41" w:name="_Toc184310280"/>
      <w:bookmarkEnd w:id="41"/>
      <w:bookmarkStart w:id="42" w:name="_Toc184308057"/>
      <w:bookmarkEnd w:id="42"/>
      <w:bookmarkStart w:id="43" w:name="_Toc184313277"/>
      <w:bookmarkEnd w:id="43"/>
      <w:bookmarkStart w:id="44" w:name="_Toc184313292"/>
      <w:bookmarkEnd w:id="44"/>
      <w:bookmarkStart w:id="45" w:name="_Toc184312081"/>
      <w:bookmarkEnd w:id="45"/>
      <w:bookmarkStart w:id="46" w:name="_Toc184310276"/>
      <w:bookmarkEnd w:id="46"/>
      <w:bookmarkStart w:id="47" w:name="_Toc184314478"/>
      <w:bookmarkEnd w:id="47"/>
      <w:bookmarkStart w:id="48" w:name="_Toc184310297"/>
      <w:bookmarkEnd w:id="48"/>
      <w:bookmarkStart w:id="49" w:name="_Toc184308100"/>
      <w:bookmarkEnd w:id="49"/>
      <w:bookmarkStart w:id="50" w:name="_Toc184312071"/>
      <w:bookmarkEnd w:id="50"/>
      <w:bookmarkStart w:id="51" w:name="_Toc184312082"/>
      <w:bookmarkEnd w:id="51"/>
      <w:bookmarkStart w:id="52" w:name="_Toc184312090"/>
      <w:bookmarkEnd w:id="52"/>
      <w:bookmarkStart w:id="53" w:name="_Toc184314412"/>
      <w:bookmarkEnd w:id="53"/>
      <w:bookmarkStart w:id="54" w:name="_Toc184310334"/>
      <w:bookmarkEnd w:id="54"/>
      <w:bookmarkStart w:id="55" w:name="_Toc184308085"/>
      <w:bookmarkEnd w:id="55"/>
      <w:bookmarkStart w:id="56" w:name="_Toc184308086"/>
      <w:bookmarkEnd w:id="56"/>
      <w:bookmarkStart w:id="57" w:name="_Toc184312113"/>
      <w:bookmarkEnd w:id="57"/>
      <w:bookmarkStart w:id="58" w:name="_Toc184313291"/>
      <w:bookmarkEnd w:id="58"/>
      <w:bookmarkStart w:id="59" w:name="_Toc184314452"/>
      <w:bookmarkEnd w:id="59"/>
      <w:bookmarkStart w:id="60" w:name="_Toc184313300"/>
      <w:bookmarkEnd w:id="60"/>
      <w:bookmarkStart w:id="61" w:name="_Toc184310341"/>
      <w:bookmarkEnd w:id="61"/>
      <w:bookmarkStart w:id="62" w:name="_Toc184314481"/>
      <w:bookmarkEnd w:id="62"/>
      <w:bookmarkStart w:id="63" w:name="_Toc184314421"/>
      <w:bookmarkEnd w:id="63"/>
      <w:bookmarkStart w:id="64" w:name="_Toc184310316"/>
      <w:bookmarkEnd w:id="64"/>
      <w:bookmarkStart w:id="65" w:name="_Toc184308106"/>
      <w:bookmarkEnd w:id="65"/>
      <w:bookmarkStart w:id="66" w:name="_Toc184313263"/>
      <w:bookmarkEnd w:id="66"/>
      <w:bookmarkStart w:id="67" w:name="_Toc184308054"/>
      <w:bookmarkEnd w:id="67"/>
      <w:bookmarkStart w:id="68" w:name="_Toc184308037"/>
      <w:bookmarkEnd w:id="68"/>
      <w:bookmarkStart w:id="69" w:name="_Toc184313264"/>
      <w:bookmarkEnd w:id="69"/>
      <w:bookmarkStart w:id="70" w:name="_Toc184310340"/>
      <w:bookmarkEnd w:id="70"/>
      <w:bookmarkStart w:id="71" w:name="_Toc184308072"/>
      <w:bookmarkEnd w:id="71"/>
      <w:bookmarkStart w:id="72" w:name="_Toc184308051"/>
      <w:bookmarkEnd w:id="72"/>
      <w:bookmarkStart w:id="73" w:name="_Toc184308096"/>
      <w:bookmarkEnd w:id="73"/>
      <w:bookmarkStart w:id="74" w:name="_Toc184312107"/>
      <w:bookmarkEnd w:id="74"/>
      <w:bookmarkStart w:id="75" w:name="_Toc184312069"/>
      <w:bookmarkEnd w:id="75"/>
      <w:bookmarkStart w:id="76" w:name="_Toc184314471"/>
      <w:bookmarkEnd w:id="76"/>
      <w:bookmarkStart w:id="77" w:name="_Toc184313288"/>
      <w:bookmarkEnd w:id="77"/>
      <w:bookmarkStart w:id="78" w:name="_Toc184310285"/>
      <w:bookmarkEnd w:id="78"/>
      <w:bookmarkStart w:id="79" w:name="_Toc184313265"/>
      <w:bookmarkEnd w:id="79"/>
      <w:bookmarkStart w:id="80" w:name="_Toc184312125"/>
      <w:bookmarkEnd w:id="80"/>
      <w:bookmarkStart w:id="81" w:name="_Toc184310336"/>
      <w:bookmarkEnd w:id="81"/>
      <w:bookmarkStart w:id="82" w:name="_Toc184313279"/>
      <w:bookmarkEnd w:id="82"/>
      <w:bookmarkStart w:id="83" w:name="_Toc184310309"/>
      <w:bookmarkEnd w:id="83"/>
      <w:bookmarkStart w:id="84" w:name="_Toc184313310"/>
      <w:bookmarkEnd w:id="84"/>
      <w:bookmarkStart w:id="85" w:name="_Toc184310286"/>
      <w:bookmarkEnd w:id="85"/>
      <w:bookmarkStart w:id="86" w:name="_Toc184314432"/>
      <w:bookmarkEnd w:id="86"/>
      <w:bookmarkStart w:id="87" w:name="_Toc184312120"/>
      <w:bookmarkEnd w:id="87"/>
      <w:bookmarkStart w:id="88" w:name="_Toc184310344"/>
      <w:bookmarkEnd w:id="88"/>
      <w:bookmarkStart w:id="89" w:name="_Toc184310332"/>
      <w:bookmarkEnd w:id="89"/>
      <w:bookmarkStart w:id="90" w:name="_Toc184312085"/>
      <w:bookmarkEnd w:id="90"/>
      <w:bookmarkStart w:id="91" w:name="_Toc184308088"/>
      <w:bookmarkEnd w:id="91"/>
      <w:bookmarkStart w:id="92" w:name="_Toc184313284"/>
      <w:bookmarkEnd w:id="92"/>
      <w:bookmarkStart w:id="93" w:name="_Toc184308068"/>
      <w:bookmarkEnd w:id="93"/>
      <w:bookmarkStart w:id="94" w:name="_Toc184310313"/>
      <w:bookmarkEnd w:id="94"/>
      <w:bookmarkStart w:id="95" w:name="_Toc184314451"/>
      <w:bookmarkEnd w:id="95"/>
      <w:bookmarkStart w:id="96" w:name="_Toc184308050"/>
      <w:bookmarkEnd w:id="96"/>
      <w:bookmarkStart w:id="97" w:name="_Toc184313296"/>
      <w:bookmarkEnd w:id="97"/>
      <w:bookmarkStart w:id="98" w:name="_Toc184313295"/>
      <w:bookmarkEnd w:id="98"/>
      <w:bookmarkStart w:id="99" w:name="_Toc184314449"/>
      <w:bookmarkEnd w:id="99"/>
      <w:bookmarkStart w:id="100" w:name="_Toc184310294"/>
      <w:bookmarkEnd w:id="100"/>
      <w:bookmarkStart w:id="101" w:name="_Toc184314413"/>
      <w:bookmarkEnd w:id="101"/>
      <w:bookmarkStart w:id="102" w:name="_Toc184308062"/>
      <w:bookmarkEnd w:id="102"/>
      <w:bookmarkStart w:id="103" w:name="_Toc184314480"/>
      <w:bookmarkEnd w:id="103"/>
      <w:bookmarkStart w:id="104" w:name="_Toc184313287"/>
      <w:bookmarkEnd w:id="104"/>
      <w:bookmarkStart w:id="105" w:name="_Toc184313298"/>
      <w:bookmarkEnd w:id="105"/>
      <w:bookmarkStart w:id="106" w:name="_Toc184312075"/>
      <w:bookmarkEnd w:id="106"/>
      <w:bookmarkStart w:id="107" w:name="_Toc184314427"/>
      <w:bookmarkEnd w:id="107"/>
      <w:bookmarkStart w:id="108" w:name="_Toc184313269"/>
      <w:bookmarkEnd w:id="108"/>
      <w:bookmarkStart w:id="109" w:name="_Toc184308071"/>
      <w:bookmarkEnd w:id="109"/>
      <w:bookmarkStart w:id="110" w:name="_Toc184308078"/>
      <w:bookmarkEnd w:id="110"/>
      <w:bookmarkStart w:id="111" w:name="_Toc184308102"/>
      <w:bookmarkEnd w:id="111"/>
      <w:bookmarkStart w:id="112" w:name="_Toc184314414"/>
      <w:bookmarkEnd w:id="112"/>
      <w:bookmarkStart w:id="113" w:name="_Toc184310277"/>
      <w:bookmarkEnd w:id="113"/>
      <w:bookmarkStart w:id="114" w:name="_Toc184310307"/>
      <w:bookmarkEnd w:id="114"/>
      <w:bookmarkStart w:id="115" w:name="_Toc184312105"/>
      <w:bookmarkEnd w:id="115"/>
      <w:bookmarkStart w:id="116" w:name="_Toc184314425"/>
      <w:bookmarkEnd w:id="116"/>
      <w:bookmarkStart w:id="117" w:name="_Toc184308066"/>
      <w:bookmarkEnd w:id="117"/>
      <w:bookmarkStart w:id="118" w:name="_Toc184314476"/>
      <w:bookmarkEnd w:id="118"/>
      <w:bookmarkStart w:id="119" w:name="_Toc184312073"/>
      <w:bookmarkEnd w:id="119"/>
      <w:bookmarkStart w:id="120" w:name="_Toc184313242"/>
      <w:bookmarkEnd w:id="120"/>
      <w:bookmarkStart w:id="121" w:name="_Toc184308065"/>
      <w:bookmarkEnd w:id="121"/>
      <w:bookmarkStart w:id="122" w:name="_Toc184313281"/>
      <w:bookmarkEnd w:id="122"/>
      <w:bookmarkStart w:id="123" w:name="_Toc184310290"/>
      <w:bookmarkEnd w:id="123"/>
      <w:bookmarkStart w:id="124" w:name="_Toc184313248"/>
      <w:bookmarkEnd w:id="124"/>
      <w:bookmarkStart w:id="125" w:name="_Toc184308094"/>
      <w:bookmarkEnd w:id="125"/>
      <w:bookmarkStart w:id="126" w:name="_Toc184314416"/>
      <w:bookmarkEnd w:id="126"/>
      <w:bookmarkStart w:id="127" w:name="_Toc184314445"/>
      <w:bookmarkEnd w:id="127"/>
      <w:bookmarkStart w:id="128" w:name="_Toc184314470"/>
      <w:bookmarkEnd w:id="128"/>
      <w:bookmarkStart w:id="129" w:name="_Toc184314441"/>
      <w:bookmarkEnd w:id="129"/>
      <w:bookmarkStart w:id="130" w:name="_Toc184313267"/>
      <w:bookmarkEnd w:id="130"/>
      <w:bookmarkStart w:id="131" w:name="_Toc184308091"/>
      <w:bookmarkEnd w:id="131"/>
      <w:bookmarkStart w:id="132" w:name="_Toc184310284"/>
      <w:bookmarkEnd w:id="132"/>
      <w:bookmarkStart w:id="133" w:name="_Toc184313261"/>
      <w:bookmarkEnd w:id="133"/>
      <w:bookmarkStart w:id="134" w:name="_Toc184312087"/>
      <w:bookmarkEnd w:id="134"/>
      <w:bookmarkStart w:id="135" w:name="_Toc184313306"/>
      <w:bookmarkEnd w:id="135"/>
      <w:bookmarkStart w:id="136" w:name="_Toc184312072"/>
      <w:bookmarkEnd w:id="136"/>
      <w:bookmarkStart w:id="137" w:name="_Toc184308052"/>
      <w:bookmarkEnd w:id="137"/>
      <w:bookmarkStart w:id="138" w:name="_Toc184314463"/>
      <w:bookmarkEnd w:id="138"/>
      <w:bookmarkStart w:id="139" w:name="_Toc184313270"/>
      <w:bookmarkEnd w:id="139"/>
      <w:bookmarkStart w:id="140" w:name="_Toc184314428"/>
      <w:bookmarkEnd w:id="140"/>
      <w:bookmarkStart w:id="141" w:name="_Toc184313257"/>
      <w:bookmarkEnd w:id="141"/>
      <w:bookmarkStart w:id="142" w:name="_Toc184310333"/>
      <w:bookmarkEnd w:id="142"/>
      <w:bookmarkStart w:id="143" w:name="_Toc184310337"/>
      <w:bookmarkEnd w:id="143"/>
      <w:bookmarkStart w:id="144" w:name="_Toc184314433"/>
      <w:bookmarkEnd w:id="144"/>
      <w:bookmarkStart w:id="145" w:name="_Toc184314420"/>
      <w:bookmarkEnd w:id="145"/>
      <w:bookmarkStart w:id="146" w:name="_Toc184310274"/>
      <w:bookmarkEnd w:id="146"/>
      <w:bookmarkStart w:id="147" w:name="_Toc184312111"/>
      <w:bookmarkEnd w:id="147"/>
      <w:bookmarkStart w:id="148" w:name="_Toc184310329"/>
      <w:bookmarkEnd w:id="148"/>
      <w:bookmarkStart w:id="149" w:name="_Toc184312121"/>
      <w:bookmarkEnd w:id="149"/>
      <w:bookmarkStart w:id="150" w:name="_Toc184314435"/>
      <w:bookmarkEnd w:id="150"/>
      <w:bookmarkStart w:id="151" w:name="_Toc184312097"/>
      <w:bookmarkEnd w:id="151"/>
      <w:bookmarkStart w:id="152" w:name="_Toc184313297"/>
      <w:bookmarkEnd w:id="152"/>
      <w:bookmarkStart w:id="153" w:name="_Toc184314473"/>
      <w:bookmarkEnd w:id="153"/>
      <w:bookmarkStart w:id="154" w:name="_Toc184314431"/>
      <w:bookmarkEnd w:id="154"/>
      <w:bookmarkStart w:id="155" w:name="_Toc184308069"/>
      <w:bookmarkEnd w:id="155"/>
      <w:bookmarkStart w:id="156" w:name="_Toc184314438"/>
      <w:bookmarkEnd w:id="156"/>
      <w:bookmarkStart w:id="157" w:name="_Toc184310304"/>
      <w:bookmarkEnd w:id="157"/>
      <w:bookmarkStart w:id="158" w:name="_Toc184308095"/>
      <w:bookmarkEnd w:id="158"/>
      <w:bookmarkStart w:id="159" w:name="_Toc184310301"/>
      <w:bookmarkEnd w:id="159"/>
      <w:bookmarkStart w:id="160" w:name="_Toc184313302"/>
      <w:bookmarkEnd w:id="160"/>
      <w:bookmarkStart w:id="161" w:name="_Toc184310310"/>
      <w:bookmarkEnd w:id="161"/>
      <w:bookmarkStart w:id="162" w:name="_Toc184308107"/>
      <w:bookmarkEnd w:id="162"/>
      <w:bookmarkStart w:id="163" w:name="_Toc184314458"/>
      <w:bookmarkEnd w:id="163"/>
      <w:bookmarkStart w:id="164" w:name="_Toc184313245"/>
      <w:bookmarkEnd w:id="164"/>
      <w:bookmarkStart w:id="165" w:name="_Toc184312139"/>
      <w:bookmarkEnd w:id="165"/>
      <w:bookmarkStart w:id="166" w:name="_Toc184310302"/>
      <w:bookmarkEnd w:id="166"/>
      <w:bookmarkStart w:id="167" w:name="_Toc184308053"/>
      <w:bookmarkEnd w:id="167"/>
      <w:bookmarkStart w:id="168" w:name="_Toc184313238"/>
      <w:bookmarkEnd w:id="168"/>
      <w:bookmarkStart w:id="169" w:name="_Toc184312101"/>
      <w:bookmarkEnd w:id="169"/>
      <w:bookmarkStart w:id="170" w:name="_Toc184310339"/>
      <w:bookmarkEnd w:id="170"/>
      <w:bookmarkStart w:id="171" w:name="_Toc184314474"/>
      <w:bookmarkEnd w:id="171"/>
      <w:bookmarkStart w:id="172" w:name="_Toc184310338"/>
      <w:bookmarkEnd w:id="172"/>
      <w:bookmarkStart w:id="173" w:name="_Toc184310330"/>
      <w:bookmarkEnd w:id="173"/>
      <w:bookmarkStart w:id="174" w:name="_Toc184312093"/>
      <w:bookmarkEnd w:id="174"/>
      <w:bookmarkStart w:id="175" w:name="_Toc184314446"/>
      <w:bookmarkEnd w:id="175"/>
      <w:bookmarkStart w:id="176" w:name="_Toc184312108"/>
      <w:bookmarkEnd w:id="176"/>
      <w:bookmarkStart w:id="177" w:name="_Toc184313289"/>
      <w:bookmarkEnd w:id="177"/>
      <w:bookmarkStart w:id="178" w:name="_Toc184308093"/>
      <w:bookmarkEnd w:id="178"/>
      <w:bookmarkStart w:id="179" w:name="_Toc184312095"/>
      <w:bookmarkEnd w:id="179"/>
      <w:bookmarkStart w:id="180" w:name="_Toc184312137"/>
      <w:bookmarkEnd w:id="180"/>
      <w:bookmarkStart w:id="181" w:name="_Toc184314453"/>
      <w:bookmarkEnd w:id="181"/>
      <w:bookmarkStart w:id="182" w:name="_Toc184310319"/>
      <w:bookmarkEnd w:id="182"/>
      <w:bookmarkStart w:id="183" w:name="_Toc184312106"/>
      <w:bookmarkEnd w:id="183"/>
      <w:bookmarkStart w:id="184" w:name="_Toc184310273"/>
      <w:bookmarkEnd w:id="184"/>
      <w:bookmarkStart w:id="185" w:name="_Toc184310293"/>
      <w:bookmarkEnd w:id="185"/>
      <w:bookmarkStart w:id="186" w:name="_Toc184312119"/>
      <w:bookmarkEnd w:id="186"/>
      <w:bookmarkStart w:id="187" w:name="_Toc184313256"/>
      <w:bookmarkEnd w:id="187"/>
      <w:bookmarkStart w:id="188" w:name="_Toc184308098"/>
      <w:bookmarkEnd w:id="188"/>
      <w:bookmarkStart w:id="189" w:name="_Toc184312088"/>
      <w:bookmarkEnd w:id="189"/>
      <w:bookmarkStart w:id="190" w:name="_Toc184310343"/>
      <w:bookmarkEnd w:id="190"/>
      <w:bookmarkStart w:id="191" w:name="_Toc184308060"/>
      <w:bookmarkEnd w:id="191"/>
      <w:bookmarkStart w:id="192" w:name="_Toc184310296"/>
      <w:bookmarkEnd w:id="192"/>
      <w:bookmarkStart w:id="193" w:name="_Toc184312079"/>
      <w:bookmarkEnd w:id="193"/>
      <w:bookmarkStart w:id="194" w:name="_Toc184314439"/>
      <w:bookmarkEnd w:id="194"/>
      <w:bookmarkStart w:id="195" w:name="_Toc184310306"/>
      <w:bookmarkEnd w:id="195"/>
      <w:bookmarkStart w:id="196" w:name="_Toc184310298"/>
      <w:bookmarkEnd w:id="196"/>
      <w:bookmarkStart w:id="197" w:name="_Toc184314472"/>
      <w:bookmarkEnd w:id="197"/>
      <w:bookmarkStart w:id="198" w:name="_Toc184308045"/>
      <w:bookmarkEnd w:id="198"/>
      <w:bookmarkStart w:id="199" w:name="_Toc184314461"/>
      <w:bookmarkEnd w:id="199"/>
      <w:bookmarkStart w:id="200" w:name="_Toc184314455"/>
      <w:bookmarkEnd w:id="200"/>
      <w:bookmarkStart w:id="201" w:name="_Toc184314422"/>
      <w:bookmarkEnd w:id="201"/>
      <w:bookmarkStart w:id="202" w:name="_Toc184313268"/>
      <w:bookmarkEnd w:id="202"/>
      <w:bookmarkStart w:id="203" w:name="_Toc184313266"/>
      <w:bookmarkEnd w:id="203"/>
      <w:bookmarkStart w:id="204" w:name="_Toc184314440"/>
      <w:bookmarkEnd w:id="204"/>
      <w:bookmarkStart w:id="205" w:name="_Toc184314417"/>
      <w:bookmarkEnd w:id="205"/>
      <w:bookmarkStart w:id="206" w:name="_Toc184310321"/>
      <w:bookmarkEnd w:id="206"/>
      <w:bookmarkStart w:id="207" w:name="_Toc184310299"/>
      <w:bookmarkEnd w:id="207"/>
      <w:bookmarkStart w:id="208" w:name="_Toc184313308"/>
      <w:bookmarkEnd w:id="208"/>
      <w:bookmarkStart w:id="209" w:name="_Toc184312129"/>
      <w:bookmarkEnd w:id="209"/>
      <w:bookmarkStart w:id="210" w:name="_Toc184313252"/>
      <w:bookmarkEnd w:id="210"/>
      <w:bookmarkStart w:id="211" w:name="_Toc184308040"/>
      <w:bookmarkEnd w:id="211"/>
      <w:bookmarkStart w:id="212" w:name="_Toc184310312"/>
      <w:bookmarkEnd w:id="212"/>
      <w:bookmarkStart w:id="213" w:name="_Toc184313286"/>
      <w:bookmarkEnd w:id="213"/>
      <w:bookmarkStart w:id="214" w:name="_Toc184312076"/>
      <w:bookmarkEnd w:id="214"/>
      <w:bookmarkStart w:id="215" w:name="_Toc184308077"/>
      <w:bookmarkEnd w:id="215"/>
      <w:bookmarkStart w:id="216" w:name="_Toc184314444"/>
      <w:bookmarkEnd w:id="216"/>
      <w:bookmarkStart w:id="217" w:name="_Toc184308039"/>
      <w:bookmarkEnd w:id="217"/>
      <w:bookmarkStart w:id="218" w:name="_Toc184313293"/>
      <w:bookmarkEnd w:id="218"/>
      <w:bookmarkStart w:id="219" w:name="_Toc184314429"/>
      <w:bookmarkEnd w:id="219"/>
      <w:bookmarkStart w:id="220" w:name="_Toc184308099"/>
      <w:bookmarkEnd w:id="220"/>
      <w:bookmarkStart w:id="221" w:name="_Toc184314456"/>
      <w:bookmarkEnd w:id="221"/>
      <w:bookmarkStart w:id="222" w:name="_Toc184312089"/>
      <w:bookmarkEnd w:id="222"/>
      <w:bookmarkStart w:id="223" w:name="_Toc184312084"/>
      <w:bookmarkEnd w:id="223"/>
      <w:bookmarkStart w:id="224" w:name="_Toc184313260"/>
      <w:bookmarkEnd w:id="224"/>
      <w:bookmarkStart w:id="225" w:name="_Toc184308038"/>
      <w:bookmarkEnd w:id="225"/>
      <w:bookmarkStart w:id="226" w:name="_Toc184313305"/>
      <w:bookmarkEnd w:id="226"/>
      <w:bookmarkStart w:id="227" w:name="_Toc184308044"/>
      <w:bookmarkEnd w:id="227"/>
      <w:bookmarkStart w:id="228" w:name="_Toc184312092"/>
      <w:bookmarkEnd w:id="228"/>
      <w:bookmarkStart w:id="229" w:name="_Toc184308046"/>
      <w:bookmarkEnd w:id="229"/>
      <w:bookmarkStart w:id="230" w:name="_Toc184312135"/>
      <w:bookmarkEnd w:id="230"/>
      <w:bookmarkStart w:id="231" w:name="_Toc184310288"/>
      <w:bookmarkEnd w:id="231"/>
      <w:bookmarkStart w:id="232" w:name="_Toc184310328"/>
      <w:bookmarkEnd w:id="232"/>
      <w:bookmarkStart w:id="233" w:name="_Toc184313294"/>
      <w:bookmarkEnd w:id="233"/>
      <w:bookmarkStart w:id="234" w:name="_Toc184312098"/>
      <w:bookmarkEnd w:id="234"/>
      <w:bookmarkStart w:id="235" w:name="_Toc184312099"/>
      <w:bookmarkEnd w:id="235"/>
      <w:bookmarkStart w:id="236" w:name="_Toc184308063"/>
      <w:bookmarkEnd w:id="236"/>
      <w:bookmarkStart w:id="237" w:name="_Toc184308041"/>
      <w:bookmarkEnd w:id="237"/>
      <w:bookmarkStart w:id="238" w:name="_Toc184308047"/>
      <w:bookmarkEnd w:id="238"/>
      <w:bookmarkStart w:id="239" w:name="_Toc184314469"/>
      <w:bookmarkEnd w:id="239"/>
      <w:bookmarkStart w:id="240" w:name="_Toc184313255"/>
      <w:bookmarkEnd w:id="240"/>
      <w:bookmarkStart w:id="241" w:name="_Toc184312104"/>
      <w:bookmarkEnd w:id="241"/>
      <w:bookmarkStart w:id="242" w:name="_Toc184314442"/>
      <w:bookmarkEnd w:id="242"/>
      <w:bookmarkStart w:id="243" w:name="_Toc184312083"/>
      <w:bookmarkEnd w:id="243"/>
      <w:bookmarkStart w:id="244" w:name="_Toc184314468"/>
      <w:bookmarkEnd w:id="244"/>
      <w:bookmarkStart w:id="245" w:name="_Toc184313258"/>
      <w:bookmarkEnd w:id="245"/>
      <w:bookmarkStart w:id="246" w:name="_Toc184314411"/>
      <w:bookmarkEnd w:id="246"/>
      <w:bookmarkStart w:id="247" w:name="_Toc184314448"/>
      <w:bookmarkEnd w:id="247"/>
      <w:bookmarkStart w:id="248" w:name="_Toc184310325"/>
      <w:bookmarkEnd w:id="248"/>
      <w:bookmarkStart w:id="249" w:name="_Toc184312134"/>
      <w:bookmarkEnd w:id="249"/>
      <w:bookmarkStart w:id="250" w:name="_Toc184308105"/>
      <w:bookmarkEnd w:id="250"/>
      <w:bookmarkStart w:id="251" w:name="_Toc184310283"/>
      <w:bookmarkEnd w:id="251"/>
      <w:bookmarkStart w:id="252" w:name="_Toc184313299"/>
      <w:bookmarkEnd w:id="252"/>
      <w:bookmarkStart w:id="253" w:name="_Toc184308076"/>
      <w:bookmarkEnd w:id="253"/>
      <w:bookmarkStart w:id="254" w:name="_Toc184312115"/>
      <w:bookmarkEnd w:id="254"/>
      <w:bookmarkStart w:id="255" w:name="_Toc184308108"/>
      <w:bookmarkEnd w:id="255"/>
      <w:bookmarkStart w:id="256" w:name="_Toc184313254"/>
      <w:bookmarkEnd w:id="256"/>
      <w:bookmarkStart w:id="257" w:name="_Toc184313250"/>
      <w:bookmarkEnd w:id="257"/>
      <w:bookmarkStart w:id="258" w:name="_Toc184313273"/>
      <w:bookmarkEnd w:id="258"/>
      <w:bookmarkStart w:id="259" w:name="_Toc184308081"/>
      <w:bookmarkEnd w:id="259"/>
      <w:bookmarkStart w:id="260" w:name="_Toc184310281"/>
      <w:bookmarkEnd w:id="260"/>
      <w:bookmarkStart w:id="261" w:name="_Toc184310272"/>
      <w:bookmarkEnd w:id="261"/>
      <w:bookmarkStart w:id="262" w:name="_Toc184312130"/>
      <w:bookmarkEnd w:id="262"/>
      <w:bookmarkStart w:id="263" w:name="_Toc184308059"/>
      <w:bookmarkEnd w:id="263"/>
      <w:bookmarkStart w:id="264" w:name="_Toc184310295"/>
      <w:bookmarkEnd w:id="264"/>
      <w:bookmarkStart w:id="265" w:name="_Toc184313303"/>
      <w:bookmarkEnd w:id="265"/>
      <w:bookmarkStart w:id="266" w:name="_Toc184310305"/>
      <w:bookmarkEnd w:id="266"/>
      <w:bookmarkStart w:id="267" w:name="_Toc184313301"/>
      <w:bookmarkEnd w:id="267"/>
      <w:bookmarkStart w:id="268" w:name="_Toc184308064"/>
      <w:bookmarkEnd w:id="268"/>
      <w:bookmarkStart w:id="269" w:name="_Toc184314459"/>
      <w:bookmarkEnd w:id="269"/>
      <w:bookmarkStart w:id="270" w:name="_Toc184312123"/>
      <w:bookmarkEnd w:id="270"/>
      <w:bookmarkStart w:id="271" w:name="_Toc184313283"/>
      <w:bookmarkEnd w:id="271"/>
      <w:bookmarkStart w:id="272" w:name="_Toc184314482"/>
      <w:bookmarkEnd w:id="272"/>
      <w:bookmarkStart w:id="273" w:name="_Toc184310314"/>
      <w:bookmarkEnd w:id="273"/>
      <w:bookmarkStart w:id="274" w:name="_Toc184313275"/>
      <w:bookmarkEnd w:id="274"/>
      <w:bookmarkStart w:id="275" w:name="_Toc184308082"/>
      <w:bookmarkEnd w:id="275"/>
      <w:bookmarkStart w:id="276" w:name="_Toc184310291"/>
      <w:bookmarkEnd w:id="276"/>
      <w:bookmarkStart w:id="277" w:name="_Toc184308104"/>
      <w:bookmarkEnd w:id="277"/>
      <w:bookmarkStart w:id="278" w:name="_Toc184313240"/>
      <w:bookmarkEnd w:id="278"/>
      <w:bookmarkStart w:id="279" w:name="_Toc184313272"/>
      <w:bookmarkEnd w:id="279"/>
      <w:bookmarkStart w:id="280" w:name="_Toc184314464"/>
      <w:bookmarkEnd w:id="280"/>
      <w:bookmarkStart w:id="281" w:name="_Toc184312102"/>
      <w:bookmarkEnd w:id="281"/>
      <w:bookmarkStart w:id="282" w:name="_Toc184312080"/>
      <w:bookmarkEnd w:id="282"/>
      <w:bookmarkStart w:id="283" w:name="_Toc184310308"/>
      <w:bookmarkEnd w:id="283"/>
      <w:bookmarkStart w:id="284" w:name="_Toc184313259"/>
      <w:bookmarkEnd w:id="284"/>
      <w:bookmarkStart w:id="285" w:name="_Toc184314437"/>
      <w:bookmarkEnd w:id="285"/>
      <w:bookmarkStart w:id="286" w:name="_Toc184308090"/>
      <w:bookmarkEnd w:id="286"/>
      <w:bookmarkStart w:id="287" w:name="_Toc184314415"/>
      <w:bookmarkEnd w:id="287"/>
      <w:bookmarkStart w:id="288" w:name="_Toc184312124"/>
      <w:bookmarkEnd w:id="288"/>
      <w:bookmarkStart w:id="289" w:name="_Toc184314454"/>
      <w:bookmarkEnd w:id="289"/>
      <w:bookmarkStart w:id="290" w:name="_Toc184312122"/>
      <w:bookmarkEnd w:id="290"/>
      <w:bookmarkStart w:id="291" w:name="_Toc184313309"/>
      <w:bookmarkEnd w:id="291"/>
      <w:bookmarkStart w:id="292" w:name="_Toc184308087"/>
      <w:bookmarkEnd w:id="292"/>
      <w:bookmarkStart w:id="293" w:name="_Toc184312131"/>
      <w:bookmarkEnd w:id="293"/>
      <w:bookmarkStart w:id="294" w:name="_Toc184308075"/>
      <w:bookmarkEnd w:id="294"/>
      <w:bookmarkStart w:id="295" w:name="_Toc184314443"/>
      <w:bookmarkEnd w:id="295"/>
      <w:bookmarkStart w:id="296" w:name="_Toc184310335"/>
      <w:bookmarkEnd w:id="296"/>
      <w:bookmarkStart w:id="297" w:name="_Toc184314457"/>
      <w:bookmarkEnd w:id="297"/>
      <w:bookmarkStart w:id="298" w:name="_Toc184314466"/>
      <w:bookmarkEnd w:id="298"/>
      <w:bookmarkStart w:id="299" w:name="_Toc184312128"/>
      <w:bookmarkEnd w:id="299"/>
      <w:bookmarkStart w:id="300" w:name="_Toc184314477"/>
      <w:bookmarkEnd w:id="300"/>
      <w:bookmarkStart w:id="301" w:name="_Toc184308097"/>
      <w:bookmarkEnd w:id="301"/>
      <w:bookmarkStart w:id="302" w:name="_Toc184310275"/>
      <w:bookmarkEnd w:id="302"/>
      <w:bookmarkStart w:id="303" w:name="_Toc184312114"/>
      <w:bookmarkEnd w:id="303"/>
      <w:bookmarkStart w:id="304" w:name="_Toc184308103"/>
      <w:bookmarkEnd w:id="304"/>
      <w:bookmarkStart w:id="305" w:name="_Toc184313249"/>
      <w:bookmarkEnd w:id="305"/>
      <w:bookmarkStart w:id="306" w:name="_Toc184314418"/>
      <w:bookmarkEnd w:id="306"/>
      <w:bookmarkStart w:id="307" w:name="_Toc184312067"/>
      <w:bookmarkEnd w:id="307"/>
      <w:bookmarkStart w:id="308" w:name="_Toc184312096"/>
      <w:bookmarkEnd w:id="308"/>
      <w:bookmarkStart w:id="309" w:name="_Toc184312109"/>
      <w:bookmarkEnd w:id="309"/>
      <w:bookmarkStart w:id="310" w:name="_Toc184314424"/>
      <w:bookmarkEnd w:id="310"/>
      <w:bookmarkStart w:id="311" w:name="_Toc184308048"/>
      <w:bookmarkEnd w:id="311"/>
      <w:bookmarkStart w:id="312" w:name="_Toc184313241"/>
      <w:bookmarkEnd w:id="312"/>
      <w:bookmarkStart w:id="313" w:name="_Toc184314423"/>
      <w:bookmarkEnd w:id="313"/>
      <w:bookmarkStart w:id="314" w:name="_Toc184313285"/>
      <w:bookmarkEnd w:id="314"/>
      <w:bookmarkStart w:id="315" w:name="_Toc184312110"/>
      <w:bookmarkEnd w:id="315"/>
      <w:bookmarkStart w:id="316" w:name="_Toc184308079"/>
      <w:bookmarkEnd w:id="316"/>
      <w:bookmarkStart w:id="317" w:name="_Toc184313290"/>
      <w:bookmarkEnd w:id="317"/>
      <w:bookmarkStart w:id="318" w:name="_Toc184308089"/>
      <w:bookmarkEnd w:id="318"/>
      <w:bookmarkStart w:id="319" w:name="_Toc184312077"/>
      <w:bookmarkEnd w:id="319"/>
      <w:bookmarkStart w:id="320" w:name="_Toc184310322"/>
      <w:bookmarkEnd w:id="320"/>
      <w:bookmarkStart w:id="321" w:name="_Toc184314465"/>
      <w:bookmarkEnd w:id="321"/>
      <w:bookmarkStart w:id="322" w:name="_Toc184313244"/>
      <w:bookmarkEnd w:id="322"/>
      <w:bookmarkStart w:id="323" w:name="_Toc184312127"/>
      <w:bookmarkEnd w:id="323"/>
      <w:bookmarkStart w:id="324" w:name="_Toc184313276"/>
      <w:bookmarkEnd w:id="324"/>
      <w:bookmarkStart w:id="325" w:name="_Toc184308061"/>
      <w:bookmarkEnd w:id="325"/>
      <w:bookmarkStart w:id="326" w:name="_Toc184312136"/>
      <w:bookmarkEnd w:id="326"/>
      <w:bookmarkStart w:id="327" w:name="_Toc184308043"/>
      <w:bookmarkEnd w:id="327"/>
      <w:bookmarkStart w:id="328" w:name="_Toc184312070"/>
      <w:bookmarkEnd w:id="328"/>
      <w:bookmarkStart w:id="329" w:name="_Toc184314450"/>
      <w:bookmarkEnd w:id="329"/>
      <w:bookmarkStart w:id="330" w:name="_Toc184313247"/>
      <w:bookmarkEnd w:id="330"/>
      <w:bookmarkStart w:id="331" w:name="_Toc184308101"/>
      <w:bookmarkEnd w:id="331"/>
      <w:bookmarkStart w:id="332" w:name="_Toc184310317"/>
      <w:bookmarkEnd w:id="332"/>
      <w:bookmarkStart w:id="333" w:name="_Toc184312126"/>
      <w:bookmarkEnd w:id="333"/>
      <w:bookmarkStart w:id="334" w:name="_Toc184313262"/>
      <w:bookmarkEnd w:id="334"/>
      <w:bookmarkStart w:id="335" w:name="_Toc184314426"/>
      <w:bookmarkEnd w:id="335"/>
      <w:bookmarkStart w:id="336" w:name="_Toc184313253"/>
      <w:bookmarkEnd w:id="336"/>
      <w:bookmarkStart w:id="337" w:name="_Toc184314467"/>
      <w:bookmarkEnd w:id="337"/>
      <w:bookmarkStart w:id="338" w:name="_Toc184312094"/>
      <w:bookmarkEnd w:id="338"/>
      <w:bookmarkStart w:id="339" w:name="_Toc184310323"/>
      <w:bookmarkEnd w:id="339"/>
      <w:bookmarkStart w:id="340" w:name="_Toc184314460"/>
      <w:bookmarkEnd w:id="340"/>
      <w:bookmarkStart w:id="341" w:name="_Toc184308092"/>
      <w:bookmarkEnd w:id="341"/>
      <w:bookmarkStart w:id="342" w:name="_Toc184313274"/>
      <w:bookmarkEnd w:id="342"/>
      <w:bookmarkStart w:id="343" w:name="_Toc184312112"/>
      <w:bookmarkEnd w:id="343"/>
      <w:bookmarkStart w:id="344" w:name="_Toc184310278"/>
      <w:bookmarkEnd w:id="344"/>
      <w:bookmarkStart w:id="345" w:name="_Toc184308080"/>
      <w:bookmarkEnd w:id="345"/>
      <w:bookmarkStart w:id="346" w:name="_Toc184312100"/>
      <w:bookmarkEnd w:id="346"/>
      <w:bookmarkStart w:id="347" w:name="_Toc184312074"/>
      <w:bookmarkEnd w:id="347"/>
      <w:bookmarkStart w:id="348" w:name="_Toc184314462"/>
      <w:bookmarkEnd w:id="348"/>
      <w:bookmarkStart w:id="349" w:name="_Toc184308058"/>
      <w:bookmarkEnd w:id="349"/>
      <w:bookmarkStart w:id="350" w:name="_Toc184313282"/>
      <w:bookmarkEnd w:id="350"/>
      <w:bookmarkStart w:id="351" w:name="_Toc184308073"/>
      <w:bookmarkEnd w:id="351"/>
      <w:bookmarkStart w:id="352" w:name="_Toc184308083"/>
      <w:bookmarkEnd w:id="352"/>
      <w:bookmarkStart w:id="353" w:name="_Toc184308055"/>
      <w:bookmarkEnd w:id="353"/>
      <w:bookmarkStart w:id="354" w:name="_Toc184313239"/>
      <w:bookmarkEnd w:id="354"/>
      <w:bookmarkStart w:id="355" w:name="_Toc184312138"/>
      <w:bookmarkEnd w:id="355"/>
      <w:bookmarkStart w:id="356" w:name="_Toc184312118"/>
      <w:bookmarkEnd w:id="356"/>
      <w:bookmarkStart w:id="357" w:name="_Toc184312091"/>
      <w:bookmarkEnd w:id="357"/>
      <w:bookmarkStart w:id="358" w:name="_Toc184313278"/>
      <w:bookmarkEnd w:id="358"/>
      <w:bookmarkStart w:id="359" w:name="_Toc184310326"/>
      <w:bookmarkEnd w:id="359"/>
      <w:bookmarkStart w:id="360" w:name="_Toc184312103"/>
      <w:bookmarkEnd w:id="360"/>
      <w:bookmarkStart w:id="361" w:name="_Toc184314410"/>
      <w:bookmarkEnd w:id="361"/>
      <w:bookmarkStart w:id="362" w:name="_Toc184313271"/>
      <w:bookmarkEnd w:id="362"/>
      <w:bookmarkStart w:id="363" w:name="_Toc184313304"/>
      <w:bookmarkEnd w:id="363"/>
      <w:bookmarkStart w:id="364" w:name="_Toc184310311"/>
      <w:bookmarkEnd w:id="364"/>
      <w:bookmarkStart w:id="365" w:name="_Toc184310303"/>
      <w:bookmarkEnd w:id="365"/>
      <w:bookmarkStart w:id="366" w:name="_Toc184310320"/>
      <w:bookmarkEnd w:id="366"/>
      <w:bookmarkStart w:id="367" w:name="_Toc184313251"/>
      <w:bookmarkEnd w:id="367"/>
      <w:bookmarkStart w:id="368" w:name="_Toc184314434"/>
      <w:bookmarkEnd w:id="368"/>
      <w:bookmarkStart w:id="369" w:name="_Toc184310282"/>
      <w:bookmarkEnd w:id="369"/>
      <w:bookmarkStart w:id="370" w:name="_Toc184310292"/>
      <w:bookmarkEnd w:id="370"/>
      <w:bookmarkStart w:id="371" w:name="_Toc184314419"/>
      <w:bookmarkEnd w:id="371"/>
      <w:bookmarkStart w:id="372" w:name="_Toc184310324"/>
      <w:bookmarkEnd w:id="372"/>
      <w:bookmarkStart w:id="373" w:name="_Toc184313307"/>
      <w:bookmarkEnd w:id="373"/>
      <w:bookmarkStart w:id="374" w:name="_Toc184308074"/>
      <w:bookmarkEnd w:id="374"/>
      <w:bookmarkStart w:id="375" w:name="_Toc184310315"/>
      <w:bookmarkEnd w:id="375"/>
      <w:bookmarkStart w:id="376" w:name="_Toc184313280"/>
      <w:bookmarkEnd w:id="376"/>
      <w:bookmarkStart w:id="377" w:name="_Toc184310342"/>
      <w:bookmarkEnd w:id="377"/>
      <w:bookmarkStart w:id="378" w:name="_Toc184312133"/>
      <w:bookmarkEnd w:id="378"/>
      <w:bookmarkStart w:id="379" w:name="_Toc184308067"/>
      <w:bookmarkEnd w:id="379"/>
      <w:bookmarkStart w:id="380" w:name="_Toc184313243"/>
      <w:bookmarkEnd w:id="380"/>
      <w:bookmarkStart w:id="381" w:name="_Toc184308042"/>
      <w:bookmarkEnd w:id="381"/>
      <w:bookmarkStart w:id="382" w:name="_Toc184310287"/>
      <w:bookmarkEnd w:id="382"/>
      <w:bookmarkStart w:id="383" w:name="_Toc184314475"/>
      <w:bookmarkEnd w:id="383"/>
      <w:bookmarkStart w:id="384" w:name="_Toc184312078"/>
      <w:bookmarkEnd w:id="384"/>
      <w:bookmarkStart w:id="385" w:name="_Toc184308084"/>
      <w:bookmarkEnd w:id="385"/>
      <w:bookmarkStart w:id="386" w:name="_Toc184310318"/>
      <w:bookmarkEnd w:id="386"/>
      <w:bookmarkStart w:id="387" w:name="_Toc184310289"/>
      <w:bookmarkEnd w:id="387"/>
      <w:bookmarkStart w:id="388" w:name="_Toc184310327"/>
      <w:bookmarkEnd w:id="388"/>
      <w:bookmarkStart w:id="389" w:name="_Toc184310300"/>
      <w:bookmarkEnd w:id="389"/>
      <w:bookmarkStart w:id="390" w:name="_Toc184308049"/>
      <w:bookmarkEnd w:id="390"/>
      <w:bookmarkStart w:id="391" w:name="_Toc184314436"/>
      <w:bookmarkEnd w:id="391"/>
      <w:bookmarkStart w:id="392" w:name="_Toc184312117"/>
      <w:bookmarkEnd w:id="392"/>
      <w:bookmarkStart w:id="393" w:name="_Toc184308070"/>
      <w:bookmarkEnd w:id="393"/>
      <w:bookmarkStart w:id="394" w:name="_Toc184312086"/>
      <w:bookmarkEnd w:id="394"/>
      <w:bookmarkStart w:id="395" w:name="_Toc184314430"/>
      <w:bookmarkEnd w:id="395"/>
      <w:bookmarkStart w:id="396" w:name="_Toc184308056"/>
      <w:bookmarkEnd w:id="396"/>
      <w:bookmarkStart w:id="397" w:name="_Toc184314479"/>
      <w:bookmarkEnd w:id="397"/>
      <w:bookmarkStart w:id="398" w:name="_Toc184310331"/>
      <w:bookmarkEnd w:id="398"/>
      <w:bookmarkStart w:id="399" w:name="_Toc184312116"/>
      <w:bookmarkEnd w:id="399"/>
      <w:r>
        <w:rPr>
          <w:rFonts w:hint="eastAsia" w:ascii="宋体" w:hAnsi="宋体" w:cs="宋体"/>
          <w:b/>
          <w:color w:val="auto"/>
          <w:sz w:val="36"/>
          <w:szCs w:val="36"/>
          <w:highlight w:val="none"/>
        </w:rPr>
        <w:t>评标办法</w:t>
      </w:r>
    </w:p>
    <w:p>
      <w:pPr>
        <w:snapToGrid w:val="0"/>
        <w:spacing w:line="360" w:lineRule="auto"/>
        <w:ind w:firstLine="643"/>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77"/>
        <w:tblW w:w="89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4824"/>
        <w:gridCol w:w="803"/>
        <w:gridCol w:w="1127"/>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trPr>
        <w:tc>
          <w:tcPr>
            <w:tcW w:w="548" w:type="dxa"/>
            <w:vAlign w:val="center"/>
          </w:tcPr>
          <w:p>
            <w:pPr>
              <w:snapToGrid w:val="0"/>
              <w:spacing w:line="240" w:lineRule="auto"/>
              <w:jc w:val="center"/>
              <w:rPr>
                <w:rFonts w:hint="eastAsia" w:ascii="宋体" w:hAnsi="宋体" w:eastAsia="宋体" w:cs="宋体"/>
                <w:color w:val="auto"/>
                <w:sz w:val="24"/>
                <w:highlight w:val="none"/>
              </w:rPr>
            </w:pPr>
            <w:bookmarkStart w:id="400" w:name="OLE_LINK1"/>
            <w:r>
              <w:rPr>
                <w:rFonts w:hint="eastAsia" w:ascii="宋体" w:hAnsi="宋体" w:eastAsia="宋体" w:cs="宋体"/>
                <w:color w:val="auto"/>
                <w:sz w:val="24"/>
                <w:highlight w:val="none"/>
              </w:rPr>
              <w:t>序号</w:t>
            </w:r>
          </w:p>
        </w:tc>
        <w:tc>
          <w:tcPr>
            <w:tcW w:w="4824" w:type="dxa"/>
            <w:vAlign w:val="center"/>
          </w:tcPr>
          <w:p>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评标标准</w:t>
            </w:r>
          </w:p>
        </w:tc>
        <w:tc>
          <w:tcPr>
            <w:tcW w:w="803" w:type="dxa"/>
            <w:vAlign w:val="center"/>
          </w:tcPr>
          <w:p>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权重</w:t>
            </w:r>
          </w:p>
        </w:tc>
        <w:tc>
          <w:tcPr>
            <w:tcW w:w="1127" w:type="dxa"/>
            <w:vAlign w:val="center"/>
          </w:tcPr>
          <w:p>
            <w:pPr>
              <w:snapToGrid w:val="0"/>
              <w:spacing w:line="24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主观分/客观分属性</w:t>
            </w:r>
          </w:p>
        </w:tc>
        <w:tc>
          <w:tcPr>
            <w:tcW w:w="1685" w:type="dxa"/>
            <w:vAlign w:val="top"/>
          </w:tcPr>
          <w:p>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48" w:type="dxa"/>
            <w:vAlign w:val="center"/>
          </w:tcPr>
          <w:p>
            <w:pPr>
              <w:spacing w:line="24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824" w:type="dxa"/>
            <w:vAlign w:val="center"/>
          </w:tcPr>
          <w:p>
            <w:pPr>
              <w:widowControl/>
              <w:spacing w:line="240" w:lineRule="auto"/>
              <w:rPr>
                <w:rFonts w:hint="eastAsia" w:ascii="宋体" w:hAnsi="宋体" w:eastAsia="宋体" w:cs="宋体"/>
                <w:color w:val="auto"/>
                <w:sz w:val="24"/>
                <w:highlight w:val="none"/>
              </w:rPr>
            </w:pPr>
            <w:bookmarkStart w:id="401" w:name="OLE_LINK8"/>
            <w:r>
              <w:rPr>
                <w:rFonts w:hint="eastAsia" w:ascii="宋体" w:hAnsi="宋体" w:eastAsia="宋体" w:cs="宋体"/>
                <w:color w:val="auto"/>
                <w:kern w:val="0"/>
                <w:sz w:val="24"/>
                <w:highlight w:val="none"/>
                <w:lang w:eastAsia="zh-CN"/>
              </w:rPr>
              <w:t>投标产品技术性能指标及技术参数全部符合采购需求清单明确指标参数得</w:t>
            </w:r>
            <w:r>
              <w:rPr>
                <w:rFonts w:hint="eastAsia" w:ascii="宋体" w:hAnsi="宋体" w:eastAsia="宋体" w:cs="宋体"/>
                <w:color w:val="auto"/>
                <w:kern w:val="0"/>
                <w:sz w:val="24"/>
                <w:highlight w:val="none"/>
                <w:lang w:val="en-US" w:eastAsia="zh-CN"/>
              </w:rPr>
              <w:t>20</w:t>
            </w:r>
            <w:r>
              <w:rPr>
                <w:rFonts w:hint="eastAsia" w:ascii="宋体" w:hAnsi="宋体" w:eastAsia="宋体" w:cs="宋体"/>
                <w:color w:val="auto"/>
                <w:kern w:val="0"/>
                <w:sz w:val="24"/>
                <w:highlight w:val="none"/>
                <w:lang w:eastAsia="zh-CN"/>
              </w:rPr>
              <w:t>分。投标产品关键技术指标（标有“</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lang w:eastAsia="zh-CN"/>
              </w:rPr>
              <w:t>”的指标）不满足或缺漏项的每项扣</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eastAsia="zh-CN"/>
              </w:rPr>
              <w:t>分，超过3项及以上不满足的或缺漏项的，本项不得分；非关键技术指标不满足或缺漏项的每项扣</w:t>
            </w:r>
            <w:r>
              <w:rPr>
                <w:rFonts w:hint="eastAsia" w:ascii="宋体" w:hAnsi="宋体" w:eastAsia="宋体" w:cs="宋体"/>
                <w:color w:val="auto"/>
                <w:kern w:val="0"/>
                <w:sz w:val="24"/>
                <w:highlight w:val="none"/>
                <w:lang w:val="en-US" w:eastAsia="zh-CN"/>
              </w:rPr>
              <w:t>0.5</w:t>
            </w:r>
            <w:r>
              <w:rPr>
                <w:rFonts w:hint="eastAsia" w:ascii="宋体" w:hAnsi="宋体" w:eastAsia="宋体" w:cs="宋体"/>
                <w:color w:val="auto"/>
                <w:kern w:val="0"/>
                <w:sz w:val="24"/>
                <w:highlight w:val="none"/>
                <w:lang w:eastAsia="zh-CN"/>
              </w:rPr>
              <w:t>分，扣完为止；技术参数要求提供证明材料的，投标人需按照要求提供，否则视为不满足。</w:t>
            </w:r>
            <w:bookmarkEnd w:id="401"/>
          </w:p>
        </w:tc>
        <w:tc>
          <w:tcPr>
            <w:tcW w:w="803" w:type="dxa"/>
            <w:vAlign w:val="center"/>
          </w:tcPr>
          <w:p>
            <w:pPr>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20</w:t>
            </w:r>
          </w:p>
        </w:tc>
        <w:tc>
          <w:tcPr>
            <w:tcW w:w="1127" w:type="dxa"/>
            <w:vAlign w:val="center"/>
          </w:tcPr>
          <w:p>
            <w:pPr>
              <w:spacing w:line="240" w:lineRule="auto"/>
              <w:jc w:val="center"/>
              <w:rPr>
                <w:rFonts w:hint="eastAsia" w:ascii="宋体" w:hAnsi="宋体" w:eastAsia="宋体" w:cs="宋体"/>
                <w:color w:val="auto"/>
                <w:sz w:val="24"/>
                <w:highlight w:val="none"/>
              </w:rPr>
            </w:pPr>
            <w:r>
              <w:rPr>
                <w:rFonts w:hint="eastAsia" w:ascii="宋体" w:hAnsi="宋体" w:cs="宋体"/>
                <w:color w:val="auto"/>
                <w:sz w:val="24"/>
                <w:highlight w:val="none"/>
                <w:lang w:eastAsia="zh-CN"/>
              </w:rPr>
              <w:t>客</w:t>
            </w:r>
            <w:r>
              <w:rPr>
                <w:rFonts w:hint="eastAsia" w:ascii="宋体" w:hAnsi="宋体" w:eastAsia="宋体" w:cs="宋体"/>
                <w:color w:val="auto"/>
                <w:sz w:val="24"/>
                <w:highlight w:val="none"/>
              </w:rPr>
              <w:t>观分</w:t>
            </w:r>
          </w:p>
        </w:tc>
        <w:tc>
          <w:tcPr>
            <w:tcW w:w="1685" w:type="dxa"/>
            <w:vAlign w:val="center"/>
          </w:tcPr>
          <w:p>
            <w:pPr>
              <w:spacing w:line="240" w:lineRule="auto"/>
              <w:jc w:val="center"/>
              <w:outlineLvl w:val="0"/>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48" w:type="dxa"/>
            <w:vAlign w:val="center"/>
          </w:tcPr>
          <w:p>
            <w:pPr>
              <w:spacing w:line="240" w:lineRule="auto"/>
              <w:jc w:val="center"/>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4824" w:type="dxa"/>
            <w:vAlign w:val="center"/>
          </w:tcPr>
          <w:p>
            <w:pPr>
              <w:widowControl/>
              <w:spacing w:line="240" w:lineRule="auto"/>
              <w:rPr>
                <w:rFonts w:hint="eastAsia" w:ascii="宋体" w:hAnsi="宋体" w:eastAsia="宋体" w:cs="宋体"/>
                <w:color w:val="auto"/>
                <w:kern w:val="0"/>
                <w:sz w:val="24"/>
                <w:highlight w:val="none"/>
                <w:lang w:val="en-US" w:eastAsia="zh-CN"/>
              </w:rPr>
            </w:pPr>
            <w:bookmarkStart w:id="402" w:name="OLE_LINK9"/>
            <w:r>
              <w:rPr>
                <w:rFonts w:hint="eastAsia" w:ascii="宋体" w:hAnsi="宋体" w:eastAsia="宋体" w:cs="宋体"/>
                <w:color w:val="auto"/>
                <w:kern w:val="0"/>
                <w:sz w:val="24"/>
                <w:highlight w:val="none"/>
                <w:lang w:val="en-US" w:eastAsia="zh-CN"/>
              </w:rPr>
              <w:t>根据投标人提供项目</w:t>
            </w:r>
            <w:r>
              <w:rPr>
                <w:rFonts w:hint="eastAsia" w:ascii="宋体" w:hAnsi="宋体" w:cs="宋体"/>
                <w:color w:val="auto"/>
                <w:kern w:val="0"/>
                <w:sz w:val="24"/>
                <w:highlight w:val="none"/>
                <w:lang w:val="en-US" w:eastAsia="zh-CN"/>
              </w:rPr>
              <w:t>理解</w:t>
            </w:r>
            <w:r>
              <w:rPr>
                <w:rFonts w:hint="eastAsia" w:ascii="宋体" w:hAnsi="宋体" w:eastAsia="宋体" w:cs="宋体"/>
                <w:color w:val="auto"/>
                <w:kern w:val="0"/>
                <w:sz w:val="24"/>
                <w:highlight w:val="none"/>
                <w:lang w:val="en-US" w:eastAsia="zh-CN"/>
              </w:rPr>
              <w:t>（包括建设背景、建设目标等）进行打分，最高得5分。</w:t>
            </w:r>
          </w:p>
          <w:p>
            <w:pPr>
              <w:widowControl/>
              <w:spacing w:line="24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①项目理解全面详尽，符合实际情况的得5分；</w:t>
            </w:r>
          </w:p>
          <w:p>
            <w:pPr>
              <w:widowControl/>
              <w:spacing w:line="24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②项目理解较全面详尽，较符合实际情况的得4分；</w:t>
            </w:r>
          </w:p>
          <w:p>
            <w:pPr>
              <w:widowControl/>
              <w:spacing w:line="24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③项目理解基本全面，基本符合实际情况的得3分；</w:t>
            </w:r>
          </w:p>
          <w:p>
            <w:pPr>
              <w:widowControl/>
              <w:spacing w:line="24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④项目理解不全面或不符合实际情况的得2分；</w:t>
            </w:r>
          </w:p>
          <w:p>
            <w:pPr>
              <w:widowControl/>
              <w:spacing w:line="24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⑤项目理解明显存在缺陷的得1分；</w:t>
            </w:r>
          </w:p>
          <w:p>
            <w:pPr>
              <w:widowControl/>
              <w:spacing w:line="24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lang w:val="en-US" w:eastAsia="zh-CN"/>
              </w:rPr>
              <w:t>⑥未提供相应内容的不得分。</w:t>
            </w:r>
            <w:bookmarkEnd w:id="402"/>
          </w:p>
        </w:tc>
        <w:tc>
          <w:tcPr>
            <w:tcW w:w="803" w:type="dxa"/>
            <w:vAlign w:val="center"/>
          </w:tcPr>
          <w:p>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1127" w:type="dxa"/>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c>
          <w:tcPr>
            <w:tcW w:w="1685" w:type="dxa"/>
            <w:vAlign w:val="center"/>
          </w:tcPr>
          <w:p>
            <w:pPr>
              <w:spacing w:line="240" w:lineRule="auto"/>
              <w:jc w:val="center"/>
              <w:outlineLvl w:val="0"/>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548" w:type="dxa"/>
            <w:shd w:val="clear" w:color="auto" w:fill="auto"/>
            <w:vAlign w:val="center"/>
          </w:tcPr>
          <w:p>
            <w:pPr>
              <w:spacing w:line="24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3</w:t>
            </w:r>
          </w:p>
        </w:tc>
        <w:tc>
          <w:tcPr>
            <w:tcW w:w="4824" w:type="dxa"/>
            <w:shd w:val="clear" w:color="auto" w:fill="auto"/>
            <w:vAlign w:val="center"/>
          </w:tcPr>
          <w:p>
            <w:pPr>
              <w:widowControl/>
              <w:spacing w:line="240" w:lineRule="auto"/>
              <w:rPr>
                <w:rFonts w:hint="eastAsia" w:ascii="宋体" w:hAnsi="宋体" w:eastAsia="宋体" w:cs="宋体"/>
                <w:color w:val="auto"/>
                <w:kern w:val="0"/>
                <w:sz w:val="24"/>
                <w:highlight w:val="none"/>
                <w:lang w:eastAsia="zh-CN"/>
              </w:rPr>
            </w:pPr>
            <w:bookmarkStart w:id="403" w:name="OLE_LINK10"/>
            <w:r>
              <w:rPr>
                <w:rFonts w:hint="eastAsia" w:ascii="宋体" w:hAnsi="宋体" w:eastAsia="宋体" w:cs="宋体"/>
                <w:color w:val="auto"/>
                <w:kern w:val="0"/>
                <w:sz w:val="24"/>
                <w:highlight w:val="none"/>
                <w:lang w:eastAsia="zh-CN"/>
              </w:rPr>
              <w:t>根据投标人提供实施方案（包括组织施工方案、物资投入情况、施工进度保证、施工现场管理、项目风险应对</w:t>
            </w:r>
            <w:r>
              <w:rPr>
                <w:rFonts w:hint="eastAsia" w:ascii="宋体" w:hAnsi="宋体" w:cs="宋体"/>
                <w:color w:val="auto"/>
                <w:kern w:val="0"/>
                <w:sz w:val="24"/>
                <w:highlight w:val="none"/>
                <w:lang w:eastAsia="zh-CN"/>
              </w:rPr>
              <w:t>等</w:t>
            </w:r>
            <w:r>
              <w:rPr>
                <w:rFonts w:hint="eastAsia" w:ascii="宋体" w:hAnsi="宋体" w:eastAsia="宋体" w:cs="宋体"/>
                <w:color w:val="auto"/>
                <w:kern w:val="0"/>
                <w:sz w:val="24"/>
                <w:highlight w:val="none"/>
                <w:lang w:eastAsia="zh-CN"/>
              </w:rPr>
              <w:t>）进行打分，最高得5分。</w:t>
            </w:r>
          </w:p>
          <w:p>
            <w:pPr>
              <w:widowControl/>
              <w:spacing w:line="240" w:lineRule="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①实施方案的内容全面详尽，符合实际情况的得5分；</w:t>
            </w:r>
          </w:p>
          <w:p>
            <w:pPr>
              <w:widowControl/>
              <w:spacing w:line="240" w:lineRule="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②实施方案的内容较全面详尽，较符合实际情况的得4分；</w:t>
            </w:r>
          </w:p>
          <w:p>
            <w:pPr>
              <w:widowControl/>
              <w:spacing w:line="240" w:lineRule="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③实施方案的内容基本全面，基本符合实际情况的得3分；</w:t>
            </w:r>
          </w:p>
          <w:p>
            <w:pPr>
              <w:widowControl/>
              <w:spacing w:line="240" w:lineRule="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④实施方案的内容不全面或不符合实际情况的得2分；</w:t>
            </w:r>
          </w:p>
          <w:p>
            <w:pPr>
              <w:widowControl/>
              <w:spacing w:line="240" w:lineRule="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⑤实施方案的内容明显存在缺陷的得1分；</w:t>
            </w:r>
          </w:p>
          <w:p>
            <w:pPr>
              <w:widowControl/>
              <w:spacing w:line="240" w:lineRule="auto"/>
              <w:rPr>
                <w:rFonts w:hint="eastAsia" w:ascii="宋体" w:hAnsi="宋体" w:eastAsia="宋体" w:cs="宋体"/>
                <w:color w:val="auto"/>
                <w:highlight w:val="none"/>
                <w:lang w:val="en-US" w:eastAsia="zh-CN"/>
              </w:rPr>
            </w:pPr>
            <w:r>
              <w:rPr>
                <w:rFonts w:hint="eastAsia" w:ascii="宋体" w:hAnsi="宋体" w:eastAsia="宋体" w:cs="宋体"/>
                <w:color w:val="auto"/>
                <w:kern w:val="0"/>
                <w:sz w:val="24"/>
                <w:highlight w:val="none"/>
                <w:lang w:eastAsia="zh-CN"/>
              </w:rPr>
              <w:t>⑥未提供相应内容的不得分。</w:t>
            </w:r>
            <w:bookmarkEnd w:id="403"/>
          </w:p>
        </w:tc>
        <w:tc>
          <w:tcPr>
            <w:tcW w:w="803" w:type="dxa"/>
            <w:shd w:val="clear" w:color="auto" w:fill="auto"/>
            <w:vAlign w:val="center"/>
          </w:tcPr>
          <w:p>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1127" w:type="dxa"/>
            <w:shd w:val="clear" w:color="auto" w:fill="auto"/>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c>
          <w:tcPr>
            <w:tcW w:w="1685" w:type="dxa"/>
            <w:vAlign w:val="center"/>
          </w:tcPr>
          <w:p>
            <w:pPr>
              <w:spacing w:line="240" w:lineRule="auto"/>
              <w:jc w:val="center"/>
              <w:outlineLvl w:val="0"/>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548" w:type="dxa"/>
            <w:shd w:val="clear" w:color="auto" w:fill="auto"/>
            <w:vAlign w:val="center"/>
          </w:tcPr>
          <w:p>
            <w:pPr>
              <w:spacing w:line="240" w:lineRule="auto"/>
              <w:jc w:val="center"/>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4824" w:type="dxa"/>
            <w:shd w:val="clear" w:color="auto" w:fill="auto"/>
            <w:vAlign w:val="center"/>
          </w:tcPr>
          <w:p>
            <w:pPr>
              <w:widowControl/>
              <w:spacing w:line="240" w:lineRule="auto"/>
              <w:rPr>
                <w:rFonts w:hint="eastAsia" w:ascii="宋体" w:hAnsi="宋体" w:eastAsia="宋体" w:cs="宋体"/>
                <w:color w:val="auto"/>
                <w:kern w:val="0"/>
                <w:sz w:val="24"/>
                <w:highlight w:val="none"/>
                <w:lang w:val="en-US" w:eastAsia="zh-CN"/>
              </w:rPr>
            </w:pPr>
            <w:bookmarkStart w:id="404" w:name="OLE_LINK11"/>
            <w:r>
              <w:rPr>
                <w:rFonts w:hint="eastAsia" w:ascii="宋体" w:hAnsi="宋体" w:eastAsia="宋体" w:cs="宋体"/>
                <w:color w:val="auto"/>
                <w:kern w:val="0"/>
                <w:sz w:val="24"/>
                <w:highlight w:val="none"/>
                <w:lang w:val="en-US" w:eastAsia="zh-CN"/>
              </w:rPr>
              <w:t>根据投标人的质量保障措施方案进行打分，最高得</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en-US" w:eastAsia="zh-CN"/>
              </w:rPr>
              <w:t>分。</w:t>
            </w:r>
          </w:p>
          <w:p>
            <w:pPr>
              <w:widowControl/>
              <w:spacing w:line="24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①方案全面详尽，符合实际情况的得</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en-US" w:eastAsia="zh-CN"/>
              </w:rPr>
              <w:t>分；</w:t>
            </w:r>
          </w:p>
          <w:p>
            <w:pPr>
              <w:widowControl/>
              <w:spacing w:line="24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②方案较全面详尽，较符合实际情况的得</w:t>
            </w:r>
            <w:r>
              <w:rPr>
                <w:rFonts w:hint="eastAsia" w:ascii="宋体" w:hAnsi="宋体" w:cs="宋体"/>
                <w:color w:val="auto"/>
                <w:kern w:val="0"/>
                <w:sz w:val="24"/>
                <w:highlight w:val="none"/>
                <w:lang w:val="en-US" w:eastAsia="zh-CN"/>
              </w:rPr>
              <w:t>2.5</w:t>
            </w:r>
            <w:r>
              <w:rPr>
                <w:rFonts w:hint="eastAsia" w:ascii="宋体" w:hAnsi="宋体" w:eastAsia="宋体" w:cs="宋体"/>
                <w:color w:val="auto"/>
                <w:kern w:val="0"/>
                <w:sz w:val="24"/>
                <w:highlight w:val="none"/>
                <w:lang w:val="en-US" w:eastAsia="zh-CN"/>
              </w:rPr>
              <w:t>分；</w:t>
            </w:r>
          </w:p>
          <w:p>
            <w:pPr>
              <w:widowControl/>
              <w:spacing w:line="24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③方案基本全面，基本符合实际情况的得</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分；</w:t>
            </w:r>
          </w:p>
          <w:p>
            <w:pPr>
              <w:widowControl/>
              <w:spacing w:line="24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④方案不全面或不符合实际情况的得</w:t>
            </w:r>
            <w:r>
              <w:rPr>
                <w:rFonts w:hint="eastAsia" w:ascii="宋体" w:hAnsi="宋体" w:cs="宋体"/>
                <w:color w:val="auto"/>
                <w:kern w:val="0"/>
                <w:sz w:val="24"/>
                <w:highlight w:val="none"/>
                <w:lang w:val="en-US" w:eastAsia="zh-CN"/>
              </w:rPr>
              <w:t>1.5</w:t>
            </w:r>
            <w:r>
              <w:rPr>
                <w:rFonts w:hint="eastAsia" w:ascii="宋体" w:hAnsi="宋体" w:eastAsia="宋体" w:cs="宋体"/>
                <w:color w:val="auto"/>
                <w:kern w:val="0"/>
                <w:sz w:val="24"/>
                <w:highlight w:val="none"/>
                <w:lang w:val="en-US" w:eastAsia="zh-CN"/>
              </w:rPr>
              <w:t>分；</w:t>
            </w:r>
          </w:p>
          <w:p>
            <w:pPr>
              <w:widowControl/>
              <w:spacing w:line="24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⑤方案明显存在缺陷的得1分；</w:t>
            </w:r>
          </w:p>
          <w:p>
            <w:pPr>
              <w:widowControl/>
              <w:spacing w:line="24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⑥未提供相应内容的不得分。</w:t>
            </w:r>
            <w:bookmarkEnd w:id="404"/>
          </w:p>
        </w:tc>
        <w:tc>
          <w:tcPr>
            <w:tcW w:w="803" w:type="dxa"/>
            <w:shd w:val="clear" w:color="auto" w:fill="auto"/>
            <w:vAlign w:val="center"/>
          </w:tcPr>
          <w:p>
            <w:pPr>
              <w:spacing w:line="24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127" w:type="dxa"/>
            <w:shd w:val="clear" w:color="auto" w:fill="auto"/>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c>
          <w:tcPr>
            <w:tcW w:w="1685" w:type="dxa"/>
            <w:vAlign w:val="center"/>
          </w:tcPr>
          <w:p>
            <w:pPr>
              <w:spacing w:line="240" w:lineRule="auto"/>
              <w:jc w:val="center"/>
              <w:outlineLvl w:val="0"/>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0" w:hRule="atLeast"/>
        </w:trPr>
        <w:tc>
          <w:tcPr>
            <w:tcW w:w="548" w:type="dxa"/>
            <w:vAlign w:val="center"/>
          </w:tcPr>
          <w:p>
            <w:pPr>
              <w:spacing w:line="240" w:lineRule="auto"/>
              <w:jc w:val="center"/>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4824" w:type="dxa"/>
            <w:vAlign w:val="center"/>
          </w:tcPr>
          <w:p>
            <w:pPr>
              <w:widowControl/>
              <w:spacing w:line="240" w:lineRule="auto"/>
              <w:rPr>
                <w:rFonts w:hint="eastAsia" w:ascii="宋体" w:hAnsi="宋体" w:eastAsia="宋体" w:cs="宋体"/>
                <w:color w:val="auto"/>
                <w:kern w:val="0"/>
                <w:sz w:val="24"/>
                <w:highlight w:val="none"/>
                <w:lang w:val="en-US" w:eastAsia="zh-CN"/>
              </w:rPr>
            </w:pPr>
            <w:bookmarkStart w:id="405" w:name="OLE_LINK12"/>
            <w:r>
              <w:rPr>
                <w:rFonts w:hint="eastAsia" w:ascii="宋体" w:hAnsi="宋体" w:eastAsia="宋体" w:cs="宋体"/>
                <w:color w:val="auto"/>
                <w:kern w:val="0"/>
                <w:sz w:val="24"/>
                <w:highlight w:val="none"/>
                <w:lang w:eastAsia="zh-CN"/>
              </w:rPr>
              <w:t>根据</w:t>
            </w:r>
            <w:r>
              <w:rPr>
                <w:rFonts w:hint="eastAsia" w:ascii="宋体" w:hAnsi="宋体" w:eastAsia="宋体" w:cs="宋体"/>
                <w:color w:val="auto"/>
                <w:kern w:val="0"/>
                <w:sz w:val="24"/>
                <w:highlight w:val="none"/>
              </w:rPr>
              <w:t>投标人提供培训方案</w:t>
            </w:r>
            <w:r>
              <w:rPr>
                <w:rFonts w:hint="eastAsia" w:ascii="宋体" w:hAnsi="宋体" w:eastAsia="宋体" w:cs="宋体"/>
                <w:color w:val="auto"/>
                <w:kern w:val="0"/>
                <w:sz w:val="24"/>
                <w:highlight w:val="none"/>
                <w:lang w:eastAsia="zh-CN"/>
              </w:rPr>
              <w:t>（包括但不限于培训内容、时间、地点、师资力量安排、培训方式等）</w:t>
            </w:r>
            <w:r>
              <w:rPr>
                <w:rFonts w:hint="eastAsia" w:ascii="宋体" w:hAnsi="宋体" w:eastAsia="宋体" w:cs="宋体"/>
                <w:color w:val="auto"/>
                <w:kern w:val="0"/>
                <w:sz w:val="24"/>
                <w:highlight w:val="none"/>
                <w:lang w:val="en-US" w:eastAsia="zh-CN"/>
              </w:rPr>
              <w:t>进行打分，最高得3分。</w:t>
            </w:r>
          </w:p>
          <w:p>
            <w:pPr>
              <w:widowControl/>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①方案全面详尽，符合实际情况的得</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分；</w:t>
            </w:r>
          </w:p>
          <w:p>
            <w:pPr>
              <w:widowControl/>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②方案较全面详尽，较符合实际情况的得</w:t>
            </w:r>
            <w:r>
              <w:rPr>
                <w:rFonts w:hint="eastAsia" w:ascii="宋体" w:hAnsi="宋体" w:eastAsia="宋体" w:cs="宋体"/>
                <w:color w:val="auto"/>
                <w:kern w:val="0"/>
                <w:sz w:val="24"/>
                <w:highlight w:val="none"/>
                <w:lang w:val="en-US" w:eastAsia="zh-CN"/>
              </w:rPr>
              <w:t>2.5</w:t>
            </w:r>
            <w:r>
              <w:rPr>
                <w:rFonts w:hint="eastAsia" w:ascii="宋体" w:hAnsi="宋体" w:eastAsia="宋体" w:cs="宋体"/>
                <w:color w:val="auto"/>
                <w:kern w:val="0"/>
                <w:sz w:val="24"/>
                <w:highlight w:val="none"/>
              </w:rPr>
              <w:t>分；</w:t>
            </w:r>
          </w:p>
          <w:p>
            <w:pPr>
              <w:widowControl/>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③方案基本全面，基本符合实际情况的得</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分；</w:t>
            </w:r>
          </w:p>
          <w:p>
            <w:pPr>
              <w:widowControl/>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④方案不全面或不符合实际情况的得</w:t>
            </w:r>
            <w:r>
              <w:rPr>
                <w:rFonts w:hint="eastAsia" w:ascii="宋体" w:hAnsi="宋体" w:eastAsia="宋体" w:cs="宋体"/>
                <w:color w:val="auto"/>
                <w:kern w:val="0"/>
                <w:sz w:val="24"/>
                <w:highlight w:val="none"/>
                <w:lang w:val="en-US" w:eastAsia="zh-CN"/>
              </w:rPr>
              <w:t>1.5</w:t>
            </w:r>
            <w:r>
              <w:rPr>
                <w:rFonts w:hint="eastAsia" w:ascii="宋体" w:hAnsi="宋体" w:eastAsia="宋体" w:cs="宋体"/>
                <w:color w:val="auto"/>
                <w:kern w:val="0"/>
                <w:sz w:val="24"/>
                <w:highlight w:val="none"/>
              </w:rPr>
              <w:t>分；</w:t>
            </w:r>
          </w:p>
          <w:p>
            <w:pPr>
              <w:widowControl/>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⑤方案明显存在缺陷的得1分；</w:t>
            </w:r>
          </w:p>
          <w:p>
            <w:pPr>
              <w:widowControl/>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⑥未提供相应内容的不得分。</w:t>
            </w:r>
            <w:bookmarkEnd w:id="405"/>
          </w:p>
        </w:tc>
        <w:tc>
          <w:tcPr>
            <w:tcW w:w="803" w:type="dxa"/>
            <w:vAlign w:val="center"/>
          </w:tcPr>
          <w:p>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127" w:type="dxa"/>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c>
          <w:tcPr>
            <w:tcW w:w="1685" w:type="dxa"/>
            <w:vAlign w:val="center"/>
          </w:tcPr>
          <w:p>
            <w:pPr>
              <w:spacing w:line="240" w:lineRule="auto"/>
              <w:jc w:val="center"/>
              <w:outlineLvl w:val="0"/>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0" w:hRule="atLeast"/>
        </w:trPr>
        <w:tc>
          <w:tcPr>
            <w:tcW w:w="548" w:type="dxa"/>
            <w:vAlign w:val="center"/>
          </w:tcPr>
          <w:p>
            <w:pPr>
              <w:spacing w:line="240" w:lineRule="auto"/>
              <w:jc w:val="center"/>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p>
        </w:tc>
        <w:tc>
          <w:tcPr>
            <w:tcW w:w="4824" w:type="dxa"/>
            <w:vAlign w:val="center"/>
          </w:tcPr>
          <w:p>
            <w:pPr>
              <w:widowControl/>
              <w:spacing w:line="240" w:lineRule="auto"/>
              <w:rPr>
                <w:rFonts w:hint="eastAsia" w:ascii="宋体" w:hAnsi="宋体" w:eastAsia="宋体" w:cs="宋体"/>
                <w:color w:val="auto"/>
                <w:kern w:val="0"/>
                <w:sz w:val="24"/>
                <w:highlight w:val="none"/>
                <w:lang w:val="en-US" w:eastAsia="zh-CN"/>
              </w:rPr>
            </w:pPr>
            <w:bookmarkStart w:id="406" w:name="OLE_LINK14"/>
            <w:r>
              <w:rPr>
                <w:rFonts w:hint="eastAsia" w:ascii="宋体" w:hAnsi="宋体" w:eastAsia="宋体" w:cs="宋体"/>
                <w:color w:val="auto"/>
                <w:kern w:val="0"/>
                <w:sz w:val="24"/>
                <w:highlight w:val="none"/>
                <w:lang w:eastAsia="zh-CN"/>
              </w:rPr>
              <w:t>根据投标人的应急服务方案进行打分，最高得</w:t>
            </w:r>
            <w:r>
              <w:rPr>
                <w:rFonts w:hint="eastAsia" w:ascii="宋体" w:hAnsi="宋体" w:eastAsia="宋体" w:cs="宋体"/>
                <w:color w:val="auto"/>
                <w:kern w:val="0"/>
                <w:sz w:val="24"/>
                <w:highlight w:val="none"/>
                <w:lang w:val="en-US" w:eastAsia="zh-CN"/>
              </w:rPr>
              <w:t>3分。</w:t>
            </w:r>
          </w:p>
          <w:p>
            <w:pPr>
              <w:widowControl/>
              <w:spacing w:line="24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①方案全面详尽，符合实际情况的得3分；</w:t>
            </w:r>
          </w:p>
          <w:p>
            <w:pPr>
              <w:widowControl/>
              <w:spacing w:line="24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②方案较全面详尽，较符合实际情况的得2.5分；</w:t>
            </w:r>
          </w:p>
          <w:p>
            <w:pPr>
              <w:widowControl/>
              <w:spacing w:line="24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③方案基本全面，基本符合实际情况的得2分；</w:t>
            </w:r>
          </w:p>
          <w:p>
            <w:pPr>
              <w:widowControl/>
              <w:spacing w:line="24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④方案不全面或不符合实际情况的得1.5分；</w:t>
            </w:r>
          </w:p>
          <w:p>
            <w:pPr>
              <w:widowControl/>
              <w:spacing w:line="24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⑤方案明显存在缺陷的得1分；</w:t>
            </w:r>
          </w:p>
          <w:p>
            <w:pPr>
              <w:widowControl/>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⑥未提供相应内容的不得分。</w:t>
            </w:r>
            <w:bookmarkEnd w:id="406"/>
          </w:p>
        </w:tc>
        <w:tc>
          <w:tcPr>
            <w:tcW w:w="803" w:type="dxa"/>
            <w:vAlign w:val="center"/>
          </w:tcPr>
          <w:p>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127" w:type="dxa"/>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c>
          <w:tcPr>
            <w:tcW w:w="1685" w:type="dxa"/>
            <w:vAlign w:val="center"/>
          </w:tcPr>
          <w:p>
            <w:pPr>
              <w:spacing w:line="240" w:lineRule="auto"/>
              <w:jc w:val="center"/>
              <w:outlineLvl w:val="0"/>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548" w:type="dxa"/>
            <w:vAlign w:val="center"/>
          </w:tcPr>
          <w:p>
            <w:pPr>
              <w:spacing w:line="240" w:lineRule="auto"/>
              <w:jc w:val="center"/>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p>
        </w:tc>
        <w:tc>
          <w:tcPr>
            <w:tcW w:w="4824" w:type="dxa"/>
            <w:vAlign w:val="center"/>
          </w:tcPr>
          <w:p>
            <w:pPr>
              <w:widowControl/>
              <w:spacing w:line="240" w:lineRule="auto"/>
              <w:rPr>
                <w:rFonts w:hint="eastAsia" w:ascii="宋体" w:hAnsi="宋体" w:eastAsia="宋体" w:cs="宋体"/>
                <w:color w:val="auto"/>
                <w:kern w:val="0"/>
                <w:sz w:val="24"/>
                <w:highlight w:val="none"/>
                <w:lang w:val="en-US" w:eastAsia="zh-CN"/>
              </w:rPr>
            </w:pPr>
            <w:bookmarkStart w:id="407" w:name="OLE_LINK15"/>
            <w:r>
              <w:rPr>
                <w:rFonts w:hint="eastAsia" w:ascii="宋体" w:hAnsi="宋体" w:eastAsia="宋体" w:cs="宋体"/>
                <w:color w:val="auto"/>
                <w:kern w:val="0"/>
                <w:sz w:val="24"/>
                <w:highlight w:val="none"/>
                <w:lang w:val="en-US" w:eastAsia="zh-CN"/>
              </w:rPr>
              <w:t>根据项目理解提供板凳龙非遗体验馆整体区域效果图、手绘墙面广告示意图、墙面效果图、大屏效果图、投影效果图</w:t>
            </w:r>
            <w:r>
              <w:rPr>
                <w:rFonts w:hint="eastAsia" w:ascii="宋体" w:hAnsi="宋体" w:cs="宋体"/>
                <w:color w:val="auto"/>
                <w:kern w:val="0"/>
                <w:sz w:val="24"/>
                <w:highlight w:val="none"/>
                <w:lang w:val="en-US" w:eastAsia="zh-CN"/>
              </w:rPr>
              <w:t>、进村口廊道灯光亮化效果图</w:t>
            </w:r>
            <w:r>
              <w:rPr>
                <w:rFonts w:hint="eastAsia" w:ascii="宋体" w:hAnsi="宋体" w:eastAsia="宋体" w:cs="宋体"/>
                <w:color w:val="auto"/>
                <w:kern w:val="0"/>
                <w:sz w:val="24"/>
                <w:highlight w:val="none"/>
                <w:lang w:val="en-US" w:eastAsia="zh-CN"/>
              </w:rPr>
              <w:t>共</w:t>
            </w:r>
            <w:r>
              <w:rPr>
                <w:rFonts w:hint="eastAsia" w:ascii="宋体" w:hAnsi="宋体" w:cs="宋体"/>
                <w:color w:val="auto"/>
                <w:kern w:val="0"/>
                <w:sz w:val="24"/>
                <w:highlight w:val="none"/>
                <w:lang w:val="en-US" w:eastAsia="zh-CN"/>
              </w:rPr>
              <w:t>6</w:t>
            </w:r>
            <w:r>
              <w:rPr>
                <w:rFonts w:hint="eastAsia" w:ascii="宋体" w:hAnsi="宋体" w:eastAsia="宋体" w:cs="宋体"/>
                <w:color w:val="auto"/>
                <w:kern w:val="0"/>
                <w:sz w:val="24"/>
                <w:highlight w:val="none"/>
                <w:lang w:val="en-US" w:eastAsia="zh-CN"/>
              </w:rPr>
              <w:t>份。</w:t>
            </w:r>
          </w:p>
          <w:p>
            <w:pPr>
              <w:widowControl/>
              <w:spacing w:line="24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①效果图、示意图全面详尽，符合实际情况的得</w:t>
            </w:r>
            <w:r>
              <w:rPr>
                <w:rFonts w:hint="eastAsia" w:ascii="宋体" w:hAnsi="宋体" w:cs="宋体"/>
                <w:color w:val="auto"/>
                <w:kern w:val="0"/>
                <w:sz w:val="24"/>
                <w:highlight w:val="none"/>
                <w:lang w:val="en-US" w:eastAsia="zh-CN"/>
              </w:rPr>
              <w:t>6</w:t>
            </w:r>
            <w:r>
              <w:rPr>
                <w:rFonts w:hint="eastAsia" w:ascii="宋体" w:hAnsi="宋体" w:eastAsia="宋体" w:cs="宋体"/>
                <w:color w:val="auto"/>
                <w:kern w:val="0"/>
                <w:sz w:val="24"/>
                <w:highlight w:val="none"/>
                <w:lang w:val="en-US" w:eastAsia="zh-CN"/>
              </w:rPr>
              <w:t>分；</w:t>
            </w:r>
          </w:p>
          <w:p>
            <w:pPr>
              <w:widowControl/>
              <w:spacing w:line="24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②效果图、示意图较全面详尽，较符合实际情况的得</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lang w:val="en-US" w:eastAsia="zh-CN"/>
              </w:rPr>
              <w:t>分；</w:t>
            </w:r>
          </w:p>
          <w:p>
            <w:pPr>
              <w:widowControl/>
              <w:spacing w:line="24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③效果图、示意图基本全面，基本符合实际情况的得</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分；</w:t>
            </w:r>
          </w:p>
          <w:p>
            <w:pPr>
              <w:widowControl/>
              <w:spacing w:line="24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④效果图、示意图不全面或不符合实际情况的得</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en-US" w:eastAsia="zh-CN"/>
              </w:rPr>
              <w:t>分；</w:t>
            </w:r>
          </w:p>
          <w:p>
            <w:pPr>
              <w:widowControl/>
              <w:spacing w:line="24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⑤效果图、示意图明显存在缺陷的得</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分；</w:t>
            </w:r>
          </w:p>
          <w:p>
            <w:pPr>
              <w:widowControl/>
              <w:spacing w:line="24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⑥未提供相应内容的不得分。</w:t>
            </w:r>
            <w:bookmarkEnd w:id="407"/>
          </w:p>
        </w:tc>
        <w:tc>
          <w:tcPr>
            <w:tcW w:w="803" w:type="dxa"/>
            <w:vAlign w:val="center"/>
          </w:tcPr>
          <w:p>
            <w:pPr>
              <w:spacing w:line="24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1127" w:type="dxa"/>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c>
          <w:tcPr>
            <w:tcW w:w="1685" w:type="dxa"/>
            <w:vAlign w:val="center"/>
          </w:tcPr>
          <w:p>
            <w:pPr>
              <w:spacing w:line="240" w:lineRule="auto"/>
              <w:jc w:val="center"/>
              <w:outlineLvl w:val="0"/>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548" w:type="dxa"/>
            <w:vAlign w:val="center"/>
          </w:tcPr>
          <w:p>
            <w:pPr>
              <w:spacing w:line="240" w:lineRule="auto"/>
              <w:jc w:val="center"/>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p>
        </w:tc>
        <w:tc>
          <w:tcPr>
            <w:tcW w:w="4824" w:type="dxa"/>
            <w:vAlign w:val="center"/>
          </w:tcPr>
          <w:p>
            <w:pPr>
              <w:widowControl/>
              <w:spacing w:line="240" w:lineRule="auto"/>
              <w:rPr>
                <w:rFonts w:hint="eastAsia" w:ascii="宋体" w:hAnsi="宋体" w:eastAsia="宋体" w:cs="宋体"/>
                <w:color w:val="auto"/>
                <w:kern w:val="0"/>
                <w:sz w:val="24"/>
                <w:highlight w:val="none"/>
                <w:lang w:eastAsia="zh-CN"/>
              </w:rPr>
            </w:pPr>
            <w:bookmarkStart w:id="408" w:name="OLE_LINK16"/>
            <w:r>
              <w:rPr>
                <w:rFonts w:hint="eastAsia" w:ascii="宋体" w:hAnsi="宋体" w:eastAsia="宋体" w:cs="宋体"/>
                <w:color w:val="auto"/>
                <w:kern w:val="0"/>
                <w:sz w:val="24"/>
                <w:highlight w:val="none"/>
                <w:lang w:eastAsia="zh-CN"/>
              </w:rPr>
              <w:t>投标人拟派本项目的项目负责人具有有效的高级工程师（信息技术）证书</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lang w:eastAsia="zh-CN"/>
              </w:rPr>
              <w:t>注册信息安全管理人员(CIS0)证书</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lang w:eastAsia="zh-CN"/>
              </w:rPr>
              <w:t>系统集成项目管理工程师</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lang w:eastAsia="zh-CN"/>
              </w:rPr>
              <w:t>PMP证书的，每提供一个得0.5分，最高得2分。</w:t>
            </w:r>
            <w:r>
              <w:rPr>
                <w:rFonts w:hint="eastAsia" w:ascii="宋体" w:hAnsi="宋体" w:eastAsia="宋体" w:cs="宋体"/>
                <w:color w:val="auto"/>
                <w:kern w:val="0"/>
                <w:sz w:val="24"/>
                <w:highlight w:val="none"/>
                <w:lang w:val="en-US" w:eastAsia="zh-CN"/>
              </w:rPr>
              <w:t>（投标文件中需提供拟派本项目的项目负责人相应证书复印件及近三个月在投标单位连续缴纳社保证明材料复印件并加盖公章，不提供不得分。）</w:t>
            </w:r>
            <w:bookmarkEnd w:id="408"/>
          </w:p>
        </w:tc>
        <w:tc>
          <w:tcPr>
            <w:tcW w:w="803" w:type="dxa"/>
            <w:vAlign w:val="center"/>
          </w:tcPr>
          <w:p>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1127" w:type="dxa"/>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客观分</w:t>
            </w:r>
          </w:p>
        </w:tc>
        <w:tc>
          <w:tcPr>
            <w:tcW w:w="1685" w:type="dxa"/>
            <w:vAlign w:val="center"/>
          </w:tcPr>
          <w:p>
            <w:pPr>
              <w:spacing w:line="240" w:lineRule="auto"/>
              <w:jc w:val="center"/>
              <w:outlineLvl w:val="0"/>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48" w:type="dxa"/>
            <w:vAlign w:val="center"/>
          </w:tcPr>
          <w:p>
            <w:pPr>
              <w:spacing w:line="240" w:lineRule="auto"/>
              <w:jc w:val="center"/>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w:t>
            </w:r>
          </w:p>
        </w:tc>
        <w:tc>
          <w:tcPr>
            <w:tcW w:w="4824" w:type="dxa"/>
            <w:vAlign w:val="center"/>
          </w:tcPr>
          <w:p>
            <w:pPr>
              <w:widowControl/>
              <w:spacing w:line="240" w:lineRule="auto"/>
              <w:rPr>
                <w:rFonts w:hint="eastAsia" w:ascii="宋体" w:hAnsi="宋体" w:eastAsia="宋体" w:cs="宋体"/>
                <w:color w:val="auto"/>
                <w:kern w:val="0"/>
                <w:sz w:val="24"/>
                <w:highlight w:val="none"/>
                <w:lang w:eastAsia="zh-CN"/>
              </w:rPr>
            </w:pPr>
            <w:bookmarkStart w:id="409" w:name="OLE_LINK17"/>
            <w:r>
              <w:rPr>
                <w:rFonts w:hint="eastAsia" w:ascii="宋体" w:hAnsi="宋体" w:eastAsia="宋体" w:cs="宋体"/>
                <w:color w:val="auto"/>
                <w:kern w:val="0"/>
                <w:sz w:val="24"/>
                <w:highlight w:val="none"/>
                <w:lang w:eastAsia="zh-CN"/>
              </w:rPr>
              <w:t>投标人拟派本项目的技术负责人具有有效的注册信息安全工程师（CISE）</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lang w:eastAsia="zh-CN"/>
              </w:rPr>
              <w:t>信息系统项目管理师证书（高级）</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lang w:eastAsia="zh-CN"/>
              </w:rPr>
              <w:t>信息安全保障人员认证证书</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lang w:eastAsia="zh-CN"/>
              </w:rPr>
              <w:t>PMP证书的，每提供一个得0.5分，最高得2分。</w:t>
            </w:r>
            <w:r>
              <w:rPr>
                <w:rFonts w:hint="eastAsia" w:ascii="宋体" w:hAnsi="宋体" w:eastAsia="宋体" w:cs="宋体"/>
                <w:color w:val="auto"/>
                <w:sz w:val="24"/>
                <w:szCs w:val="24"/>
                <w:highlight w:val="none"/>
                <w:lang w:val="en-US" w:eastAsia="zh-CN"/>
              </w:rPr>
              <w:t>（投标文件中需提供拟派本项目的技术负责人相应证书复印件及近三个月在投标单位连续缴纳社保证明材料复印件并加盖公章，不提供不得分。）</w:t>
            </w:r>
            <w:bookmarkEnd w:id="409"/>
          </w:p>
        </w:tc>
        <w:tc>
          <w:tcPr>
            <w:tcW w:w="803" w:type="dxa"/>
            <w:vAlign w:val="center"/>
          </w:tcPr>
          <w:p>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1127" w:type="dxa"/>
            <w:vAlign w:val="center"/>
          </w:tcPr>
          <w:p>
            <w:pPr>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客观分</w:t>
            </w:r>
          </w:p>
        </w:tc>
        <w:tc>
          <w:tcPr>
            <w:tcW w:w="1685" w:type="dxa"/>
            <w:vAlign w:val="center"/>
          </w:tcPr>
          <w:p>
            <w:pPr>
              <w:spacing w:line="240" w:lineRule="auto"/>
              <w:jc w:val="center"/>
              <w:outlineLvl w:val="0"/>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48" w:type="dxa"/>
            <w:vAlign w:val="center"/>
          </w:tcPr>
          <w:p>
            <w:pPr>
              <w:spacing w:line="240" w:lineRule="auto"/>
              <w:jc w:val="center"/>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4824" w:type="dxa"/>
            <w:vAlign w:val="center"/>
          </w:tcPr>
          <w:p>
            <w:pPr>
              <w:widowControl/>
              <w:spacing w:line="240" w:lineRule="auto"/>
              <w:rPr>
                <w:rFonts w:hint="eastAsia" w:ascii="宋体" w:hAnsi="宋体" w:eastAsia="宋体" w:cs="宋体"/>
                <w:color w:val="auto"/>
                <w:sz w:val="24"/>
                <w:szCs w:val="24"/>
                <w:highlight w:val="none"/>
                <w:lang w:val="en-US" w:eastAsia="zh-CN"/>
              </w:rPr>
            </w:pPr>
            <w:bookmarkStart w:id="410" w:name="OLE_LINK18"/>
            <w:r>
              <w:rPr>
                <w:rFonts w:hint="eastAsia" w:ascii="宋体" w:hAnsi="宋体" w:eastAsia="宋体" w:cs="宋体"/>
                <w:color w:val="auto"/>
                <w:sz w:val="24"/>
                <w:szCs w:val="24"/>
                <w:highlight w:val="none"/>
                <w:lang w:val="en-US" w:eastAsia="zh-CN"/>
              </w:rPr>
              <w:t>投标人拟派本项目的项目组成员(除项目负责人、技术负责人外)具有</w:t>
            </w:r>
            <w:r>
              <w:rPr>
                <w:rFonts w:hint="eastAsia" w:ascii="宋体" w:hAnsi="宋体" w:cs="宋体"/>
                <w:color w:val="auto"/>
                <w:sz w:val="24"/>
                <w:szCs w:val="24"/>
                <w:highlight w:val="none"/>
                <w:lang w:val="en-US" w:eastAsia="zh-CN"/>
              </w:rPr>
              <w:t>有效的</w:t>
            </w:r>
            <w:r>
              <w:rPr>
                <w:rFonts w:hint="eastAsia" w:ascii="宋体" w:hAnsi="宋体" w:eastAsia="宋体" w:cs="宋体"/>
                <w:color w:val="auto"/>
                <w:sz w:val="24"/>
                <w:szCs w:val="24"/>
                <w:highlight w:val="none"/>
                <w:lang w:val="en-US" w:eastAsia="zh-CN"/>
              </w:rPr>
              <w:t>中级及以上职称证书的，每提供一人次得0.5分，最高得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bookmarkEnd w:id="410"/>
          </w:p>
        </w:tc>
        <w:tc>
          <w:tcPr>
            <w:tcW w:w="803" w:type="dxa"/>
            <w:vAlign w:val="center"/>
          </w:tcPr>
          <w:p>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1127" w:type="dxa"/>
            <w:vAlign w:val="center"/>
          </w:tcPr>
          <w:p>
            <w:pPr>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客观分</w:t>
            </w:r>
          </w:p>
        </w:tc>
        <w:tc>
          <w:tcPr>
            <w:tcW w:w="1685" w:type="dxa"/>
            <w:vAlign w:val="center"/>
          </w:tcPr>
          <w:p>
            <w:pPr>
              <w:spacing w:line="240" w:lineRule="auto"/>
              <w:jc w:val="center"/>
              <w:outlineLvl w:val="0"/>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48" w:type="dxa"/>
            <w:vAlign w:val="center"/>
          </w:tcPr>
          <w:p>
            <w:pPr>
              <w:spacing w:line="240" w:lineRule="auto"/>
              <w:jc w:val="center"/>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w:t>
            </w:r>
          </w:p>
        </w:tc>
        <w:tc>
          <w:tcPr>
            <w:tcW w:w="4824" w:type="dxa"/>
            <w:vAlign w:val="center"/>
          </w:tcPr>
          <w:p>
            <w:pPr>
              <w:widowControl/>
              <w:numPr>
                <w:ilvl w:val="0"/>
                <w:numId w:val="0"/>
              </w:num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投标人按相应功能要求提供演示视频，演示时间控制在20分钟内，演示要求如下：</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一、棋艺交互需具备：</w:t>
            </w:r>
          </w:p>
          <w:p>
            <w:pPr>
              <w:widowControl/>
              <w:numPr>
                <w:ilvl w:val="0"/>
                <w:numId w:val="0"/>
              </w:num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数字棋艺台自带16种功能模块：中国象棋、围棋、五子棋、国际象棋、国际跳棋、军旗、飞行棋、跳棋、蛇棋、黑白棋、扫雷、植物大战僵尸、连连看、斗兽棋、数字华容道、蜘蛛纸牌。演示全部满足的得2分，每少一项扣0.5分，扣完为止。</w:t>
            </w:r>
          </w:p>
          <w:p>
            <w:pPr>
              <w:widowControl/>
              <w:numPr>
                <w:ilvl w:val="0"/>
                <w:numId w:val="0"/>
              </w:num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中国象棋模块：支持双人对弈或电脑对弈；棋牌面功能包含棋谱术语、求和功能、悔棋功能、认输功能、保存棋局；'装载棋局'支持保存的象棋棋局再次装载供用户继续对弈；'残局闯关'内置10组象棋残局供用户进行闯关练习；'象棋知识'支持用户学习有关象棋的知识；'视频教学'支持用户观看象棋教学视频。演示全部满足的得2分，每少一项扣0.5分，扣完为止。</w:t>
            </w:r>
          </w:p>
          <w:p>
            <w:pPr>
              <w:widowControl/>
              <w:numPr>
                <w:ilvl w:val="0"/>
                <w:numId w:val="0"/>
              </w:num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围棋模块：支持真人双人对弈；棋牌面功能包含求和功能、认输功能、悔棋功能；'知识欣赏'支持用户学习了解有关围棋的知识；'视频教学'支持用户观看围棋教学视频。演示全部满足的得1分，每少一项扣0.5分，扣完为止。</w:t>
            </w:r>
          </w:p>
          <w:p>
            <w:pPr>
              <w:widowControl/>
              <w:numPr>
                <w:ilvl w:val="0"/>
                <w:numId w:val="0"/>
              </w:num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4.五子棋模块：支持双人对弈或人机对战；棋牌面功能包含下棋顺序、认输功能、悔棋功能。演示全部满足的得1分，每少一项扣0.5分，扣完为止。</w:t>
            </w:r>
          </w:p>
          <w:p>
            <w:pPr>
              <w:widowControl/>
              <w:numPr>
                <w:ilvl w:val="0"/>
                <w:numId w:val="0"/>
              </w:num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5.国际象棋模块：支持人机对战和双人对弈；支持查看游戏规则了解游戏玩法；支持自动功能、切换功能、速度功能。演示全部满足的得1分，每少一项扣0.5分，扣完为止。</w:t>
            </w:r>
          </w:p>
          <w:p>
            <w:pPr>
              <w:widowControl/>
              <w:numPr>
                <w:ilvl w:val="0"/>
                <w:numId w:val="0"/>
              </w:num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6.国际跳棋模块：支持人机对战和双人对弈；人机对战支持自由选择。演示全部满足的得1分，每少一项扣0.5分，扣完为止。</w:t>
            </w:r>
          </w:p>
          <w:p>
            <w:pPr>
              <w:widowControl/>
              <w:numPr>
                <w:ilvl w:val="0"/>
                <w:numId w:val="0"/>
              </w:num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（需提供演示演说的现场拍摄的视频20分钟之内，仅提供PPT演示不得分）</w:t>
            </w:r>
          </w:p>
        </w:tc>
        <w:tc>
          <w:tcPr>
            <w:tcW w:w="803" w:type="dxa"/>
            <w:vAlign w:val="center"/>
          </w:tcPr>
          <w:p>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p>
        </w:tc>
        <w:tc>
          <w:tcPr>
            <w:tcW w:w="1127" w:type="dxa"/>
            <w:vAlign w:val="center"/>
          </w:tcPr>
          <w:p>
            <w:pPr>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客观分</w:t>
            </w:r>
          </w:p>
        </w:tc>
        <w:tc>
          <w:tcPr>
            <w:tcW w:w="1685" w:type="dxa"/>
            <w:vAlign w:val="center"/>
          </w:tcPr>
          <w:p>
            <w:pPr>
              <w:spacing w:line="240" w:lineRule="auto"/>
              <w:jc w:val="center"/>
              <w:outlineLvl w:val="0"/>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548" w:type="dxa"/>
            <w:vAlign w:val="center"/>
          </w:tcPr>
          <w:p>
            <w:pPr>
              <w:spacing w:line="240" w:lineRule="auto"/>
              <w:jc w:val="center"/>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4824" w:type="dxa"/>
            <w:shd w:val="clear" w:color="auto" w:fill="auto"/>
            <w:vAlign w:val="center"/>
          </w:tcPr>
          <w:p>
            <w:pPr>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根据投标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是否踏勘情况，提供采购单位踏勘确认书的得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分。（以采购单位出具的现场踏勘证明材料为准，投标文件中需提供现场踏勘证明材料复印件并加盖公章，不提供不得分）</w:t>
            </w:r>
          </w:p>
        </w:tc>
        <w:tc>
          <w:tcPr>
            <w:tcW w:w="803" w:type="dxa"/>
            <w:shd w:val="clear" w:color="auto" w:fill="auto"/>
            <w:vAlign w:val="center"/>
          </w:tcPr>
          <w:p>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w:t>
            </w:r>
          </w:p>
        </w:tc>
        <w:tc>
          <w:tcPr>
            <w:tcW w:w="1127" w:type="dxa"/>
            <w:shd w:val="clear" w:color="auto" w:fill="auto"/>
            <w:vAlign w:val="center"/>
          </w:tcPr>
          <w:p>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eastAsia="zh-CN"/>
              </w:rPr>
              <w:t>客</w:t>
            </w:r>
            <w:r>
              <w:rPr>
                <w:rFonts w:hint="eastAsia" w:ascii="宋体" w:hAnsi="宋体" w:eastAsia="宋体" w:cs="宋体"/>
                <w:color w:val="auto"/>
                <w:sz w:val="24"/>
                <w:highlight w:val="none"/>
              </w:rPr>
              <w:t>观分</w:t>
            </w:r>
          </w:p>
        </w:tc>
        <w:tc>
          <w:tcPr>
            <w:tcW w:w="1685" w:type="dxa"/>
            <w:shd w:val="clear" w:color="auto" w:fill="auto"/>
            <w:vAlign w:val="center"/>
          </w:tcPr>
          <w:p>
            <w:pPr>
              <w:spacing w:line="240" w:lineRule="auto"/>
              <w:jc w:val="center"/>
              <w:outlineLvl w:val="0"/>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4" w:hRule="atLeast"/>
        </w:trPr>
        <w:tc>
          <w:tcPr>
            <w:tcW w:w="548" w:type="dxa"/>
            <w:vAlign w:val="center"/>
          </w:tcPr>
          <w:p>
            <w:pPr>
              <w:spacing w:line="240" w:lineRule="auto"/>
              <w:jc w:val="center"/>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w:t>
            </w:r>
          </w:p>
        </w:tc>
        <w:tc>
          <w:tcPr>
            <w:tcW w:w="4824" w:type="dxa"/>
            <w:vAlign w:val="center"/>
          </w:tcPr>
          <w:p>
            <w:pPr>
              <w:jc w:val="left"/>
              <w:rPr>
                <w:rFonts w:hint="eastAsia" w:ascii="宋体" w:hAnsi="宋体" w:eastAsia="宋体" w:cs="宋体"/>
                <w:color w:val="auto"/>
                <w:sz w:val="24"/>
                <w:szCs w:val="24"/>
                <w:highlight w:val="none"/>
              </w:rPr>
            </w:pPr>
            <w:bookmarkStart w:id="411" w:name="OLE_LINK19"/>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根据现场踏勘提出合理化建议，且提出相应的措施方案，根据其内容情况进行打分，最高得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pPr>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①建议与措施全面详尽，合理，符合实际情况的得</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分；</w:t>
            </w:r>
          </w:p>
          <w:p>
            <w:pPr>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②建议与措施基本全面，基本符合实际情况的得</w:t>
            </w:r>
            <w:r>
              <w:rPr>
                <w:rFonts w:hint="eastAsia" w:ascii="宋体" w:hAnsi="宋体" w:cs="宋体"/>
                <w:color w:val="auto"/>
                <w:kern w:val="0"/>
                <w:sz w:val="24"/>
                <w:highlight w:val="none"/>
                <w:lang w:val="en-US" w:eastAsia="zh-CN"/>
              </w:rPr>
              <w:t>0.6</w:t>
            </w:r>
            <w:r>
              <w:rPr>
                <w:rFonts w:hint="eastAsia" w:ascii="宋体" w:hAnsi="宋体" w:eastAsia="宋体" w:cs="宋体"/>
                <w:color w:val="auto"/>
                <w:kern w:val="0"/>
                <w:sz w:val="24"/>
                <w:highlight w:val="none"/>
                <w:lang w:val="en-US" w:eastAsia="zh-CN"/>
              </w:rPr>
              <w:t>分；</w:t>
            </w:r>
          </w:p>
          <w:p>
            <w:pPr>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③建议与措施不全面或不符合实际情况的得</w:t>
            </w:r>
            <w:r>
              <w:rPr>
                <w:rFonts w:hint="eastAsia" w:ascii="宋体" w:hAnsi="宋体" w:cs="宋体"/>
                <w:color w:val="auto"/>
                <w:kern w:val="0"/>
                <w:sz w:val="24"/>
                <w:highlight w:val="none"/>
                <w:lang w:val="en-US" w:eastAsia="zh-CN"/>
              </w:rPr>
              <w:t>0.2</w:t>
            </w:r>
            <w:r>
              <w:rPr>
                <w:rFonts w:hint="eastAsia" w:ascii="宋体" w:hAnsi="宋体" w:eastAsia="宋体" w:cs="宋体"/>
                <w:color w:val="auto"/>
                <w:kern w:val="0"/>
                <w:sz w:val="24"/>
                <w:highlight w:val="none"/>
                <w:lang w:val="en-US" w:eastAsia="zh-CN"/>
              </w:rPr>
              <w:t>分；</w:t>
            </w:r>
          </w:p>
          <w:p>
            <w:pPr>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④未提供相应内容的不得分。</w:t>
            </w:r>
            <w:bookmarkEnd w:id="411"/>
          </w:p>
        </w:tc>
        <w:tc>
          <w:tcPr>
            <w:tcW w:w="803" w:type="dxa"/>
            <w:vAlign w:val="center"/>
          </w:tcPr>
          <w:p>
            <w:pPr>
              <w:spacing w:line="24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1127" w:type="dxa"/>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c>
          <w:tcPr>
            <w:tcW w:w="1685" w:type="dxa"/>
            <w:vAlign w:val="center"/>
          </w:tcPr>
          <w:p>
            <w:pPr>
              <w:spacing w:line="240" w:lineRule="auto"/>
              <w:jc w:val="center"/>
              <w:outlineLvl w:val="0"/>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548" w:type="dxa"/>
            <w:vAlign w:val="center"/>
          </w:tcPr>
          <w:p>
            <w:pPr>
              <w:spacing w:line="240" w:lineRule="auto"/>
              <w:jc w:val="center"/>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4824" w:type="dxa"/>
            <w:vAlign w:val="center"/>
          </w:tcPr>
          <w:p>
            <w:pPr>
              <w:pStyle w:val="83"/>
              <w:widowControl w:val="0"/>
              <w:ind w:firstLine="0" w:firstLineChars="0"/>
              <w:rPr>
                <w:rFonts w:hint="eastAsia" w:ascii="宋体" w:hAnsi="宋体" w:eastAsia="宋体" w:cs="宋体"/>
                <w:color w:val="auto"/>
                <w:sz w:val="24"/>
                <w:highlight w:val="none"/>
                <w:lang w:val="zh-CN" w:eastAsia="zh-CN"/>
              </w:rPr>
            </w:pPr>
            <w:bookmarkStart w:id="412" w:name="OLE_LINK20"/>
            <w:r>
              <w:rPr>
                <w:rFonts w:hint="eastAsia" w:ascii="宋体" w:hAnsi="宋体" w:eastAsia="宋体" w:cs="宋体"/>
                <w:color w:val="auto"/>
                <w:sz w:val="24"/>
                <w:highlight w:val="none"/>
                <w:lang w:val="zh-CN"/>
              </w:rPr>
              <w:t>根据投标人售后服务方案（包括售后服务的响应情况、售后服务具体措施、售后服务机构、售后服务人员等）</w:t>
            </w:r>
            <w:r>
              <w:rPr>
                <w:rFonts w:hint="eastAsia" w:ascii="宋体" w:hAnsi="宋体" w:eastAsia="宋体" w:cs="宋体"/>
                <w:color w:val="auto"/>
                <w:sz w:val="24"/>
                <w:highlight w:val="none"/>
                <w:lang w:val="zh-CN" w:eastAsia="zh-CN"/>
              </w:rPr>
              <w:t>进行打分，最高得</w:t>
            </w:r>
            <w:r>
              <w:rPr>
                <w:rFonts w:hint="eastAsia" w:hAnsi="宋体" w:cs="宋体"/>
                <w:color w:val="auto"/>
                <w:sz w:val="24"/>
                <w:highlight w:val="none"/>
                <w:lang w:val="en-US" w:eastAsia="zh-CN"/>
              </w:rPr>
              <w:t>5</w:t>
            </w:r>
            <w:r>
              <w:rPr>
                <w:rFonts w:hint="eastAsia" w:ascii="宋体" w:hAnsi="宋体" w:eastAsia="宋体" w:cs="宋体"/>
                <w:color w:val="auto"/>
                <w:sz w:val="24"/>
                <w:highlight w:val="none"/>
                <w:lang w:val="zh-CN" w:eastAsia="zh-CN"/>
              </w:rPr>
              <w:t>分。</w:t>
            </w:r>
          </w:p>
          <w:p>
            <w:pPr>
              <w:pStyle w:val="83"/>
              <w:widowControl w:val="0"/>
              <w:ind w:firstLine="0" w:firstLineChars="0"/>
              <w:rPr>
                <w:rFonts w:hint="eastAsia" w:ascii="宋体" w:hAnsi="宋体" w:eastAsia="宋体" w:cs="宋体"/>
                <w:color w:val="auto"/>
                <w:sz w:val="24"/>
                <w:szCs w:val="22"/>
                <w:highlight w:val="none"/>
                <w:lang w:val="zh-CN"/>
              </w:rPr>
            </w:pPr>
            <w:r>
              <w:rPr>
                <w:rFonts w:hint="eastAsia" w:ascii="宋体" w:hAnsi="宋体" w:eastAsia="宋体" w:cs="宋体"/>
                <w:color w:val="auto"/>
                <w:sz w:val="24"/>
                <w:szCs w:val="22"/>
                <w:highlight w:val="none"/>
                <w:lang w:val="zh-CN"/>
              </w:rPr>
              <w:t>①方案全面详尽，符合实际情况的得</w:t>
            </w:r>
            <w:r>
              <w:rPr>
                <w:rFonts w:hint="eastAsia" w:hAnsi="宋体" w:cs="宋体"/>
                <w:color w:val="auto"/>
                <w:sz w:val="24"/>
                <w:szCs w:val="22"/>
                <w:highlight w:val="none"/>
                <w:lang w:val="en-US" w:eastAsia="zh-CN"/>
              </w:rPr>
              <w:t>5</w:t>
            </w:r>
            <w:r>
              <w:rPr>
                <w:rFonts w:hint="eastAsia" w:ascii="宋体" w:hAnsi="宋体" w:eastAsia="宋体" w:cs="宋体"/>
                <w:color w:val="auto"/>
                <w:sz w:val="24"/>
                <w:szCs w:val="22"/>
                <w:highlight w:val="none"/>
                <w:lang w:val="zh-CN"/>
              </w:rPr>
              <w:t>分；</w:t>
            </w:r>
          </w:p>
          <w:p>
            <w:pPr>
              <w:pStyle w:val="83"/>
              <w:widowControl w:val="0"/>
              <w:ind w:firstLine="0" w:firstLineChars="0"/>
              <w:rPr>
                <w:rFonts w:hint="eastAsia" w:ascii="宋体" w:hAnsi="宋体" w:eastAsia="宋体" w:cs="宋体"/>
                <w:color w:val="auto"/>
                <w:sz w:val="24"/>
                <w:szCs w:val="22"/>
                <w:highlight w:val="none"/>
                <w:lang w:val="zh-CN"/>
              </w:rPr>
            </w:pPr>
            <w:r>
              <w:rPr>
                <w:rFonts w:hint="eastAsia" w:ascii="宋体" w:hAnsi="宋体" w:eastAsia="宋体" w:cs="宋体"/>
                <w:color w:val="auto"/>
                <w:sz w:val="24"/>
                <w:szCs w:val="22"/>
                <w:highlight w:val="none"/>
                <w:lang w:val="zh-CN"/>
              </w:rPr>
              <w:t>②方案较全面详尽，较符合实际情况的得</w:t>
            </w:r>
            <w:r>
              <w:rPr>
                <w:rFonts w:hint="eastAsia" w:hAnsi="宋体" w:cs="宋体"/>
                <w:color w:val="auto"/>
                <w:sz w:val="24"/>
                <w:szCs w:val="22"/>
                <w:highlight w:val="none"/>
                <w:lang w:val="en-US" w:eastAsia="zh-CN"/>
              </w:rPr>
              <w:t>4</w:t>
            </w:r>
            <w:r>
              <w:rPr>
                <w:rFonts w:hint="eastAsia" w:ascii="宋体" w:hAnsi="宋体" w:eastAsia="宋体" w:cs="宋体"/>
                <w:color w:val="auto"/>
                <w:sz w:val="24"/>
                <w:szCs w:val="22"/>
                <w:highlight w:val="none"/>
                <w:lang w:val="zh-CN"/>
              </w:rPr>
              <w:t>分；</w:t>
            </w:r>
          </w:p>
          <w:p>
            <w:pPr>
              <w:pStyle w:val="83"/>
              <w:widowControl w:val="0"/>
              <w:ind w:firstLine="0" w:firstLineChars="0"/>
              <w:rPr>
                <w:rFonts w:hint="eastAsia" w:ascii="宋体" w:hAnsi="宋体" w:eastAsia="宋体" w:cs="宋体"/>
                <w:color w:val="auto"/>
                <w:sz w:val="24"/>
                <w:szCs w:val="22"/>
                <w:highlight w:val="none"/>
                <w:lang w:val="zh-CN"/>
              </w:rPr>
            </w:pPr>
            <w:r>
              <w:rPr>
                <w:rFonts w:hint="eastAsia" w:ascii="宋体" w:hAnsi="宋体" w:eastAsia="宋体" w:cs="宋体"/>
                <w:color w:val="auto"/>
                <w:sz w:val="24"/>
                <w:szCs w:val="22"/>
                <w:highlight w:val="none"/>
                <w:lang w:val="zh-CN"/>
              </w:rPr>
              <w:t>③方案基本全面，基本符合实际情况的得</w:t>
            </w:r>
            <w:r>
              <w:rPr>
                <w:rFonts w:hint="eastAsia" w:hAnsi="宋体" w:cs="宋体"/>
                <w:color w:val="auto"/>
                <w:sz w:val="24"/>
                <w:szCs w:val="22"/>
                <w:highlight w:val="none"/>
                <w:lang w:val="en-US" w:eastAsia="zh-CN"/>
              </w:rPr>
              <w:t>3</w:t>
            </w:r>
            <w:r>
              <w:rPr>
                <w:rFonts w:hint="eastAsia" w:ascii="宋体" w:hAnsi="宋体" w:eastAsia="宋体" w:cs="宋体"/>
                <w:color w:val="auto"/>
                <w:sz w:val="24"/>
                <w:szCs w:val="22"/>
                <w:highlight w:val="none"/>
                <w:lang w:val="zh-CN"/>
              </w:rPr>
              <w:t>分；</w:t>
            </w:r>
          </w:p>
          <w:p>
            <w:pPr>
              <w:pStyle w:val="83"/>
              <w:widowControl w:val="0"/>
              <w:ind w:firstLine="0" w:firstLineChars="0"/>
              <w:rPr>
                <w:rFonts w:hint="eastAsia" w:ascii="宋体" w:hAnsi="宋体" w:eastAsia="宋体" w:cs="宋体"/>
                <w:color w:val="auto"/>
                <w:sz w:val="24"/>
                <w:szCs w:val="22"/>
                <w:highlight w:val="none"/>
                <w:lang w:val="zh-CN"/>
              </w:rPr>
            </w:pPr>
            <w:r>
              <w:rPr>
                <w:rFonts w:hint="eastAsia" w:ascii="宋体" w:hAnsi="宋体" w:eastAsia="宋体" w:cs="宋体"/>
                <w:color w:val="auto"/>
                <w:sz w:val="24"/>
                <w:szCs w:val="22"/>
                <w:highlight w:val="none"/>
                <w:lang w:val="zh-CN"/>
              </w:rPr>
              <w:t>④方案不全面或不符合实际情况的得</w:t>
            </w:r>
            <w:r>
              <w:rPr>
                <w:rFonts w:hint="eastAsia" w:hAnsi="宋体" w:cs="宋体"/>
                <w:color w:val="auto"/>
                <w:sz w:val="24"/>
                <w:szCs w:val="22"/>
                <w:highlight w:val="none"/>
                <w:lang w:val="en-US" w:eastAsia="zh-CN"/>
              </w:rPr>
              <w:t>2</w:t>
            </w:r>
            <w:r>
              <w:rPr>
                <w:rFonts w:hint="eastAsia" w:ascii="宋体" w:hAnsi="宋体" w:eastAsia="宋体" w:cs="宋体"/>
                <w:color w:val="auto"/>
                <w:sz w:val="24"/>
                <w:szCs w:val="22"/>
                <w:highlight w:val="none"/>
                <w:lang w:val="zh-CN"/>
              </w:rPr>
              <w:t>分；</w:t>
            </w:r>
          </w:p>
          <w:p>
            <w:pPr>
              <w:pStyle w:val="83"/>
              <w:widowControl w:val="0"/>
              <w:ind w:firstLine="0" w:firstLineChars="0"/>
              <w:rPr>
                <w:rFonts w:hint="eastAsia" w:ascii="宋体" w:hAnsi="宋体" w:eastAsia="宋体" w:cs="宋体"/>
                <w:color w:val="auto"/>
                <w:sz w:val="24"/>
                <w:szCs w:val="22"/>
                <w:highlight w:val="none"/>
                <w:lang w:val="zh-CN"/>
              </w:rPr>
            </w:pPr>
            <w:r>
              <w:rPr>
                <w:rFonts w:hint="eastAsia" w:ascii="宋体" w:hAnsi="宋体" w:eastAsia="宋体" w:cs="宋体"/>
                <w:color w:val="auto"/>
                <w:sz w:val="24"/>
                <w:szCs w:val="22"/>
                <w:highlight w:val="none"/>
                <w:lang w:val="zh-CN"/>
              </w:rPr>
              <w:t>⑤方案明显存在缺陷的得1分；</w:t>
            </w:r>
          </w:p>
          <w:p>
            <w:pPr>
              <w:pStyle w:val="83"/>
              <w:widowControl w:val="0"/>
              <w:ind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szCs w:val="22"/>
                <w:highlight w:val="none"/>
                <w:lang w:val="zh-CN"/>
              </w:rPr>
              <w:t>⑥未提供相应内容的不得分。</w:t>
            </w:r>
            <w:bookmarkEnd w:id="412"/>
          </w:p>
        </w:tc>
        <w:tc>
          <w:tcPr>
            <w:tcW w:w="803" w:type="dxa"/>
            <w:vAlign w:val="center"/>
          </w:tcPr>
          <w:p>
            <w:pPr>
              <w:spacing w:line="24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127" w:type="dxa"/>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c>
          <w:tcPr>
            <w:tcW w:w="1685" w:type="dxa"/>
            <w:vAlign w:val="center"/>
          </w:tcPr>
          <w:p>
            <w:pPr>
              <w:spacing w:line="240" w:lineRule="auto"/>
              <w:jc w:val="center"/>
              <w:outlineLvl w:val="0"/>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548" w:type="dxa"/>
            <w:vAlign w:val="center"/>
          </w:tcPr>
          <w:p>
            <w:pPr>
              <w:spacing w:line="240" w:lineRule="auto"/>
              <w:jc w:val="center"/>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4824" w:type="dxa"/>
            <w:vAlign w:val="center"/>
          </w:tcPr>
          <w:p>
            <w:pPr>
              <w:pStyle w:val="83"/>
              <w:widowControl w:val="0"/>
              <w:ind w:firstLine="0" w:firstLineChars="0"/>
              <w:rPr>
                <w:rFonts w:hint="eastAsia" w:ascii="宋体" w:hAnsi="宋体" w:eastAsia="宋体" w:cs="宋体"/>
                <w:color w:val="auto"/>
                <w:sz w:val="24"/>
                <w:szCs w:val="22"/>
                <w:highlight w:val="none"/>
                <w:lang w:val="zh-CN" w:eastAsia="zh-CN"/>
              </w:rPr>
            </w:pPr>
            <w:r>
              <w:rPr>
                <w:rFonts w:hint="eastAsia" w:ascii="宋体" w:hAnsi="宋体" w:eastAsia="宋体" w:cs="宋体"/>
                <w:color w:val="auto"/>
                <w:sz w:val="24"/>
                <w:szCs w:val="22"/>
                <w:highlight w:val="none"/>
                <w:lang w:val="zh-CN"/>
              </w:rPr>
              <w:t>投标人具有有效的TL9000电讯业质量管理体系认证证书、ISO/IEC 29100:2011+AMD1:2018《信息技术安全技术隐私框架》、</w:t>
            </w:r>
            <w:bookmarkStart w:id="413" w:name="OLE_LINK3"/>
            <w:r>
              <w:rPr>
                <w:rFonts w:hint="eastAsia" w:ascii="宋体" w:hAnsi="宋体" w:eastAsia="宋体" w:cs="宋体"/>
                <w:color w:val="auto"/>
                <w:sz w:val="24"/>
                <w:szCs w:val="22"/>
                <w:highlight w:val="none"/>
                <w:lang w:val="zh-CN"/>
              </w:rPr>
              <w:t>ISO37301合规管理体系认证证书</w:t>
            </w:r>
            <w:bookmarkEnd w:id="413"/>
            <w:r>
              <w:rPr>
                <w:rFonts w:hint="eastAsia" w:ascii="宋体" w:hAnsi="宋体" w:eastAsia="宋体" w:cs="宋体"/>
                <w:color w:val="auto"/>
                <w:sz w:val="24"/>
                <w:szCs w:val="22"/>
                <w:highlight w:val="none"/>
                <w:lang w:val="zh-CN"/>
              </w:rPr>
              <w:t>、</w:t>
            </w:r>
            <w:bookmarkStart w:id="414" w:name="OLE_LINK23"/>
            <w:r>
              <w:rPr>
                <w:rFonts w:hint="eastAsia" w:ascii="宋体" w:hAnsi="宋体" w:eastAsia="宋体" w:cs="宋体"/>
                <w:color w:val="auto"/>
                <w:sz w:val="24"/>
                <w:szCs w:val="22"/>
                <w:highlight w:val="none"/>
                <w:lang w:val="zh-CN"/>
              </w:rPr>
              <w:t>数据安全能力成熟度模型等级三级</w:t>
            </w:r>
            <w:bookmarkEnd w:id="414"/>
            <w:r>
              <w:rPr>
                <w:rFonts w:hint="eastAsia" w:ascii="宋体" w:hAnsi="宋体" w:eastAsia="宋体" w:cs="宋体"/>
                <w:color w:val="auto"/>
                <w:sz w:val="24"/>
                <w:szCs w:val="22"/>
                <w:highlight w:val="none"/>
                <w:lang w:val="zh-CN"/>
              </w:rPr>
              <w:t>或以上证书的，</w:t>
            </w:r>
            <w:r>
              <w:rPr>
                <w:rFonts w:hint="eastAsia" w:ascii="宋体" w:hAnsi="宋体" w:eastAsia="宋体" w:cs="宋体"/>
                <w:color w:val="auto"/>
                <w:sz w:val="24"/>
                <w:szCs w:val="22"/>
                <w:highlight w:val="none"/>
                <w:lang w:val="zh-CN" w:eastAsia="zh-CN"/>
              </w:rPr>
              <w:t>每提供一个得0.5分，最高得2分。</w:t>
            </w:r>
          </w:p>
          <w:p>
            <w:pPr>
              <w:pStyle w:val="83"/>
              <w:widowControl w:val="0"/>
              <w:ind w:firstLine="0" w:firstLineChars="0"/>
              <w:rPr>
                <w:rFonts w:hint="eastAsia" w:ascii="宋体" w:hAnsi="宋体" w:eastAsia="宋体" w:cs="宋体"/>
                <w:color w:val="auto"/>
                <w:sz w:val="24"/>
                <w:szCs w:val="22"/>
                <w:highlight w:val="none"/>
                <w:lang w:val="zh-CN"/>
              </w:rPr>
            </w:pPr>
            <w:r>
              <w:rPr>
                <w:rFonts w:hint="eastAsia" w:ascii="宋体" w:hAnsi="宋体" w:eastAsia="宋体" w:cs="宋体"/>
                <w:color w:val="auto"/>
                <w:sz w:val="24"/>
                <w:szCs w:val="22"/>
                <w:highlight w:val="none"/>
                <w:lang w:val="zh-CN" w:eastAsia="zh-CN"/>
              </w:rPr>
              <w:t>（投标文件中需提供相应证书复印件并加盖公章，不提供不得分。）</w:t>
            </w:r>
          </w:p>
        </w:tc>
        <w:tc>
          <w:tcPr>
            <w:tcW w:w="803" w:type="dxa"/>
            <w:vAlign w:val="center"/>
          </w:tcPr>
          <w:p>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1127" w:type="dxa"/>
            <w:vAlign w:val="center"/>
          </w:tcPr>
          <w:p>
            <w:pPr>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客观分</w:t>
            </w:r>
          </w:p>
        </w:tc>
        <w:tc>
          <w:tcPr>
            <w:tcW w:w="1685" w:type="dxa"/>
            <w:vAlign w:val="center"/>
          </w:tcPr>
          <w:p>
            <w:pPr>
              <w:spacing w:line="240" w:lineRule="auto"/>
              <w:jc w:val="center"/>
              <w:outlineLvl w:val="0"/>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trPr>
        <w:tc>
          <w:tcPr>
            <w:tcW w:w="548" w:type="dxa"/>
            <w:vAlign w:val="center"/>
          </w:tcPr>
          <w:p>
            <w:pPr>
              <w:spacing w:line="240" w:lineRule="auto"/>
              <w:jc w:val="center"/>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16</w:t>
            </w:r>
          </w:p>
        </w:tc>
        <w:tc>
          <w:tcPr>
            <w:tcW w:w="4824" w:type="dxa"/>
            <w:vAlign w:val="center"/>
          </w:tcPr>
          <w:p>
            <w:pPr>
              <w:spacing w:line="240" w:lineRule="auto"/>
              <w:rPr>
                <w:rFonts w:hint="eastAsia" w:ascii="宋体" w:hAnsi="宋体" w:eastAsia="宋体" w:cs="宋体"/>
                <w:color w:val="auto"/>
                <w:spacing w:val="4"/>
                <w:kern w:val="0"/>
                <w:sz w:val="24"/>
                <w:highlight w:val="none"/>
              </w:rPr>
            </w:pPr>
            <w:r>
              <w:rPr>
                <w:rFonts w:hint="eastAsia" w:ascii="宋体" w:hAnsi="宋体" w:eastAsia="宋体" w:cs="宋体"/>
                <w:color w:val="auto"/>
                <w:kern w:val="0"/>
                <w:sz w:val="24"/>
                <w:highlight w:val="none"/>
                <w:lang w:eastAsia="zh-CN"/>
              </w:rPr>
              <w:t>投标人提供自2022年1月1日以来（时间以签约时间为准）同类项目成功案例，每提供1个案例得1分，最高得</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eastAsia="zh-CN"/>
              </w:rPr>
              <w:t>分。</w:t>
            </w:r>
            <w:r>
              <w:rPr>
                <w:rFonts w:hint="eastAsia" w:ascii="宋体" w:hAnsi="宋体" w:eastAsia="宋体" w:cs="宋体"/>
                <w:color w:val="auto"/>
                <w:kern w:val="0"/>
                <w:sz w:val="24"/>
                <w:highlight w:val="none"/>
                <w:lang w:val="en-US" w:eastAsia="zh-CN"/>
              </w:rPr>
              <w:t>（投标文件中须提供有效的合同复印件并加盖公章，不提供不得分。）</w:t>
            </w:r>
          </w:p>
        </w:tc>
        <w:tc>
          <w:tcPr>
            <w:tcW w:w="803" w:type="dxa"/>
            <w:vAlign w:val="center"/>
          </w:tcPr>
          <w:p>
            <w:pPr>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p>
        </w:tc>
        <w:tc>
          <w:tcPr>
            <w:tcW w:w="1127" w:type="dxa"/>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c>
          <w:tcPr>
            <w:tcW w:w="1685" w:type="dxa"/>
            <w:vAlign w:val="center"/>
          </w:tcPr>
          <w:p>
            <w:pPr>
              <w:spacing w:line="240" w:lineRule="auto"/>
              <w:jc w:val="center"/>
              <w:outlineLvl w:val="0"/>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548" w:type="dxa"/>
            <w:vAlign w:val="center"/>
          </w:tcPr>
          <w:p>
            <w:pPr>
              <w:spacing w:line="240" w:lineRule="auto"/>
              <w:jc w:val="center"/>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17</w:t>
            </w:r>
          </w:p>
        </w:tc>
        <w:tc>
          <w:tcPr>
            <w:tcW w:w="4824" w:type="dxa"/>
            <w:vAlign w:val="top"/>
          </w:tcPr>
          <w:p>
            <w:pPr>
              <w:widowControl/>
              <w:snapToGrid w:val="0"/>
              <w:spacing w:line="24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有效投标报价的最低价作为评标基准价，其最低报价为满分；按［投标报价得分=（评标基准价/投标报价）*</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0］的计算公式计算。</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结果四舍五入保留2位小数点</w:t>
            </w:r>
            <w:r>
              <w:rPr>
                <w:rFonts w:hint="eastAsia" w:ascii="宋体" w:hAnsi="宋体" w:eastAsia="宋体" w:cs="宋体"/>
                <w:color w:val="auto"/>
                <w:sz w:val="24"/>
                <w:highlight w:val="none"/>
                <w:lang w:eastAsia="zh-CN"/>
              </w:rPr>
              <w:t>）</w:t>
            </w:r>
          </w:p>
          <w:p>
            <w:pPr>
              <w:widowControl/>
              <w:snapToGrid w:val="0"/>
              <w:spacing w:line="24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评标过程中，不得去掉报价中的最高报价和最低报价。</w:t>
            </w:r>
          </w:p>
        </w:tc>
        <w:tc>
          <w:tcPr>
            <w:tcW w:w="803" w:type="dxa"/>
            <w:vAlign w:val="center"/>
          </w:tcPr>
          <w:p>
            <w:pPr>
              <w:widowControl/>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30</w:t>
            </w:r>
          </w:p>
        </w:tc>
        <w:tc>
          <w:tcPr>
            <w:tcW w:w="1127" w:type="dxa"/>
            <w:vAlign w:val="center"/>
          </w:tcPr>
          <w:p>
            <w:pPr>
              <w:spacing w:line="24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c>
          <w:tcPr>
            <w:tcW w:w="1685" w:type="dxa"/>
            <w:vAlign w:val="center"/>
          </w:tcPr>
          <w:p>
            <w:pPr>
              <w:spacing w:line="24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bookmarkEnd w:id="400"/>
    </w:tbl>
    <w:p>
      <w:pPr>
        <w:snapToGrid w:val="0"/>
        <w:spacing w:line="360" w:lineRule="auto"/>
        <w:ind w:firstLine="400"/>
        <w:rPr>
          <w:rFonts w:hint="eastAsia" w:ascii="宋体" w:hAnsi="宋体" w:cs="宋体"/>
          <w:color w:val="auto"/>
          <w:sz w:val="20"/>
          <w:szCs w:val="20"/>
          <w:highlight w:val="none"/>
          <w:shd w:val="clear" w:color="auto" w:fill="FFFFFF"/>
        </w:rPr>
      </w:pPr>
    </w:p>
    <w:p>
      <w:pPr>
        <w:snapToGrid w:val="0"/>
        <w:spacing w:line="360" w:lineRule="auto"/>
        <w:ind w:firstLine="400"/>
        <w:rPr>
          <w:rFonts w:ascii="宋体" w:hAnsi="宋体" w:cs="宋体"/>
          <w:b/>
          <w:color w:val="auto"/>
          <w:sz w:val="32"/>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ind w:firstLine="643"/>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ind w:firstLine="643"/>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ind w:firstLine="723"/>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6"/>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r>
        <w:rPr>
          <w:rFonts w:hint="eastAsia" w:ascii="宋体" w:hAnsi="宋体" w:eastAsia="宋体" w:cs="宋体"/>
          <w:b/>
          <w:bCs/>
          <w:color w:val="auto"/>
          <w:kern w:val="0"/>
          <w:sz w:val="24"/>
          <w:highlight w:val="none"/>
          <w:lang w:eastAsia="zh-CN"/>
        </w:rPr>
        <w:t>。</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宋体"/>
          <w:b w:val="0"/>
          <w:bCs/>
          <w:color w:val="auto"/>
          <w:sz w:val="24"/>
          <w:szCs w:val="24"/>
          <w:highlight w:val="none"/>
          <w:lang w:val="en-US" w:eastAsia="zh-CN"/>
        </w:rPr>
        <w:t>若</w:t>
      </w:r>
      <w:r>
        <w:rPr>
          <w:rFonts w:hint="eastAsia" w:ascii="宋体" w:hAnsi="宋体" w:cs="宋体"/>
          <w:color w:val="auto"/>
          <w:kern w:val="0"/>
          <w:sz w:val="24"/>
          <w:highlight w:val="none"/>
        </w:rPr>
        <w:t>量化指标评审得分</w:t>
      </w:r>
      <w:r>
        <w:rPr>
          <w:rFonts w:hint="eastAsia" w:ascii="宋体" w:hAnsi="宋体" w:eastAsia="宋体" w:cs="宋体"/>
          <w:b w:val="0"/>
          <w:bCs/>
          <w:color w:val="auto"/>
          <w:sz w:val="24"/>
          <w:szCs w:val="24"/>
          <w:highlight w:val="none"/>
          <w:lang w:val="en-US" w:eastAsia="zh-CN"/>
        </w:rPr>
        <w:t>也相同的，由评标委员会成员</w:t>
      </w:r>
      <w:r>
        <w:rPr>
          <w:rFonts w:hint="eastAsia" w:ascii="宋体" w:hAnsi="宋体" w:eastAsia="宋体" w:cs="宋体"/>
          <w:color w:val="auto"/>
          <w:kern w:val="0"/>
          <w:sz w:val="24"/>
          <w:highlight w:val="none"/>
        </w:rPr>
        <w:t>采取随机抽取</w:t>
      </w:r>
      <w:r>
        <w:rPr>
          <w:rFonts w:hint="eastAsia" w:ascii="宋体" w:hAnsi="宋体" w:eastAsia="宋体" w:cs="宋体"/>
          <w:color w:val="auto"/>
          <w:kern w:val="0"/>
          <w:sz w:val="24"/>
          <w:highlight w:val="none"/>
          <w:lang w:eastAsia="zh-CN"/>
        </w:rPr>
        <w:t>（抽签）</w:t>
      </w:r>
      <w:r>
        <w:rPr>
          <w:rFonts w:hint="eastAsia" w:ascii="宋体" w:hAnsi="宋体" w:eastAsia="宋体" w:cs="宋体"/>
          <w:color w:val="auto"/>
          <w:kern w:val="0"/>
          <w:sz w:val="24"/>
          <w:highlight w:val="none"/>
        </w:rPr>
        <w:t>方式确定</w:t>
      </w:r>
      <w:r>
        <w:rPr>
          <w:rFonts w:hint="eastAsia" w:ascii="宋体" w:hAnsi="宋体" w:eastAsia="宋体" w:cs="宋体"/>
          <w:color w:val="auto"/>
          <w:kern w:val="0"/>
          <w:sz w:val="24"/>
          <w:highlight w:val="none"/>
          <w:lang w:eastAsia="zh-CN"/>
        </w:rPr>
        <w:t>。</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adjustRightInd/>
        <w:spacing w:after="225" w:line="315" w:lineRule="atLeast"/>
        <w:ind w:firstLine="643"/>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36"/>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7"/>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4"/>
        <w:ind w:left="433" w:leftChars="202" w:hanging="9" w:hangingChars="4"/>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pPr>
        <w:pStyle w:val="7"/>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7"/>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7"/>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7"/>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7"/>
        <w:snapToGrid w:val="0"/>
        <w:spacing w:line="360" w:lineRule="auto"/>
        <w:rPr>
          <w:rFonts w:cs="宋体"/>
          <w:color w:val="auto"/>
          <w:highlight w:val="none"/>
        </w:rPr>
      </w:pPr>
      <w:r>
        <w:rPr>
          <w:rFonts w:hint="eastAsia" w:cs="宋体"/>
          <w:color w:val="auto"/>
          <w:highlight w:val="none"/>
        </w:rPr>
        <w:t>5.4因重大变故，采购任务取消的。</w:t>
      </w:r>
    </w:p>
    <w:p>
      <w:pPr>
        <w:pStyle w:val="7"/>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pPr>
        <w:pStyle w:val="7"/>
        <w:snapToGrid w:val="0"/>
        <w:spacing w:line="360" w:lineRule="auto"/>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7"/>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7"/>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7"/>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7.2已确定中标供应商但尚未签订政府采购合同的，中标结果无效，从合格的中标候选人中另行确定中标供应商；没有合格的中标候选人的，重新开展采购活动。</w:t>
      </w:r>
    </w:p>
    <w:p>
      <w:pPr>
        <w:pStyle w:val="7"/>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7"/>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7"/>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pPr>
        <w:pStyle w:val="3"/>
        <w:adjustRightInd w:val="0"/>
        <w:snapToGrid w:val="0"/>
        <w:spacing w:before="0" w:after="0" w:line="360" w:lineRule="auto"/>
        <w:jc w:val="center"/>
        <w:rPr>
          <w:rFonts w:hint="eastAsia" w:ascii="宋体" w:hAnsi="宋体" w:eastAsia="宋体" w:cs="宋体"/>
          <w:bCs w:val="0"/>
          <w:color w:val="auto"/>
          <w:sz w:val="32"/>
          <w:highlight w:val="none"/>
        </w:rPr>
      </w:pPr>
      <w:r>
        <w:rPr>
          <w:rStyle w:val="359"/>
          <w:rFonts w:hint="eastAsia" w:ascii="宋体" w:hAnsi="宋体" w:cs="宋体"/>
          <w:b/>
          <w:color w:val="auto"/>
          <w:sz w:val="36"/>
          <w:szCs w:val="36"/>
          <w:highlight w:val="none"/>
        </w:rPr>
        <w:t>合同范本及格式</w:t>
      </w:r>
    </w:p>
    <w:p>
      <w:pPr>
        <w:pStyle w:val="36"/>
        <w:snapToGrid w:val="0"/>
        <w:spacing w:line="336"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（本合同为合同样稿，最终稿由三方协商后确定）</w:t>
      </w:r>
    </w:p>
    <w:p>
      <w:pPr>
        <w:pStyle w:val="36"/>
        <w:snapToGrid w:val="0"/>
        <w:spacing w:line="440" w:lineRule="exact"/>
        <w:jc w:val="center"/>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 xml:space="preserve">合同编号：    </w:t>
      </w:r>
    </w:p>
    <w:p>
      <w:pPr>
        <w:spacing w:after="156"/>
        <w:jc w:val="left"/>
        <w:rPr>
          <w:rFonts w:hint="eastAsia" w:ascii="宋体" w:hAnsi="宋体" w:eastAsia="宋体" w:cs="宋体"/>
          <w:color w:val="auto"/>
          <w:sz w:val="24"/>
          <w:highlight w:val="none"/>
        </w:rPr>
      </w:pPr>
    </w:p>
    <w:p>
      <w:pPr>
        <w:pStyle w:val="36"/>
        <w:snapToGrid w:val="0"/>
        <w:spacing w:line="440" w:lineRule="exact"/>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甲方（使用方）：</w:t>
      </w:r>
    </w:p>
    <w:p>
      <w:pPr>
        <w:pStyle w:val="36"/>
        <w:snapToGrid w:val="0"/>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乙方（供应商）:</w:t>
      </w:r>
    </w:p>
    <w:p>
      <w:pPr>
        <w:pStyle w:val="36"/>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见证方（代理机构）：</w:t>
      </w:r>
    </w:p>
    <w:p>
      <w:pPr>
        <w:pStyle w:val="36"/>
        <w:snapToGrid w:val="0"/>
        <w:spacing w:line="44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根据《中华人民共和国政府采购法》、《中华人民共和国民法典》的规定，经</w:t>
      </w:r>
      <w:r>
        <w:rPr>
          <w:rFonts w:hint="eastAsia" w:ascii="宋体" w:hAnsi="宋体" w:eastAsia="宋体" w:cs="宋体"/>
          <w:color w:val="auto"/>
          <w:sz w:val="24"/>
          <w:szCs w:val="24"/>
          <w:highlight w:val="none"/>
          <w:u w:val="single"/>
        </w:rPr>
        <w:t>公开招标</w:t>
      </w:r>
      <w:r>
        <w:rPr>
          <w:rFonts w:hint="eastAsia" w:ascii="宋体" w:hAnsi="宋体" w:eastAsia="宋体" w:cs="宋体"/>
          <w:color w:val="auto"/>
          <w:sz w:val="24"/>
          <w:szCs w:val="24"/>
          <w:highlight w:val="none"/>
        </w:rPr>
        <w:t>（采购方式），确定乙方为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（项目全称）的</w:t>
      </w:r>
      <w:r>
        <w:rPr>
          <w:rFonts w:hint="eastAsia" w:hAnsi="宋体" w:cs="宋体"/>
          <w:color w:val="auto"/>
          <w:sz w:val="24"/>
          <w:szCs w:val="24"/>
          <w:highlight w:val="none"/>
          <w:lang w:eastAsia="zh-CN"/>
        </w:rPr>
        <w:t>中标单位</w:t>
      </w:r>
      <w:r>
        <w:rPr>
          <w:rFonts w:hint="eastAsia" w:ascii="宋体" w:hAnsi="宋体" w:eastAsia="宋体" w:cs="宋体"/>
          <w:color w:val="auto"/>
          <w:sz w:val="24"/>
          <w:szCs w:val="24"/>
          <w:highlight w:val="none"/>
        </w:rPr>
        <w:t>。为明确双方的权利和义务，经甲乙双方协商达成合同如下：</w:t>
      </w:r>
    </w:p>
    <w:p>
      <w:pPr>
        <w:pStyle w:val="36"/>
        <w:snapToGrid w:val="0"/>
        <w:spacing w:line="440" w:lineRule="exact"/>
        <w:ind w:firstLine="241" w:firstLineChars="100"/>
        <w:rPr>
          <w:rFonts w:hint="eastAsia" w:hAnsi="宋体" w:cs="宋体"/>
          <w:color w:val="auto"/>
          <w:sz w:val="24"/>
          <w:szCs w:val="24"/>
          <w:highlight w:val="none"/>
        </w:rPr>
      </w:pPr>
      <w:r>
        <w:rPr>
          <w:rFonts w:hint="eastAsia" w:hAnsi="宋体" w:cs="宋体"/>
          <w:b/>
          <w:color w:val="auto"/>
          <w:sz w:val="24"/>
          <w:szCs w:val="24"/>
          <w:highlight w:val="none"/>
        </w:rPr>
        <w:t>第一条：货物内容、数量、价款</w:t>
      </w:r>
    </w:p>
    <w:tbl>
      <w:tblPr>
        <w:tblStyle w:val="76"/>
        <w:tblW w:w="9628" w:type="dxa"/>
        <w:tblInd w:w="3"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426"/>
        <w:gridCol w:w="1284"/>
        <w:gridCol w:w="776"/>
        <w:gridCol w:w="2694"/>
        <w:gridCol w:w="940"/>
        <w:gridCol w:w="940"/>
        <w:gridCol w:w="1284"/>
        <w:gridCol w:w="1284"/>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16" w:hRule="atLeast"/>
        </w:trPr>
        <w:tc>
          <w:tcPr>
            <w:tcW w:w="426" w:type="dxa"/>
            <w:tcBorders>
              <w:top w:val="single" w:color="auto" w:sz="4" w:space="0"/>
              <w:left w:val="single" w:color="auto" w:sz="4" w:space="0"/>
              <w:bottom w:val="nil"/>
              <w:right w:val="single" w:color="auto" w:sz="4" w:space="0"/>
            </w:tcBorders>
            <w:vAlign w:val="center"/>
          </w:tcPr>
          <w:p>
            <w:pPr>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284" w:type="dxa"/>
            <w:tcBorders>
              <w:top w:val="single" w:color="auto" w:sz="4" w:space="0"/>
              <w:left w:val="single" w:color="auto" w:sz="4" w:space="0"/>
              <w:bottom w:val="nil"/>
              <w:right w:val="single" w:color="auto" w:sz="4" w:space="0"/>
            </w:tcBorders>
            <w:vAlign w:val="center"/>
          </w:tcPr>
          <w:p>
            <w:pPr>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货物名称</w:t>
            </w:r>
          </w:p>
        </w:tc>
        <w:tc>
          <w:tcPr>
            <w:tcW w:w="776" w:type="dxa"/>
            <w:tcBorders>
              <w:top w:val="single" w:color="auto" w:sz="4" w:space="0"/>
              <w:left w:val="single" w:color="auto" w:sz="4" w:space="0"/>
              <w:bottom w:val="nil"/>
              <w:right w:val="single" w:color="auto" w:sz="4" w:space="0"/>
            </w:tcBorders>
            <w:vAlign w:val="center"/>
          </w:tcPr>
          <w:p>
            <w:pPr>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品牌</w:t>
            </w:r>
          </w:p>
        </w:tc>
        <w:tc>
          <w:tcPr>
            <w:tcW w:w="2694" w:type="dxa"/>
            <w:tcBorders>
              <w:top w:val="single" w:color="auto" w:sz="4" w:space="0"/>
              <w:left w:val="single" w:color="auto" w:sz="4" w:space="0"/>
              <w:bottom w:val="nil"/>
              <w:right w:val="single" w:color="auto" w:sz="4" w:space="0"/>
            </w:tcBorders>
            <w:vAlign w:val="center"/>
          </w:tcPr>
          <w:p>
            <w:pPr>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规格型号（或配置）及主要技术参数</w:t>
            </w:r>
          </w:p>
        </w:tc>
        <w:tc>
          <w:tcPr>
            <w:tcW w:w="940" w:type="dxa"/>
            <w:tcBorders>
              <w:top w:val="single" w:color="auto" w:sz="4" w:space="0"/>
              <w:left w:val="single" w:color="auto" w:sz="4" w:space="0"/>
              <w:bottom w:val="nil"/>
              <w:right w:val="single" w:color="auto" w:sz="4" w:space="0"/>
            </w:tcBorders>
            <w:vAlign w:val="center"/>
          </w:tcPr>
          <w:p>
            <w:pPr>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单位</w:t>
            </w:r>
          </w:p>
        </w:tc>
        <w:tc>
          <w:tcPr>
            <w:tcW w:w="940" w:type="dxa"/>
            <w:tcBorders>
              <w:top w:val="single" w:color="auto" w:sz="4" w:space="0"/>
              <w:left w:val="single" w:color="auto" w:sz="4" w:space="0"/>
              <w:bottom w:val="nil"/>
              <w:right w:val="single" w:color="auto" w:sz="4" w:space="0"/>
            </w:tcBorders>
            <w:vAlign w:val="center"/>
          </w:tcPr>
          <w:p>
            <w:pPr>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1284" w:type="dxa"/>
            <w:tcBorders>
              <w:top w:val="single" w:color="auto" w:sz="4" w:space="0"/>
              <w:left w:val="single" w:color="auto" w:sz="4" w:space="0"/>
              <w:bottom w:val="nil"/>
              <w:right w:val="single" w:color="auto" w:sz="4" w:space="0"/>
            </w:tcBorders>
            <w:vAlign w:val="center"/>
          </w:tcPr>
          <w:p>
            <w:pPr>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中标单价</w:t>
            </w:r>
          </w:p>
          <w:p>
            <w:pPr>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（元）</w:t>
            </w:r>
          </w:p>
        </w:tc>
        <w:tc>
          <w:tcPr>
            <w:tcW w:w="1284" w:type="dxa"/>
            <w:tcBorders>
              <w:top w:val="single" w:color="auto" w:sz="4" w:space="0"/>
              <w:left w:val="single" w:color="auto" w:sz="4" w:space="0"/>
              <w:bottom w:val="nil"/>
              <w:right w:val="single" w:color="auto" w:sz="4" w:space="0"/>
            </w:tcBorders>
            <w:vAlign w:val="center"/>
          </w:tcPr>
          <w:p>
            <w:pPr>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中标总价</w:t>
            </w:r>
          </w:p>
          <w:p>
            <w:pPr>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26" w:type="dxa"/>
            <w:vAlign w:val="center"/>
          </w:tcPr>
          <w:p>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84" w:type="dxa"/>
            <w:vAlign w:val="center"/>
          </w:tcPr>
          <w:p>
            <w:pPr>
              <w:adjustRightInd w:val="0"/>
              <w:snapToGrid w:val="0"/>
              <w:rPr>
                <w:rFonts w:hint="eastAsia" w:ascii="宋体" w:hAnsi="宋体" w:eastAsia="宋体" w:cs="宋体"/>
                <w:color w:val="auto"/>
                <w:sz w:val="24"/>
                <w:szCs w:val="24"/>
                <w:highlight w:val="none"/>
              </w:rPr>
            </w:pPr>
          </w:p>
        </w:tc>
        <w:tc>
          <w:tcPr>
            <w:tcW w:w="776" w:type="dxa"/>
            <w:vAlign w:val="center"/>
          </w:tcPr>
          <w:p>
            <w:pPr>
              <w:adjustRightInd w:val="0"/>
              <w:snapToGrid w:val="0"/>
              <w:rPr>
                <w:rFonts w:hint="eastAsia" w:ascii="宋体" w:hAnsi="宋体" w:eastAsia="宋体" w:cs="宋体"/>
                <w:color w:val="auto"/>
                <w:sz w:val="24"/>
                <w:szCs w:val="24"/>
                <w:highlight w:val="none"/>
              </w:rPr>
            </w:pPr>
          </w:p>
        </w:tc>
        <w:tc>
          <w:tcPr>
            <w:tcW w:w="2694" w:type="dxa"/>
            <w:vAlign w:val="center"/>
          </w:tcPr>
          <w:p>
            <w:pPr>
              <w:adjustRightInd w:val="0"/>
              <w:snapToGrid w:val="0"/>
              <w:rPr>
                <w:rFonts w:hint="eastAsia" w:ascii="宋体" w:hAnsi="宋体" w:eastAsia="宋体" w:cs="宋体"/>
                <w:color w:val="auto"/>
                <w:sz w:val="24"/>
                <w:szCs w:val="24"/>
                <w:highlight w:val="none"/>
              </w:rPr>
            </w:pPr>
          </w:p>
        </w:tc>
        <w:tc>
          <w:tcPr>
            <w:tcW w:w="940" w:type="dxa"/>
            <w:vAlign w:val="center"/>
          </w:tcPr>
          <w:p>
            <w:pPr>
              <w:adjustRightInd w:val="0"/>
              <w:snapToGrid w:val="0"/>
              <w:rPr>
                <w:rFonts w:hint="eastAsia" w:ascii="宋体" w:hAnsi="宋体" w:eastAsia="宋体" w:cs="宋体"/>
                <w:color w:val="auto"/>
                <w:sz w:val="24"/>
                <w:szCs w:val="24"/>
                <w:highlight w:val="none"/>
              </w:rPr>
            </w:pPr>
          </w:p>
        </w:tc>
        <w:tc>
          <w:tcPr>
            <w:tcW w:w="940" w:type="dxa"/>
            <w:vAlign w:val="center"/>
          </w:tcPr>
          <w:p>
            <w:pPr>
              <w:adjustRightInd w:val="0"/>
              <w:snapToGrid w:val="0"/>
              <w:rPr>
                <w:rFonts w:hint="eastAsia" w:ascii="宋体" w:hAnsi="宋体" w:eastAsia="宋体" w:cs="宋体"/>
                <w:color w:val="auto"/>
                <w:sz w:val="24"/>
                <w:szCs w:val="24"/>
                <w:highlight w:val="none"/>
              </w:rPr>
            </w:pPr>
          </w:p>
        </w:tc>
        <w:tc>
          <w:tcPr>
            <w:tcW w:w="1284" w:type="dxa"/>
            <w:vAlign w:val="center"/>
          </w:tcPr>
          <w:p>
            <w:pPr>
              <w:adjustRightInd w:val="0"/>
              <w:snapToGrid w:val="0"/>
              <w:rPr>
                <w:rFonts w:hint="eastAsia" w:ascii="宋体" w:hAnsi="宋体" w:eastAsia="宋体" w:cs="宋体"/>
                <w:color w:val="auto"/>
                <w:sz w:val="24"/>
                <w:szCs w:val="24"/>
                <w:highlight w:val="none"/>
              </w:rPr>
            </w:pPr>
          </w:p>
        </w:tc>
        <w:tc>
          <w:tcPr>
            <w:tcW w:w="1284" w:type="dxa"/>
            <w:vAlign w:val="center"/>
          </w:tcPr>
          <w:p>
            <w:pPr>
              <w:adjustRightInd w:val="0"/>
              <w:snapToGrid w:val="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26" w:type="dxa"/>
            <w:vAlign w:val="center"/>
          </w:tcPr>
          <w:p>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84" w:type="dxa"/>
            <w:vAlign w:val="center"/>
          </w:tcPr>
          <w:p>
            <w:pPr>
              <w:adjustRightInd w:val="0"/>
              <w:snapToGrid w:val="0"/>
              <w:rPr>
                <w:rFonts w:hint="eastAsia" w:ascii="宋体" w:hAnsi="宋体" w:eastAsia="宋体" w:cs="宋体"/>
                <w:color w:val="auto"/>
                <w:sz w:val="24"/>
                <w:szCs w:val="24"/>
                <w:highlight w:val="none"/>
              </w:rPr>
            </w:pPr>
          </w:p>
        </w:tc>
        <w:tc>
          <w:tcPr>
            <w:tcW w:w="776" w:type="dxa"/>
            <w:vAlign w:val="center"/>
          </w:tcPr>
          <w:p>
            <w:pPr>
              <w:adjustRightInd w:val="0"/>
              <w:snapToGrid w:val="0"/>
              <w:rPr>
                <w:rFonts w:hint="eastAsia" w:ascii="宋体" w:hAnsi="宋体" w:eastAsia="宋体" w:cs="宋体"/>
                <w:color w:val="auto"/>
                <w:sz w:val="24"/>
                <w:szCs w:val="24"/>
                <w:highlight w:val="none"/>
              </w:rPr>
            </w:pPr>
          </w:p>
        </w:tc>
        <w:tc>
          <w:tcPr>
            <w:tcW w:w="2694" w:type="dxa"/>
            <w:vAlign w:val="center"/>
          </w:tcPr>
          <w:p>
            <w:pPr>
              <w:adjustRightInd w:val="0"/>
              <w:snapToGrid w:val="0"/>
              <w:rPr>
                <w:rFonts w:hint="eastAsia" w:ascii="宋体" w:hAnsi="宋体" w:eastAsia="宋体" w:cs="宋体"/>
                <w:color w:val="auto"/>
                <w:sz w:val="24"/>
                <w:szCs w:val="24"/>
                <w:highlight w:val="none"/>
              </w:rPr>
            </w:pPr>
          </w:p>
        </w:tc>
        <w:tc>
          <w:tcPr>
            <w:tcW w:w="940" w:type="dxa"/>
            <w:vAlign w:val="center"/>
          </w:tcPr>
          <w:p>
            <w:pPr>
              <w:adjustRightInd w:val="0"/>
              <w:snapToGrid w:val="0"/>
              <w:rPr>
                <w:rFonts w:hint="eastAsia" w:ascii="宋体" w:hAnsi="宋体" w:eastAsia="宋体" w:cs="宋体"/>
                <w:color w:val="auto"/>
                <w:sz w:val="24"/>
                <w:szCs w:val="24"/>
                <w:highlight w:val="none"/>
              </w:rPr>
            </w:pPr>
          </w:p>
        </w:tc>
        <w:tc>
          <w:tcPr>
            <w:tcW w:w="940" w:type="dxa"/>
            <w:vAlign w:val="center"/>
          </w:tcPr>
          <w:p>
            <w:pPr>
              <w:adjustRightInd w:val="0"/>
              <w:snapToGrid w:val="0"/>
              <w:rPr>
                <w:rFonts w:hint="eastAsia" w:ascii="宋体" w:hAnsi="宋体" w:eastAsia="宋体" w:cs="宋体"/>
                <w:color w:val="auto"/>
                <w:sz w:val="24"/>
                <w:szCs w:val="24"/>
                <w:highlight w:val="none"/>
              </w:rPr>
            </w:pPr>
          </w:p>
        </w:tc>
        <w:tc>
          <w:tcPr>
            <w:tcW w:w="1284" w:type="dxa"/>
            <w:vAlign w:val="center"/>
          </w:tcPr>
          <w:p>
            <w:pPr>
              <w:adjustRightInd w:val="0"/>
              <w:snapToGrid w:val="0"/>
              <w:rPr>
                <w:rFonts w:hint="eastAsia" w:ascii="宋体" w:hAnsi="宋体" w:eastAsia="宋体" w:cs="宋体"/>
                <w:color w:val="auto"/>
                <w:sz w:val="24"/>
                <w:szCs w:val="24"/>
                <w:highlight w:val="none"/>
              </w:rPr>
            </w:pPr>
          </w:p>
        </w:tc>
        <w:tc>
          <w:tcPr>
            <w:tcW w:w="1284" w:type="dxa"/>
            <w:vAlign w:val="center"/>
          </w:tcPr>
          <w:p>
            <w:pPr>
              <w:adjustRightInd w:val="0"/>
              <w:snapToGrid w:val="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26" w:type="dxa"/>
            <w:vAlign w:val="center"/>
          </w:tcPr>
          <w:p>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284" w:type="dxa"/>
            <w:vAlign w:val="center"/>
          </w:tcPr>
          <w:p>
            <w:pPr>
              <w:adjustRightInd w:val="0"/>
              <w:snapToGrid w:val="0"/>
              <w:rPr>
                <w:rFonts w:hint="eastAsia" w:ascii="宋体" w:hAnsi="宋体" w:eastAsia="宋体" w:cs="宋体"/>
                <w:color w:val="auto"/>
                <w:sz w:val="24"/>
                <w:szCs w:val="24"/>
                <w:highlight w:val="none"/>
              </w:rPr>
            </w:pPr>
          </w:p>
        </w:tc>
        <w:tc>
          <w:tcPr>
            <w:tcW w:w="776" w:type="dxa"/>
            <w:vAlign w:val="center"/>
          </w:tcPr>
          <w:p>
            <w:pPr>
              <w:adjustRightInd w:val="0"/>
              <w:snapToGrid w:val="0"/>
              <w:rPr>
                <w:rFonts w:hint="eastAsia" w:ascii="宋体" w:hAnsi="宋体" w:eastAsia="宋体" w:cs="宋体"/>
                <w:color w:val="auto"/>
                <w:sz w:val="24"/>
                <w:szCs w:val="24"/>
                <w:highlight w:val="none"/>
              </w:rPr>
            </w:pPr>
          </w:p>
        </w:tc>
        <w:tc>
          <w:tcPr>
            <w:tcW w:w="2694" w:type="dxa"/>
            <w:vAlign w:val="center"/>
          </w:tcPr>
          <w:p>
            <w:pPr>
              <w:adjustRightInd w:val="0"/>
              <w:snapToGrid w:val="0"/>
              <w:rPr>
                <w:rFonts w:hint="eastAsia" w:ascii="宋体" w:hAnsi="宋体" w:eastAsia="宋体" w:cs="宋体"/>
                <w:color w:val="auto"/>
                <w:sz w:val="24"/>
                <w:szCs w:val="24"/>
                <w:highlight w:val="none"/>
              </w:rPr>
            </w:pPr>
          </w:p>
        </w:tc>
        <w:tc>
          <w:tcPr>
            <w:tcW w:w="940" w:type="dxa"/>
            <w:vAlign w:val="center"/>
          </w:tcPr>
          <w:p>
            <w:pPr>
              <w:adjustRightInd w:val="0"/>
              <w:snapToGrid w:val="0"/>
              <w:rPr>
                <w:rFonts w:hint="eastAsia" w:ascii="宋体" w:hAnsi="宋体" w:eastAsia="宋体" w:cs="宋体"/>
                <w:color w:val="auto"/>
                <w:sz w:val="24"/>
                <w:szCs w:val="24"/>
                <w:highlight w:val="none"/>
              </w:rPr>
            </w:pPr>
          </w:p>
        </w:tc>
        <w:tc>
          <w:tcPr>
            <w:tcW w:w="940" w:type="dxa"/>
            <w:vAlign w:val="center"/>
          </w:tcPr>
          <w:p>
            <w:pPr>
              <w:adjustRightInd w:val="0"/>
              <w:snapToGrid w:val="0"/>
              <w:rPr>
                <w:rFonts w:hint="eastAsia" w:ascii="宋体" w:hAnsi="宋体" w:eastAsia="宋体" w:cs="宋体"/>
                <w:color w:val="auto"/>
                <w:sz w:val="24"/>
                <w:szCs w:val="24"/>
                <w:highlight w:val="none"/>
              </w:rPr>
            </w:pPr>
          </w:p>
        </w:tc>
        <w:tc>
          <w:tcPr>
            <w:tcW w:w="1284" w:type="dxa"/>
            <w:vAlign w:val="center"/>
          </w:tcPr>
          <w:p>
            <w:pPr>
              <w:adjustRightInd w:val="0"/>
              <w:snapToGrid w:val="0"/>
              <w:rPr>
                <w:rFonts w:hint="eastAsia" w:ascii="宋体" w:hAnsi="宋体" w:eastAsia="宋体" w:cs="宋体"/>
                <w:color w:val="auto"/>
                <w:sz w:val="24"/>
                <w:szCs w:val="24"/>
                <w:highlight w:val="none"/>
              </w:rPr>
            </w:pPr>
          </w:p>
        </w:tc>
        <w:tc>
          <w:tcPr>
            <w:tcW w:w="1284" w:type="dxa"/>
            <w:vAlign w:val="center"/>
          </w:tcPr>
          <w:p>
            <w:pPr>
              <w:adjustRightInd w:val="0"/>
              <w:snapToGrid w:val="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26" w:type="dxa"/>
            <w:vAlign w:val="center"/>
          </w:tcPr>
          <w:p>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284" w:type="dxa"/>
            <w:vAlign w:val="center"/>
          </w:tcPr>
          <w:p>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776" w:type="dxa"/>
            <w:vAlign w:val="center"/>
          </w:tcPr>
          <w:p>
            <w:pPr>
              <w:adjustRightInd w:val="0"/>
              <w:snapToGrid w:val="0"/>
              <w:rPr>
                <w:rFonts w:hint="eastAsia" w:ascii="宋体" w:hAnsi="宋体" w:eastAsia="宋体" w:cs="宋体"/>
                <w:color w:val="auto"/>
                <w:sz w:val="24"/>
                <w:szCs w:val="24"/>
                <w:highlight w:val="none"/>
              </w:rPr>
            </w:pPr>
          </w:p>
        </w:tc>
        <w:tc>
          <w:tcPr>
            <w:tcW w:w="2694" w:type="dxa"/>
            <w:vAlign w:val="center"/>
          </w:tcPr>
          <w:p>
            <w:pPr>
              <w:adjustRightInd w:val="0"/>
              <w:snapToGrid w:val="0"/>
              <w:rPr>
                <w:rFonts w:hint="eastAsia" w:ascii="宋体" w:hAnsi="宋体" w:eastAsia="宋体" w:cs="宋体"/>
                <w:color w:val="auto"/>
                <w:sz w:val="24"/>
                <w:szCs w:val="24"/>
                <w:highlight w:val="none"/>
              </w:rPr>
            </w:pPr>
          </w:p>
        </w:tc>
        <w:tc>
          <w:tcPr>
            <w:tcW w:w="940" w:type="dxa"/>
            <w:vAlign w:val="center"/>
          </w:tcPr>
          <w:p>
            <w:pPr>
              <w:adjustRightInd w:val="0"/>
              <w:snapToGrid w:val="0"/>
              <w:rPr>
                <w:rFonts w:hint="eastAsia" w:ascii="宋体" w:hAnsi="宋体" w:eastAsia="宋体" w:cs="宋体"/>
                <w:color w:val="auto"/>
                <w:sz w:val="24"/>
                <w:szCs w:val="24"/>
                <w:highlight w:val="none"/>
              </w:rPr>
            </w:pPr>
          </w:p>
        </w:tc>
        <w:tc>
          <w:tcPr>
            <w:tcW w:w="940" w:type="dxa"/>
            <w:vAlign w:val="center"/>
          </w:tcPr>
          <w:p>
            <w:pPr>
              <w:adjustRightInd w:val="0"/>
              <w:snapToGrid w:val="0"/>
              <w:rPr>
                <w:rFonts w:hint="eastAsia" w:ascii="宋体" w:hAnsi="宋体" w:eastAsia="宋体" w:cs="宋体"/>
                <w:color w:val="auto"/>
                <w:sz w:val="24"/>
                <w:szCs w:val="24"/>
                <w:highlight w:val="none"/>
              </w:rPr>
            </w:pPr>
          </w:p>
        </w:tc>
        <w:tc>
          <w:tcPr>
            <w:tcW w:w="1284" w:type="dxa"/>
            <w:vAlign w:val="center"/>
          </w:tcPr>
          <w:p>
            <w:pPr>
              <w:adjustRightInd w:val="0"/>
              <w:snapToGrid w:val="0"/>
              <w:rPr>
                <w:rFonts w:hint="eastAsia" w:ascii="宋体" w:hAnsi="宋体" w:eastAsia="宋体" w:cs="宋体"/>
                <w:color w:val="auto"/>
                <w:sz w:val="24"/>
                <w:szCs w:val="24"/>
                <w:highlight w:val="none"/>
              </w:rPr>
            </w:pPr>
          </w:p>
        </w:tc>
        <w:tc>
          <w:tcPr>
            <w:tcW w:w="1284" w:type="dxa"/>
            <w:vAlign w:val="center"/>
          </w:tcPr>
          <w:p>
            <w:pPr>
              <w:adjustRightInd w:val="0"/>
              <w:snapToGrid w:val="0"/>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56" w:hRule="atLeast"/>
        </w:trPr>
        <w:tc>
          <w:tcPr>
            <w:tcW w:w="9628"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ind w:left="27"/>
              <w:rPr>
                <w:rFonts w:hint="eastAsia" w:ascii="宋体" w:hAnsi="宋体" w:eastAsia="宋体" w:cs="宋体"/>
                <w:color w:val="auto"/>
                <w:sz w:val="24"/>
                <w:szCs w:val="24"/>
                <w:highlight w:val="none"/>
                <w:u w:val="single"/>
              </w:rPr>
            </w:pPr>
            <w:r>
              <w:rPr>
                <w:rFonts w:hint="eastAsia" w:ascii="宋体" w:hAnsi="宋体" w:eastAsia="宋体" w:cs="宋体"/>
                <w:b/>
                <w:color w:val="auto"/>
                <w:kern w:val="0"/>
                <w:sz w:val="24"/>
                <w:szCs w:val="24"/>
                <w:highlight w:val="none"/>
              </w:rPr>
              <w:t>合同价：人民币（大写）</w:t>
            </w:r>
            <w:r>
              <w:rPr>
                <w:rFonts w:hint="eastAsia" w:ascii="宋体" w:hAnsi="宋体" w:eastAsia="宋体" w:cs="宋体"/>
                <w:b/>
                <w:color w:val="auto"/>
                <w:kern w:val="0"/>
                <w:sz w:val="24"/>
                <w:szCs w:val="24"/>
                <w:highlight w:val="none"/>
                <w:u w:val="single"/>
              </w:rPr>
              <w:t xml:space="preserve">                             </w:t>
            </w:r>
            <w:r>
              <w:rPr>
                <w:rFonts w:hint="eastAsia" w:ascii="宋体" w:hAnsi="宋体" w:eastAsia="宋体" w:cs="宋体"/>
                <w:b/>
                <w:color w:val="auto"/>
                <w:kern w:val="0"/>
                <w:sz w:val="24"/>
                <w:szCs w:val="24"/>
                <w:highlight w:val="none"/>
              </w:rPr>
              <w:t>（￥</w:t>
            </w:r>
            <w:r>
              <w:rPr>
                <w:rFonts w:hint="eastAsia" w:ascii="宋体" w:hAnsi="宋体" w:eastAsia="宋体" w:cs="宋体"/>
                <w:b/>
                <w:color w:val="auto"/>
                <w:kern w:val="0"/>
                <w:sz w:val="24"/>
                <w:szCs w:val="24"/>
                <w:highlight w:val="none"/>
                <w:u w:val="single"/>
              </w:rPr>
              <w:t xml:space="preserve">            </w:t>
            </w:r>
            <w:r>
              <w:rPr>
                <w:rFonts w:hint="eastAsia" w:ascii="宋体" w:hAnsi="宋体" w:eastAsia="宋体" w:cs="宋体"/>
                <w:b/>
                <w:color w:val="auto"/>
                <w:kern w:val="0"/>
                <w:sz w:val="24"/>
                <w:szCs w:val="24"/>
                <w:highlight w:val="none"/>
              </w:rPr>
              <w:t>元）</w:t>
            </w:r>
          </w:p>
        </w:tc>
      </w:tr>
    </w:tbl>
    <w:p>
      <w:pPr>
        <w:widowControl/>
        <w:spacing w:line="240" w:lineRule="auto"/>
        <w:jc w:val="left"/>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rPr>
        <w:t>注：</w:t>
      </w:r>
      <w:r>
        <w:rPr>
          <w:rFonts w:hint="eastAsia" w:ascii="宋体" w:hAnsi="宋体" w:cs="宋体"/>
          <w:color w:val="auto"/>
          <w:kern w:val="0"/>
          <w:sz w:val="18"/>
          <w:szCs w:val="18"/>
          <w:highlight w:val="none"/>
          <w:lang w:val="en-US" w:eastAsia="zh-CN"/>
        </w:rPr>
        <w:t>1、本项目为交钥匙工程。以上总金额包设计开发、产品生产供货、运输装卸、安装调试、产品保护、备品备件、税金、培训、保险、验收、售后服务及辅助工作等完成本项目的所有费用。</w:t>
      </w:r>
    </w:p>
    <w:p>
      <w:pPr>
        <w:widowControl/>
        <w:spacing w:line="240" w:lineRule="auto"/>
        <w:ind w:firstLine="360" w:firstLineChars="200"/>
        <w:jc w:val="left"/>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2、供货时提供产品合格证、原厂质保证明等相关资料。</w:t>
      </w:r>
    </w:p>
    <w:p>
      <w:pPr>
        <w:widowControl/>
        <w:spacing w:line="360" w:lineRule="auto"/>
        <w:jc w:val="left"/>
        <w:rPr>
          <w:rFonts w:hint="eastAsia" w:ascii="宋体" w:hAnsi="宋体" w:cs="宋体"/>
          <w:b/>
          <w:color w:val="auto"/>
          <w:kern w:val="0"/>
          <w:sz w:val="24"/>
          <w:highlight w:val="none"/>
        </w:rPr>
      </w:pPr>
    </w:p>
    <w:p>
      <w:pPr>
        <w:widowControl/>
        <w:spacing w:line="360" w:lineRule="auto"/>
        <w:ind w:firstLine="241" w:firstLineChars="1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第二条：质量要求</w:t>
      </w:r>
    </w:p>
    <w:p>
      <w:pPr>
        <w:spacing w:line="360" w:lineRule="auto"/>
        <w:ind w:firstLine="460" w:firstLineChars="192"/>
        <w:rPr>
          <w:rFonts w:hint="eastAsia" w:ascii="宋体" w:hAnsi="宋体" w:cs="宋体"/>
          <w:bCs/>
          <w:color w:val="auto"/>
          <w:sz w:val="24"/>
          <w:szCs w:val="24"/>
          <w:highlight w:val="none"/>
        </w:rPr>
      </w:pPr>
      <w:r>
        <w:rPr>
          <w:rFonts w:hint="eastAsia" w:ascii="宋体" w:hAnsi="宋体" w:cs="宋体"/>
          <w:bCs/>
          <w:color w:val="auto"/>
          <w:sz w:val="24"/>
          <w:szCs w:val="24"/>
          <w:highlight w:val="none"/>
        </w:rPr>
        <w:t>1</w:t>
      </w:r>
      <w:r>
        <w:rPr>
          <w:rFonts w:hint="eastAsia" w:ascii="宋体" w:hAnsi="宋体" w:cs="宋体"/>
          <w:bCs/>
          <w:color w:val="auto"/>
          <w:sz w:val="24"/>
          <w:szCs w:val="24"/>
          <w:highlight w:val="none"/>
          <w:lang w:val="en-US" w:eastAsia="zh-CN"/>
        </w:rPr>
        <w:t>.必须符合招标文件(包括补充更正，如有)的技术要求和配置；必须是国内相应制造厂商生产并提供的原装合格产品；必须是2024年7月1日以后生产的、符合国家质量技术标准的设备。</w:t>
      </w:r>
    </w:p>
    <w:p>
      <w:pPr>
        <w:spacing w:line="360" w:lineRule="auto"/>
        <w:ind w:firstLine="460" w:firstLineChars="192"/>
        <w:rPr>
          <w:rFonts w:hint="eastAsia" w:ascii="宋体" w:hAnsi="宋体" w:cs="宋体"/>
          <w:bCs/>
          <w:color w:val="auto"/>
          <w:sz w:val="24"/>
          <w:szCs w:val="24"/>
          <w:highlight w:val="none"/>
        </w:rPr>
      </w:pPr>
      <w:r>
        <w:rPr>
          <w:rFonts w:hint="eastAsia" w:ascii="宋体" w:hAnsi="宋体" w:cs="宋体"/>
          <w:bCs/>
          <w:color w:val="auto"/>
          <w:sz w:val="24"/>
          <w:szCs w:val="24"/>
          <w:highlight w:val="none"/>
        </w:rPr>
        <w:t>2</w:t>
      </w:r>
      <w:r>
        <w:rPr>
          <w:rFonts w:hint="eastAsia" w:ascii="宋体" w:hAnsi="宋体" w:cs="宋体"/>
          <w:bCs/>
          <w:color w:val="auto"/>
          <w:sz w:val="24"/>
          <w:szCs w:val="24"/>
          <w:highlight w:val="none"/>
          <w:lang w:val="en-US" w:eastAsia="zh-CN"/>
        </w:rPr>
        <w:t>.</w:t>
      </w:r>
      <w:r>
        <w:rPr>
          <w:rFonts w:hint="eastAsia" w:ascii="宋体" w:hAnsi="宋体" w:cs="宋体"/>
          <w:bCs/>
          <w:color w:val="auto"/>
          <w:sz w:val="24"/>
          <w:szCs w:val="24"/>
          <w:highlight w:val="none"/>
        </w:rPr>
        <w:t>售后服务按国家市场监督管理总局和国家其他有关规定执行，国家没有规定的按厂商规定执行。国家规定标准低于厂商标准的按厂商标准执行。</w:t>
      </w:r>
    </w:p>
    <w:p>
      <w:pPr>
        <w:widowControl/>
        <w:spacing w:line="360" w:lineRule="auto"/>
        <w:ind w:firstLine="241" w:firstLineChars="1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第三条：合同履行时间、地点</w:t>
      </w:r>
    </w:p>
    <w:p>
      <w:pPr>
        <w:spacing w:line="360" w:lineRule="auto"/>
        <w:ind w:firstLine="460" w:firstLineChars="192"/>
        <w:rPr>
          <w:rFonts w:hint="eastAsia" w:ascii="宋体" w:hAnsi="宋体" w:cs="宋体"/>
          <w:bCs/>
          <w:color w:val="auto"/>
          <w:sz w:val="24"/>
          <w:szCs w:val="24"/>
          <w:highlight w:val="none"/>
        </w:rPr>
      </w:pPr>
      <w:r>
        <w:rPr>
          <w:rFonts w:hint="eastAsia" w:ascii="宋体" w:hAnsi="宋体" w:cs="宋体"/>
          <w:bCs/>
          <w:color w:val="auto"/>
          <w:sz w:val="24"/>
          <w:szCs w:val="24"/>
          <w:highlight w:val="none"/>
        </w:rPr>
        <w:t>1.安装完成时间：合同签订生效之日起，</w:t>
      </w:r>
      <w:r>
        <w:rPr>
          <w:rFonts w:hint="eastAsia" w:ascii="宋体" w:hAnsi="宋体" w:cs="宋体"/>
          <w:bCs/>
          <w:color w:val="auto"/>
          <w:sz w:val="24"/>
          <w:szCs w:val="24"/>
          <w:highlight w:val="none"/>
          <w:lang w:eastAsia="zh-CN"/>
        </w:rPr>
        <w:t>必须在</w:t>
      </w:r>
      <w:r>
        <w:rPr>
          <w:rFonts w:hint="eastAsia" w:ascii="宋体" w:hAnsi="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lang w:val="en-US" w:eastAsia="zh-CN"/>
        </w:rPr>
        <w:t>日历天内</w:t>
      </w:r>
      <w:r>
        <w:rPr>
          <w:rFonts w:hint="eastAsia" w:ascii="宋体" w:hAnsi="宋体" w:cs="宋体"/>
          <w:bCs/>
          <w:color w:val="auto"/>
          <w:sz w:val="24"/>
          <w:szCs w:val="24"/>
          <w:highlight w:val="none"/>
        </w:rPr>
        <w:t>按</w:t>
      </w:r>
      <w:r>
        <w:rPr>
          <w:rFonts w:hint="eastAsia" w:ascii="宋体" w:hAnsi="宋体" w:cs="宋体"/>
          <w:bCs/>
          <w:color w:val="auto"/>
          <w:sz w:val="24"/>
          <w:szCs w:val="24"/>
          <w:highlight w:val="none"/>
          <w:lang w:eastAsia="zh-CN"/>
        </w:rPr>
        <w:t>甲方</w:t>
      </w:r>
      <w:r>
        <w:rPr>
          <w:rFonts w:hint="eastAsia" w:ascii="宋体" w:hAnsi="宋体" w:cs="宋体"/>
          <w:bCs/>
          <w:color w:val="auto"/>
          <w:sz w:val="24"/>
          <w:szCs w:val="24"/>
          <w:highlight w:val="none"/>
        </w:rPr>
        <w:t>要求完成交货、安装调试完成，无质量问题并通过最终验收后交付</w:t>
      </w:r>
      <w:r>
        <w:rPr>
          <w:rFonts w:hint="eastAsia" w:ascii="宋体" w:hAnsi="宋体" w:cs="宋体"/>
          <w:bCs/>
          <w:color w:val="auto"/>
          <w:sz w:val="24"/>
          <w:szCs w:val="24"/>
          <w:highlight w:val="none"/>
          <w:lang w:eastAsia="zh-CN"/>
        </w:rPr>
        <w:t>甲方</w:t>
      </w:r>
      <w:r>
        <w:rPr>
          <w:rFonts w:hint="eastAsia" w:ascii="宋体" w:hAnsi="宋体" w:cs="宋体"/>
          <w:bCs/>
          <w:color w:val="auto"/>
          <w:sz w:val="24"/>
          <w:szCs w:val="24"/>
          <w:highlight w:val="none"/>
        </w:rPr>
        <w:t>使用。如在规定的时间内由于</w:t>
      </w:r>
      <w:r>
        <w:rPr>
          <w:rFonts w:hint="eastAsia" w:ascii="宋体" w:hAnsi="宋体" w:cs="宋体"/>
          <w:bCs/>
          <w:color w:val="auto"/>
          <w:sz w:val="24"/>
          <w:szCs w:val="24"/>
          <w:highlight w:val="none"/>
          <w:lang w:eastAsia="zh-CN"/>
        </w:rPr>
        <w:t>乙方</w:t>
      </w:r>
      <w:r>
        <w:rPr>
          <w:rFonts w:hint="eastAsia" w:ascii="宋体" w:hAnsi="宋体" w:cs="宋体"/>
          <w:bCs/>
          <w:color w:val="auto"/>
          <w:sz w:val="24"/>
          <w:szCs w:val="24"/>
          <w:highlight w:val="none"/>
        </w:rPr>
        <w:t>的原因不能送达货物并安装调试完成通过验收的，</w:t>
      </w:r>
      <w:r>
        <w:rPr>
          <w:rFonts w:hint="eastAsia" w:ascii="宋体" w:hAnsi="宋体" w:cs="宋体"/>
          <w:bCs/>
          <w:color w:val="auto"/>
          <w:sz w:val="24"/>
          <w:szCs w:val="24"/>
          <w:highlight w:val="none"/>
          <w:lang w:eastAsia="zh-CN"/>
        </w:rPr>
        <w:t>乙方</w:t>
      </w:r>
      <w:r>
        <w:rPr>
          <w:rFonts w:hint="eastAsia" w:ascii="宋体" w:hAnsi="宋体" w:cs="宋体"/>
          <w:bCs/>
          <w:color w:val="auto"/>
          <w:sz w:val="24"/>
          <w:szCs w:val="24"/>
          <w:highlight w:val="none"/>
        </w:rPr>
        <w:t>应承担由此给</w:t>
      </w:r>
      <w:r>
        <w:rPr>
          <w:rFonts w:hint="eastAsia" w:ascii="宋体" w:hAnsi="宋体" w:cs="宋体"/>
          <w:bCs/>
          <w:color w:val="auto"/>
          <w:sz w:val="24"/>
          <w:szCs w:val="24"/>
          <w:highlight w:val="none"/>
          <w:lang w:eastAsia="zh-CN"/>
        </w:rPr>
        <w:t>甲方</w:t>
      </w:r>
      <w:r>
        <w:rPr>
          <w:rFonts w:hint="eastAsia" w:ascii="宋体" w:hAnsi="宋体" w:cs="宋体"/>
          <w:bCs/>
          <w:color w:val="auto"/>
          <w:sz w:val="24"/>
          <w:szCs w:val="24"/>
          <w:highlight w:val="none"/>
        </w:rPr>
        <w:t>造成的损失。</w:t>
      </w:r>
    </w:p>
    <w:p>
      <w:pPr>
        <w:spacing w:line="360" w:lineRule="auto"/>
        <w:ind w:firstLine="460" w:firstLineChars="192"/>
        <w:rPr>
          <w:rFonts w:hint="eastAsia" w:ascii="宋体" w:hAnsi="宋体" w:cs="宋体"/>
          <w:bCs/>
          <w:color w:val="auto"/>
          <w:sz w:val="24"/>
          <w:szCs w:val="24"/>
          <w:highlight w:val="none"/>
        </w:rPr>
      </w:pPr>
      <w:r>
        <w:rPr>
          <w:rFonts w:hint="eastAsia" w:ascii="宋体" w:hAnsi="宋体" w:cs="宋体"/>
          <w:bCs/>
          <w:color w:val="auto"/>
          <w:sz w:val="24"/>
          <w:szCs w:val="24"/>
          <w:highlight w:val="none"/>
        </w:rPr>
        <w:t>2.安装地点：由</w:t>
      </w:r>
      <w:r>
        <w:rPr>
          <w:rFonts w:hint="eastAsia" w:ascii="宋体" w:hAnsi="宋体" w:cs="宋体"/>
          <w:bCs/>
          <w:color w:val="auto"/>
          <w:sz w:val="24"/>
          <w:szCs w:val="24"/>
          <w:highlight w:val="none"/>
          <w:lang w:eastAsia="zh-CN"/>
        </w:rPr>
        <w:t>甲方及使用单位</w:t>
      </w:r>
      <w:r>
        <w:rPr>
          <w:rFonts w:hint="eastAsia" w:ascii="宋体" w:hAnsi="宋体" w:cs="宋体"/>
          <w:bCs/>
          <w:color w:val="auto"/>
          <w:sz w:val="24"/>
          <w:szCs w:val="24"/>
          <w:highlight w:val="none"/>
        </w:rPr>
        <w:t>指定。</w:t>
      </w:r>
    </w:p>
    <w:p>
      <w:pPr>
        <w:spacing w:line="360" w:lineRule="auto"/>
        <w:ind w:firstLine="460" w:firstLineChars="192"/>
        <w:rPr>
          <w:rFonts w:hint="eastAsia" w:ascii="宋体" w:hAnsi="宋体" w:cs="宋体"/>
          <w:bCs/>
          <w:color w:val="auto"/>
          <w:sz w:val="24"/>
          <w:szCs w:val="24"/>
          <w:highlight w:val="none"/>
        </w:rPr>
      </w:pPr>
      <w:r>
        <w:rPr>
          <w:rFonts w:hint="eastAsia" w:ascii="宋体" w:hAnsi="宋体" w:cs="宋体"/>
          <w:bCs/>
          <w:color w:val="auto"/>
          <w:sz w:val="24"/>
          <w:szCs w:val="24"/>
          <w:highlight w:val="none"/>
        </w:rPr>
        <w:t>3.安装标准：符合我国国家有关技术规范要求和技术标准，所有的设备必须保证安装到位。</w:t>
      </w:r>
    </w:p>
    <w:p>
      <w:pPr>
        <w:spacing w:line="360" w:lineRule="auto"/>
        <w:ind w:firstLine="460" w:firstLineChars="192"/>
        <w:rPr>
          <w:rFonts w:hint="eastAsia" w:ascii="宋体" w:hAnsi="宋体" w:cs="宋体"/>
          <w:bCs/>
          <w:color w:val="auto"/>
          <w:sz w:val="24"/>
          <w:szCs w:val="24"/>
          <w:highlight w:val="none"/>
        </w:rPr>
      </w:pPr>
      <w:r>
        <w:rPr>
          <w:rFonts w:hint="eastAsia" w:ascii="宋体" w:hAnsi="宋体" w:cs="宋体"/>
          <w:bCs/>
          <w:color w:val="auto"/>
          <w:sz w:val="24"/>
          <w:szCs w:val="24"/>
          <w:highlight w:val="none"/>
        </w:rPr>
        <w:t>4.</w:t>
      </w:r>
      <w:r>
        <w:rPr>
          <w:rFonts w:hint="eastAsia" w:ascii="宋体" w:hAnsi="宋体" w:cs="宋体"/>
          <w:bCs/>
          <w:color w:val="auto"/>
          <w:sz w:val="24"/>
          <w:szCs w:val="24"/>
          <w:highlight w:val="none"/>
          <w:lang w:eastAsia="zh-CN"/>
        </w:rPr>
        <w:t>乙方</w:t>
      </w:r>
      <w:r>
        <w:rPr>
          <w:rFonts w:hint="eastAsia" w:ascii="宋体" w:hAnsi="宋体" w:cs="宋体"/>
          <w:bCs/>
          <w:color w:val="auto"/>
          <w:sz w:val="24"/>
          <w:szCs w:val="24"/>
          <w:highlight w:val="none"/>
        </w:rPr>
        <w:t>免费提供中标设备</w:t>
      </w:r>
      <w:r>
        <w:rPr>
          <w:rFonts w:hint="eastAsia" w:ascii="宋体" w:hAnsi="宋体" w:cs="宋体"/>
          <w:bCs/>
          <w:color w:val="auto"/>
          <w:sz w:val="24"/>
          <w:szCs w:val="24"/>
          <w:highlight w:val="none"/>
          <w:lang w:eastAsia="zh-CN"/>
        </w:rPr>
        <w:t>（或系统）</w:t>
      </w:r>
      <w:r>
        <w:rPr>
          <w:rFonts w:hint="eastAsia" w:ascii="宋体" w:hAnsi="宋体" w:cs="宋体"/>
          <w:bCs/>
          <w:color w:val="auto"/>
          <w:sz w:val="24"/>
          <w:szCs w:val="24"/>
          <w:highlight w:val="none"/>
        </w:rPr>
        <w:t>的安装</w:t>
      </w:r>
      <w:r>
        <w:rPr>
          <w:rFonts w:hint="eastAsia" w:ascii="宋体" w:hAnsi="宋体" w:cs="宋体"/>
          <w:bCs/>
          <w:color w:val="auto"/>
          <w:sz w:val="24"/>
          <w:szCs w:val="24"/>
          <w:highlight w:val="none"/>
          <w:lang w:eastAsia="zh-CN"/>
        </w:rPr>
        <w:t>调试</w:t>
      </w:r>
      <w:r>
        <w:rPr>
          <w:rFonts w:hint="eastAsia" w:ascii="宋体" w:hAnsi="宋体" w:cs="宋体"/>
          <w:bCs/>
          <w:color w:val="auto"/>
          <w:sz w:val="24"/>
          <w:szCs w:val="24"/>
          <w:highlight w:val="none"/>
        </w:rPr>
        <w:t>服务。</w:t>
      </w:r>
    </w:p>
    <w:p>
      <w:pPr>
        <w:spacing w:line="360" w:lineRule="auto"/>
        <w:ind w:firstLine="460" w:firstLineChars="192"/>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rPr>
        <w:t>凡合同所列机型停产或市场断货，乙方可在不改变品牌、机型、档次、基本功能等前提下，提供相应配置高于原配置的商品。</w:t>
      </w:r>
    </w:p>
    <w:p>
      <w:pPr>
        <w:widowControl/>
        <w:spacing w:line="360" w:lineRule="auto"/>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 第四条：验收</w:t>
      </w:r>
    </w:p>
    <w:p>
      <w:pPr>
        <w:spacing w:line="360" w:lineRule="auto"/>
        <w:ind w:firstLine="460" w:firstLineChars="192"/>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lang w:eastAsia="zh-CN"/>
        </w:rPr>
        <w:t>乙方应提供设备（或系统）的有效检验材料，经甲方认可后，与合同的技术指标一起作为验收标准。甲方对设备（或系统）验收合格后，出具验收报告并在《建德市政府采购物品验收反馈表》上签署意见并加盖单位公章。验收中发现设备（或系统）达不到验收标准或合同规定的技术指标，乙方必须更换，并负担由此给甲方造成的损失，直到验收合格为止。</w:t>
      </w:r>
    </w:p>
    <w:p>
      <w:pPr>
        <w:spacing w:line="360" w:lineRule="auto"/>
        <w:ind w:firstLine="460" w:firstLineChars="192"/>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lang w:eastAsia="zh-CN"/>
        </w:rPr>
        <w:t>投标人应于投标书中提供设备（或系统）的验收标准和检测办法，并在验收中提供甲方认可的相应检测手段，验收标准应符合中国有关的国家、地方、行业的标准，如若中标，经甲方确认后作为验收的依据。</w:t>
      </w:r>
    </w:p>
    <w:p>
      <w:pPr>
        <w:spacing w:line="360" w:lineRule="auto"/>
        <w:ind w:firstLine="460" w:firstLineChars="192"/>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lang w:eastAsia="zh-CN"/>
        </w:rPr>
        <w:t>验收费用由乙方承担。</w:t>
      </w:r>
    </w:p>
    <w:p>
      <w:pPr>
        <w:widowControl/>
        <w:spacing w:line="360" w:lineRule="auto"/>
        <w:ind w:firstLine="241" w:firstLineChars="1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第五条：</w:t>
      </w:r>
      <w:r>
        <w:rPr>
          <w:rFonts w:hint="eastAsia" w:ascii="宋体" w:hAnsi="宋体" w:cs="宋体"/>
          <w:b/>
          <w:color w:val="auto"/>
          <w:kern w:val="0"/>
          <w:sz w:val="24"/>
          <w:highlight w:val="none"/>
          <w:lang w:eastAsia="zh-CN"/>
        </w:rPr>
        <w:t>项目款</w:t>
      </w:r>
      <w:r>
        <w:rPr>
          <w:rFonts w:hint="eastAsia" w:ascii="宋体" w:hAnsi="宋体" w:cs="宋体"/>
          <w:b/>
          <w:color w:val="auto"/>
          <w:kern w:val="0"/>
          <w:sz w:val="24"/>
          <w:highlight w:val="none"/>
        </w:rPr>
        <w:t>支付</w:t>
      </w:r>
    </w:p>
    <w:p>
      <w:pPr>
        <w:spacing w:line="360" w:lineRule="auto"/>
        <w:ind w:firstLine="460" w:firstLineChars="192"/>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1</w:t>
      </w:r>
      <w:r>
        <w:rPr>
          <w:rFonts w:hint="eastAsia" w:ascii="宋体" w:hAnsi="宋体" w:cs="宋体"/>
          <w:bCs/>
          <w:color w:val="auto"/>
          <w:sz w:val="24"/>
          <w:szCs w:val="24"/>
          <w:highlight w:val="none"/>
          <w:lang w:val="en-US" w:eastAsia="zh-CN"/>
        </w:rPr>
        <w:t>.</w:t>
      </w:r>
      <w:r>
        <w:rPr>
          <w:rFonts w:hint="eastAsia" w:ascii="宋体" w:hAnsi="宋体" w:cs="宋体"/>
          <w:bCs/>
          <w:color w:val="auto"/>
          <w:sz w:val="24"/>
          <w:szCs w:val="24"/>
          <w:highlight w:val="none"/>
          <w:lang w:eastAsia="zh-CN"/>
        </w:rPr>
        <w:t>甲方根据合同、投标文件等资料进行验收。</w:t>
      </w:r>
    </w:p>
    <w:p>
      <w:pPr>
        <w:spacing w:line="360" w:lineRule="auto"/>
        <w:ind w:firstLine="460" w:firstLineChars="192"/>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2</w:t>
      </w:r>
      <w:r>
        <w:rPr>
          <w:rFonts w:hint="eastAsia" w:ascii="宋体" w:hAnsi="宋体" w:cs="宋体"/>
          <w:bCs/>
          <w:color w:val="auto"/>
          <w:sz w:val="24"/>
          <w:szCs w:val="24"/>
          <w:highlight w:val="none"/>
          <w:lang w:val="en-US" w:eastAsia="zh-CN"/>
        </w:rPr>
        <w:t>.</w:t>
      </w:r>
      <w:r>
        <w:rPr>
          <w:rFonts w:hint="eastAsia" w:ascii="宋体" w:hAnsi="宋体" w:cs="宋体"/>
          <w:bCs/>
          <w:color w:val="auto"/>
          <w:sz w:val="24"/>
          <w:szCs w:val="24"/>
          <w:highlight w:val="none"/>
          <w:lang w:eastAsia="zh-CN"/>
        </w:rPr>
        <w:t>本采购项目的项目款分期支付。</w:t>
      </w:r>
    </w:p>
    <w:p>
      <w:pPr>
        <w:spacing w:line="360" w:lineRule="auto"/>
        <w:ind w:firstLine="460" w:firstLineChars="192"/>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合同签订生效以及具备实施条件后，甲方向乙方支付合同总价30%的预付款；乙方在规定的时间内将设备运至现场并安装调试完毕后，由甲方向乙方支付合同总价20%的项目款；项目验收通过后，由甲方向乙方支付剩余50%的项目款。</w:t>
      </w:r>
    </w:p>
    <w:p>
      <w:pPr>
        <w:spacing w:line="360" w:lineRule="auto"/>
        <w:ind w:firstLine="460" w:firstLineChars="192"/>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val="en-US" w:eastAsia="zh-CN"/>
        </w:rPr>
        <w:t>3.</w:t>
      </w:r>
      <w:r>
        <w:rPr>
          <w:rFonts w:hint="eastAsia" w:ascii="宋体" w:hAnsi="宋体" w:cs="宋体"/>
          <w:color w:val="auto"/>
          <w:sz w:val="24"/>
          <w:highlight w:val="none"/>
        </w:rPr>
        <w:t>支付项目款时，</w:t>
      </w:r>
      <w:r>
        <w:rPr>
          <w:rFonts w:hint="eastAsia" w:ascii="宋体" w:hAnsi="宋体" w:cs="宋体"/>
          <w:color w:val="auto"/>
          <w:sz w:val="24"/>
          <w:highlight w:val="none"/>
          <w:lang w:eastAsia="zh-CN"/>
        </w:rPr>
        <w:t>乙方</w:t>
      </w:r>
      <w:r>
        <w:rPr>
          <w:rFonts w:hint="eastAsia" w:ascii="宋体" w:hAnsi="宋体" w:cs="宋体"/>
          <w:color w:val="auto"/>
          <w:sz w:val="24"/>
          <w:highlight w:val="none"/>
        </w:rPr>
        <w:t>将结款申请1份、增值税专用发票1份、合同复印件1份、设备（</w:t>
      </w:r>
      <w:r>
        <w:rPr>
          <w:rFonts w:hint="eastAsia" w:ascii="宋体" w:hAnsi="宋体" w:cs="宋体"/>
          <w:color w:val="auto"/>
          <w:sz w:val="24"/>
          <w:highlight w:val="none"/>
          <w:lang w:eastAsia="zh-CN"/>
        </w:rPr>
        <w:t>或</w:t>
      </w:r>
      <w:r>
        <w:rPr>
          <w:rFonts w:hint="eastAsia" w:ascii="宋体" w:hAnsi="宋体" w:cs="宋体"/>
          <w:color w:val="auto"/>
          <w:sz w:val="24"/>
          <w:highlight w:val="none"/>
        </w:rPr>
        <w:t>系统）清单和经</w:t>
      </w:r>
      <w:r>
        <w:rPr>
          <w:rFonts w:hint="eastAsia" w:ascii="宋体" w:hAnsi="宋体" w:cs="宋体"/>
          <w:color w:val="auto"/>
          <w:sz w:val="24"/>
          <w:highlight w:val="none"/>
          <w:lang w:eastAsia="zh-CN"/>
        </w:rPr>
        <w:t>甲方</w:t>
      </w:r>
      <w:r>
        <w:rPr>
          <w:rFonts w:hint="eastAsia" w:ascii="宋体" w:hAnsi="宋体" w:cs="宋体"/>
          <w:color w:val="auto"/>
          <w:sz w:val="24"/>
          <w:highlight w:val="none"/>
        </w:rPr>
        <w:t>验收确认的《验收反馈表》和验收报告提交</w:t>
      </w:r>
      <w:r>
        <w:rPr>
          <w:rFonts w:hint="eastAsia" w:ascii="宋体" w:hAnsi="宋体" w:cs="宋体"/>
          <w:color w:val="auto"/>
          <w:sz w:val="24"/>
          <w:highlight w:val="none"/>
          <w:lang w:eastAsia="zh-CN"/>
        </w:rPr>
        <w:t>甲方</w:t>
      </w:r>
      <w:r>
        <w:rPr>
          <w:rFonts w:hint="eastAsia" w:ascii="宋体" w:hAnsi="宋体" w:cs="宋体"/>
          <w:color w:val="auto"/>
          <w:sz w:val="24"/>
          <w:highlight w:val="none"/>
        </w:rPr>
        <w:t>，由</w:t>
      </w:r>
      <w:r>
        <w:rPr>
          <w:rFonts w:hint="eastAsia" w:ascii="宋体" w:hAnsi="宋体" w:cs="宋体"/>
          <w:color w:val="auto"/>
          <w:sz w:val="24"/>
          <w:highlight w:val="none"/>
          <w:lang w:eastAsia="zh-CN"/>
        </w:rPr>
        <w:t>甲方</w:t>
      </w:r>
      <w:r>
        <w:rPr>
          <w:rFonts w:hint="eastAsia" w:ascii="宋体" w:hAnsi="宋体" w:cs="宋体"/>
          <w:color w:val="auto"/>
          <w:sz w:val="24"/>
          <w:highlight w:val="none"/>
        </w:rPr>
        <w:t>向</w:t>
      </w:r>
      <w:r>
        <w:rPr>
          <w:rFonts w:hint="eastAsia" w:ascii="宋体" w:hAnsi="宋体" w:cs="宋体"/>
          <w:color w:val="auto"/>
          <w:sz w:val="24"/>
          <w:highlight w:val="none"/>
          <w:lang w:eastAsia="zh-CN"/>
        </w:rPr>
        <w:t>乙方</w:t>
      </w:r>
      <w:r>
        <w:rPr>
          <w:rFonts w:hint="eastAsia" w:ascii="宋体" w:hAnsi="宋体" w:cs="宋体"/>
          <w:color w:val="auto"/>
          <w:sz w:val="24"/>
          <w:highlight w:val="none"/>
        </w:rPr>
        <w:t>支付结算项目款。</w:t>
      </w:r>
    </w:p>
    <w:p>
      <w:pPr>
        <w:widowControl/>
        <w:spacing w:line="360" w:lineRule="auto"/>
        <w:ind w:firstLine="241" w:firstLineChars="100"/>
        <w:jc w:val="left"/>
        <w:rPr>
          <w:rFonts w:hint="eastAsia" w:ascii="宋体" w:hAnsi="宋体" w:cs="宋体"/>
          <w:color w:val="auto"/>
          <w:kern w:val="0"/>
          <w:sz w:val="24"/>
          <w:highlight w:val="none"/>
        </w:rPr>
      </w:pPr>
      <w:r>
        <w:rPr>
          <w:rFonts w:hint="eastAsia" w:ascii="宋体" w:hAnsi="宋体" w:cs="宋体"/>
          <w:b/>
          <w:bCs/>
          <w:color w:val="auto"/>
          <w:kern w:val="0"/>
          <w:sz w:val="24"/>
          <w:highlight w:val="none"/>
        </w:rPr>
        <w:t>第六条：履约保证金</w:t>
      </w:r>
    </w:p>
    <w:p>
      <w:pPr>
        <w:adjustRightInd w:val="0"/>
        <w:snapToGrid w:val="0"/>
        <w:spacing w:line="360" w:lineRule="auto"/>
        <w:ind w:firstLine="424" w:firstLineChars="177"/>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在合同签订后由乙方按合同总金额的1%作为履约保证金缴纳至甲方指定账户（可采用银行、保险公司出具保函形式提交）。经验收合格后，无质量、服务问题由甲方无息退还。因乙方的服务、质量原因造成甲方损失的，甲方有权要求乙方以其履约保证金作出补偿</w:t>
      </w:r>
      <w:r>
        <w:rPr>
          <w:rFonts w:hint="eastAsia" w:ascii="宋体" w:hAnsi="宋体" w:cs="宋体"/>
          <w:color w:val="auto"/>
          <w:kern w:val="0"/>
          <w:sz w:val="24"/>
          <w:highlight w:val="none"/>
        </w:rPr>
        <w:t>。</w:t>
      </w:r>
    </w:p>
    <w:p>
      <w:pPr>
        <w:widowControl/>
        <w:spacing w:line="360" w:lineRule="auto"/>
        <w:ind w:firstLine="241" w:firstLineChars="100"/>
        <w:jc w:val="left"/>
        <w:rPr>
          <w:rFonts w:hint="eastAsia" w:ascii="宋体" w:hAnsi="宋体" w:cs="宋体"/>
          <w:color w:val="auto"/>
          <w:kern w:val="0"/>
          <w:sz w:val="24"/>
          <w:highlight w:val="none"/>
        </w:rPr>
      </w:pPr>
      <w:r>
        <w:rPr>
          <w:rFonts w:hint="eastAsia" w:ascii="宋体" w:hAnsi="宋体" w:cs="宋体"/>
          <w:b/>
          <w:bCs/>
          <w:color w:val="auto"/>
          <w:kern w:val="0"/>
          <w:sz w:val="24"/>
          <w:highlight w:val="none"/>
        </w:rPr>
        <w:t>第七条：售后服务</w:t>
      </w:r>
    </w:p>
    <w:p>
      <w:pPr>
        <w:adjustRightInd w:val="0"/>
        <w:snapToGrid w:val="0"/>
        <w:spacing w:line="360" w:lineRule="auto"/>
        <w:ind w:firstLine="424" w:firstLineChars="177"/>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本项目提供</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eastAsia="zh-CN"/>
        </w:rPr>
        <w:t>年的质保期（若设备原厂商提供更长质保期，则按最长的质保期执行），质保期从验收合格交付使用之日起算；质保期内因不能排除的故障而影响工作的情况每发生一次，其质保期相应延长60天，质保期内因设备本身缺陷造成各种故障应由卖方免费技术服务和维修</w:t>
      </w:r>
      <w:r>
        <w:rPr>
          <w:rFonts w:hint="eastAsia" w:ascii="宋体" w:hAnsi="宋体" w:cs="宋体"/>
          <w:color w:val="auto"/>
          <w:kern w:val="0"/>
          <w:sz w:val="24"/>
          <w:highlight w:val="none"/>
        </w:rPr>
        <w:t>。</w:t>
      </w:r>
    </w:p>
    <w:p>
      <w:pPr>
        <w:adjustRightInd w:val="0"/>
        <w:snapToGrid w:val="0"/>
        <w:spacing w:line="360" w:lineRule="auto"/>
        <w:ind w:firstLine="424" w:firstLineChars="177"/>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在设备（或系统）整个使用期内，供应商应确保正常使用，在接到用户维修要求后在</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eastAsia="zh-CN"/>
        </w:rPr>
        <w:t>小时内响应并提出解决方案，</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eastAsia="zh-CN"/>
        </w:rPr>
        <w:t>小时内到达现场对故障进行处理，维修过程中所需材料供应商在接到通知后应及时提供，最长不超过</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eastAsia="zh-CN"/>
        </w:rPr>
        <w:t>小时必须送达。若</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eastAsia="zh-CN"/>
        </w:rPr>
        <w:t>小时内无法修复的，应及时提供相应备用设备并负责安装调试，为此，供应商应提供相应承诺书</w:t>
      </w:r>
      <w:r>
        <w:rPr>
          <w:rFonts w:hint="eastAsia" w:ascii="宋体" w:hAnsi="宋体" w:cs="宋体"/>
          <w:color w:val="auto"/>
          <w:kern w:val="0"/>
          <w:sz w:val="24"/>
          <w:highlight w:val="none"/>
          <w:lang w:val="en-US" w:eastAsia="zh-CN"/>
        </w:rPr>
        <w:t>。</w:t>
      </w:r>
    </w:p>
    <w:p>
      <w:pPr>
        <w:adjustRightInd w:val="0"/>
        <w:snapToGrid w:val="0"/>
        <w:spacing w:line="360" w:lineRule="auto"/>
        <w:ind w:firstLine="424" w:firstLineChars="177"/>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eastAsia="zh-CN"/>
        </w:rPr>
        <w:t>在质保期内，乙方应负责对其提供的设备进行现场维修、损坏件更换，不收取额外费用，响应时间必须满足甲方工作正常运行的要求</w:t>
      </w:r>
      <w:r>
        <w:rPr>
          <w:rFonts w:hint="eastAsia" w:ascii="宋体" w:hAnsi="宋体" w:cs="宋体"/>
          <w:color w:val="auto"/>
          <w:kern w:val="0"/>
          <w:sz w:val="24"/>
          <w:highlight w:val="none"/>
          <w:lang w:val="en-US" w:eastAsia="zh-CN"/>
        </w:rPr>
        <w:t>。</w:t>
      </w:r>
    </w:p>
    <w:p>
      <w:pPr>
        <w:widowControl/>
        <w:spacing w:line="360" w:lineRule="auto"/>
        <w:ind w:firstLine="241" w:firstLineChars="100"/>
        <w:jc w:val="left"/>
        <w:rPr>
          <w:rFonts w:hint="eastAsia" w:ascii="宋体" w:hAnsi="宋体" w:cs="宋体"/>
          <w:color w:val="auto"/>
          <w:kern w:val="0"/>
          <w:sz w:val="24"/>
          <w:highlight w:val="none"/>
        </w:rPr>
      </w:pPr>
      <w:r>
        <w:rPr>
          <w:rFonts w:hint="eastAsia" w:ascii="宋体" w:hAnsi="宋体" w:cs="宋体"/>
          <w:b/>
          <w:color w:val="auto"/>
          <w:kern w:val="0"/>
          <w:sz w:val="24"/>
          <w:highlight w:val="none"/>
        </w:rPr>
        <w:t>第八条：</w:t>
      </w:r>
      <w:r>
        <w:rPr>
          <w:rFonts w:hint="eastAsia" w:ascii="宋体" w:hAnsi="宋体" w:cs="宋体"/>
          <w:color w:val="auto"/>
          <w:kern w:val="0"/>
          <w:sz w:val="24"/>
          <w:highlight w:val="none"/>
        </w:rPr>
        <w:t>乙方承担合同标的供货、安装调试及交付前的一切费用(包括不可预见费用)和市场风险。</w:t>
      </w:r>
    </w:p>
    <w:p>
      <w:pPr>
        <w:widowControl/>
        <w:spacing w:line="360" w:lineRule="auto"/>
        <w:ind w:firstLine="241" w:firstLineChars="100"/>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第九条：其他约定</w:t>
      </w:r>
    </w:p>
    <w:p>
      <w:pPr>
        <w:adjustRightInd w:val="0"/>
        <w:snapToGrid w:val="0"/>
        <w:spacing w:line="360" w:lineRule="auto"/>
        <w:ind w:firstLine="424" w:firstLineChars="177"/>
        <w:rPr>
          <w:rFonts w:hint="eastAsia" w:ascii="宋体" w:hAnsi="宋体" w:cs="宋体"/>
          <w:color w:val="auto"/>
          <w:kern w:val="0"/>
          <w:sz w:val="24"/>
          <w:szCs w:val="22"/>
          <w:highlight w:val="none"/>
          <w:u w:val="single"/>
        </w:rPr>
      </w:pPr>
      <w:r>
        <w:rPr>
          <w:rFonts w:hint="eastAsia" w:ascii="宋体" w:hAnsi="宋体" w:cs="宋体"/>
          <w:color w:val="auto"/>
          <w:kern w:val="0"/>
          <w:sz w:val="24"/>
          <w:szCs w:val="22"/>
          <w:highlight w:val="none"/>
          <w:u w:val="single"/>
        </w:rPr>
        <w:t>1.根据招标文件要求和投标文件响应内容提供设备及服务。</w:t>
      </w:r>
    </w:p>
    <w:p>
      <w:pPr>
        <w:adjustRightInd w:val="0"/>
        <w:snapToGrid w:val="0"/>
        <w:spacing w:line="360" w:lineRule="auto"/>
        <w:ind w:firstLine="424" w:firstLineChars="177"/>
        <w:rPr>
          <w:rFonts w:hint="eastAsia" w:ascii="宋体" w:hAnsi="宋体" w:cs="宋体"/>
          <w:color w:val="auto"/>
          <w:kern w:val="0"/>
          <w:sz w:val="24"/>
          <w:szCs w:val="22"/>
          <w:highlight w:val="none"/>
          <w:u w:val="single"/>
        </w:rPr>
      </w:pPr>
      <w:r>
        <w:rPr>
          <w:rFonts w:hint="eastAsia" w:ascii="宋体" w:hAnsi="宋体" w:cs="宋体"/>
          <w:color w:val="auto"/>
          <w:kern w:val="0"/>
          <w:sz w:val="24"/>
          <w:szCs w:val="22"/>
          <w:highlight w:val="none"/>
          <w:u w:val="single"/>
        </w:rPr>
        <w:t xml:space="preserve">2.                                   </w:t>
      </w:r>
      <w:r>
        <w:rPr>
          <w:rFonts w:hint="eastAsia" w:ascii="宋体" w:hAnsi="宋体" w:cs="宋体"/>
          <w:color w:val="auto"/>
          <w:kern w:val="0"/>
          <w:sz w:val="24"/>
          <w:szCs w:val="22"/>
          <w:highlight w:val="none"/>
          <w:u w:val="single"/>
          <w:lang w:val="en-US" w:eastAsia="zh-CN"/>
        </w:rPr>
        <w:t xml:space="preserve">               </w:t>
      </w:r>
    </w:p>
    <w:p>
      <w:pPr>
        <w:widowControl/>
        <w:spacing w:line="360" w:lineRule="auto"/>
        <w:ind w:firstLine="241" w:firstLineChars="100"/>
        <w:rPr>
          <w:rFonts w:hint="eastAsia" w:ascii="宋体" w:hAnsi="宋体" w:cs="宋体"/>
          <w:color w:val="auto"/>
          <w:kern w:val="0"/>
          <w:sz w:val="24"/>
          <w:highlight w:val="none"/>
        </w:rPr>
      </w:pPr>
      <w:r>
        <w:rPr>
          <w:rFonts w:hint="eastAsia" w:ascii="宋体" w:hAnsi="宋体" w:cs="宋体"/>
          <w:b/>
          <w:bCs/>
          <w:color w:val="auto"/>
          <w:kern w:val="0"/>
          <w:sz w:val="24"/>
          <w:highlight w:val="none"/>
        </w:rPr>
        <w:t>第十条：违约责任</w:t>
      </w:r>
    </w:p>
    <w:p>
      <w:pPr>
        <w:widowControl/>
        <w:spacing w:line="360" w:lineRule="auto"/>
        <w:ind w:firstLine="502"/>
        <w:jc w:val="left"/>
        <w:rPr>
          <w:rFonts w:hint="eastAsia" w:ascii="宋体" w:hAnsi="宋体" w:cs="宋体"/>
          <w:color w:val="auto"/>
          <w:kern w:val="0"/>
          <w:sz w:val="24"/>
          <w:highlight w:val="none"/>
        </w:rPr>
      </w:pPr>
      <w:r>
        <w:rPr>
          <w:rFonts w:hint="eastAsia" w:ascii="宋体" w:hAnsi="宋体" w:cs="宋体"/>
          <w:color w:val="auto"/>
          <w:kern w:val="0"/>
          <w:sz w:val="24"/>
          <w:highlight w:val="none"/>
        </w:rPr>
        <w:t>由于乙方原因(除不可抗力外)不能按期交付合同标的，对超出交付期的每一天，乙方应按合同总价款的千分之三承担违约金，在合同货款支付时一次性扣除。若超出交付期十天(含十天)以上的，甲方有权终止合同并提请相关部门按照政府采购的有关规定对乙方进行处理。</w:t>
      </w:r>
    </w:p>
    <w:p>
      <w:pPr>
        <w:widowControl/>
        <w:spacing w:line="360" w:lineRule="auto"/>
        <w:ind w:firstLine="480" w:firstLineChars="200"/>
        <w:jc w:val="left"/>
        <w:rPr>
          <w:rFonts w:hint="eastAsia" w:ascii="宋体" w:hAnsi="宋体" w:cs="宋体"/>
          <w:b/>
          <w:bCs/>
          <w:color w:val="auto"/>
          <w:kern w:val="0"/>
          <w:sz w:val="24"/>
          <w:highlight w:val="none"/>
        </w:rPr>
      </w:pPr>
      <w:r>
        <w:rPr>
          <w:rFonts w:hint="eastAsia" w:ascii="宋体" w:hAnsi="宋体" w:cs="宋体"/>
          <w:color w:val="auto"/>
          <w:kern w:val="0"/>
          <w:sz w:val="24"/>
          <w:highlight w:val="none"/>
        </w:rPr>
        <w:t>乙方按合同要求将货物送达甲方后，经验收通过后，甲方超出付款期支付货款的，每逾一天，甲方应向乙方支付合同货物金额的千分之三的滞纳金。若遇特殊情况甲方要求推迟供货或验收的，必须事先征得乙方的同意，否则应承担由此给乙方造成的损失。</w:t>
      </w:r>
    </w:p>
    <w:p>
      <w:pPr>
        <w:widowControl/>
        <w:spacing w:line="360" w:lineRule="auto"/>
        <w:ind w:firstLine="241" w:firstLineChars="100"/>
        <w:jc w:val="left"/>
        <w:rPr>
          <w:rFonts w:hint="eastAsia" w:ascii="宋体" w:hAnsi="宋体" w:cs="宋体"/>
          <w:color w:val="auto"/>
          <w:kern w:val="0"/>
          <w:sz w:val="24"/>
          <w:highlight w:val="none"/>
        </w:rPr>
      </w:pPr>
      <w:r>
        <w:rPr>
          <w:rFonts w:hint="eastAsia" w:ascii="宋体" w:hAnsi="宋体" w:cs="宋体"/>
          <w:b/>
          <w:bCs/>
          <w:color w:val="auto"/>
          <w:kern w:val="0"/>
          <w:sz w:val="24"/>
          <w:highlight w:val="none"/>
        </w:rPr>
        <w:t>第十一条：争议的解决</w:t>
      </w:r>
    </w:p>
    <w:p>
      <w:pPr>
        <w:adjustRightInd w:val="0"/>
        <w:snapToGrid w:val="0"/>
        <w:spacing w:line="360" w:lineRule="auto"/>
        <w:ind w:firstLine="424" w:firstLineChars="177"/>
        <w:rPr>
          <w:rFonts w:hint="eastAsia" w:ascii="宋体" w:hAnsi="宋体" w:cs="宋体"/>
          <w:color w:val="auto"/>
          <w:kern w:val="0"/>
          <w:sz w:val="24"/>
          <w:szCs w:val="22"/>
          <w:highlight w:val="none"/>
        </w:rPr>
      </w:pPr>
      <w:r>
        <w:rPr>
          <w:rFonts w:hint="eastAsia" w:ascii="宋体" w:hAnsi="宋体" w:cs="宋体"/>
          <w:color w:val="auto"/>
          <w:kern w:val="0"/>
          <w:sz w:val="24"/>
          <w:szCs w:val="22"/>
          <w:highlight w:val="none"/>
        </w:rPr>
        <w:t>1.因质量问题发生争议的，由甲方委托有关技术部门进行质量鉴定，该鉴定的结论甲乙双方应当接受，各方均有权直接向对方索赔，并签订书面处理协议书，报见证方备案。</w:t>
      </w:r>
    </w:p>
    <w:p>
      <w:pPr>
        <w:adjustRightInd w:val="0"/>
        <w:snapToGrid w:val="0"/>
        <w:spacing w:line="360" w:lineRule="auto"/>
        <w:ind w:firstLine="424" w:firstLineChars="177"/>
        <w:rPr>
          <w:rFonts w:hint="eastAsia" w:ascii="宋体" w:hAnsi="宋体" w:cs="宋体"/>
          <w:color w:val="auto"/>
          <w:kern w:val="0"/>
          <w:sz w:val="24"/>
          <w:szCs w:val="22"/>
          <w:highlight w:val="none"/>
        </w:rPr>
      </w:pPr>
      <w:r>
        <w:rPr>
          <w:rFonts w:hint="eastAsia" w:ascii="宋体" w:hAnsi="宋体" w:cs="宋体"/>
          <w:color w:val="auto"/>
          <w:kern w:val="0"/>
          <w:sz w:val="24"/>
          <w:szCs w:val="22"/>
          <w:highlight w:val="none"/>
        </w:rPr>
        <w:t>2.双方无法通过协商解决合同争议的，任何一方有权向建德市人民法院提出诉讼。</w:t>
      </w:r>
    </w:p>
    <w:p>
      <w:pPr>
        <w:widowControl/>
        <w:spacing w:line="360" w:lineRule="auto"/>
        <w:ind w:firstLine="241" w:firstLineChars="100"/>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第十二条：不可抗力</w:t>
      </w:r>
    </w:p>
    <w:p>
      <w:pPr>
        <w:widowControl/>
        <w:spacing w:line="360" w:lineRule="auto"/>
        <w:ind w:firstLine="480" w:firstLineChars="200"/>
        <w:jc w:val="left"/>
        <w:rPr>
          <w:rFonts w:hint="eastAsia" w:ascii="宋体" w:hAnsi="宋体" w:cs="宋体"/>
          <w:b/>
          <w:bCs/>
          <w:color w:val="auto"/>
          <w:kern w:val="0"/>
          <w:sz w:val="24"/>
          <w:highlight w:val="none"/>
        </w:rPr>
      </w:pPr>
      <w:r>
        <w:rPr>
          <w:rFonts w:hint="eastAsia" w:ascii="宋体" w:hAnsi="宋体" w:cs="宋体"/>
          <w:color w:val="auto"/>
          <w:kern w:val="0"/>
          <w:sz w:val="24"/>
          <w:highlight w:val="none"/>
        </w:rPr>
        <w:t>不可抗力是指战争、洪水、台风、地震等或其他双方认定的不能预见其发生及后果，无法避免和克服的事件。甲乙双方任何一方由于不可抗力的原因不能全部或部分履行合同时，应尽快向对方通报理由，在提供相关证明后，可允许延期履行、部分履行或不履行，并可根据实际情况部分或全部免于承担违约责任。</w:t>
      </w:r>
    </w:p>
    <w:p>
      <w:pPr>
        <w:widowControl/>
        <w:spacing w:line="360" w:lineRule="auto"/>
        <w:ind w:firstLine="241" w:firstLineChars="100"/>
        <w:rPr>
          <w:rFonts w:hint="eastAsia" w:ascii="宋体" w:hAnsi="宋体" w:cs="宋体"/>
          <w:color w:val="auto"/>
          <w:kern w:val="0"/>
          <w:sz w:val="24"/>
          <w:highlight w:val="none"/>
        </w:rPr>
      </w:pPr>
      <w:r>
        <w:rPr>
          <w:rFonts w:hint="eastAsia" w:ascii="宋体" w:hAnsi="宋体" w:cs="宋体"/>
          <w:b/>
          <w:bCs/>
          <w:color w:val="auto"/>
          <w:kern w:val="0"/>
          <w:sz w:val="24"/>
          <w:highlight w:val="none"/>
        </w:rPr>
        <w:t>第十三条：合同的生效</w:t>
      </w:r>
    </w:p>
    <w:p>
      <w:pPr>
        <w:adjustRightInd w:val="0"/>
        <w:snapToGrid w:val="0"/>
        <w:spacing w:line="360" w:lineRule="auto"/>
        <w:ind w:firstLine="424" w:firstLineChars="177"/>
        <w:rPr>
          <w:rFonts w:hint="eastAsia" w:ascii="宋体" w:hAnsi="宋体" w:cs="宋体"/>
          <w:color w:val="auto"/>
          <w:kern w:val="0"/>
          <w:sz w:val="24"/>
          <w:szCs w:val="22"/>
          <w:highlight w:val="none"/>
        </w:rPr>
      </w:pPr>
      <w:r>
        <w:rPr>
          <w:rFonts w:hint="eastAsia" w:ascii="宋体" w:hAnsi="宋体" w:cs="宋体"/>
          <w:color w:val="auto"/>
          <w:kern w:val="0"/>
          <w:sz w:val="24"/>
          <w:szCs w:val="22"/>
          <w:highlight w:val="none"/>
        </w:rPr>
        <w:t>1.本合同一式</w:t>
      </w:r>
      <w:r>
        <w:rPr>
          <w:rFonts w:hint="eastAsia" w:ascii="宋体" w:hAnsi="宋体" w:cs="宋体"/>
          <w:color w:val="auto"/>
          <w:kern w:val="0"/>
          <w:sz w:val="24"/>
          <w:szCs w:val="22"/>
          <w:highlight w:val="none"/>
          <w:lang w:val="en-US" w:eastAsia="zh-CN"/>
        </w:rPr>
        <w:t>拾</w:t>
      </w:r>
      <w:r>
        <w:rPr>
          <w:rFonts w:hint="eastAsia" w:ascii="宋体" w:hAnsi="宋体" w:cs="宋体"/>
          <w:color w:val="auto"/>
          <w:kern w:val="0"/>
          <w:sz w:val="24"/>
          <w:szCs w:val="22"/>
          <w:highlight w:val="none"/>
        </w:rPr>
        <w:t>份，甲</w:t>
      </w:r>
      <w:r>
        <w:rPr>
          <w:rFonts w:hint="eastAsia" w:ascii="宋体" w:hAnsi="宋体" w:cs="宋体"/>
          <w:color w:val="auto"/>
          <w:kern w:val="0"/>
          <w:sz w:val="24"/>
          <w:szCs w:val="22"/>
          <w:highlight w:val="none"/>
          <w:lang w:eastAsia="zh-CN"/>
        </w:rPr>
        <w:t>方</w:t>
      </w:r>
      <w:r>
        <w:rPr>
          <w:rFonts w:hint="eastAsia" w:ascii="宋体" w:hAnsi="宋体" w:cs="宋体"/>
          <w:color w:val="auto"/>
          <w:kern w:val="0"/>
          <w:sz w:val="24"/>
          <w:szCs w:val="22"/>
          <w:highlight w:val="none"/>
          <w:lang w:val="en-US" w:eastAsia="zh-CN"/>
        </w:rPr>
        <w:t>六</w:t>
      </w:r>
      <w:r>
        <w:rPr>
          <w:rFonts w:hint="eastAsia" w:ascii="宋体" w:hAnsi="宋体" w:cs="宋体"/>
          <w:color w:val="auto"/>
          <w:kern w:val="0"/>
          <w:sz w:val="24"/>
          <w:szCs w:val="22"/>
          <w:highlight w:val="none"/>
          <w:lang w:eastAsia="zh-CN"/>
        </w:rPr>
        <w:t>份，</w:t>
      </w:r>
      <w:r>
        <w:rPr>
          <w:rFonts w:hint="eastAsia" w:ascii="宋体" w:hAnsi="宋体" w:cs="宋体"/>
          <w:color w:val="auto"/>
          <w:kern w:val="0"/>
          <w:sz w:val="24"/>
          <w:szCs w:val="22"/>
          <w:highlight w:val="none"/>
        </w:rPr>
        <w:t>乙方二份，见证单位一份，监管部门一份。</w:t>
      </w:r>
    </w:p>
    <w:p>
      <w:pPr>
        <w:adjustRightInd w:val="0"/>
        <w:snapToGrid w:val="0"/>
        <w:spacing w:line="360" w:lineRule="auto"/>
        <w:ind w:firstLine="424" w:firstLineChars="177"/>
        <w:rPr>
          <w:rFonts w:hint="eastAsia" w:ascii="宋体" w:hAnsi="宋体" w:cs="宋体"/>
          <w:color w:val="auto"/>
          <w:kern w:val="0"/>
          <w:sz w:val="24"/>
          <w:szCs w:val="22"/>
          <w:highlight w:val="none"/>
        </w:rPr>
      </w:pPr>
      <w:r>
        <w:rPr>
          <w:rFonts w:hint="eastAsia" w:ascii="宋体" w:hAnsi="宋体" w:cs="宋体"/>
          <w:color w:val="auto"/>
          <w:kern w:val="0"/>
          <w:sz w:val="24"/>
          <w:szCs w:val="22"/>
          <w:highlight w:val="none"/>
        </w:rPr>
        <w:t>2.本合同经甲乙双方法定代表人或委托代理人签字并加盖公章经见证方见证后生效。</w:t>
      </w:r>
    </w:p>
    <w:p>
      <w:pPr>
        <w:adjustRightInd w:val="0"/>
        <w:snapToGrid w:val="0"/>
        <w:spacing w:line="360" w:lineRule="auto"/>
        <w:ind w:firstLine="424" w:firstLineChars="177"/>
        <w:rPr>
          <w:rFonts w:hint="eastAsia" w:ascii="宋体" w:hAnsi="宋体" w:cs="宋体"/>
          <w:color w:val="auto"/>
          <w:kern w:val="0"/>
          <w:sz w:val="24"/>
          <w:szCs w:val="22"/>
          <w:highlight w:val="none"/>
        </w:rPr>
      </w:pPr>
      <w:r>
        <w:rPr>
          <w:rFonts w:hint="eastAsia" w:ascii="宋体" w:hAnsi="宋体" w:cs="宋体"/>
          <w:color w:val="auto"/>
          <w:kern w:val="0"/>
          <w:sz w:val="24"/>
          <w:szCs w:val="22"/>
          <w:highlight w:val="none"/>
        </w:rPr>
        <w:t>3.本合同未尽事宜，经双方商议可续签补充协议。该补充协议与本合同具有相同法律效力，但该补充协议的内容不能实质性修改招标文件的主要条款。</w:t>
      </w:r>
    </w:p>
    <w:p>
      <w:pPr>
        <w:adjustRightInd w:val="0"/>
        <w:snapToGrid w:val="0"/>
        <w:spacing w:line="360" w:lineRule="auto"/>
        <w:ind w:firstLine="424" w:firstLineChars="177"/>
        <w:rPr>
          <w:rFonts w:hint="eastAsia" w:ascii="宋体" w:hAnsi="宋体" w:cs="宋体"/>
          <w:color w:val="auto"/>
          <w:kern w:val="0"/>
          <w:sz w:val="24"/>
          <w:szCs w:val="22"/>
          <w:highlight w:val="none"/>
        </w:rPr>
      </w:pPr>
      <w:r>
        <w:rPr>
          <w:rFonts w:hint="eastAsia" w:ascii="宋体" w:hAnsi="宋体" w:cs="宋体"/>
          <w:color w:val="auto"/>
          <w:kern w:val="0"/>
          <w:sz w:val="24"/>
          <w:szCs w:val="22"/>
          <w:highlight w:val="none"/>
        </w:rPr>
        <w:t>4.本合同未涉及的部分以招标文件（项目编号：</w:t>
      </w:r>
      <w:r>
        <w:rPr>
          <w:rFonts w:hint="eastAsia" w:ascii="宋体" w:hAnsi="宋体" w:cs="宋体"/>
          <w:color w:val="auto"/>
          <w:kern w:val="0"/>
          <w:sz w:val="24"/>
          <w:szCs w:val="22"/>
          <w:highlight w:val="none"/>
          <w:u w:val="single"/>
          <w:lang w:val="en-US" w:eastAsia="zh-CN"/>
        </w:rPr>
        <w:t xml:space="preserve">         </w:t>
      </w:r>
      <w:r>
        <w:rPr>
          <w:rFonts w:hint="eastAsia" w:ascii="宋体" w:hAnsi="宋体" w:cs="宋体"/>
          <w:color w:val="auto"/>
          <w:kern w:val="0"/>
          <w:sz w:val="24"/>
          <w:szCs w:val="22"/>
          <w:highlight w:val="none"/>
        </w:rPr>
        <w:t>）(包括补充更正，如有)为准，上述招标文件与乙方针对本项目投标文件及记录是本合同的附件，与本合同具有同等法律效力，但附件与主合同的规定不一致时，以主合同为准。</w:t>
      </w:r>
    </w:p>
    <w:p>
      <w:pPr>
        <w:pStyle w:val="36"/>
        <w:snapToGrid w:val="0"/>
        <w:spacing w:line="440" w:lineRule="exact"/>
        <w:rPr>
          <w:rFonts w:hint="eastAsia" w:hAnsi="宋体" w:cs="宋体"/>
          <w:b/>
          <w:color w:val="auto"/>
          <w:sz w:val="24"/>
          <w:szCs w:val="24"/>
          <w:highlight w:val="none"/>
        </w:rPr>
      </w:pPr>
    </w:p>
    <w:p>
      <w:pPr>
        <w:pStyle w:val="37"/>
        <w:rPr>
          <w:rFonts w:hint="eastAsia" w:hAnsi="宋体" w:cs="宋体"/>
          <w:b/>
          <w:color w:val="auto"/>
          <w:highlight w:val="none"/>
        </w:rPr>
      </w:pPr>
    </w:p>
    <w:p>
      <w:pPr>
        <w:pStyle w:val="36"/>
        <w:snapToGrid w:val="0"/>
        <w:spacing w:line="440" w:lineRule="exact"/>
        <w:rPr>
          <w:rFonts w:hint="eastAsia" w:hAnsi="宋体" w:cs="宋体"/>
          <w:b/>
          <w:color w:val="auto"/>
          <w:sz w:val="24"/>
          <w:szCs w:val="24"/>
          <w:highlight w:val="none"/>
        </w:rPr>
      </w:pPr>
    </w:p>
    <w:p>
      <w:pPr>
        <w:pStyle w:val="36"/>
        <w:snapToGrid w:val="0"/>
        <w:spacing w:line="440" w:lineRule="exact"/>
        <w:rPr>
          <w:rFonts w:hint="eastAsia" w:hAnsi="宋体" w:cs="宋体"/>
          <w:b/>
          <w:color w:val="auto"/>
          <w:sz w:val="24"/>
          <w:szCs w:val="24"/>
          <w:highlight w:val="none"/>
        </w:rPr>
      </w:pPr>
    </w:p>
    <w:p>
      <w:pPr>
        <w:pStyle w:val="37"/>
        <w:rPr>
          <w:rFonts w:hint="eastAsia" w:hAnsi="宋体" w:cs="宋体"/>
          <w:b/>
          <w:color w:val="auto"/>
          <w:sz w:val="24"/>
          <w:szCs w:val="24"/>
          <w:highlight w:val="none"/>
        </w:rPr>
      </w:pPr>
    </w:p>
    <w:p>
      <w:pPr>
        <w:pStyle w:val="37"/>
        <w:rPr>
          <w:rFonts w:hint="eastAsia" w:hAnsi="宋体" w:cs="宋体"/>
          <w:b/>
          <w:color w:val="auto"/>
          <w:sz w:val="24"/>
          <w:szCs w:val="24"/>
          <w:highlight w:val="none"/>
        </w:rPr>
      </w:pPr>
    </w:p>
    <w:p>
      <w:pPr>
        <w:pStyle w:val="37"/>
        <w:rPr>
          <w:rFonts w:hint="eastAsia" w:hAnsi="宋体" w:cs="宋体"/>
          <w:b/>
          <w:color w:val="auto"/>
          <w:sz w:val="24"/>
          <w:szCs w:val="24"/>
          <w:highlight w:val="none"/>
        </w:rPr>
      </w:pPr>
    </w:p>
    <w:p>
      <w:pPr>
        <w:pStyle w:val="37"/>
        <w:rPr>
          <w:rFonts w:hint="eastAsia" w:hAnsi="宋体" w:cs="宋体"/>
          <w:b/>
          <w:color w:val="auto"/>
          <w:sz w:val="24"/>
          <w:szCs w:val="24"/>
          <w:highlight w:val="none"/>
        </w:rPr>
      </w:pPr>
    </w:p>
    <w:p>
      <w:pPr>
        <w:pStyle w:val="37"/>
        <w:rPr>
          <w:rFonts w:hint="eastAsia" w:hAnsi="宋体" w:cs="宋体"/>
          <w:b/>
          <w:color w:val="auto"/>
          <w:sz w:val="24"/>
          <w:szCs w:val="24"/>
          <w:highlight w:val="none"/>
        </w:rPr>
      </w:pPr>
    </w:p>
    <w:p>
      <w:pPr>
        <w:pStyle w:val="37"/>
        <w:rPr>
          <w:rFonts w:hint="eastAsia" w:hAnsi="宋体" w:cs="宋体"/>
          <w:b/>
          <w:color w:val="auto"/>
          <w:sz w:val="24"/>
          <w:szCs w:val="24"/>
          <w:highlight w:val="none"/>
        </w:rPr>
      </w:pPr>
    </w:p>
    <w:p>
      <w:pPr>
        <w:pStyle w:val="37"/>
        <w:rPr>
          <w:rFonts w:hint="eastAsia" w:hAnsi="宋体" w:cs="宋体"/>
          <w:b/>
          <w:color w:val="auto"/>
          <w:sz w:val="24"/>
          <w:szCs w:val="24"/>
          <w:highlight w:val="none"/>
        </w:rPr>
      </w:pPr>
    </w:p>
    <w:p>
      <w:pPr>
        <w:pStyle w:val="36"/>
        <w:snapToGrid w:val="0"/>
        <w:spacing w:line="440" w:lineRule="exact"/>
        <w:rPr>
          <w:rFonts w:hint="eastAsia" w:hAnsi="宋体" w:cs="宋体"/>
          <w:b/>
          <w:color w:val="auto"/>
          <w:sz w:val="24"/>
          <w:szCs w:val="24"/>
          <w:highlight w:val="none"/>
        </w:rPr>
      </w:pPr>
    </w:p>
    <w:p>
      <w:pPr>
        <w:pStyle w:val="36"/>
        <w:snapToGrid w:val="0"/>
        <w:spacing w:line="440" w:lineRule="exact"/>
        <w:ind w:firstLine="241" w:firstLineChars="100"/>
        <w:rPr>
          <w:rFonts w:hint="eastAsia" w:hAnsi="宋体" w:cs="宋体"/>
          <w:b/>
          <w:color w:val="auto"/>
          <w:sz w:val="24"/>
          <w:szCs w:val="24"/>
          <w:highlight w:val="none"/>
        </w:rPr>
      </w:pPr>
    </w:p>
    <w:p>
      <w:pPr>
        <w:pStyle w:val="36"/>
        <w:snapToGrid w:val="0"/>
        <w:spacing w:line="440" w:lineRule="exact"/>
        <w:ind w:firstLine="241" w:firstLineChars="100"/>
        <w:rPr>
          <w:rFonts w:hint="eastAsia" w:hAnsi="宋体" w:cs="宋体"/>
          <w:b/>
          <w:color w:val="auto"/>
          <w:sz w:val="24"/>
          <w:szCs w:val="24"/>
          <w:highlight w:val="none"/>
        </w:rPr>
      </w:pPr>
      <w:r>
        <w:rPr>
          <w:rFonts w:hint="eastAsia" w:hAnsi="宋体" w:cs="宋体"/>
          <w:b/>
          <w:color w:val="auto"/>
          <w:sz w:val="24"/>
          <w:szCs w:val="24"/>
          <w:highlight w:val="none"/>
        </w:rPr>
        <w:t>甲方（盖章）：                               乙方（盖章）：</w:t>
      </w:r>
    </w:p>
    <w:p>
      <w:pPr>
        <w:pStyle w:val="36"/>
        <w:snapToGrid w:val="0"/>
        <w:spacing w:line="440" w:lineRule="exact"/>
        <w:ind w:left="239" w:leftChars="114" w:firstLine="60" w:firstLineChars="25"/>
        <w:rPr>
          <w:rFonts w:hint="eastAsia" w:hAnsi="宋体" w:cs="宋体"/>
          <w:color w:val="auto"/>
          <w:sz w:val="24"/>
          <w:szCs w:val="24"/>
          <w:highlight w:val="none"/>
        </w:rPr>
      </w:pPr>
      <w:r>
        <w:rPr>
          <w:rFonts w:hint="eastAsia" w:hAnsi="宋体" w:cs="宋体"/>
          <w:color w:val="auto"/>
          <w:sz w:val="24"/>
          <w:szCs w:val="24"/>
          <w:highlight w:val="none"/>
        </w:rPr>
        <w:t>法定代表人或受委托人                         法定代表人或受委托人</w:t>
      </w:r>
    </w:p>
    <w:p>
      <w:pPr>
        <w:pStyle w:val="36"/>
        <w:snapToGrid w:val="0"/>
        <w:spacing w:line="440" w:lineRule="exact"/>
        <w:ind w:left="239" w:leftChars="114" w:firstLine="60" w:firstLineChars="25"/>
        <w:rPr>
          <w:rFonts w:hint="eastAsia" w:hAnsi="宋体" w:cs="宋体"/>
          <w:color w:val="auto"/>
          <w:sz w:val="24"/>
          <w:szCs w:val="24"/>
          <w:highlight w:val="none"/>
        </w:rPr>
      </w:pPr>
      <w:r>
        <w:rPr>
          <w:rFonts w:hint="eastAsia" w:hAnsi="宋体" w:cs="宋体"/>
          <w:color w:val="auto"/>
          <w:sz w:val="24"/>
          <w:szCs w:val="24"/>
          <w:highlight w:val="none"/>
        </w:rPr>
        <w:t>（签字）                                     （签字）</w:t>
      </w:r>
    </w:p>
    <w:p>
      <w:pPr>
        <w:pStyle w:val="36"/>
        <w:snapToGrid w:val="0"/>
        <w:spacing w:line="440" w:lineRule="exact"/>
        <w:ind w:left="239" w:leftChars="114" w:firstLine="60" w:firstLineChars="25"/>
        <w:rPr>
          <w:rFonts w:hint="eastAsia" w:hAnsi="宋体" w:cs="宋体"/>
          <w:color w:val="auto"/>
          <w:sz w:val="24"/>
          <w:szCs w:val="24"/>
          <w:highlight w:val="none"/>
        </w:rPr>
      </w:pPr>
      <w:r>
        <w:rPr>
          <w:rFonts w:hint="eastAsia" w:hAnsi="宋体" w:cs="宋体"/>
          <w:color w:val="auto"/>
          <w:sz w:val="24"/>
          <w:szCs w:val="24"/>
          <w:highlight w:val="none"/>
        </w:rPr>
        <w:t>地址：                                       地址：</w:t>
      </w:r>
    </w:p>
    <w:p>
      <w:pPr>
        <w:pStyle w:val="36"/>
        <w:snapToGrid w:val="0"/>
        <w:spacing w:line="440" w:lineRule="exact"/>
        <w:ind w:left="239" w:leftChars="114" w:firstLine="60" w:firstLineChars="25"/>
        <w:rPr>
          <w:rFonts w:hint="eastAsia" w:hAnsi="宋体" w:cs="宋体"/>
          <w:color w:val="auto"/>
          <w:sz w:val="24"/>
          <w:szCs w:val="24"/>
          <w:highlight w:val="none"/>
        </w:rPr>
      </w:pPr>
      <w:r>
        <w:rPr>
          <w:rFonts w:hint="eastAsia" w:hAnsi="宋体" w:cs="宋体"/>
          <w:color w:val="auto"/>
          <w:sz w:val="24"/>
          <w:szCs w:val="24"/>
          <w:highlight w:val="none"/>
        </w:rPr>
        <w:t>邮编：                                       邮编：</w:t>
      </w:r>
    </w:p>
    <w:p>
      <w:pPr>
        <w:pStyle w:val="36"/>
        <w:snapToGrid w:val="0"/>
        <w:spacing w:line="440" w:lineRule="exact"/>
        <w:ind w:left="239" w:leftChars="114" w:firstLine="60" w:firstLineChars="25"/>
        <w:rPr>
          <w:rFonts w:hint="eastAsia" w:hAnsi="宋体" w:cs="宋体"/>
          <w:color w:val="auto"/>
          <w:sz w:val="24"/>
          <w:szCs w:val="24"/>
          <w:highlight w:val="none"/>
        </w:rPr>
      </w:pPr>
      <w:r>
        <w:rPr>
          <w:rFonts w:hint="eastAsia" w:hAnsi="宋体" w:cs="宋体"/>
          <w:color w:val="auto"/>
          <w:sz w:val="24"/>
          <w:szCs w:val="24"/>
          <w:highlight w:val="none"/>
        </w:rPr>
        <w:t>电话：                                       电话：</w:t>
      </w:r>
    </w:p>
    <w:p>
      <w:pPr>
        <w:pStyle w:val="36"/>
        <w:snapToGrid w:val="0"/>
        <w:spacing w:line="440" w:lineRule="exact"/>
        <w:ind w:left="239" w:leftChars="114" w:firstLine="60" w:firstLineChars="25"/>
        <w:rPr>
          <w:rFonts w:hint="eastAsia" w:hAnsi="宋体" w:cs="宋体"/>
          <w:color w:val="auto"/>
          <w:sz w:val="24"/>
          <w:szCs w:val="24"/>
          <w:highlight w:val="none"/>
        </w:rPr>
      </w:pPr>
      <w:r>
        <w:rPr>
          <w:rFonts w:hint="eastAsia" w:hAnsi="宋体" w:cs="宋体"/>
          <w:color w:val="auto"/>
          <w:sz w:val="24"/>
          <w:szCs w:val="24"/>
          <w:highlight w:val="none"/>
        </w:rPr>
        <w:t>传真：                                       传真：</w:t>
      </w:r>
    </w:p>
    <w:p>
      <w:pPr>
        <w:pStyle w:val="36"/>
        <w:snapToGrid w:val="0"/>
        <w:spacing w:line="440" w:lineRule="exact"/>
        <w:ind w:left="239" w:leftChars="114" w:firstLine="60" w:firstLineChars="25"/>
        <w:rPr>
          <w:rFonts w:hint="eastAsia" w:hAnsi="宋体" w:cs="宋体"/>
          <w:color w:val="auto"/>
          <w:sz w:val="24"/>
          <w:szCs w:val="24"/>
          <w:highlight w:val="none"/>
        </w:rPr>
      </w:pPr>
      <w:r>
        <w:rPr>
          <w:rFonts w:hint="eastAsia" w:hAnsi="宋体" w:cs="宋体"/>
          <w:color w:val="auto"/>
          <w:sz w:val="24"/>
          <w:szCs w:val="24"/>
          <w:highlight w:val="none"/>
        </w:rPr>
        <w:t>签约时间：     年   月   日</w:t>
      </w:r>
    </w:p>
    <w:p>
      <w:pPr>
        <w:pStyle w:val="36"/>
        <w:snapToGrid w:val="0"/>
        <w:spacing w:line="440" w:lineRule="exact"/>
        <w:ind w:left="239" w:leftChars="114" w:firstLine="60" w:firstLineChars="25"/>
        <w:rPr>
          <w:rFonts w:hint="eastAsia" w:hAnsi="宋体" w:cs="宋体"/>
          <w:color w:val="auto"/>
          <w:sz w:val="24"/>
          <w:szCs w:val="24"/>
          <w:highlight w:val="none"/>
        </w:rPr>
      </w:pPr>
      <w:r>
        <w:rPr>
          <w:rFonts w:hint="eastAsia" w:hAnsi="宋体" w:cs="宋体"/>
          <w:color w:val="auto"/>
          <w:sz w:val="24"/>
          <w:szCs w:val="24"/>
          <w:highlight w:val="none"/>
        </w:rPr>
        <w:t>签约地点：</w:t>
      </w:r>
    </w:p>
    <w:p>
      <w:pPr>
        <w:pStyle w:val="36"/>
        <w:snapToGrid w:val="0"/>
        <w:spacing w:line="440" w:lineRule="exact"/>
        <w:ind w:left="180" w:hanging="180" w:hangingChars="75"/>
        <w:rPr>
          <w:rFonts w:hint="eastAsia" w:hAnsi="宋体" w:cs="宋体"/>
          <w:color w:val="auto"/>
          <w:sz w:val="24"/>
          <w:szCs w:val="24"/>
          <w:highlight w:val="none"/>
        </w:rPr>
      </w:pPr>
    </w:p>
    <w:p>
      <w:pPr>
        <w:pStyle w:val="36"/>
        <w:snapToGrid w:val="0"/>
        <w:spacing w:line="440" w:lineRule="exact"/>
        <w:ind w:left="239" w:leftChars="114" w:firstLine="60" w:firstLineChars="25"/>
        <w:rPr>
          <w:rFonts w:hint="eastAsia" w:hAnsi="宋体" w:cs="宋体"/>
          <w:color w:val="auto"/>
          <w:sz w:val="24"/>
          <w:szCs w:val="24"/>
          <w:highlight w:val="none"/>
        </w:rPr>
      </w:pPr>
      <w:r>
        <w:rPr>
          <w:rFonts w:hint="eastAsia" w:hAnsi="宋体" w:cs="宋体"/>
          <w:color w:val="auto"/>
          <w:sz w:val="24"/>
          <w:szCs w:val="24"/>
          <w:highlight w:val="none"/>
        </w:rPr>
        <w:t>见证单位：（盖章）</w:t>
      </w:r>
    </w:p>
    <w:p>
      <w:pPr>
        <w:pStyle w:val="36"/>
        <w:snapToGrid w:val="0"/>
        <w:spacing w:line="440" w:lineRule="exact"/>
        <w:ind w:left="239" w:leftChars="114" w:firstLine="60" w:firstLineChars="25"/>
        <w:rPr>
          <w:rFonts w:hint="eastAsia" w:hAnsi="宋体" w:cs="宋体"/>
          <w:color w:val="auto"/>
          <w:sz w:val="24"/>
          <w:szCs w:val="24"/>
          <w:highlight w:val="none"/>
        </w:rPr>
      </w:pPr>
      <w:r>
        <w:rPr>
          <w:rFonts w:hint="eastAsia" w:hAnsi="宋体" w:cs="宋体"/>
          <w:color w:val="auto"/>
          <w:sz w:val="24"/>
          <w:szCs w:val="24"/>
          <w:highlight w:val="none"/>
        </w:rPr>
        <w:t>法定代表人或委托代理人（签字或盖章）:</w:t>
      </w:r>
    </w:p>
    <w:p>
      <w:pPr>
        <w:pStyle w:val="36"/>
        <w:snapToGrid w:val="0"/>
        <w:spacing w:line="440" w:lineRule="exact"/>
        <w:ind w:left="239" w:leftChars="114" w:firstLine="60" w:firstLineChars="25"/>
        <w:rPr>
          <w:rFonts w:hint="eastAsia" w:hAnsi="宋体" w:cs="宋体"/>
          <w:color w:val="auto"/>
          <w:sz w:val="24"/>
          <w:szCs w:val="24"/>
          <w:highlight w:val="none"/>
        </w:rPr>
      </w:pPr>
      <w:r>
        <w:rPr>
          <w:rFonts w:hint="eastAsia" w:hAnsi="宋体" w:cs="宋体"/>
          <w:color w:val="auto"/>
          <w:sz w:val="24"/>
          <w:szCs w:val="24"/>
          <w:highlight w:val="none"/>
        </w:rPr>
        <w:t>时间：    年   月   日</w:t>
      </w:r>
    </w:p>
    <w:p>
      <w:pPr>
        <w:pStyle w:val="36"/>
        <w:rPr>
          <w:color w:val="auto"/>
          <w:highlight w:val="none"/>
        </w:rPr>
      </w:pPr>
    </w:p>
    <w:p>
      <w:pPr>
        <w:spacing w:line="480" w:lineRule="auto"/>
        <w:jc w:val="both"/>
        <w:rPr>
          <w:rFonts w:hint="eastAsia" w:ascii="宋体" w:hAnsi="宋体" w:eastAsia="宋体" w:cs="宋体"/>
          <w:b/>
          <w:color w:val="auto"/>
          <w:sz w:val="24"/>
          <w:highlight w:val="none"/>
        </w:rPr>
      </w:pPr>
    </w:p>
    <w:p>
      <w:pPr>
        <w:spacing w:line="360" w:lineRule="auto"/>
        <w:ind w:left="-420" w:leftChars="-200" w:right="-420" w:rightChars="-200" w:firstLine="480" w:firstLineChars="200"/>
        <w:rPr>
          <w:rFonts w:hint="eastAsia" w:ascii="宋体" w:hAnsi="宋体" w:eastAsia="宋体" w:cs="宋体"/>
          <w:color w:val="auto"/>
          <w:sz w:val="24"/>
          <w:highlight w:val="none"/>
        </w:rPr>
      </w:pPr>
    </w:p>
    <w:p>
      <w:pPr>
        <w:spacing w:line="360" w:lineRule="auto"/>
        <w:ind w:left="-420" w:leftChars="-200" w:right="-420" w:rightChars="-200"/>
        <w:rPr>
          <w:rFonts w:hint="eastAsia" w:ascii="宋体" w:hAnsi="宋体" w:eastAsia="宋体" w:cs="宋体"/>
          <w:color w:val="auto"/>
          <w:sz w:val="24"/>
          <w:highlight w:val="none"/>
        </w:rPr>
      </w:pPr>
    </w:p>
    <w:p>
      <w:pPr>
        <w:pStyle w:val="4"/>
        <w:rPr>
          <w:rFonts w:hint="eastAsia" w:ascii="宋体" w:hAnsi="宋体" w:eastAsia="宋体" w:cs="宋体"/>
          <w:color w:val="auto"/>
          <w:highlight w:val="none"/>
        </w:rPr>
      </w:pPr>
    </w:p>
    <w:p>
      <w:pPr>
        <w:rPr>
          <w:rFonts w:hint="eastAsia" w:ascii="宋体" w:hAnsi="宋体" w:eastAsia="宋体" w:cs="宋体"/>
          <w:color w:val="auto"/>
          <w:highlight w:val="none"/>
        </w:rPr>
      </w:pPr>
    </w:p>
    <w:p>
      <w:pPr>
        <w:spacing w:line="360" w:lineRule="auto"/>
        <w:ind w:left="720" w:firstLine="723" w:firstLineChars="200"/>
        <w:outlineLvl w:val="0"/>
        <w:rPr>
          <w:rFonts w:hint="eastAsia" w:ascii="宋体" w:hAnsi="宋体" w:eastAsia="宋体" w:cs="宋体"/>
          <w:b/>
          <w:color w:val="auto"/>
          <w:sz w:val="36"/>
          <w:szCs w:val="20"/>
          <w:highlight w:val="none"/>
        </w:rPr>
      </w:pPr>
    </w:p>
    <w:p>
      <w:pPr>
        <w:spacing w:line="360" w:lineRule="auto"/>
        <w:ind w:left="720" w:firstLine="1446" w:firstLineChars="400"/>
        <w:outlineLvl w:val="0"/>
        <w:rPr>
          <w:rFonts w:hint="eastAsia" w:ascii="宋体" w:hAnsi="宋体" w:eastAsia="宋体" w:cs="宋体"/>
          <w:b/>
          <w:color w:val="auto"/>
          <w:sz w:val="36"/>
          <w:szCs w:val="20"/>
          <w:highlight w:val="none"/>
        </w:rPr>
      </w:pPr>
    </w:p>
    <w:p>
      <w:pPr>
        <w:spacing w:line="360" w:lineRule="auto"/>
        <w:jc w:val="center"/>
        <w:outlineLvl w:val="0"/>
        <w:rPr>
          <w:rFonts w:hint="eastAsia" w:ascii="宋体" w:hAnsi="宋体" w:eastAsia="宋体" w:cs="宋体"/>
          <w:b/>
          <w:color w:val="auto"/>
          <w:sz w:val="36"/>
          <w:szCs w:val="20"/>
          <w:highlight w:val="none"/>
        </w:rPr>
      </w:pPr>
    </w:p>
    <w:p>
      <w:pPr>
        <w:spacing w:line="360" w:lineRule="auto"/>
        <w:jc w:val="center"/>
        <w:outlineLvl w:val="0"/>
        <w:rPr>
          <w:rFonts w:hint="eastAsia" w:ascii="宋体" w:hAnsi="宋体" w:eastAsia="宋体" w:cs="宋体"/>
          <w:b/>
          <w:color w:val="auto"/>
          <w:sz w:val="36"/>
          <w:szCs w:val="20"/>
          <w:highlight w:val="none"/>
        </w:rPr>
      </w:pPr>
    </w:p>
    <w:p>
      <w:pPr>
        <w:spacing w:line="360" w:lineRule="auto"/>
        <w:jc w:val="center"/>
        <w:outlineLvl w:val="0"/>
        <w:rPr>
          <w:rFonts w:hint="eastAsia" w:ascii="宋体" w:hAnsi="宋体" w:eastAsia="宋体" w:cs="宋体"/>
          <w:b/>
          <w:color w:val="auto"/>
          <w:sz w:val="36"/>
          <w:szCs w:val="20"/>
          <w:highlight w:val="none"/>
        </w:rPr>
      </w:pPr>
    </w:p>
    <w:p>
      <w:pPr>
        <w:spacing w:line="360" w:lineRule="auto"/>
        <w:jc w:val="center"/>
        <w:outlineLvl w:val="0"/>
        <w:rPr>
          <w:rFonts w:hint="eastAsia" w:ascii="宋体" w:hAnsi="宋体" w:eastAsia="宋体" w:cs="宋体"/>
          <w:b/>
          <w:color w:val="auto"/>
          <w:sz w:val="36"/>
          <w:szCs w:val="20"/>
          <w:highlight w:val="none"/>
        </w:rPr>
      </w:pPr>
    </w:p>
    <w:p>
      <w:pPr>
        <w:spacing w:line="360" w:lineRule="auto"/>
        <w:jc w:val="center"/>
        <w:outlineLvl w:val="0"/>
        <w:rPr>
          <w:rFonts w:hint="eastAsia" w:ascii="宋体" w:hAnsi="宋体" w:eastAsia="宋体" w:cs="宋体"/>
          <w:b/>
          <w:color w:val="auto"/>
          <w:sz w:val="36"/>
          <w:szCs w:val="20"/>
          <w:highlight w:val="none"/>
        </w:rPr>
      </w:pPr>
    </w:p>
    <w:p>
      <w:pPr>
        <w:spacing w:line="360" w:lineRule="auto"/>
        <w:jc w:val="center"/>
        <w:outlineLvl w:val="0"/>
        <w:rPr>
          <w:rFonts w:hint="eastAsia" w:ascii="宋体" w:hAnsi="宋体" w:eastAsia="宋体" w:cs="宋体"/>
          <w:b/>
          <w:color w:val="auto"/>
          <w:sz w:val="36"/>
          <w:szCs w:val="20"/>
          <w:highlight w:val="none"/>
        </w:rPr>
      </w:pPr>
    </w:p>
    <w:p>
      <w:pPr>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3"/>
      <w:r>
        <w:rPr>
          <w:rFonts w:hint="eastAsia" w:ascii="宋体" w:hAnsi="宋体" w:eastAsia="宋体" w:cs="宋体"/>
          <w:b/>
          <w:color w:val="auto"/>
          <w:sz w:val="36"/>
          <w:szCs w:val="20"/>
          <w:highlight w:val="none"/>
        </w:rPr>
        <w:t xml:space="preserve"> </w:t>
      </w:r>
      <w:bookmarkEnd w:id="34"/>
      <w:r>
        <w:rPr>
          <w:rFonts w:hint="eastAsia" w:ascii="宋体" w:hAnsi="宋体" w:eastAsia="宋体" w:cs="宋体"/>
          <w:b/>
          <w:color w:val="auto"/>
          <w:sz w:val="36"/>
          <w:szCs w:val="20"/>
          <w:highlight w:val="none"/>
        </w:rPr>
        <w:t>应提交的有关格式范例</w:t>
      </w: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w:t>
      </w:r>
      <w:r>
        <w:rPr>
          <w:rFonts w:hint="eastAsia" w:ascii="宋体" w:hAnsi="宋体" w:cs="宋体"/>
          <w:color w:val="auto"/>
          <w:sz w:val="24"/>
          <w:highlight w:val="none"/>
          <w:lang w:eastAsia="zh-CN"/>
        </w:rPr>
        <w:t>非</w:t>
      </w:r>
      <w:r>
        <w:rPr>
          <w:rFonts w:hint="eastAsia" w:ascii="宋体" w:hAnsi="宋体" w:eastAsia="宋体" w:cs="宋体"/>
          <w:color w:val="auto"/>
          <w:sz w:val="24"/>
          <w:highlight w:val="none"/>
        </w:rPr>
        <w:t>政府采购活动应当具备的一般条件的承诺函……………（页码）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）本项目的特定资格要求………………………………………………（页码）</w:t>
      </w:r>
    </w:p>
    <w:p>
      <w:pPr>
        <w:snapToGrid w:val="0"/>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w:t>
      </w:r>
      <w:r>
        <w:rPr>
          <w:rFonts w:hint="eastAsia" w:ascii="宋体" w:hAnsi="宋体" w:cs="宋体"/>
          <w:b/>
          <w:color w:val="auto"/>
          <w:kern w:val="0"/>
          <w:sz w:val="32"/>
          <w:szCs w:val="32"/>
          <w:highlight w:val="none"/>
          <w:lang w:eastAsia="zh-CN"/>
        </w:rPr>
        <w:t>非</w:t>
      </w:r>
      <w:r>
        <w:rPr>
          <w:rFonts w:hint="eastAsia" w:ascii="宋体" w:hAnsi="宋体" w:eastAsia="宋体" w:cs="宋体"/>
          <w:b/>
          <w:color w:val="auto"/>
          <w:kern w:val="0"/>
          <w:sz w:val="32"/>
          <w:szCs w:val="32"/>
          <w:highlight w:val="none"/>
        </w:rPr>
        <w:t>政府采购活动应当具备的一般条件的</w:t>
      </w: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承诺函</w:t>
      </w:r>
    </w:p>
    <w:p>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建德市乾潭镇下梓村股份经济合作社</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杭州博望建设工程招标投标代理有限公司</w:t>
      </w:r>
      <w:r>
        <w:rPr>
          <w:rFonts w:hint="eastAsia" w:ascii="宋体" w:hAnsi="宋体" w:eastAsia="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lang w:eastAsia="zh-CN"/>
        </w:rPr>
        <w:t>建德市乾潭镇下梓村数字乡村建设采购项目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JDBWCG2025-034</w:t>
      </w:r>
      <w:r>
        <w:rPr>
          <w:rFonts w:hint="eastAsia" w:ascii="宋体" w:hAnsi="宋体" w:eastAsia="宋体" w:cs="宋体"/>
          <w:color w:val="auto"/>
          <w:sz w:val="24"/>
          <w:highlight w:val="none"/>
        </w:rPr>
        <w:t>】政府采购活动，郑重承诺：</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、中国政府采购网（www.ccgp.gov.cn）列入失信被执行人、</w:t>
      </w:r>
      <w:r>
        <w:rPr>
          <w:rFonts w:hint="eastAsia" w:ascii="宋体" w:hAnsi="宋体" w:eastAsia="宋体" w:cs="宋体"/>
          <w:color w:val="auto"/>
          <w:sz w:val="24"/>
          <w:highlight w:val="none"/>
          <w:lang w:eastAsia="zh-CN"/>
        </w:rPr>
        <w:t>重大税收违法失信主体</w:t>
      </w:r>
      <w:r>
        <w:rPr>
          <w:rFonts w:hint="eastAsia" w:ascii="宋体" w:hAnsi="宋体" w:eastAsia="宋体" w:cs="宋体"/>
          <w:color w:val="auto"/>
          <w:sz w:val="24"/>
          <w:highlight w:val="none"/>
        </w:rPr>
        <w:t>、政府采购严重违法失信行为记录名单。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ind w:firstLine="480" w:firstLineChars="200"/>
        <w:rPr>
          <w:rFonts w:hint="eastAsia" w:ascii="宋体" w:hAnsi="宋体" w:eastAsia="宋体" w:cs="宋体"/>
          <w:color w:val="auto"/>
          <w:sz w:val="24"/>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eastAsia="zh-CN"/>
        </w:rPr>
        <w:t>三</w:t>
      </w:r>
      <w:r>
        <w:rPr>
          <w:rFonts w:hint="eastAsia" w:ascii="宋体" w:hAnsi="宋体" w:eastAsia="宋体" w:cs="宋体"/>
          <w:b/>
          <w:color w:val="auto"/>
          <w:kern w:val="0"/>
          <w:sz w:val="32"/>
          <w:szCs w:val="32"/>
          <w:highlight w:val="none"/>
        </w:rPr>
        <w:t>、本项目的特定资格要求</w:t>
      </w:r>
    </w:p>
    <w:p>
      <w:pPr>
        <w:widowControl/>
        <w:spacing w:line="360" w:lineRule="auto"/>
        <w:ind w:firstLine="482" w:firstLineChars="200"/>
        <w:jc w:val="left"/>
        <w:rPr>
          <w:rFonts w:hint="eastAsia" w:ascii="宋体" w:hAnsi="宋体" w:eastAsia="宋体" w:cs="宋体"/>
          <w:b/>
          <w:color w:val="auto"/>
          <w:sz w:val="24"/>
          <w:highlight w:val="none"/>
        </w:rPr>
      </w:pP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pacing w:line="360" w:lineRule="auto"/>
        <w:ind w:right="42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pPr>
        <w:snapToGrid w:val="0"/>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2"/>
          <w:szCs w:val="22"/>
          <w:highlight w:val="none"/>
        </w:rPr>
        <w:t>（1）投标函</w:t>
      </w:r>
      <w:r>
        <w:rPr>
          <w:rFonts w:hint="eastAsia" w:ascii="宋体" w:hAnsi="宋体" w:eastAsia="宋体" w:cs="宋体"/>
          <w:color w:val="auto"/>
          <w:sz w:val="20"/>
          <w:szCs w:val="22"/>
          <w:highlight w:val="none"/>
        </w:rPr>
        <w:t>…………………………………………………………………………………（页码）</w:t>
      </w:r>
      <w:r>
        <w:rPr>
          <w:rFonts w:hint="eastAsia" w:ascii="宋体" w:hAnsi="宋体" w:eastAsia="宋体" w:cs="宋体"/>
          <w:color w:val="auto"/>
          <w:sz w:val="22"/>
          <w:szCs w:val="22"/>
          <w:highlight w:val="none"/>
        </w:rPr>
        <w:t>（2）授权委托书或法定代表人（单位负责人、自然人本人）身份证明</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0"/>
          <w:szCs w:val="22"/>
          <w:highlight w:val="none"/>
        </w:rPr>
        <w:t>………（页码）</w:t>
      </w:r>
    </w:p>
    <w:p>
      <w:pPr>
        <w:snapToGrid w:val="0"/>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2"/>
          <w:szCs w:val="22"/>
          <w:highlight w:val="none"/>
        </w:rPr>
        <w:t>（3）分包意向协议</w:t>
      </w:r>
      <w:r>
        <w:rPr>
          <w:rFonts w:hint="eastAsia" w:ascii="宋体" w:hAnsi="宋体" w:eastAsia="宋体" w:cs="宋体"/>
          <w:color w:val="auto"/>
          <w:sz w:val="20"/>
          <w:szCs w:val="22"/>
          <w:highlight w:val="none"/>
        </w:rPr>
        <w:t>…………………………………………………………………………（页码）</w:t>
      </w:r>
    </w:p>
    <w:p>
      <w:pPr>
        <w:snapToGrid w:val="0"/>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2"/>
          <w:szCs w:val="22"/>
          <w:highlight w:val="none"/>
        </w:rPr>
        <w:t>（4）符合性审查资料</w:t>
      </w:r>
      <w:r>
        <w:rPr>
          <w:rFonts w:hint="eastAsia" w:ascii="宋体" w:hAnsi="宋体" w:eastAsia="宋体" w:cs="宋体"/>
          <w:color w:val="auto"/>
          <w:sz w:val="20"/>
          <w:szCs w:val="22"/>
          <w:highlight w:val="none"/>
        </w:rPr>
        <w:t>………………………………………………………………………（页码）</w:t>
      </w:r>
    </w:p>
    <w:p>
      <w:pPr>
        <w:snapToGrid w:val="0"/>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2"/>
          <w:szCs w:val="22"/>
          <w:highlight w:val="none"/>
        </w:rPr>
        <w:t>（5）评标标准相应的商务技术资料</w:t>
      </w:r>
      <w:r>
        <w:rPr>
          <w:rFonts w:hint="eastAsia" w:ascii="宋体" w:hAnsi="宋体" w:eastAsia="宋体" w:cs="宋体"/>
          <w:color w:val="auto"/>
          <w:sz w:val="20"/>
          <w:szCs w:val="22"/>
          <w:highlight w:val="none"/>
        </w:rPr>
        <w:t>…………………………</w:t>
      </w:r>
      <w:r>
        <w:rPr>
          <w:rFonts w:hint="eastAsia" w:ascii="宋体" w:hAnsi="宋体" w:eastAsia="宋体" w:cs="宋体"/>
          <w:color w:val="auto"/>
          <w:sz w:val="22"/>
          <w:szCs w:val="22"/>
          <w:highlight w:val="none"/>
        </w:rPr>
        <w:t>………</w:t>
      </w:r>
      <w:r>
        <w:rPr>
          <w:rFonts w:hint="eastAsia" w:ascii="宋体" w:hAnsi="宋体" w:eastAsia="宋体" w:cs="宋体"/>
          <w:color w:val="auto"/>
          <w:sz w:val="20"/>
          <w:szCs w:val="22"/>
          <w:highlight w:val="none"/>
        </w:rPr>
        <w:t>…</w:t>
      </w:r>
      <w:r>
        <w:rPr>
          <w:rFonts w:hint="eastAsia" w:ascii="宋体" w:hAnsi="宋体" w:eastAsia="宋体" w:cs="宋体"/>
          <w:color w:val="auto"/>
          <w:sz w:val="22"/>
          <w:szCs w:val="22"/>
          <w:highlight w:val="none"/>
        </w:rPr>
        <w:t>…</w:t>
      </w:r>
      <w:r>
        <w:rPr>
          <w:rFonts w:hint="eastAsia" w:ascii="宋体" w:hAnsi="宋体" w:eastAsia="宋体" w:cs="宋体"/>
          <w:color w:val="auto"/>
          <w:sz w:val="20"/>
          <w:szCs w:val="22"/>
          <w:highlight w:val="none"/>
        </w:rPr>
        <w:t>……………（页码）</w:t>
      </w:r>
      <w:r>
        <w:rPr>
          <w:rFonts w:hint="eastAsia" w:ascii="宋体" w:hAnsi="宋体" w:eastAsia="宋体" w:cs="宋体"/>
          <w:color w:val="auto"/>
          <w:sz w:val="22"/>
          <w:szCs w:val="22"/>
          <w:highlight w:val="none"/>
        </w:rPr>
        <w:t>（6）投标标的清单</w:t>
      </w:r>
      <w:r>
        <w:rPr>
          <w:rFonts w:hint="eastAsia" w:ascii="宋体" w:hAnsi="宋体" w:eastAsia="宋体" w:cs="宋体"/>
          <w:color w:val="auto"/>
          <w:sz w:val="20"/>
          <w:szCs w:val="22"/>
          <w:highlight w:val="none"/>
        </w:rPr>
        <w:t>…</w:t>
      </w:r>
      <w:r>
        <w:rPr>
          <w:rFonts w:hint="eastAsia" w:ascii="宋体" w:hAnsi="宋体" w:eastAsia="宋体" w:cs="宋体"/>
          <w:color w:val="auto"/>
          <w:sz w:val="20"/>
          <w:szCs w:val="22"/>
          <w:highlight w:val="none"/>
          <w:lang w:val="en-US" w:eastAsia="zh-CN"/>
        </w:rPr>
        <w:t xml:space="preserve"> </w:t>
      </w:r>
      <w:r>
        <w:rPr>
          <w:rFonts w:hint="eastAsia" w:ascii="宋体" w:hAnsi="宋体" w:eastAsia="宋体" w:cs="宋体"/>
          <w:color w:val="auto"/>
          <w:sz w:val="20"/>
          <w:szCs w:val="22"/>
          <w:highlight w:val="none"/>
        </w:rPr>
        <w:t>……………………</w:t>
      </w:r>
      <w:r>
        <w:rPr>
          <w:rFonts w:hint="eastAsia" w:ascii="宋体" w:hAnsi="宋体" w:eastAsia="宋体" w:cs="宋体"/>
          <w:color w:val="auto"/>
          <w:sz w:val="22"/>
          <w:szCs w:val="22"/>
          <w:highlight w:val="none"/>
        </w:rPr>
        <w:t>………</w:t>
      </w:r>
      <w:r>
        <w:rPr>
          <w:rFonts w:hint="eastAsia" w:ascii="宋体" w:hAnsi="宋体" w:eastAsia="宋体" w:cs="宋体"/>
          <w:color w:val="auto"/>
          <w:sz w:val="20"/>
          <w:szCs w:val="22"/>
          <w:highlight w:val="none"/>
        </w:rPr>
        <w:t>…</w:t>
      </w:r>
      <w:r>
        <w:rPr>
          <w:rFonts w:hint="eastAsia" w:ascii="宋体" w:hAnsi="宋体" w:eastAsia="宋体" w:cs="宋体"/>
          <w:color w:val="auto"/>
          <w:sz w:val="22"/>
          <w:szCs w:val="22"/>
          <w:highlight w:val="none"/>
        </w:rPr>
        <w:t>…</w:t>
      </w:r>
      <w:r>
        <w:rPr>
          <w:rFonts w:hint="eastAsia" w:ascii="宋体" w:hAnsi="宋体" w:eastAsia="宋体" w:cs="宋体"/>
          <w:color w:val="auto"/>
          <w:sz w:val="20"/>
          <w:szCs w:val="22"/>
          <w:highlight w:val="none"/>
        </w:rPr>
        <w:t>…</w:t>
      </w:r>
      <w:r>
        <w:rPr>
          <w:rFonts w:hint="eastAsia" w:ascii="宋体" w:hAnsi="宋体" w:eastAsia="宋体" w:cs="宋体"/>
          <w:color w:val="auto"/>
          <w:sz w:val="22"/>
          <w:szCs w:val="22"/>
          <w:highlight w:val="none"/>
        </w:rPr>
        <w:t>…</w:t>
      </w:r>
      <w:r>
        <w:rPr>
          <w:rFonts w:hint="eastAsia" w:ascii="宋体" w:hAnsi="宋体" w:eastAsia="宋体" w:cs="宋体"/>
          <w:color w:val="auto"/>
          <w:sz w:val="20"/>
          <w:szCs w:val="22"/>
          <w:highlight w:val="none"/>
        </w:rPr>
        <w:t>…</w:t>
      </w:r>
      <w:r>
        <w:rPr>
          <w:rFonts w:hint="eastAsia" w:ascii="宋体" w:hAnsi="宋体" w:eastAsia="宋体" w:cs="宋体"/>
          <w:color w:val="auto"/>
          <w:sz w:val="22"/>
          <w:szCs w:val="22"/>
          <w:highlight w:val="none"/>
        </w:rPr>
        <w:t>…</w:t>
      </w:r>
      <w:r>
        <w:rPr>
          <w:rFonts w:hint="eastAsia" w:ascii="宋体" w:hAnsi="宋体" w:eastAsia="宋体" w:cs="宋体"/>
          <w:color w:val="auto"/>
          <w:sz w:val="20"/>
          <w:szCs w:val="22"/>
          <w:highlight w:val="none"/>
        </w:rPr>
        <w:t>…</w:t>
      </w:r>
      <w:r>
        <w:rPr>
          <w:rFonts w:hint="eastAsia" w:ascii="宋体" w:hAnsi="宋体" w:eastAsia="宋体" w:cs="宋体"/>
          <w:color w:val="auto"/>
          <w:sz w:val="22"/>
          <w:szCs w:val="22"/>
          <w:highlight w:val="none"/>
        </w:rPr>
        <w:t>…</w:t>
      </w:r>
      <w:r>
        <w:rPr>
          <w:rFonts w:hint="eastAsia" w:ascii="宋体" w:hAnsi="宋体" w:eastAsia="宋体" w:cs="宋体"/>
          <w:color w:val="auto"/>
          <w:sz w:val="20"/>
          <w:szCs w:val="22"/>
          <w:highlight w:val="none"/>
        </w:rPr>
        <w:t>…………………（页码）</w:t>
      </w:r>
    </w:p>
    <w:p>
      <w:pPr>
        <w:snapToGrid w:val="0"/>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2"/>
          <w:szCs w:val="22"/>
          <w:highlight w:val="none"/>
        </w:rPr>
        <w:t>（7）商务技术偏离表</w:t>
      </w:r>
      <w:r>
        <w:rPr>
          <w:rFonts w:hint="eastAsia" w:ascii="宋体" w:hAnsi="宋体" w:eastAsia="宋体" w:cs="宋体"/>
          <w:color w:val="auto"/>
          <w:sz w:val="20"/>
          <w:szCs w:val="22"/>
          <w:highlight w:val="none"/>
        </w:rPr>
        <w:t>………………………………………………………………………（页码）</w:t>
      </w:r>
    </w:p>
    <w:p>
      <w:pPr>
        <w:snapToGrid w:val="0"/>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rPr>
        <w:t>8</w:t>
      </w:r>
      <w:r>
        <w:rPr>
          <w:rFonts w:hint="eastAsia" w:ascii="宋体" w:hAnsi="宋体" w:eastAsia="宋体" w:cs="宋体"/>
          <w:color w:val="auto"/>
          <w:sz w:val="22"/>
          <w:szCs w:val="22"/>
          <w:highlight w:val="none"/>
          <w:lang w:val="zh-CN"/>
        </w:rPr>
        <w:t>）政府采购供应商廉洁自律承诺书</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0"/>
          <w:szCs w:val="22"/>
          <w:highlight w:val="none"/>
        </w:rPr>
        <w:t>…………………………………………………（页码）</w:t>
      </w: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pStyle w:val="4"/>
        <w:rPr>
          <w:rFonts w:hint="eastAsia" w:ascii="宋体" w:hAnsi="宋体" w:eastAsia="宋体" w:cs="宋体"/>
          <w:color w:val="auto"/>
          <w:highlight w:val="none"/>
          <w:lang w:val="en-US"/>
        </w:rPr>
      </w:pPr>
    </w:p>
    <w:p>
      <w:pPr>
        <w:rPr>
          <w:rFonts w:hint="eastAsia" w:ascii="宋体" w:hAnsi="宋体" w:eastAsia="宋体" w:cs="宋体"/>
          <w:color w:val="auto"/>
          <w:highlight w:val="none"/>
        </w:rPr>
      </w:pPr>
    </w:p>
    <w:p>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建德市乾潭镇下梓村股份经济合作社</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杭州博望建设工程招标投标代理有限公司</w:t>
      </w:r>
      <w:r>
        <w:rPr>
          <w:rFonts w:hint="eastAsia" w:ascii="宋体" w:hAnsi="宋体" w:eastAsia="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cs="宋体"/>
          <w:color w:val="auto"/>
          <w:sz w:val="24"/>
          <w:highlight w:val="none"/>
          <w:lang w:eastAsia="zh-CN"/>
        </w:rPr>
        <w:t>建德市乾潭镇下梓村数字乡村建设采购项目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JDBWCG2025-034</w:t>
      </w:r>
      <w:r>
        <w:rPr>
          <w:rFonts w:hint="eastAsia" w:ascii="宋体" w:hAnsi="宋体" w:eastAsia="宋体" w:cs="宋体"/>
          <w:color w:val="auto"/>
          <w:sz w:val="24"/>
          <w:highlight w:val="none"/>
        </w:rPr>
        <w:t>】招标的有关活动，并对此项目进行投标。为此：</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415" w:name="OLE_LINK21"/>
      <w:r>
        <w:rPr>
          <w:rFonts w:hint="eastAsia" w:ascii="宋体" w:hAnsi="宋体" w:eastAsia="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bookmarkEnd w:id="415"/>
      <w:r>
        <w:rPr>
          <w:rFonts w:hint="eastAsia" w:ascii="宋体" w:hAnsi="宋体" w:eastAsia="宋体" w:cs="宋体"/>
          <w:snapToGrid w:val="0"/>
          <w:color w:val="auto"/>
          <w:kern w:val="28"/>
          <w:sz w:val="24"/>
          <w:szCs w:val="20"/>
          <w:highlight w:val="none"/>
        </w:rPr>
        <w:t>；</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napToGrid w:val="0"/>
        <w:spacing w:line="360" w:lineRule="auto"/>
        <w:jc w:val="center"/>
        <w:rPr>
          <w:rFonts w:hint="eastAsia" w:ascii="宋体" w:hAnsi="宋体" w:eastAsia="宋体" w:cs="宋体"/>
          <w:b/>
          <w:color w:val="auto"/>
          <w:kern w:val="0"/>
          <w:sz w:val="32"/>
          <w:szCs w:val="32"/>
          <w:highlight w:val="none"/>
        </w:rPr>
      </w:pP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both"/>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授权委托书（适用于非联合体投标）</w:t>
      </w:r>
    </w:p>
    <w:p>
      <w:pPr>
        <w:snapToGrid w:val="0"/>
        <w:spacing w:line="360" w:lineRule="auto"/>
        <w:jc w:val="both"/>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建德市乾潭镇下梓村股份经济合作社</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杭州博望建设工程招标投标代理有限公司</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建德市乾潭镇下梓村数字乡村建设采购项目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JDBWCG2025-034</w:t>
      </w:r>
      <w:r>
        <w:rPr>
          <w:rFonts w:hint="eastAsia" w:ascii="宋体" w:hAnsi="宋体" w:eastAsia="宋体" w:cs="宋体"/>
          <w:color w:val="auto"/>
          <w:sz w:val="24"/>
          <w:highlight w:val="none"/>
        </w:rPr>
        <w:t>】</w:t>
      </w:r>
      <w:r>
        <w:rPr>
          <w:rFonts w:hint="eastAsia" w:ascii="宋体" w:hAnsi="宋体" w:cs="宋体"/>
          <w:color w:val="auto"/>
          <w:kern w:val="0"/>
          <w:sz w:val="24"/>
          <w:highlight w:val="none"/>
          <w:lang w:val="zh-CN"/>
        </w:rPr>
        <w:t>采购</w:t>
      </w:r>
      <w:r>
        <w:rPr>
          <w:rFonts w:hint="eastAsia" w:ascii="宋体" w:hAnsi="宋体" w:eastAsia="宋体" w:cs="宋体"/>
          <w:color w:val="auto"/>
          <w:kern w:val="0"/>
          <w:sz w:val="24"/>
          <w:highlight w:val="none"/>
          <w:lang w:val="zh-CN"/>
        </w:rPr>
        <w:t>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pPr>
        <w:snapToGrid w:val="0"/>
        <w:spacing w:line="360" w:lineRule="auto"/>
        <w:rPr>
          <w:rFonts w:hint="eastAsia" w:ascii="宋体" w:hAnsi="宋体" w:eastAsia="宋体" w:cs="宋体"/>
          <w:color w:val="auto"/>
          <w:sz w:val="24"/>
          <w:highlight w:val="none"/>
        </w:rPr>
      </w:pPr>
    </w:p>
    <w:p>
      <w:pPr>
        <w:pStyle w:val="84"/>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84"/>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84"/>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84"/>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84"/>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84"/>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84"/>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84"/>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授权委托书（适用于联合体投标）</w:t>
      </w:r>
    </w:p>
    <w:p>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建德市乾潭镇下梓村股份经济合作社</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杭州博望建设工程招标投标代理有限公司</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建德市乾潭镇下梓村数字乡村建设采购项目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JDBWCG2025-034</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采购</w:t>
      </w:r>
      <w:r>
        <w:rPr>
          <w:rFonts w:hint="eastAsia" w:ascii="宋体" w:hAnsi="宋体" w:eastAsia="宋体" w:cs="宋体"/>
          <w:color w:val="auto"/>
          <w:kern w:val="0"/>
          <w:sz w:val="24"/>
          <w:highlight w:val="none"/>
          <w:lang w:val="zh-CN"/>
        </w:rPr>
        <w:t>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pPr>
        <w:pStyle w:val="154"/>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76"/>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tcPr>
          <w:p>
            <w:pPr>
              <w:pStyle w:val="154"/>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pPr>
              <w:pStyle w:val="154"/>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 xml:space="preserve">：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rPr>
      </w:pPr>
    </w:p>
    <w:p>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pPr>
        <w:widowControl/>
        <w:spacing w:line="360" w:lineRule="auto"/>
        <w:ind w:firstLine="120" w:firstLineChars="50"/>
        <w:jc w:val="left"/>
        <w:rPr>
          <w:rFonts w:hint="eastAsia" w:ascii="宋体" w:hAnsi="宋体" w:eastAsia="宋体" w:cs="宋体"/>
          <w:color w:val="auto"/>
          <w:sz w:val="24"/>
          <w:highlight w:val="none"/>
        </w:rPr>
      </w:pPr>
      <w:bookmarkStart w:id="416" w:name="_Hlk101169080"/>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bookmarkEnd w:id="416"/>
    <w:p>
      <w:pPr>
        <w:snapToGrid w:val="0"/>
        <w:spacing w:line="360" w:lineRule="auto"/>
        <w:rPr>
          <w:rFonts w:hint="eastAsia" w:ascii="宋体" w:hAnsi="宋体" w:eastAsia="宋体" w:cs="宋体"/>
          <w:color w:val="auto"/>
          <w:kern w:val="0"/>
          <w:sz w:val="24"/>
          <w:highlight w:val="none"/>
        </w:rPr>
      </w:pPr>
    </w:p>
    <w:p>
      <w:pPr>
        <w:jc w:val="center"/>
        <w:rPr>
          <w:rFonts w:hint="eastAsia" w:ascii="宋体" w:hAnsi="宋体" w:eastAsia="宋体" w:cs="宋体"/>
          <w:b/>
          <w:color w:val="auto"/>
          <w:kern w:val="0"/>
          <w:sz w:val="32"/>
          <w:szCs w:val="32"/>
          <w:highlight w:val="none"/>
        </w:rPr>
      </w:pPr>
    </w:p>
    <w:p>
      <w:pPr>
        <w:pStyle w:val="4"/>
        <w:rPr>
          <w:rFonts w:hint="eastAsia" w:ascii="宋体" w:hAnsi="宋体" w:eastAsia="宋体" w:cs="宋体"/>
          <w:color w:val="auto"/>
          <w:highlight w:val="none"/>
          <w:lang w:val="en-US"/>
        </w:rPr>
      </w:pPr>
    </w:p>
    <w:p>
      <w:pPr>
        <w:rPr>
          <w:rFonts w:hint="eastAsia" w:ascii="宋体" w:hAnsi="宋体" w:eastAsia="宋体" w:cs="宋体"/>
          <w:color w:val="auto"/>
          <w:highlight w:val="none"/>
        </w:rPr>
      </w:pPr>
    </w:p>
    <w:p>
      <w:pPr>
        <w:pStyle w:val="4"/>
        <w:rPr>
          <w:rFonts w:hint="eastAsia" w:ascii="宋体" w:hAnsi="宋体" w:eastAsia="宋体" w:cs="宋体"/>
          <w:color w:val="auto"/>
          <w:highlight w:val="none"/>
          <w:lang w:val="en-US"/>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pPr>
        <w:jc w:val="center"/>
        <w:rPr>
          <w:rFonts w:hint="eastAsia" w:ascii="宋体" w:hAnsi="宋体" w:eastAsia="宋体" w:cs="宋体"/>
          <w:b/>
          <w:color w:val="auto"/>
          <w:kern w:val="0"/>
          <w:sz w:val="32"/>
          <w:szCs w:val="32"/>
          <w:highlight w:val="none"/>
        </w:rPr>
      </w:pPr>
    </w:p>
    <w:tbl>
      <w:tblPr>
        <w:tblStyle w:val="76"/>
        <w:tblW w:w="96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w:t>
            </w:r>
            <w:r>
              <w:rPr>
                <w:rFonts w:hint="eastAsia" w:ascii="宋体" w:hAnsi="宋体" w:cs="宋体"/>
                <w:color w:val="auto"/>
                <w:sz w:val="24"/>
                <w:highlight w:val="none"/>
                <w:lang w:eastAsia="zh-CN"/>
              </w:rPr>
              <w:t>的其他</w:t>
            </w:r>
            <w:r>
              <w:rPr>
                <w:rFonts w:hint="eastAsia" w:ascii="宋体" w:hAnsi="宋体" w:eastAsia="宋体" w:cs="宋体"/>
                <w:color w:val="auto"/>
                <w:sz w:val="24"/>
                <w:highlight w:val="none"/>
              </w:rPr>
              <w:t>实质性要求。</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w:t>
            </w:r>
            <w:r>
              <w:rPr>
                <w:rFonts w:hint="eastAsia" w:ascii="宋体" w:hAnsi="宋体" w:cs="宋体"/>
                <w:color w:val="auto"/>
                <w:kern w:val="0"/>
                <w:sz w:val="24"/>
                <w:highlight w:val="none"/>
                <w:lang w:eastAsia="zh-CN"/>
              </w:rPr>
              <w:t>无其他</w:t>
            </w:r>
            <w:r>
              <w:rPr>
                <w:rFonts w:hint="eastAsia" w:ascii="宋体" w:hAnsi="宋体" w:eastAsia="宋体" w:cs="宋体"/>
                <w:color w:val="auto"/>
                <w:kern w:val="0"/>
                <w:sz w:val="24"/>
                <w:highlight w:val="none"/>
              </w:rPr>
              <w:t>实质性要求的，无需提供）</w:t>
            </w:r>
          </w:p>
        </w:tc>
        <w:tc>
          <w:tcPr>
            <w:tcW w:w="1418" w:type="dxa"/>
          </w:tcPr>
          <w:p>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pStyle w:val="2"/>
        <w:rPr>
          <w:rFonts w:hint="eastAsia" w:ascii="宋体" w:hAnsi="宋体" w:eastAsia="宋体" w:cs="宋体"/>
          <w:b/>
          <w:color w:val="auto"/>
          <w:kern w:val="0"/>
          <w:sz w:val="32"/>
          <w:szCs w:val="32"/>
          <w:highlight w:val="none"/>
        </w:rPr>
      </w:pPr>
    </w:p>
    <w:p>
      <w:pPr>
        <w:pStyle w:val="2"/>
        <w:rPr>
          <w:rFonts w:hint="eastAsia" w:ascii="宋体" w:hAnsi="宋体" w:eastAsia="宋体" w:cs="宋体"/>
          <w:b/>
          <w:color w:val="auto"/>
          <w:kern w:val="0"/>
          <w:sz w:val="32"/>
          <w:szCs w:val="32"/>
          <w:highlight w:val="none"/>
        </w:rPr>
      </w:pPr>
    </w:p>
    <w:p>
      <w:pPr>
        <w:pStyle w:val="2"/>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76"/>
        <w:tblW w:w="84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404"/>
        <w:gridCol w:w="1757"/>
        <w:gridCol w:w="3172"/>
        <w:gridCol w:w="728"/>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4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75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w:t>
            </w: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（如果有）</w:t>
            </w:r>
          </w:p>
        </w:tc>
        <w:tc>
          <w:tcPr>
            <w:tcW w:w="31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7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4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7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317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7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4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7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317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7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4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7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317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7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77"/>
        <w:tblW w:w="84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3304"/>
        <w:gridCol w:w="3083"/>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0"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304"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083"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44"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0"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304" w:type="dxa"/>
          </w:tcPr>
          <w:p>
            <w:pPr>
              <w:jc w:val="center"/>
              <w:rPr>
                <w:rFonts w:hint="eastAsia" w:ascii="宋体" w:hAnsi="宋体" w:eastAsia="宋体" w:cs="宋体"/>
                <w:b/>
                <w:color w:val="auto"/>
                <w:kern w:val="0"/>
                <w:sz w:val="32"/>
                <w:szCs w:val="32"/>
                <w:highlight w:val="none"/>
              </w:rPr>
            </w:pPr>
          </w:p>
        </w:tc>
        <w:tc>
          <w:tcPr>
            <w:tcW w:w="3083" w:type="dxa"/>
          </w:tcPr>
          <w:p>
            <w:pPr>
              <w:jc w:val="center"/>
              <w:rPr>
                <w:rFonts w:hint="eastAsia" w:ascii="宋体" w:hAnsi="宋体" w:eastAsia="宋体" w:cs="宋体"/>
                <w:b/>
                <w:color w:val="auto"/>
                <w:kern w:val="0"/>
                <w:sz w:val="32"/>
                <w:szCs w:val="32"/>
                <w:highlight w:val="none"/>
              </w:rPr>
            </w:pPr>
          </w:p>
        </w:tc>
        <w:tc>
          <w:tcPr>
            <w:tcW w:w="1244"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0"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304" w:type="dxa"/>
          </w:tcPr>
          <w:p>
            <w:pPr>
              <w:jc w:val="center"/>
              <w:rPr>
                <w:rFonts w:hint="eastAsia" w:ascii="宋体" w:hAnsi="宋体" w:eastAsia="宋体" w:cs="宋体"/>
                <w:b/>
                <w:color w:val="auto"/>
                <w:kern w:val="0"/>
                <w:sz w:val="32"/>
                <w:szCs w:val="32"/>
                <w:highlight w:val="none"/>
              </w:rPr>
            </w:pPr>
          </w:p>
        </w:tc>
        <w:tc>
          <w:tcPr>
            <w:tcW w:w="3083" w:type="dxa"/>
          </w:tcPr>
          <w:p>
            <w:pPr>
              <w:jc w:val="center"/>
              <w:rPr>
                <w:rFonts w:hint="eastAsia" w:ascii="宋体" w:hAnsi="宋体" w:eastAsia="宋体" w:cs="宋体"/>
                <w:b/>
                <w:color w:val="auto"/>
                <w:kern w:val="0"/>
                <w:sz w:val="32"/>
                <w:szCs w:val="32"/>
                <w:highlight w:val="none"/>
              </w:rPr>
            </w:pPr>
          </w:p>
        </w:tc>
        <w:tc>
          <w:tcPr>
            <w:tcW w:w="1244"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0"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304" w:type="dxa"/>
          </w:tcPr>
          <w:p>
            <w:pPr>
              <w:jc w:val="center"/>
              <w:rPr>
                <w:rFonts w:hint="eastAsia" w:ascii="宋体" w:hAnsi="宋体" w:eastAsia="宋体" w:cs="宋体"/>
                <w:b/>
                <w:color w:val="auto"/>
                <w:kern w:val="0"/>
                <w:sz w:val="32"/>
                <w:szCs w:val="32"/>
                <w:highlight w:val="none"/>
              </w:rPr>
            </w:pPr>
          </w:p>
        </w:tc>
        <w:tc>
          <w:tcPr>
            <w:tcW w:w="3083" w:type="dxa"/>
          </w:tcPr>
          <w:p>
            <w:pPr>
              <w:jc w:val="center"/>
              <w:rPr>
                <w:rFonts w:hint="eastAsia" w:ascii="宋体" w:hAnsi="宋体" w:eastAsia="宋体" w:cs="宋体"/>
                <w:b/>
                <w:color w:val="auto"/>
                <w:kern w:val="0"/>
                <w:sz w:val="32"/>
                <w:szCs w:val="32"/>
                <w:highlight w:val="none"/>
              </w:rPr>
            </w:pPr>
          </w:p>
        </w:tc>
        <w:tc>
          <w:tcPr>
            <w:tcW w:w="1244" w:type="dxa"/>
          </w:tcPr>
          <w:p>
            <w:pPr>
              <w:jc w:val="center"/>
              <w:rPr>
                <w:rFonts w:hint="eastAsia" w:ascii="宋体" w:hAnsi="宋体" w:eastAsia="宋体" w:cs="宋体"/>
                <w:b/>
                <w:color w:val="auto"/>
                <w:kern w:val="0"/>
                <w:sz w:val="32"/>
                <w:szCs w:val="32"/>
                <w:highlight w:val="none"/>
              </w:rPr>
            </w:pPr>
          </w:p>
        </w:tc>
      </w:tr>
    </w:tbl>
    <w:p>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pPr>
        <w:jc w:val="center"/>
        <w:rPr>
          <w:rFonts w:hint="eastAsia" w:ascii="宋体" w:hAnsi="宋体" w:eastAsia="宋体" w:cs="宋体"/>
          <w:b/>
          <w:color w:val="auto"/>
          <w:kern w:val="0"/>
          <w:sz w:val="32"/>
          <w:szCs w:val="32"/>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ind w:firstLine="1911" w:firstLineChars="595"/>
        <w:rPr>
          <w:rFonts w:hint="eastAsia" w:ascii="宋体" w:hAnsi="宋体" w:eastAsia="宋体" w:cs="宋体"/>
          <w:b/>
          <w:bCs/>
          <w:color w:val="auto"/>
          <w:sz w:val="32"/>
          <w:szCs w:val="32"/>
          <w:highlight w:val="none"/>
        </w:rPr>
      </w:pPr>
    </w:p>
    <w:p>
      <w:pPr>
        <w:ind w:firstLine="1911" w:firstLineChars="595"/>
        <w:rPr>
          <w:rFonts w:hint="eastAsia" w:ascii="宋体" w:hAnsi="宋体" w:eastAsia="宋体" w:cs="宋体"/>
          <w:b/>
          <w:bCs/>
          <w:color w:val="auto"/>
          <w:sz w:val="32"/>
          <w:szCs w:val="32"/>
          <w:highlight w:val="none"/>
        </w:rPr>
      </w:pPr>
    </w:p>
    <w:p>
      <w:pPr>
        <w:ind w:firstLine="1911" w:firstLineChars="595"/>
        <w:rPr>
          <w:rFonts w:hint="eastAsia" w:ascii="宋体" w:hAnsi="宋体" w:eastAsia="宋体" w:cs="宋体"/>
          <w:b/>
          <w:bCs/>
          <w:color w:val="auto"/>
          <w:sz w:val="32"/>
          <w:szCs w:val="32"/>
          <w:highlight w:val="none"/>
        </w:rPr>
      </w:pPr>
    </w:p>
    <w:p>
      <w:pPr>
        <w:ind w:firstLine="1911" w:firstLineChars="595"/>
        <w:rPr>
          <w:rFonts w:hint="eastAsia" w:ascii="宋体" w:hAnsi="宋体" w:eastAsia="宋体" w:cs="宋体"/>
          <w:b/>
          <w:bCs/>
          <w:color w:val="auto"/>
          <w:sz w:val="32"/>
          <w:szCs w:val="32"/>
          <w:highlight w:val="none"/>
        </w:rPr>
      </w:pPr>
    </w:p>
    <w:p>
      <w:pPr>
        <w:ind w:firstLine="1911" w:firstLineChars="595"/>
        <w:rPr>
          <w:rFonts w:hint="eastAsia" w:ascii="宋体" w:hAnsi="宋体" w:eastAsia="宋体" w:cs="宋体"/>
          <w:b/>
          <w:bCs/>
          <w:color w:val="auto"/>
          <w:sz w:val="32"/>
          <w:szCs w:val="32"/>
          <w:highlight w:val="none"/>
        </w:rPr>
      </w:pPr>
    </w:p>
    <w:p>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cs="宋体"/>
          <w:b/>
          <w:color w:val="auto"/>
          <w:kern w:val="0"/>
          <w:sz w:val="32"/>
          <w:szCs w:val="32"/>
          <w:highlight w:val="none"/>
          <w:lang w:val="zh-CN"/>
        </w:rPr>
        <w:t>采购</w:t>
      </w:r>
      <w:r>
        <w:rPr>
          <w:rFonts w:hint="eastAsia" w:ascii="宋体" w:hAnsi="宋体" w:eastAsia="宋体" w:cs="宋体"/>
          <w:b/>
          <w:color w:val="auto"/>
          <w:kern w:val="0"/>
          <w:sz w:val="32"/>
          <w:szCs w:val="32"/>
          <w:highlight w:val="none"/>
          <w:lang w:val="zh-CN"/>
        </w:rPr>
        <w:t>供应商廉洁自律承诺书</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建德市乾潭镇下梓村股份经济合作社</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杭州博望建设工程招标投标代理有限公司</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center"/>
        <w:rPr>
          <w:rFonts w:hint="eastAsia" w:ascii="宋体" w:hAnsi="宋体" w:eastAsia="宋体" w:cs="宋体"/>
          <w:b/>
          <w:bCs/>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pacing w:line="360" w:lineRule="auto"/>
        <w:jc w:val="center"/>
        <w:rPr>
          <w:rFonts w:hint="eastAsia" w:ascii="宋体" w:hAnsi="宋体" w:eastAsia="宋体" w:cs="宋体"/>
          <w:b/>
          <w:bCs/>
          <w:color w:val="auto"/>
          <w:sz w:val="24"/>
          <w:highlight w:val="none"/>
        </w:rPr>
        <w:sectPr>
          <w:pgSz w:w="11905" w:h="16838"/>
          <w:pgMar w:top="1474" w:right="1814" w:bottom="1474" w:left="1814" w:header="851" w:footer="850" w:gutter="0"/>
          <w:cols w:space="0" w:num="1"/>
          <w:rtlGutter w:val="0"/>
          <w:docGrid w:linePitch="312" w:charSpace="0"/>
        </w:sect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numPr>
          <w:ilvl w:val="0"/>
          <w:numId w:val="3"/>
        </w:numPr>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开标一览表（报价表）………………………………………………………（页码）</w:t>
      </w:r>
    </w:p>
    <w:p>
      <w:pPr>
        <w:snapToGrid w:val="0"/>
        <w:spacing w:line="360" w:lineRule="auto"/>
        <w:rPr>
          <w:rFonts w:hint="eastAsia" w:ascii="宋体" w:hAnsi="宋体" w:eastAsia="宋体" w:cs="宋体"/>
          <w:color w:val="auto"/>
          <w:sz w:val="24"/>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0" w:type="first"/>
          <w:footerReference r:id="rId12" w:type="first"/>
          <w:headerReference r:id="rId9" w:type="default"/>
          <w:footerReference r:id="rId11" w:type="default"/>
          <w:pgSz w:w="11905" w:h="16838"/>
          <w:pgMar w:top="1474" w:right="1814" w:bottom="1474" w:left="1814" w:header="851" w:footer="850" w:gutter="0"/>
          <w:cols w:space="0" w:num="1"/>
          <w:rtlGutter w:val="0"/>
          <w:docGrid w:linePitch="312" w:charSpace="0"/>
        </w:sectPr>
      </w:pPr>
    </w:p>
    <w:p>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建德市乾潭镇下梓村股份经济合作社</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杭州博望建设工程招标投标代理有限公司</w:t>
      </w:r>
      <w:r>
        <w:rPr>
          <w:rFonts w:hint="eastAsia" w:ascii="宋体" w:hAnsi="宋体" w:eastAsia="宋体" w:cs="宋体"/>
          <w:color w:val="auto"/>
          <w:kern w:val="0"/>
          <w:sz w:val="24"/>
          <w:highlight w:val="none"/>
          <w:lang w:val="zh-CN"/>
        </w:rPr>
        <w:t>：</w:t>
      </w:r>
    </w:p>
    <w:p>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建德市乾潭镇下梓村数字乡村建设采购项目</w:t>
      </w:r>
      <w:r>
        <w:rPr>
          <w:rFonts w:hint="eastAsia" w:ascii="宋体" w:hAnsi="宋体" w:eastAsia="宋体" w:cs="宋体"/>
          <w:color w:val="auto"/>
          <w:kern w:val="0"/>
          <w:sz w:val="24"/>
          <w:highlight w:val="none"/>
          <w:lang w:val="zh-CN"/>
        </w:rPr>
        <w:t>【招标编号：</w:t>
      </w:r>
      <w:r>
        <w:rPr>
          <w:rFonts w:hint="eastAsia" w:ascii="宋体" w:hAnsi="宋体" w:cs="宋体"/>
          <w:color w:val="auto"/>
          <w:sz w:val="24"/>
          <w:highlight w:val="none"/>
          <w:lang w:eastAsia="zh-CN"/>
        </w:rPr>
        <w:t>JDBWCG2025-034</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r>
        <w:rPr>
          <w:rFonts w:hint="eastAsia" w:ascii="宋体" w:hAnsi="宋体" w:cs="宋体"/>
          <w:b/>
          <w:color w:val="auto"/>
          <w:kern w:val="0"/>
          <w:sz w:val="24"/>
          <w:highlight w:val="none"/>
          <w:lang w:val="zh-CN"/>
        </w:rPr>
        <w:t>）</w:t>
      </w:r>
    </w:p>
    <w:tbl>
      <w:tblPr>
        <w:tblStyle w:val="76"/>
        <w:tblW w:w="8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698"/>
        <w:gridCol w:w="1903"/>
        <w:gridCol w:w="1180"/>
        <w:gridCol w:w="698"/>
        <w:gridCol w:w="698"/>
        <w:gridCol w:w="698"/>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trPr>
        <w:tc>
          <w:tcPr>
            <w:tcW w:w="698"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698"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903" w:type="dxa"/>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1180"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698"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698"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698"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合计</w:t>
            </w:r>
          </w:p>
        </w:tc>
        <w:tc>
          <w:tcPr>
            <w:tcW w:w="1903" w:type="dxa"/>
            <w:vAlign w:val="center"/>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pPr>
              <w:spacing w:line="360" w:lineRule="auto"/>
              <w:jc w:val="center"/>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698"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698"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1903" w:type="dxa"/>
            <w:vAlign w:val="center"/>
          </w:tcPr>
          <w:p>
            <w:pPr>
              <w:snapToGrid w:val="0"/>
              <w:spacing w:line="360" w:lineRule="auto"/>
              <w:jc w:val="center"/>
              <w:rPr>
                <w:rFonts w:hint="eastAsia" w:ascii="宋体" w:hAnsi="宋体" w:eastAsia="宋体" w:cs="宋体"/>
                <w:color w:val="auto"/>
                <w:sz w:val="24"/>
                <w:highlight w:val="none"/>
              </w:rPr>
            </w:pPr>
          </w:p>
        </w:tc>
        <w:tc>
          <w:tcPr>
            <w:tcW w:w="1180" w:type="dxa"/>
            <w:vAlign w:val="center"/>
          </w:tcPr>
          <w:p>
            <w:pPr>
              <w:snapToGrid w:val="0"/>
              <w:spacing w:line="360" w:lineRule="auto"/>
              <w:jc w:val="center"/>
              <w:rPr>
                <w:rFonts w:hint="eastAsia" w:ascii="宋体" w:hAnsi="宋体" w:eastAsia="宋体" w:cs="宋体"/>
                <w:color w:val="auto"/>
                <w:sz w:val="24"/>
                <w:highlight w:val="none"/>
              </w:rPr>
            </w:pPr>
          </w:p>
        </w:tc>
        <w:tc>
          <w:tcPr>
            <w:tcW w:w="698" w:type="dxa"/>
            <w:vAlign w:val="center"/>
          </w:tcPr>
          <w:p>
            <w:pPr>
              <w:snapToGrid w:val="0"/>
              <w:spacing w:line="360" w:lineRule="auto"/>
              <w:jc w:val="center"/>
              <w:rPr>
                <w:rFonts w:hint="eastAsia" w:ascii="宋体" w:hAnsi="宋体" w:eastAsia="宋体" w:cs="宋体"/>
                <w:color w:val="auto"/>
                <w:sz w:val="24"/>
                <w:highlight w:val="none"/>
              </w:rPr>
            </w:pPr>
          </w:p>
        </w:tc>
        <w:tc>
          <w:tcPr>
            <w:tcW w:w="698" w:type="dxa"/>
            <w:vAlign w:val="center"/>
          </w:tcPr>
          <w:p>
            <w:pPr>
              <w:spacing w:line="360" w:lineRule="auto"/>
              <w:jc w:val="center"/>
              <w:rPr>
                <w:rFonts w:hint="eastAsia" w:ascii="宋体" w:hAnsi="宋体" w:eastAsia="宋体" w:cs="宋体"/>
                <w:color w:val="auto"/>
                <w:sz w:val="24"/>
                <w:highlight w:val="none"/>
              </w:rPr>
            </w:pPr>
          </w:p>
        </w:tc>
        <w:tc>
          <w:tcPr>
            <w:tcW w:w="698" w:type="dxa"/>
            <w:vAlign w:val="center"/>
          </w:tcPr>
          <w:p>
            <w:pPr>
              <w:spacing w:line="360" w:lineRule="auto"/>
              <w:jc w:val="center"/>
              <w:rPr>
                <w:rFonts w:hint="eastAsia" w:ascii="宋体" w:hAnsi="宋体" w:eastAsia="宋体" w:cs="宋体"/>
                <w:color w:val="auto"/>
                <w:sz w:val="24"/>
                <w:highlight w:val="none"/>
              </w:rPr>
            </w:pPr>
          </w:p>
        </w:tc>
        <w:tc>
          <w:tcPr>
            <w:tcW w:w="1903"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698"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698"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1903" w:type="dxa"/>
            <w:vAlign w:val="center"/>
          </w:tcPr>
          <w:p>
            <w:pPr>
              <w:snapToGrid w:val="0"/>
              <w:spacing w:line="360" w:lineRule="auto"/>
              <w:jc w:val="center"/>
              <w:rPr>
                <w:rFonts w:hint="eastAsia" w:ascii="宋体" w:hAnsi="宋体" w:eastAsia="宋体" w:cs="宋体"/>
                <w:color w:val="auto"/>
                <w:sz w:val="24"/>
                <w:highlight w:val="none"/>
              </w:rPr>
            </w:pPr>
          </w:p>
        </w:tc>
        <w:tc>
          <w:tcPr>
            <w:tcW w:w="1180" w:type="dxa"/>
            <w:vAlign w:val="center"/>
          </w:tcPr>
          <w:p>
            <w:pPr>
              <w:snapToGrid w:val="0"/>
              <w:spacing w:line="360" w:lineRule="auto"/>
              <w:jc w:val="center"/>
              <w:rPr>
                <w:rFonts w:hint="eastAsia" w:ascii="宋体" w:hAnsi="宋体" w:eastAsia="宋体" w:cs="宋体"/>
                <w:color w:val="auto"/>
                <w:sz w:val="24"/>
                <w:highlight w:val="none"/>
              </w:rPr>
            </w:pPr>
          </w:p>
        </w:tc>
        <w:tc>
          <w:tcPr>
            <w:tcW w:w="698" w:type="dxa"/>
            <w:vAlign w:val="center"/>
          </w:tcPr>
          <w:p>
            <w:pPr>
              <w:snapToGrid w:val="0"/>
              <w:spacing w:line="360" w:lineRule="auto"/>
              <w:jc w:val="center"/>
              <w:rPr>
                <w:rFonts w:hint="eastAsia" w:ascii="宋体" w:hAnsi="宋体" w:eastAsia="宋体" w:cs="宋体"/>
                <w:color w:val="auto"/>
                <w:sz w:val="24"/>
                <w:highlight w:val="none"/>
              </w:rPr>
            </w:pPr>
          </w:p>
        </w:tc>
        <w:tc>
          <w:tcPr>
            <w:tcW w:w="698" w:type="dxa"/>
            <w:vAlign w:val="center"/>
          </w:tcPr>
          <w:p>
            <w:pPr>
              <w:spacing w:line="360" w:lineRule="auto"/>
              <w:jc w:val="center"/>
              <w:rPr>
                <w:rFonts w:hint="eastAsia" w:ascii="宋体" w:hAnsi="宋体" w:eastAsia="宋体" w:cs="宋体"/>
                <w:color w:val="auto"/>
                <w:sz w:val="24"/>
                <w:highlight w:val="none"/>
              </w:rPr>
            </w:pPr>
          </w:p>
        </w:tc>
        <w:tc>
          <w:tcPr>
            <w:tcW w:w="698" w:type="dxa"/>
            <w:vAlign w:val="center"/>
          </w:tcPr>
          <w:p>
            <w:pPr>
              <w:spacing w:line="360" w:lineRule="auto"/>
              <w:jc w:val="center"/>
              <w:rPr>
                <w:rFonts w:hint="eastAsia" w:ascii="宋体" w:hAnsi="宋体" w:eastAsia="宋体" w:cs="宋体"/>
                <w:color w:val="auto"/>
                <w:sz w:val="24"/>
                <w:highlight w:val="none"/>
              </w:rPr>
            </w:pPr>
          </w:p>
        </w:tc>
        <w:tc>
          <w:tcPr>
            <w:tcW w:w="1903"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698"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698" w:type="dxa"/>
            <w:vAlign w:val="center"/>
          </w:tcPr>
          <w:p>
            <w:pPr>
              <w:snapToGrid w:val="0"/>
              <w:spacing w:line="360" w:lineRule="auto"/>
              <w:jc w:val="center"/>
              <w:rPr>
                <w:rFonts w:hint="eastAsia" w:ascii="宋体" w:hAnsi="宋体" w:eastAsia="宋体" w:cs="宋体"/>
                <w:color w:val="auto"/>
                <w:sz w:val="24"/>
                <w:highlight w:val="none"/>
              </w:rPr>
            </w:pPr>
          </w:p>
        </w:tc>
        <w:tc>
          <w:tcPr>
            <w:tcW w:w="1903" w:type="dxa"/>
            <w:vAlign w:val="center"/>
          </w:tcPr>
          <w:p>
            <w:pPr>
              <w:snapToGrid w:val="0"/>
              <w:spacing w:line="360" w:lineRule="auto"/>
              <w:jc w:val="center"/>
              <w:rPr>
                <w:rFonts w:hint="eastAsia" w:ascii="宋体" w:hAnsi="宋体" w:eastAsia="宋体" w:cs="宋体"/>
                <w:color w:val="auto"/>
                <w:sz w:val="24"/>
                <w:highlight w:val="none"/>
              </w:rPr>
            </w:pPr>
          </w:p>
        </w:tc>
        <w:tc>
          <w:tcPr>
            <w:tcW w:w="1180" w:type="dxa"/>
            <w:vAlign w:val="center"/>
          </w:tcPr>
          <w:p>
            <w:pPr>
              <w:snapToGrid w:val="0"/>
              <w:spacing w:line="360" w:lineRule="auto"/>
              <w:jc w:val="center"/>
              <w:rPr>
                <w:rFonts w:hint="eastAsia" w:ascii="宋体" w:hAnsi="宋体" w:eastAsia="宋体" w:cs="宋体"/>
                <w:color w:val="auto"/>
                <w:sz w:val="24"/>
                <w:highlight w:val="none"/>
              </w:rPr>
            </w:pPr>
          </w:p>
        </w:tc>
        <w:tc>
          <w:tcPr>
            <w:tcW w:w="698" w:type="dxa"/>
            <w:vAlign w:val="center"/>
          </w:tcPr>
          <w:p>
            <w:pPr>
              <w:snapToGrid w:val="0"/>
              <w:spacing w:line="360" w:lineRule="auto"/>
              <w:jc w:val="center"/>
              <w:rPr>
                <w:rFonts w:hint="eastAsia" w:ascii="宋体" w:hAnsi="宋体" w:eastAsia="宋体" w:cs="宋体"/>
                <w:color w:val="auto"/>
                <w:sz w:val="24"/>
                <w:highlight w:val="none"/>
              </w:rPr>
            </w:pPr>
          </w:p>
        </w:tc>
        <w:tc>
          <w:tcPr>
            <w:tcW w:w="698" w:type="dxa"/>
            <w:vAlign w:val="center"/>
          </w:tcPr>
          <w:p>
            <w:pPr>
              <w:spacing w:line="360" w:lineRule="auto"/>
              <w:jc w:val="center"/>
              <w:rPr>
                <w:rFonts w:hint="eastAsia" w:ascii="宋体" w:hAnsi="宋体" w:eastAsia="宋体" w:cs="宋体"/>
                <w:color w:val="auto"/>
                <w:sz w:val="24"/>
                <w:highlight w:val="none"/>
              </w:rPr>
            </w:pPr>
          </w:p>
        </w:tc>
        <w:tc>
          <w:tcPr>
            <w:tcW w:w="698" w:type="dxa"/>
            <w:vAlign w:val="center"/>
          </w:tcPr>
          <w:p>
            <w:pPr>
              <w:spacing w:line="360" w:lineRule="auto"/>
              <w:jc w:val="center"/>
              <w:rPr>
                <w:rFonts w:hint="eastAsia" w:ascii="宋体" w:hAnsi="宋体" w:eastAsia="宋体" w:cs="宋体"/>
                <w:color w:val="auto"/>
                <w:sz w:val="24"/>
                <w:highlight w:val="none"/>
              </w:rPr>
            </w:pPr>
          </w:p>
        </w:tc>
        <w:tc>
          <w:tcPr>
            <w:tcW w:w="1903"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698" w:type="dxa"/>
            <w:vAlign w:val="center"/>
          </w:tcPr>
          <w:p>
            <w:pPr>
              <w:spacing w:line="360" w:lineRule="auto"/>
              <w:jc w:val="center"/>
              <w:rPr>
                <w:rFonts w:hint="eastAsia" w:ascii="宋体" w:hAnsi="宋体" w:eastAsia="宋体" w:cs="宋体"/>
                <w:color w:val="auto"/>
                <w:sz w:val="24"/>
                <w:highlight w:val="none"/>
              </w:rPr>
            </w:pPr>
          </w:p>
        </w:tc>
        <w:tc>
          <w:tcPr>
            <w:tcW w:w="698" w:type="dxa"/>
            <w:vAlign w:val="center"/>
          </w:tcPr>
          <w:p>
            <w:pPr>
              <w:snapToGrid w:val="0"/>
              <w:spacing w:line="360" w:lineRule="auto"/>
              <w:jc w:val="center"/>
              <w:rPr>
                <w:rFonts w:hint="eastAsia" w:ascii="宋体" w:hAnsi="宋体" w:eastAsia="宋体" w:cs="宋体"/>
                <w:color w:val="auto"/>
                <w:sz w:val="24"/>
                <w:highlight w:val="none"/>
              </w:rPr>
            </w:pPr>
          </w:p>
        </w:tc>
        <w:tc>
          <w:tcPr>
            <w:tcW w:w="1903" w:type="dxa"/>
            <w:vAlign w:val="center"/>
          </w:tcPr>
          <w:p>
            <w:pPr>
              <w:snapToGrid w:val="0"/>
              <w:spacing w:line="360" w:lineRule="auto"/>
              <w:jc w:val="center"/>
              <w:rPr>
                <w:rFonts w:hint="eastAsia" w:ascii="宋体" w:hAnsi="宋体" w:eastAsia="宋体" w:cs="宋体"/>
                <w:color w:val="auto"/>
                <w:sz w:val="24"/>
                <w:highlight w:val="none"/>
              </w:rPr>
            </w:pPr>
          </w:p>
        </w:tc>
        <w:tc>
          <w:tcPr>
            <w:tcW w:w="1180" w:type="dxa"/>
            <w:vAlign w:val="center"/>
          </w:tcPr>
          <w:p>
            <w:pPr>
              <w:snapToGrid w:val="0"/>
              <w:spacing w:line="360" w:lineRule="auto"/>
              <w:jc w:val="center"/>
              <w:rPr>
                <w:rFonts w:hint="eastAsia" w:ascii="宋体" w:hAnsi="宋体" w:eastAsia="宋体" w:cs="宋体"/>
                <w:color w:val="auto"/>
                <w:sz w:val="24"/>
                <w:highlight w:val="none"/>
              </w:rPr>
            </w:pPr>
          </w:p>
        </w:tc>
        <w:tc>
          <w:tcPr>
            <w:tcW w:w="698" w:type="dxa"/>
            <w:vAlign w:val="center"/>
          </w:tcPr>
          <w:p>
            <w:pPr>
              <w:snapToGrid w:val="0"/>
              <w:spacing w:line="360" w:lineRule="auto"/>
              <w:jc w:val="center"/>
              <w:rPr>
                <w:rFonts w:hint="eastAsia" w:ascii="宋体" w:hAnsi="宋体" w:eastAsia="宋体" w:cs="宋体"/>
                <w:color w:val="auto"/>
                <w:sz w:val="24"/>
                <w:highlight w:val="none"/>
              </w:rPr>
            </w:pPr>
          </w:p>
        </w:tc>
        <w:tc>
          <w:tcPr>
            <w:tcW w:w="698" w:type="dxa"/>
            <w:vAlign w:val="center"/>
          </w:tcPr>
          <w:p>
            <w:pPr>
              <w:spacing w:line="360" w:lineRule="auto"/>
              <w:jc w:val="center"/>
              <w:rPr>
                <w:rFonts w:hint="eastAsia" w:ascii="宋体" w:hAnsi="宋体" w:eastAsia="宋体" w:cs="宋体"/>
                <w:color w:val="auto"/>
                <w:sz w:val="24"/>
                <w:highlight w:val="none"/>
              </w:rPr>
            </w:pPr>
          </w:p>
        </w:tc>
        <w:tc>
          <w:tcPr>
            <w:tcW w:w="698" w:type="dxa"/>
            <w:vAlign w:val="center"/>
          </w:tcPr>
          <w:p>
            <w:pPr>
              <w:spacing w:line="360" w:lineRule="auto"/>
              <w:jc w:val="center"/>
              <w:rPr>
                <w:rFonts w:hint="eastAsia" w:ascii="宋体" w:hAnsi="宋体" w:eastAsia="宋体" w:cs="宋体"/>
                <w:color w:val="auto"/>
                <w:sz w:val="24"/>
                <w:highlight w:val="none"/>
              </w:rPr>
            </w:pPr>
          </w:p>
        </w:tc>
        <w:tc>
          <w:tcPr>
            <w:tcW w:w="1903"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698" w:type="dxa"/>
            <w:vAlign w:val="center"/>
          </w:tcPr>
          <w:p>
            <w:pPr>
              <w:spacing w:line="360" w:lineRule="auto"/>
              <w:jc w:val="center"/>
              <w:rPr>
                <w:rFonts w:hint="eastAsia" w:ascii="宋体" w:hAnsi="宋体" w:eastAsia="宋体" w:cs="宋体"/>
                <w:color w:val="auto"/>
                <w:sz w:val="24"/>
                <w:highlight w:val="none"/>
              </w:rPr>
            </w:pPr>
          </w:p>
        </w:tc>
        <w:tc>
          <w:tcPr>
            <w:tcW w:w="698" w:type="dxa"/>
            <w:vAlign w:val="center"/>
          </w:tcPr>
          <w:p>
            <w:pPr>
              <w:snapToGrid w:val="0"/>
              <w:spacing w:line="360" w:lineRule="auto"/>
              <w:jc w:val="center"/>
              <w:rPr>
                <w:rFonts w:hint="eastAsia" w:ascii="宋体" w:hAnsi="宋体" w:eastAsia="宋体" w:cs="宋体"/>
                <w:color w:val="auto"/>
                <w:sz w:val="24"/>
                <w:highlight w:val="none"/>
              </w:rPr>
            </w:pPr>
          </w:p>
        </w:tc>
        <w:tc>
          <w:tcPr>
            <w:tcW w:w="1903" w:type="dxa"/>
            <w:vAlign w:val="center"/>
          </w:tcPr>
          <w:p>
            <w:pPr>
              <w:snapToGrid w:val="0"/>
              <w:spacing w:line="360" w:lineRule="auto"/>
              <w:jc w:val="center"/>
              <w:rPr>
                <w:rFonts w:hint="eastAsia" w:ascii="宋体" w:hAnsi="宋体" w:eastAsia="宋体" w:cs="宋体"/>
                <w:color w:val="auto"/>
                <w:sz w:val="24"/>
                <w:highlight w:val="none"/>
              </w:rPr>
            </w:pPr>
          </w:p>
        </w:tc>
        <w:tc>
          <w:tcPr>
            <w:tcW w:w="1180" w:type="dxa"/>
            <w:vAlign w:val="center"/>
          </w:tcPr>
          <w:p>
            <w:pPr>
              <w:snapToGrid w:val="0"/>
              <w:spacing w:line="360" w:lineRule="auto"/>
              <w:jc w:val="center"/>
              <w:rPr>
                <w:rFonts w:hint="eastAsia" w:ascii="宋体" w:hAnsi="宋体" w:eastAsia="宋体" w:cs="宋体"/>
                <w:color w:val="auto"/>
                <w:sz w:val="24"/>
                <w:highlight w:val="none"/>
              </w:rPr>
            </w:pPr>
          </w:p>
        </w:tc>
        <w:tc>
          <w:tcPr>
            <w:tcW w:w="698" w:type="dxa"/>
            <w:vAlign w:val="center"/>
          </w:tcPr>
          <w:p>
            <w:pPr>
              <w:snapToGrid w:val="0"/>
              <w:spacing w:line="360" w:lineRule="auto"/>
              <w:jc w:val="center"/>
              <w:rPr>
                <w:rFonts w:hint="eastAsia" w:ascii="宋体" w:hAnsi="宋体" w:eastAsia="宋体" w:cs="宋体"/>
                <w:color w:val="auto"/>
                <w:sz w:val="24"/>
                <w:highlight w:val="none"/>
              </w:rPr>
            </w:pPr>
          </w:p>
        </w:tc>
        <w:tc>
          <w:tcPr>
            <w:tcW w:w="698" w:type="dxa"/>
            <w:vAlign w:val="center"/>
          </w:tcPr>
          <w:p>
            <w:pPr>
              <w:spacing w:line="360" w:lineRule="auto"/>
              <w:jc w:val="center"/>
              <w:rPr>
                <w:rFonts w:hint="eastAsia" w:ascii="宋体" w:hAnsi="宋体" w:eastAsia="宋体" w:cs="宋体"/>
                <w:color w:val="auto"/>
                <w:sz w:val="24"/>
                <w:highlight w:val="none"/>
              </w:rPr>
            </w:pPr>
          </w:p>
        </w:tc>
        <w:tc>
          <w:tcPr>
            <w:tcW w:w="698" w:type="dxa"/>
            <w:vAlign w:val="center"/>
          </w:tcPr>
          <w:p>
            <w:pPr>
              <w:spacing w:line="360" w:lineRule="auto"/>
              <w:jc w:val="center"/>
              <w:rPr>
                <w:rFonts w:hint="eastAsia" w:ascii="宋体" w:hAnsi="宋体" w:eastAsia="宋体" w:cs="宋体"/>
                <w:color w:val="auto"/>
                <w:sz w:val="24"/>
                <w:highlight w:val="none"/>
              </w:rPr>
            </w:pPr>
          </w:p>
        </w:tc>
        <w:tc>
          <w:tcPr>
            <w:tcW w:w="1903"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4479" w:type="dxa"/>
            <w:gridSpan w:val="4"/>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3997" w:type="dxa"/>
            <w:gridSpan w:val="4"/>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4479" w:type="dxa"/>
            <w:gridSpan w:val="4"/>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3997" w:type="dxa"/>
            <w:gridSpan w:val="4"/>
            <w:vAlign w:val="center"/>
          </w:tcPr>
          <w:p>
            <w:pPr>
              <w:spacing w:line="360" w:lineRule="auto"/>
              <w:jc w:val="center"/>
              <w:rPr>
                <w:rFonts w:hint="eastAsia" w:ascii="宋体" w:hAnsi="宋体" w:eastAsia="宋体" w:cs="宋体"/>
                <w:color w:val="auto"/>
                <w:sz w:val="24"/>
                <w:highlight w:val="none"/>
              </w:rPr>
            </w:pPr>
          </w:p>
        </w:tc>
      </w:tr>
    </w:tbl>
    <w:p>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pPr>
        <w:spacing w:line="360" w:lineRule="auto"/>
        <w:ind w:firstLine="482" w:firstLineChars="200"/>
        <w:rPr>
          <w:rFonts w:hint="eastAsia" w:ascii="宋体" w:hAnsi="宋体" w:eastAsia="宋体" w:cs="宋体"/>
          <w:b/>
          <w:color w:val="auto"/>
          <w:kern w:val="0"/>
          <w:sz w:val="24"/>
          <w:highlight w:val="none"/>
        </w:rPr>
      </w:pPr>
      <w:bookmarkStart w:id="422" w:name="_GoBack"/>
      <w:bookmarkEnd w:id="422"/>
    </w:p>
    <w:p>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1905" w:h="16838"/>
          <w:pgMar w:top="1474" w:right="1814" w:bottom="1474" w:left="1814" w:header="851" w:footer="850" w:gutter="0"/>
          <w:cols w:space="0" w:num="1"/>
          <w:rtlGutter w:val="0"/>
          <w:docGrid w:linePitch="312" w:charSpace="0"/>
        </w:sect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签字(签章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pStyle w:val="84"/>
        <w:rPr>
          <w:rFonts w:hint="eastAsia" w:ascii="宋体" w:hAnsi="宋体" w:eastAsia="宋体" w:cs="宋体"/>
          <w:b/>
          <w:color w:val="auto"/>
          <w:spacing w:val="6"/>
          <w:sz w:val="32"/>
          <w:szCs w:val="32"/>
          <w:highlight w:val="none"/>
        </w:rPr>
      </w:pPr>
    </w:p>
    <w:p>
      <w:pPr>
        <w:rPr>
          <w:rFonts w:hint="eastAsia" w:ascii="宋体" w:hAnsi="宋体" w:eastAsia="宋体" w:cs="宋体"/>
          <w:color w:val="auto"/>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就质疑事项作出了答复/没有在法定期限内作出答复。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签字(签章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auto"/>
          <w:sz w:val="24"/>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pPr>
        <w:spacing w:line="360" w:lineRule="auto"/>
        <w:rPr>
          <w:rFonts w:hint="eastAsia" w:ascii="宋体" w:hAnsi="宋体" w:eastAsia="宋体" w:cs="宋体"/>
          <w:color w:val="auto"/>
          <w:sz w:val="24"/>
          <w:highlight w:val="none"/>
          <w:u w:val="single"/>
        </w:rPr>
      </w:pPr>
    </w:p>
    <w:p>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u w:val="single"/>
          <w:lang w:eastAsia="zh-CN"/>
        </w:rPr>
        <w:t>建德市乾潭镇下梓村股份经济合作社</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杭州博望建设工程招标投标代理有限公司</w:t>
      </w:r>
      <w:r>
        <w:rPr>
          <w:rFonts w:hint="eastAsia" w:ascii="宋体" w:hAnsi="宋体" w:eastAsia="宋体" w:cs="宋体"/>
          <w:color w:val="auto"/>
          <w:sz w:val="24"/>
          <w:highlight w:val="none"/>
          <w:u w:val="singl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cs="宋体"/>
          <w:color w:val="auto"/>
          <w:sz w:val="24"/>
          <w:highlight w:val="none"/>
          <w:lang w:eastAsia="zh-CN"/>
        </w:rPr>
        <w:t>建德市乾潭镇下梓村数字乡村建设采购项目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JDBWCG2025-034</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ZAPP9gAAAAKAQAADwAAAAAAAAABACAA&#10;AAAiAAAAZHJzL2Rvd25yZXYueG1sUEsBAhQAFAAAAAgAh07iQJDfNusNAgAAJgQAAA4AAAAAAAAA&#10;AQAgAAAAJwEAAGRycy9lMm9Eb2MueG1sUEsFBgAAAAAGAAYAWQEAAKYFA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YxHptgAAAAKAQAADwAAAAAAAAABACAA&#10;AAAiAAAAZHJzL2Rvd25yZXYueG1sUEsBAhQAFAAAAAgAh07iQAWK06YNAgAAJgQAAA4AAAAAAAAA&#10;AQAgAAAAJwEAAGRycy9lMm9Eb2MueG1sUEsFBgAAAAAGAAYAWQEAAKYFA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附件5：联合协议</w:t>
      </w:r>
    </w:p>
    <w:p>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cs="宋体"/>
          <w:color w:val="auto"/>
          <w:sz w:val="24"/>
          <w:highlight w:val="none"/>
          <w:lang w:eastAsia="zh-CN"/>
        </w:rPr>
        <w:t>建德市乾潭镇下梓村数字乡村建设采购项目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JDBWCG2025-034</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w:t>
      </w:r>
      <w:r>
        <w:rPr>
          <w:rFonts w:hint="eastAsia" w:ascii="宋体" w:hAnsi="宋体" w:cs="宋体"/>
          <w:color w:val="auto"/>
          <w:kern w:val="0"/>
          <w:sz w:val="24"/>
          <w:highlight w:val="none"/>
          <w:lang w:val="zh-CN"/>
        </w:rPr>
        <w:t>响应</w:t>
      </w:r>
      <w:r>
        <w:rPr>
          <w:rFonts w:hint="eastAsia" w:ascii="宋体" w:hAnsi="宋体" w:eastAsia="宋体" w:cs="宋体"/>
          <w:color w:val="auto"/>
          <w:kern w:val="0"/>
          <w:sz w:val="24"/>
          <w:highlight w:val="none"/>
          <w:lang w:val="zh-CN"/>
        </w:rPr>
        <w:t>等均对联合投标各方产生约束力。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pPr>
        <w:snapToGrid w:val="0"/>
        <w:spacing w:line="360" w:lineRule="auto"/>
        <w:ind w:firstLine="576"/>
        <w:rPr>
          <w:rFonts w:hint="eastAsia" w:ascii="宋体" w:hAnsi="宋体" w:eastAsia="宋体" w:cs="宋体"/>
          <w:color w:val="auto"/>
          <w:kern w:val="0"/>
          <w:sz w:val="24"/>
          <w:highlight w:val="none"/>
          <w:lang w:val="zh-CN"/>
        </w:rPr>
      </w:pPr>
      <w:bookmarkStart w:id="417" w:name="_Hlk101134295"/>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bookmarkEnd w:id="417"/>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zh-CN"/>
        </w:rPr>
        <w:t>四</w:t>
      </w:r>
      <w:r>
        <w:rPr>
          <w:rFonts w:hint="eastAsia" w:ascii="宋体" w:hAnsi="宋体" w:eastAsia="宋体" w:cs="宋体"/>
          <w:color w:val="auto"/>
          <w:kern w:val="0"/>
          <w:sz w:val="24"/>
          <w:highlight w:val="none"/>
          <w:lang w:val="zh-CN"/>
        </w:rPr>
        <w:t>、如果中标，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zh-CN"/>
        </w:rPr>
        <w:t>五</w:t>
      </w:r>
      <w:r>
        <w:rPr>
          <w:rFonts w:hint="eastAsia" w:ascii="宋体" w:hAnsi="宋体" w:eastAsia="宋体" w:cs="宋体"/>
          <w:color w:val="auto"/>
          <w:kern w:val="0"/>
          <w:sz w:val="24"/>
          <w:highlight w:val="none"/>
          <w:lang w:val="zh-CN"/>
        </w:rPr>
        <w:t>、有关本次联合投标的其他事宜：</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w:t>
      </w:r>
      <w:r>
        <w:rPr>
          <w:rFonts w:hint="eastAsia" w:ascii="宋体" w:hAnsi="宋体" w:cs="宋体"/>
          <w:color w:val="auto"/>
          <w:kern w:val="0"/>
          <w:sz w:val="24"/>
          <w:highlight w:val="none"/>
          <w:lang w:val="zh-CN"/>
        </w:rPr>
        <w:t>采购</w:t>
      </w:r>
      <w:r>
        <w:rPr>
          <w:rFonts w:hint="eastAsia" w:ascii="宋体" w:hAnsi="宋体" w:eastAsia="宋体" w:cs="宋体"/>
          <w:color w:val="auto"/>
          <w:kern w:val="0"/>
          <w:sz w:val="24"/>
          <w:highlight w:val="none"/>
          <w:lang w:val="zh-CN"/>
        </w:rPr>
        <w:t>活动。</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附件6：分包意向协议</w:t>
      </w:r>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cs="宋体"/>
          <w:color w:val="auto"/>
          <w:sz w:val="24"/>
          <w:highlight w:val="none"/>
          <w:lang w:eastAsia="zh-CN"/>
        </w:rPr>
        <w:t>建德市乾潭镇下梓村数字乡村建设采购项目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JDBWCG2025-034</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pPr>
        <w:pStyle w:val="4"/>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eastAsia="宋体" w:cs="宋体"/>
          <w:color w:val="auto"/>
          <w:kern w:val="0"/>
          <w:sz w:val="24"/>
          <w:highlight w:val="none"/>
          <w:lang w:val="zh-CN"/>
        </w:rPr>
        <w:t>、分包工作履行期限、地点、方式</w:t>
      </w:r>
    </w:p>
    <w:p>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zh-CN"/>
        </w:rPr>
        <w:t>三</w:t>
      </w:r>
      <w:r>
        <w:rPr>
          <w:rFonts w:hint="eastAsia" w:ascii="宋体" w:hAnsi="宋体" w:eastAsia="宋体" w:cs="宋体"/>
          <w:color w:val="auto"/>
          <w:kern w:val="0"/>
          <w:sz w:val="24"/>
          <w:highlight w:val="none"/>
          <w:lang w:val="zh-CN"/>
        </w:rPr>
        <w:t>、质量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zh-CN"/>
        </w:rPr>
        <w:t>四</w:t>
      </w:r>
      <w:r>
        <w:rPr>
          <w:rFonts w:hint="eastAsia" w:ascii="宋体" w:hAnsi="宋体" w:eastAsia="宋体" w:cs="宋体"/>
          <w:color w:val="auto"/>
          <w:kern w:val="0"/>
          <w:sz w:val="24"/>
          <w:highlight w:val="none"/>
          <w:lang w:val="zh-CN"/>
        </w:rPr>
        <w:t>、价款或者报酬</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zh-CN"/>
        </w:rPr>
        <w:t>五</w:t>
      </w:r>
      <w:r>
        <w:rPr>
          <w:rFonts w:hint="eastAsia" w:ascii="宋体" w:hAnsi="宋体" w:eastAsia="宋体" w:cs="宋体"/>
          <w:color w:val="auto"/>
          <w:kern w:val="0"/>
          <w:sz w:val="24"/>
          <w:highlight w:val="none"/>
          <w:lang w:val="zh-CN"/>
        </w:rPr>
        <w:t>、违约责任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zh-CN"/>
        </w:rPr>
        <w:t>六</w:t>
      </w:r>
      <w:r>
        <w:rPr>
          <w:rFonts w:hint="eastAsia" w:ascii="宋体" w:hAnsi="宋体" w:eastAsia="宋体" w:cs="宋体"/>
          <w:color w:val="auto"/>
          <w:kern w:val="0"/>
          <w:sz w:val="24"/>
          <w:highlight w:val="none"/>
          <w:lang w:val="zh-CN"/>
        </w:rPr>
        <w:t>、争议解决的办法</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both"/>
        <w:rPr>
          <w:rFonts w:hint="eastAsia" w:ascii="宋体" w:hAnsi="宋体" w:eastAsia="宋体" w:cs="宋体"/>
          <w:b/>
          <w:color w:val="auto"/>
          <w:spacing w:val="6"/>
          <w:sz w:val="32"/>
          <w:szCs w:val="32"/>
          <w:highlight w:val="none"/>
        </w:rPr>
      </w:pPr>
    </w:p>
    <w:sectPr>
      <w:headerReference r:id="rId14" w:type="first"/>
      <w:footerReference r:id="rId17" w:type="first"/>
      <w:headerReference r:id="rId13" w:type="default"/>
      <w:footerReference r:id="rId15" w:type="default"/>
      <w:footerReference r:id="rId16" w:type="even"/>
      <w:pgSz w:w="11905" w:h="16838"/>
      <w:pgMar w:top="1474" w:right="1814" w:bottom="1474" w:left="1814" w:header="851"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Liberation Sans">
    <w:altName w:val="Vijaya"/>
    <w:panose1 w:val="020B0604020202020204"/>
    <w:charset w:val="00"/>
    <w:family w:val="auto"/>
    <w:pitch w:val="default"/>
    <w:sig w:usb0="00000000" w:usb1="00000000" w:usb2="00000000" w:usb3="00000000" w:csb0="6000009F" w:csb1="DFD70000"/>
  </w:font>
  <w:font w:name="Futura Bk">
    <w:altName w:val="Segoe Print"/>
    <w:panose1 w:val="00000000000000000000"/>
    <w:charset w:val="00"/>
    <w:family w:val="swiss"/>
    <w:pitch w:val="default"/>
    <w:sig w:usb0="00000000" w:usb1="00000000" w:usb2="00000000" w:usb3="00000000" w:csb0="00000011" w:csb1="00000000"/>
  </w:font>
  <w:font w:name="国标宋体-超大字符集">
    <w:altName w:val="宋体"/>
    <w:panose1 w:val="03000509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Vrinda"/>
    <w:panose1 w:val="020B0500000000000000"/>
    <w:charset w:val="00"/>
    <w:family w:val="swiss"/>
    <w:pitch w:val="default"/>
    <w:sig w:usb0="00000000" w:usb1="00000000" w:usb2="00000000" w:usb3="00000000" w:csb0="00000001" w:csb1="00000000"/>
  </w:font>
  <w:font w:name="Lohit Devanagari">
    <w:altName w:val="Vijaya"/>
    <w:panose1 w:val="020B0600000000000000"/>
    <w:charset w:val="00"/>
    <w:family w:val="auto"/>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Noto Naskh Arabic">
    <w:altName w:val="Segoe Print"/>
    <w:panose1 w:val="020B0502040504020204"/>
    <w:charset w:val="00"/>
    <w:family w:val="auto"/>
    <w:pitch w:val="default"/>
    <w:sig w:usb0="00000000" w:usb1="00000000" w:usb2="00000008" w:usb3="00000000" w:csb0="00000041" w:csb1="0008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DejaVu Sans">
    <w:altName w:val="Segoe Print"/>
    <w:panose1 w:val="020B0603030804020204"/>
    <w:charset w:val="00"/>
    <w:family w:val="auto"/>
    <w:pitch w:val="default"/>
    <w:sig w:usb0="00000000" w:usb1="00000000" w:usb2="0A246029" w:usb3="0400200C" w:csb0="600001FF" w:csb1="DFFF0000"/>
  </w:font>
  <w:font w:name="Arial Unicode MS">
    <w:altName w:val="宋体"/>
    <w:panose1 w:val="020B0604020202020204"/>
    <w:charset w:val="86"/>
    <w:family w:val="swiss"/>
    <w:pitch w:val="default"/>
    <w:sig w:usb0="00000000" w:usb1="00000000"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Arial">
    <w:panose1 w:val="020B0604020202020204"/>
    <w:charset w:val="00"/>
    <w:family w:val="auto"/>
    <w:pitch w:val="default"/>
    <w:sig w:usb0="E0002AFF" w:usb1="C0007843" w:usb2="00000009" w:usb3="00000000" w:csb0="400001FF" w:csb1="FFFF0000"/>
  </w:font>
  <w:font w:name="Vijaya">
    <w:panose1 w:val="020B0604020202020204"/>
    <w:charset w:val="00"/>
    <w:family w:val="auto"/>
    <w:pitch w:val="default"/>
    <w:sig w:usb0="00100003"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 w:name="Meiryo UI">
    <w:panose1 w:val="020B0604030504040204"/>
    <w:charset w:val="80"/>
    <w:family w:val="auto"/>
    <w:pitch w:val="default"/>
    <w:sig w:usb0="E10102FF" w:usb1="EAC7FFFF" w:usb2="00010012" w:usb3="00000000" w:csb0="6002009F" w:csb1="DFD70000"/>
  </w:font>
  <w:font w:name="Wingdings">
    <w:panose1 w:val="05000000000000000000"/>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NumberOnly">
    <w:panose1 w:val="020B0500000000000000"/>
    <w:charset w:val="00"/>
    <w:family w:val="auto"/>
    <w:pitch w:val="default"/>
    <w:sig w:usb0="8000002F" w:usb1="10000048" w:usb2="00000000" w:usb3="00000000" w:csb0="00000111" w:csb1="40000000"/>
  </w:font>
  <w:font w:name="AmdtSymbols">
    <w:altName w:val="NumberOnly"/>
    <w:panose1 w:val="02000500000000020004"/>
    <w:charset w:val="00"/>
    <w:family w:val="auto"/>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86"/>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MS Mincho">
    <w:panose1 w:val="02020609040205080304"/>
    <w:charset w:val="80"/>
    <w:family w:val="modern"/>
    <w:pitch w:val="default"/>
    <w:sig w:usb0="E00002FF" w:usb1="6AC7FDFB" w:usb2="00000012" w:usb3="00000000" w:csb0="4002009F" w:csb1="DFD70000"/>
  </w:font>
  <w:font w:name="方正黑体_GBK">
    <w:altName w:val="微软雅黑"/>
    <w:panose1 w:val="02000000000000000000"/>
    <w:charset w:val="00"/>
    <w:family w:val="auto"/>
    <w:pitch w:val="default"/>
    <w:sig w:usb0="00000000" w:usb1="0000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Helvetica Neue">
    <w:altName w:val="Corbel"/>
    <w:panose1 w:val="02000503000000020004"/>
    <w:charset w:val="00"/>
    <w:family w:val="auto"/>
    <w:pitch w:val="default"/>
    <w:sig w:usb0="00000000" w:usb1="00000000" w:usb2="00000010" w:usb3="00000000" w:csb0="00000000" w:csb1="00000000"/>
  </w:font>
  <w:font w:name="仿宋_GB2312">
    <w:altName w:val="仿宋"/>
    <w:panose1 w:val="02010609030101010101"/>
    <w:charset w:val="00"/>
    <w:family w:val="auto"/>
    <w:pitch w:val="default"/>
    <w:sig w:usb0="00000000" w:usb1="00000000" w:usb2="00000000" w:usb3="00000000" w:csb0="00040000" w:csb1="00000000"/>
  </w:font>
  <w:font w:name="方正小标宋简体">
    <w:altName w:val="微软雅黑"/>
    <w:panose1 w:val="03000509000000000000"/>
    <w:charset w:val="00"/>
    <w:family w:val="script"/>
    <w:pitch w:val="default"/>
    <w:sig w:usb0="00000000" w:usb1="00000000" w:usb2="00000000" w:usb3="00000000" w:csb0="00040000" w:csb1="00000000"/>
  </w:font>
  <w:font w:name="Wingdings 2">
    <w:altName w:val="Wingdings"/>
    <w:panose1 w:val="05020102010507070707"/>
    <w:charset w:val="00"/>
    <w:family w:val="roman"/>
    <w:pitch w:val="default"/>
    <w:sig w:usb0="00000000" w:usb1="00000000" w:usb2="00000000" w:usb3="00000000" w:csb0="80000000" w:csb1="00000000"/>
  </w:font>
  <w:font w:name="方正兰亭超细黑简体">
    <w:altName w:val="黑体"/>
    <w:panose1 w:val="02000000000000000000"/>
    <w:charset w:val="86"/>
    <w:family w:val="auto"/>
    <w:pitch w:val="default"/>
    <w:sig w:usb0="00000000" w:usb1="00000000" w:usb2="00000000" w:usb3="00000000" w:csb0="00040000" w:csb1="00000000"/>
  </w:font>
  <w:font w:name="汉仪中黑KW">
    <w:altName w:val="黑体"/>
    <w:panose1 w:val="00020600040101010101"/>
    <w:charset w:val="86"/>
    <w:family w:val="auto"/>
    <w:pitch w:val="default"/>
    <w:sig w:usb0="00000000" w:usb1="00000000" w:usb2="00000016" w:usb3="00000000" w:csb0="00040000" w:csb1="00000000"/>
  </w:font>
  <w:font w:name="PingFangHK">
    <w:altName w:val="Segoe Print"/>
    <w:panose1 w:val="00000000000000000000"/>
    <w:charset w:val="00"/>
    <w:family w:val="auto"/>
    <w:pitch w:val="default"/>
    <w:sig w:usb0="00000000" w:usb1="00000000" w:usb2="00000000" w:usb3="00000000" w:csb0="00000000" w:csb1="00000000"/>
  </w:font>
  <w:font w:name="汉仪旗黑">
    <w:altName w:val="黑体"/>
    <w:panose1 w:val="00020600040101010101"/>
    <w:charset w:val="86"/>
    <w:family w:val="auto"/>
    <w:pitch w:val="default"/>
    <w:sig w:usb0="00000000" w:usb1="00000000" w:usb2="00000016" w:usb3="00000000" w:csb0="0004009F" w:csb1="DFD70000"/>
  </w:font>
  <w:font w:name="汉仪楷体KW">
    <w:altName w:val="宋体"/>
    <w:panose1 w:val="00020600040101010101"/>
    <w:charset w:val="86"/>
    <w:family w:val="auto"/>
    <w:pitch w:val="default"/>
    <w:sig w:usb0="00000000" w:usb1="00000000" w:usb2="00000016" w:usb3="00000000" w:csb0="00040000" w:csb1="00000000"/>
  </w:font>
  <w:font w:name="MS PGothic">
    <w:panose1 w:val="020B0600070205080204"/>
    <w:charset w:val="80"/>
    <w:family w:val="swiss"/>
    <w:pitch w:val="default"/>
    <w:sig w:usb0="E00002FF" w:usb1="6AC7FDFB" w:usb2="00000012" w:usb3="00000000" w:csb0="4002009F" w:csb1="DFD70000"/>
  </w:font>
  <w:font w:name="Kingsoft Sign">
    <w:altName w:val="Segoe Print"/>
    <w:panose1 w:val="05050102010706020507"/>
    <w:charset w:val="00"/>
    <w:family w:val="auto"/>
    <w:pitch w:val="default"/>
    <w:sig w:usb0="00000000" w:usb1="00000000" w:usb2="00000000" w:usb3="00000000" w:csb0="00000001" w:csb1="00000000"/>
  </w:font>
  <w:font w:name="冬青黑体简体中文">
    <w:altName w:val="黑体"/>
    <w:panose1 w:val="020B0300000000000000"/>
    <w:charset w:val="86"/>
    <w:family w:val="auto"/>
    <w:pitch w:val="default"/>
    <w:sig w:usb0="00000000" w:usb1="00000000" w:usb2="00000016" w:usb3="00000000" w:csb0="00060007" w:csb1="00000000"/>
  </w:font>
  <w:font w:name="Hiragino Sans">
    <w:altName w:val="MS UI Gothic"/>
    <w:panose1 w:val="020B0300000000000000"/>
    <w:charset w:val="80"/>
    <w:family w:val="auto"/>
    <w:pitch w:val="default"/>
    <w:sig w:usb0="00000000" w:usb1="00000000" w:usb2="00000012" w:usb3="00000000" w:csb0="0002000D" w:csb1="00000000"/>
  </w:font>
  <w:font w:name="???|CS?o｡ﾀ?">
    <w:altName w:val="Segoe Print"/>
    <w:panose1 w:val="00000000000000000000"/>
    <w:charset w:val="00"/>
    <w:family w:val="modern"/>
    <w:pitch w:val="default"/>
    <w:sig w:usb0="00000000" w:usb1="00000000" w:usb2="00000010" w:usb3="00000000" w:csb0="00020000" w:csb1="00000000"/>
  </w:font>
  <w:font w:name="长城仿宋">
    <w:altName w:val="仿宋"/>
    <w:panose1 w:val="00000000000000000000"/>
    <w:charset w:val="00"/>
    <w:family w:val="modern"/>
    <w:pitch w:val="default"/>
    <w:sig w:usb0="00000000" w:usb1="00000000" w:usb2="00000010" w:usb3="00000000" w:csb0="00040000" w:csb1="00000000"/>
  </w:font>
  <w:font w:name="楷体_GB2312">
    <w:altName w:val="楷体"/>
    <w:panose1 w:val="02010609030101010101"/>
    <w:charset w:val="00"/>
    <w:family w:val="auto"/>
    <w:pitch w:val="default"/>
    <w:sig w:usb0="00000000" w:usb1="0000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Baskerville">
    <w:altName w:val="PMingLiU-ExtB"/>
    <w:panose1 w:val="02020502070401020303"/>
    <w:charset w:val="00"/>
    <w:family w:val="roman"/>
    <w:pitch w:val="default"/>
    <w:sig w:usb0="00000000" w:usb1="00000000" w:usb2="00000000" w:usb3="00000000" w:csb0="2000019F" w:csb1="00000000"/>
  </w:font>
  <w:font w:name="Times">
    <w:altName w:val="Times New Roman"/>
    <w:panose1 w:val="00000500000000020000"/>
    <w:charset w:val="00"/>
    <w:family w:val="roman"/>
    <w:pitch w:val="default"/>
    <w:sig w:usb0="00000000" w:usb1="00000000" w:usb2="00000000" w:usb3="00000000" w:csb0="2000019F" w:csb1="4F010000"/>
  </w:font>
  <w:font w:name="等线">
    <w:altName w:val="SJQY"/>
    <w:panose1 w:val="02010600030101010101"/>
    <w:charset w:val="00"/>
    <w:family w:val="roman"/>
    <w:pitch w:val="default"/>
    <w:sig w:usb0="00000000" w:usb1="00000000" w:usb2="00000016" w:usb3="00000000" w:csb0="0004000F" w:csb1="00000000"/>
  </w:font>
  <w:font w:name="ƨ">
    <w:altName w:val="微软雅黑"/>
    <w:panose1 w:val="00000000000000000000"/>
    <w:charset w:val="00"/>
    <w:family w:val="roman"/>
    <w:pitch w:val="default"/>
    <w:sig w:usb0="00000000" w:usb1="00000000" w:usb2="00000000" w:usb3="00000000" w:csb0="00040001" w:csb1="00000000"/>
  </w:font>
  <w:font w:name="华文中宋">
    <w:altName w:val="宋体"/>
    <w:panose1 w:val="02010600040101010101"/>
    <w:charset w:val="00"/>
    <w:family w:val="auto"/>
    <w:pitch w:val="default"/>
    <w:sig w:usb0="00000000" w:usb1="00000000" w:usb2="00000000" w:usb3="00000000" w:csb0="0004009F" w:csb1="DFD70000"/>
  </w:font>
  <w:font w:name="汉仪楷体简">
    <w:altName w:val="宋体"/>
    <w:panose1 w:val="02010600000101010101"/>
    <w:charset w:val="86"/>
    <w:family w:val="auto"/>
    <w:pitch w:val="default"/>
    <w:sig w:usb0="00000000" w:usb1="00000000" w:usb2="00000002" w:usb3="00000000" w:csb0="00040000" w:csb1="00000000"/>
  </w:font>
  <w:font w:name="宋体-简">
    <w:altName w:val="宋体"/>
    <w:panose1 w:val="02010800040101010101"/>
    <w:charset w:val="86"/>
    <w:family w:val="auto"/>
    <w:pitch w:val="default"/>
    <w:sig w:usb0="00000000" w:usb1="00000000" w:usb2="00000000" w:usb3="00000000" w:csb0="00040000" w:csb1="00000000"/>
  </w:font>
  <w:font w:name="汉仪中等线KW">
    <w:altName w:val="宋体"/>
    <w:panose1 w:val="01010104010101010101"/>
    <w:charset w:val="86"/>
    <w:family w:val="auto"/>
    <w:pitch w:val="default"/>
    <w:sig w:usb0="00000000" w:usb1="00000000" w:usb2="00000000" w:usb3="00000000" w:csb0="00040001" w:csb1="00000000"/>
  </w:font>
  <w:font w:name="Kingsoft Math">
    <w:altName w:val="Cambria Math"/>
    <w:panose1 w:val="02040503050406030204"/>
    <w:charset w:val="00"/>
    <w:family w:val="auto"/>
    <w:pitch w:val="default"/>
    <w:sig w:usb0="00000000" w:usb1="00000000" w:usb2="00000000" w:usb3="00000000" w:csb0="2000019F" w:csb1="00000000"/>
  </w:font>
  <w:font w:name="隶书">
    <w:altName w:val="微软雅黑"/>
    <w:panose1 w:val="02010509060101010101"/>
    <w:charset w:val="00"/>
    <w:family w:val="modern"/>
    <w:pitch w:val="default"/>
    <w:sig w:usb0="00000000" w:usb1="00000000" w:usb2="00000010" w:usb3="00000000" w:csb0="00040000" w:csb1="00000000"/>
  </w:font>
  <w:font w:name="报隶-简">
    <w:altName w:val="宋体"/>
    <w:panose1 w:val="02010600040101010101"/>
    <w:charset w:val="86"/>
    <w:family w:val="auto"/>
    <w:pitch w:val="default"/>
    <w:sig w:usb0="00000000" w:usb1="00000000" w:usb2="00000016" w:usb3="00000000" w:csb0="0004001F" w:csb1="00000000"/>
  </w:font>
  <w:font w:name="Traditional Arabic">
    <w:panose1 w:val="02020603050405020304"/>
    <w:charset w:val="00"/>
    <w:family w:val="auto"/>
    <w:pitch w:val="default"/>
    <w:sig w:usb0="00006003" w:usb1="80000000" w:usb2="00000008" w:usb3="00000000" w:csb0="00000041" w:csb1="20080000"/>
  </w:font>
  <w:font w:name="Corbel">
    <w:panose1 w:val="020B0503020204020204"/>
    <w:charset w:val="00"/>
    <w:family w:val="auto"/>
    <w:pitch w:val="default"/>
    <w:sig w:usb0="A00002EF" w:usb1="4000A44B" w:usb2="00000000" w:usb3="00000000" w:csb0="2000019F" w:csb1="00000000"/>
  </w:font>
  <w:font w:name="MS UI Gothic">
    <w:panose1 w:val="020B06000702050802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 w:name="SJQY">
    <w:panose1 w:val="02010600030101010101"/>
    <w:charset w:val="86"/>
    <w:family w:val="auto"/>
    <w:pitch w:val="default"/>
    <w:sig w:usb0="00000003" w:usb1="080E0000" w:usb2="00000000" w:usb3="00000000" w:csb0="00040001" w:csb1="00000000"/>
  </w:font>
  <w:font w:name="Century">
    <w:altName w:val="Nyala"/>
    <w:panose1 w:val="02040604050505020304"/>
    <w:charset w:val="00"/>
    <w:family w:val="auto"/>
    <w:pitch w:val="default"/>
    <w:sig w:usb0="00000000" w:usb1="00000000" w:usb2="00000000" w:usb3="00000000" w:csb0="2000009F" w:csb1="DFD70000"/>
  </w:font>
  <w:font w:name="NanumGothic">
    <w:altName w:val="Malgun Gothic"/>
    <w:panose1 w:val="020D0604000000000000"/>
    <w:charset w:val="81"/>
    <w:family w:val="auto"/>
    <w:pitch w:val="default"/>
    <w:sig w:usb0="00000000" w:usb1="00000000" w:usb2="00000010" w:usb3="00000000" w:csb0="00080001" w:csb1="00000000"/>
  </w:font>
  <w:font w:name="Arial Unicode MS">
    <w:altName w:val="Arial"/>
    <w:panose1 w:val="020B0604020202020204"/>
    <w:charset w:val="00"/>
    <w:family w:val="roman"/>
    <w:pitch w:val="default"/>
    <w:sig w:usb0="00000000" w:usb1="00000000" w:usb2="00000000" w:usb3="00000000" w:csb0="00000001" w:csb1="00000000"/>
  </w:font>
  <w:font w:name="Latha">
    <w:panose1 w:val="020B0604020202020204"/>
    <w:charset w:val="00"/>
    <w:family w:val="roman"/>
    <w:pitch w:val="default"/>
    <w:sig w:usb0="00100003" w:usb1="00000000" w:usb2="00000000" w:usb3="00000000" w:csb0="00000001" w:csb1="00000000"/>
  </w:font>
  <w:font w:name="Malgun Gothic">
    <w:panose1 w:val="020B0503020000020004"/>
    <w:charset w:val="81"/>
    <w:family w:val="auto"/>
    <w:pitch w:val="default"/>
    <w:sig w:usb0="900002AF" w:usb1="01D77CFB" w:usb2="00000012" w:usb3="00000000" w:csb0="00080001" w:csb1="00000000"/>
  </w:font>
  <w:font w:name=".PingFang SC">
    <w:altName w:val="宋体"/>
    <w:panose1 w:val="00000000000000000000"/>
    <w:charset w:val="86"/>
    <w:family w:val="modern"/>
    <w:pitch w:val="default"/>
    <w:sig w:usb0="00000000" w:usb1="00000000" w:usb2="00000000" w:usb3="00000000" w:csb0="00040001" w:csb1="00000000"/>
  </w:font>
  <w:font w:name="Nyala">
    <w:panose1 w:val="02000504070300020003"/>
    <w:charset w:val="00"/>
    <w:family w:val="auto"/>
    <w:pitch w:val="default"/>
    <w:sig w:usb0="A000006F" w:usb1="00000000" w:usb2="00000800" w:usb3="00000000" w:csb0="00000093" w:csb1="00000000"/>
  </w:font>
  <w:font w:name="??">
    <w:altName w:val="Times New Roman"/>
    <w:panose1 w:val="00000000000000000000"/>
    <w:charset w:val="00"/>
    <w:family w:val="roman"/>
    <w:pitch w:val="default"/>
    <w:sig w:usb0="00000000" w:usb1="00000000" w:usb2="00000000" w:usb3="00000000" w:csb0="00040001" w:csb1="00000000"/>
  </w:font>
  <w:font w:name="STZhongsong">
    <w:altName w:val="宋体"/>
    <w:panose1 w:val="00000000000000000000"/>
    <w:charset w:val="86"/>
    <w:family w:val="auto"/>
    <w:pitch w:val="default"/>
    <w:sig w:usb0="00000000" w:usb1="00000000" w:usb2="00000010" w:usb3="00000000" w:csb0="0004009F" w:csb1="00000000"/>
  </w:font>
  <w:font w:name="Segoe UI Symbol">
    <w:panose1 w:val="020B0502040204020203"/>
    <w:charset w:val="00"/>
    <w:family w:val="auto"/>
    <w:pitch w:val="default"/>
    <w:sig w:usb0="8000006F" w:usb1="1200FBEF" w:usb2="0064C000" w:usb3="00000002" w:csb0="00000001" w:csb1="40000000"/>
  </w:font>
  <w:font w:name="Consolas">
    <w:panose1 w:val="020B0609020204030204"/>
    <w:charset w:val="00"/>
    <w:family w:val="auto"/>
    <w:pitch w:val="default"/>
    <w:sig w:usb0="E10002FF" w:usb1="4000FCFF" w:usb2="00000009" w:usb3="00000000" w:csb0="6000019F" w:csb1="DFD70000"/>
  </w:font>
  <w:font w:name="宋体;SimSun">
    <w:altName w:val="宋体"/>
    <w:panose1 w:val="00000000000000000000"/>
    <w:charset w:val="86"/>
    <w:family w:val="roman"/>
    <w:pitch w:val="default"/>
    <w:sig w:usb0="00000000" w:usb1="00000000" w:usb2="00000010" w:usb3="00000000" w:csb0="00040000" w:csb1="00000000"/>
  </w:font>
  <w:font w:name="黑体;SimHei">
    <w:altName w:val="宋体"/>
    <w:panose1 w:val="00000000000000000000"/>
    <w:charset w:val="86"/>
    <w:family w:val="roman"/>
    <w:pitch w:val="default"/>
    <w:sig w:usb0="00000000" w:usb1="00000000" w:usb2="00000010" w:usb3="00000000" w:csb0="00040000" w:csb1="00000000"/>
  </w:font>
  <w:font w:name="Myriad Pro">
    <w:altName w:val="Corbel"/>
    <w:panose1 w:val="020B0503030403020204"/>
    <w:charset w:val="00"/>
    <w:family w:val="swiss"/>
    <w:pitch w:val="default"/>
    <w:sig w:usb0="00000000" w:usb1="00000000" w:usb2="00000000" w:usb3="00000000" w:csb0="2000019F" w:csb1="00000000"/>
  </w:font>
  <w:font w:name="Helv">
    <w:altName w:val="Segoe Print"/>
    <w:panose1 w:val="020B0604020202030204"/>
    <w:charset w:val="00"/>
    <w:family w:val="swiss"/>
    <w:pitch w:val="default"/>
    <w:sig w:usb0="00000000" w:usb1="00000000" w:usb2="00000000" w:usb3="00000000" w:csb0="00000001" w:csb1="00000000"/>
  </w:font>
  <w:font w:name="方正姚体">
    <w:altName w:val="宋体"/>
    <w:panose1 w:val="02010601030101010101"/>
    <w:charset w:val="86"/>
    <w:family w:val="auto"/>
    <w:pitch w:val="default"/>
    <w:sig w:usb0="00000000" w:usb1="00000000" w:usb2="00000000" w:usb3="00000000" w:csb0="00040000" w:csb1="00000000"/>
  </w:font>
  <w:font w:name="Gulim">
    <w:panose1 w:val="020B0600000101010101"/>
    <w:charset w:val="81"/>
    <w:family w:val="auto"/>
    <w:pitch w:val="default"/>
    <w:sig w:usb0="B00002AF" w:usb1="69D77CFB" w:usb2="00000030" w:usb3="00000000" w:csb0="4008009F" w:csb1="DFD70000"/>
  </w:font>
  <w:font w:name="???|CS?o｡ﾀ?">
    <w:altName w:val="MS Mincho"/>
    <w:panose1 w:val="00000000000000000000"/>
    <w:charset w:val="80"/>
    <w:family w:val="auto"/>
    <w:pitch w:val="default"/>
    <w:sig w:usb0="00000000" w:usb1="00000000" w:usb2="00000010" w:usb3="00000000" w:csb0="00020000" w:csb1="00000000"/>
  </w:font>
  <w:font w:name="方正细黑一体2.">
    <w:altName w:val="黑体"/>
    <w:panose1 w:val="00000000000000000000"/>
    <w:charset w:val="86"/>
    <w:family w:val="swiss"/>
    <w:pitch w:val="default"/>
    <w:sig w:usb0="00000000" w:usb1="00000000" w:usb2="00000010" w:usb3="00000000" w:csb0="00040000" w:csb1="00000000"/>
  </w:font>
  <w:font w:name="Sitka Text">
    <w:altName w:val="NumberOnly"/>
    <w:panose1 w:val="02000505000000020004"/>
    <w:charset w:val="00"/>
    <w:family w:val="auto"/>
    <w:pitch w:val="default"/>
    <w:sig w:usb0="00000000" w:usb1="00000000" w:usb2="00000000" w:usb3="00000000" w:csb0="2000019F" w:csb1="00000000"/>
  </w:font>
  <w:font w:name="文鼎中宋">
    <w:altName w:val="宋体"/>
    <w:panose1 w:val="02020800000000000000"/>
    <w:charset w:val="86"/>
    <w:family w:val="auto"/>
    <w:pitch w:val="default"/>
    <w:sig w:usb0="00000000" w:usb1="00000000" w:usb2="00000012"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Segoe UI Light">
    <w:panose1 w:val="020B0502040204020203"/>
    <w:charset w:val="00"/>
    <w:family w:val="auto"/>
    <w:pitch w:val="default"/>
    <w:sig w:usb0="E00002FF" w:usb1="4000A47B" w:usb2="00000001" w:usb3="00000000" w:csb0="2000019F" w:csb1="00000000"/>
  </w:font>
  <w:font w:name="等线 Light">
    <w:altName w:val="Segoe Print"/>
    <w:panose1 w:val="00000000000000000000"/>
    <w:charset w:val="00"/>
    <w:family w:val="auto"/>
    <w:pitch w:val="default"/>
    <w:sig w:usb0="00000000" w:usb1="00000000" w:usb2="00000000" w:usb3="00000000" w:csb0="00000000" w:csb1="00000000"/>
  </w:font>
  <w:font w:name="FHLHE E+ Futura Bk">
    <w:altName w:val="宋体"/>
    <w:panose1 w:val="00000000000000000000"/>
    <w:charset w:val="00"/>
    <w:family w:val="swiss"/>
    <w:pitch w:val="default"/>
    <w:sig w:usb0="00000000" w:usb1="00000000" w:usb2="00000010" w:usb3="00000000" w:csb0="00040000" w:csb1="00000000"/>
  </w:font>
  <w:font w:name="MS Sans Serif">
    <w:altName w:val="Segoe Print"/>
    <w:panose1 w:val="00000000000000000000"/>
    <w:charset w:val="4D"/>
    <w:family w:val="swiss"/>
    <w:pitch w:val="default"/>
    <w:sig w:usb0="00000000" w:usb1="00000000" w:usb2="00000000" w:usb3="00000000" w:csb0="00000001" w:csb1="00000000"/>
  </w:font>
  <w:font w:name="FZXH1JW--GB1-0">
    <w:altName w:val="微软雅黑"/>
    <w:panose1 w:val="00000000000000000000"/>
    <w:charset w:val="86"/>
    <w:family w:val="auto"/>
    <w:pitch w:val="default"/>
    <w:sig w:usb0="00000000" w:usb1="00000000" w:usb2="00000010" w:usb3="00000000" w:csb0="00040000" w:csb1="00000000"/>
  </w:font>
  <w:font w:name="宋体..璂..">
    <w:altName w:val="宋体"/>
    <w:panose1 w:val="00000000000000000000"/>
    <w:charset w:val="86"/>
    <w:family w:val="roma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DejaVu Math TeX Gyre">
    <w:altName w:val="NumberOnly"/>
    <w:panose1 w:val="02000503000000000000"/>
    <w:charset w:val="00"/>
    <w:family w:val="auto"/>
    <w:pitch w:val="default"/>
    <w:sig w:usb0="00000000" w:usb1="00000000" w:usb2="02000000" w:usb3="00000000" w:csb0="60000193" w:csb1="0DD40000"/>
  </w:font>
  <w:font w:name="Calibri Light">
    <w:panose1 w:val="020F0302020204030204"/>
    <w:charset w:val="00"/>
    <w:family w:val="swiss"/>
    <w:pitch w:val="default"/>
    <w:sig w:usb0="A00002EF" w:usb1="4000207B" w:usb2="00000000" w:usb3="00000000" w:csb0="2000019F" w:csb1="00000000"/>
  </w:font>
  <w:font w:name="文鼎CS仿宋体">
    <w:altName w:val="仿宋"/>
    <w:panose1 w:val="00000000000000000000"/>
    <w:charset w:val="86"/>
    <w:family w:val="modern"/>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FuturaA Bk BT">
    <w:altName w:val="Segoe Print"/>
    <w:panose1 w:val="00000000000000000000"/>
    <w:charset w:val="00"/>
    <w:family w:val="swiss"/>
    <w:pitch w:val="default"/>
    <w:sig w:usb0="00000000" w:usb1="00000000" w:usb2="00000000" w:usb3="00000000" w:csb0="00000001" w:csb1="00000000"/>
  </w:font>
  <w:font w:name="华文细黑">
    <w:altName w:val="微软雅黑"/>
    <w:panose1 w:val="02010600040101010101"/>
    <w:charset w:val="86"/>
    <w:family w:val="auto"/>
    <w:pitch w:val="default"/>
    <w:sig w:usb0="00000000" w:usb1="00000000" w:usb2="00000000" w:usb3="00000000" w:csb0="0004009F" w:csb1="DFD70000"/>
  </w:font>
  <w:font w:name="Century Schoolbook">
    <w:altName w:val="Segoe Print"/>
    <w:panose1 w:val="02040604050505020304"/>
    <w:charset w:val="00"/>
    <w:family w:val="roman"/>
    <w:pitch w:val="default"/>
    <w:sig w:usb0="00000000" w:usb1="00000000" w:usb2="00000000" w:usb3="00000000" w:csb0="2000009F" w:csb1="DFD70000"/>
  </w:font>
  <w:font w:name="中圆体">
    <w:altName w:val="宋体"/>
    <w:panose1 w:val="00000000000000000000"/>
    <w:charset w:val="86"/>
    <w:family w:val="modern"/>
    <w:pitch w:val="default"/>
    <w:sig w:usb0="00000000" w:usb1="00000000" w:usb2="00000010" w:usb3="00000000" w:csb0="00040000" w:csb1="00000000"/>
  </w:font>
  <w:font w:name="Syntax">
    <w:altName w:val="Segoe Print"/>
    <w:panose1 w:val="00000000000000000000"/>
    <w:charset w:val="00"/>
    <w:family w:val="auto"/>
    <w:pitch w:val="default"/>
    <w:sig w:usb0="00000000" w:usb1="00000000" w:usb2="00000000" w:usb3="00000000" w:csb0="00000001" w:csb1="00000000"/>
  </w:font>
  <w:font w:name="MingLiU">
    <w:panose1 w:val="02020509000000000000"/>
    <w:charset w:val="88"/>
    <w:family w:val="modern"/>
    <w:pitch w:val="default"/>
    <w:sig w:usb0="A00002FF" w:usb1="28CFFCFA" w:usb2="00000016" w:usb3="00000000" w:csb0="00100001" w:csb1="00000000"/>
  </w:font>
  <w:font w:name="Garamond">
    <w:altName w:val="PMingLiU-ExtB"/>
    <w:panose1 w:val="02020404030301010803"/>
    <w:charset w:val="00"/>
    <w:family w:val="roman"/>
    <w:pitch w:val="default"/>
    <w:sig w:usb0="00000000" w:usb1="00000000" w:usb2="00000000" w:usb3="00000000" w:csb0="0000009F" w:csb1="DFD70000"/>
  </w:font>
  <w:font w:name="Dutch801 XBd BT">
    <w:altName w:val="Segoe Print"/>
    <w:panose1 w:val="02020903060505020304"/>
    <w:charset w:val="00"/>
    <w:family w:val="roman"/>
    <w:pitch w:val="default"/>
    <w:sig w:usb0="00000000" w:usb1="00000000" w:usb2="00000000" w:usb3="00000000" w:csb0="00000000" w:csb1="00000000"/>
  </w:font>
  <w:font w:name="Angsana New">
    <w:panose1 w:val="02020603050405020304"/>
    <w:charset w:val="DE"/>
    <w:family w:val="roman"/>
    <w:pitch w:val="default"/>
    <w:sig w:usb0="81000003" w:usb1="00000000" w:usb2="00000000" w:usb3="00000000" w:csb0="00010001" w:csb1="00000000"/>
  </w:font>
  <w:font w:name="微软大黑体">
    <w:altName w:val="黑体"/>
    <w:panose1 w:val="00000000000000000000"/>
    <w:charset w:val="86"/>
    <w:family w:val="modern"/>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Microsoft JhengHei UI">
    <w:altName w:val="Microsoft JhengHei"/>
    <w:panose1 w:val="020B0604030504040204"/>
    <w:charset w:val="88"/>
    <w:family w:val="auto"/>
    <w:pitch w:val="default"/>
    <w:sig w:usb0="00000000" w:usb1="00000000" w:usb2="00000016" w:usb3="00000000" w:csb0="00100009" w:csb1="00000000"/>
  </w:font>
  <w:font w:name="Microsoft Sans Serif">
    <w:panose1 w:val="020B0604020202020204"/>
    <w:charset w:val="00"/>
    <w:family w:val="auto"/>
    <w:pitch w:val="default"/>
    <w:sig w:usb0="E1002AFF" w:usb1="C0000002" w:usb2="00000008" w:usb3="00000000" w:csb0="200101FF" w:csb1="20280000"/>
  </w:font>
  <w:font w:name="Microsoft JhengHei">
    <w:panose1 w:val="020B0604030504040204"/>
    <w:charset w:val="88"/>
    <w:family w:val="auto"/>
    <w:pitch w:val="default"/>
    <w:sig w:usb0="00000087" w:usb1="28AF4000" w:usb2="00000016" w:usb3="00000000" w:csb0="00100009" w:csb1="00000000"/>
  </w:font>
  <w:font w:name="..ì.">
    <w:altName w:val="宋体"/>
    <w:panose1 w:val="00000000000000000000"/>
    <w:charset w:val="86"/>
    <w:family w:val="roman"/>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长城仿宋">
    <w:altName w:val="黑体"/>
    <w:panose1 w:val="00000000000000000000"/>
    <w:charset w:val="86"/>
    <w:family w:val="modern"/>
    <w:pitch w:val="default"/>
    <w:sig w:usb0="00000000" w:usb1="00000000" w:usb2="00000010" w:usb3="00000000" w:csb0="00040000" w:csb1="00000000"/>
  </w:font>
  <w:font w:name="Yu Gothic UI">
    <w:altName w:val="Meiryo UI"/>
    <w:panose1 w:val="020B0500000000000000"/>
    <w:charset w:val="80"/>
    <w:family w:val="auto"/>
    <w:pitch w:val="default"/>
    <w:sig w:usb0="00000000" w:usb1="00000000" w:usb2="00000016" w:usb3="00000000" w:csb0="2002009F" w:csb1="00000000"/>
  </w:font>
  <w:font w:name="Lucida Console">
    <w:panose1 w:val="020B0609040504020204"/>
    <w:charset w:val="00"/>
    <w:family w:val="auto"/>
    <w:pitch w:val="default"/>
    <w:sig w:usb0="8000028F" w:usb1="00001800" w:usb2="00000000" w:usb3="00000000" w:csb0="0000001F" w:csb1="D7D70000"/>
  </w:font>
  <w:font w:name="汉仪书宋二简">
    <w:altName w:val="宋体"/>
    <w:panose1 w:val="02010600000101010101"/>
    <w:charset w:val="86"/>
    <w:family w:val="auto"/>
    <w:pitch w:val="default"/>
    <w:sig w:usb0="00000000" w:usb1="00000000" w:usb2="00000002" w:usb3="00000000" w:csb0="00040000" w:csb1="00000000"/>
  </w:font>
  <w:font w:name="MT Extra">
    <w:panose1 w:val="05050102010205020202"/>
    <w:charset w:val="00"/>
    <w:family w:val="auto"/>
    <w:pitch w:val="default"/>
    <w:sig w:usb0="80000000" w:usb1="00000000" w:usb2="00000000" w:usb3="00000000" w:csb0="00000000" w:csb1="00000000"/>
  </w:font>
  <w:font w:name="仿宋_GB2312;仿宋">
    <w:altName w:val="仿宋"/>
    <w:panose1 w:val="00000000000000000000"/>
    <w:charset w:val="00"/>
    <w:family w:val="auto"/>
    <w:pitch w:val="default"/>
    <w:sig w:usb0="00000000" w:usb1="00000000" w:usb2="00000000" w:usb3="00000000" w:csb0="00040001" w:csb1="00000000"/>
  </w:font>
  <w:font w:name="Trebuchet MS">
    <w:panose1 w:val="020B0603020202020204"/>
    <w:charset w:val="00"/>
    <w:family w:val="auto"/>
    <w:pitch w:val="default"/>
    <w:sig w:usb0="00000287" w:usb1="00000000" w:usb2="00000000" w:usb3="00000000" w:csb0="2000009F" w:csb1="00000000"/>
  </w:font>
  <w:font w:name="Wingdings-Regular">
    <w:altName w:val="Courier New"/>
    <w:panose1 w:val="00000000000000000000"/>
    <w:charset w:val="02"/>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9" w:usb3="00000000" w:csb0="000001FF" w:csb1="00000000"/>
  </w:font>
  <w:font w:name="Segoe UI Semibold">
    <w:panose1 w:val="020B0702040204020203"/>
    <w:charset w:val="00"/>
    <w:family w:val="auto"/>
    <w:pitch w:val="default"/>
    <w:sig w:usb0="E00002FF" w:usb1="4000A47B" w:usb2="00000001" w:usb3="00000000" w:csb0="2000019F" w:csb1="00000000"/>
  </w:font>
  <w:font w:name="hakuyoxingshu7000">
    <w:altName w:val="宋体"/>
    <w:panose1 w:val="02000600000000000000"/>
    <w:charset w:val="86"/>
    <w:family w:val="auto"/>
    <w:pitch w:val="default"/>
    <w:sig w:usb0="00000000" w:usb1="00000000" w:usb2="0000003F" w:usb3="00000000" w:csb0="603F00FF" w:csb1="FFFF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rPr>
    </w:pP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4"/>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Ll1uVLQAAAABQEA&#10;AA8AAAAAAAAAAQAgAAAAIgAAAGRycy9kb3ducmV2LnhtbFBLAQIUABQAAAAIAIdO4kA7Jp0YsAEA&#10;AEQDAAAOAAAAAAAAAAEAIAAAAB8BAABkcnMvZTJvRG9jLnhtbFBLBQYAAAAABgAGAFkBAABBBQAA&#10;AAA=&#10;">
              <v:fill on="f" focussize="0,0"/>
              <v:stroke on="f"/>
              <v:imagedata o:title=""/>
              <o:lock v:ext="edit" aspectratio="f"/>
              <v:textbox inset="0mm,0mm,0mm,0mm" style="mso-fit-shape-to-text:t;">
                <w:txbxContent>
                  <w:p>
                    <w:pPr>
                      <w:pStyle w:val="44"/>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rPr>
    </w:pP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vert="horz" wrap="none" lIns="0" tIns="0" rIns="0" bIns="0" anchor="t">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uXW5UtAAAAAFAQAA&#10;DwAAAAAAAAABACAAAAAiAAAAZHJzL2Rvd25yZXYueG1sUEsBAhQAFAAAAAgAh07iQK2bLOuvAQAA&#10;RAMAAA4AAAAAAAAAAQAgAAAAHwEAAGRycy9lMm9Eb2MueG1sUEsFBgAAAAAGAAYAWQEAAEAFAAAA&#10;AA==&#10;">
              <v:fill on="f" focussize="0,0"/>
              <v:stroke on="f"/>
              <v:imagedata o:title=""/>
              <o:lock v:ext="edit" aspectratio="f"/>
              <v:textbox inset="0mm,0mm,0mm,0mm" style="mso-fit-shape-to-text:t;">
                <w:txbxContent>
                  <w:p>
                    <w:pPr>
                      <w:pStyle w:val="4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69"/>
      </w:rPr>
    </w:pPr>
    <w:r>
      <w:fldChar w:fldCharType="begin"/>
    </w:r>
    <w:r>
      <w:rPr>
        <w:rStyle w:val="69"/>
      </w:rPr>
      <w:instrText xml:space="preserve">PAGE  </w:instrText>
    </w:r>
    <w:r>
      <w:fldChar w:fldCharType="end"/>
    </w:r>
  </w:p>
  <w:p>
    <w:pPr>
      <w:pStyle w:val="44"/>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8" w:name="_Toc91899912"/>
    <w:bookmarkStart w:id="419" w:name="_Toc131845147"/>
    <w:bookmarkStart w:id="420" w:name="_Toc36110187"/>
    <w:bookmarkStart w:id="421" w:name="_Toc164085800"/>
    <w:r>
      <w:rPr>
        <w:rFonts w:hint="eastAsia" w:ascii="仿宋_GB2312" w:eastAsia="仿宋_GB2312"/>
        <w:kern w:val="0"/>
        <w:szCs w:val="21"/>
      </w:rPr>
      <w:t xml:space="preserve"> 页</w:t>
    </w:r>
    <w:bookmarkEnd w:id="418"/>
    <w:bookmarkEnd w:id="419"/>
    <w:bookmarkEnd w:id="420"/>
    <w:bookmarkEnd w:id="421"/>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right"/>
    </w:pPr>
    <w:r>
      <w:t></w:t>
    </w:r>
    <w:r>
      <w:rPr>
        <w:rFonts w:hint="eastAsia"/>
      </w:rPr>
      <w:t xml:space="preserve">                                                                    </w:t>
    </w:r>
    <w: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right"/>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right"/>
      <w:rPr>
        <w:rFonts w:ascii="仿宋_GB2312" w:eastAsia="仿宋_GB2312"/>
        <w:b/>
        <w:i/>
        <w:iCs/>
        <w:u w:val="single"/>
      </w:rPr>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D5E282"/>
    <w:multiLevelType w:val="singleLevel"/>
    <w:tmpl w:val="A2D5E282"/>
    <w:lvl w:ilvl="0" w:tentative="0">
      <w:start w:val="1"/>
      <w:numFmt w:val="decimal"/>
      <w:suff w:val="nothing"/>
      <w:lvlText w:val="（%1）"/>
      <w:lvlJc w:val="left"/>
    </w:lvl>
  </w:abstractNum>
  <w:abstractNum w:abstractNumId="1">
    <w:nsid w:val="59CF8E31"/>
    <w:multiLevelType w:val="singleLevel"/>
    <w:tmpl w:val="59CF8E31"/>
    <w:lvl w:ilvl="0" w:tentative="0">
      <w:start w:val="9"/>
      <w:numFmt w:val="decimal"/>
      <w:lvlText w:val="%1."/>
      <w:lvlJc w:val="left"/>
      <w:pPr>
        <w:tabs>
          <w:tab w:val="left" w:pos="312"/>
        </w:tabs>
      </w:pPr>
    </w:lvl>
  </w:abstractNum>
  <w:abstractNum w:abstractNumId="2">
    <w:nsid w:val="67CFA3B1"/>
    <w:multiLevelType w:val="singleLevel"/>
    <w:tmpl w:val="67CFA3B1"/>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mYzEyYWZhMDcyYjJlNTQxOTJjNzk1MTM3ODliYz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9A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904"/>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852"/>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9C5"/>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4A62"/>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8A4"/>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39F2"/>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A0E"/>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05D"/>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242"/>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999"/>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06D"/>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871D6"/>
    <w:rsid w:val="011F6449"/>
    <w:rsid w:val="01236AFB"/>
    <w:rsid w:val="0196797C"/>
    <w:rsid w:val="019F7441"/>
    <w:rsid w:val="01B37585"/>
    <w:rsid w:val="01C86BAE"/>
    <w:rsid w:val="01D55165"/>
    <w:rsid w:val="01D85524"/>
    <w:rsid w:val="01D96D82"/>
    <w:rsid w:val="01DF6BF8"/>
    <w:rsid w:val="01E40F01"/>
    <w:rsid w:val="01EC2C57"/>
    <w:rsid w:val="02134C06"/>
    <w:rsid w:val="022856D8"/>
    <w:rsid w:val="02557C87"/>
    <w:rsid w:val="025C672E"/>
    <w:rsid w:val="025F0711"/>
    <w:rsid w:val="02653E74"/>
    <w:rsid w:val="026B2E25"/>
    <w:rsid w:val="026C4FD1"/>
    <w:rsid w:val="02824D4D"/>
    <w:rsid w:val="028F0098"/>
    <w:rsid w:val="02985DC6"/>
    <w:rsid w:val="029C4435"/>
    <w:rsid w:val="02A03B0A"/>
    <w:rsid w:val="02B604C5"/>
    <w:rsid w:val="02B87C8B"/>
    <w:rsid w:val="02BF3353"/>
    <w:rsid w:val="02DC4B10"/>
    <w:rsid w:val="02DD76CE"/>
    <w:rsid w:val="02F36323"/>
    <w:rsid w:val="02F41BAB"/>
    <w:rsid w:val="02F5619C"/>
    <w:rsid w:val="0326446A"/>
    <w:rsid w:val="0328539C"/>
    <w:rsid w:val="032D5555"/>
    <w:rsid w:val="032F7747"/>
    <w:rsid w:val="033702A9"/>
    <w:rsid w:val="035E0C59"/>
    <w:rsid w:val="036634D2"/>
    <w:rsid w:val="03B629A7"/>
    <w:rsid w:val="03DD35E4"/>
    <w:rsid w:val="03DF01D1"/>
    <w:rsid w:val="03E017D2"/>
    <w:rsid w:val="03F1578E"/>
    <w:rsid w:val="04076900"/>
    <w:rsid w:val="041A5A3B"/>
    <w:rsid w:val="042311BA"/>
    <w:rsid w:val="042B157A"/>
    <w:rsid w:val="044742D6"/>
    <w:rsid w:val="046517CD"/>
    <w:rsid w:val="047010F6"/>
    <w:rsid w:val="048E56D2"/>
    <w:rsid w:val="048F763B"/>
    <w:rsid w:val="049F330E"/>
    <w:rsid w:val="04AA775C"/>
    <w:rsid w:val="04AF1889"/>
    <w:rsid w:val="04E06764"/>
    <w:rsid w:val="04E33C83"/>
    <w:rsid w:val="04E70360"/>
    <w:rsid w:val="04EC2DD7"/>
    <w:rsid w:val="04F66F48"/>
    <w:rsid w:val="050D65F7"/>
    <w:rsid w:val="0510168A"/>
    <w:rsid w:val="05251E14"/>
    <w:rsid w:val="0530758E"/>
    <w:rsid w:val="054E09BE"/>
    <w:rsid w:val="05585425"/>
    <w:rsid w:val="05607F4A"/>
    <w:rsid w:val="05A16594"/>
    <w:rsid w:val="05A7762D"/>
    <w:rsid w:val="05B71827"/>
    <w:rsid w:val="05C60BF6"/>
    <w:rsid w:val="05D473D2"/>
    <w:rsid w:val="05DE61E6"/>
    <w:rsid w:val="060519C4"/>
    <w:rsid w:val="060E5941"/>
    <w:rsid w:val="060F48B5"/>
    <w:rsid w:val="06110FAF"/>
    <w:rsid w:val="06357182"/>
    <w:rsid w:val="06400C4E"/>
    <w:rsid w:val="064249C6"/>
    <w:rsid w:val="06493CA7"/>
    <w:rsid w:val="065A6178"/>
    <w:rsid w:val="066F1CF3"/>
    <w:rsid w:val="067E2606"/>
    <w:rsid w:val="067E6234"/>
    <w:rsid w:val="06930BB8"/>
    <w:rsid w:val="069D1231"/>
    <w:rsid w:val="06B50CF4"/>
    <w:rsid w:val="06B84C89"/>
    <w:rsid w:val="06BB2083"/>
    <w:rsid w:val="06CA3990"/>
    <w:rsid w:val="06CB2732"/>
    <w:rsid w:val="06DF3FC3"/>
    <w:rsid w:val="071023CF"/>
    <w:rsid w:val="07155AFD"/>
    <w:rsid w:val="07245D42"/>
    <w:rsid w:val="07264C62"/>
    <w:rsid w:val="074B23B8"/>
    <w:rsid w:val="076621A7"/>
    <w:rsid w:val="0779354C"/>
    <w:rsid w:val="077F5A06"/>
    <w:rsid w:val="0783652C"/>
    <w:rsid w:val="07952E86"/>
    <w:rsid w:val="07B6268B"/>
    <w:rsid w:val="07F04F0A"/>
    <w:rsid w:val="08061376"/>
    <w:rsid w:val="08332819"/>
    <w:rsid w:val="0834033F"/>
    <w:rsid w:val="08452D77"/>
    <w:rsid w:val="086401F8"/>
    <w:rsid w:val="0870456A"/>
    <w:rsid w:val="08751CAA"/>
    <w:rsid w:val="087C3D79"/>
    <w:rsid w:val="087E4C40"/>
    <w:rsid w:val="088F370D"/>
    <w:rsid w:val="08901A19"/>
    <w:rsid w:val="08983078"/>
    <w:rsid w:val="08A871D0"/>
    <w:rsid w:val="08C90A87"/>
    <w:rsid w:val="08D66AD6"/>
    <w:rsid w:val="08DA33A3"/>
    <w:rsid w:val="08E80F13"/>
    <w:rsid w:val="09335624"/>
    <w:rsid w:val="0944690F"/>
    <w:rsid w:val="09535675"/>
    <w:rsid w:val="095F057D"/>
    <w:rsid w:val="095F346D"/>
    <w:rsid w:val="09642282"/>
    <w:rsid w:val="096D1D5A"/>
    <w:rsid w:val="097266A2"/>
    <w:rsid w:val="09733572"/>
    <w:rsid w:val="09772C16"/>
    <w:rsid w:val="098353B5"/>
    <w:rsid w:val="0997284E"/>
    <w:rsid w:val="09A46ABD"/>
    <w:rsid w:val="09A92330"/>
    <w:rsid w:val="09B06B87"/>
    <w:rsid w:val="09C13146"/>
    <w:rsid w:val="09DA2234"/>
    <w:rsid w:val="09E04166"/>
    <w:rsid w:val="09F77876"/>
    <w:rsid w:val="0A1C0718"/>
    <w:rsid w:val="0A2A02F6"/>
    <w:rsid w:val="0A3D724D"/>
    <w:rsid w:val="0A3E7710"/>
    <w:rsid w:val="0A5B7E63"/>
    <w:rsid w:val="0A5C592B"/>
    <w:rsid w:val="0A794B51"/>
    <w:rsid w:val="0A7C5E93"/>
    <w:rsid w:val="0AA374A5"/>
    <w:rsid w:val="0AA87EEE"/>
    <w:rsid w:val="0AAB7649"/>
    <w:rsid w:val="0ABC5606"/>
    <w:rsid w:val="0AC46297"/>
    <w:rsid w:val="0AC566BE"/>
    <w:rsid w:val="0AD1117E"/>
    <w:rsid w:val="0B03428F"/>
    <w:rsid w:val="0B051958"/>
    <w:rsid w:val="0B30404E"/>
    <w:rsid w:val="0B4C6C14"/>
    <w:rsid w:val="0B4E0E79"/>
    <w:rsid w:val="0B547599"/>
    <w:rsid w:val="0B5E376C"/>
    <w:rsid w:val="0B631A88"/>
    <w:rsid w:val="0B683D45"/>
    <w:rsid w:val="0B7F3F11"/>
    <w:rsid w:val="0B884417"/>
    <w:rsid w:val="0B9176F8"/>
    <w:rsid w:val="0B920249"/>
    <w:rsid w:val="0BCF2858"/>
    <w:rsid w:val="0BD41053"/>
    <w:rsid w:val="0BF41E46"/>
    <w:rsid w:val="0BF6188C"/>
    <w:rsid w:val="0BF73C91"/>
    <w:rsid w:val="0C13107F"/>
    <w:rsid w:val="0C170175"/>
    <w:rsid w:val="0C3010E8"/>
    <w:rsid w:val="0C5456E2"/>
    <w:rsid w:val="0C566AD6"/>
    <w:rsid w:val="0C571A41"/>
    <w:rsid w:val="0C5C1171"/>
    <w:rsid w:val="0C5E1CBC"/>
    <w:rsid w:val="0C615B50"/>
    <w:rsid w:val="0C8445DA"/>
    <w:rsid w:val="0C87121B"/>
    <w:rsid w:val="0C937D2A"/>
    <w:rsid w:val="0C9E19D5"/>
    <w:rsid w:val="0CB20747"/>
    <w:rsid w:val="0CC007F7"/>
    <w:rsid w:val="0CC617AC"/>
    <w:rsid w:val="0CD161B4"/>
    <w:rsid w:val="0CE618DF"/>
    <w:rsid w:val="0CFE707A"/>
    <w:rsid w:val="0D063BDA"/>
    <w:rsid w:val="0D08375F"/>
    <w:rsid w:val="0D184CFB"/>
    <w:rsid w:val="0D4A7419"/>
    <w:rsid w:val="0D556D8D"/>
    <w:rsid w:val="0D5C24F8"/>
    <w:rsid w:val="0D6C7EC0"/>
    <w:rsid w:val="0D7816AE"/>
    <w:rsid w:val="0D7E7B62"/>
    <w:rsid w:val="0D827401"/>
    <w:rsid w:val="0D84094E"/>
    <w:rsid w:val="0D8A00E9"/>
    <w:rsid w:val="0D8D589E"/>
    <w:rsid w:val="0DA01C73"/>
    <w:rsid w:val="0DAE46EF"/>
    <w:rsid w:val="0DC569D5"/>
    <w:rsid w:val="0DD63300"/>
    <w:rsid w:val="0DE335FC"/>
    <w:rsid w:val="0DF50604"/>
    <w:rsid w:val="0DF702FE"/>
    <w:rsid w:val="0E060E51"/>
    <w:rsid w:val="0E2350DD"/>
    <w:rsid w:val="0E5604B2"/>
    <w:rsid w:val="0E5719EA"/>
    <w:rsid w:val="0E6A2710"/>
    <w:rsid w:val="0E6D5D79"/>
    <w:rsid w:val="0E9D0089"/>
    <w:rsid w:val="0EB0415B"/>
    <w:rsid w:val="0EB77646"/>
    <w:rsid w:val="0EB803EE"/>
    <w:rsid w:val="0EC10F7D"/>
    <w:rsid w:val="0EC266A4"/>
    <w:rsid w:val="0EE16A55"/>
    <w:rsid w:val="0EEA79A9"/>
    <w:rsid w:val="0EF716A8"/>
    <w:rsid w:val="0EF94D4B"/>
    <w:rsid w:val="0F00500D"/>
    <w:rsid w:val="0F14747F"/>
    <w:rsid w:val="0F2E3EDD"/>
    <w:rsid w:val="0F34485F"/>
    <w:rsid w:val="0F4958DC"/>
    <w:rsid w:val="0F515DF7"/>
    <w:rsid w:val="0F517A28"/>
    <w:rsid w:val="0F5573DD"/>
    <w:rsid w:val="0F596BA8"/>
    <w:rsid w:val="0F6248D2"/>
    <w:rsid w:val="0F693536"/>
    <w:rsid w:val="0F7B0511"/>
    <w:rsid w:val="0F7B76D9"/>
    <w:rsid w:val="0F816ACD"/>
    <w:rsid w:val="0F9832DB"/>
    <w:rsid w:val="0FBF1380"/>
    <w:rsid w:val="0FBF3FD2"/>
    <w:rsid w:val="0FBF7FF3"/>
    <w:rsid w:val="0FC71A98"/>
    <w:rsid w:val="0FE425F6"/>
    <w:rsid w:val="0FEA3728"/>
    <w:rsid w:val="10436BDA"/>
    <w:rsid w:val="10646583"/>
    <w:rsid w:val="107A6525"/>
    <w:rsid w:val="107D4B15"/>
    <w:rsid w:val="10831E63"/>
    <w:rsid w:val="108A3C80"/>
    <w:rsid w:val="109E4479"/>
    <w:rsid w:val="10BD6F35"/>
    <w:rsid w:val="10C06328"/>
    <w:rsid w:val="10C26171"/>
    <w:rsid w:val="10D52B69"/>
    <w:rsid w:val="10F33360"/>
    <w:rsid w:val="10FC16EA"/>
    <w:rsid w:val="110F1D40"/>
    <w:rsid w:val="11266F33"/>
    <w:rsid w:val="11531A90"/>
    <w:rsid w:val="117A285D"/>
    <w:rsid w:val="118963A1"/>
    <w:rsid w:val="11B65FE3"/>
    <w:rsid w:val="11BD6E3E"/>
    <w:rsid w:val="11C6522A"/>
    <w:rsid w:val="11DF131B"/>
    <w:rsid w:val="11E104CC"/>
    <w:rsid w:val="11E20309"/>
    <w:rsid w:val="12255233"/>
    <w:rsid w:val="12530213"/>
    <w:rsid w:val="12592091"/>
    <w:rsid w:val="125E4936"/>
    <w:rsid w:val="127723A9"/>
    <w:rsid w:val="12862074"/>
    <w:rsid w:val="12883966"/>
    <w:rsid w:val="129E45B4"/>
    <w:rsid w:val="12AE1052"/>
    <w:rsid w:val="12C73B30"/>
    <w:rsid w:val="12D4505D"/>
    <w:rsid w:val="12D81596"/>
    <w:rsid w:val="12F81A6B"/>
    <w:rsid w:val="13072A44"/>
    <w:rsid w:val="13421B62"/>
    <w:rsid w:val="135B443E"/>
    <w:rsid w:val="135E44C2"/>
    <w:rsid w:val="135F4BE2"/>
    <w:rsid w:val="13915917"/>
    <w:rsid w:val="139231D1"/>
    <w:rsid w:val="13972AF8"/>
    <w:rsid w:val="139B1A0A"/>
    <w:rsid w:val="139D25C7"/>
    <w:rsid w:val="13BF3CE4"/>
    <w:rsid w:val="13C411CB"/>
    <w:rsid w:val="13EE6E5B"/>
    <w:rsid w:val="141008D8"/>
    <w:rsid w:val="14125FE6"/>
    <w:rsid w:val="14150A44"/>
    <w:rsid w:val="146D271E"/>
    <w:rsid w:val="14886F07"/>
    <w:rsid w:val="148D4BF9"/>
    <w:rsid w:val="14982588"/>
    <w:rsid w:val="149A5AD9"/>
    <w:rsid w:val="149E54BE"/>
    <w:rsid w:val="14A01236"/>
    <w:rsid w:val="14A7619D"/>
    <w:rsid w:val="15033A47"/>
    <w:rsid w:val="150536C3"/>
    <w:rsid w:val="150C1963"/>
    <w:rsid w:val="151447A0"/>
    <w:rsid w:val="15145780"/>
    <w:rsid w:val="152359C3"/>
    <w:rsid w:val="154A6454"/>
    <w:rsid w:val="15590EE8"/>
    <w:rsid w:val="156355DF"/>
    <w:rsid w:val="156649BE"/>
    <w:rsid w:val="15762120"/>
    <w:rsid w:val="15836462"/>
    <w:rsid w:val="15A37C46"/>
    <w:rsid w:val="15A530EA"/>
    <w:rsid w:val="15E3263E"/>
    <w:rsid w:val="15EC4728"/>
    <w:rsid w:val="16416AC5"/>
    <w:rsid w:val="1644684C"/>
    <w:rsid w:val="16535D4D"/>
    <w:rsid w:val="16646293"/>
    <w:rsid w:val="166565F0"/>
    <w:rsid w:val="16796A28"/>
    <w:rsid w:val="167F185F"/>
    <w:rsid w:val="16A8729C"/>
    <w:rsid w:val="16B33777"/>
    <w:rsid w:val="16BC70A7"/>
    <w:rsid w:val="16C6339E"/>
    <w:rsid w:val="172F2D79"/>
    <w:rsid w:val="173B3498"/>
    <w:rsid w:val="17557BEF"/>
    <w:rsid w:val="177B0C05"/>
    <w:rsid w:val="17914E66"/>
    <w:rsid w:val="17987CD2"/>
    <w:rsid w:val="17AA569F"/>
    <w:rsid w:val="17D349C1"/>
    <w:rsid w:val="17D34DF7"/>
    <w:rsid w:val="17D80170"/>
    <w:rsid w:val="181E0BA3"/>
    <w:rsid w:val="18244F26"/>
    <w:rsid w:val="1829217E"/>
    <w:rsid w:val="1830729E"/>
    <w:rsid w:val="1870062C"/>
    <w:rsid w:val="187B2A53"/>
    <w:rsid w:val="18817102"/>
    <w:rsid w:val="18830A15"/>
    <w:rsid w:val="18852B28"/>
    <w:rsid w:val="188B5321"/>
    <w:rsid w:val="18A74A4F"/>
    <w:rsid w:val="18DC0363"/>
    <w:rsid w:val="18E1003E"/>
    <w:rsid w:val="190C7C33"/>
    <w:rsid w:val="19932372"/>
    <w:rsid w:val="19946D55"/>
    <w:rsid w:val="19A20DD5"/>
    <w:rsid w:val="19A215AC"/>
    <w:rsid w:val="19A228E7"/>
    <w:rsid w:val="19A52E4A"/>
    <w:rsid w:val="19AE03F1"/>
    <w:rsid w:val="19B05E2A"/>
    <w:rsid w:val="19F71DF3"/>
    <w:rsid w:val="1A071A03"/>
    <w:rsid w:val="1A11007A"/>
    <w:rsid w:val="1A11084C"/>
    <w:rsid w:val="1A1A3838"/>
    <w:rsid w:val="1A1A60DF"/>
    <w:rsid w:val="1A1C3241"/>
    <w:rsid w:val="1A1F16AE"/>
    <w:rsid w:val="1A332FCB"/>
    <w:rsid w:val="1A352420"/>
    <w:rsid w:val="1A376963"/>
    <w:rsid w:val="1A3A17E5"/>
    <w:rsid w:val="1A3B5C77"/>
    <w:rsid w:val="1A472154"/>
    <w:rsid w:val="1A6B2A23"/>
    <w:rsid w:val="1A890B80"/>
    <w:rsid w:val="1A981315"/>
    <w:rsid w:val="1A984BAD"/>
    <w:rsid w:val="1AA36EB0"/>
    <w:rsid w:val="1AB47FAD"/>
    <w:rsid w:val="1AB8220E"/>
    <w:rsid w:val="1ACC48EB"/>
    <w:rsid w:val="1ACF5914"/>
    <w:rsid w:val="1AE314C2"/>
    <w:rsid w:val="1AE4166C"/>
    <w:rsid w:val="1AF06CFB"/>
    <w:rsid w:val="1AF11B8D"/>
    <w:rsid w:val="1AF916A0"/>
    <w:rsid w:val="1AFD0A64"/>
    <w:rsid w:val="1AFD1CF3"/>
    <w:rsid w:val="1B0442B2"/>
    <w:rsid w:val="1B11359C"/>
    <w:rsid w:val="1B2A271F"/>
    <w:rsid w:val="1B2D1349"/>
    <w:rsid w:val="1B530544"/>
    <w:rsid w:val="1B713184"/>
    <w:rsid w:val="1B9206DD"/>
    <w:rsid w:val="1BA209CF"/>
    <w:rsid w:val="1BB4777D"/>
    <w:rsid w:val="1BC2714F"/>
    <w:rsid w:val="1BD13E7A"/>
    <w:rsid w:val="1BD75AB8"/>
    <w:rsid w:val="1BD81872"/>
    <w:rsid w:val="1BE96EEF"/>
    <w:rsid w:val="1C0459C2"/>
    <w:rsid w:val="1C1B3B4A"/>
    <w:rsid w:val="1C204A0A"/>
    <w:rsid w:val="1C88086E"/>
    <w:rsid w:val="1C9F1DD3"/>
    <w:rsid w:val="1CCD2057"/>
    <w:rsid w:val="1CE51334"/>
    <w:rsid w:val="1CEC2B3E"/>
    <w:rsid w:val="1CF279B4"/>
    <w:rsid w:val="1CFF214E"/>
    <w:rsid w:val="1D0139E2"/>
    <w:rsid w:val="1D266CE1"/>
    <w:rsid w:val="1D383886"/>
    <w:rsid w:val="1D3958E6"/>
    <w:rsid w:val="1D3963AF"/>
    <w:rsid w:val="1D3F35B6"/>
    <w:rsid w:val="1D4F1A4B"/>
    <w:rsid w:val="1D6A673C"/>
    <w:rsid w:val="1D9247AE"/>
    <w:rsid w:val="1DA82F09"/>
    <w:rsid w:val="1DB567EC"/>
    <w:rsid w:val="1DBF2E6B"/>
    <w:rsid w:val="1DC15D79"/>
    <w:rsid w:val="1DD77306"/>
    <w:rsid w:val="1DF51A98"/>
    <w:rsid w:val="1DF63C75"/>
    <w:rsid w:val="1E051CD9"/>
    <w:rsid w:val="1E15149D"/>
    <w:rsid w:val="1E1E141D"/>
    <w:rsid w:val="1E382E0D"/>
    <w:rsid w:val="1E3D060F"/>
    <w:rsid w:val="1E3F7D2E"/>
    <w:rsid w:val="1E4134E4"/>
    <w:rsid w:val="1E5062B3"/>
    <w:rsid w:val="1E523514"/>
    <w:rsid w:val="1E714A66"/>
    <w:rsid w:val="1E802593"/>
    <w:rsid w:val="1E8B6156"/>
    <w:rsid w:val="1EA703CC"/>
    <w:rsid w:val="1EB51D82"/>
    <w:rsid w:val="1EB7330C"/>
    <w:rsid w:val="1ED2301D"/>
    <w:rsid w:val="1F02489B"/>
    <w:rsid w:val="1F031D48"/>
    <w:rsid w:val="1F0A0FF3"/>
    <w:rsid w:val="1F0C571A"/>
    <w:rsid w:val="1F3F1511"/>
    <w:rsid w:val="1F454277"/>
    <w:rsid w:val="1F472D5E"/>
    <w:rsid w:val="1F5771FF"/>
    <w:rsid w:val="1F675F89"/>
    <w:rsid w:val="1F751511"/>
    <w:rsid w:val="1F7A31F0"/>
    <w:rsid w:val="1F7C3B44"/>
    <w:rsid w:val="1F941997"/>
    <w:rsid w:val="1F9961B3"/>
    <w:rsid w:val="1FA0658E"/>
    <w:rsid w:val="1FD52574"/>
    <w:rsid w:val="1FDA4158"/>
    <w:rsid w:val="1FE61346"/>
    <w:rsid w:val="1FE868A9"/>
    <w:rsid w:val="1FEB5DD4"/>
    <w:rsid w:val="20034907"/>
    <w:rsid w:val="201227DB"/>
    <w:rsid w:val="20173E4B"/>
    <w:rsid w:val="202417A3"/>
    <w:rsid w:val="202A4011"/>
    <w:rsid w:val="204E48BC"/>
    <w:rsid w:val="20547378"/>
    <w:rsid w:val="2059673D"/>
    <w:rsid w:val="20765541"/>
    <w:rsid w:val="20773208"/>
    <w:rsid w:val="208921B3"/>
    <w:rsid w:val="208C0B17"/>
    <w:rsid w:val="20973DEB"/>
    <w:rsid w:val="20B26522"/>
    <w:rsid w:val="20B44310"/>
    <w:rsid w:val="20B6593D"/>
    <w:rsid w:val="20C41A43"/>
    <w:rsid w:val="210668C5"/>
    <w:rsid w:val="211116EB"/>
    <w:rsid w:val="212C3D17"/>
    <w:rsid w:val="213B5E42"/>
    <w:rsid w:val="216133FC"/>
    <w:rsid w:val="21D56769"/>
    <w:rsid w:val="21E52EF3"/>
    <w:rsid w:val="21F80DD9"/>
    <w:rsid w:val="21F973F1"/>
    <w:rsid w:val="21FB5D7B"/>
    <w:rsid w:val="22015E94"/>
    <w:rsid w:val="220B1C3D"/>
    <w:rsid w:val="221D1D20"/>
    <w:rsid w:val="22334A87"/>
    <w:rsid w:val="2234120F"/>
    <w:rsid w:val="22484CBB"/>
    <w:rsid w:val="226B2757"/>
    <w:rsid w:val="22987080"/>
    <w:rsid w:val="229879F0"/>
    <w:rsid w:val="22AB375D"/>
    <w:rsid w:val="22AC4529"/>
    <w:rsid w:val="22BE6801"/>
    <w:rsid w:val="22CC769A"/>
    <w:rsid w:val="22E449E3"/>
    <w:rsid w:val="22F15F51"/>
    <w:rsid w:val="231F7242"/>
    <w:rsid w:val="23305E7B"/>
    <w:rsid w:val="233500BF"/>
    <w:rsid w:val="23377FF7"/>
    <w:rsid w:val="233A0AA7"/>
    <w:rsid w:val="235963F1"/>
    <w:rsid w:val="236B425F"/>
    <w:rsid w:val="23810484"/>
    <w:rsid w:val="23836192"/>
    <w:rsid w:val="23901F29"/>
    <w:rsid w:val="23906919"/>
    <w:rsid w:val="239C0061"/>
    <w:rsid w:val="23A45F21"/>
    <w:rsid w:val="23B908A4"/>
    <w:rsid w:val="23C94F25"/>
    <w:rsid w:val="23D41AC5"/>
    <w:rsid w:val="23E95BEF"/>
    <w:rsid w:val="23F64F4C"/>
    <w:rsid w:val="23FD0064"/>
    <w:rsid w:val="24212865"/>
    <w:rsid w:val="242A6ACA"/>
    <w:rsid w:val="242F26B6"/>
    <w:rsid w:val="24354C79"/>
    <w:rsid w:val="243948BB"/>
    <w:rsid w:val="24422DFE"/>
    <w:rsid w:val="2448014D"/>
    <w:rsid w:val="245375B0"/>
    <w:rsid w:val="24544288"/>
    <w:rsid w:val="245D3851"/>
    <w:rsid w:val="24627D04"/>
    <w:rsid w:val="24642C0A"/>
    <w:rsid w:val="24AB32DF"/>
    <w:rsid w:val="24B22173"/>
    <w:rsid w:val="24B6415E"/>
    <w:rsid w:val="24B95AD9"/>
    <w:rsid w:val="24BE24DA"/>
    <w:rsid w:val="24CF5825"/>
    <w:rsid w:val="24D663E6"/>
    <w:rsid w:val="24D77F2B"/>
    <w:rsid w:val="24D92557"/>
    <w:rsid w:val="24EC7B7F"/>
    <w:rsid w:val="25317C88"/>
    <w:rsid w:val="258521D7"/>
    <w:rsid w:val="258B00E2"/>
    <w:rsid w:val="25910F48"/>
    <w:rsid w:val="25A917A6"/>
    <w:rsid w:val="25BE27CC"/>
    <w:rsid w:val="25EA6F69"/>
    <w:rsid w:val="25F74A5C"/>
    <w:rsid w:val="25FA3833"/>
    <w:rsid w:val="26045EA2"/>
    <w:rsid w:val="26152DFC"/>
    <w:rsid w:val="2628662C"/>
    <w:rsid w:val="262D45DE"/>
    <w:rsid w:val="26443D59"/>
    <w:rsid w:val="264F2AD0"/>
    <w:rsid w:val="2653592E"/>
    <w:rsid w:val="26871DC8"/>
    <w:rsid w:val="269D1654"/>
    <w:rsid w:val="26A53EF9"/>
    <w:rsid w:val="26A60202"/>
    <w:rsid w:val="26A94201"/>
    <w:rsid w:val="26AC274F"/>
    <w:rsid w:val="26C14114"/>
    <w:rsid w:val="26D331E5"/>
    <w:rsid w:val="26DD00C8"/>
    <w:rsid w:val="27044A29"/>
    <w:rsid w:val="271D34C8"/>
    <w:rsid w:val="275859A0"/>
    <w:rsid w:val="275B723E"/>
    <w:rsid w:val="276142BF"/>
    <w:rsid w:val="276A4BA9"/>
    <w:rsid w:val="27783712"/>
    <w:rsid w:val="277F5944"/>
    <w:rsid w:val="27820FA4"/>
    <w:rsid w:val="278D41FD"/>
    <w:rsid w:val="27907362"/>
    <w:rsid w:val="27AA40BC"/>
    <w:rsid w:val="27CB43C4"/>
    <w:rsid w:val="27D019DA"/>
    <w:rsid w:val="27FA27FC"/>
    <w:rsid w:val="282C255A"/>
    <w:rsid w:val="283104DE"/>
    <w:rsid w:val="28333E1D"/>
    <w:rsid w:val="283350DF"/>
    <w:rsid w:val="2838132E"/>
    <w:rsid w:val="283C0E1E"/>
    <w:rsid w:val="28446343"/>
    <w:rsid w:val="28454BD6"/>
    <w:rsid w:val="28455253"/>
    <w:rsid w:val="28456613"/>
    <w:rsid w:val="28551971"/>
    <w:rsid w:val="285B1C53"/>
    <w:rsid w:val="287A5637"/>
    <w:rsid w:val="2892542C"/>
    <w:rsid w:val="289F7086"/>
    <w:rsid w:val="28B27332"/>
    <w:rsid w:val="28C32028"/>
    <w:rsid w:val="28C70CDE"/>
    <w:rsid w:val="28CC490F"/>
    <w:rsid w:val="28DE40AA"/>
    <w:rsid w:val="28F11C08"/>
    <w:rsid w:val="291B6C85"/>
    <w:rsid w:val="29316E30"/>
    <w:rsid w:val="29345E77"/>
    <w:rsid w:val="294C65AD"/>
    <w:rsid w:val="295B69D2"/>
    <w:rsid w:val="296543A4"/>
    <w:rsid w:val="29783D35"/>
    <w:rsid w:val="297A5D79"/>
    <w:rsid w:val="29806583"/>
    <w:rsid w:val="298B3C4C"/>
    <w:rsid w:val="298C7B83"/>
    <w:rsid w:val="299A22A0"/>
    <w:rsid w:val="299D58EC"/>
    <w:rsid w:val="29C66159"/>
    <w:rsid w:val="29C9048F"/>
    <w:rsid w:val="29DB4666"/>
    <w:rsid w:val="29E43918"/>
    <w:rsid w:val="29F26D24"/>
    <w:rsid w:val="2A15033F"/>
    <w:rsid w:val="2A1662C1"/>
    <w:rsid w:val="2A1C7367"/>
    <w:rsid w:val="2A2815FA"/>
    <w:rsid w:val="2A332A5B"/>
    <w:rsid w:val="2A426494"/>
    <w:rsid w:val="2A554419"/>
    <w:rsid w:val="2A5A558B"/>
    <w:rsid w:val="2A626559"/>
    <w:rsid w:val="2A6D6092"/>
    <w:rsid w:val="2A7D76B4"/>
    <w:rsid w:val="2AA075F4"/>
    <w:rsid w:val="2AA1765E"/>
    <w:rsid w:val="2ADB626D"/>
    <w:rsid w:val="2AEA324F"/>
    <w:rsid w:val="2AEF78BB"/>
    <w:rsid w:val="2B0674C1"/>
    <w:rsid w:val="2B1971F4"/>
    <w:rsid w:val="2B437463"/>
    <w:rsid w:val="2B512E32"/>
    <w:rsid w:val="2B703976"/>
    <w:rsid w:val="2B7807EE"/>
    <w:rsid w:val="2BA50BF7"/>
    <w:rsid w:val="2BBF00EC"/>
    <w:rsid w:val="2BC37CFD"/>
    <w:rsid w:val="2BC74EA2"/>
    <w:rsid w:val="2BD5237F"/>
    <w:rsid w:val="2BD63337"/>
    <w:rsid w:val="2BDD3B36"/>
    <w:rsid w:val="2BE536CE"/>
    <w:rsid w:val="2BE601AD"/>
    <w:rsid w:val="2BE758D9"/>
    <w:rsid w:val="2BF346BB"/>
    <w:rsid w:val="2C02201D"/>
    <w:rsid w:val="2C09049E"/>
    <w:rsid w:val="2C0A653C"/>
    <w:rsid w:val="2C1054FB"/>
    <w:rsid w:val="2C174AF9"/>
    <w:rsid w:val="2C191F85"/>
    <w:rsid w:val="2C1D2D14"/>
    <w:rsid w:val="2C5524AE"/>
    <w:rsid w:val="2CBC739B"/>
    <w:rsid w:val="2CD258AD"/>
    <w:rsid w:val="2CE82D6F"/>
    <w:rsid w:val="2D1A3236"/>
    <w:rsid w:val="2D2F71A3"/>
    <w:rsid w:val="2D343236"/>
    <w:rsid w:val="2D375814"/>
    <w:rsid w:val="2D52151C"/>
    <w:rsid w:val="2D575011"/>
    <w:rsid w:val="2D7B1018"/>
    <w:rsid w:val="2D7C0EAC"/>
    <w:rsid w:val="2D872B3B"/>
    <w:rsid w:val="2DA27975"/>
    <w:rsid w:val="2DAF5F38"/>
    <w:rsid w:val="2DD15014"/>
    <w:rsid w:val="2DD24266"/>
    <w:rsid w:val="2DD7176A"/>
    <w:rsid w:val="2DF72DE4"/>
    <w:rsid w:val="2E0054CD"/>
    <w:rsid w:val="2E0220AF"/>
    <w:rsid w:val="2E093550"/>
    <w:rsid w:val="2E14000D"/>
    <w:rsid w:val="2E183793"/>
    <w:rsid w:val="2E3F7A9E"/>
    <w:rsid w:val="2E4B082A"/>
    <w:rsid w:val="2E4D4C86"/>
    <w:rsid w:val="2E556795"/>
    <w:rsid w:val="2E5D459D"/>
    <w:rsid w:val="2E5D4E86"/>
    <w:rsid w:val="2E5D790B"/>
    <w:rsid w:val="2E6206A8"/>
    <w:rsid w:val="2E8B0409"/>
    <w:rsid w:val="2E9A3C18"/>
    <w:rsid w:val="2EAC422C"/>
    <w:rsid w:val="2EB536D8"/>
    <w:rsid w:val="2EBB0FEE"/>
    <w:rsid w:val="2EC60F6B"/>
    <w:rsid w:val="2EC63002"/>
    <w:rsid w:val="2ECB2EFB"/>
    <w:rsid w:val="2ED1039E"/>
    <w:rsid w:val="2F0A6B38"/>
    <w:rsid w:val="2F326AD7"/>
    <w:rsid w:val="2F937F7F"/>
    <w:rsid w:val="2F946CCB"/>
    <w:rsid w:val="2FA3158A"/>
    <w:rsid w:val="2FA433C5"/>
    <w:rsid w:val="2FBF55B6"/>
    <w:rsid w:val="2FD25781"/>
    <w:rsid w:val="2FD71E49"/>
    <w:rsid w:val="2FDC745C"/>
    <w:rsid w:val="2FF05432"/>
    <w:rsid w:val="2FFD7934"/>
    <w:rsid w:val="30171547"/>
    <w:rsid w:val="302477D8"/>
    <w:rsid w:val="305308D8"/>
    <w:rsid w:val="306233EC"/>
    <w:rsid w:val="306F0EA2"/>
    <w:rsid w:val="30733ACD"/>
    <w:rsid w:val="308C3862"/>
    <w:rsid w:val="309379D8"/>
    <w:rsid w:val="30A06F5B"/>
    <w:rsid w:val="30A270F7"/>
    <w:rsid w:val="30BC2C37"/>
    <w:rsid w:val="30DF1478"/>
    <w:rsid w:val="30EC586F"/>
    <w:rsid w:val="30F57DBC"/>
    <w:rsid w:val="30FD4BD0"/>
    <w:rsid w:val="311327DC"/>
    <w:rsid w:val="317624B4"/>
    <w:rsid w:val="319C6071"/>
    <w:rsid w:val="31AC537E"/>
    <w:rsid w:val="31AD7299"/>
    <w:rsid w:val="31D125D7"/>
    <w:rsid w:val="31D95F77"/>
    <w:rsid w:val="31E3679B"/>
    <w:rsid w:val="31E732FD"/>
    <w:rsid w:val="31EB6578"/>
    <w:rsid w:val="32266F65"/>
    <w:rsid w:val="32290665"/>
    <w:rsid w:val="32495441"/>
    <w:rsid w:val="32517576"/>
    <w:rsid w:val="32534AFB"/>
    <w:rsid w:val="3276294B"/>
    <w:rsid w:val="327F6A81"/>
    <w:rsid w:val="32827CEF"/>
    <w:rsid w:val="328718AD"/>
    <w:rsid w:val="32BE5C2C"/>
    <w:rsid w:val="32D57EA5"/>
    <w:rsid w:val="32FB6478"/>
    <w:rsid w:val="32FD564D"/>
    <w:rsid w:val="332378F3"/>
    <w:rsid w:val="33263B3F"/>
    <w:rsid w:val="332801C0"/>
    <w:rsid w:val="333948D8"/>
    <w:rsid w:val="33513762"/>
    <w:rsid w:val="336963EB"/>
    <w:rsid w:val="336C0182"/>
    <w:rsid w:val="337F3437"/>
    <w:rsid w:val="3381276E"/>
    <w:rsid w:val="33816EEB"/>
    <w:rsid w:val="338813BB"/>
    <w:rsid w:val="33BC2E13"/>
    <w:rsid w:val="33C543BD"/>
    <w:rsid w:val="33C93758"/>
    <w:rsid w:val="33D31EF5"/>
    <w:rsid w:val="33EB55CD"/>
    <w:rsid w:val="33EC4C02"/>
    <w:rsid w:val="340D2360"/>
    <w:rsid w:val="3410665D"/>
    <w:rsid w:val="34211214"/>
    <w:rsid w:val="34224A6B"/>
    <w:rsid w:val="342C61EA"/>
    <w:rsid w:val="342E63AB"/>
    <w:rsid w:val="3442156A"/>
    <w:rsid w:val="34693CBD"/>
    <w:rsid w:val="347D25A2"/>
    <w:rsid w:val="348B7FB5"/>
    <w:rsid w:val="34950E68"/>
    <w:rsid w:val="34984B38"/>
    <w:rsid w:val="34986E94"/>
    <w:rsid w:val="34A94D49"/>
    <w:rsid w:val="34AF62C9"/>
    <w:rsid w:val="34B00BC9"/>
    <w:rsid w:val="34CB4388"/>
    <w:rsid w:val="34FA6E12"/>
    <w:rsid w:val="354D7158"/>
    <w:rsid w:val="356B2D42"/>
    <w:rsid w:val="357070B5"/>
    <w:rsid w:val="35777939"/>
    <w:rsid w:val="358D5588"/>
    <w:rsid w:val="358D6543"/>
    <w:rsid w:val="35973796"/>
    <w:rsid w:val="35C1713F"/>
    <w:rsid w:val="35D46361"/>
    <w:rsid w:val="3637277E"/>
    <w:rsid w:val="363A3B40"/>
    <w:rsid w:val="365302AE"/>
    <w:rsid w:val="36607A0A"/>
    <w:rsid w:val="366E227C"/>
    <w:rsid w:val="366F2E0D"/>
    <w:rsid w:val="367B6A5C"/>
    <w:rsid w:val="36A74ADA"/>
    <w:rsid w:val="36AD60D5"/>
    <w:rsid w:val="36B224F9"/>
    <w:rsid w:val="36BE19DF"/>
    <w:rsid w:val="36DB7A54"/>
    <w:rsid w:val="36EC0CC9"/>
    <w:rsid w:val="36ED12B4"/>
    <w:rsid w:val="372B49E6"/>
    <w:rsid w:val="372E6486"/>
    <w:rsid w:val="37357164"/>
    <w:rsid w:val="373F410B"/>
    <w:rsid w:val="37567180"/>
    <w:rsid w:val="37577E04"/>
    <w:rsid w:val="379A346B"/>
    <w:rsid w:val="37CF580A"/>
    <w:rsid w:val="37EE7094"/>
    <w:rsid w:val="37EF1A09"/>
    <w:rsid w:val="380D2735"/>
    <w:rsid w:val="380F20AB"/>
    <w:rsid w:val="38251997"/>
    <w:rsid w:val="38296C89"/>
    <w:rsid w:val="383002EB"/>
    <w:rsid w:val="385373AF"/>
    <w:rsid w:val="38586797"/>
    <w:rsid w:val="385D15DF"/>
    <w:rsid w:val="387E2D8D"/>
    <w:rsid w:val="38A01F72"/>
    <w:rsid w:val="38AC78FA"/>
    <w:rsid w:val="38BC0149"/>
    <w:rsid w:val="38C04328"/>
    <w:rsid w:val="38CC7CCD"/>
    <w:rsid w:val="38D87D1C"/>
    <w:rsid w:val="38E17D08"/>
    <w:rsid w:val="38FD0499"/>
    <w:rsid w:val="38FE7A29"/>
    <w:rsid w:val="394B77AC"/>
    <w:rsid w:val="39555F8E"/>
    <w:rsid w:val="39636459"/>
    <w:rsid w:val="396B7F6C"/>
    <w:rsid w:val="39706B79"/>
    <w:rsid w:val="3980268B"/>
    <w:rsid w:val="39B263C8"/>
    <w:rsid w:val="39B417A9"/>
    <w:rsid w:val="39C62C3D"/>
    <w:rsid w:val="39F279C8"/>
    <w:rsid w:val="39F60B9B"/>
    <w:rsid w:val="39FC5695"/>
    <w:rsid w:val="3A006D8E"/>
    <w:rsid w:val="3A14252C"/>
    <w:rsid w:val="3A1E0667"/>
    <w:rsid w:val="3A3651E5"/>
    <w:rsid w:val="3A4B6C9E"/>
    <w:rsid w:val="3A6B3438"/>
    <w:rsid w:val="3A744481"/>
    <w:rsid w:val="3A8C5CE4"/>
    <w:rsid w:val="3A8C7BEF"/>
    <w:rsid w:val="3A906246"/>
    <w:rsid w:val="3AA27206"/>
    <w:rsid w:val="3B1C22BD"/>
    <w:rsid w:val="3B2349B7"/>
    <w:rsid w:val="3B266A1C"/>
    <w:rsid w:val="3B5B5607"/>
    <w:rsid w:val="3B60677A"/>
    <w:rsid w:val="3B616CFF"/>
    <w:rsid w:val="3B6259F6"/>
    <w:rsid w:val="3B976654"/>
    <w:rsid w:val="3BC01EFC"/>
    <w:rsid w:val="3BCA786A"/>
    <w:rsid w:val="3BCE740A"/>
    <w:rsid w:val="3BD31E2F"/>
    <w:rsid w:val="3BD41F3D"/>
    <w:rsid w:val="3BE75ACE"/>
    <w:rsid w:val="3BF15831"/>
    <w:rsid w:val="3C09008A"/>
    <w:rsid w:val="3C0E61D6"/>
    <w:rsid w:val="3C105946"/>
    <w:rsid w:val="3C255BE7"/>
    <w:rsid w:val="3C261771"/>
    <w:rsid w:val="3C471448"/>
    <w:rsid w:val="3C5F759A"/>
    <w:rsid w:val="3C6C525A"/>
    <w:rsid w:val="3C97225D"/>
    <w:rsid w:val="3C9C5ED7"/>
    <w:rsid w:val="3CC01BC6"/>
    <w:rsid w:val="3CCE23CB"/>
    <w:rsid w:val="3CD17D17"/>
    <w:rsid w:val="3CF03B2D"/>
    <w:rsid w:val="3CF647B9"/>
    <w:rsid w:val="3D066478"/>
    <w:rsid w:val="3D384C7A"/>
    <w:rsid w:val="3D3B56F0"/>
    <w:rsid w:val="3D3C7F39"/>
    <w:rsid w:val="3D440F09"/>
    <w:rsid w:val="3D4504A0"/>
    <w:rsid w:val="3D5F6B21"/>
    <w:rsid w:val="3D6E6391"/>
    <w:rsid w:val="3D8734BB"/>
    <w:rsid w:val="3D9902F3"/>
    <w:rsid w:val="3D9A11D4"/>
    <w:rsid w:val="3DA16D89"/>
    <w:rsid w:val="3DA364BE"/>
    <w:rsid w:val="3DA91E2A"/>
    <w:rsid w:val="3DE041CB"/>
    <w:rsid w:val="3DF26781"/>
    <w:rsid w:val="3E0D48F6"/>
    <w:rsid w:val="3E1868B4"/>
    <w:rsid w:val="3E2E064A"/>
    <w:rsid w:val="3E367B2B"/>
    <w:rsid w:val="3E377251"/>
    <w:rsid w:val="3E38578C"/>
    <w:rsid w:val="3E421F1A"/>
    <w:rsid w:val="3E42664B"/>
    <w:rsid w:val="3E5A7334"/>
    <w:rsid w:val="3E665081"/>
    <w:rsid w:val="3E744BC7"/>
    <w:rsid w:val="3E7720F3"/>
    <w:rsid w:val="3E7B5D6B"/>
    <w:rsid w:val="3E800582"/>
    <w:rsid w:val="3E843E66"/>
    <w:rsid w:val="3E852940"/>
    <w:rsid w:val="3E8F51FE"/>
    <w:rsid w:val="3E926F87"/>
    <w:rsid w:val="3E9A59DE"/>
    <w:rsid w:val="3EA6485A"/>
    <w:rsid w:val="3EAD0503"/>
    <w:rsid w:val="3EAF4836"/>
    <w:rsid w:val="3EBB76E9"/>
    <w:rsid w:val="3EC33DFA"/>
    <w:rsid w:val="3EDB6D7D"/>
    <w:rsid w:val="3EE576C2"/>
    <w:rsid w:val="3EE946F5"/>
    <w:rsid w:val="3EEB5665"/>
    <w:rsid w:val="3EED6041"/>
    <w:rsid w:val="3EEE6411"/>
    <w:rsid w:val="3F060E16"/>
    <w:rsid w:val="3F1D1096"/>
    <w:rsid w:val="3F2F0234"/>
    <w:rsid w:val="3F3B19D7"/>
    <w:rsid w:val="3F6363FE"/>
    <w:rsid w:val="3F72393E"/>
    <w:rsid w:val="3F756B8F"/>
    <w:rsid w:val="3F95482B"/>
    <w:rsid w:val="3FE74635"/>
    <w:rsid w:val="3FF81180"/>
    <w:rsid w:val="3FF86C89"/>
    <w:rsid w:val="400D010B"/>
    <w:rsid w:val="400E0F9A"/>
    <w:rsid w:val="4019356B"/>
    <w:rsid w:val="40234380"/>
    <w:rsid w:val="402C0B3B"/>
    <w:rsid w:val="40353AA6"/>
    <w:rsid w:val="403E6DF1"/>
    <w:rsid w:val="40582B17"/>
    <w:rsid w:val="40592157"/>
    <w:rsid w:val="406E1CAE"/>
    <w:rsid w:val="409C7B23"/>
    <w:rsid w:val="40A0133A"/>
    <w:rsid w:val="40A84E4B"/>
    <w:rsid w:val="40AC0BA9"/>
    <w:rsid w:val="40C31A53"/>
    <w:rsid w:val="40D916DC"/>
    <w:rsid w:val="40DF1C9F"/>
    <w:rsid w:val="40ED0AAF"/>
    <w:rsid w:val="40FF545D"/>
    <w:rsid w:val="410067C8"/>
    <w:rsid w:val="41384420"/>
    <w:rsid w:val="41391F47"/>
    <w:rsid w:val="413E3B11"/>
    <w:rsid w:val="41693699"/>
    <w:rsid w:val="417B0CA4"/>
    <w:rsid w:val="417C5ABA"/>
    <w:rsid w:val="418B713B"/>
    <w:rsid w:val="418F0D2A"/>
    <w:rsid w:val="41A35612"/>
    <w:rsid w:val="41A53138"/>
    <w:rsid w:val="41B617E9"/>
    <w:rsid w:val="41BD747A"/>
    <w:rsid w:val="41C52353"/>
    <w:rsid w:val="41D01505"/>
    <w:rsid w:val="41EA4FEF"/>
    <w:rsid w:val="421E3EFC"/>
    <w:rsid w:val="42383E55"/>
    <w:rsid w:val="42474939"/>
    <w:rsid w:val="424C3C57"/>
    <w:rsid w:val="42613FF3"/>
    <w:rsid w:val="42660D96"/>
    <w:rsid w:val="42733236"/>
    <w:rsid w:val="428667D2"/>
    <w:rsid w:val="42CB766D"/>
    <w:rsid w:val="42CD1CE0"/>
    <w:rsid w:val="42D208FA"/>
    <w:rsid w:val="42DE0A28"/>
    <w:rsid w:val="42E1381E"/>
    <w:rsid w:val="42E13849"/>
    <w:rsid w:val="42ED6459"/>
    <w:rsid w:val="42FE58DD"/>
    <w:rsid w:val="430828BF"/>
    <w:rsid w:val="430F7403"/>
    <w:rsid w:val="43174B3D"/>
    <w:rsid w:val="43401821"/>
    <w:rsid w:val="434B790E"/>
    <w:rsid w:val="4360274F"/>
    <w:rsid w:val="43657023"/>
    <w:rsid w:val="436A53CA"/>
    <w:rsid w:val="4383177A"/>
    <w:rsid w:val="43977AB6"/>
    <w:rsid w:val="43A3342B"/>
    <w:rsid w:val="43BB30E7"/>
    <w:rsid w:val="43BE56FA"/>
    <w:rsid w:val="43C77C27"/>
    <w:rsid w:val="43D639BD"/>
    <w:rsid w:val="43DE09EE"/>
    <w:rsid w:val="43E65C0C"/>
    <w:rsid w:val="43E758B2"/>
    <w:rsid w:val="44002FAD"/>
    <w:rsid w:val="44474412"/>
    <w:rsid w:val="448B5125"/>
    <w:rsid w:val="449101DD"/>
    <w:rsid w:val="44986F84"/>
    <w:rsid w:val="44A61C97"/>
    <w:rsid w:val="44AF4BBA"/>
    <w:rsid w:val="44D836DF"/>
    <w:rsid w:val="44DC3DAF"/>
    <w:rsid w:val="44DE1391"/>
    <w:rsid w:val="44F9110D"/>
    <w:rsid w:val="451B225C"/>
    <w:rsid w:val="452410C9"/>
    <w:rsid w:val="452B429C"/>
    <w:rsid w:val="45317DFB"/>
    <w:rsid w:val="456D3CE4"/>
    <w:rsid w:val="45723ADA"/>
    <w:rsid w:val="4579042C"/>
    <w:rsid w:val="457F0571"/>
    <w:rsid w:val="45851176"/>
    <w:rsid w:val="4585575A"/>
    <w:rsid w:val="45BA06EF"/>
    <w:rsid w:val="45C63B94"/>
    <w:rsid w:val="45F778D3"/>
    <w:rsid w:val="45FF11DB"/>
    <w:rsid w:val="460A2D4E"/>
    <w:rsid w:val="460E7DA5"/>
    <w:rsid w:val="461801CE"/>
    <w:rsid w:val="46345F7C"/>
    <w:rsid w:val="46422483"/>
    <w:rsid w:val="46454953"/>
    <w:rsid w:val="4659254A"/>
    <w:rsid w:val="465B0637"/>
    <w:rsid w:val="465E3F0D"/>
    <w:rsid w:val="466A16E6"/>
    <w:rsid w:val="466E6ED7"/>
    <w:rsid w:val="46780E1B"/>
    <w:rsid w:val="46826C09"/>
    <w:rsid w:val="46893F2B"/>
    <w:rsid w:val="46AC4F69"/>
    <w:rsid w:val="46AF182F"/>
    <w:rsid w:val="46BC33FE"/>
    <w:rsid w:val="46C4686E"/>
    <w:rsid w:val="46CD560B"/>
    <w:rsid w:val="46DE0C49"/>
    <w:rsid w:val="46EA7DE1"/>
    <w:rsid w:val="46FC37FA"/>
    <w:rsid w:val="47060B1D"/>
    <w:rsid w:val="471C3BAA"/>
    <w:rsid w:val="47280A93"/>
    <w:rsid w:val="4743523B"/>
    <w:rsid w:val="47645ACA"/>
    <w:rsid w:val="47717B3F"/>
    <w:rsid w:val="477B778F"/>
    <w:rsid w:val="477C493B"/>
    <w:rsid w:val="47814868"/>
    <w:rsid w:val="478203EC"/>
    <w:rsid w:val="47B025FA"/>
    <w:rsid w:val="47D1458C"/>
    <w:rsid w:val="4809698F"/>
    <w:rsid w:val="4811697D"/>
    <w:rsid w:val="48315726"/>
    <w:rsid w:val="483C6D09"/>
    <w:rsid w:val="48497FAC"/>
    <w:rsid w:val="487A3E25"/>
    <w:rsid w:val="487F7124"/>
    <w:rsid w:val="488022AC"/>
    <w:rsid w:val="488B5503"/>
    <w:rsid w:val="48920E74"/>
    <w:rsid w:val="48937E21"/>
    <w:rsid w:val="489A0361"/>
    <w:rsid w:val="48B94FF3"/>
    <w:rsid w:val="48D771FB"/>
    <w:rsid w:val="48DA400F"/>
    <w:rsid w:val="48DD7331"/>
    <w:rsid w:val="48E37AAB"/>
    <w:rsid w:val="48FD4B4C"/>
    <w:rsid w:val="490A68E0"/>
    <w:rsid w:val="491055FE"/>
    <w:rsid w:val="495F5B3E"/>
    <w:rsid w:val="496D45F2"/>
    <w:rsid w:val="496F77D7"/>
    <w:rsid w:val="497654FD"/>
    <w:rsid w:val="498019BD"/>
    <w:rsid w:val="49B64211"/>
    <w:rsid w:val="49C03205"/>
    <w:rsid w:val="49EC0ADD"/>
    <w:rsid w:val="49F6167F"/>
    <w:rsid w:val="4A064FA0"/>
    <w:rsid w:val="4A16615C"/>
    <w:rsid w:val="4A370CCC"/>
    <w:rsid w:val="4A4424D7"/>
    <w:rsid w:val="4A5F4890"/>
    <w:rsid w:val="4A6718D3"/>
    <w:rsid w:val="4AB82D0F"/>
    <w:rsid w:val="4AEB7664"/>
    <w:rsid w:val="4AEC1C9E"/>
    <w:rsid w:val="4AFD7C19"/>
    <w:rsid w:val="4B0567D1"/>
    <w:rsid w:val="4B09298A"/>
    <w:rsid w:val="4B182BCD"/>
    <w:rsid w:val="4B1D01E3"/>
    <w:rsid w:val="4B236AAE"/>
    <w:rsid w:val="4B707271"/>
    <w:rsid w:val="4B771FE9"/>
    <w:rsid w:val="4B9739F7"/>
    <w:rsid w:val="4BA16D51"/>
    <w:rsid w:val="4BBA6964"/>
    <w:rsid w:val="4BE558F8"/>
    <w:rsid w:val="4BE62CCB"/>
    <w:rsid w:val="4BEE2503"/>
    <w:rsid w:val="4C245A30"/>
    <w:rsid w:val="4C295851"/>
    <w:rsid w:val="4C4F0870"/>
    <w:rsid w:val="4C6360CA"/>
    <w:rsid w:val="4C6A2D93"/>
    <w:rsid w:val="4C7B6C84"/>
    <w:rsid w:val="4C7D7706"/>
    <w:rsid w:val="4C87271B"/>
    <w:rsid w:val="4C8E4C41"/>
    <w:rsid w:val="4C8F39C7"/>
    <w:rsid w:val="4C940979"/>
    <w:rsid w:val="4CB61B48"/>
    <w:rsid w:val="4CB6685F"/>
    <w:rsid w:val="4CC367FE"/>
    <w:rsid w:val="4CE17569"/>
    <w:rsid w:val="4CE26857"/>
    <w:rsid w:val="4CE27936"/>
    <w:rsid w:val="4CE46B2E"/>
    <w:rsid w:val="4D077F3C"/>
    <w:rsid w:val="4D0C6761"/>
    <w:rsid w:val="4D123355"/>
    <w:rsid w:val="4D1639B1"/>
    <w:rsid w:val="4D2A3B31"/>
    <w:rsid w:val="4D312C52"/>
    <w:rsid w:val="4D4C506C"/>
    <w:rsid w:val="4D6D5452"/>
    <w:rsid w:val="4D872151"/>
    <w:rsid w:val="4D87534F"/>
    <w:rsid w:val="4D8C33FE"/>
    <w:rsid w:val="4D905305"/>
    <w:rsid w:val="4D964A72"/>
    <w:rsid w:val="4D992B4B"/>
    <w:rsid w:val="4D9C1254"/>
    <w:rsid w:val="4DA047FA"/>
    <w:rsid w:val="4DB10DD3"/>
    <w:rsid w:val="4DC34CC0"/>
    <w:rsid w:val="4DEE6E26"/>
    <w:rsid w:val="4DF461E9"/>
    <w:rsid w:val="4E0F65F6"/>
    <w:rsid w:val="4E13385C"/>
    <w:rsid w:val="4E1E0531"/>
    <w:rsid w:val="4E3B42D2"/>
    <w:rsid w:val="4E793892"/>
    <w:rsid w:val="4E800872"/>
    <w:rsid w:val="4EB42276"/>
    <w:rsid w:val="4EB62E28"/>
    <w:rsid w:val="4EBE3A8B"/>
    <w:rsid w:val="4EC569ED"/>
    <w:rsid w:val="4ED50EA1"/>
    <w:rsid w:val="4EEC050C"/>
    <w:rsid w:val="4F104EC3"/>
    <w:rsid w:val="4F2416E3"/>
    <w:rsid w:val="4F277882"/>
    <w:rsid w:val="4F423034"/>
    <w:rsid w:val="4F47354A"/>
    <w:rsid w:val="4F7F68C7"/>
    <w:rsid w:val="4F911C54"/>
    <w:rsid w:val="4FC83B4F"/>
    <w:rsid w:val="4FDC5FC3"/>
    <w:rsid w:val="4FE625E0"/>
    <w:rsid w:val="4FF736F9"/>
    <w:rsid w:val="501716A5"/>
    <w:rsid w:val="501C0736"/>
    <w:rsid w:val="501C796A"/>
    <w:rsid w:val="5021480F"/>
    <w:rsid w:val="502D2C76"/>
    <w:rsid w:val="50361381"/>
    <w:rsid w:val="503D071F"/>
    <w:rsid w:val="503F0BFC"/>
    <w:rsid w:val="50493828"/>
    <w:rsid w:val="505F0FDC"/>
    <w:rsid w:val="50856A77"/>
    <w:rsid w:val="50962ECB"/>
    <w:rsid w:val="509C4C8B"/>
    <w:rsid w:val="509D1A2B"/>
    <w:rsid w:val="509F443B"/>
    <w:rsid w:val="50A42E38"/>
    <w:rsid w:val="50A4577F"/>
    <w:rsid w:val="50B405F9"/>
    <w:rsid w:val="50B415EA"/>
    <w:rsid w:val="50B73D1F"/>
    <w:rsid w:val="50BD5BC9"/>
    <w:rsid w:val="50BE7671"/>
    <w:rsid w:val="50C11EEE"/>
    <w:rsid w:val="50C6560A"/>
    <w:rsid w:val="50E70472"/>
    <w:rsid w:val="50E97CFC"/>
    <w:rsid w:val="50F1639A"/>
    <w:rsid w:val="50FA4028"/>
    <w:rsid w:val="50FE0AB7"/>
    <w:rsid w:val="510D65B7"/>
    <w:rsid w:val="511157AB"/>
    <w:rsid w:val="514069D9"/>
    <w:rsid w:val="5142540C"/>
    <w:rsid w:val="51620350"/>
    <w:rsid w:val="51644DBE"/>
    <w:rsid w:val="51711289"/>
    <w:rsid w:val="517A5731"/>
    <w:rsid w:val="518832C8"/>
    <w:rsid w:val="51926C40"/>
    <w:rsid w:val="51945803"/>
    <w:rsid w:val="51980BB2"/>
    <w:rsid w:val="519D3C50"/>
    <w:rsid w:val="51A0432A"/>
    <w:rsid w:val="51A86090"/>
    <w:rsid w:val="51B7396D"/>
    <w:rsid w:val="52263E21"/>
    <w:rsid w:val="522A1187"/>
    <w:rsid w:val="522E4CC3"/>
    <w:rsid w:val="5234518C"/>
    <w:rsid w:val="523C53F3"/>
    <w:rsid w:val="5244713B"/>
    <w:rsid w:val="525768A4"/>
    <w:rsid w:val="525C7843"/>
    <w:rsid w:val="52615633"/>
    <w:rsid w:val="52675D5E"/>
    <w:rsid w:val="526F4DE4"/>
    <w:rsid w:val="527728CF"/>
    <w:rsid w:val="52911BE2"/>
    <w:rsid w:val="52977FD4"/>
    <w:rsid w:val="529D0E34"/>
    <w:rsid w:val="52A25790"/>
    <w:rsid w:val="52A96B6F"/>
    <w:rsid w:val="52B45975"/>
    <w:rsid w:val="52CA1B96"/>
    <w:rsid w:val="52D94AA4"/>
    <w:rsid w:val="52EA3A62"/>
    <w:rsid w:val="52F50BB8"/>
    <w:rsid w:val="53097272"/>
    <w:rsid w:val="53191BD8"/>
    <w:rsid w:val="532707B4"/>
    <w:rsid w:val="534B3E88"/>
    <w:rsid w:val="53544462"/>
    <w:rsid w:val="538D45EC"/>
    <w:rsid w:val="5397158E"/>
    <w:rsid w:val="53993DEB"/>
    <w:rsid w:val="53A07E2B"/>
    <w:rsid w:val="53BF452D"/>
    <w:rsid w:val="53C0391E"/>
    <w:rsid w:val="53D55AFF"/>
    <w:rsid w:val="53F561A1"/>
    <w:rsid w:val="54013861"/>
    <w:rsid w:val="54375430"/>
    <w:rsid w:val="54487265"/>
    <w:rsid w:val="544D6070"/>
    <w:rsid w:val="54605E1E"/>
    <w:rsid w:val="546B498A"/>
    <w:rsid w:val="5480281E"/>
    <w:rsid w:val="54AB56D0"/>
    <w:rsid w:val="54B3506A"/>
    <w:rsid w:val="54C833B7"/>
    <w:rsid w:val="54CA0D16"/>
    <w:rsid w:val="54CC5154"/>
    <w:rsid w:val="54DD4057"/>
    <w:rsid w:val="54E7490F"/>
    <w:rsid w:val="550764A4"/>
    <w:rsid w:val="550B2BF6"/>
    <w:rsid w:val="551A685B"/>
    <w:rsid w:val="551C775D"/>
    <w:rsid w:val="55214EB5"/>
    <w:rsid w:val="553377F5"/>
    <w:rsid w:val="55364EFD"/>
    <w:rsid w:val="555337B0"/>
    <w:rsid w:val="555D4828"/>
    <w:rsid w:val="557A0749"/>
    <w:rsid w:val="557A4C8B"/>
    <w:rsid w:val="55886BA1"/>
    <w:rsid w:val="558931E1"/>
    <w:rsid w:val="55923347"/>
    <w:rsid w:val="55925180"/>
    <w:rsid w:val="55983B1B"/>
    <w:rsid w:val="55A8376B"/>
    <w:rsid w:val="55DC29B6"/>
    <w:rsid w:val="55DD4241"/>
    <w:rsid w:val="55E276DA"/>
    <w:rsid w:val="55F73DD4"/>
    <w:rsid w:val="560F4F39"/>
    <w:rsid w:val="5632768A"/>
    <w:rsid w:val="56487BCA"/>
    <w:rsid w:val="564F3968"/>
    <w:rsid w:val="565C5AA9"/>
    <w:rsid w:val="56616827"/>
    <w:rsid w:val="566B6D1E"/>
    <w:rsid w:val="568455BA"/>
    <w:rsid w:val="568702DB"/>
    <w:rsid w:val="56A2193A"/>
    <w:rsid w:val="56BD6237"/>
    <w:rsid w:val="56BF36D8"/>
    <w:rsid w:val="56E66275"/>
    <w:rsid w:val="57032A2C"/>
    <w:rsid w:val="5705494D"/>
    <w:rsid w:val="570F5219"/>
    <w:rsid w:val="57136C40"/>
    <w:rsid w:val="57337211"/>
    <w:rsid w:val="575D12B5"/>
    <w:rsid w:val="57610A87"/>
    <w:rsid w:val="576862D5"/>
    <w:rsid w:val="57695284"/>
    <w:rsid w:val="57783371"/>
    <w:rsid w:val="577B1140"/>
    <w:rsid w:val="577B7F21"/>
    <w:rsid w:val="577F181B"/>
    <w:rsid w:val="57921984"/>
    <w:rsid w:val="579737F0"/>
    <w:rsid w:val="57982C27"/>
    <w:rsid w:val="579932E7"/>
    <w:rsid w:val="57AB7B30"/>
    <w:rsid w:val="57AF5251"/>
    <w:rsid w:val="57B26373"/>
    <w:rsid w:val="57B60A02"/>
    <w:rsid w:val="57B63F04"/>
    <w:rsid w:val="57CD20C2"/>
    <w:rsid w:val="57D675AB"/>
    <w:rsid w:val="57D73717"/>
    <w:rsid w:val="57D95FDD"/>
    <w:rsid w:val="57FF48DC"/>
    <w:rsid w:val="580F7106"/>
    <w:rsid w:val="58226260"/>
    <w:rsid w:val="583077A8"/>
    <w:rsid w:val="5837110E"/>
    <w:rsid w:val="58514199"/>
    <w:rsid w:val="587324F6"/>
    <w:rsid w:val="587358E6"/>
    <w:rsid w:val="58847591"/>
    <w:rsid w:val="588751FD"/>
    <w:rsid w:val="58917D2F"/>
    <w:rsid w:val="5894085C"/>
    <w:rsid w:val="589B34B2"/>
    <w:rsid w:val="58AE4F0C"/>
    <w:rsid w:val="58B85899"/>
    <w:rsid w:val="58C26FB9"/>
    <w:rsid w:val="58D97E3F"/>
    <w:rsid w:val="58DFB7BE"/>
    <w:rsid w:val="58E2735A"/>
    <w:rsid w:val="58E351BA"/>
    <w:rsid w:val="58E363A9"/>
    <w:rsid w:val="590F5769"/>
    <w:rsid w:val="59166304"/>
    <w:rsid w:val="591F52DC"/>
    <w:rsid w:val="595E1678"/>
    <w:rsid w:val="596D5BD4"/>
    <w:rsid w:val="59750523"/>
    <w:rsid w:val="59756D76"/>
    <w:rsid w:val="597610C2"/>
    <w:rsid w:val="597E3DD8"/>
    <w:rsid w:val="59975605"/>
    <w:rsid w:val="59DA4BE8"/>
    <w:rsid w:val="59DC6549"/>
    <w:rsid w:val="59DE4FE1"/>
    <w:rsid w:val="59F80043"/>
    <w:rsid w:val="5A09252F"/>
    <w:rsid w:val="5A0B2778"/>
    <w:rsid w:val="5A144CFE"/>
    <w:rsid w:val="5A2A7C7B"/>
    <w:rsid w:val="5A324732"/>
    <w:rsid w:val="5A3E2560"/>
    <w:rsid w:val="5A53777D"/>
    <w:rsid w:val="5A5415CC"/>
    <w:rsid w:val="5A5D3B6E"/>
    <w:rsid w:val="5A634CDE"/>
    <w:rsid w:val="5A637A76"/>
    <w:rsid w:val="5A6D33BA"/>
    <w:rsid w:val="5A6F4AB9"/>
    <w:rsid w:val="5A792B1F"/>
    <w:rsid w:val="5A7E70E6"/>
    <w:rsid w:val="5A874767"/>
    <w:rsid w:val="5AA85BE2"/>
    <w:rsid w:val="5AAD6F28"/>
    <w:rsid w:val="5AAF6DFC"/>
    <w:rsid w:val="5AB741B0"/>
    <w:rsid w:val="5AC11CB6"/>
    <w:rsid w:val="5AD23FCE"/>
    <w:rsid w:val="5AD63A24"/>
    <w:rsid w:val="5AF310B4"/>
    <w:rsid w:val="5B2116D9"/>
    <w:rsid w:val="5B2E1A1D"/>
    <w:rsid w:val="5B386973"/>
    <w:rsid w:val="5B3F4CBF"/>
    <w:rsid w:val="5B4B3510"/>
    <w:rsid w:val="5B4C27FD"/>
    <w:rsid w:val="5B843A1C"/>
    <w:rsid w:val="5B873E3F"/>
    <w:rsid w:val="5B90055D"/>
    <w:rsid w:val="5C0004B4"/>
    <w:rsid w:val="5C02690E"/>
    <w:rsid w:val="5C1271C4"/>
    <w:rsid w:val="5C196DA7"/>
    <w:rsid w:val="5C2A048C"/>
    <w:rsid w:val="5C7F0CFE"/>
    <w:rsid w:val="5C80234E"/>
    <w:rsid w:val="5C8A680C"/>
    <w:rsid w:val="5C8D1BE7"/>
    <w:rsid w:val="5C9F03FC"/>
    <w:rsid w:val="5CB07DD9"/>
    <w:rsid w:val="5CF26D5D"/>
    <w:rsid w:val="5CFB2822"/>
    <w:rsid w:val="5D0C4701"/>
    <w:rsid w:val="5D0F0395"/>
    <w:rsid w:val="5D1340B8"/>
    <w:rsid w:val="5D221076"/>
    <w:rsid w:val="5D296EBB"/>
    <w:rsid w:val="5D384E12"/>
    <w:rsid w:val="5D397964"/>
    <w:rsid w:val="5D3B58B9"/>
    <w:rsid w:val="5D5A391C"/>
    <w:rsid w:val="5D5F10C0"/>
    <w:rsid w:val="5D7134BD"/>
    <w:rsid w:val="5D852344"/>
    <w:rsid w:val="5D891B7B"/>
    <w:rsid w:val="5DAD38EE"/>
    <w:rsid w:val="5DBD2A96"/>
    <w:rsid w:val="5DC505E5"/>
    <w:rsid w:val="5DD72166"/>
    <w:rsid w:val="5E006862"/>
    <w:rsid w:val="5E0207B9"/>
    <w:rsid w:val="5E1808D9"/>
    <w:rsid w:val="5E1834A1"/>
    <w:rsid w:val="5E227B93"/>
    <w:rsid w:val="5E261785"/>
    <w:rsid w:val="5E337FF2"/>
    <w:rsid w:val="5E415A77"/>
    <w:rsid w:val="5E4A7017"/>
    <w:rsid w:val="5E552BBA"/>
    <w:rsid w:val="5E611C10"/>
    <w:rsid w:val="5E7A0F3F"/>
    <w:rsid w:val="5EB57407"/>
    <w:rsid w:val="5EFC7377"/>
    <w:rsid w:val="5F003B12"/>
    <w:rsid w:val="5F06174D"/>
    <w:rsid w:val="5F192F04"/>
    <w:rsid w:val="5F247292"/>
    <w:rsid w:val="5F286F77"/>
    <w:rsid w:val="5F37766E"/>
    <w:rsid w:val="5F3A3602"/>
    <w:rsid w:val="5F3D3EB1"/>
    <w:rsid w:val="5F45733B"/>
    <w:rsid w:val="5F6277C6"/>
    <w:rsid w:val="5F6D0B1D"/>
    <w:rsid w:val="5F773417"/>
    <w:rsid w:val="5F8A3F77"/>
    <w:rsid w:val="5F8D0B82"/>
    <w:rsid w:val="5FA42567"/>
    <w:rsid w:val="5FC02406"/>
    <w:rsid w:val="5FCC5339"/>
    <w:rsid w:val="5FE34A5B"/>
    <w:rsid w:val="5FFA7CE2"/>
    <w:rsid w:val="5FFE1E36"/>
    <w:rsid w:val="600A4D82"/>
    <w:rsid w:val="600C654D"/>
    <w:rsid w:val="60114DD6"/>
    <w:rsid w:val="60206DA2"/>
    <w:rsid w:val="60232584"/>
    <w:rsid w:val="602C60B6"/>
    <w:rsid w:val="60401F8B"/>
    <w:rsid w:val="604A1623"/>
    <w:rsid w:val="605D7816"/>
    <w:rsid w:val="605E50CE"/>
    <w:rsid w:val="605E77BD"/>
    <w:rsid w:val="6065645C"/>
    <w:rsid w:val="607330CE"/>
    <w:rsid w:val="607B5C80"/>
    <w:rsid w:val="60825176"/>
    <w:rsid w:val="609F2AC4"/>
    <w:rsid w:val="60A32AE1"/>
    <w:rsid w:val="60A54FD3"/>
    <w:rsid w:val="60C05441"/>
    <w:rsid w:val="60D80176"/>
    <w:rsid w:val="60E76E71"/>
    <w:rsid w:val="60F31CBA"/>
    <w:rsid w:val="60FA2EE8"/>
    <w:rsid w:val="61054A27"/>
    <w:rsid w:val="610A52BC"/>
    <w:rsid w:val="611D2366"/>
    <w:rsid w:val="6121125D"/>
    <w:rsid w:val="61330309"/>
    <w:rsid w:val="6138071B"/>
    <w:rsid w:val="61421856"/>
    <w:rsid w:val="615207C8"/>
    <w:rsid w:val="615227C4"/>
    <w:rsid w:val="61654E3F"/>
    <w:rsid w:val="617410CB"/>
    <w:rsid w:val="6182292A"/>
    <w:rsid w:val="618C17C7"/>
    <w:rsid w:val="61942060"/>
    <w:rsid w:val="619F7F92"/>
    <w:rsid w:val="61B37CD9"/>
    <w:rsid w:val="61B72CE8"/>
    <w:rsid w:val="61F94C26"/>
    <w:rsid w:val="62000E56"/>
    <w:rsid w:val="620E40BA"/>
    <w:rsid w:val="6213563A"/>
    <w:rsid w:val="622240E6"/>
    <w:rsid w:val="62282C9B"/>
    <w:rsid w:val="623A0EAA"/>
    <w:rsid w:val="6249085B"/>
    <w:rsid w:val="624F3E49"/>
    <w:rsid w:val="62632286"/>
    <w:rsid w:val="62885958"/>
    <w:rsid w:val="629F6831"/>
    <w:rsid w:val="62AE3B94"/>
    <w:rsid w:val="62DB3DBE"/>
    <w:rsid w:val="62DB47B4"/>
    <w:rsid w:val="62E70783"/>
    <w:rsid w:val="62F40B65"/>
    <w:rsid w:val="62FC2CFE"/>
    <w:rsid w:val="630040E0"/>
    <w:rsid w:val="63024505"/>
    <w:rsid w:val="63027A37"/>
    <w:rsid w:val="630628CB"/>
    <w:rsid w:val="6343709C"/>
    <w:rsid w:val="635600A5"/>
    <w:rsid w:val="635B1DB5"/>
    <w:rsid w:val="63652B9B"/>
    <w:rsid w:val="63711FED"/>
    <w:rsid w:val="63747ED3"/>
    <w:rsid w:val="63755A13"/>
    <w:rsid w:val="63880DDC"/>
    <w:rsid w:val="638D750D"/>
    <w:rsid w:val="63AC6CC0"/>
    <w:rsid w:val="63B07EEF"/>
    <w:rsid w:val="63BA10DD"/>
    <w:rsid w:val="63DD0B1A"/>
    <w:rsid w:val="63E43B3C"/>
    <w:rsid w:val="63E902B0"/>
    <w:rsid w:val="63ED479F"/>
    <w:rsid w:val="63ED595E"/>
    <w:rsid w:val="64055776"/>
    <w:rsid w:val="64240056"/>
    <w:rsid w:val="642F26E9"/>
    <w:rsid w:val="643E143A"/>
    <w:rsid w:val="64491666"/>
    <w:rsid w:val="64495FE5"/>
    <w:rsid w:val="647D5D78"/>
    <w:rsid w:val="648B6EEF"/>
    <w:rsid w:val="648E281E"/>
    <w:rsid w:val="64C158BF"/>
    <w:rsid w:val="64CE2EAA"/>
    <w:rsid w:val="64E35BA2"/>
    <w:rsid w:val="64EF325A"/>
    <w:rsid w:val="64F90675"/>
    <w:rsid w:val="65202952"/>
    <w:rsid w:val="6534606B"/>
    <w:rsid w:val="653C3090"/>
    <w:rsid w:val="65417171"/>
    <w:rsid w:val="65854376"/>
    <w:rsid w:val="658767BE"/>
    <w:rsid w:val="65892531"/>
    <w:rsid w:val="65901886"/>
    <w:rsid w:val="65995BCE"/>
    <w:rsid w:val="659D6878"/>
    <w:rsid w:val="65A44FD7"/>
    <w:rsid w:val="65AC59B4"/>
    <w:rsid w:val="65D606DA"/>
    <w:rsid w:val="66195831"/>
    <w:rsid w:val="661C2A8A"/>
    <w:rsid w:val="661D1A42"/>
    <w:rsid w:val="661F70AE"/>
    <w:rsid w:val="66286A3B"/>
    <w:rsid w:val="662E75B1"/>
    <w:rsid w:val="66342C2E"/>
    <w:rsid w:val="663E784C"/>
    <w:rsid w:val="663F4950"/>
    <w:rsid w:val="668B6A45"/>
    <w:rsid w:val="668F4233"/>
    <w:rsid w:val="66C814F3"/>
    <w:rsid w:val="66D11CD5"/>
    <w:rsid w:val="66D24120"/>
    <w:rsid w:val="66EF1F08"/>
    <w:rsid w:val="671140AF"/>
    <w:rsid w:val="672F3F24"/>
    <w:rsid w:val="67311C4A"/>
    <w:rsid w:val="673E055F"/>
    <w:rsid w:val="673E6C62"/>
    <w:rsid w:val="67551CE3"/>
    <w:rsid w:val="676236F6"/>
    <w:rsid w:val="67721CDD"/>
    <w:rsid w:val="67780F59"/>
    <w:rsid w:val="67A22552"/>
    <w:rsid w:val="67B22DCC"/>
    <w:rsid w:val="67BE7144"/>
    <w:rsid w:val="67BE71AA"/>
    <w:rsid w:val="67D85D3D"/>
    <w:rsid w:val="67D90273"/>
    <w:rsid w:val="67DE5875"/>
    <w:rsid w:val="67E5244D"/>
    <w:rsid w:val="67E55852"/>
    <w:rsid w:val="67EB1AB4"/>
    <w:rsid w:val="67FA1285"/>
    <w:rsid w:val="680E73DA"/>
    <w:rsid w:val="684150B9"/>
    <w:rsid w:val="68551F4F"/>
    <w:rsid w:val="68574602"/>
    <w:rsid w:val="68690E91"/>
    <w:rsid w:val="687C10C9"/>
    <w:rsid w:val="68840C16"/>
    <w:rsid w:val="68876EFB"/>
    <w:rsid w:val="68884654"/>
    <w:rsid w:val="689B6EBF"/>
    <w:rsid w:val="689F444F"/>
    <w:rsid w:val="68A33FC6"/>
    <w:rsid w:val="68B16022"/>
    <w:rsid w:val="68B82B11"/>
    <w:rsid w:val="68B96DBB"/>
    <w:rsid w:val="68CA2805"/>
    <w:rsid w:val="68E937A3"/>
    <w:rsid w:val="691E0EE4"/>
    <w:rsid w:val="6937148E"/>
    <w:rsid w:val="693764BC"/>
    <w:rsid w:val="693E15D3"/>
    <w:rsid w:val="69401815"/>
    <w:rsid w:val="69484F69"/>
    <w:rsid w:val="695B28FA"/>
    <w:rsid w:val="69627681"/>
    <w:rsid w:val="69674FF3"/>
    <w:rsid w:val="69720C67"/>
    <w:rsid w:val="6977531D"/>
    <w:rsid w:val="69790883"/>
    <w:rsid w:val="698D4023"/>
    <w:rsid w:val="699B59ED"/>
    <w:rsid w:val="69BB6DF8"/>
    <w:rsid w:val="69C40F37"/>
    <w:rsid w:val="69CC2BFF"/>
    <w:rsid w:val="69E30726"/>
    <w:rsid w:val="69EF33C0"/>
    <w:rsid w:val="69FD55B8"/>
    <w:rsid w:val="6A0B1C62"/>
    <w:rsid w:val="6A0C16F7"/>
    <w:rsid w:val="6A130CD7"/>
    <w:rsid w:val="6A2406C8"/>
    <w:rsid w:val="6A442509"/>
    <w:rsid w:val="6A634570"/>
    <w:rsid w:val="6A7554EE"/>
    <w:rsid w:val="6A7D43A3"/>
    <w:rsid w:val="6A7F03B4"/>
    <w:rsid w:val="6AA933EA"/>
    <w:rsid w:val="6AC271BE"/>
    <w:rsid w:val="6ACE3875"/>
    <w:rsid w:val="6AD77F57"/>
    <w:rsid w:val="6ADB605C"/>
    <w:rsid w:val="6ADE0BD1"/>
    <w:rsid w:val="6AE96859"/>
    <w:rsid w:val="6AED777A"/>
    <w:rsid w:val="6B147746"/>
    <w:rsid w:val="6B1B3BF9"/>
    <w:rsid w:val="6B2021C6"/>
    <w:rsid w:val="6B24787C"/>
    <w:rsid w:val="6B3D3BD5"/>
    <w:rsid w:val="6B3D3FDE"/>
    <w:rsid w:val="6B573233"/>
    <w:rsid w:val="6B5B46E4"/>
    <w:rsid w:val="6B5B6274"/>
    <w:rsid w:val="6B635123"/>
    <w:rsid w:val="6B935D53"/>
    <w:rsid w:val="6BA0301F"/>
    <w:rsid w:val="6BA73DCD"/>
    <w:rsid w:val="6BBE4C73"/>
    <w:rsid w:val="6BCD06D0"/>
    <w:rsid w:val="6BFD579B"/>
    <w:rsid w:val="6C08629F"/>
    <w:rsid w:val="6C196F71"/>
    <w:rsid w:val="6C1B3E73"/>
    <w:rsid w:val="6C226FCB"/>
    <w:rsid w:val="6C2A5301"/>
    <w:rsid w:val="6C31226F"/>
    <w:rsid w:val="6C452A9D"/>
    <w:rsid w:val="6C552F0B"/>
    <w:rsid w:val="6C74077D"/>
    <w:rsid w:val="6C8C67B7"/>
    <w:rsid w:val="6C9C3206"/>
    <w:rsid w:val="6C9D744C"/>
    <w:rsid w:val="6CA34196"/>
    <w:rsid w:val="6CBD10F1"/>
    <w:rsid w:val="6CD231EE"/>
    <w:rsid w:val="6CFC34E0"/>
    <w:rsid w:val="6D161F81"/>
    <w:rsid w:val="6D167928"/>
    <w:rsid w:val="6D1A6A3D"/>
    <w:rsid w:val="6D252683"/>
    <w:rsid w:val="6D26299B"/>
    <w:rsid w:val="6D3344AA"/>
    <w:rsid w:val="6D3E42BD"/>
    <w:rsid w:val="6D4702BA"/>
    <w:rsid w:val="6D4772EC"/>
    <w:rsid w:val="6D6E228B"/>
    <w:rsid w:val="6D9078AF"/>
    <w:rsid w:val="6D91263F"/>
    <w:rsid w:val="6DA64BBC"/>
    <w:rsid w:val="6DAA3FEF"/>
    <w:rsid w:val="6DC0172B"/>
    <w:rsid w:val="6DCB690C"/>
    <w:rsid w:val="6DCE2DC4"/>
    <w:rsid w:val="6DCE3AA5"/>
    <w:rsid w:val="6DD41A5B"/>
    <w:rsid w:val="6DF43C2E"/>
    <w:rsid w:val="6DF51CA3"/>
    <w:rsid w:val="6E020BA6"/>
    <w:rsid w:val="6E174662"/>
    <w:rsid w:val="6E335A77"/>
    <w:rsid w:val="6E537AEC"/>
    <w:rsid w:val="6E8335BD"/>
    <w:rsid w:val="6E8E12EF"/>
    <w:rsid w:val="6E8E4DD0"/>
    <w:rsid w:val="6E972936"/>
    <w:rsid w:val="6EAA39A2"/>
    <w:rsid w:val="6ED446C5"/>
    <w:rsid w:val="6F045092"/>
    <w:rsid w:val="6F13639E"/>
    <w:rsid w:val="6F2531F7"/>
    <w:rsid w:val="6F2A7D94"/>
    <w:rsid w:val="6F3D07AE"/>
    <w:rsid w:val="6F6563A0"/>
    <w:rsid w:val="6F81463D"/>
    <w:rsid w:val="6F8331F1"/>
    <w:rsid w:val="6F8A5317"/>
    <w:rsid w:val="6F926644"/>
    <w:rsid w:val="6F9C52CB"/>
    <w:rsid w:val="6FAE1A09"/>
    <w:rsid w:val="6FBE238B"/>
    <w:rsid w:val="6FC5234C"/>
    <w:rsid w:val="6FD75BF8"/>
    <w:rsid w:val="6FDD4B42"/>
    <w:rsid w:val="70294DB1"/>
    <w:rsid w:val="7054787E"/>
    <w:rsid w:val="707723D0"/>
    <w:rsid w:val="708A4432"/>
    <w:rsid w:val="70AF5725"/>
    <w:rsid w:val="70B50C6B"/>
    <w:rsid w:val="70CF2615"/>
    <w:rsid w:val="70D82475"/>
    <w:rsid w:val="70DF1913"/>
    <w:rsid w:val="70EE5FFA"/>
    <w:rsid w:val="70F5661B"/>
    <w:rsid w:val="70FF43CD"/>
    <w:rsid w:val="710F3025"/>
    <w:rsid w:val="711B7CC6"/>
    <w:rsid w:val="71360107"/>
    <w:rsid w:val="7137174F"/>
    <w:rsid w:val="713B688E"/>
    <w:rsid w:val="71594881"/>
    <w:rsid w:val="71946BA2"/>
    <w:rsid w:val="71D43752"/>
    <w:rsid w:val="71F1796A"/>
    <w:rsid w:val="72154626"/>
    <w:rsid w:val="72180A57"/>
    <w:rsid w:val="721A78F0"/>
    <w:rsid w:val="72262B5D"/>
    <w:rsid w:val="72283FF7"/>
    <w:rsid w:val="722E7212"/>
    <w:rsid w:val="723A0474"/>
    <w:rsid w:val="72522CC7"/>
    <w:rsid w:val="7257024F"/>
    <w:rsid w:val="725923E4"/>
    <w:rsid w:val="72734A09"/>
    <w:rsid w:val="72864BF7"/>
    <w:rsid w:val="729023FC"/>
    <w:rsid w:val="729F75AC"/>
    <w:rsid w:val="72A367A4"/>
    <w:rsid w:val="72E83108"/>
    <w:rsid w:val="72F23E71"/>
    <w:rsid w:val="73221F8B"/>
    <w:rsid w:val="732950C8"/>
    <w:rsid w:val="73463ECB"/>
    <w:rsid w:val="737547B1"/>
    <w:rsid w:val="73C0646E"/>
    <w:rsid w:val="73CA0659"/>
    <w:rsid w:val="73CE18B4"/>
    <w:rsid w:val="742222F5"/>
    <w:rsid w:val="742B35F1"/>
    <w:rsid w:val="743C4652"/>
    <w:rsid w:val="743D6C54"/>
    <w:rsid w:val="74476126"/>
    <w:rsid w:val="74706664"/>
    <w:rsid w:val="747F3682"/>
    <w:rsid w:val="748F3516"/>
    <w:rsid w:val="749C4185"/>
    <w:rsid w:val="74A0760B"/>
    <w:rsid w:val="74A53C41"/>
    <w:rsid w:val="74B23D8F"/>
    <w:rsid w:val="74B575A8"/>
    <w:rsid w:val="74BD6CB3"/>
    <w:rsid w:val="74CE1D48"/>
    <w:rsid w:val="74D86DBA"/>
    <w:rsid w:val="74F506C7"/>
    <w:rsid w:val="75067759"/>
    <w:rsid w:val="751752C5"/>
    <w:rsid w:val="75241F9B"/>
    <w:rsid w:val="752E6DCD"/>
    <w:rsid w:val="752F02A1"/>
    <w:rsid w:val="753344AB"/>
    <w:rsid w:val="753D4E5A"/>
    <w:rsid w:val="7551380D"/>
    <w:rsid w:val="75600BE5"/>
    <w:rsid w:val="7564475C"/>
    <w:rsid w:val="7583797F"/>
    <w:rsid w:val="758608CE"/>
    <w:rsid w:val="75AE5430"/>
    <w:rsid w:val="75D20F1D"/>
    <w:rsid w:val="75DA2C18"/>
    <w:rsid w:val="75E02BD6"/>
    <w:rsid w:val="75E0564B"/>
    <w:rsid w:val="75F54412"/>
    <w:rsid w:val="76080F69"/>
    <w:rsid w:val="76086611"/>
    <w:rsid w:val="761D08E0"/>
    <w:rsid w:val="761D65A2"/>
    <w:rsid w:val="762322A2"/>
    <w:rsid w:val="765D347C"/>
    <w:rsid w:val="76683AF9"/>
    <w:rsid w:val="76826699"/>
    <w:rsid w:val="768833D7"/>
    <w:rsid w:val="7695568D"/>
    <w:rsid w:val="76C87133"/>
    <w:rsid w:val="76CD08D5"/>
    <w:rsid w:val="76DB4B92"/>
    <w:rsid w:val="77052AA4"/>
    <w:rsid w:val="77136511"/>
    <w:rsid w:val="772B1C5E"/>
    <w:rsid w:val="77340A39"/>
    <w:rsid w:val="77351FD0"/>
    <w:rsid w:val="77472422"/>
    <w:rsid w:val="777F31F2"/>
    <w:rsid w:val="7785391A"/>
    <w:rsid w:val="77945088"/>
    <w:rsid w:val="77A80CB1"/>
    <w:rsid w:val="77D1700D"/>
    <w:rsid w:val="77EC04CC"/>
    <w:rsid w:val="78056103"/>
    <w:rsid w:val="782347DB"/>
    <w:rsid w:val="7823599A"/>
    <w:rsid w:val="782729C5"/>
    <w:rsid w:val="78376D36"/>
    <w:rsid w:val="785901FD"/>
    <w:rsid w:val="78727511"/>
    <w:rsid w:val="78731750"/>
    <w:rsid w:val="78775729"/>
    <w:rsid w:val="78A06008"/>
    <w:rsid w:val="78A314FC"/>
    <w:rsid w:val="78A42DB0"/>
    <w:rsid w:val="78A656AB"/>
    <w:rsid w:val="78B2245C"/>
    <w:rsid w:val="78C134BB"/>
    <w:rsid w:val="78CF22B3"/>
    <w:rsid w:val="78E172CC"/>
    <w:rsid w:val="78EA1D1F"/>
    <w:rsid w:val="79033B9C"/>
    <w:rsid w:val="7904172F"/>
    <w:rsid w:val="790F7E27"/>
    <w:rsid w:val="79166A79"/>
    <w:rsid w:val="791D3FCD"/>
    <w:rsid w:val="792A231A"/>
    <w:rsid w:val="79316829"/>
    <w:rsid w:val="793B7903"/>
    <w:rsid w:val="79534C4C"/>
    <w:rsid w:val="797E66A9"/>
    <w:rsid w:val="79814830"/>
    <w:rsid w:val="798518A4"/>
    <w:rsid w:val="79957FC1"/>
    <w:rsid w:val="799E3870"/>
    <w:rsid w:val="79A97383"/>
    <w:rsid w:val="79B5042F"/>
    <w:rsid w:val="79B565E2"/>
    <w:rsid w:val="79C83F80"/>
    <w:rsid w:val="79C86838"/>
    <w:rsid w:val="79E27E8B"/>
    <w:rsid w:val="79E44E4D"/>
    <w:rsid w:val="79F10EE3"/>
    <w:rsid w:val="79F850CE"/>
    <w:rsid w:val="79FD443C"/>
    <w:rsid w:val="7A1D1975"/>
    <w:rsid w:val="7A3C008C"/>
    <w:rsid w:val="7A3E5150"/>
    <w:rsid w:val="7A4670D6"/>
    <w:rsid w:val="7A534B63"/>
    <w:rsid w:val="7A5E7D4D"/>
    <w:rsid w:val="7A615382"/>
    <w:rsid w:val="7A67303B"/>
    <w:rsid w:val="7A907FCF"/>
    <w:rsid w:val="7AAB1D04"/>
    <w:rsid w:val="7ABA4368"/>
    <w:rsid w:val="7AD038B6"/>
    <w:rsid w:val="7AD05746"/>
    <w:rsid w:val="7B1032F0"/>
    <w:rsid w:val="7B257FFD"/>
    <w:rsid w:val="7B343476"/>
    <w:rsid w:val="7B472BA3"/>
    <w:rsid w:val="7B4927AB"/>
    <w:rsid w:val="7B5A1B28"/>
    <w:rsid w:val="7B5A2978"/>
    <w:rsid w:val="7B5A7E4C"/>
    <w:rsid w:val="7B667AF9"/>
    <w:rsid w:val="7B7468F8"/>
    <w:rsid w:val="7B803CF3"/>
    <w:rsid w:val="7B845E33"/>
    <w:rsid w:val="7B922569"/>
    <w:rsid w:val="7BEE0103"/>
    <w:rsid w:val="7BF2233F"/>
    <w:rsid w:val="7C0A0FE4"/>
    <w:rsid w:val="7C1F0B6F"/>
    <w:rsid w:val="7C254906"/>
    <w:rsid w:val="7C2634EC"/>
    <w:rsid w:val="7C4613A4"/>
    <w:rsid w:val="7C590818"/>
    <w:rsid w:val="7C7C10F6"/>
    <w:rsid w:val="7C7C6DB0"/>
    <w:rsid w:val="7C835849"/>
    <w:rsid w:val="7C853BEA"/>
    <w:rsid w:val="7C881368"/>
    <w:rsid w:val="7C9107CA"/>
    <w:rsid w:val="7CA518D8"/>
    <w:rsid w:val="7CB24981"/>
    <w:rsid w:val="7CC34C7A"/>
    <w:rsid w:val="7CC3658D"/>
    <w:rsid w:val="7CE27788"/>
    <w:rsid w:val="7D0C32F1"/>
    <w:rsid w:val="7D0F408D"/>
    <w:rsid w:val="7D112351"/>
    <w:rsid w:val="7D1E30DE"/>
    <w:rsid w:val="7D2A3A55"/>
    <w:rsid w:val="7D491C6C"/>
    <w:rsid w:val="7D4E2E80"/>
    <w:rsid w:val="7D5429C0"/>
    <w:rsid w:val="7D697134"/>
    <w:rsid w:val="7D6E6D43"/>
    <w:rsid w:val="7D83129F"/>
    <w:rsid w:val="7D892787"/>
    <w:rsid w:val="7D9C5E3A"/>
    <w:rsid w:val="7DB57A34"/>
    <w:rsid w:val="7DBF4025"/>
    <w:rsid w:val="7DD00F61"/>
    <w:rsid w:val="7DE42AC4"/>
    <w:rsid w:val="7DE60973"/>
    <w:rsid w:val="7DEF0916"/>
    <w:rsid w:val="7E086B4E"/>
    <w:rsid w:val="7E1C603C"/>
    <w:rsid w:val="7E1E5218"/>
    <w:rsid w:val="7E2442BD"/>
    <w:rsid w:val="7E25566B"/>
    <w:rsid w:val="7E8D0C00"/>
    <w:rsid w:val="7E957AB5"/>
    <w:rsid w:val="7E9A4E1F"/>
    <w:rsid w:val="7EA7723A"/>
    <w:rsid w:val="7EAB10E4"/>
    <w:rsid w:val="7EAF501B"/>
    <w:rsid w:val="7EE36A72"/>
    <w:rsid w:val="7EE50A3C"/>
    <w:rsid w:val="7EEF4B39"/>
    <w:rsid w:val="7EF56FBB"/>
    <w:rsid w:val="7EFE1AFE"/>
    <w:rsid w:val="7F0768EB"/>
    <w:rsid w:val="7F143BEC"/>
    <w:rsid w:val="7F18149D"/>
    <w:rsid w:val="7F2F0755"/>
    <w:rsid w:val="7F431716"/>
    <w:rsid w:val="7F4B5A22"/>
    <w:rsid w:val="7F5C371A"/>
    <w:rsid w:val="7F715AF2"/>
    <w:rsid w:val="7F886E69"/>
    <w:rsid w:val="7F97027D"/>
    <w:rsid w:val="7FAF435C"/>
    <w:rsid w:val="7FF43E95"/>
    <w:rsid w:val="BB7FA927"/>
    <w:rsid w:val="CDDFC4BE"/>
    <w:rsid w:val="DEFF8383"/>
    <w:rsid w:val="EE77AFA3"/>
    <w:rsid w:val="F5FFD31F"/>
    <w:rsid w:val="FDDD20E1"/>
    <w:rsid w:val="FFBBAC7B"/>
    <w:rsid w:val="FFCF1770"/>
    <w:rsid w:val="FFFA5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11"/>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5">
    <w:name w:val="Default Paragraph Font"/>
    <w:link w:val="66"/>
    <w:unhideWhenUsed/>
    <w:qFormat/>
    <w:uiPriority w:val="1"/>
    <w:rPr>
      <w:rFonts w:ascii="仿宋_GB2312" w:eastAsia="仿宋_GB2312"/>
      <w:b/>
      <w:sz w:val="32"/>
      <w:szCs w:val="32"/>
    </w:rPr>
  </w:style>
  <w:style w:type="table" w:default="1" w:styleId="76">
    <w:name w:val="Normal Table"/>
    <w:unhideWhenUsed/>
    <w:qFormat/>
    <w:uiPriority w:val="99"/>
    <w:tblPr>
      <w:tblLayout w:type="fixed"/>
      <w:tblCellMar>
        <w:top w:w="0" w:type="dxa"/>
        <w:left w:w="108" w:type="dxa"/>
        <w:bottom w:w="0" w:type="dxa"/>
        <w:right w:w="108" w:type="dxa"/>
      </w:tblCellMar>
    </w:tblPr>
  </w:style>
  <w:style w:type="paragraph" w:customStyle="1" w:styleId="2">
    <w:name w:val="**正文"/>
    <w:basedOn w:val="1"/>
    <w:qFormat/>
    <w:uiPriority w:val="99"/>
    <w:pPr>
      <w:ind w:firstLine="480" w:firstLineChars="200"/>
    </w:pPr>
    <w:rPr>
      <w:rFonts w:ascii="Calibri" w:hAnsi="Calibri" w:eastAsia="仿宋_GB2312"/>
      <w:kern w:val="0"/>
      <w:sz w:val="24"/>
      <w:szCs w:val="32"/>
    </w:rPr>
  </w:style>
  <w:style w:type="paragraph" w:styleId="6">
    <w:name w:val="Normal Indent"/>
    <w:basedOn w:val="1"/>
    <w:next w:val="7"/>
    <w:link w:val="198"/>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Indent"/>
    <w:basedOn w:val="1"/>
    <w:next w:val="6"/>
    <w:link w:val="269"/>
    <w:qFormat/>
    <w:uiPriority w:val="0"/>
    <w:pPr>
      <w:spacing w:line="480" w:lineRule="exact"/>
      <w:ind w:firstLine="480" w:firstLineChars="200"/>
    </w:pPr>
    <w:rPr>
      <w:rFonts w:ascii="宋体" w:hAnsi="宋体"/>
      <w:sz w:val="24"/>
    </w:rPr>
  </w:style>
  <w:style w:type="paragraph" w:styleId="14">
    <w:name w:val="annotation subject"/>
    <w:basedOn w:val="15"/>
    <w:next w:val="15"/>
    <w:link w:val="101"/>
    <w:qFormat/>
    <w:uiPriority w:val="0"/>
    <w:rPr>
      <w:b/>
      <w:bCs/>
    </w:rPr>
  </w:style>
  <w:style w:type="paragraph" w:styleId="15">
    <w:name w:val="annotation text"/>
    <w:basedOn w:val="1"/>
    <w:link w:val="348"/>
    <w:qFormat/>
    <w:uiPriority w:val="99"/>
    <w:pPr>
      <w:jc w:val="left"/>
    </w:pPr>
  </w:style>
  <w:style w:type="paragraph" w:styleId="16">
    <w:name w:val="toc 7"/>
    <w:basedOn w:val="1"/>
    <w:next w:val="1"/>
    <w:qFormat/>
    <w:uiPriority w:val="0"/>
    <w:pPr>
      <w:ind w:left="2520" w:leftChars="1200"/>
    </w:pPr>
  </w:style>
  <w:style w:type="paragraph" w:styleId="17">
    <w:name w:val="Body Text First Indent"/>
    <w:basedOn w:val="18"/>
    <w:next w:val="19"/>
    <w:link w:val="325"/>
    <w:qFormat/>
    <w:uiPriority w:val="0"/>
    <w:pPr>
      <w:ind w:firstLine="420"/>
    </w:pPr>
    <w:rPr>
      <w:rFonts w:hAnsi="Calibri" w:cs="Times New Roman"/>
      <w:snapToGrid/>
      <w:szCs w:val="20"/>
    </w:rPr>
  </w:style>
  <w:style w:type="paragraph" w:styleId="18">
    <w:name w:val="Body Text"/>
    <w:basedOn w:val="1"/>
    <w:next w:val="17"/>
    <w:link w:val="434"/>
    <w:qFormat/>
    <w:uiPriority w:val="0"/>
    <w:pPr>
      <w:autoSpaceDE w:val="0"/>
      <w:autoSpaceDN w:val="0"/>
      <w:spacing w:line="360" w:lineRule="auto"/>
    </w:pPr>
    <w:rPr>
      <w:rFonts w:ascii="宋体" w:hAnsi="Arial" w:cs="Arial"/>
      <w:snapToGrid w:val="0"/>
      <w:sz w:val="24"/>
      <w:szCs w:val="21"/>
      <w:lang w:val="zh-CN"/>
    </w:rPr>
  </w:style>
  <w:style w:type="paragraph" w:styleId="19">
    <w:name w:val="toc 6"/>
    <w:basedOn w:val="1"/>
    <w:next w:val="1"/>
    <w:qFormat/>
    <w:uiPriority w:val="0"/>
    <w:pPr>
      <w:ind w:left="2100" w:leftChars="1000"/>
    </w:pPr>
  </w:style>
  <w:style w:type="paragraph" w:styleId="20">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21">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2">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3">
    <w:name w:val="caption"/>
    <w:basedOn w:val="1"/>
    <w:next w:val="1"/>
    <w:link w:val="234"/>
    <w:qFormat/>
    <w:uiPriority w:val="0"/>
    <w:rPr>
      <w:b/>
      <w:sz w:val="28"/>
      <w:szCs w:val="20"/>
    </w:rPr>
  </w:style>
  <w:style w:type="paragraph" w:styleId="24">
    <w:name w:val="index 5"/>
    <w:basedOn w:val="1"/>
    <w:next w:val="1"/>
    <w:qFormat/>
    <w:uiPriority w:val="0"/>
    <w:pPr>
      <w:adjustRightInd/>
      <w:ind w:left="800" w:leftChars="800" w:firstLine="200" w:firstLineChars="200"/>
    </w:pPr>
  </w:style>
  <w:style w:type="paragraph" w:styleId="25">
    <w:name w:val="Document Map"/>
    <w:basedOn w:val="1"/>
    <w:link w:val="207"/>
    <w:qFormat/>
    <w:uiPriority w:val="0"/>
    <w:pPr>
      <w:shd w:val="clear" w:color="auto" w:fill="000080"/>
    </w:pPr>
  </w:style>
  <w:style w:type="paragraph" w:styleId="26">
    <w:name w:val="Salutation"/>
    <w:basedOn w:val="1"/>
    <w:next w:val="1"/>
    <w:link w:val="302"/>
    <w:qFormat/>
    <w:uiPriority w:val="0"/>
    <w:rPr>
      <w:rFonts w:ascii="仿宋_GB2312" w:eastAsia="仿宋_GB2312"/>
      <w:sz w:val="28"/>
      <w:szCs w:val="20"/>
    </w:rPr>
  </w:style>
  <w:style w:type="paragraph" w:styleId="27">
    <w:name w:val="Body Text 3"/>
    <w:basedOn w:val="1"/>
    <w:link w:val="334"/>
    <w:qFormat/>
    <w:uiPriority w:val="0"/>
    <w:pPr>
      <w:jc w:val="center"/>
    </w:pPr>
    <w:rPr>
      <w:szCs w:val="20"/>
    </w:rPr>
  </w:style>
  <w:style w:type="paragraph" w:styleId="28">
    <w:name w:val="List Bullet 3"/>
    <w:basedOn w:val="1"/>
    <w:unhideWhenUsed/>
    <w:qFormat/>
    <w:uiPriority w:val="0"/>
    <w:pPr>
      <w:snapToGrid w:val="0"/>
      <w:spacing w:line="360" w:lineRule="auto"/>
      <w:ind w:left="360" w:right="238" w:hanging="360"/>
      <w:contextualSpacing/>
    </w:pPr>
    <w:rPr>
      <w:sz w:val="24"/>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4"/>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next w:val="37"/>
    <w:link w:val="130"/>
    <w:qFormat/>
    <w:uiPriority w:val="0"/>
    <w:rPr>
      <w:rFonts w:ascii="宋体" w:hAnsi="Courier New" w:cs="Arial"/>
      <w:snapToGrid w:val="0"/>
      <w:szCs w:val="21"/>
    </w:rPr>
  </w:style>
  <w:style w:type="paragraph" w:customStyle="1" w:styleId="37">
    <w:name w:val="Default"/>
    <w:link w:val="23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186"/>
    <w:qFormat/>
    <w:uiPriority w:val="0"/>
    <w:pPr>
      <w:ind w:left="100" w:leftChars="2500"/>
    </w:pPr>
    <w:rPr>
      <w:rFonts w:ascii="宋体"/>
      <w:sz w:val="24"/>
      <w:szCs w:val="21"/>
      <w:lang w:val="zh-CN"/>
    </w:rPr>
  </w:style>
  <w:style w:type="paragraph" w:styleId="41">
    <w:name w:val="Body Text Indent 2"/>
    <w:basedOn w:val="1"/>
    <w:link w:val="312"/>
    <w:qFormat/>
    <w:uiPriority w:val="0"/>
    <w:pPr>
      <w:spacing w:line="360" w:lineRule="auto"/>
      <w:ind w:firstLine="601"/>
      <w:textAlignment w:val="baseline"/>
    </w:pPr>
    <w:rPr>
      <w:rFonts w:ascii="宋体"/>
      <w:kern w:val="0"/>
      <w:sz w:val="28"/>
      <w:szCs w:val="20"/>
    </w:rPr>
  </w:style>
  <w:style w:type="paragraph" w:styleId="42">
    <w:name w:val="endnote text"/>
    <w:basedOn w:val="1"/>
    <w:link w:val="933"/>
    <w:qFormat/>
    <w:uiPriority w:val="0"/>
    <w:rPr>
      <w:lang w:val="zh-CN"/>
    </w:rPr>
  </w:style>
  <w:style w:type="paragraph" w:styleId="43">
    <w:name w:val="Balloon Text"/>
    <w:basedOn w:val="1"/>
    <w:link w:val="193"/>
    <w:qFormat/>
    <w:uiPriority w:val="0"/>
    <w:rPr>
      <w:sz w:val="18"/>
      <w:szCs w:val="18"/>
    </w:rPr>
  </w:style>
  <w:style w:type="paragraph" w:styleId="44">
    <w:name w:val="footer"/>
    <w:basedOn w:val="1"/>
    <w:link w:val="387"/>
    <w:qFormat/>
    <w:uiPriority w:val="99"/>
    <w:pPr>
      <w:tabs>
        <w:tab w:val="center" w:pos="4153"/>
        <w:tab w:val="right" w:pos="8306"/>
      </w:tabs>
      <w:snapToGrid w:val="0"/>
      <w:jc w:val="left"/>
    </w:pPr>
    <w:rPr>
      <w:sz w:val="18"/>
      <w:szCs w:val="18"/>
    </w:rPr>
  </w:style>
  <w:style w:type="paragraph" w:styleId="45">
    <w:name w:val="envelope return"/>
    <w:basedOn w:val="1"/>
    <w:qFormat/>
    <w:uiPriority w:val="0"/>
    <w:pPr>
      <w:widowControl w:val="0"/>
      <w:snapToGrid w:val="0"/>
      <w:jc w:val="both"/>
    </w:pPr>
    <w:rPr>
      <w:rFonts w:hint="eastAsia" w:ascii="Arial" w:hAnsi="Arial" w:eastAsia="宋体" w:cs="Arial"/>
      <w:kern w:val="2"/>
      <w:sz w:val="21"/>
      <w:lang w:val="en-US" w:eastAsia="zh-CN" w:bidi="ar-SA"/>
    </w:rPr>
  </w:style>
  <w:style w:type="paragraph" w:styleId="46">
    <w:name w:val="Body Text First Indent 2"/>
    <w:basedOn w:val="7"/>
    <w:next w:val="1"/>
    <w:link w:val="126"/>
    <w:qFormat/>
    <w:uiPriority w:val="0"/>
    <w:pPr>
      <w:adjustRightInd/>
      <w:spacing w:after="120" w:line="240" w:lineRule="auto"/>
      <w:ind w:left="420" w:leftChars="200" w:firstLine="210"/>
    </w:pPr>
    <w:rPr>
      <w:sz w:val="21"/>
    </w:rPr>
  </w:style>
  <w:style w:type="paragraph" w:styleId="47">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8">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9">
    <w:name w:val="toc 1"/>
    <w:basedOn w:val="1"/>
    <w:next w:val="1"/>
    <w:qFormat/>
    <w:uiPriority w:val="0"/>
  </w:style>
  <w:style w:type="paragraph" w:styleId="50">
    <w:name w:val="toc 4"/>
    <w:basedOn w:val="1"/>
    <w:next w:val="1"/>
    <w:qFormat/>
    <w:uiPriority w:val="0"/>
    <w:pPr>
      <w:ind w:left="1260" w:leftChars="600"/>
    </w:pPr>
  </w:style>
  <w:style w:type="paragraph" w:styleId="51">
    <w:name w:val="index heading"/>
    <w:basedOn w:val="1"/>
    <w:next w:val="52"/>
    <w:qFormat/>
    <w:uiPriority w:val="0"/>
    <w:pPr>
      <w:adjustRightInd/>
      <w:ind w:firstLine="200" w:firstLineChars="200"/>
    </w:pPr>
  </w:style>
  <w:style w:type="paragraph" w:styleId="52">
    <w:name w:val="index 1"/>
    <w:basedOn w:val="1"/>
    <w:next w:val="1"/>
    <w:qFormat/>
    <w:uiPriority w:val="0"/>
    <w:pPr>
      <w:adjustRightInd/>
      <w:spacing w:line="360" w:lineRule="auto"/>
      <w:ind w:firstLine="200" w:firstLineChars="200"/>
      <w:jc w:val="center"/>
    </w:pPr>
    <w:rPr>
      <w:sz w:val="24"/>
      <w:szCs w:val="20"/>
    </w:rPr>
  </w:style>
  <w:style w:type="paragraph" w:styleId="53">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4">
    <w:name w:val="List Number 5"/>
    <w:basedOn w:val="1"/>
    <w:qFormat/>
    <w:uiPriority w:val="0"/>
    <w:pPr>
      <w:tabs>
        <w:tab w:val="left" w:pos="902"/>
      </w:tabs>
      <w:adjustRightInd/>
      <w:spacing w:line="400" w:lineRule="exact"/>
      <w:ind w:left="902" w:hanging="420"/>
    </w:pPr>
    <w:rPr>
      <w:sz w:val="24"/>
      <w:szCs w:val="20"/>
    </w:rPr>
  </w:style>
  <w:style w:type="paragraph" w:styleId="55">
    <w:name w:val="List"/>
    <w:basedOn w:val="1"/>
    <w:qFormat/>
    <w:uiPriority w:val="0"/>
    <w:pPr>
      <w:ind w:left="200" w:hanging="200" w:hangingChars="200"/>
    </w:pPr>
  </w:style>
  <w:style w:type="paragraph" w:styleId="56">
    <w:name w:val="footnote text"/>
    <w:basedOn w:val="6"/>
    <w:link w:val="314"/>
    <w:qFormat/>
    <w:uiPriority w:val="0"/>
    <w:pPr>
      <w:adjustRightInd/>
      <w:snapToGrid/>
      <w:spacing w:before="60" w:after="60" w:line="300" w:lineRule="exact"/>
      <w:ind w:firstLine="0"/>
    </w:pPr>
    <w:rPr>
      <w:rFonts w:ascii="Calibri"/>
      <w:snapToGrid/>
      <w:color w:val="0000FF"/>
      <w:kern w:val="0"/>
      <w:sz w:val="21"/>
    </w:rPr>
  </w:style>
  <w:style w:type="paragraph" w:styleId="57">
    <w:name w:val="List 5"/>
    <w:basedOn w:val="1"/>
    <w:qFormat/>
    <w:uiPriority w:val="0"/>
    <w:pPr>
      <w:adjustRightInd/>
      <w:ind w:left="100" w:leftChars="800" w:hanging="200" w:hangingChars="200"/>
    </w:pPr>
  </w:style>
  <w:style w:type="paragraph" w:styleId="58">
    <w:name w:val="Body Text Indent 3"/>
    <w:basedOn w:val="1"/>
    <w:link w:val="379"/>
    <w:qFormat/>
    <w:uiPriority w:val="0"/>
    <w:pPr>
      <w:spacing w:line="360" w:lineRule="auto"/>
      <w:ind w:firstLine="420"/>
    </w:pPr>
    <w:rPr>
      <w:sz w:val="24"/>
      <w:szCs w:val="20"/>
    </w:rPr>
  </w:style>
  <w:style w:type="paragraph" w:styleId="59">
    <w:name w:val="toc 2"/>
    <w:basedOn w:val="1"/>
    <w:next w:val="1"/>
    <w:qFormat/>
    <w:uiPriority w:val="0"/>
    <w:pPr>
      <w:ind w:left="420" w:leftChars="200"/>
    </w:pPr>
  </w:style>
  <w:style w:type="paragraph" w:styleId="60">
    <w:name w:val="toc 9"/>
    <w:basedOn w:val="1"/>
    <w:next w:val="1"/>
    <w:qFormat/>
    <w:uiPriority w:val="0"/>
    <w:pPr>
      <w:ind w:left="3360" w:leftChars="1600"/>
    </w:pPr>
  </w:style>
  <w:style w:type="paragraph" w:styleId="61">
    <w:name w:val="Body Text 2"/>
    <w:basedOn w:val="1"/>
    <w:link w:val="306"/>
    <w:qFormat/>
    <w:uiPriority w:val="0"/>
    <w:pPr>
      <w:spacing w:after="120" w:line="480" w:lineRule="auto"/>
    </w:pPr>
  </w:style>
  <w:style w:type="paragraph" w:styleId="62">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3">
    <w:name w:val="Normal (Web)"/>
    <w:basedOn w:val="1"/>
    <w:qFormat/>
    <w:uiPriority w:val="99"/>
    <w:pPr>
      <w:widowControl/>
      <w:spacing w:before="100" w:beforeAutospacing="1" w:after="100" w:afterAutospacing="1"/>
      <w:jc w:val="left"/>
    </w:pPr>
    <w:rPr>
      <w:rFonts w:ascii="宋体" w:hAnsi="宋体"/>
      <w:kern w:val="0"/>
      <w:sz w:val="24"/>
    </w:rPr>
  </w:style>
  <w:style w:type="paragraph" w:styleId="64">
    <w:name w:val="Title"/>
    <w:basedOn w:val="1"/>
    <w:link w:val="290"/>
    <w:qFormat/>
    <w:uiPriority w:val="10"/>
    <w:pPr>
      <w:widowControl/>
      <w:overflowPunct w:val="0"/>
      <w:autoSpaceDE w:val="0"/>
      <w:autoSpaceDN w:val="0"/>
      <w:jc w:val="center"/>
      <w:textAlignment w:val="baseline"/>
    </w:pPr>
    <w:rPr>
      <w:b/>
      <w:kern w:val="0"/>
      <w:sz w:val="24"/>
      <w:szCs w:val="20"/>
      <w:lang w:val="en-GB"/>
    </w:rPr>
  </w:style>
  <w:style w:type="paragraph" w:customStyle="1" w:styleId="66">
    <w:name w:val="_Style 10"/>
    <w:basedOn w:val="1"/>
    <w:next w:val="1"/>
    <w:link w:val="65"/>
    <w:qFormat/>
    <w:uiPriority w:val="0"/>
    <w:rPr>
      <w:rFonts w:ascii="仿宋_GB2312" w:eastAsia="仿宋_GB2312"/>
      <w:b/>
      <w:sz w:val="32"/>
      <w:szCs w:val="32"/>
    </w:rPr>
  </w:style>
  <w:style w:type="character" w:styleId="67">
    <w:name w:val="Strong"/>
    <w:qFormat/>
    <w:uiPriority w:val="22"/>
    <w:rPr>
      <w:b/>
      <w:bCs/>
    </w:rPr>
  </w:style>
  <w:style w:type="character" w:styleId="68">
    <w:name w:val="endnote reference"/>
    <w:qFormat/>
    <w:uiPriority w:val="0"/>
    <w:rPr>
      <w:vertAlign w:val="superscript"/>
    </w:rPr>
  </w:style>
  <w:style w:type="character" w:styleId="69">
    <w:name w:val="page number"/>
    <w:basedOn w:val="65"/>
    <w:qFormat/>
    <w:uiPriority w:val="0"/>
    <w:rPr>
      <w:rFonts w:ascii="Arial" w:hAnsi="Arial" w:eastAsia="黑体" w:cs="Arial"/>
      <w:snapToGrid w:val="0"/>
      <w:kern w:val="0"/>
      <w:szCs w:val="21"/>
    </w:rPr>
  </w:style>
  <w:style w:type="character" w:styleId="70">
    <w:name w:val="FollowedHyperlink"/>
    <w:qFormat/>
    <w:uiPriority w:val="99"/>
    <w:rPr>
      <w:rFonts w:ascii="Arial" w:hAnsi="Arial" w:eastAsia="黑体" w:cs="Arial"/>
      <w:snapToGrid w:val="0"/>
      <w:color w:val="000000"/>
      <w:kern w:val="0"/>
      <w:sz w:val="18"/>
      <w:szCs w:val="18"/>
      <w:u w:val="none"/>
    </w:rPr>
  </w:style>
  <w:style w:type="character" w:styleId="71">
    <w:name w:val="Emphasis"/>
    <w:qFormat/>
    <w:uiPriority w:val="20"/>
    <w:rPr>
      <w:color w:val="CC0033"/>
    </w:rPr>
  </w:style>
  <w:style w:type="character" w:styleId="72">
    <w:name w:val="line number"/>
    <w:basedOn w:val="65"/>
    <w:qFormat/>
    <w:uiPriority w:val="0"/>
    <w:rPr>
      <w:rFonts w:ascii="Arial" w:hAnsi="Arial" w:eastAsia="黑体" w:cs="Arial"/>
      <w:snapToGrid w:val="0"/>
      <w:kern w:val="0"/>
      <w:szCs w:val="21"/>
    </w:rPr>
  </w:style>
  <w:style w:type="character" w:styleId="73">
    <w:name w:val="Hyperlink"/>
    <w:basedOn w:val="65"/>
    <w:qFormat/>
    <w:uiPriority w:val="99"/>
    <w:rPr>
      <w:rFonts w:ascii="Arial" w:hAnsi="Arial" w:eastAsia="黑体" w:cs="Arial"/>
      <w:snapToGrid w:val="0"/>
      <w:color w:val="000000"/>
      <w:kern w:val="0"/>
      <w:sz w:val="18"/>
      <w:szCs w:val="18"/>
      <w:u w:val="none"/>
    </w:rPr>
  </w:style>
  <w:style w:type="character" w:styleId="74">
    <w:name w:val="HTML Code"/>
    <w:qFormat/>
    <w:uiPriority w:val="0"/>
    <w:rPr>
      <w:rFonts w:ascii="黑体" w:hAnsi="Courier New" w:eastAsia="黑体" w:cs="楷体_GB2312"/>
      <w:sz w:val="20"/>
      <w:szCs w:val="20"/>
    </w:rPr>
  </w:style>
  <w:style w:type="character" w:styleId="75">
    <w:name w:val="annotation reference"/>
    <w:qFormat/>
    <w:uiPriority w:val="99"/>
    <w:rPr>
      <w:sz w:val="21"/>
      <w:szCs w:val="21"/>
    </w:rPr>
  </w:style>
  <w:style w:type="table" w:styleId="77">
    <w:name w:val="Table Grid"/>
    <w:basedOn w:val="7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8">
    <w:name w:val="Table Theme"/>
    <w:basedOn w:val="7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9">
    <w:name w:val="Table Elegant"/>
    <w:basedOn w:val="7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styleId="80">
    <w:name w:val="Table Grid 5"/>
    <w:basedOn w:val="7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top w:val="nil"/>
          <w:left w:val="nil"/>
          <w:bottom w:val="single" w:color="000000" w:sz="12" w:space="0"/>
          <w:right w:val="nil"/>
          <w:insideH w:val="nil"/>
          <w:insideV w:val="nil"/>
          <w:tl2br w:val="nil"/>
          <w:tr2bl w:val="nil"/>
        </w:tcBorders>
      </w:tcPr>
    </w:tblStylePr>
    <w:tblStylePr w:type="lastRow">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81">
    <w:name w:val="Table Grid 8"/>
    <w:basedOn w:val="7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cPr>
    <w:tblStylePr w:type="firstRow">
      <w:rPr>
        <w:b/>
        <w:bCs/>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Layout w:type="fixed"/>
      </w:tblPr>
      <w:tcPr>
        <w:tcBorders>
          <w:top w:val="nil"/>
          <w:left w:val="nil"/>
          <w:bottom w:val="nil"/>
          <w:right w:val="nil"/>
          <w:insideH w:val="nil"/>
          <w:insideV w:val="nil"/>
          <w:tl2br w:val="nil"/>
          <w:tr2bl w:val="nil"/>
        </w:tcBorders>
      </w:tcPr>
    </w:tblStylePr>
    <w:tblStylePr w:type="lastCol">
      <w:rPr>
        <w:b/>
        <w:bCs/>
        <w:color w:val="auto"/>
      </w:rPr>
      <w:tblPr>
        <w:tblLayout w:type="fixed"/>
      </w:tblPr>
      <w:tcPr>
        <w:tcBorders>
          <w:top w:val="nil"/>
          <w:left w:val="nil"/>
          <w:bottom w:val="nil"/>
          <w:right w:val="nil"/>
          <w:insideH w:val="nil"/>
          <w:insideV w:val="nil"/>
          <w:tl2br w:val="nil"/>
          <w:tr2bl w:val="nil"/>
        </w:tcBorders>
      </w:tcPr>
    </w:tblStylePr>
  </w:style>
  <w:style w:type="table" w:styleId="82">
    <w:name w:val="Table Professional"/>
    <w:basedOn w:val="7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auto"/>
      </w:rPr>
      <w:tblPr>
        <w:tblLayout w:type="fixed"/>
      </w:tblPr>
      <w:tcPr>
        <w:tcBorders>
          <w:top w:val="nil"/>
          <w:left w:val="nil"/>
          <w:bottom w:val="nil"/>
          <w:right w:val="nil"/>
          <w:insideH w:val="nil"/>
          <w:insideV w:val="nil"/>
          <w:tl2br w:val="nil"/>
          <w:tr2bl w:val="nil"/>
        </w:tcBorders>
        <w:shd w:val="solid" w:color="000000" w:fill="FFFFFF"/>
      </w:tcPr>
    </w:tblStylePr>
  </w:style>
  <w:style w:type="paragraph" w:customStyle="1" w:styleId="83">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4">
    <w:name w:val="首行缩进"/>
    <w:basedOn w:val="1"/>
    <w:next w:val="1"/>
    <w:qFormat/>
    <w:uiPriority w:val="0"/>
    <w:pPr>
      <w:spacing w:line="360" w:lineRule="auto"/>
      <w:ind w:firstLine="480" w:firstLineChars="200"/>
    </w:pPr>
    <w:rPr>
      <w:rFonts w:ascii="宋体"/>
      <w:sz w:val="24"/>
      <w:szCs w:val="20"/>
    </w:rPr>
  </w:style>
  <w:style w:type="paragraph" w:customStyle="1" w:styleId="85">
    <w:name w:val="xl53"/>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kern w:val="0"/>
      <w:sz w:val="20"/>
      <w:szCs w:val="20"/>
      <w:lang w:val="en-US" w:eastAsia="zh-CN" w:bidi="ar-SA"/>
    </w:rPr>
  </w:style>
  <w:style w:type="paragraph" w:customStyle="1" w:styleId="8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87">
    <w:name w:val="表格非标题文字 Char"/>
    <w:link w:val="88"/>
    <w:qFormat/>
    <w:uiPriority w:val="0"/>
    <w:rPr>
      <w:rFonts w:ascii="Futura Bk" w:hAnsi="Futura Bk"/>
      <w:kern w:val="2"/>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snapToGrid w:val="0"/>
      <w:spacing w:line="360" w:lineRule="auto"/>
      <w:ind w:firstLine="482"/>
      <w:jc w:val="left"/>
    </w:pPr>
    <w:rPr>
      <w:rFonts w:ascii="宋体" w:hAnsi="宋体"/>
      <w:kern w:val="0"/>
      <w:sz w:val="24"/>
      <w:szCs w:val="20"/>
    </w:rPr>
  </w:style>
  <w:style w:type="character" w:customStyle="1" w:styleId="91">
    <w:name w:val="Char Char71"/>
    <w:semiHidden/>
    <w:qFormat/>
    <w:uiPriority w:val="0"/>
    <w:rPr>
      <w:rFonts w:eastAsia="宋体"/>
      <w:kern w:val="2"/>
      <w:sz w:val="21"/>
      <w:szCs w:val="24"/>
      <w:lang w:val="en-US" w:eastAsia="zh-CN" w:bidi="ar-SA"/>
    </w:rPr>
  </w:style>
  <w:style w:type="character" w:customStyle="1" w:styleId="92">
    <w:name w:val="Char Char6"/>
    <w:qFormat/>
    <w:uiPriority w:val="0"/>
    <w:rPr>
      <w:rFonts w:eastAsia="宋体"/>
      <w:kern w:val="2"/>
      <w:sz w:val="21"/>
      <w:szCs w:val="24"/>
      <w:lang w:val="en-US" w:eastAsia="zh-CN" w:bidi="ar-SA"/>
    </w:rPr>
  </w:style>
  <w:style w:type="character" w:customStyle="1" w:styleId="93">
    <w:name w:val="正文缩进 Char"/>
    <w:qFormat/>
    <w:uiPriority w:val="0"/>
    <w:rPr>
      <w:rFonts w:eastAsia="宋体"/>
      <w:kern w:val="2"/>
      <w:sz w:val="21"/>
      <w:lang w:val="en-US" w:eastAsia="zh-CN"/>
    </w:rPr>
  </w:style>
  <w:style w:type="character" w:customStyle="1" w:styleId="94">
    <w:name w:val="正文首行缩进 Char1"/>
    <w:qFormat/>
    <w:uiPriority w:val="0"/>
    <w:rPr>
      <w:rFonts w:ascii="宋体" w:hAnsi="Times New Roman" w:eastAsia="宋体" w:cs="Times New Roman"/>
      <w:snapToGrid w:val="0"/>
      <w:kern w:val="2"/>
      <w:sz w:val="24"/>
      <w:szCs w:val="21"/>
      <w:lang w:val="zh-CN"/>
    </w:rPr>
  </w:style>
  <w:style w:type="character" w:customStyle="1" w:styleId="95">
    <w:name w:val="Char Char28"/>
    <w:qFormat/>
    <w:uiPriority w:val="6"/>
    <w:rPr>
      <w:rFonts w:ascii="仿宋_GB2312" w:hAnsi="仿宋_GB2312" w:eastAsia="仿宋_GB2312"/>
      <w:kern w:val="1"/>
      <w:sz w:val="28"/>
    </w:rPr>
  </w:style>
  <w:style w:type="character" w:customStyle="1" w:styleId="9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qFormat/>
    <w:uiPriority w:val="6"/>
    <w:rPr>
      <w:rFonts w:ascii="Times New Roman" w:hAnsi="Times New Roman" w:eastAsia="黑体" w:cs="Times New Roman"/>
      <w:b/>
      <w:kern w:val="0"/>
      <w:sz w:val="24"/>
      <w:szCs w:val="24"/>
    </w:rPr>
  </w:style>
  <w:style w:type="character" w:customStyle="1" w:styleId="98">
    <w:name w:val="U_正文 Char"/>
    <w:link w:val="99"/>
    <w:qFormat/>
    <w:uiPriority w:val="0"/>
    <w:rPr>
      <w:sz w:val="24"/>
      <w:szCs w:val="24"/>
    </w:rPr>
  </w:style>
  <w:style w:type="paragraph" w:customStyle="1" w:styleId="99">
    <w:name w:val="U_正文"/>
    <w:basedOn w:val="1"/>
    <w:link w:val="98"/>
    <w:qFormat/>
    <w:uiPriority w:val="0"/>
    <w:pPr>
      <w:adjustRightInd/>
      <w:spacing w:beforeLines="20" w:afterLines="20" w:line="300" w:lineRule="auto"/>
      <w:ind w:firstLine="200" w:firstLineChars="200"/>
    </w:pPr>
    <w:rPr>
      <w:kern w:val="0"/>
      <w:sz w:val="24"/>
    </w:rPr>
  </w:style>
  <w:style w:type="character" w:customStyle="1" w:styleId="100">
    <w:name w:val="HTML 地址 Char1"/>
    <w:qFormat/>
    <w:uiPriority w:val="0"/>
    <w:rPr>
      <w:rFonts w:ascii="Times New Roman" w:hAnsi="Times New Roman" w:eastAsia="宋体" w:cs="Times New Roman"/>
      <w:i/>
      <w:iCs/>
      <w:szCs w:val="24"/>
    </w:rPr>
  </w:style>
  <w:style w:type="character" w:customStyle="1" w:styleId="101">
    <w:name w:val="批注主题 Char1"/>
    <w:link w:val="14"/>
    <w:qFormat/>
    <w:uiPriority w:val="0"/>
    <w:rPr>
      <w:b/>
      <w:bCs/>
      <w:kern w:val="2"/>
      <w:sz w:val="21"/>
      <w:szCs w:val="24"/>
    </w:rPr>
  </w:style>
  <w:style w:type="character" w:customStyle="1" w:styleId="102">
    <w:name w:val="Char Char51"/>
    <w:qFormat/>
    <w:uiPriority w:val="0"/>
    <w:rPr>
      <w:rFonts w:ascii="宋体" w:hAnsi="Courier New" w:eastAsia="宋体"/>
      <w:kern w:val="2"/>
      <w:sz w:val="21"/>
      <w:lang w:val="en-US" w:eastAsia="zh-CN"/>
    </w:rPr>
  </w:style>
  <w:style w:type="character" w:customStyle="1" w:styleId="103">
    <w:name w:val="表正文 Char"/>
    <w:qFormat/>
    <w:uiPriority w:val="0"/>
    <w:rPr>
      <w:rFonts w:ascii="宋体" w:eastAsia="宋体"/>
      <w:snapToGrid w:val="0"/>
      <w:color w:val="000000"/>
      <w:kern w:val="28"/>
      <w:sz w:val="28"/>
      <w:lang w:val="en-US" w:eastAsia="zh-CN" w:bidi="ar-SA"/>
    </w:rPr>
  </w:style>
  <w:style w:type="character" w:customStyle="1" w:styleId="104">
    <w:name w:val="Char Char34"/>
    <w:qFormat/>
    <w:uiPriority w:val="6"/>
    <w:rPr>
      <w:b/>
      <w:kern w:val="1"/>
      <w:sz w:val="28"/>
      <w:szCs w:val="28"/>
    </w:rPr>
  </w:style>
  <w:style w:type="character" w:customStyle="1" w:styleId="10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qFormat/>
    <w:uiPriority w:val="0"/>
    <w:rPr>
      <w:rFonts w:ascii="宋体" w:hAnsi="宋体" w:eastAsia="宋体"/>
      <w:kern w:val="2"/>
      <w:sz w:val="24"/>
      <w:lang w:bidi="ar-SA"/>
    </w:rPr>
  </w:style>
  <w:style w:type="paragraph" w:customStyle="1" w:styleId="107">
    <w:name w:val="哈哈正文"/>
    <w:basedOn w:val="1"/>
    <w:link w:val="106"/>
    <w:qFormat/>
    <w:uiPriority w:val="0"/>
    <w:pPr>
      <w:adjustRightInd/>
      <w:spacing w:line="360" w:lineRule="auto"/>
      <w:ind w:firstLine="200" w:firstLineChars="200"/>
    </w:pPr>
    <w:rPr>
      <w:rFonts w:ascii="宋体" w:hAnsi="宋体"/>
      <w:sz w:val="24"/>
      <w:szCs w:val="20"/>
    </w:rPr>
  </w:style>
  <w:style w:type="character" w:customStyle="1" w:styleId="108">
    <w:name w:val="未处理的提及1"/>
    <w:qFormat/>
    <w:uiPriority w:val="0"/>
    <w:rPr>
      <w:color w:val="808080"/>
      <w:shd w:val="clear" w:color="auto" w:fill="E6E6E6"/>
    </w:rPr>
  </w:style>
  <w:style w:type="character" w:customStyle="1" w:styleId="109">
    <w:name w:val="txt"/>
    <w:qFormat/>
    <w:uiPriority w:val="0"/>
    <w:rPr>
      <w:rFonts w:ascii="仿宋_GB2312" w:eastAsia="微软雅黑"/>
      <w:b/>
      <w:kern w:val="2"/>
      <w:sz w:val="32"/>
      <w:szCs w:val="32"/>
      <w:lang w:val="en-US" w:eastAsia="zh-CN" w:bidi="ar-SA"/>
    </w:rPr>
  </w:style>
  <w:style w:type="character" w:customStyle="1" w:styleId="110">
    <w:name w:val="二级标题 Char Char"/>
    <w:qFormat/>
    <w:uiPriority w:val="0"/>
    <w:rPr>
      <w:rFonts w:ascii="宋体" w:hAnsi="宋体" w:eastAsia="宋体"/>
      <w:b/>
      <w:snapToGrid w:val="0"/>
      <w:kern w:val="2"/>
      <w:sz w:val="24"/>
      <w:szCs w:val="24"/>
      <w:lang w:val="en-US" w:eastAsia="zh-CN" w:bidi="ar-SA"/>
    </w:rPr>
  </w:style>
  <w:style w:type="character" w:customStyle="1" w:styleId="111">
    <w:name w:val="Char Char32"/>
    <w:qFormat/>
    <w:uiPriority w:val="6"/>
    <w:rPr>
      <w:b/>
      <w:kern w:val="1"/>
      <w:sz w:val="24"/>
      <w:szCs w:val="24"/>
    </w:rPr>
  </w:style>
  <w:style w:type="character" w:customStyle="1" w:styleId="112">
    <w:name w:val="PI Char1"/>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
    <w:qFormat/>
    <w:locked/>
    <w:uiPriority w:val="0"/>
    <w:rPr>
      <w:rFonts w:eastAsia="宋体"/>
      <w:kern w:val="2"/>
      <w:sz w:val="18"/>
      <w:lang w:val="en-US" w:eastAsia="zh-CN" w:bidi="ar-SA"/>
    </w:rPr>
  </w:style>
  <w:style w:type="character" w:customStyle="1" w:styleId="115">
    <w:name w:val="普通文字 Char Char1"/>
    <w:qFormat/>
    <w:uiPriority w:val="0"/>
    <w:rPr>
      <w:rFonts w:ascii="宋体" w:hAnsi="Courier New"/>
      <w:kern w:val="2"/>
      <w:sz w:val="21"/>
    </w:rPr>
  </w:style>
  <w:style w:type="character" w:customStyle="1" w:styleId="116">
    <w:name w:val="Char Char101"/>
    <w:qFormat/>
    <w:uiPriority w:val="6"/>
    <w:rPr>
      <w:rFonts w:ascii="宋体" w:hAnsi="宋体"/>
      <w:kern w:val="2"/>
      <w:sz w:val="21"/>
      <w:szCs w:val="24"/>
      <w:lang w:val="en-US" w:eastAsia="zh-CN"/>
    </w:rPr>
  </w:style>
  <w:style w:type="character" w:customStyle="1" w:styleId="117">
    <w:name w:val="标题 4 Char"/>
    <w:qFormat/>
    <w:uiPriority w:val="0"/>
    <w:rPr>
      <w:rFonts w:ascii="Arial" w:hAnsi="Arial" w:eastAsia="黑体"/>
      <w:b/>
      <w:kern w:val="2"/>
      <w:sz w:val="28"/>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9"/>
    <w:rPr>
      <w:b/>
      <w:bCs/>
      <w:kern w:val="2"/>
      <w:sz w:val="32"/>
      <w:szCs w:val="32"/>
    </w:rPr>
  </w:style>
  <w:style w:type="character" w:customStyle="1" w:styleId="123">
    <w:name w:val="样式6 Char"/>
    <w:qFormat/>
    <w:uiPriority w:val="0"/>
    <w:rPr>
      <w:rFonts w:ascii="仿宋_GB2312" w:hAnsi="宋体" w:eastAsia="仿宋_GB2312"/>
      <w:b/>
      <w:bCs/>
      <w:kern w:val="2"/>
      <w:sz w:val="24"/>
      <w:szCs w:val="24"/>
      <w:lang w:val="en-US" w:eastAsia="zh-CN" w:bidi="ar-SA"/>
    </w:rPr>
  </w:style>
  <w:style w:type="character" w:customStyle="1" w:styleId="124">
    <w:name w:val="Char Char14"/>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首行缩进 2 Char"/>
    <w:link w:val="46"/>
    <w:qFormat/>
    <w:uiPriority w:val="0"/>
    <w:rPr>
      <w:rFonts w:ascii="宋体" w:hAnsi="宋体"/>
      <w:kern w:val="2"/>
      <w:sz w:val="21"/>
      <w:szCs w:val="24"/>
    </w:rPr>
  </w:style>
  <w:style w:type="character" w:customStyle="1" w:styleId="127">
    <w:name w:val="font11"/>
    <w:qFormat/>
    <w:uiPriority w:val="0"/>
    <w:rPr>
      <w:rFonts w:hint="default" w:ascii="Times New Roman" w:hAnsi="Times New Roman" w:cs="Times New Roman"/>
      <w:color w:val="000000"/>
      <w:sz w:val="22"/>
      <w:szCs w:val="22"/>
      <w:u w:val="none"/>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blue1"/>
    <w:basedOn w:val="65"/>
    <w:qFormat/>
    <w:uiPriority w:val="0"/>
    <w:rPr>
      <w:rFonts w:ascii="Arial" w:hAnsi="Arial" w:eastAsia="黑体" w:cs="Arial"/>
      <w:snapToGrid w:val="0"/>
      <w:kern w:val="0"/>
      <w:szCs w:val="21"/>
    </w:rPr>
  </w:style>
  <w:style w:type="character" w:customStyle="1" w:styleId="130">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qFormat/>
    <w:uiPriority w:val="0"/>
    <w:rPr>
      <w:rFonts w:eastAsia="宋体"/>
      <w:kern w:val="2"/>
      <w:sz w:val="24"/>
      <w:lang w:val="en-US" w:eastAsia="zh-CN" w:bidi="ar-SA"/>
    </w:rPr>
  </w:style>
  <w:style w:type="paragraph" w:customStyle="1" w:styleId="136">
    <w:name w:val="正文2"/>
    <w:basedOn w:val="1"/>
    <w:link w:val="135"/>
    <w:qFormat/>
    <w:uiPriority w:val="0"/>
    <w:pPr>
      <w:spacing w:before="156" w:line="360" w:lineRule="auto"/>
      <w:ind w:firstLine="510" w:firstLineChars="200"/>
    </w:pPr>
    <w:rPr>
      <w:sz w:val="24"/>
      <w:szCs w:val="20"/>
    </w:rPr>
  </w:style>
  <w:style w:type="character" w:customStyle="1" w:styleId="137">
    <w:name w:val="Char Char24"/>
    <w:qFormat/>
    <w:uiPriority w:val="6"/>
    <w:rPr>
      <w:kern w:val="1"/>
      <w:sz w:val="21"/>
    </w:rPr>
  </w:style>
  <w:style w:type="character" w:customStyle="1" w:styleId="138">
    <w:name w:val="副标题 Char"/>
    <w:link w:val="53"/>
    <w:qFormat/>
    <w:uiPriority w:val="0"/>
    <w:rPr>
      <w:rFonts w:ascii="Arial" w:hAnsi="Arial" w:eastAsia="隶书"/>
      <w:b/>
      <w:bCs/>
      <w:kern w:val="28"/>
      <w:sz w:val="44"/>
      <w:szCs w:val="32"/>
      <w:lang w:val="en-US" w:eastAsia="zh-CN" w:bidi="ar-SA"/>
    </w:rPr>
  </w:style>
  <w:style w:type="character" w:customStyle="1" w:styleId="139">
    <w:name w:val="普通文字 Char1 Char"/>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qFormat/>
    <w:uiPriority w:val="0"/>
    <w:rPr>
      <w:rFonts w:ascii="Calibri" w:hAnsi="Calibri"/>
      <w:sz w:val="28"/>
    </w:rPr>
  </w:style>
  <w:style w:type="character" w:customStyle="1" w:styleId="144">
    <w:name w:val="No Spacing Char"/>
    <w:link w:val="145"/>
    <w:qFormat/>
    <w:uiPriority w:val="1"/>
    <w:rPr>
      <w:sz w:val="22"/>
      <w:szCs w:val="22"/>
      <w:lang w:val="en-US" w:eastAsia="zh-CN" w:bidi="ar-SA"/>
    </w:rPr>
  </w:style>
  <w:style w:type="paragraph" w:customStyle="1" w:styleId="145">
    <w:name w:val="无间隔1"/>
    <w:link w:val="144"/>
    <w:qFormat/>
    <w:uiPriority w:val="1"/>
    <w:rPr>
      <w:rFonts w:ascii="Times New Roman" w:hAnsi="Times New Roman" w:eastAsia="宋体" w:cs="Times New Roman"/>
      <w:sz w:val="22"/>
      <w:szCs w:val="22"/>
      <w:lang w:val="en-US" w:eastAsia="zh-CN" w:bidi="ar-SA"/>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font12gray1"/>
    <w:qFormat/>
    <w:uiPriority w:val="0"/>
    <w:rPr>
      <w:rFonts w:ascii="仿宋_GB2312" w:eastAsia="微软雅黑"/>
      <w:b/>
      <w:spacing w:val="300"/>
      <w:kern w:val="2"/>
      <w:sz w:val="18"/>
      <w:szCs w:val="18"/>
      <w:lang w:val="en-US" w:eastAsia="zh-CN" w:bidi="ar-SA"/>
    </w:rPr>
  </w:style>
  <w:style w:type="character" w:customStyle="1" w:styleId="148">
    <w:name w:val="Char Char7"/>
    <w:semiHidden/>
    <w:qFormat/>
    <w:uiPriority w:val="0"/>
    <w:rPr>
      <w:rFonts w:eastAsia="宋体"/>
      <w:kern w:val="2"/>
      <w:sz w:val="21"/>
      <w:szCs w:val="24"/>
      <w:lang w:val="en-US" w:eastAsia="zh-CN" w:bidi="ar-SA"/>
    </w:rPr>
  </w:style>
  <w:style w:type="character" w:customStyle="1" w:styleId="149">
    <w:name w:val="表名 Char"/>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basedOn w:val="65"/>
    <w:qFormat/>
    <w:uiPriority w:val="0"/>
    <w:rPr>
      <w:rFonts w:hint="eastAsia" w:ascii="仿宋_GB2312" w:eastAsia="仿宋_GB2312" w:cs="仿宋_GB2312"/>
      <w:color w:val="000000"/>
      <w:sz w:val="22"/>
      <w:szCs w:val="22"/>
      <w:u w:val="none"/>
    </w:rPr>
  </w:style>
  <w:style w:type="character" w:customStyle="1" w:styleId="152">
    <w:name w:val="标题 6 Char"/>
    <w:link w:val="10"/>
    <w:qFormat/>
    <w:uiPriority w:val="0"/>
    <w:rPr>
      <w:rFonts w:ascii="Arial" w:hAnsi="Arial" w:eastAsia="黑体"/>
      <w:b/>
      <w:bCs/>
      <w:kern w:val="2"/>
      <w:sz w:val="24"/>
      <w:szCs w:val="24"/>
    </w:rPr>
  </w:style>
  <w:style w:type="character" w:customStyle="1" w:styleId="153">
    <w:name w:val="纯文本 Char_0"/>
    <w:link w:val="154"/>
    <w:qFormat/>
    <w:uiPriority w:val="0"/>
    <w:rPr>
      <w:rFonts w:ascii="宋体" w:hAnsi="Courier New"/>
      <w:kern w:val="2"/>
      <w:sz w:val="21"/>
      <w:szCs w:val="21"/>
      <w:lang w:val="en-US" w:eastAsia="zh-CN"/>
    </w:rPr>
  </w:style>
  <w:style w:type="paragraph" w:customStyle="1" w:styleId="154">
    <w:name w:val="纯文本_0_0"/>
    <w:basedOn w:val="155"/>
    <w:link w:val="153"/>
    <w:qFormat/>
    <w:uiPriority w:val="0"/>
    <w:rPr>
      <w:rFonts w:ascii="宋体" w:hAnsi="Courier New"/>
      <w:szCs w:val="21"/>
    </w:rPr>
  </w:style>
  <w:style w:type="paragraph" w:customStyle="1" w:styleId="15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qFormat/>
    <w:locked/>
    <w:uiPriority w:val="0"/>
    <w:rPr>
      <w:rFonts w:eastAsia="宋体"/>
      <w:kern w:val="2"/>
      <w:sz w:val="18"/>
      <w:szCs w:val="18"/>
      <w:lang w:val="en-US" w:eastAsia="zh-CN" w:bidi="ar-SA"/>
    </w:rPr>
  </w:style>
  <w:style w:type="character" w:customStyle="1" w:styleId="157">
    <w:name w:val="正文 项目2 Char"/>
    <w:basedOn w:val="158"/>
    <w:qFormat/>
    <w:uiPriority w:val="0"/>
    <w:rPr>
      <w:rFonts w:ascii="仿宋_GB2312" w:hAnsi="仿宋_GB2312" w:eastAsia="仿宋_GB2312"/>
      <w:kern w:val="2"/>
      <w:sz w:val="24"/>
      <w:lang w:bidi="ar-SA"/>
    </w:rPr>
  </w:style>
  <w:style w:type="character" w:customStyle="1" w:styleId="158">
    <w:name w:val="正文 项目 Char"/>
    <w:qFormat/>
    <w:uiPriority w:val="0"/>
    <w:rPr>
      <w:rFonts w:ascii="仿宋_GB2312" w:hAnsi="仿宋_GB2312" w:eastAsia="仿宋_GB2312"/>
      <w:kern w:val="2"/>
      <w:sz w:val="24"/>
      <w:lang w:bidi="ar-SA"/>
    </w:rPr>
  </w:style>
  <w:style w:type="character" w:customStyle="1" w:styleId="159">
    <w:name w:val="h Char Char1"/>
    <w:qFormat/>
    <w:uiPriority w:val="0"/>
    <w:rPr>
      <w:rFonts w:eastAsia="宋体"/>
      <w:kern w:val="2"/>
      <w:sz w:val="18"/>
      <w:szCs w:val="18"/>
      <w:lang w:val="en-US" w:eastAsia="zh-CN" w:bidi="ar-SA"/>
    </w:rPr>
  </w:style>
  <w:style w:type="character" w:customStyle="1" w:styleId="160">
    <w:name w:val="Char Char27"/>
    <w:qFormat/>
    <w:uiPriority w:val="6"/>
    <w:rPr>
      <w:rFonts w:ascii="宋体" w:hAnsi="宋体" w:eastAsia="宋体"/>
      <w:color w:val="000000"/>
      <w:kern w:val="1"/>
      <w:sz w:val="28"/>
      <w:lang w:val="en-US" w:eastAsia="zh-CN" w:bidi="ar-SA"/>
    </w:rPr>
  </w:style>
  <w:style w:type="character" w:customStyle="1" w:styleId="161">
    <w:name w:val="px14"/>
    <w:qFormat/>
    <w:uiPriority w:val="0"/>
    <w:rPr>
      <w:rFonts w:ascii="仿宋_GB2312" w:eastAsia="微软雅黑" w:cs="Times New Roman"/>
      <w:b/>
      <w:kern w:val="2"/>
      <w:sz w:val="32"/>
      <w:szCs w:val="32"/>
      <w:lang w:val="en-US" w:eastAsia="zh-CN" w:bidi="ar-SA"/>
    </w:rPr>
  </w:style>
  <w:style w:type="character" w:customStyle="1" w:styleId="162">
    <w:name w:val="HTML 预设格式 Char1"/>
    <w:qFormat/>
    <w:uiPriority w:val="0"/>
    <w:rPr>
      <w:rFonts w:ascii="Courier New" w:hAnsi="Courier New" w:eastAsia="宋体" w:cs="Courier New"/>
      <w:sz w:val="20"/>
      <w:szCs w:val="20"/>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hei16b1"/>
    <w:qFormat/>
    <w:uiPriority w:val="0"/>
    <w:rPr>
      <w:rFonts w:hint="default" w:ascii="Arial" w:hAnsi="Arial" w:cs="Arial"/>
      <w:b/>
      <w:bCs/>
      <w:color w:val="000000"/>
      <w:sz w:val="24"/>
      <w:szCs w:val="24"/>
    </w:rPr>
  </w:style>
  <w:style w:type="character" w:customStyle="1" w:styleId="165">
    <w:name w:val="正文（绿盟科技） Char"/>
    <w:link w:val="166"/>
    <w:qFormat/>
    <w:uiPriority w:val="0"/>
    <w:rPr>
      <w:rFonts w:ascii="Arial" w:hAnsi="Arial"/>
      <w:sz w:val="21"/>
      <w:szCs w:val="21"/>
    </w:rPr>
  </w:style>
  <w:style w:type="paragraph" w:customStyle="1" w:styleId="166">
    <w:name w:val="正文（绿盟科技）"/>
    <w:link w:val="165"/>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qFormat/>
    <w:uiPriority w:val="6"/>
    <w:rPr>
      <w:rFonts w:ascii="宋体" w:hAnsi="宋体"/>
      <w:i/>
      <w:sz w:val="24"/>
      <w:szCs w:val="24"/>
    </w:rPr>
  </w:style>
  <w:style w:type="character" w:customStyle="1" w:styleId="168">
    <w:name w:val="页脚 Char"/>
    <w:qFormat/>
    <w:uiPriority w:val="0"/>
    <w:rPr>
      <w:rFonts w:eastAsia="仿宋_GB2312"/>
      <w:kern w:val="2"/>
      <w:sz w:val="18"/>
      <w:lang w:val="en-US" w:eastAsia="zh-CN"/>
    </w:rPr>
  </w:style>
  <w:style w:type="character" w:customStyle="1" w:styleId="169">
    <w:name w:val="批注主题 Char"/>
    <w:qFormat/>
    <w:uiPriority w:val="0"/>
    <w:rPr>
      <w:rFonts w:eastAsia="宋体"/>
      <w:b/>
      <w:bCs/>
      <w:kern w:val="2"/>
      <w:sz w:val="21"/>
      <w:szCs w:val="24"/>
      <w:lang w:val="en-US" w:eastAsia="zh-CN" w:bidi="ar-SA"/>
    </w:rPr>
  </w:style>
  <w:style w:type="character" w:customStyle="1" w:styleId="170">
    <w:name w:val="Comment Text Char"/>
    <w:qFormat/>
    <w:locked/>
    <w:uiPriority w:val="0"/>
    <w:rPr>
      <w:rFonts w:ascii="宋体" w:hAnsi="宋体" w:eastAsia="宋体"/>
      <w:kern w:val="2"/>
      <w:sz w:val="24"/>
      <w:lang w:val="en-US" w:eastAsia="zh-CN" w:bidi="ar-SA"/>
    </w:rPr>
  </w:style>
  <w:style w:type="character" w:customStyle="1" w:styleId="171">
    <w:name w:val="标题 2 字符"/>
    <w:qFormat/>
    <w:uiPriority w:val="1"/>
    <w:rPr>
      <w:rFonts w:ascii="仿宋_GB2312" w:hAnsi="Times New Roman" w:eastAsia="仿宋_GB2312" w:cs="Times New Roman"/>
      <w:b/>
      <w:kern w:val="2"/>
      <w:sz w:val="24"/>
      <w:lang w:val="zh-CN"/>
    </w:rPr>
  </w:style>
  <w:style w:type="character" w:customStyle="1" w:styleId="172">
    <w:name w:val="Char Char72"/>
    <w:qFormat/>
    <w:uiPriority w:val="0"/>
    <w:rPr>
      <w:rFonts w:eastAsia="宋体"/>
      <w:kern w:val="2"/>
      <w:sz w:val="21"/>
      <w:szCs w:val="24"/>
      <w:lang w:val="en-US" w:eastAsia="zh-CN" w:bidi="ar-SA"/>
    </w:rPr>
  </w:style>
  <w:style w:type="character" w:customStyle="1" w:styleId="173">
    <w:name w:val="正文文本缩进 Char2"/>
    <w:qFormat/>
    <w:uiPriority w:val="0"/>
    <w:rPr>
      <w:rFonts w:ascii="Times New Roman" w:hAnsi="Times New Roman" w:eastAsia="宋体" w:cs="Times New Roman"/>
      <w:snapToGrid w:val="0"/>
      <w:kern w:val="0"/>
      <w:szCs w:val="24"/>
    </w:rPr>
  </w:style>
  <w:style w:type="character" w:customStyle="1" w:styleId="174">
    <w:name w:val="样式2 Char"/>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qFormat/>
    <w:uiPriority w:val="0"/>
    <w:rPr>
      <w:sz w:val="32"/>
    </w:rPr>
  </w:style>
  <w:style w:type="paragraph" w:customStyle="1" w:styleId="176">
    <w:name w:val="表格名称"/>
    <w:basedOn w:val="4"/>
    <w:link w:val="175"/>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7">
    <w:name w:val="Char Char4"/>
    <w:qFormat/>
    <w:uiPriority w:val="0"/>
    <w:rPr>
      <w:rFonts w:eastAsia="宋体"/>
      <w:b/>
      <w:sz w:val="24"/>
      <w:lang w:val="en-GB" w:eastAsia="zh-CN" w:bidi="ar-SA"/>
    </w:rPr>
  </w:style>
  <w:style w:type="character" w:customStyle="1" w:styleId="178">
    <w:name w:val="c7 style3"/>
    <w:qFormat/>
    <w:uiPriority w:val="0"/>
  </w:style>
  <w:style w:type="character" w:customStyle="1" w:styleId="179">
    <w:name w:val="正文文本 3 Char1"/>
    <w:semiHidden/>
    <w:qFormat/>
    <w:uiPriority w:val="99"/>
    <w:rPr>
      <w:rFonts w:ascii="Times New Roman" w:hAnsi="Times New Roman" w:eastAsia="宋体" w:cs="Times New Roman"/>
      <w:sz w:val="16"/>
      <w:szCs w:val="16"/>
    </w:rPr>
  </w:style>
  <w:style w:type="character" w:customStyle="1" w:styleId="180">
    <w:name w:val="tw4winInternal"/>
    <w:qFormat/>
    <w:uiPriority w:val="0"/>
    <w:rPr>
      <w:rFonts w:ascii="Courier New" w:hAnsi="Courier New" w:cs="Courier New"/>
      <w:color w:val="FF0000"/>
      <w:lang w:val="en-US" w:eastAsia="zh-CN"/>
    </w:rPr>
  </w:style>
  <w:style w:type="character" w:customStyle="1" w:styleId="181">
    <w:name w:val="Char Char10"/>
    <w:semiHidden/>
    <w:qFormat/>
    <w:uiPriority w:val="0"/>
    <w:rPr>
      <w:rFonts w:ascii="宋体" w:hAnsi="宋体"/>
      <w:kern w:val="2"/>
      <w:sz w:val="21"/>
      <w:szCs w:val="24"/>
      <w:lang w:val="en-US" w:eastAsia="zh-CN"/>
    </w:rPr>
  </w:style>
  <w:style w:type="character" w:customStyle="1" w:styleId="182">
    <w:name w:val="shadow11"/>
    <w:qFormat/>
    <w:uiPriority w:val="0"/>
    <w:rPr>
      <w:color w:val="000000"/>
      <w:sz w:val="21"/>
    </w:rPr>
  </w:style>
  <w:style w:type="character" w:customStyle="1" w:styleId="183">
    <w:name w:val="正文非缩进 Char3"/>
    <w:qFormat/>
    <w:uiPriority w:val="0"/>
    <w:rPr>
      <w:rFonts w:ascii="宋体" w:eastAsia="宋体"/>
      <w:snapToGrid w:val="0"/>
      <w:color w:val="000000"/>
      <w:kern w:val="28"/>
      <w:sz w:val="28"/>
      <w:lang w:val="en-US" w:eastAsia="zh-CN" w:bidi="ar-SA"/>
    </w:rPr>
  </w:style>
  <w:style w:type="character" w:customStyle="1" w:styleId="184">
    <w:name w:val="Char Char"/>
    <w:qFormat/>
    <w:uiPriority w:val="0"/>
    <w:rPr>
      <w:rFonts w:ascii="宋体" w:hAnsi="Courier New" w:eastAsia="宋体"/>
      <w:kern w:val="2"/>
      <w:sz w:val="21"/>
      <w:lang w:val="en-US" w:eastAsia="zh-CN" w:bidi="ar-SA"/>
    </w:rPr>
  </w:style>
  <w:style w:type="character" w:customStyle="1" w:styleId="185">
    <w:name w:val="签名 Char1"/>
    <w:qFormat/>
    <w:uiPriority w:val="0"/>
    <w:rPr>
      <w:rFonts w:ascii="Times New Roman" w:hAnsi="Times New Roman" w:eastAsia="宋体" w:cs="Times New Roman"/>
      <w:szCs w:val="24"/>
    </w:rPr>
  </w:style>
  <w:style w:type="character" w:customStyle="1" w:styleId="186">
    <w:name w:val="日期 Char"/>
    <w:link w:val="40"/>
    <w:qFormat/>
    <w:uiPriority w:val="0"/>
    <w:rPr>
      <w:rFonts w:ascii="宋体"/>
      <w:kern w:val="2"/>
      <w:sz w:val="24"/>
      <w:szCs w:val="21"/>
      <w:lang w:val="zh-CN"/>
    </w:rPr>
  </w:style>
  <w:style w:type="character" w:customStyle="1" w:styleId="187">
    <w:name w:val="标题 9 Char"/>
    <w:link w:val="13"/>
    <w:qFormat/>
    <w:uiPriority w:val="0"/>
    <w:rPr>
      <w:rFonts w:ascii="Arial" w:hAnsi="Arial" w:eastAsia="黑体"/>
      <w:kern w:val="2"/>
      <w:sz w:val="21"/>
      <w:szCs w:val="21"/>
    </w:rPr>
  </w:style>
  <w:style w:type="character" w:customStyle="1" w:styleId="188">
    <w:name w:val="Char Char18"/>
    <w:qFormat/>
    <w:uiPriority w:val="6"/>
    <w:rPr>
      <w:rFonts w:ascii="宋体" w:hAnsi="宋体"/>
      <w:sz w:val="28"/>
    </w:rPr>
  </w:style>
  <w:style w:type="character" w:customStyle="1" w:styleId="189">
    <w:name w:val="批注文字 Char"/>
    <w:qFormat/>
    <w:uiPriority w:val="0"/>
    <w:rPr>
      <w:kern w:val="2"/>
      <w:sz w:val="21"/>
      <w:szCs w:val="24"/>
    </w:rPr>
  </w:style>
  <w:style w:type="character" w:customStyle="1" w:styleId="190">
    <w:name w:val="Char Char22"/>
    <w:qFormat/>
    <w:uiPriority w:val="6"/>
    <w:rPr>
      <w:rFonts w:ascii="宋体" w:hAnsi="宋体"/>
      <w:kern w:val="1"/>
      <w:sz w:val="24"/>
      <w:szCs w:val="24"/>
    </w:rPr>
  </w:style>
  <w:style w:type="character" w:customStyle="1" w:styleId="191">
    <w:name w:val="pt141"/>
    <w:qFormat/>
    <w:uiPriority w:val="0"/>
    <w:rPr>
      <w:color w:val="330066"/>
      <w:sz w:val="22"/>
      <w:szCs w:val="22"/>
    </w:rPr>
  </w:style>
  <w:style w:type="character" w:customStyle="1" w:styleId="192">
    <w:name w:val="正文文本缩进 2 Char1"/>
    <w:semiHidden/>
    <w:qFormat/>
    <w:uiPriority w:val="99"/>
    <w:rPr>
      <w:rFonts w:ascii="Times New Roman" w:hAnsi="Times New Roman" w:eastAsia="宋体" w:cs="Times New Roman"/>
      <w:szCs w:val="24"/>
    </w:rPr>
  </w:style>
  <w:style w:type="character" w:customStyle="1" w:styleId="193">
    <w:name w:val="批注框文本 Char"/>
    <w:link w:val="43"/>
    <w:qFormat/>
    <w:uiPriority w:val="0"/>
    <w:rPr>
      <w:kern w:val="2"/>
      <w:sz w:val="18"/>
      <w:szCs w:val="18"/>
    </w:rPr>
  </w:style>
  <w:style w:type="character" w:customStyle="1" w:styleId="194">
    <w:name w:val="Char Char611"/>
    <w:qFormat/>
    <w:uiPriority w:val="0"/>
    <w:rPr>
      <w:rFonts w:eastAsia="宋体"/>
      <w:kern w:val="2"/>
      <w:sz w:val="21"/>
      <w:szCs w:val="24"/>
      <w:lang w:val="en-US" w:eastAsia="zh-CN" w:bidi="ar-SA"/>
    </w:rPr>
  </w:style>
  <w:style w:type="character" w:customStyle="1" w:styleId="195">
    <w:name w:val="highlight1"/>
    <w:qFormat/>
    <w:uiPriority w:val="0"/>
    <w:rPr>
      <w:rFonts w:ascii="仿宋_GB2312" w:eastAsia="微软雅黑"/>
      <w:b/>
      <w:kern w:val="2"/>
      <w:sz w:val="23"/>
      <w:szCs w:val="23"/>
      <w:lang w:val="en-US" w:eastAsia="zh-CN" w:bidi="ar-SA"/>
    </w:rPr>
  </w:style>
  <w:style w:type="character" w:customStyle="1" w:styleId="196">
    <w:name w:val="my正文 Char"/>
    <w:link w:val="197"/>
    <w:qFormat/>
    <w:locked/>
    <w:uiPriority w:val="0"/>
    <w:rPr>
      <w:rFonts w:ascii="Tahoma" w:hAnsi="Tahoma"/>
      <w:sz w:val="24"/>
      <w:szCs w:val="24"/>
    </w:rPr>
  </w:style>
  <w:style w:type="paragraph" w:customStyle="1" w:styleId="197">
    <w:name w:val="my正文"/>
    <w:basedOn w:val="1"/>
    <w:link w:val="196"/>
    <w:qFormat/>
    <w:uiPriority w:val="0"/>
    <w:pPr>
      <w:adjustRightInd/>
      <w:spacing w:line="360" w:lineRule="auto"/>
      <w:ind w:firstLine="480" w:firstLineChars="200"/>
    </w:pPr>
    <w:rPr>
      <w:rFonts w:ascii="Tahoma" w:hAnsi="Tahoma"/>
      <w:kern w:val="0"/>
      <w:sz w:val="24"/>
    </w:rPr>
  </w:style>
  <w:style w:type="character" w:customStyle="1" w:styleId="198">
    <w:name w:val="正文缩进 Char2"/>
    <w:link w:val="6"/>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qFormat/>
    <w:uiPriority w:val="0"/>
    <w:rPr>
      <w:color w:val="0000FF"/>
      <w:sz w:val="21"/>
    </w:rPr>
  </w:style>
  <w:style w:type="character" w:customStyle="1" w:styleId="200">
    <w:name w:val="页眉 Char"/>
    <w:qFormat/>
    <w:uiPriority w:val="0"/>
    <w:rPr>
      <w:rFonts w:eastAsia="仿宋_GB2312"/>
      <w:kern w:val="2"/>
      <w:sz w:val="18"/>
      <w:lang w:val="en-US" w:eastAsia="zh-CN"/>
    </w:rPr>
  </w:style>
  <w:style w:type="character" w:customStyle="1" w:styleId="201">
    <w:name w:val="FA正文 Char Char"/>
    <w:qFormat/>
    <w:uiPriority w:val="0"/>
    <w:rPr>
      <w:rFonts w:hAnsi="宋体"/>
      <w:kern w:val="2"/>
      <w:sz w:val="24"/>
      <w:lang w:bidi="ar-SA"/>
    </w:rPr>
  </w:style>
  <w:style w:type="character" w:customStyle="1" w:styleId="202">
    <w:name w:val="纯文本 字符"/>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qFormat/>
    <w:uiPriority w:val="0"/>
    <w:rPr>
      <w:rFonts w:ascii="宋体" w:hAnsi="宋体"/>
      <w:b/>
      <w:bCs/>
      <w:snapToGrid/>
      <w:sz w:val="28"/>
    </w:rPr>
  </w:style>
  <w:style w:type="paragraph" w:customStyle="1" w:styleId="204">
    <w:name w:val="3级"/>
    <w:basedOn w:val="205"/>
    <w:link w:val="203"/>
    <w:qFormat/>
    <w:uiPriority w:val="0"/>
    <w:pPr>
      <w:ind w:left="0" w:right="466" w:firstLine="288"/>
    </w:pPr>
    <w:rPr>
      <w:rFonts w:hAnsi="宋体"/>
      <w:snapToGrid/>
    </w:rPr>
  </w:style>
  <w:style w:type="paragraph" w:customStyle="1" w:styleId="205">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qFormat/>
    <w:uiPriority w:val="0"/>
    <w:rPr>
      <w:rFonts w:ascii="仿宋_GB2312" w:eastAsia="微软雅黑"/>
      <w:b/>
      <w:kern w:val="2"/>
      <w:sz w:val="32"/>
      <w:szCs w:val="32"/>
      <w:lang w:val="en-US" w:eastAsia="zh-CN" w:bidi="ar-SA"/>
    </w:rPr>
  </w:style>
  <w:style w:type="character" w:customStyle="1" w:styleId="207">
    <w:name w:val="文档结构图 Char1"/>
    <w:link w:val="25"/>
    <w:qFormat/>
    <w:uiPriority w:val="0"/>
    <w:rPr>
      <w:kern w:val="2"/>
      <w:sz w:val="21"/>
      <w:szCs w:val="24"/>
      <w:shd w:val="clear" w:color="auto" w:fill="000080"/>
    </w:rPr>
  </w:style>
  <w:style w:type="character" w:customStyle="1" w:styleId="208">
    <w:name w:val="H6 Char"/>
    <w:qFormat/>
    <w:uiPriority w:val="0"/>
    <w:rPr>
      <w:rFonts w:ascii="Arial" w:hAnsi="Arial" w:eastAsia="黑体"/>
      <w:b/>
      <w:bCs/>
      <w:kern w:val="2"/>
      <w:sz w:val="24"/>
      <w:szCs w:val="24"/>
    </w:rPr>
  </w:style>
  <w:style w:type="character" w:customStyle="1" w:styleId="209">
    <w:name w:val="Char Char91"/>
    <w:qFormat/>
    <w:uiPriority w:val="0"/>
    <w:rPr>
      <w:rFonts w:eastAsia="宋体"/>
      <w:kern w:val="2"/>
      <w:sz w:val="18"/>
      <w:szCs w:val="18"/>
      <w:lang w:val="en-US" w:eastAsia="zh-CN" w:bidi="ar-SA"/>
    </w:rPr>
  </w:style>
  <w:style w:type="character" w:customStyle="1" w:styleId="210">
    <w:name w:val="副标题 Char1"/>
    <w:qFormat/>
    <w:uiPriority w:val="0"/>
    <w:rPr>
      <w:rFonts w:ascii="Cambria" w:hAnsi="Cambria" w:eastAsia="宋体" w:cs="Times New Roman"/>
      <w:b/>
      <w:bCs/>
      <w:snapToGrid w:val="0"/>
      <w:kern w:val="28"/>
      <w:sz w:val="32"/>
      <w:szCs w:val="32"/>
    </w:rPr>
  </w:style>
  <w:style w:type="character" w:customStyle="1" w:styleId="211">
    <w:name w:val="font61"/>
    <w:qFormat/>
    <w:uiPriority w:val="0"/>
    <w:rPr>
      <w:rFonts w:hint="eastAsia" w:ascii="仿宋" w:hAnsi="仿宋" w:eastAsia="仿宋" w:cs="仿宋"/>
      <w:color w:val="000000"/>
      <w:sz w:val="20"/>
      <w:szCs w:val="20"/>
      <w:u w:val="none"/>
    </w:rPr>
  </w:style>
  <w:style w:type="character" w:customStyle="1" w:styleId="21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qFormat/>
    <w:uiPriority w:val="0"/>
    <w:rPr>
      <w:rFonts w:eastAsia="宋体"/>
      <w:b/>
      <w:bCs/>
      <w:kern w:val="2"/>
      <w:sz w:val="21"/>
      <w:szCs w:val="24"/>
      <w:lang w:val="en-US" w:eastAsia="zh-CN" w:bidi="ar-SA"/>
    </w:rPr>
  </w:style>
  <w:style w:type="character" w:customStyle="1" w:styleId="214">
    <w:name w:val="标题 2 Char"/>
    <w:qFormat/>
    <w:uiPriority w:val="0"/>
    <w:rPr>
      <w:rFonts w:ascii="Arial" w:hAnsi="Arial" w:eastAsia="黑体"/>
      <w:b/>
      <w:kern w:val="2"/>
      <w:sz w:val="32"/>
      <w:lang w:val="en-US" w:eastAsia="zh-CN"/>
    </w:rPr>
  </w:style>
  <w:style w:type="character" w:customStyle="1" w:styleId="215">
    <w:name w:val="maywed421"/>
    <w:qFormat/>
    <w:uiPriority w:val="0"/>
    <w:rPr>
      <w:color w:val="366FB6"/>
      <w:u w:val="none"/>
    </w:rPr>
  </w:style>
  <w:style w:type="character" w:customStyle="1" w:styleId="216">
    <w:name w:val="正文文本缩进 Char"/>
    <w:qFormat/>
    <w:uiPriority w:val="0"/>
    <w:rPr>
      <w:rFonts w:ascii="宋体" w:hAnsi="宋体"/>
      <w:kern w:val="2"/>
      <w:sz w:val="24"/>
      <w:szCs w:val="24"/>
    </w:rPr>
  </w:style>
  <w:style w:type="character" w:customStyle="1" w:styleId="217">
    <w:name w:val="Char Char102"/>
    <w:semiHidden/>
    <w:qFormat/>
    <w:uiPriority w:val="0"/>
    <w:rPr>
      <w:rFonts w:ascii="宋体" w:hAnsi="宋体"/>
      <w:kern w:val="2"/>
      <w:sz w:val="21"/>
      <w:szCs w:val="24"/>
      <w:lang w:val="en-US" w:eastAsia="zh-CN"/>
    </w:rPr>
  </w:style>
  <w:style w:type="character" w:customStyle="1" w:styleId="218">
    <w:name w:val="页眉 Char1"/>
    <w:qFormat/>
    <w:uiPriority w:val="0"/>
    <w:rPr>
      <w:rFonts w:eastAsia="宋体"/>
      <w:kern w:val="2"/>
      <w:sz w:val="18"/>
      <w:szCs w:val="18"/>
      <w:lang w:val="en-US" w:eastAsia="zh-CN" w:bidi="ar-SA"/>
    </w:rPr>
  </w:style>
  <w:style w:type="character" w:customStyle="1" w:styleId="219">
    <w:name w:val="md"/>
    <w:basedOn w:val="65"/>
    <w:qFormat/>
    <w:uiPriority w:val="0"/>
    <w:rPr>
      <w:rFonts w:ascii="Arial" w:hAnsi="Arial" w:eastAsia="黑体" w:cs="Arial"/>
      <w:snapToGrid w:val="0"/>
      <w:kern w:val="0"/>
      <w:szCs w:val="21"/>
    </w:rPr>
  </w:style>
  <w:style w:type="character" w:customStyle="1" w:styleId="220">
    <w:name w:val="big1"/>
    <w:qFormat/>
    <w:uiPriority w:val="0"/>
    <w:rPr>
      <w:rFonts w:hint="eastAsia" w:ascii="宋体" w:hAnsi="宋体" w:eastAsia="宋体"/>
      <w:color w:val="333333"/>
      <w:sz w:val="22"/>
      <w:szCs w:val="22"/>
    </w:rPr>
  </w:style>
  <w:style w:type="character" w:customStyle="1" w:styleId="221">
    <w:name w:val="Char Char311"/>
    <w:qFormat/>
    <w:uiPriority w:val="0"/>
    <w:rPr>
      <w:rFonts w:eastAsia="宋体"/>
      <w:kern w:val="2"/>
      <w:sz w:val="21"/>
      <w:szCs w:val="24"/>
      <w:lang w:val="en-US" w:eastAsia="zh-CN" w:bidi="ar-SA"/>
    </w:rPr>
  </w:style>
  <w:style w:type="character" w:customStyle="1" w:styleId="222">
    <w:name w:val="Char Char81"/>
    <w:qFormat/>
    <w:uiPriority w:val="6"/>
    <w:rPr>
      <w:rFonts w:eastAsia="宋体"/>
      <w:b/>
      <w:sz w:val="24"/>
      <w:lang w:val="en-GB" w:eastAsia="zh-CN"/>
    </w:rPr>
  </w:style>
  <w:style w:type="character" w:customStyle="1" w:styleId="223">
    <w:name w:val="样式3 Char"/>
    <w:basedOn w:val="174"/>
    <w:qFormat/>
    <w:uiPriority w:val="0"/>
    <w:rPr>
      <w:rFonts w:ascii="仿宋_GB2312" w:hAnsi="仿宋" w:eastAsia="仿宋_GB2312" w:cs="仿宋_GB2312"/>
      <w:sz w:val="32"/>
      <w:szCs w:val="30"/>
      <w:lang w:val="zh-CN"/>
    </w:rPr>
  </w:style>
  <w:style w:type="character" w:customStyle="1" w:styleId="224">
    <w:name w:val="HTML 地址 Char"/>
    <w:link w:val="33"/>
    <w:qFormat/>
    <w:uiPriority w:val="0"/>
    <w:rPr>
      <w:rFonts w:ascii="宋体" w:hAnsi="宋体"/>
      <w:i/>
      <w:iCs/>
      <w:sz w:val="24"/>
      <w:szCs w:val="24"/>
    </w:rPr>
  </w:style>
  <w:style w:type="character" w:customStyle="1" w:styleId="225">
    <w:name w:val="正文首行缩进 2 Char1"/>
    <w:qFormat/>
    <w:uiPriority w:val="0"/>
    <w:rPr>
      <w:rFonts w:ascii="Times New Roman" w:hAnsi="Times New Roman" w:eastAsia="宋体" w:cs="Times New Roman"/>
      <w:kern w:val="2"/>
      <w:sz w:val="24"/>
      <w:szCs w:val="24"/>
    </w:rPr>
  </w:style>
  <w:style w:type="character" w:customStyle="1" w:styleId="226">
    <w:name w:val="副标题 Char2"/>
    <w:qFormat/>
    <w:uiPriority w:val="0"/>
    <w:rPr>
      <w:rFonts w:ascii="Cambria" w:hAnsi="Cambria" w:eastAsia="宋体" w:cs="Times New Roman"/>
      <w:b/>
      <w:bCs/>
      <w:snapToGrid w:val="0"/>
      <w:kern w:val="28"/>
      <w:sz w:val="32"/>
      <w:szCs w:val="32"/>
    </w:rPr>
  </w:style>
  <w:style w:type="character" w:customStyle="1" w:styleId="227">
    <w:name w:val="标题4-dyf Char"/>
    <w:link w:val="228"/>
    <w:qFormat/>
    <w:uiPriority w:val="0"/>
    <w:rPr>
      <w:rFonts w:ascii="Cambria" w:hAnsi="Cambria"/>
      <w:b/>
      <w:bCs/>
      <w:color w:val="000000"/>
      <w:kern w:val="2"/>
      <w:sz w:val="21"/>
      <w:szCs w:val="21"/>
    </w:rPr>
  </w:style>
  <w:style w:type="paragraph" w:customStyle="1" w:styleId="228">
    <w:name w:val="标题4-dyf"/>
    <w:basedOn w:val="8"/>
    <w:link w:val="22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qFormat/>
    <w:uiPriority w:val="0"/>
    <w:rPr>
      <w:rFonts w:ascii="宋体" w:hAnsi="宋体" w:eastAsia="宋体"/>
      <w:color w:val="333333"/>
      <w:sz w:val="21"/>
      <w:szCs w:val="21"/>
      <w:u w:val="none"/>
    </w:rPr>
  </w:style>
  <w:style w:type="character" w:customStyle="1" w:styleId="230">
    <w:name w:val="冯 Char"/>
    <w:link w:val="231"/>
    <w:qFormat/>
    <w:uiPriority w:val="0"/>
    <w:rPr>
      <w:rFonts w:ascii="宋体" w:hAnsi="宋体"/>
      <w:color w:val="000000"/>
      <w:sz w:val="24"/>
      <w:szCs w:val="24"/>
    </w:rPr>
  </w:style>
  <w:style w:type="paragraph" w:customStyle="1" w:styleId="231">
    <w:name w:val="冯"/>
    <w:basedOn w:val="1"/>
    <w:link w:val="230"/>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qFormat/>
    <w:locked/>
    <w:uiPriority w:val="0"/>
    <w:rPr>
      <w:rFonts w:eastAsia="宋体"/>
      <w:kern w:val="2"/>
      <w:sz w:val="18"/>
      <w:szCs w:val="18"/>
      <w:lang w:val="en-US" w:eastAsia="zh-CN" w:bidi="ar-SA"/>
    </w:rPr>
  </w:style>
  <w:style w:type="character" w:customStyle="1" w:styleId="233">
    <w:name w:val="Char Char12"/>
    <w:qFormat/>
    <w:uiPriority w:val="0"/>
    <w:rPr>
      <w:rFonts w:ascii="仿宋_GB2312" w:eastAsia="仿宋_GB2312"/>
      <w:b/>
      <w:bCs/>
      <w:kern w:val="2"/>
      <w:sz w:val="24"/>
      <w:szCs w:val="24"/>
      <w:lang w:val="zh-CN" w:eastAsia="zh-CN" w:bidi="ar-SA"/>
    </w:rPr>
  </w:style>
  <w:style w:type="character" w:customStyle="1" w:styleId="234">
    <w:name w:val="题注 Char"/>
    <w:link w:val="23"/>
    <w:qFormat/>
    <w:uiPriority w:val="0"/>
    <w:rPr>
      <w:b/>
      <w:kern w:val="2"/>
      <w:sz w:val="28"/>
    </w:rPr>
  </w:style>
  <w:style w:type="character" w:customStyle="1" w:styleId="235">
    <w:name w:val="普通文字 Char3"/>
    <w:qFormat/>
    <w:uiPriority w:val="0"/>
    <w:rPr>
      <w:rFonts w:ascii="宋体" w:hAnsi="Courier New" w:eastAsia="宋体"/>
      <w:kern w:val="2"/>
      <w:sz w:val="21"/>
      <w:lang w:val="en-US" w:eastAsia="zh-CN" w:bidi="ar-SA"/>
    </w:rPr>
  </w:style>
  <w:style w:type="character" w:customStyle="1" w:styleId="236">
    <w:name w:val="公文正文 Char"/>
    <w:qFormat/>
    <w:uiPriority w:val="0"/>
    <w:rPr>
      <w:rFonts w:ascii="仿宋_GB2312" w:eastAsia="仿宋_GB2312"/>
      <w:kern w:val="2"/>
      <w:sz w:val="24"/>
      <w:szCs w:val="24"/>
      <w:lang w:val="en-US" w:eastAsia="zh-CN" w:bidi="ar-SA"/>
    </w:rPr>
  </w:style>
  <w:style w:type="character" w:customStyle="1" w:styleId="237">
    <w:name w:val="正文首行缩进 Char Char Char Char Char"/>
    <w:qFormat/>
    <w:uiPriority w:val="0"/>
    <w:rPr>
      <w:rFonts w:ascii="宋体"/>
      <w:kern w:val="2"/>
      <w:sz w:val="24"/>
      <w:lang w:val="zh-CN"/>
    </w:rPr>
  </w:style>
  <w:style w:type="character" w:customStyle="1" w:styleId="238">
    <w:name w:val="PI Char"/>
    <w:qFormat/>
    <w:uiPriority w:val="0"/>
    <w:rPr>
      <w:rFonts w:ascii="宋体" w:hAnsi="宋体" w:eastAsia="宋体"/>
      <w:kern w:val="2"/>
      <w:sz w:val="24"/>
      <w:szCs w:val="24"/>
      <w:lang w:val="en-US" w:eastAsia="zh-CN" w:bidi="ar-SA"/>
    </w:rPr>
  </w:style>
  <w:style w:type="character" w:customStyle="1" w:styleId="239">
    <w:name w:val="Default Char"/>
    <w:link w:val="37"/>
    <w:qFormat/>
    <w:uiPriority w:val="0"/>
    <w:rPr>
      <w:rFonts w:ascii="仿宋_GB2312" w:eastAsia="仿宋_GB2312" w:cs="仿宋_GB2312"/>
      <w:color w:val="000000"/>
      <w:sz w:val="24"/>
      <w:szCs w:val="24"/>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semiHidden/>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locked/>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sz w:val="24"/>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262"/>
    <w:link w:val="260"/>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2">
    <w:name w:val="List Paragraph"/>
    <w:basedOn w:val="1"/>
    <w:qFormat/>
    <w:uiPriority w:val="34"/>
    <w:pPr>
      <w:spacing w:line="360" w:lineRule="auto"/>
      <w:ind w:firstLine="200" w:firstLineChars="200"/>
    </w:pPr>
    <w:rPr>
      <w:rFonts w:eastAsia="楷体_GB2312" w:cs="Lucida Sans"/>
      <w:sz w:val="24"/>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Char3"/>
    <w:link w:val="7"/>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Char"/>
    <w:link w:val="3"/>
    <w:qFormat/>
    <w:uiPriority w:val="9"/>
    <w:rPr>
      <w:b/>
      <w:bCs/>
      <w:kern w:val="44"/>
      <w:sz w:val="44"/>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Char2"/>
    <w:link w:val="64"/>
    <w:qFormat/>
    <w:uiPriority w:val="1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Char"/>
    <w:link w:val="9"/>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Char"/>
    <w:link w:val="26"/>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正文缩进 字符"/>
    <w:qFormat/>
    <w:uiPriority w:val="0"/>
    <w:rPr>
      <w:rFonts w:ascii="宋体" w:eastAsia="宋体"/>
      <w:snapToGrid w:val="0"/>
      <w:color w:val="000000"/>
      <w:kern w:val="28"/>
      <w:sz w:val="28"/>
      <w:lang w:val="en-US" w:eastAsia="zh-CN" w:bidi="ar-SA"/>
    </w:rPr>
  </w:style>
  <w:style w:type="character" w:customStyle="1" w:styleId="305">
    <w:name w:val="HTML 预设格式 Char"/>
    <w:link w:val="62"/>
    <w:qFormat/>
    <w:uiPriority w:val="0"/>
    <w:rPr>
      <w:rFonts w:ascii="黑体" w:hAnsi="Courier New" w:eastAsia="黑体"/>
    </w:rPr>
  </w:style>
  <w:style w:type="character" w:customStyle="1" w:styleId="306">
    <w:name w:val="正文文本 2 Char1"/>
    <w:link w:val="61"/>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8"/>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Char"/>
    <w:link w:val="11"/>
    <w:qFormat/>
    <w:uiPriority w:val="0"/>
    <w:rPr>
      <w:b/>
      <w:bCs/>
      <w:kern w:val="2"/>
      <w:sz w:val="24"/>
      <w:szCs w:val="24"/>
    </w:rPr>
  </w:style>
  <w:style w:type="character" w:customStyle="1" w:styleId="312">
    <w:name w:val="正文文本缩进 2 Char"/>
    <w:link w:val="41"/>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Char"/>
    <w:link w:val="56"/>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首行缩进 Char"/>
    <w:link w:val="17"/>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Char2"/>
    <w:link w:val="8"/>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Char"/>
    <w:link w:val="27"/>
    <w:qFormat/>
    <w:uiPriority w:val="0"/>
    <w:rPr>
      <w:kern w:val="2"/>
      <w:sz w:val="21"/>
    </w:rPr>
  </w:style>
  <w:style w:type="character" w:customStyle="1" w:styleId="335">
    <w:name w:val="font31"/>
    <w:basedOn w:val="65"/>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Char1"/>
    <w:link w:val="15"/>
    <w:qFormat/>
    <w:uiPriority w:val="0"/>
    <w:rPr>
      <w:kern w:val="2"/>
      <w:sz w:val="21"/>
      <w:szCs w:val="24"/>
    </w:rPr>
  </w:style>
  <w:style w:type="character" w:customStyle="1" w:styleId="349">
    <w:name w:val="签名 Char"/>
    <w:link w:val="48"/>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basedOn w:val="65"/>
    <w:qFormat/>
    <w:uiPriority w:val="0"/>
    <w:rPr>
      <w:rFonts w:hint="eastAsia" w:ascii="宋体" w:hAnsi="宋体" w:eastAsia="宋体"/>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12"/>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Char"/>
    <w:link w:val="58"/>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Char2"/>
    <w:link w:val="44"/>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Char2"/>
    <w:link w:val="47"/>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156"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65"/>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6"/>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link w:val="18"/>
    <w:qFormat/>
    <w:uiPriority w:val="0"/>
    <w:rPr>
      <w:rFonts w:ascii="宋体" w:hAnsi="Arial" w:eastAsia="宋体" w:cs="Arial"/>
      <w:snapToGrid w:val="0"/>
      <w:kern w:val="2"/>
      <w:sz w:val="24"/>
      <w:szCs w:val="21"/>
      <w:lang w:val="zh-CN" w:eastAsia="zh-CN" w:bidi="ar-SA"/>
    </w:rPr>
  </w:style>
  <w:style w:type="character" w:customStyle="1" w:styleId="435">
    <w:name w:val="gray6"/>
    <w:basedOn w:val="65"/>
    <w:qFormat/>
    <w:uiPriority w:val="0"/>
    <w:rPr>
      <w:rFonts w:ascii="Arial" w:hAnsi="Arial" w:eastAsia="黑体" w:cs="Arial"/>
      <w:snapToGrid w:val="0"/>
      <w:kern w:val="0"/>
      <w:szCs w:val="21"/>
    </w:rPr>
  </w:style>
  <w:style w:type="character" w:customStyle="1" w:styleId="436">
    <w:name w:val="hui"/>
    <w:basedOn w:val="65"/>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8"/>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312"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spacing w:before="0" w:after="0"/>
      <w:outlineLvl w:val="5"/>
    </w:pPr>
  </w:style>
  <w:style w:type="paragraph" w:customStyle="1" w:styleId="478">
    <w:name w:val="5级标题"/>
    <w:basedOn w:val="479"/>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26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7">
    <w:name w:val="No Spacing"/>
    <w:basedOn w:val="1"/>
    <w:link w:val="934"/>
    <w:qFormat/>
    <w:uiPriority w:val="99"/>
    <w:rPr>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4"/>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5"/>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9"/>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5"/>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2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qFormat/>
    <w:uiPriority w:val="0"/>
    <w:pPr>
      <w:adjustRightInd/>
      <w:ind w:firstLine="420" w:firstLineChars="200"/>
    </w:pPr>
    <w:rPr>
      <w:rFonts w:eastAsia="仿宋_GB2312"/>
      <w:sz w:val="28"/>
    </w:rPr>
  </w:style>
  <w:style w:type="paragraph" w:customStyle="1" w:styleId="52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17"/>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qFormat/>
    <w:uiPriority w:val="0"/>
    <w:pPr>
      <w:adjustRightInd/>
      <w:ind w:firstLine="200" w:firstLineChars="200"/>
      <w:jc w:val="right"/>
    </w:pPr>
  </w:style>
  <w:style w:type="paragraph" w:customStyle="1" w:styleId="529">
    <w:name w:val="Char Char11 Char Char Char Char Char Char Char Char Char"/>
    <w:basedOn w:val="1"/>
    <w:qFormat/>
    <w:uiPriority w:val="0"/>
    <w:pPr>
      <w:spacing w:line="360" w:lineRule="auto"/>
    </w:pPr>
    <w:rPr>
      <w:szCs w:val="20"/>
    </w:rPr>
  </w:style>
  <w:style w:type="paragraph" w:customStyle="1" w:styleId="530">
    <w:name w:val="正文1.25"/>
    <w:basedOn w:val="1"/>
    <w:qFormat/>
    <w:uiPriority w:val="0"/>
    <w:pPr>
      <w:adjustRightInd/>
      <w:spacing w:line="300" w:lineRule="auto"/>
      <w:ind w:firstLine="480" w:firstLineChars="200"/>
    </w:pPr>
    <w:rPr>
      <w:sz w:val="24"/>
      <w:szCs w:val="20"/>
    </w:rPr>
  </w:style>
  <w:style w:type="paragraph" w:customStyle="1" w:styleId="53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6"/>
    <w:rPr>
      <w:rFonts w:ascii="仿宋_GB2312" w:eastAsia="仿宋_GB2312"/>
      <w:b/>
      <w:sz w:val="32"/>
      <w:szCs w:val="20"/>
    </w:rPr>
  </w:style>
  <w:style w:type="paragraph" w:customStyle="1" w:styleId="535">
    <w:name w:val="列出段落2"/>
    <w:basedOn w:val="1"/>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qFormat/>
    <w:uiPriority w:val="0"/>
    <w:rPr>
      <w:rFonts w:eastAsia="仿宋_GB2312"/>
      <w:sz w:val="28"/>
      <w:szCs w:val="20"/>
    </w:rPr>
  </w:style>
  <w:style w:type="paragraph" w:customStyle="1" w:styleId="53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8"/>
    <w:qFormat/>
    <w:uiPriority w:val="0"/>
    <w:pPr>
      <w:widowControl/>
      <w:jc w:val="left"/>
    </w:pPr>
    <w:rPr>
      <w:rFonts w:cs="宋体"/>
      <w:sz w:val="24"/>
      <w:szCs w:val="20"/>
    </w:rPr>
  </w:style>
  <w:style w:type="paragraph" w:customStyle="1" w:styleId="539">
    <w:name w:val="彩色列表 - 强调文字颜色 11"/>
    <w:basedOn w:val="1"/>
    <w:qFormat/>
    <w:uiPriority w:val="0"/>
    <w:pPr>
      <w:adjustRightInd/>
      <w:ind w:firstLine="420" w:firstLineChars="200"/>
    </w:pPr>
    <w:rPr>
      <w:rFonts w:ascii="Calibri" w:hAnsi="Calibri"/>
      <w:szCs w:val="22"/>
    </w:rPr>
  </w:style>
  <w:style w:type="paragraph" w:customStyle="1" w:styleId="54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qFormat/>
    <w:uiPriority w:val="6"/>
    <w:rPr>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37"/>
    <w:next w:val="37"/>
    <w:qFormat/>
    <w:uiPriority w:val="0"/>
    <w:pPr>
      <w:spacing w:after="68"/>
    </w:pPr>
    <w:rPr>
      <w:rFonts w:ascii="FHLHE E+ Futura Bk" w:eastAsia="FHLHE E+ Futura Bk" w:cs="Times New Roman"/>
      <w:color w:val="auto"/>
    </w:rPr>
  </w:style>
  <w:style w:type="paragraph" w:customStyle="1" w:styleId="55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37"/>
    <w:next w:val="37"/>
    <w:qFormat/>
    <w:uiPriority w:val="0"/>
    <w:rPr>
      <w:rFonts w:ascii="宋体" w:eastAsia="宋体" w:cs="Times New Roman"/>
      <w:color w:val="auto"/>
    </w:rPr>
  </w:style>
  <w:style w:type="paragraph" w:customStyle="1" w:styleId="55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0"/>
    <w:rPr>
      <w:rFonts w:ascii="仿宋_GB2312" w:eastAsia="仿宋_GB2312"/>
      <w:b/>
      <w:sz w:val="32"/>
      <w:szCs w:val="32"/>
    </w:rPr>
  </w:style>
  <w:style w:type="paragraph" w:customStyle="1" w:styleId="55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qFormat/>
    <w:uiPriority w:val="0"/>
    <w:pPr>
      <w:spacing w:line="360" w:lineRule="auto"/>
    </w:pPr>
    <w:rPr>
      <w:szCs w:val="20"/>
    </w:rPr>
  </w:style>
  <w:style w:type="paragraph" w:customStyle="1" w:styleId="559">
    <w:name w:val="Char"/>
    <w:basedOn w:val="1"/>
    <w:qFormat/>
    <w:uiPriority w:val="0"/>
    <w:rPr>
      <w:rFonts w:ascii="仿宋_GB2312" w:eastAsia="仿宋_GB2312"/>
      <w:b/>
      <w:sz w:val="32"/>
      <w:szCs w:val="32"/>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spacing w:line="360" w:lineRule="auto"/>
      <w:ind w:firstLine="200" w:firstLineChars="200"/>
    </w:pPr>
    <w:rPr>
      <w:rFonts w:ascii="宋体" w:hAnsi="Calibri"/>
      <w:sz w:val="24"/>
    </w:rPr>
  </w:style>
  <w:style w:type="paragraph" w:customStyle="1" w:styleId="56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8">
    <w:name w:val="_正文段落"/>
    <w:basedOn w:val="1"/>
    <w:qFormat/>
    <w:uiPriority w:val="0"/>
    <w:pPr>
      <w:adjustRightInd/>
      <w:ind w:firstLine="560"/>
    </w:pPr>
    <w:rPr>
      <w:rFonts w:ascii="仿宋_GB2312" w:hAnsi="仿宋" w:eastAsia="仿宋_GB2312"/>
      <w:kern w:val="0"/>
      <w:sz w:val="28"/>
      <w:szCs w:val="28"/>
    </w:rPr>
  </w:style>
  <w:style w:type="paragraph" w:customStyle="1" w:styleId="5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qFormat/>
    <w:uiPriority w:val="0"/>
    <w:rPr>
      <w:rFonts w:ascii="Tahoma" w:hAnsi="Tahoma"/>
      <w:sz w:val="24"/>
      <w:szCs w:val="20"/>
    </w:rPr>
  </w:style>
  <w:style w:type="paragraph" w:customStyle="1" w:styleId="588">
    <w:name w:val="标题五"/>
    <w:basedOn w:val="1"/>
    <w:qFormat/>
    <w:uiPriority w:val="0"/>
    <w:pPr>
      <w:adjustRightInd/>
      <w:spacing w:before="156" w:beforeLines="50" w:line="360" w:lineRule="auto"/>
    </w:pPr>
    <w:rPr>
      <w:b/>
      <w:sz w:val="24"/>
    </w:rPr>
  </w:style>
  <w:style w:type="paragraph" w:customStyle="1" w:styleId="589">
    <w:name w:val="Char Char1101"/>
    <w:basedOn w:val="1"/>
    <w:qFormat/>
    <w:uiPriority w:val="0"/>
    <w:pPr>
      <w:spacing w:line="360" w:lineRule="auto"/>
    </w:pPr>
    <w:rPr>
      <w:rFonts w:ascii="Tahoma" w:hAnsi="Tahoma"/>
      <w:sz w:val="24"/>
      <w:szCs w:val="20"/>
    </w:rPr>
  </w:style>
  <w:style w:type="paragraph" w:customStyle="1" w:styleId="590">
    <w:name w:val="Char Char Char Char Char Char Char Char1"/>
    <w:basedOn w:val="1"/>
    <w:qFormat/>
    <w:uiPriority w:val="0"/>
    <w:pPr>
      <w:tabs>
        <w:tab w:val="left" w:pos="360"/>
      </w:tabs>
    </w:pPr>
    <w:rPr>
      <w:sz w:val="24"/>
      <w:szCs w:val="20"/>
    </w:rPr>
  </w:style>
  <w:style w:type="paragraph" w:customStyle="1" w:styleId="591">
    <w:name w:val="Char Char Char 字元 字元"/>
    <w:basedOn w:val="1"/>
    <w:qFormat/>
    <w:uiPriority w:val="0"/>
    <w:pPr>
      <w:adjustRightInd/>
      <w:spacing w:line="360" w:lineRule="auto"/>
      <w:ind w:firstLine="200" w:firstLineChars="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qFormat/>
    <w:uiPriority w:val="0"/>
    <w:pPr>
      <w:adjustRightInd/>
    </w:pPr>
    <w:rPr>
      <w:sz w:val="18"/>
      <w:szCs w:val="20"/>
    </w:rPr>
  </w:style>
  <w:style w:type="paragraph" w:customStyle="1" w:styleId="59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qFormat/>
    <w:uiPriority w:val="99"/>
    <w:pPr>
      <w:adjustRightInd/>
      <w:spacing w:line="360" w:lineRule="auto"/>
    </w:pPr>
    <w:rPr>
      <w:rFonts w:ascii="仿宋_GB2312" w:eastAsia="仿宋_GB2312"/>
      <w:sz w:val="24"/>
      <w:szCs w:val="20"/>
    </w:rPr>
  </w:style>
  <w:style w:type="paragraph" w:customStyle="1" w:styleId="60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61"/>
    <w:qFormat/>
    <w:uiPriority w:val="0"/>
    <w:pPr>
      <w:snapToGrid w:val="0"/>
      <w:spacing w:line="360" w:lineRule="auto"/>
    </w:pPr>
    <w:rPr>
      <w:rFonts w:ascii="宋体"/>
      <w:b/>
      <w:sz w:val="24"/>
      <w:szCs w:val="20"/>
    </w:rPr>
  </w:style>
  <w:style w:type="paragraph" w:customStyle="1" w:styleId="60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0">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qFormat/>
    <w:uiPriority w:val="7"/>
    <w:pPr>
      <w:adjustRightInd/>
    </w:pPr>
    <w:rPr>
      <w:rFonts w:ascii="宋体" w:hAnsi="Courier New"/>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qFormat/>
    <w:uiPriority w:val="0"/>
    <w:pPr>
      <w:widowControl/>
      <w:adjustRightInd/>
      <w:spacing w:after="160"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qFormat/>
    <w:uiPriority w:val="0"/>
    <w:pPr>
      <w:spacing w:line="360" w:lineRule="auto"/>
    </w:pPr>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9">
    <w:name w:val="MM Topic 1"/>
    <w:basedOn w:val="3"/>
    <w:qFormat/>
    <w:uiPriority w:val="0"/>
    <w:pPr>
      <w:tabs>
        <w:tab w:val="left" w:pos="840"/>
      </w:tabs>
      <w:adjustRightInd/>
      <w:ind w:left="840" w:hanging="420"/>
    </w:pPr>
  </w:style>
  <w:style w:type="paragraph" w:customStyle="1" w:styleId="630">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qFormat/>
    <w:uiPriority w:val="0"/>
    <w:pPr>
      <w:spacing w:line="360" w:lineRule="auto"/>
      <w:ind w:firstLine="200" w:firstLineChars="200"/>
    </w:pPr>
    <w:rPr>
      <w:kern w:val="0"/>
      <w:sz w:val="24"/>
      <w:szCs w:val="20"/>
    </w:rPr>
  </w:style>
  <w:style w:type="paragraph" w:customStyle="1" w:styleId="632">
    <w:name w:val="表格"/>
    <w:basedOn w:val="1"/>
    <w:qFormat/>
    <w:uiPriority w:val="0"/>
    <w:pPr>
      <w:snapToGrid w:val="0"/>
      <w:ind w:firstLine="42" w:firstLineChars="21"/>
    </w:pPr>
    <w:rPr>
      <w:rFonts w:ascii="宋体" w:hAnsi="宋体"/>
      <w:kern w:val="0"/>
      <w:sz w:val="20"/>
      <w:szCs w:val="20"/>
    </w:rPr>
  </w:style>
  <w:style w:type="paragraph" w:customStyle="1" w:styleId="633">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qFormat/>
    <w:uiPriority w:val="0"/>
    <w:pPr>
      <w:adjustRightInd/>
      <w:spacing w:line="300" w:lineRule="auto"/>
      <w:jc w:val="center"/>
    </w:pPr>
  </w:style>
  <w:style w:type="paragraph" w:customStyle="1" w:styleId="638">
    <w:name w:val="_Style 6"/>
    <w:basedOn w:val="1"/>
    <w:qFormat/>
    <w:uiPriority w:val="34"/>
    <w:pPr>
      <w:adjustRightInd/>
      <w:ind w:firstLine="420" w:firstLineChars="200"/>
    </w:pPr>
    <w:rPr>
      <w:rFonts w:eastAsia="仿宋_GB2312"/>
      <w:sz w:val="28"/>
    </w:rPr>
  </w:style>
  <w:style w:type="paragraph" w:customStyle="1" w:styleId="63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8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8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83"/>
    <w:qFormat/>
    <w:uiPriority w:val="0"/>
    <w:pPr>
      <w:tabs>
        <w:tab w:val="left" w:pos="1260"/>
        <w:tab w:val="left" w:pos="1680"/>
        <w:tab w:val="left" w:pos="2100"/>
      </w:tabs>
      <w:ind w:left="0"/>
      <w:outlineLvl w:val="3"/>
    </w:pPr>
  </w:style>
  <w:style w:type="paragraph" w:customStyle="1" w:styleId="660">
    <w:name w:val="一级条标题"/>
    <w:basedOn w:val="661"/>
    <w:next w:val="83"/>
    <w:qFormat/>
    <w:uiPriority w:val="0"/>
    <w:pPr>
      <w:tabs>
        <w:tab w:val="left" w:pos="1260"/>
        <w:tab w:val="left" w:pos="1680"/>
      </w:tabs>
      <w:spacing w:before="0" w:beforeLines="0" w:after="0" w:afterLines="0"/>
      <w:ind w:left="1680"/>
      <w:outlineLvl w:val="2"/>
    </w:pPr>
  </w:style>
  <w:style w:type="paragraph" w:customStyle="1" w:styleId="661">
    <w:name w:val="章标题"/>
    <w:next w:val="8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8"/>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18"/>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31"/>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41"/>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5"/>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23"/>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18"/>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4"/>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5"/>
    <w:next w:val="58"/>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83"/>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8"/>
    <w:next w:val="83"/>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8"/>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18"/>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2"/>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5"/>
    <w:next w:val="1"/>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22"/>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5"/>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2"/>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4"/>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42"/>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1"/>
    <w:qFormat/>
    <w:uiPriority w:val="0"/>
    <w:rPr>
      <w:b w:val="0"/>
      <w:sz w:val="20"/>
    </w:rPr>
  </w:style>
  <w:style w:type="paragraph" w:customStyle="1" w:styleId="895">
    <w:name w:val="正文首行缩进1"/>
    <w:basedOn w:val="18"/>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9"/>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7"/>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6"/>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7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3">
    <w:name w:val="网格型1"/>
    <w:basedOn w:val="7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4">
    <w:name w:val="网格型6"/>
    <w:basedOn w:val="7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5">
    <w:name w:val="网格型3"/>
    <w:basedOn w:val="7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6">
    <w:name w:val="网格型4"/>
    <w:basedOn w:val="7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7">
    <w:name w:val="网格型5"/>
    <w:basedOn w:val="7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2"/>
    <w:qFormat/>
    <w:uiPriority w:val="0"/>
    <w:rPr>
      <w:kern w:val="2"/>
      <w:sz w:val="21"/>
      <w:szCs w:val="24"/>
      <w:lang w:val="zh-CN"/>
    </w:rPr>
  </w:style>
  <w:style w:type="character" w:customStyle="1" w:styleId="934">
    <w:name w:val="无间隔 Char"/>
    <w:link w:val="487"/>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2"/>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5"/>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character" w:customStyle="1" w:styleId="967">
    <w:name w:val="NormalCharacter"/>
    <w:link w:val="968"/>
    <w:qFormat/>
    <w:uiPriority w:val="0"/>
    <w:rPr>
      <w:rFonts w:ascii="Calibri"/>
      <w:szCs w:val="22"/>
    </w:rPr>
  </w:style>
  <w:style w:type="paragraph" w:customStyle="1" w:styleId="968">
    <w:name w:val="UserStyle_127"/>
    <w:basedOn w:val="1"/>
    <w:link w:val="967"/>
    <w:qFormat/>
    <w:uiPriority w:val="0"/>
    <w:pPr>
      <w:spacing w:after="160" w:line="240" w:lineRule="exact"/>
      <w:jc w:val="left"/>
    </w:pPr>
    <w:rPr>
      <w:rFonts w:ascii="Calibri"/>
      <w:szCs w:val="22"/>
    </w:rPr>
  </w:style>
  <w:style w:type="paragraph" w:customStyle="1" w:styleId="969">
    <w:name w:val="￥正文"/>
    <w:basedOn w:val="1"/>
    <w:qFormat/>
    <w:uiPriority w:val="0"/>
    <w:pPr>
      <w:spacing w:line="360" w:lineRule="auto"/>
      <w:ind w:firstLine="200" w:firstLineChars="200"/>
    </w:pPr>
    <w:rPr>
      <w:rFonts w:ascii="宋体" w:hAnsi="宋体" w:eastAsia="仿宋" w:cs="Arial"/>
      <w:sz w:val="32"/>
      <w:szCs w:val="22"/>
    </w:rPr>
  </w:style>
  <w:style w:type="paragraph" w:customStyle="1" w:styleId="970">
    <w:name w:val="Basistekst Batenburg"/>
    <w:basedOn w:val="971"/>
    <w:qFormat/>
    <w:uiPriority w:val="0"/>
  </w:style>
  <w:style w:type="paragraph" w:customStyle="1" w:styleId="971">
    <w:name w:val="Zsysbasis Batenburg"/>
    <w:next w:val="970"/>
    <w:qFormat/>
    <w:uiPriority w:val="0"/>
    <w:pPr>
      <w:spacing w:line="300" w:lineRule="atLeast"/>
    </w:pPr>
    <w:rPr>
      <w:rFonts w:ascii="Calibri" w:hAnsi="Calibri" w:eastAsia="宋体" w:cs="Times New Roman"/>
      <w:sz w:val="22"/>
      <w:szCs w:val="18"/>
      <w:lang w:val="en-US" w:eastAsia="zh-CN" w:bidi="ar-SA"/>
    </w:rPr>
  </w:style>
  <w:style w:type="paragraph" w:customStyle="1" w:styleId="972">
    <w:name w:val="BodyText1I2"/>
    <w:basedOn w:val="1"/>
    <w:qFormat/>
    <w:uiPriority w:val="0"/>
    <w:pPr>
      <w:adjustRightInd/>
      <w:spacing w:line="360" w:lineRule="auto"/>
      <w:ind w:firstLine="420"/>
      <w:jc w:val="left"/>
    </w:pPr>
    <w:rPr>
      <w:rFonts w:ascii="宋体" w:hAnsi="宋体" w:cs="宋体"/>
      <w:szCs w:val="21"/>
    </w:rPr>
  </w:style>
  <w:style w:type="paragraph" w:customStyle="1" w:styleId="973">
    <w:name w:val="msonospacing"/>
    <w:basedOn w:val="1"/>
    <w:qFormat/>
    <w:uiPriority w:val="0"/>
    <w:rPr>
      <w:szCs w:val="22"/>
    </w:rPr>
  </w:style>
  <w:style w:type="character" w:customStyle="1" w:styleId="974">
    <w:name w:val="font121"/>
    <w:basedOn w:val="65"/>
    <w:qFormat/>
    <w:uiPriority w:val="0"/>
    <w:rPr>
      <w:rFonts w:hint="eastAsia" w:ascii="宋体" w:hAnsi="宋体" w:eastAsia="宋体" w:cs="宋体"/>
      <w:color w:val="000000"/>
      <w:sz w:val="21"/>
      <w:szCs w:val="21"/>
      <w:u w:val="none"/>
    </w:rPr>
  </w:style>
  <w:style w:type="character" w:customStyle="1" w:styleId="975">
    <w:name w:val="font131"/>
    <w:basedOn w:val="65"/>
    <w:qFormat/>
    <w:uiPriority w:val="0"/>
    <w:rPr>
      <w:rFonts w:hint="eastAsia" w:ascii="宋体" w:hAnsi="宋体" w:eastAsia="宋体" w:cs="宋体"/>
      <w:color w:val="000000"/>
      <w:sz w:val="20"/>
      <w:szCs w:val="20"/>
      <w:u w:val="single"/>
    </w:rPr>
  </w:style>
  <w:style w:type="character" w:customStyle="1" w:styleId="976">
    <w:name w:val="font141"/>
    <w:basedOn w:val="65"/>
    <w:qFormat/>
    <w:uiPriority w:val="0"/>
    <w:rPr>
      <w:rFonts w:hint="eastAsia" w:ascii="宋体" w:hAnsi="宋体" w:eastAsia="宋体" w:cs="宋体"/>
      <w:i/>
      <w:iCs/>
      <w:color w:val="000000"/>
      <w:sz w:val="20"/>
      <w:szCs w:val="20"/>
      <w:u w:val="none"/>
    </w:rPr>
  </w:style>
  <w:style w:type="character" w:customStyle="1" w:styleId="977">
    <w:name w:val="font151"/>
    <w:basedOn w:val="65"/>
    <w:qFormat/>
    <w:uiPriority w:val="0"/>
    <w:rPr>
      <w:rFonts w:hint="eastAsia" w:ascii="宋体" w:hAnsi="宋体" w:eastAsia="宋体" w:cs="宋体"/>
      <w:color w:val="000000"/>
      <w:sz w:val="20"/>
      <w:szCs w:val="20"/>
      <w:u w:val="none"/>
      <w:vertAlign w:val="superscript"/>
    </w:rPr>
  </w:style>
  <w:style w:type="character" w:customStyle="1" w:styleId="978">
    <w:name w:val="font161"/>
    <w:basedOn w:val="65"/>
    <w:qFormat/>
    <w:uiPriority w:val="0"/>
    <w:rPr>
      <w:rFonts w:hint="eastAsia" w:ascii="宋体" w:hAnsi="宋体" w:eastAsia="宋体" w:cs="宋体"/>
      <w:color w:val="000000"/>
      <w:sz w:val="18"/>
      <w:szCs w:val="18"/>
      <w:u w:val="none"/>
    </w:rPr>
  </w:style>
  <w:style w:type="character" w:customStyle="1" w:styleId="979">
    <w:name w:val="font112"/>
    <w:basedOn w:val="65"/>
    <w:qFormat/>
    <w:uiPriority w:val="0"/>
    <w:rPr>
      <w:rFonts w:hint="eastAsia" w:ascii="宋体" w:hAnsi="宋体" w:eastAsia="宋体" w:cs="宋体"/>
      <w:color w:val="000000"/>
      <w:sz w:val="21"/>
      <w:szCs w:val="21"/>
      <w:u w:val="none"/>
    </w:rPr>
  </w:style>
  <w:style w:type="paragraph" w:customStyle="1" w:styleId="980">
    <w:name w:val="List2"/>
    <w:basedOn w:val="1"/>
    <w:qFormat/>
    <w:uiPriority w:val="0"/>
    <w:pPr>
      <w:ind w:left="100" w:leftChars="200" w:hanging="200" w:hangingChars="200"/>
      <w:contextualSpacing/>
      <w:jc w:val="both"/>
      <w:textAlignment w:val="baseline"/>
    </w:pPr>
    <w:rPr>
      <w:kern w:val="2"/>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59</Pages>
  <Words>15003</Words>
  <Characters>16575</Characters>
  <Lines>279</Lines>
  <Paragraphs>78</Paragraphs>
  <TotalTime>15</TotalTime>
  <ScaleCrop>false</ScaleCrop>
  <LinksUpToDate>false</LinksUpToDate>
  <CharactersWithSpaces>17000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Administrator</cp:lastModifiedBy>
  <cp:lastPrinted>2023-11-13T09:31:00Z</cp:lastPrinted>
  <dcterms:modified xsi:type="dcterms:W3CDTF">2025-03-11T06:00:08Z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8A27297DE55F44C487895BD19BD5710A_13</vt:lpwstr>
  </property>
</Properties>
</file>