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仿宋" w:hAnsi="仿宋" w:eastAsia="仿宋" w:cs="宋体"/>
          <w:sz w:val="44"/>
          <w:szCs w:val="44"/>
        </w:rPr>
      </w:pPr>
      <w:bookmarkStart w:id="0" w:name="_Toc304551308"/>
      <w:bookmarkStart w:id="1" w:name="_Toc180555915"/>
      <w:bookmarkStart w:id="2" w:name="_Toc226337756"/>
      <w:bookmarkStart w:id="3" w:name="_Toc105829294"/>
      <w:bookmarkStart w:id="4" w:name="_Toc248065034"/>
      <w:bookmarkStart w:id="5" w:name="_Toc340321907"/>
      <w:bookmarkStart w:id="6" w:name="_Toc10071"/>
      <w:bookmarkStart w:id="7" w:name="_Toc340322162"/>
      <w:bookmarkStart w:id="8" w:name="_Toc339302123"/>
    </w:p>
    <w:p>
      <w:pPr>
        <w:spacing w:line="360" w:lineRule="auto"/>
        <w:jc w:val="center"/>
        <w:rPr>
          <w:rFonts w:hint="eastAsia" w:ascii="仿宋" w:hAnsi="仿宋" w:eastAsia="仿宋" w:cs="宋体"/>
          <w:b/>
          <w:bCs/>
          <w:sz w:val="56"/>
          <w:szCs w:val="56"/>
          <w:lang w:eastAsia="zh-CN"/>
        </w:rPr>
      </w:pPr>
      <w:r>
        <w:rPr>
          <w:rFonts w:hint="eastAsia" w:ascii="仿宋" w:hAnsi="仿宋" w:eastAsia="仿宋" w:cs="宋体"/>
          <w:b/>
          <w:bCs/>
          <w:sz w:val="56"/>
          <w:szCs w:val="56"/>
          <w:lang w:eastAsia="zh-CN"/>
        </w:rPr>
        <w:t>嵊州市前岩水库物业化管理采购项目</w:t>
      </w:r>
    </w:p>
    <w:p>
      <w:pPr>
        <w:spacing w:line="500" w:lineRule="exact"/>
        <w:jc w:val="center"/>
        <w:rPr>
          <w:rFonts w:hint="default" w:ascii="仿宋" w:hAnsi="仿宋" w:eastAsia="仿宋" w:cs="宋体"/>
          <w:b w:val="0"/>
          <w:bCs w:val="0"/>
          <w:w w:val="150"/>
          <w:sz w:val="32"/>
          <w:szCs w:val="15"/>
          <w:lang w:val="en-US" w:eastAsia="zh-CN"/>
        </w:rPr>
      </w:pP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项目编号：</w:t>
      </w:r>
      <w:bookmarkStart w:id="9" w:name="OLE_LINK2"/>
      <w:r>
        <w:rPr>
          <w:rFonts w:hint="eastAsia" w:ascii="仿宋" w:hAnsi="仿宋" w:eastAsia="仿宋" w:cs="宋体"/>
          <w:b w:val="0"/>
          <w:bCs w:val="0"/>
          <w:sz w:val="32"/>
          <w:szCs w:val="32"/>
          <w:lang w:val="en-US" w:eastAsia="zh-CN"/>
        </w:rPr>
        <w:t>JQ-SZ20250112</w:t>
      </w:r>
      <w:bookmarkEnd w:id="9"/>
      <w:r>
        <w:rPr>
          <w:rFonts w:hint="eastAsia" w:ascii="仿宋" w:hAnsi="仿宋" w:eastAsia="仿宋" w:cs="宋体"/>
          <w:b w:val="0"/>
          <w:bCs w:val="0"/>
          <w:sz w:val="32"/>
          <w:szCs w:val="32"/>
          <w:lang w:eastAsia="zh-CN"/>
        </w:rPr>
        <w:t>）</w:t>
      </w:r>
    </w:p>
    <w:p>
      <w:pPr>
        <w:pStyle w:val="33"/>
        <w:rPr>
          <w:rFonts w:hint="eastAsia" w:ascii="仿宋" w:hAnsi="仿宋" w:eastAsia="仿宋" w:cs="宋体"/>
        </w:rPr>
      </w:pPr>
    </w:p>
    <w:p>
      <w:pPr>
        <w:snapToGrid w:val="0"/>
        <w:spacing w:line="800" w:lineRule="exact"/>
        <w:rPr>
          <w:rFonts w:hint="eastAsia" w:ascii="仿宋" w:hAnsi="仿宋" w:eastAsia="仿宋" w:cs="宋体"/>
          <w:b/>
          <w:sz w:val="52"/>
          <w:szCs w:val="52"/>
        </w:rPr>
      </w:pPr>
    </w:p>
    <w:p>
      <w:pPr>
        <w:snapToGrid w:val="0"/>
        <w:spacing w:line="800" w:lineRule="exact"/>
        <w:jc w:val="center"/>
        <w:rPr>
          <w:rFonts w:hint="eastAsia" w:ascii="仿宋" w:hAnsi="仿宋" w:eastAsia="仿宋" w:cs="宋体"/>
          <w:b/>
          <w:sz w:val="52"/>
          <w:szCs w:val="52"/>
        </w:rPr>
      </w:pPr>
      <w:r>
        <w:rPr>
          <w:rFonts w:hint="eastAsia" w:ascii="仿宋" w:hAnsi="仿宋" w:eastAsia="仿宋" w:cs="宋体"/>
          <w:b/>
          <w:sz w:val="52"/>
          <w:szCs w:val="52"/>
        </w:rPr>
        <w:br w:type="textWrapping"/>
      </w:r>
    </w:p>
    <w:p>
      <w:pPr>
        <w:snapToGrid w:val="0"/>
        <w:spacing w:line="800" w:lineRule="exact"/>
        <w:jc w:val="center"/>
        <w:rPr>
          <w:rFonts w:hint="eastAsia" w:ascii="仿宋" w:hAnsi="仿宋" w:eastAsia="仿宋" w:cs="宋体"/>
          <w:b/>
          <w:sz w:val="48"/>
          <w:szCs w:val="48"/>
        </w:rPr>
      </w:pPr>
      <w:r>
        <w:rPr>
          <w:rFonts w:hint="eastAsia" w:ascii="仿宋" w:hAnsi="仿宋" w:eastAsia="仿宋" w:cs="宋体"/>
          <w:b/>
          <w:sz w:val="48"/>
          <w:szCs w:val="48"/>
        </w:rPr>
        <w:t>公开招标采购文件</w:t>
      </w:r>
    </w:p>
    <w:p>
      <w:pPr>
        <w:jc w:val="center"/>
        <w:rPr>
          <w:rFonts w:hint="eastAsia" w:ascii="仿宋" w:hAnsi="仿宋" w:eastAsia="仿宋" w:cs="宋体"/>
          <w:b/>
          <w:w w:val="150"/>
          <w:sz w:val="48"/>
          <w:szCs w:val="48"/>
        </w:rPr>
      </w:pPr>
    </w:p>
    <w:p>
      <w:pPr>
        <w:pStyle w:val="33"/>
        <w:rPr>
          <w:rFonts w:hint="eastAsia" w:ascii="仿宋" w:hAnsi="仿宋" w:eastAsia="仿宋" w:cs="宋体"/>
          <w:color w:val="auto"/>
        </w:rPr>
      </w:pPr>
    </w:p>
    <w:p>
      <w:pPr>
        <w:rPr>
          <w:rFonts w:hint="eastAsia" w:ascii="仿宋" w:hAnsi="仿宋" w:eastAsia="仿宋" w:cs="宋体"/>
          <w:sz w:val="44"/>
        </w:rPr>
      </w:pPr>
    </w:p>
    <w:p>
      <w:pPr>
        <w:spacing w:line="580" w:lineRule="exact"/>
        <w:jc w:val="center"/>
        <w:rPr>
          <w:rFonts w:hint="eastAsia" w:ascii="仿宋" w:hAnsi="仿宋" w:eastAsia="仿宋" w:cs="宋体"/>
          <w:bCs/>
          <w:sz w:val="36"/>
        </w:rPr>
      </w:pPr>
    </w:p>
    <w:p>
      <w:pPr>
        <w:pStyle w:val="32"/>
        <w:rPr>
          <w:rFonts w:hint="eastAsia" w:ascii="仿宋" w:hAnsi="仿宋" w:eastAsia="仿宋" w:cs="宋体"/>
          <w:color w:val="auto"/>
        </w:rPr>
      </w:pPr>
    </w:p>
    <w:p>
      <w:pPr>
        <w:rPr>
          <w:rFonts w:hint="eastAsia" w:ascii="仿宋" w:hAnsi="仿宋" w:eastAsia="仿宋" w:cs="宋体"/>
        </w:rPr>
      </w:pPr>
    </w:p>
    <w:p>
      <w:pPr>
        <w:rPr>
          <w:rFonts w:hint="eastAsia" w:ascii="仿宋" w:hAnsi="仿宋" w:eastAsia="仿宋" w:cs="宋体"/>
        </w:rPr>
      </w:pPr>
    </w:p>
    <w:p>
      <w:pPr>
        <w:rPr>
          <w:rFonts w:hint="eastAsia" w:ascii="仿宋" w:hAnsi="仿宋" w:eastAsia="仿宋" w:cs="宋体"/>
        </w:rPr>
      </w:pPr>
    </w:p>
    <w:p>
      <w:pPr>
        <w:rPr>
          <w:rFonts w:hint="eastAsia" w:ascii="仿宋" w:hAnsi="仿宋" w:eastAsia="仿宋" w:cs="宋体"/>
        </w:rPr>
      </w:pPr>
    </w:p>
    <w:p>
      <w:pPr>
        <w:spacing w:line="660" w:lineRule="exact"/>
        <w:rPr>
          <w:rFonts w:hint="eastAsia" w:ascii="仿宋" w:hAnsi="仿宋" w:eastAsia="仿宋" w:cs="宋体"/>
          <w:b/>
          <w:sz w:val="36"/>
        </w:rPr>
      </w:pPr>
    </w:p>
    <w:p>
      <w:pPr>
        <w:spacing w:line="360" w:lineRule="auto"/>
        <w:ind w:firstLine="1084" w:firstLineChars="300"/>
        <w:rPr>
          <w:rFonts w:hint="eastAsia" w:ascii="仿宋" w:hAnsi="仿宋" w:eastAsia="仿宋" w:cs="宋体"/>
          <w:b/>
          <w:sz w:val="36"/>
          <w:lang w:eastAsia="zh-CN"/>
        </w:rPr>
      </w:pPr>
      <w:r>
        <w:rPr>
          <w:rFonts w:hint="eastAsia" w:ascii="仿宋" w:hAnsi="仿宋" w:eastAsia="仿宋" w:cs="宋体"/>
          <w:b/>
          <w:sz w:val="36"/>
        </w:rPr>
        <w:t>采购单位：</w:t>
      </w:r>
      <w:r>
        <w:rPr>
          <w:rFonts w:hint="eastAsia" w:ascii="仿宋" w:hAnsi="仿宋" w:eastAsia="仿宋" w:cs="宋体"/>
          <w:b/>
          <w:sz w:val="36"/>
          <w:lang w:eastAsia="zh-CN"/>
        </w:rPr>
        <w:t>嵊州市鸿发物业管理有限公司</w:t>
      </w:r>
    </w:p>
    <w:p>
      <w:pPr>
        <w:spacing w:line="360" w:lineRule="auto"/>
        <w:ind w:firstLine="1084" w:firstLineChars="300"/>
        <w:rPr>
          <w:rFonts w:hint="eastAsia" w:ascii="仿宋" w:hAnsi="仿宋" w:eastAsia="仿宋" w:cs="宋体"/>
          <w:b/>
          <w:sz w:val="36"/>
        </w:rPr>
      </w:pPr>
      <w:r>
        <w:rPr>
          <w:rFonts w:hint="eastAsia" w:ascii="仿宋" w:hAnsi="仿宋" w:eastAsia="仿宋" w:cs="宋体"/>
          <w:b/>
          <w:sz w:val="36"/>
        </w:rPr>
        <w:t>代理机构：泾清项目管理有限公司</w:t>
      </w:r>
    </w:p>
    <w:p>
      <w:pPr>
        <w:spacing w:line="360" w:lineRule="auto"/>
        <w:ind w:firstLine="1084" w:firstLineChars="300"/>
        <w:rPr>
          <w:rFonts w:hint="eastAsia" w:ascii="仿宋" w:hAnsi="仿宋" w:eastAsia="仿宋" w:cs="宋体"/>
          <w:b/>
          <w:sz w:val="36"/>
          <w:szCs w:val="22"/>
        </w:rPr>
      </w:pPr>
      <w:bookmarkStart w:id="10" w:name="用户单位名称"/>
      <w:bookmarkEnd w:id="10"/>
      <w:r>
        <w:rPr>
          <w:rFonts w:hint="eastAsia" w:ascii="仿宋" w:hAnsi="仿宋" w:eastAsia="仿宋" w:cs="宋体"/>
          <w:b/>
          <w:sz w:val="36"/>
          <w:szCs w:val="22"/>
        </w:rPr>
        <w:t>日</w:t>
      </w:r>
      <w:r>
        <w:rPr>
          <w:rFonts w:hint="eastAsia" w:ascii="仿宋" w:hAnsi="仿宋" w:eastAsia="仿宋" w:cs="宋体"/>
          <w:b/>
          <w:sz w:val="36"/>
          <w:szCs w:val="22"/>
          <w:lang w:val="en-US" w:eastAsia="zh-CN"/>
        </w:rPr>
        <w:t xml:space="preserve">    </w:t>
      </w:r>
      <w:r>
        <w:rPr>
          <w:rFonts w:hint="eastAsia" w:ascii="仿宋" w:hAnsi="仿宋" w:eastAsia="仿宋" w:cs="宋体"/>
          <w:b/>
          <w:sz w:val="36"/>
          <w:szCs w:val="22"/>
        </w:rPr>
        <w:t>期：202</w:t>
      </w:r>
      <w:r>
        <w:rPr>
          <w:rFonts w:hint="eastAsia" w:ascii="仿宋" w:hAnsi="仿宋" w:eastAsia="仿宋" w:cs="宋体"/>
          <w:b/>
          <w:sz w:val="36"/>
          <w:szCs w:val="22"/>
          <w:lang w:val="en-US" w:eastAsia="zh-CN"/>
        </w:rPr>
        <w:t>5</w:t>
      </w:r>
      <w:r>
        <w:rPr>
          <w:rFonts w:hint="eastAsia" w:ascii="仿宋" w:hAnsi="仿宋" w:eastAsia="仿宋" w:cs="宋体"/>
          <w:b/>
          <w:sz w:val="36"/>
          <w:szCs w:val="22"/>
        </w:rPr>
        <w:t>年</w:t>
      </w:r>
      <w:r>
        <w:rPr>
          <w:rFonts w:hint="eastAsia" w:ascii="仿宋" w:hAnsi="仿宋" w:eastAsia="仿宋" w:cs="宋体"/>
          <w:b/>
          <w:sz w:val="36"/>
          <w:szCs w:val="22"/>
          <w:lang w:val="en-US" w:eastAsia="zh-CN"/>
        </w:rPr>
        <w:t>1</w:t>
      </w:r>
      <w:r>
        <w:rPr>
          <w:rFonts w:hint="eastAsia" w:ascii="仿宋" w:hAnsi="仿宋" w:eastAsia="仿宋" w:cs="宋体"/>
          <w:b/>
          <w:sz w:val="36"/>
          <w:szCs w:val="22"/>
        </w:rPr>
        <w:t>月</w:t>
      </w:r>
    </w:p>
    <w:p>
      <w:pPr>
        <w:spacing w:line="360" w:lineRule="auto"/>
        <w:ind w:firstLine="482" w:firstLineChars="200"/>
        <w:rPr>
          <w:rFonts w:hint="eastAsia" w:ascii="仿宋" w:hAnsi="仿宋" w:eastAsia="仿宋" w:cs="宋体"/>
          <w:b/>
          <w:szCs w:val="32"/>
        </w:rPr>
      </w:pPr>
    </w:p>
    <w:p>
      <w:pPr>
        <w:rPr>
          <w:rFonts w:hint="eastAsia" w:ascii="仿宋" w:hAnsi="仿宋" w:eastAsia="仿宋" w:cs="宋体"/>
          <w:b/>
          <w:szCs w:val="32"/>
        </w:rPr>
      </w:pPr>
    </w:p>
    <w:p>
      <w:pPr>
        <w:rPr>
          <w:rFonts w:hint="eastAsia" w:ascii="仿宋" w:hAnsi="仿宋" w:eastAsia="仿宋"/>
        </w:rPr>
      </w:pPr>
    </w:p>
    <w:p>
      <w:pPr>
        <w:pStyle w:val="47"/>
        <w:widowControl w:val="0"/>
        <w:spacing w:line="580" w:lineRule="exact"/>
        <w:jc w:val="center"/>
        <w:rPr>
          <w:rFonts w:hint="eastAsia" w:ascii="仿宋" w:hAnsi="仿宋" w:eastAsia="仿宋" w:cs="仿宋"/>
          <w:b/>
          <w:bCs/>
          <w:sz w:val="44"/>
          <w:szCs w:val="44"/>
        </w:rPr>
      </w:pPr>
      <w:r>
        <w:rPr>
          <w:rFonts w:hint="eastAsia" w:ascii="仿宋" w:hAnsi="仿宋" w:eastAsia="仿宋" w:cs="仿宋"/>
          <w:b/>
          <w:bCs/>
          <w:sz w:val="44"/>
          <w:szCs w:val="44"/>
        </w:rPr>
        <w:t>目  录</w:t>
      </w:r>
    </w:p>
    <w:p>
      <w:pPr>
        <w:rPr>
          <w:rFonts w:hint="eastAsia" w:ascii="仿宋" w:hAnsi="仿宋" w:eastAsia="仿宋" w:cs="仿宋"/>
        </w:rPr>
      </w:pPr>
    </w:p>
    <w:p>
      <w:pPr>
        <w:rPr>
          <w:rFonts w:hint="eastAsia" w:ascii="仿宋" w:hAnsi="仿宋" w:eastAsia="仿宋" w:cs="仿宋"/>
        </w:rPr>
      </w:pPr>
    </w:p>
    <w:p>
      <w:pPr>
        <w:pStyle w:val="55"/>
        <w:tabs>
          <w:tab w:val="right" w:leader="dot" w:pos="9110"/>
        </w:tabs>
        <w:spacing w:line="700" w:lineRule="exact"/>
        <w:rPr>
          <w:rFonts w:hint="eastAsia" w:ascii="仿宋" w:hAnsi="仿宋" w:eastAsia="仿宋" w:cs="仿宋"/>
          <w:caps w:val="0"/>
          <w:sz w:val="30"/>
          <w:szCs w:val="30"/>
        </w:rPr>
      </w:pPr>
      <w:r>
        <w:rPr>
          <w:rFonts w:hint="eastAsia" w:ascii="仿宋" w:hAnsi="仿宋" w:eastAsia="仿宋" w:cs="仿宋"/>
        </w:rPr>
        <w:fldChar w:fldCharType="begin"/>
      </w:r>
      <w:r>
        <w:rPr>
          <w:rFonts w:hint="eastAsia" w:ascii="仿宋" w:hAnsi="仿宋" w:eastAsia="仿宋" w:cs="仿宋"/>
        </w:rPr>
        <w:instrText xml:space="preserve"> TOC \o "1-2" \h \z \u </w:instrText>
      </w:r>
      <w:r>
        <w:rPr>
          <w:rFonts w:hint="eastAsia" w:ascii="仿宋" w:hAnsi="仿宋" w:eastAsia="仿宋" w:cs="仿宋"/>
        </w:rPr>
        <w:fldChar w:fldCharType="separate"/>
      </w:r>
      <w:r>
        <w:fldChar w:fldCharType="begin"/>
      </w:r>
      <w:r>
        <w:instrText xml:space="preserve"> HYPERLINK \l "_Toc54978887" </w:instrText>
      </w:r>
      <w:r>
        <w:fldChar w:fldCharType="separate"/>
      </w:r>
      <w:r>
        <w:rPr>
          <w:rStyle w:val="88"/>
          <w:rFonts w:hint="eastAsia" w:ascii="仿宋" w:hAnsi="仿宋" w:eastAsia="仿宋" w:cs="仿宋"/>
          <w:color w:val="auto"/>
          <w:sz w:val="30"/>
          <w:szCs w:val="30"/>
        </w:rPr>
        <w:t>第一部分  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_Toc54978887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5"/>
        <w:tabs>
          <w:tab w:val="right" w:leader="dot" w:pos="9110"/>
        </w:tabs>
        <w:spacing w:line="700" w:lineRule="exact"/>
        <w:rPr>
          <w:rFonts w:hint="eastAsia" w:ascii="仿宋" w:hAnsi="仿宋" w:eastAsia="仿宋" w:cs="仿宋"/>
          <w:caps w:val="0"/>
          <w:sz w:val="30"/>
          <w:szCs w:val="30"/>
        </w:rPr>
      </w:pPr>
      <w:r>
        <w:fldChar w:fldCharType="begin"/>
      </w:r>
      <w:r>
        <w:instrText xml:space="preserve"> HYPERLINK \l "_Toc54978888" </w:instrText>
      </w:r>
      <w:r>
        <w:fldChar w:fldCharType="separate"/>
      </w:r>
      <w:r>
        <w:rPr>
          <w:rStyle w:val="88"/>
          <w:rFonts w:hint="eastAsia" w:ascii="仿宋" w:hAnsi="仿宋" w:eastAsia="仿宋" w:cs="仿宋"/>
          <w:color w:val="auto"/>
          <w:sz w:val="30"/>
          <w:szCs w:val="30"/>
        </w:rPr>
        <w:t>第二部分  投标须知</w:t>
      </w:r>
      <w:r>
        <w:rPr>
          <w:rFonts w:hint="eastAsia" w:ascii="仿宋" w:hAnsi="仿宋" w:eastAsia="仿宋" w:cs="仿宋"/>
          <w:sz w:val="30"/>
          <w:szCs w:val="30"/>
        </w:rPr>
        <w:tab/>
      </w:r>
      <w:r>
        <w:rPr>
          <w:rFonts w:hint="eastAsia" w:ascii="仿宋" w:hAnsi="仿宋" w:eastAsia="仿宋" w:cs="仿宋"/>
          <w:sz w:val="30"/>
          <w:szCs w:val="30"/>
        </w:rPr>
        <w:t>6</w:t>
      </w:r>
      <w:r>
        <w:rPr>
          <w:rFonts w:hint="eastAsia" w:ascii="仿宋" w:hAnsi="仿宋" w:eastAsia="仿宋" w:cs="仿宋"/>
          <w:sz w:val="30"/>
          <w:szCs w:val="30"/>
        </w:rPr>
        <w:fldChar w:fldCharType="end"/>
      </w:r>
    </w:p>
    <w:p>
      <w:pPr>
        <w:pStyle w:val="55"/>
        <w:tabs>
          <w:tab w:val="right" w:leader="dot" w:pos="9110"/>
        </w:tabs>
        <w:spacing w:line="700" w:lineRule="exact"/>
        <w:rPr>
          <w:rFonts w:hint="eastAsia" w:ascii="仿宋" w:hAnsi="仿宋" w:eastAsia="仿宋" w:cs="仿宋"/>
          <w:caps w:val="0"/>
          <w:sz w:val="30"/>
          <w:szCs w:val="30"/>
        </w:rPr>
      </w:pPr>
      <w:r>
        <w:fldChar w:fldCharType="begin"/>
      </w:r>
      <w:r>
        <w:instrText xml:space="preserve"> HYPERLINK \l "_Toc54978898" </w:instrText>
      </w:r>
      <w:r>
        <w:fldChar w:fldCharType="separate"/>
      </w:r>
      <w:r>
        <w:rPr>
          <w:rStyle w:val="88"/>
          <w:rFonts w:hint="eastAsia" w:ascii="仿宋" w:hAnsi="仿宋" w:eastAsia="仿宋" w:cs="仿宋"/>
          <w:color w:val="auto"/>
          <w:sz w:val="30"/>
          <w:szCs w:val="30"/>
        </w:rPr>
        <w:t>第三部分  项目招标范围及服务要求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_Toc54978898 \h </w:instrText>
      </w:r>
      <w:r>
        <w:rPr>
          <w:rFonts w:hint="eastAsia" w:ascii="仿宋" w:hAnsi="仿宋" w:eastAsia="仿宋" w:cs="仿宋"/>
          <w:sz w:val="30"/>
          <w:szCs w:val="30"/>
        </w:rPr>
        <w:fldChar w:fldCharType="separate"/>
      </w:r>
      <w:r>
        <w:rPr>
          <w:rFonts w:hint="eastAsia" w:ascii="仿宋" w:hAnsi="仿宋" w:eastAsia="仿宋" w:cs="仿宋"/>
          <w:sz w:val="30"/>
          <w:szCs w:val="30"/>
        </w:rPr>
        <w:t>29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55"/>
        <w:tabs>
          <w:tab w:val="right" w:leader="dot" w:pos="9110"/>
        </w:tabs>
        <w:spacing w:line="700" w:lineRule="exact"/>
        <w:rPr>
          <w:rFonts w:hint="eastAsia" w:ascii="仿宋" w:hAnsi="仿宋" w:eastAsia="仿宋" w:cs="仿宋"/>
          <w:caps w:val="0"/>
          <w:sz w:val="30"/>
          <w:szCs w:val="30"/>
        </w:rPr>
      </w:pPr>
      <w:r>
        <w:fldChar w:fldCharType="begin"/>
      </w:r>
      <w:r>
        <w:instrText xml:space="preserve"> HYPERLINK \l "_Toc54978899" </w:instrText>
      </w:r>
      <w:r>
        <w:fldChar w:fldCharType="separate"/>
      </w:r>
      <w:r>
        <w:rPr>
          <w:rStyle w:val="88"/>
          <w:rFonts w:hint="eastAsia" w:ascii="仿宋" w:hAnsi="仿宋" w:eastAsia="仿宋" w:cs="仿宋"/>
          <w:color w:val="auto"/>
          <w:sz w:val="30"/>
          <w:szCs w:val="30"/>
        </w:rPr>
        <w:t>第四部分  评标办法</w:t>
      </w:r>
      <w:r>
        <w:rPr>
          <w:rFonts w:hint="eastAsia" w:ascii="仿宋" w:hAnsi="仿宋" w:eastAsia="仿宋" w:cs="仿宋"/>
          <w:sz w:val="30"/>
          <w:szCs w:val="30"/>
        </w:rPr>
        <w:tab/>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t>4</w:t>
      </w:r>
    </w:p>
    <w:p>
      <w:pPr>
        <w:pStyle w:val="55"/>
        <w:tabs>
          <w:tab w:val="right" w:leader="dot" w:pos="9110"/>
        </w:tabs>
        <w:spacing w:line="700" w:lineRule="exact"/>
        <w:rPr>
          <w:rFonts w:hint="eastAsia" w:ascii="仿宋" w:hAnsi="仿宋" w:eastAsia="仿宋" w:cs="仿宋"/>
          <w:caps w:val="0"/>
          <w:sz w:val="30"/>
          <w:szCs w:val="30"/>
        </w:rPr>
      </w:pPr>
      <w:r>
        <w:fldChar w:fldCharType="begin"/>
      </w:r>
      <w:r>
        <w:instrText xml:space="preserve"> HYPERLINK \l "_Toc54978900" </w:instrText>
      </w:r>
      <w:r>
        <w:fldChar w:fldCharType="separate"/>
      </w:r>
      <w:r>
        <w:rPr>
          <w:rStyle w:val="88"/>
          <w:rFonts w:hint="eastAsia" w:ascii="仿宋" w:hAnsi="仿宋" w:eastAsia="仿宋" w:cs="仿宋"/>
          <w:bCs/>
          <w:color w:val="auto"/>
          <w:sz w:val="30"/>
          <w:szCs w:val="30"/>
        </w:rPr>
        <w:t>第五部分  拟签订合同范本</w:t>
      </w:r>
      <w:r>
        <w:rPr>
          <w:rFonts w:hint="eastAsia" w:ascii="仿宋" w:hAnsi="仿宋" w:eastAsia="仿宋" w:cs="仿宋"/>
          <w:sz w:val="30"/>
          <w:szCs w:val="30"/>
        </w:rPr>
        <w:tab/>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t>8</w:t>
      </w:r>
    </w:p>
    <w:p>
      <w:pPr>
        <w:pStyle w:val="55"/>
        <w:tabs>
          <w:tab w:val="right" w:leader="dot" w:pos="9110"/>
        </w:tabs>
        <w:spacing w:line="700" w:lineRule="exact"/>
        <w:rPr>
          <w:rFonts w:hint="eastAsia" w:ascii="仿宋" w:hAnsi="仿宋" w:eastAsia="仿宋" w:cs="仿宋"/>
          <w:caps w:val="0"/>
          <w:sz w:val="28"/>
          <w:szCs w:val="28"/>
        </w:rPr>
      </w:pPr>
      <w:r>
        <w:fldChar w:fldCharType="begin"/>
      </w:r>
      <w:r>
        <w:instrText xml:space="preserve"> HYPERLINK \l "_Toc54978901" </w:instrText>
      </w:r>
      <w:r>
        <w:fldChar w:fldCharType="separate"/>
      </w:r>
      <w:r>
        <w:rPr>
          <w:rStyle w:val="88"/>
          <w:rFonts w:hint="eastAsia" w:ascii="仿宋" w:hAnsi="仿宋" w:eastAsia="仿宋" w:cs="仿宋"/>
          <w:color w:val="auto"/>
          <w:sz w:val="30"/>
          <w:szCs w:val="30"/>
        </w:rPr>
        <w:t>第六部分  投标文件及其附件格式</w:t>
      </w:r>
      <w:r>
        <w:rPr>
          <w:rFonts w:hint="eastAsia" w:ascii="仿宋" w:hAnsi="仿宋" w:eastAsia="仿宋" w:cs="仿宋"/>
          <w:sz w:val="30"/>
          <w:szCs w:val="30"/>
        </w:rPr>
        <w:tab/>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28"/>
          <w:szCs w:val="28"/>
        </w:rPr>
        <w:t>3</w:t>
      </w:r>
    </w:p>
    <w:p>
      <w:pPr>
        <w:pStyle w:val="2"/>
        <w:spacing w:line="700" w:lineRule="exact"/>
        <w:rPr>
          <w:rFonts w:hint="eastAsia" w:ascii="仿宋" w:hAnsi="仿宋" w:eastAsia="仿宋" w:cs="仿宋"/>
          <w:b/>
          <w:bCs/>
          <w:color w:val="auto"/>
          <w:sz w:val="32"/>
          <w:szCs w:val="32"/>
        </w:rPr>
      </w:pPr>
      <w:r>
        <w:rPr>
          <w:rFonts w:hint="eastAsia" w:ascii="仿宋" w:hAnsi="仿宋" w:eastAsia="仿宋" w:cs="仿宋"/>
          <w:color w:val="auto"/>
        </w:rPr>
        <w:fldChar w:fldCharType="end"/>
      </w:r>
      <w:bookmarkStart w:id="11" w:name="_Toc54978887"/>
      <w:r>
        <w:rPr>
          <w:rFonts w:hint="eastAsia" w:ascii="仿宋" w:hAnsi="仿宋" w:eastAsia="仿宋" w:cs="仿宋"/>
          <w:b/>
          <w:bCs/>
          <w:color w:val="auto"/>
          <w:sz w:val="32"/>
          <w:szCs w:val="32"/>
        </w:rPr>
        <w:t>第一部分</w:t>
      </w:r>
      <w:bookmarkEnd w:id="0"/>
      <w:bookmarkEnd w:id="1"/>
      <w:bookmarkEnd w:id="2"/>
      <w:bookmarkEnd w:id="3"/>
      <w:bookmarkEnd w:id="4"/>
      <w:r>
        <w:rPr>
          <w:rFonts w:hint="eastAsia" w:ascii="仿宋" w:hAnsi="仿宋" w:eastAsia="仿宋" w:cs="仿宋"/>
          <w:b/>
          <w:bCs/>
          <w:color w:val="auto"/>
          <w:sz w:val="32"/>
          <w:szCs w:val="32"/>
        </w:rPr>
        <w:t xml:space="preserve">  </w:t>
      </w:r>
      <w:bookmarkEnd w:id="5"/>
      <w:bookmarkEnd w:id="6"/>
      <w:bookmarkEnd w:id="7"/>
      <w:bookmarkEnd w:id="8"/>
      <w:r>
        <w:rPr>
          <w:rFonts w:hint="eastAsia" w:ascii="仿宋" w:hAnsi="仿宋" w:eastAsia="仿宋" w:cs="仿宋"/>
          <w:b/>
          <w:bCs/>
          <w:color w:val="auto"/>
          <w:sz w:val="32"/>
          <w:szCs w:val="32"/>
        </w:rPr>
        <w:t>招标公告</w:t>
      </w:r>
      <w:bookmarkEnd w:id="11"/>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Cs w:val="24"/>
        </w:rPr>
      </w:pPr>
      <w:bookmarkStart w:id="12" w:name="_Toc304551309"/>
      <w:bookmarkStart w:id="13" w:name="_Toc5837"/>
      <w:bookmarkStart w:id="14" w:name="_Toc339302124"/>
      <w:bookmarkStart w:id="15" w:name="_Toc226337757"/>
      <w:bookmarkStart w:id="16" w:name="_Toc340322163"/>
      <w:bookmarkStart w:id="17" w:name="_Toc248065035"/>
      <w:bookmarkStart w:id="18" w:name="_Toc340321908"/>
      <w:bookmarkStart w:id="19" w:name="_Toc54978888"/>
      <w:bookmarkStart w:id="20" w:name="_Toc180555916"/>
      <w:r>
        <w:rPr>
          <w:rFonts w:hint="eastAsia" w:ascii="仿宋" w:hAnsi="仿宋" w:eastAsia="仿宋" w:cs="仿宋"/>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Cs w:val="24"/>
          <w:u w:val="single"/>
          <w:lang w:eastAsia="zh-CN"/>
        </w:rPr>
      </w:pPr>
      <w:r>
        <w:rPr>
          <w:rFonts w:hint="eastAsia" w:ascii="仿宋" w:hAnsi="仿宋" w:eastAsia="仿宋" w:cs="仿宋"/>
          <w:szCs w:val="24"/>
          <w:u w:val="single"/>
          <w:lang w:eastAsia="zh-CN"/>
        </w:rPr>
        <w:t>嵊州市前岩水库物业化管理采购项目</w:t>
      </w:r>
      <w:r>
        <w:rPr>
          <w:rFonts w:hint="eastAsia" w:ascii="仿宋" w:hAnsi="仿宋" w:eastAsia="仿宋" w:cs="仿宋"/>
          <w:szCs w:val="24"/>
          <w:u w:val="single"/>
        </w:rPr>
        <w:t>的潜在供应商应在乐采云平台</w:t>
      </w:r>
      <w:r>
        <w:rPr>
          <w:rFonts w:hint="eastAsia" w:ascii="仿宋" w:hAnsi="仿宋" w:eastAsia="仿宋" w:cs="仿宋"/>
          <w:szCs w:val="24"/>
          <w:u w:val="single"/>
          <w:lang w:eastAsia="zh-CN"/>
        </w:rPr>
        <w:t>（https://www.lecaiyun.com/）获取采购文件，并于202</w:t>
      </w:r>
      <w:r>
        <w:rPr>
          <w:rFonts w:hint="eastAsia" w:ascii="仿宋" w:hAnsi="仿宋" w:eastAsia="仿宋" w:cs="仿宋"/>
          <w:szCs w:val="24"/>
          <w:u w:val="single"/>
          <w:lang w:val="en-US" w:eastAsia="zh-CN"/>
        </w:rPr>
        <w:t>5</w:t>
      </w:r>
      <w:r>
        <w:rPr>
          <w:rFonts w:hint="eastAsia" w:ascii="仿宋" w:hAnsi="仿宋" w:eastAsia="仿宋" w:cs="仿宋"/>
          <w:szCs w:val="24"/>
          <w:u w:val="single"/>
          <w:lang w:eastAsia="zh-CN"/>
        </w:rPr>
        <w:t>年</w:t>
      </w:r>
      <w:r>
        <w:rPr>
          <w:rFonts w:hint="eastAsia" w:ascii="仿宋" w:hAnsi="仿宋" w:eastAsia="仿宋" w:cs="仿宋"/>
          <w:szCs w:val="24"/>
          <w:u w:val="single"/>
          <w:lang w:val="en-US" w:eastAsia="zh-CN"/>
        </w:rPr>
        <w:t>2</w:t>
      </w:r>
      <w:r>
        <w:rPr>
          <w:rFonts w:hint="eastAsia" w:ascii="仿宋" w:hAnsi="仿宋" w:eastAsia="仿宋" w:cs="仿宋"/>
          <w:szCs w:val="24"/>
          <w:u w:val="single"/>
          <w:lang w:eastAsia="zh-CN"/>
        </w:rPr>
        <w:t>月</w:t>
      </w:r>
      <w:r>
        <w:rPr>
          <w:rFonts w:hint="eastAsia" w:ascii="仿宋" w:hAnsi="仿宋" w:eastAsia="仿宋" w:cs="仿宋"/>
          <w:szCs w:val="24"/>
          <w:u w:val="single"/>
          <w:lang w:val="en-US" w:eastAsia="zh-CN"/>
        </w:rPr>
        <w:t>14</w:t>
      </w:r>
      <w:r>
        <w:rPr>
          <w:rFonts w:hint="eastAsia" w:ascii="仿宋" w:hAnsi="仿宋" w:eastAsia="仿宋" w:cs="仿宋"/>
          <w:szCs w:val="24"/>
          <w:u w:val="single"/>
          <w:lang w:eastAsia="zh-CN"/>
        </w:rPr>
        <w:t>日下午</w:t>
      </w:r>
      <w:r>
        <w:rPr>
          <w:rFonts w:hint="eastAsia" w:ascii="仿宋" w:hAnsi="仿宋" w:eastAsia="仿宋" w:cs="仿宋"/>
          <w:szCs w:val="24"/>
          <w:u w:val="single"/>
          <w:lang w:val="en-US" w:eastAsia="zh-CN"/>
        </w:rPr>
        <w:t>14</w:t>
      </w:r>
      <w:r>
        <w:rPr>
          <w:rFonts w:hint="eastAsia" w:ascii="仿宋" w:hAnsi="仿宋" w:eastAsia="仿宋" w:cs="仿宋"/>
          <w:szCs w:val="24"/>
          <w:u w:val="single"/>
          <w:lang w:eastAsia="zh-CN"/>
        </w:rPr>
        <w:t>点</w:t>
      </w:r>
      <w:r>
        <w:rPr>
          <w:rFonts w:hint="eastAsia" w:ascii="仿宋" w:hAnsi="仿宋" w:eastAsia="仿宋" w:cs="仿宋"/>
          <w:szCs w:val="24"/>
          <w:u w:val="single"/>
          <w:lang w:val="en-US" w:eastAsia="zh-CN"/>
        </w:rPr>
        <w:t>30</w:t>
      </w:r>
      <w:r>
        <w:rPr>
          <w:rFonts w:hint="eastAsia" w:ascii="仿宋" w:hAnsi="仿宋" w:eastAsia="仿宋" w:cs="仿宋"/>
          <w:szCs w:val="24"/>
          <w:u w:val="single"/>
          <w:lang w:eastAsia="zh-CN"/>
        </w:rPr>
        <w:t>分（北京时间）前提交投标文件。</w:t>
      </w:r>
    </w:p>
    <w:p>
      <w:pPr>
        <w:spacing w:line="360" w:lineRule="auto"/>
        <w:rPr>
          <w:rFonts w:hint="eastAsia" w:ascii="仿宋" w:hAnsi="仿宋" w:eastAsia="仿宋" w:cs="仿宋"/>
          <w:b/>
          <w:bCs/>
          <w:spacing w:val="6"/>
          <w:szCs w:val="24"/>
        </w:rPr>
      </w:pPr>
      <w:bookmarkStart w:id="21" w:name="_Toc35393790"/>
      <w:bookmarkStart w:id="22" w:name="_Toc28359079"/>
      <w:bookmarkStart w:id="23" w:name="_Toc28359002"/>
      <w:bookmarkStart w:id="24" w:name="_Toc35393621"/>
      <w:bookmarkStart w:id="25" w:name="_Hlk24379207"/>
      <w:r>
        <w:rPr>
          <w:rFonts w:hint="eastAsia" w:ascii="仿宋" w:hAnsi="仿宋" w:eastAsia="仿宋" w:cs="仿宋"/>
          <w:b/>
          <w:bCs/>
          <w:spacing w:val="6"/>
          <w:szCs w:val="24"/>
        </w:rPr>
        <w:t>一、项目基本情况</w:t>
      </w:r>
      <w:bookmarkEnd w:id="21"/>
      <w:bookmarkEnd w:id="22"/>
      <w:bookmarkEnd w:id="23"/>
      <w:bookmarkEnd w:id="24"/>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1.项目编号：</w:t>
      </w:r>
      <w:r>
        <w:rPr>
          <w:rFonts w:hint="eastAsia" w:ascii="仿宋" w:hAnsi="仿宋" w:eastAsia="仿宋" w:cs="仿宋"/>
          <w:szCs w:val="24"/>
          <w:lang w:val="en-US" w:eastAsia="zh-CN"/>
        </w:rPr>
        <w:t>JQ-SZ20250112</w:t>
      </w:r>
    </w:p>
    <w:p>
      <w:pPr>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rPr>
        <w:t>2.项目名称：</w:t>
      </w:r>
      <w:r>
        <w:rPr>
          <w:rFonts w:hint="eastAsia" w:ascii="仿宋" w:hAnsi="仿宋" w:eastAsia="仿宋" w:cs="仿宋"/>
          <w:szCs w:val="24"/>
          <w:lang w:eastAsia="zh-CN"/>
        </w:rPr>
        <w:t>嵊州市前岩水库物业化管理采购项目</w:t>
      </w:r>
    </w:p>
    <w:bookmarkEnd w:id="25"/>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3.预算金额：</w:t>
      </w:r>
      <w:r>
        <w:rPr>
          <w:rFonts w:hint="eastAsia" w:ascii="仿宋" w:hAnsi="仿宋" w:eastAsia="仿宋" w:cs="仿宋"/>
          <w:szCs w:val="24"/>
          <w:lang w:eastAsia="zh-CN"/>
        </w:rPr>
        <w:t>1497196.47</w:t>
      </w:r>
      <w:r>
        <w:rPr>
          <w:rFonts w:hint="eastAsia" w:ascii="仿宋" w:hAnsi="仿宋" w:eastAsia="仿宋" w:cs="仿宋"/>
          <w:szCs w:val="24"/>
        </w:rPr>
        <w:t>元</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4.最高投标限价：</w:t>
      </w:r>
      <w:r>
        <w:rPr>
          <w:rFonts w:hint="eastAsia" w:ascii="仿宋" w:hAnsi="仿宋" w:eastAsia="仿宋" w:cs="仿宋"/>
          <w:szCs w:val="24"/>
          <w:lang w:eastAsia="zh-CN"/>
        </w:rPr>
        <w:t>1497196.47</w:t>
      </w:r>
      <w:r>
        <w:rPr>
          <w:rFonts w:hint="eastAsia" w:ascii="仿宋" w:hAnsi="仿宋" w:eastAsia="仿宋" w:cs="仿宋"/>
          <w:szCs w:val="24"/>
        </w:rPr>
        <w:t>元</w:t>
      </w:r>
    </w:p>
    <w:p>
      <w:pPr>
        <w:spacing w:line="360" w:lineRule="auto"/>
        <w:ind w:firstLine="480" w:firstLineChars="200"/>
        <w:rPr>
          <w:rFonts w:hint="eastAsia" w:ascii="仿宋" w:hAnsi="仿宋" w:eastAsia="仿宋" w:cs="仿宋"/>
          <w:szCs w:val="24"/>
        </w:rPr>
      </w:pPr>
      <w:r>
        <w:rPr>
          <w:rFonts w:hint="eastAsia" w:ascii="仿宋" w:hAnsi="仿宋" w:eastAsia="仿宋" w:cs="仿宋"/>
          <w:szCs w:val="24"/>
        </w:rPr>
        <w:t>5.采购需求：详见招标文件第三部分</w:t>
      </w:r>
    </w:p>
    <w:tbl>
      <w:tblPr>
        <w:tblStyle w:val="80"/>
        <w:tblpPr w:leftFromText="180" w:rightFromText="180" w:vertAnchor="text" w:horzAnchor="page" w:tblpX="1441" w:tblpY="246"/>
        <w:tblOverlap w:val="never"/>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089"/>
        <w:gridCol w:w="1067"/>
        <w:gridCol w:w="159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序号</w:t>
            </w:r>
          </w:p>
        </w:tc>
        <w:tc>
          <w:tcPr>
            <w:tcW w:w="4089"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采购项目</w:t>
            </w:r>
          </w:p>
        </w:tc>
        <w:tc>
          <w:tcPr>
            <w:tcW w:w="1067"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数量</w:t>
            </w:r>
          </w:p>
        </w:tc>
        <w:tc>
          <w:tcPr>
            <w:tcW w:w="1591"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预算（元）</w:t>
            </w:r>
          </w:p>
        </w:tc>
        <w:tc>
          <w:tcPr>
            <w:tcW w:w="1607"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50"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w:t>
            </w:r>
          </w:p>
        </w:tc>
        <w:tc>
          <w:tcPr>
            <w:tcW w:w="4089" w:type="dxa"/>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lang w:eastAsia="zh-CN"/>
              </w:rPr>
              <w:t>嵊州市前岩水库物业化管理采购项目</w:t>
            </w:r>
          </w:p>
        </w:tc>
        <w:tc>
          <w:tcPr>
            <w:tcW w:w="1067" w:type="dxa"/>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eastAsia="zh-CN"/>
              </w:rPr>
              <w:t>项</w:t>
            </w:r>
          </w:p>
        </w:tc>
        <w:tc>
          <w:tcPr>
            <w:tcW w:w="1591" w:type="dxa"/>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lang w:eastAsia="zh-CN"/>
              </w:rPr>
              <w:t>1497196.47</w:t>
            </w:r>
          </w:p>
        </w:tc>
        <w:tc>
          <w:tcPr>
            <w:tcW w:w="1607" w:type="dxa"/>
            <w:vAlign w:val="center"/>
          </w:tcPr>
          <w:p>
            <w:pPr>
              <w:spacing w:line="440" w:lineRule="exact"/>
              <w:jc w:val="left"/>
              <w:rPr>
                <w:rFonts w:hint="eastAsia" w:ascii="仿宋" w:hAnsi="仿宋" w:eastAsia="仿宋" w:cs="仿宋"/>
                <w:szCs w:val="24"/>
              </w:rPr>
            </w:pPr>
          </w:p>
        </w:tc>
      </w:tr>
    </w:tbl>
    <w:p>
      <w:pPr>
        <w:spacing w:line="360" w:lineRule="auto"/>
        <w:rPr>
          <w:rFonts w:hint="eastAsia" w:ascii="仿宋" w:hAnsi="仿宋" w:eastAsia="仿宋" w:cs="仿宋"/>
          <w:b/>
          <w:bCs/>
          <w:spacing w:val="6"/>
          <w:szCs w:val="24"/>
        </w:rPr>
      </w:pPr>
      <w:bookmarkStart w:id="26" w:name="_Toc28359003"/>
      <w:bookmarkStart w:id="27" w:name="_Toc35393791"/>
      <w:bookmarkStart w:id="28" w:name="_Toc28359080"/>
      <w:bookmarkStart w:id="29" w:name="_Toc35393622"/>
      <w:r>
        <w:rPr>
          <w:rFonts w:hint="eastAsia" w:ascii="仿宋" w:hAnsi="仿宋" w:eastAsia="仿宋" w:cs="仿宋"/>
          <w:b/>
          <w:bCs/>
          <w:spacing w:val="6"/>
          <w:szCs w:val="24"/>
        </w:rPr>
        <w:t>二、申请人的资格要求：</w:t>
      </w:r>
      <w:bookmarkEnd w:id="26"/>
      <w:bookmarkEnd w:id="27"/>
      <w:bookmarkEnd w:id="28"/>
      <w:bookmarkEnd w:id="29"/>
    </w:p>
    <w:p>
      <w:pPr>
        <w:spacing w:line="440" w:lineRule="exact"/>
        <w:ind w:firstLine="482" w:firstLineChars="200"/>
        <w:rPr>
          <w:rFonts w:hint="eastAsia" w:ascii="仿宋" w:hAnsi="仿宋" w:eastAsia="仿宋" w:cs="仿宋"/>
          <w:b/>
          <w:sz w:val="24"/>
        </w:rPr>
      </w:pPr>
      <w:bookmarkStart w:id="30" w:name="_Toc28359081"/>
      <w:bookmarkStart w:id="31" w:name="_Toc35393623"/>
      <w:bookmarkStart w:id="32" w:name="_Toc35393792"/>
      <w:bookmarkStart w:id="33" w:name="_Toc28359004"/>
      <w:r>
        <w:rPr>
          <w:rFonts w:hint="eastAsia" w:ascii="仿宋" w:hAnsi="仿宋" w:eastAsia="仿宋" w:cs="仿宋"/>
          <w:b/>
          <w:sz w:val="24"/>
        </w:rPr>
        <w:t>二、申请人的资格要求</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1.具有独立承担民事责任的能力；</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2.具有良好的商业信誉；</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3.具有履行合同所必需的设备和专业技术，售后保障等能力；</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4.有依法缴纳税收和社会保障资金的良好记录；</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5.参加活动前三年内，没有重大违法记录、严重失信行为和行贿记录；</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.未被“信用中国”（www.creditchina.gov.cn)、中国政府采购网（www.ccgp.gov.cn）列入失信被执行人、重大税收违法案件当事人名单、国企采购严重违法失信行为记录名单。</w:t>
      </w:r>
    </w:p>
    <w:p>
      <w:pPr>
        <w:snapToGrid w:val="0"/>
        <w:spacing w:line="360" w:lineRule="auto"/>
        <w:ind w:firstLine="480" w:firstLineChars="200"/>
        <w:rPr>
          <w:rFonts w:hint="eastAsia" w:ascii="仿宋" w:hAnsi="仿宋" w:eastAsia="仿宋" w:cs="仿宋"/>
          <w:szCs w:val="24"/>
          <w:lang w:eastAsia="zh-CN"/>
        </w:rPr>
      </w:pPr>
      <w:r>
        <w:rPr>
          <w:rFonts w:hint="eastAsia" w:ascii="仿宋" w:hAnsi="仿宋" w:eastAsia="仿宋" w:cs="仿宋"/>
          <w:bCs/>
          <w:sz w:val="24"/>
          <w:lang w:val="en-US" w:eastAsia="zh-CN"/>
        </w:rPr>
        <w:t>7</w:t>
      </w:r>
      <w:r>
        <w:rPr>
          <w:rFonts w:hint="eastAsia" w:ascii="仿宋" w:hAnsi="仿宋" w:eastAsia="仿宋" w:cs="仿宋"/>
          <w:bCs/>
          <w:sz w:val="24"/>
        </w:rPr>
        <w:t>.本项目的特定资格要求：</w:t>
      </w:r>
      <w:r>
        <w:rPr>
          <w:rFonts w:hint="eastAsia" w:ascii="仿宋" w:hAnsi="仿宋" w:eastAsia="仿宋" w:cs="仿宋"/>
          <w:bCs/>
          <w:sz w:val="24"/>
          <w:lang w:eastAsia="zh-CN"/>
        </w:rPr>
        <w:t>无</w:t>
      </w:r>
    </w:p>
    <w:p>
      <w:pPr>
        <w:spacing w:line="360" w:lineRule="auto"/>
        <w:ind w:firstLine="504" w:firstLineChars="200"/>
        <w:rPr>
          <w:rFonts w:hint="eastAsia" w:ascii="仿宋" w:hAnsi="仿宋" w:eastAsia="仿宋" w:cs="仿宋"/>
          <w:spacing w:val="6"/>
          <w:szCs w:val="24"/>
        </w:rPr>
      </w:pPr>
      <w:r>
        <w:rPr>
          <w:rFonts w:hint="eastAsia" w:ascii="仿宋" w:hAnsi="仿宋" w:eastAsia="仿宋" w:cs="仿宋"/>
          <w:spacing w:val="6"/>
          <w:szCs w:val="24"/>
          <w:lang w:val="en-US" w:eastAsia="zh-CN"/>
        </w:rPr>
        <w:t>8</w:t>
      </w:r>
      <w:r>
        <w:rPr>
          <w:rFonts w:hint="eastAsia" w:ascii="仿宋" w:hAnsi="仿宋" w:eastAsia="仿宋" w:cs="仿宋"/>
          <w:spacing w:val="6"/>
          <w:szCs w:val="24"/>
        </w:rPr>
        <w:t>.本项目不接受联合体投标。</w:t>
      </w:r>
    </w:p>
    <w:p>
      <w:pPr>
        <w:pStyle w:val="32"/>
        <w:spacing w:line="360" w:lineRule="auto"/>
        <w:ind w:firstLine="506" w:firstLineChars="200"/>
        <w:rPr>
          <w:rFonts w:hint="eastAsia" w:ascii="仿宋" w:hAnsi="仿宋" w:eastAsia="仿宋" w:cs="仿宋"/>
          <w:color w:val="auto"/>
          <w:spacing w:val="6"/>
          <w:szCs w:val="24"/>
        </w:rPr>
      </w:pPr>
      <w:r>
        <w:rPr>
          <w:rFonts w:hint="eastAsia" w:ascii="仿宋" w:hAnsi="仿宋" w:eastAsia="仿宋" w:cs="仿宋"/>
          <w:b/>
          <w:bCs/>
          <w:color w:val="auto"/>
          <w:spacing w:val="6"/>
          <w:szCs w:val="24"/>
        </w:rPr>
        <w:t>三、获取</w:t>
      </w:r>
      <w:bookmarkEnd w:id="30"/>
      <w:bookmarkEnd w:id="31"/>
      <w:bookmarkEnd w:id="32"/>
      <w:bookmarkEnd w:id="33"/>
      <w:r>
        <w:rPr>
          <w:rFonts w:hint="eastAsia" w:ascii="仿宋" w:hAnsi="仿宋" w:eastAsia="仿宋" w:cs="仿宋"/>
          <w:b/>
          <w:bCs/>
          <w:color w:val="auto"/>
          <w:spacing w:val="6"/>
          <w:szCs w:val="24"/>
        </w:rPr>
        <w:t>采购文件</w:t>
      </w:r>
      <w:bookmarkStart w:id="34" w:name="_Toc28359005"/>
      <w:bookmarkStart w:id="35" w:name="_Toc28359082"/>
      <w:bookmarkStart w:id="36" w:name="_Toc35393624"/>
      <w:bookmarkStart w:id="37" w:name="_Toc35393793"/>
    </w:p>
    <w:p>
      <w:pPr>
        <w:pStyle w:val="32"/>
        <w:spacing w:line="360" w:lineRule="auto"/>
        <w:ind w:firstLine="504" w:firstLineChars="200"/>
        <w:rPr>
          <w:rFonts w:hint="eastAsia" w:ascii="仿宋" w:hAnsi="仿宋" w:eastAsia="仿宋" w:cs="仿宋"/>
          <w:color w:val="auto"/>
          <w:spacing w:val="6"/>
          <w:szCs w:val="24"/>
        </w:rPr>
      </w:pPr>
      <w:r>
        <w:rPr>
          <w:rFonts w:hint="eastAsia" w:ascii="仿宋" w:hAnsi="仿宋" w:eastAsia="仿宋" w:cs="仿宋"/>
          <w:color w:val="auto"/>
          <w:spacing w:val="6"/>
          <w:szCs w:val="24"/>
        </w:rPr>
        <w:t>1.采购文件获取时间： / 至202</w:t>
      </w:r>
      <w:r>
        <w:rPr>
          <w:rFonts w:hint="eastAsia" w:ascii="仿宋" w:hAnsi="仿宋" w:eastAsia="仿宋" w:cs="仿宋"/>
          <w:color w:val="auto"/>
          <w:spacing w:val="6"/>
          <w:szCs w:val="24"/>
          <w:lang w:val="en-US" w:eastAsia="zh-CN"/>
        </w:rPr>
        <w:t>5</w:t>
      </w:r>
      <w:r>
        <w:rPr>
          <w:rFonts w:hint="eastAsia" w:ascii="仿宋" w:hAnsi="仿宋" w:eastAsia="仿宋" w:cs="仿宋"/>
          <w:color w:val="auto"/>
          <w:spacing w:val="6"/>
          <w:szCs w:val="24"/>
        </w:rPr>
        <w:t>年</w:t>
      </w:r>
      <w:r>
        <w:rPr>
          <w:rFonts w:hint="eastAsia" w:ascii="仿宋" w:hAnsi="仿宋" w:eastAsia="仿宋" w:cs="仿宋"/>
          <w:color w:val="auto"/>
          <w:spacing w:val="6"/>
          <w:szCs w:val="24"/>
          <w:lang w:val="en-US" w:eastAsia="zh-CN"/>
        </w:rPr>
        <w:t>2</w:t>
      </w:r>
      <w:r>
        <w:rPr>
          <w:rFonts w:hint="eastAsia" w:ascii="仿宋" w:hAnsi="仿宋" w:eastAsia="仿宋" w:cs="仿宋"/>
          <w:color w:val="auto"/>
          <w:spacing w:val="6"/>
          <w:szCs w:val="24"/>
        </w:rPr>
        <w:t>月</w:t>
      </w:r>
      <w:r>
        <w:rPr>
          <w:rFonts w:hint="eastAsia" w:ascii="仿宋" w:hAnsi="仿宋" w:eastAsia="仿宋" w:cs="仿宋"/>
          <w:color w:val="auto"/>
          <w:spacing w:val="6"/>
          <w:szCs w:val="24"/>
          <w:lang w:val="en-US" w:eastAsia="zh-CN"/>
        </w:rPr>
        <w:t>14</w:t>
      </w:r>
      <w:r>
        <w:rPr>
          <w:rFonts w:hint="eastAsia" w:ascii="仿宋" w:hAnsi="仿宋" w:eastAsia="仿宋" w:cs="仿宋"/>
          <w:color w:val="auto"/>
          <w:spacing w:val="6"/>
          <w:szCs w:val="24"/>
        </w:rPr>
        <w:t>日，每天上午00:00至12:00，下午12:00至23:59（北京时间，线上获取法定节假日均可，线下获取文件法定节假日除外）</w:t>
      </w:r>
    </w:p>
    <w:p>
      <w:pPr>
        <w:pStyle w:val="32"/>
        <w:spacing w:line="360" w:lineRule="auto"/>
        <w:ind w:firstLine="504" w:firstLineChars="200"/>
        <w:rPr>
          <w:rFonts w:hint="eastAsia" w:ascii="仿宋" w:hAnsi="仿宋" w:eastAsia="仿宋" w:cs="仿宋"/>
          <w:color w:val="auto"/>
          <w:spacing w:val="6"/>
          <w:szCs w:val="24"/>
        </w:rPr>
      </w:pPr>
      <w:r>
        <w:rPr>
          <w:rFonts w:hint="eastAsia" w:ascii="仿宋" w:hAnsi="仿宋" w:eastAsia="仿宋" w:cs="仿宋"/>
          <w:color w:val="auto"/>
          <w:spacing w:val="6"/>
          <w:szCs w:val="24"/>
        </w:rPr>
        <w:t>2.地点（网址）：乐采云平台（https://www.lecaiyun.com/） </w:t>
      </w:r>
    </w:p>
    <w:p>
      <w:pPr>
        <w:pStyle w:val="32"/>
        <w:spacing w:line="360" w:lineRule="auto"/>
        <w:ind w:firstLine="504" w:firstLineChars="200"/>
        <w:rPr>
          <w:rFonts w:hint="eastAsia" w:ascii="仿宋" w:hAnsi="仿宋" w:eastAsia="仿宋" w:cs="仿宋"/>
          <w:color w:val="auto"/>
          <w:spacing w:val="6"/>
          <w:szCs w:val="24"/>
        </w:rPr>
      </w:pPr>
      <w:r>
        <w:rPr>
          <w:rFonts w:hint="eastAsia" w:ascii="仿宋" w:hAnsi="仿宋" w:eastAsia="仿宋" w:cs="仿宋"/>
          <w:color w:val="auto"/>
          <w:spacing w:val="6"/>
          <w:szCs w:val="24"/>
        </w:rPr>
        <w:t>3.获取方式：供应商登录乐采云平台（https://www.lecaiyun.com/），在线申请获取采购文件（进入“项目采购”应用，在获取采购文件菜单中选择项目，申请获取采购文件,仅需浏览采购文件的供应商可点击“游客，浏览采购文件”直接下载采购文件浏览）。</w:t>
      </w:r>
    </w:p>
    <w:p>
      <w:pPr>
        <w:spacing w:line="360" w:lineRule="auto"/>
        <w:ind w:firstLine="504" w:firstLineChars="200"/>
        <w:rPr>
          <w:rFonts w:hint="eastAsia" w:ascii="仿宋" w:hAnsi="仿宋" w:eastAsia="仿宋" w:cs="仿宋"/>
          <w:b/>
          <w:bCs/>
          <w:spacing w:val="6"/>
          <w:szCs w:val="24"/>
        </w:rPr>
      </w:pPr>
      <w:r>
        <w:rPr>
          <w:rFonts w:hint="eastAsia" w:ascii="仿宋" w:hAnsi="仿宋" w:eastAsia="仿宋" w:cs="仿宋"/>
          <w:spacing w:val="6"/>
          <w:szCs w:val="24"/>
        </w:rPr>
        <w:t>4.采购文件售价：免费。</w:t>
      </w:r>
    </w:p>
    <w:p>
      <w:pPr>
        <w:spacing w:line="360" w:lineRule="auto"/>
        <w:rPr>
          <w:rFonts w:hint="eastAsia" w:ascii="仿宋" w:hAnsi="仿宋" w:eastAsia="仿宋" w:cs="仿宋"/>
          <w:b/>
          <w:bCs/>
          <w:spacing w:val="6"/>
          <w:szCs w:val="24"/>
        </w:rPr>
      </w:pPr>
      <w:r>
        <w:rPr>
          <w:rFonts w:hint="eastAsia" w:ascii="仿宋" w:hAnsi="仿宋" w:eastAsia="仿宋" w:cs="仿宋"/>
          <w:b/>
          <w:bCs/>
          <w:spacing w:val="6"/>
          <w:szCs w:val="24"/>
        </w:rPr>
        <w:t>四、提交投标文件</w:t>
      </w:r>
      <w:bookmarkEnd w:id="34"/>
      <w:bookmarkEnd w:id="35"/>
      <w:r>
        <w:rPr>
          <w:rFonts w:hint="eastAsia" w:ascii="仿宋" w:hAnsi="仿宋" w:eastAsia="仿宋" w:cs="仿宋"/>
          <w:b/>
          <w:bCs/>
          <w:spacing w:val="6"/>
          <w:szCs w:val="24"/>
        </w:rPr>
        <w:t>截止时间、开标时间和地点</w:t>
      </w:r>
      <w:bookmarkEnd w:id="36"/>
      <w:bookmarkEnd w:id="37"/>
    </w:p>
    <w:p>
      <w:pPr>
        <w:pStyle w:val="32"/>
        <w:spacing w:line="360" w:lineRule="auto"/>
        <w:ind w:firstLine="504" w:firstLineChars="200"/>
        <w:rPr>
          <w:rFonts w:hint="eastAsia" w:ascii="仿宋" w:hAnsi="仿宋" w:eastAsia="仿宋" w:cs="仿宋"/>
          <w:color w:val="auto"/>
          <w:spacing w:val="6"/>
          <w:szCs w:val="24"/>
        </w:rPr>
      </w:pPr>
      <w:bookmarkStart w:id="38" w:name="_Toc35393625"/>
      <w:bookmarkStart w:id="39" w:name="_Toc35393794"/>
      <w:bookmarkStart w:id="40" w:name="_Toc28359007"/>
      <w:bookmarkStart w:id="41" w:name="_Toc28359084"/>
      <w:r>
        <w:rPr>
          <w:rFonts w:hint="eastAsia" w:ascii="仿宋" w:hAnsi="仿宋" w:eastAsia="仿宋" w:cs="仿宋"/>
          <w:color w:val="auto"/>
          <w:spacing w:val="6"/>
          <w:szCs w:val="24"/>
        </w:rPr>
        <w:t>1.提交投标文件截止时间：</w:t>
      </w:r>
      <w:bookmarkStart w:id="42" w:name="OLE_LINK1"/>
      <w:r>
        <w:rPr>
          <w:rFonts w:hint="eastAsia" w:ascii="仿宋" w:hAnsi="仿宋" w:eastAsia="仿宋" w:cs="仿宋"/>
          <w:color w:val="auto"/>
          <w:spacing w:val="6"/>
          <w:szCs w:val="24"/>
        </w:rPr>
        <w:t>202</w:t>
      </w:r>
      <w:r>
        <w:rPr>
          <w:rFonts w:hint="eastAsia" w:ascii="仿宋" w:hAnsi="仿宋" w:eastAsia="仿宋" w:cs="仿宋"/>
          <w:color w:val="auto"/>
          <w:spacing w:val="6"/>
          <w:szCs w:val="24"/>
          <w:lang w:val="en-US" w:eastAsia="zh-CN"/>
        </w:rPr>
        <w:t>5</w:t>
      </w:r>
      <w:r>
        <w:rPr>
          <w:rFonts w:hint="eastAsia" w:ascii="仿宋" w:hAnsi="仿宋" w:eastAsia="仿宋" w:cs="仿宋"/>
          <w:color w:val="auto"/>
          <w:spacing w:val="6"/>
          <w:szCs w:val="24"/>
        </w:rPr>
        <w:t>年</w:t>
      </w:r>
      <w:r>
        <w:rPr>
          <w:rFonts w:hint="eastAsia" w:ascii="仿宋" w:hAnsi="仿宋" w:eastAsia="仿宋" w:cs="仿宋"/>
          <w:color w:val="auto"/>
          <w:spacing w:val="6"/>
          <w:szCs w:val="24"/>
          <w:lang w:val="en-US" w:eastAsia="zh-CN"/>
        </w:rPr>
        <w:t>2</w:t>
      </w:r>
      <w:r>
        <w:rPr>
          <w:rFonts w:hint="eastAsia" w:ascii="仿宋" w:hAnsi="仿宋" w:eastAsia="仿宋" w:cs="仿宋"/>
          <w:color w:val="auto"/>
          <w:spacing w:val="6"/>
          <w:szCs w:val="24"/>
        </w:rPr>
        <w:t>月</w:t>
      </w:r>
      <w:r>
        <w:rPr>
          <w:rFonts w:hint="eastAsia" w:ascii="仿宋" w:hAnsi="仿宋" w:eastAsia="仿宋" w:cs="仿宋"/>
          <w:color w:val="auto"/>
          <w:spacing w:val="6"/>
          <w:szCs w:val="24"/>
          <w:lang w:val="en-US" w:eastAsia="zh-CN"/>
        </w:rPr>
        <w:t>14</w:t>
      </w:r>
      <w:r>
        <w:rPr>
          <w:rFonts w:hint="eastAsia" w:ascii="仿宋" w:hAnsi="仿宋" w:eastAsia="仿宋" w:cs="仿宋"/>
          <w:color w:val="auto"/>
          <w:spacing w:val="6"/>
          <w:szCs w:val="24"/>
        </w:rPr>
        <w:t>日</w:t>
      </w:r>
      <w:r>
        <w:rPr>
          <w:rFonts w:hint="eastAsia" w:ascii="仿宋" w:hAnsi="仿宋" w:eastAsia="仿宋" w:cs="仿宋"/>
          <w:color w:val="auto"/>
          <w:spacing w:val="6"/>
          <w:szCs w:val="24"/>
          <w:lang w:eastAsia="zh-CN"/>
        </w:rPr>
        <w:t>下</w:t>
      </w:r>
      <w:r>
        <w:rPr>
          <w:rFonts w:hint="eastAsia" w:ascii="仿宋" w:hAnsi="仿宋" w:eastAsia="仿宋" w:cs="仿宋"/>
          <w:color w:val="auto"/>
          <w:spacing w:val="6"/>
          <w:szCs w:val="24"/>
        </w:rPr>
        <w:t>午</w:t>
      </w:r>
      <w:r>
        <w:rPr>
          <w:rFonts w:hint="eastAsia" w:ascii="仿宋" w:hAnsi="仿宋" w:eastAsia="仿宋" w:cs="仿宋"/>
          <w:color w:val="auto"/>
          <w:spacing w:val="6"/>
          <w:szCs w:val="24"/>
          <w:lang w:val="en-US" w:eastAsia="zh-CN"/>
        </w:rPr>
        <w:t>14：30分</w:t>
      </w:r>
      <w:bookmarkEnd w:id="42"/>
      <w:r>
        <w:rPr>
          <w:rFonts w:hint="eastAsia" w:ascii="仿宋" w:hAnsi="仿宋" w:eastAsia="仿宋" w:cs="仿宋"/>
          <w:color w:val="auto"/>
          <w:spacing w:val="6"/>
          <w:szCs w:val="24"/>
        </w:rPr>
        <w:t>（北京时间）。</w:t>
      </w:r>
    </w:p>
    <w:p>
      <w:pPr>
        <w:pStyle w:val="32"/>
        <w:spacing w:line="360" w:lineRule="auto"/>
        <w:ind w:firstLine="504" w:firstLineChars="200"/>
        <w:rPr>
          <w:rFonts w:hint="eastAsia" w:ascii="仿宋" w:hAnsi="仿宋" w:eastAsia="仿宋" w:cs="仿宋"/>
          <w:color w:val="auto"/>
          <w:spacing w:val="6"/>
          <w:szCs w:val="24"/>
        </w:rPr>
      </w:pPr>
      <w:r>
        <w:rPr>
          <w:rFonts w:hint="eastAsia" w:ascii="仿宋" w:hAnsi="仿宋" w:eastAsia="仿宋" w:cs="仿宋"/>
          <w:color w:val="auto"/>
          <w:spacing w:val="6"/>
          <w:szCs w:val="24"/>
        </w:rPr>
        <w:t>2.投标地点（网址）：乐采云平台（https://www.lecaiyun.com/）。</w:t>
      </w:r>
    </w:p>
    <w:p>
      <w:pPr>
        <w:pStyle w:val="32"/>
        <w:spacing w:line="360" w:lineRule="auto"/>
        <w:ind w:firstLine="504" w:firstLineChars="200"/>
        <w:rPr>
          <w:rFonts w:hint="eastAsia" w:ascii="仿宋" w:hAnsi="仿宋" w:eastAsia="仿宋" w:cs="仿宋"/>
          <w:color w:val="auto"/>
          <w:spacing w:val="6"/>
          <w:szCs w:val="24"/>
        </w:rPr>
      </w:pPr>
      <w:r>
        <w:rPr>
          <w:rFonts w:hint="eastAsia" w:ascii="仿宋" w:hAnsi="仿宋" w:eastAsia="仿宋" w:cs="仿宋"/>
          <w:color w:val="auto"/>
          <w:spacing w:val="6"/>
          <w:szCs w:val="24"/>
        </w:rPr>
        <w:t>3.开标时间：202</w:t>
      </w:r>
      <w:r>
        <w:rPr>
          <w:rFonts w:hint="eastAsia" w:ascii="仿宋" w:hAnsi="仿宋" w:eastAsia="仿宋" w:cs="仿宋"/>
          <w:color w:val="auto"/>
          <w:spacing w:val="6"/>
          <w:szCs w:val="24"/>
          <w:lang w:val="en-US" w:eastAsia="zh-CN"/>
        </w:rPr>
        <w:t>5</w:t>
      </w:r>
      <w:r>
        <w:rPr>
          <w:rFonts w:hint="eastAsia" w:ascii="仿宋" w:hAnsi="仿宋" w:eastAsia="仿宋" w:cs="仿宋"/>
          <w:color w:val="auto"/>
          <w:spacing w:val="6"/>
          <w:szCs w:val="24"/>
        </w:rPr>
        <w:t>年</w:t>
      </w:r>
      <w:r>
        <w:rPr>
          <w:rFonts w:hint="eastAsia" w:ascii="仿宋" w:hAnsi="仿宋" w:eastAsia="仿宋" w:cs="仿宋"/>
          <w:color w:val="auto"/>
          <w:spacing w:val="6"/>
          <w:szCs w:val="24"/>
          <w:lang w:val="en-US" w:eastAsia="zh-CN"/>
        </w:rPr>
        <w:t>2</w:t>
      </w:r>
      <w:r>
        <w:rPr>
          <w:rFonts w:hint="eastAsia" w:ascii="仿宋" w:hAnsi="仿宋" w:eastAsia="仿宋" w:cs="仿宋"/>
          <w:color w:val="auto"/>
          <w:spacing w:val="6"/>
          <w:szCs w:val="24"/>
        </w:rPr>
        <w:t>月</w:t>
      </w:r>
      <w:r>
        <w:rPr>
          <w:rFonts w:hint="eastAsia" w:ascii="仿宋" w:hAnsi="仿宋" w:eastAsia="仿宋" w:cs="仿宋"/>
          <w:color w:val="auto"/>
          <w:spacing w:val="6"/>
          <w:szCs w:val="24"/>
          <w:lang w:val="en-US" w:eastAsia="zh-CN"/>
        </w:rPr>
        <w:t>14</w:t>
      </w:r>
      <w:r>
        <w:rPr>
          <w:rFonts w:hint="eastAsia" w:ascii="仿宋" w:hAnsi="仿宋" w:eastAsia="仿宋" w:cs="仿宋"/>
          <w:color w:val="auto"/>
          <w:spacing w:val="6"/>
          <w:szCs w:val="24"/>
        </w:rPr>
        <w:t>日</w:t>
      </w:r>
      <w:r>
        <w:rPr>
          <w:rFonts w:hint="eastAsia" w:ascii="仿宋" w:hAnsi="仿宋" w:eastAsia="仿宋" w:cs="仿宋"/>
          <w:color w:val="auto"/>
          <w:spacing w:val="6"/>
          <w:szCs w:val="24"/>
          <w:lang w:eastAsia="zh-CN"/>
        </w:rPr>
        <w:t>下</w:t>
      </w:r>
      <w:r>
        <w:rPr>
          <w:rFonts w:hint="eastAsia" w:ascii="仿宋" w:hAnsi="仿宋" w:eastAsia="仿宋" w:cs="仿宋"/>
          <w:color w:val="auto"/>
          <w:spacing w:val="6"/>
          <w:szCs w:val="24"/>
        </w:rPr>
        <w:t>午</w:t>
      </w:r>
      <w:r>
        <w:rPr>
          <w:rFonts w:hint="eastAsia" w:ascii="仿宋" w:hAnsi="仿宋" w:eastAsia="仿宋" w:cs="仿宋"/>
          <w:color w:val="auto"/>
          <w:spacing w:val="6"/>
          <w:szCs w:val="24"/>
          <w:lang w:val="en-US" w:eastAsia="zh-CN"/>
        </w:rPr>
        <w:t>14：30分</w:t>
      </w:r>
      <w:r>
        <w:rPr>
          <w:rFonts w:hint="eastAsia" w:ascii="仿宋" w:hAnsi="仿宋" w:eastAsia="仿宋" w:cs="仿宋"/>
          <w:color w:val="auto"/>
          <w:spacing w:val="6"/>
          <w:szCs w:val="24"/>
        </w:rPr>
        <w:t>整。</w:t>
      </w:r>
    </w:p>
    <w:p>
      <w:pPr>
        <w:pStyle w:val="32"/>
        <w:spacing w:line="360" w:lineRule="auto"/>
        <w:ind w:firstLine="504" w:firstLineChars="200"/>
        <w:rPr>
          <w:rFonts w:hint="eastAsia" w:ascii="仿宋" w:hAnsi="仿宋" w:eastAsia="仿宋" w:cs="仿宋"/>
          <w:spacing w:val="6"/>
          <w:szCs w:val="24"/>
          <w:highlight w:val="yellow"/>
        </w:rPr>
      </w:pPr>
      <w:r>
        <w:rPr>
          <w:rFonts w:hint="eastAsia" w:ascii="仿宋" w:hAnsi="仿宋" w:eastAsia="仿宋" w:cs="仿宋"/>
          <w:color w:val="auto"/>
          <w:spacing w:val="6"/>
          <w:szCs w:val="24"/>
        </w:rPr>
        <w:t>4.开标地点（网址）：乐采云平台（https://www.lecaiyun.com/）。</w:t>
      </w:r>
    </w:p>
    <w:p>
      <w:pPr>
        <w:spacing w:line="360" w:lineRule="auto"/>
        <w:rPr>
          <w:rFonts w:hint="eastAsia" w:ascii="仿宋" w:hAnsi="仿宋" w:eastAsia="仿宋" w:cs="仿宋"/>
          <w:b/>
          <w:bCs/>
          <w:spacing w:val="6"/>
          <w:szCs w:val="24"/>
        </w:rPr>
      </w:pPr>
      <w:r>
        <w:rPr>
          <w:rFonts w:hint="eastAsia" w:ascii="仿宋" w:hAnsi="仿宋" w:eastAsia="仿宋" w:cs="仿宋"/>
          <w:b/>
          <w:bCs/>
          <w:spacing w:val="6"/>
          <w:szCs w:val="24"/>
        </w:rPr>
        <w:t>五、公告期限</w:t>
      </w:r>
      <w:bookmarkEnd w:id="38"/>
      <w:bookmarkEnd w:id="39"/>
      <w:bookmarkEnd w:id="40"/>
      <w:bookmarkEnd w:id="41"/>
    </w:p>
    <w:p>
      <w:pPr>
        <w:spacing w:line="360" w:lineRule="auto"/>
        <w:ind w:firstLine="480" w:firstLineChars="200"/>
        <w:rPr>
          <w:rFonts w:hint="eastAsia" w:ascii="仿宋" w:hAnsi="仿宋" w:eastAsia="仿宋" w:cs="仿宋"/>
          <w:kern w:val="0"/>
          <w:szCs w:val="24"/>
        </w:rPr>
      </w:pPr>
      <w:r>
        <w:rPr>
          <w:rFonts w:hint="eastAsia" w:ascii="仿宋" w:hAnsi="仿宋" w:eastAsia="仿宋" w:cs="仿宋"/>
          <w:kern w:val="0"/>
          <w:szCs w:val="24"/>
        </w:rPr>
        <w:t>自本公告发布之日起5个工作日。</w:t>
      </w:r>
    </w:p>
    <w:p>
      <w:pPr>
        <w:pStyle w:val="43"/>
        <w:adjustRightInd w:val="0"/>
        <w:snapToGrid w:val="0"/>
        <w:spacing w:line="360" w:lineRule="auto"/>
        <w:rPr>
          <w:rFonts w:hint="eastAsia" w:ascii="仿宋" w:hAnsi="仿宋" w:eastAsia="仿宋" w:cs="仿宋"/>
          <w:b/>
          <w:bCs/>
          <w:spacing w:val="6"/>
          <w:sz w:val="24"/>
          <w:szCs w:val="24"/>
        </w:rPr>
      </w:pPr>
      <w:bookmarkStart w:id="43" w:name="_Toc35393626"/>
      <w:bookmarkStart w:id="44" w:name="_Toc35393795"/>
      <w:r>
        <w:rPr>
          <w:rFonts w:hint="eastAsia" w:ascii="仿宋" w:hAnsi="仿宋" w:eastAsia="仿宋" w:cs="仿宋"/>
          <w:b/>
          <w:bCs/>
          <w:spacing w:val="6"/>
          <w:sz w:val="24"/>
          <w:szCs w:val="24"/>
        </w:rPr>
        <w:t>六、其他补充事宜</w:t>
      </w:r>
    </w:p>
    <w:p>
      <w:pPr>
        <w:pStyle w:val="43"/>
        <w:adjustRightInd w:val="0"/>
        <w:snapToGrid w:val="0"/>
        <w:spacing w:line="360" w:lineRule="auto"/>
        <w:ind w:firstLine="504" w:firstLineChars="200"/>
        <w:rPr>
          <w:rFonts w:hint="eastAsia" w:ascii="仿宋" w:hAnsi="仿宋" w:eastAsia="仿宋" w:cs="仿宋"/>
          <w:spacing w:val="6"/>
          <w:sz w:val="24"/>
          <w:szCs w:val="24"/>
        </w:rPr>
      </w:pPr>
      <w:bookmarkStart w:id="45" w:name="OLE_LINK3"/>
      <w:r>
        <w:rPr>
          <w:rFonts w:hint="eastAsia" w:ascii="仿宋" w:hAnsi="仿宋" w:eastAsia="仿宋" w:cs="仿宋"/>
          <w:spacing w:val="6"/>
          <w:sz w:val="24"/>
          <w:szCs w:val="24"/>
        </w:rPr>
        <w:t>1.本项目通过“采购云平台（www.lecaiyun.com）”实行在线投标响应（电子投标），供应商应先安装“乐采云电子交易客户端”，并按照本采购文件和“采购云平台”的要求，通过“乐采云电子交易客户端”编制并加密投标文件。供应商未按规定加密的投标文件，“采购云平台”将予以拒收。</w:t>
      </w:r>
    </w:p>
    <w:p>
      <w:pPr>
        <w:pStyle w:val="43"/>
        <w:adjustRightInd w:val="0"/>
        <w:snapToGrid w:val="0"/>
        <w:spacing w:line="360" w:lineRule="auto"/>
        <w:ind w:firstLine="506" w:firstLineChars="201"/>
        <w:rPr>
          <w:rFonts w:hint="eastAsia" w:ascii="仿宋" w:hAnsi="仿宋" w:eastAsia="仿宋" w:cs="仿宋"/>
          <w:spacing w:val="6"/>
          <w:sz w:val="24"/>
          <w:szCs w:val="24"/>
        </w:rPr>
      </w:pPr>
      <w:r>
        <w:rPr>
          <w:rFonts w:hint="eastAsia" w:ascii="仿宋" w:hAnsi="仿宋" w:eastAsia="仿宋" w:cs="仿宋"/>
          <w:spacing w:val="6"/>
          <w:sz w:val="24"/>
          <w:szCs w:val="24"/>
        </w:rPr>
        <w:t>“乐采云电子交易客户端”请自行前往“浙江政府采购网-下载专区-电子交易客户端”进行下载；电子投标具体操作流程详见本公告附件《供应商项目采购-电子招投标操作指南》；通过“采购云平台”参与在线投标时如遇平台技术问题详询95763。</w:t>
      </w:r>
    </w:p>
    <w:p>
      <w:pPr>
        <w:pStyle w:val="43"/>
        <w:adjustRightInd w:val="0"/>
        <w:snapToGrid w:val="0"/>
        <w:spacing w:line="360" w:lineRule="auto"/>
        <w:ind w:firstLine="506" w:firstLineChars="201"/>
        <w:rPr>
          <w:rFonts w:hint="eastAsia" w:ascii="仿宋" w:hAnsi="仿宋" w:eastAsia="仿宋" w:cs="仿宋"/>
          <w:spacing w:val="6"/>
          <w:sz w:val="24"/>
          <w:szCs w:val="24"/>
        </w:rPr>
      </w:pPr>
      <w:r>
        <w:rPr>
          <w:rFonts w:hint="eastAsia" w:ascii="仿宋" w:hAnsi="仿宋" w:eastAsia="仿宋" w:cs="仿宋"/>
          <w:spacing w:val="6"/>
          <w:sz w:val="24"/>
          <w:szCs w:val="24"/>
        </w:rPr>
        <w:t>2.为确保网上操作合法、有效和安全，供应商应当在投标截止时间前完成在“采购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采购文件后立即办理。</w:t>
      </w:r>
    </w:p>
    <w:p>
      <w:pPr>
        <w:pStyle w:val="43"/>
        <w:adjustRightInd w:val="0"/>
        <w:snapToGrid w:val="0"/>
        <w:spacing w:line="360" w:lineRule="auto"/>
        <w:ind w:firstLine="506" w:firstLineChars="201"/>
        <w:rPr>
          <w:rFonts w:hint="eastAsia" w:ascii="仿宋" w:hAnsi="仿宋" w:eastAsia="仿宋" w:cs="仿宋"/>
          <w:spacing w:val="6"/>
          <w:sz w:val="24"/>
          <w:szCs w:val="24"/>
        </w:rPr>
      </w:pPr>
      <w:r>
        <w:rPr>
          <w:rFonts w:hint="eastAsia" w:ascii="仿宋" w:hAnsi="仿宋" w:eastAsia="仿宋" w:cs="仿宋"/>
          <w:spacing w:val="6"/>
          <w:sz w:val="24"/>
          <w:szCs w:val="24"/>
        </w:rPr>
        <w:t>3.投标供应商应当在投标截止时间前，将生成的“电子加密投标文件”上传至“采购云平台”。投标截止时间以后上传递交的投标文件将被“采购云平台”拒收。</w:t>
      </w:r>
    </w:p>
    <w:p>
      <w:pPr>
        <w:pStyle w:val="43"/>
        <w:adjustRightInd w:val="0"/>
        <w:snapToGrid w:val="0"/>
        <w:spacing w:line="360" w:lineRule="auto"/>
        <w:ind w:firstLine="506" w:firstLineChars="201"/>
        <w:rPr>
          <w:rFonts w:hint="eastAsia" w:ascii="仿宋" w:hAnsi="仿宋" w:eastAsia="仿宋" w:cs="仿宋"/>
          <w:spacing w:val="6"/>
          <w:sz w:val="24"/>
          <w:szCs w:val="24"/>
        </w:rPr>
      </w:pPr>
      <w:r>
        <w:rPr>
          <w:rFonts w:hint="eastAsia" w:ascii="仿宋" w:hAnsi="仿宋" w:eastAsia="仿宋" w:cs="仿宋"/>
          <w:spacing w:val="6"/>
          <w:sz w:val="24"/>
          <w:szCs w:val="24"/>
        </w:rPr>
        <w:t>4.投标供应商在“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43"/>
        <w:adjustRightInd w:val="0"/>
        <w:snapToGrid w:val="0"/>
        <w:spacing w:line="360" w:lineRule="auto"/>
        <w:ind w:firstLine="506" w:firstLineChars="201"/>
        <w:rPr>
          <w:rFonts w:hint="eastAsia" w:ascii="仿宋" w:hAnsi="仿宋" w:eastAsia="仿宋" w:cs="仿宋"/>
          <w:b/>
          <w:bCs/>
          <w:spacing w:val="6"/>
          <w:sz w:val="24"/>
          <w:szCs w:val="24"/>
        </w:rPr>
      </w:pPr>
      <w:r>
        <w:rPr>
          <w:rFonts w:hint="eastAsia" w:ascii="仿宋" w:hAnsi="仿宋" w:eastAsia="仿宋" w:cs="仿宋"/>
          <w:spacing w:val="6"/>
          <w:sz w:val="24"/>
          <w:szCs w:val="24"/>
        </w:rPr>
        <w:t>5.通过“采购云平台”上传递交的“电子加密投标文件”无法按时解密，投标供应商递交了备份投标文件的，以备份投标文件为依据，否则视为投标文件撤回。通过“采购云平台”上传递交的“电子加密投标文件”已按时解密的，“备份投标文件”自动失效。投标供应商仅递交备份投标文件的，投标无效。</w:t>
      </w:r>
      <w:bookmarkEnd w:id="43"/>
      <w:bookmarkEnd w:id="44"/>
      <w:bookmarkEnd w:id="45"/>
    </w:p>
    <w:p>
      <w:pPr>
        <w:spacing w:line="360" w:lineRule="auto"/>
        <w:rPr>
          <w:rFonts w:hint="eastAsia" w:ascii="仿宋" w:hAnsi="仿宋" w:eastAsia="仿宋" w:cs="仿宋"/>
          <w:b/>
          <w:bCs/>
          <w:spacing w:val="6"/>
          <w:szCs w:val="24"/>
        </w:rPr>
      </w:pPr>
      <w:bookmarkStart w:id="46" w:name="_Toc28359008"/>
      <w:bookmarkStart w:id="47" w:name="_Toc35393627"/>
      <w:bookmarkStart w:id="48" w:name="_Toc35393796"/>
      <w:bookmarkStart w:id="49" w:name="_Toc28359085"/>
      <w:r>
        <w:rPr>
          <w:rFonts w:hint="eastAsia" w:ascii="仿宋" w:hAnsi="仿宋" w:eastAsia="仿宋" w:cs="仿宋"/>
          <w:b/>
          <w:bCs/>
          <w:spacing w:val="6"/>
          <w:szCs w:val="24"/>
        </w:rPr>
        <w:t>七、对本次采购提出询问，请按以下方式联系</w:t>
      </w:r>
      <w:bookmarkEnd w:id="46"/>
      <w:bookmarkEnd w:id="47"/>
      <w:bookmarkEnd w:id="48"/>
      <w:bookmarkEnd w:id="49"/>
    </w:p>
    <w:p>
      <w:pPr>
        <w:widowControl/>
        <w:spacing w:line="360" w:lineRule="auto"/>
        <w:ind w:firstLine="480" w:firstLineChars="200"/>
        <w:jc w:val="left"/>
        <w:rPr>
          <w:rFonts w:hint="eastAsia" w:ascii="仿宋" w:hAnsi="仿宋" w:eastAsia="仿宋" w:cstheme="minorEastAsia"/>
          <w:szCs w:val="24"/>
        </w:rPr>
      </w:pPr>
      <w:r>
        <w:rPr>
          <w:rFonts w:hint="eastAsia" w:ascii="仿宋" w:hAnsi="仿宋" w:eastAsia="仿宋" w:cstheme="minorEastAsia"/>
          <w:szCs w:val="24"/>
        </w:rPr>
        <w:t>1.采购人信息</w:t>
      </w:r>
    </w:p>
    <w:p>
      <w:pPr>
        <w:spacing w:line="360" w:lineRule="auto"/>
        <w:ind w:firstLine="480" w:firstLineChars="200"/>
        <w:jc w:val="left"/>
        <w:rPr>
          <w:rFonts w:hint="eastAsia" w:ascii="仿宋" w:hAnsi="仿宋" w:eastAsia="仿宋" w:cstheme="minorEastAsia"/>
          <w:szCs w:val="24"/>
          <w:lang w:eastAsia="zh-CN"/>
        </w:rPr>
      </w:pPr>
      <w:r>
        <w:rPr>
          <w:rFonts w:hint="eastAsia" w:ascii="仿宋" w:hAnsi="仿宋" w:eastAsia="仿宋" w:cstheme="minorEastAsia"/>
          <w:szCs w:val="24"/>
        </w:rPr>
        <w:t>名称：</w:t>
      </w:r>
      <w:r>
        <w:rPr>
          <w:rFonts w:hint="eastAsia" w:ascii="仿宋" w:hAnsi="仿宋" w:eastAsia="仿宋" w:cstheme="minorEastAsia"/>
          <w:szCs w:val="24"/>
          <w:lang w:eastAsia="zh-CN"/>
        </w:rPr>
        <w:t>嵊州市鸿发物业管理有限公司</w:t>
      </w:r>
    </w:p>
    <w:p>
      <w:pPr>
        <w:spacing w:line="360" w:lineRule="auto"/>
        <w:ind w:firstLine="480" w:firstLineChars="200"/>
        <w:jc w:val="left"/>
        <w:rPr>
          <w:rFonts w:hint="eastAsia" w:ascii="仿宋" w:hAnsi="仿宋" w:eastAsia="仿宋" w:cstheme="minorEastAsia"/>
          <w:szCs w:val="24"/>
        </w:rPr>
      </w:pPr>
      <w:r>
        <w:rPr>
          <w:rFonts w:hint="eastAsia" w:ascii="仿宋" w:hAnsi="仿宋" w:eastAsia="仿宋" w:cstheme="minorEastAsia"/>
          <w:szCs w:val="24"/>
        </w:rPr>
        <w:t>地址：</w:t>
      </w:r>
      <w:r>
        <w:rPr>
          <w:rFonts w:hint="eastAsia" w:ascii="仿宋" w:hAnsi="仿宋" w:eastAsia="仿宋" w:cstheme="minorEastAsia"/>
          <w:szCs w:val="24"/>
          <w:lang w:eastAsia="zh-CN"/>
        </w:rPr>
        <w:t>嵊州市剡湖街道嵊州大道103-107号综合楼四楼  </w:t>
      </w:r>
      <w:r>
        <w:rPr>
          <w:rFonts w:hint="eastAsia" w:ascii="仿宋" w:hAnsi="仿宋" w:eastAsia="仿宋" w:cstheme="minorEastAsia"/>
          <w:szCs w:val="24"/>
        </w:rPr>
        <w:t xml:space="preserve">   </w:t>
      </w:r>
    </w:p>
    <w:p>
      <w:pPr>
        <w:spacing w:line="360" w:lineRule="auto"/>
        <w:ind w:firstLine="480" w:firstLineChars="200"/>
        <w:jc w:val="left"/>
        <w:rPr>
          <w:rFonts w:hint="eastAsia" w:ascii="仿宋" w:hAnsi="仿宋" w:eastAsia="仿宋" w:cstheme="minorEastAsia"/>
          <w:szCs w:val="24"/>
        </w:rPr>
      </w:pPr>
      <w:r>
        <w:rPr>
          <w:rFonts w:hint="eastAsia" w:ascii="仿宋" w:hAnsi="仿宋" w:eastAsia="仿宋" w:cstheme="minorEastAsia"/>
          <w:szCs w:val="24"/>
        </w:rPr>
        <w:t>联系人：</w:t>
      </w:r>
      <w:r>
        <w:rPr>
          <w:rFonts w:hint="eastAsia" w:ascii="仿宋" w:hAnsi="仿宋" w:eastAsia="仿宋" w:cstheme="minorEastAsia"/>
          <w:szCs w:val="24"/>
          <w:lang w:eastAsia="zh-CN"/>
        </w:rPr>
        <w:t>吴先生</w:t>
      </w:r>
      <w:r>
        <w:rPr>
          <w:rFonts w:hint="eastAsia" w:ascii="仿宋" w:hAnsi="仿宋" w:eastAsia="仿宋" w:cstheme="minorEastAsia"/>
          <w:szCs w:val="24"/>
        </w:rPr>
        <w:t xml:space="preserve">  　　  </w:t>
      </w:r>
    </w:p>
    <w:p>
      <w:pPr>
        <w:spacing w:line="360" w:lineRule="auto"/>
        <w:ind w:firstLine="480" w:firstLineChars="200"/>
        <w:jc w:val="left"/>
        <w:rPr>
          <w:rFonts w:hint="eastAsia" w:ascii="仿宋" w:hAnsi="仿宋" w:eastAsia="仿宋" w:cstheme="minorEastAsia"/>
          <w:szCs w:val="24"/>
        </w:rPr>
      </w:pPr>
      <w:r>
        <w:rPr>
          <w:rFonts w:hint="eastAsia" w:ascii="仿宋" w:hAnsi="仿宋" w:eastAsia="仿宋" w:cstheme="minorEastAsia"/>
          <w:szCs w:val="24"/>
        </w:rPr>
        <w:t>联系方式：</w:t>
      </w:r>
      <w:r>
        <w:rPr>
          <w:rFonts w:hint="eastAsia" w:ascii="仿宋" w:hAnsi="仿宋" w:eastAsia="仿宋" w:cstheme="minorEastAsia"/>
          <w:szCs w:val="24"/>
          <w:lang w:val="en-US" w:eastAsia="zh-CN"/>
        </w:rPr>
        <w:t>0575-83182788</w:t>
      </w:r>
      <w:r>
        <w:rPr>
          <w:rFonts w:hint="eastAsia" w:ascii="仿宋" w:hAnsi="仿宋" w:eastAsia="仿宋" w:cstheme="minorEastAsia"/>
          <w:szCs w:val="24"/>
        </w:rPr>
        <w:t xml:space="preserve">        </w:t>
      </w:r>
    </w:p>
    <w:p>
      <w:pPr>
        <w:spacing w:line="360" w:lineRule="auto"/>
        <w:ind w:firstLine="480" w:firstLineChars="200"/>
        <w:jc w:val="left"/>
        <w:rPr>
          <w:rFonts w:hint="eastAsia" w:ascii="仿宋" w:hAnsi="仿宋" w:eastAsia="仿宋" w:cstheme="minorEastAsia"/>
          <w:szCs w:val="24"/>
        </w:rPr>
      </w:pPr>
      <w:bookmarkStart w:id="50" w:name="_Toc28359086"/>
      <w:bookmarkStart w:id="51" w:name="_Toc28359009"/>
      <w:r>
        <w:rPr>
          <w:rFonts w:hint="eastAsia" w:ascii="仿宋" w:hAnsi="仿宋" w:eastAsia="仿宋" w:cstheme="minorEastAsia"/>
          <w:szCs w:val="24"/>
          <w:lang w:val="en-US" w:eastAsia="zh-CN"/>
        </w:rPr>
        <w:t>2</w:t>
      </w:r>
      <w:r>
        <w:rPr>
          <w:rFonts w:hint="eastAsia" w:ascii="仿宋" w:hAnsi="仿宋" w:eastAsia="仿宋" w:cstheme="minorEastAsia"/>
          <w:szCs w:val="24"/>
        </w:rPr>
        <w:t>.采购代理机构信息</w:t>
      </w:r>
      <w:bookmarkEnd w:id="50"/>
      <w:bookmarkEnd w:id="51"/>
    </w:p>
    <w:p>
      <w:pPr>
        <w:spacing w:line="360" w:lineRule="auto"/>
        <w:ind w:firstLine="480" w:firstLineChars="200"/>
        <w:rPr>
          <w:rFonts w:hint="eastAsia" w:ascii="仿宋" w:hAnsi="仿宋" w:eastAsia="仿宋" w:cstheme="minorEastAsia"/>
          <w:szCs w:val="24"/>
        </w:rPr>
      </w:pPr>
      <w:r>
        <w:rPr>
          <w:rFonts w:hint="eastAsia" w:ascii="仿宋" w:hAnsi="仿宋" w:eastAsia="仿宋" w:cstheme="minorEastAsia"/>
          <w:szCs w:val="24"/>
        </w:rPr>
        <w:t xml:space="preserve">名称：泾清项目管理有限公司      </w:t>
      </w:r>
    </w:p>
    <w:p>
      <w:pPr>
        <w:spacing w:line="360" w:lineRule="auto"/>
        <w:ind w:firstLine="480" w:firstLineChars="200"/>
        <w:rPr>
          <w:rFonts w:hint="eastAsia" w:ascii="仿宋" w:hAnsi="仿宋" w:eastAsia="仿宋" w:cstheme="minorEastAsia"/>
          <w:szCs w:val="24"/>
        </w:rPr>
      </w:pPr>
      <w:r>
        <w:rPr>
          <w:rFonts w:hint="eastAsia" w:ascii="仿宋" w:hAnsi="仿宋" w:eastAsia="仿宋" w:cstheme="minorEastAsia"/>
          <w:szCs w:val="24"/>
        </w:rPr>
        <w:t>地址：嵊州市三江街道领带园二路和创园2号楼4楼2415</w:t>
      </w:r>
    </w:p>
    <w:p>
      <w:pPr>
        <w:spacing w:line="360" w:lineRule="auto"/>
        <w:ind w:firstLine="480" w:firstLineChars="200"/>
        <w:rPr>
          <w:rFonts w:hint="eastAsia" w:ascii="仿宋" w:hAnsi="仿宋" w:eastAsia="仿宋" w:cstheme="minorEastAsia"/>
          <w:szCs w:val="24"/>
        </w:rPr>
      </w:pPr>
      <w:r>
        <w:rPr>
          <w:rFonts w:hint="eastAsia" w:ascii="仿宋" w:hAnsi="仿宋" w:eastAsia="仿宋" w:cstheme="minorEastAsia"/>
          <w:szCs w:val="24"/>
        </w:rPr>
        <w:t xml:space="preserve">项目联系人：张女士             </w:t>
      </w:r>
    </w:p>
    <w:p>
      <w:pPr>
        <w:spacing w:line="360" w:lineRule="auto"/>
        <w:ind w:firstLine="480" w:firstLineChars="200"/>
        <w:rPr>
          <w:rFonts w:hint="eastAsia" w:ascii="仿宋" w:hAnsi="仿宋" w:eastAsia="仿宋" w:cstheme="minorEastAsia"/>
          <w:szCs w:val="24"/>
        </w:rPr>
      </w:pPr>
      <w:r>
        <w:rPr>
          <w:rFonts w:hint="eastAsia" w:ascii="仿宋" w:hAnsi="仿宋" w:eastAsia="仿宋" w:cstheme="minorEastAsia"/>
          <w:szCs w:val="24"/>
        </w:rPr>
        <w:t>电话：</w:t>
      </w:r>
      <w:bookmarkStart w:id="52" w:name="OLE_LINK4"/>
      <w:r>
        <w:rPr>
          <w:rFonts w:hint="eastAsia" w:ascii="仿宋" w:hAnsi="仿宋" w:eastAsia="仿宋" w:cstheme="minorEastAsia"/>
          <w:szCs w:val="24"/>
        </w:rPr>
        <w:t>0575-89300689</w:t>
      </w:r>
      <w:bookmarkEnd w:id="52"/>
    </w:p>
    <w:p>
      <w:pPr>
        <w:spacing w:line="360" w:lineRule="auto"/>
        <w:ind w:firstLine="482" w:firstLineChars="200"/>
        <w:jc w:val="left"/>
        <w:rPr>
          <w:rFonts w:hint="eastAsia" w:ascii="仿宋" w:hAnsi="仿宋" w:eastAsia="仿宋" w:cs="仿宋"/>
          <w:b/>
          <w:bCs/>
          <w:szCs w:val="24"/>
        </w:rPr>
      </w:pPr>
      <w:r>
        <w:rPr>
          <w:rFonts w:hint="eastAsia" w:ascii="仿宋" w:hAnsi="仿宋" w:eastAsia="仿宋" w:cs="仿宋"/>
          <w:b/>
          <w:bCs/>
          <w:szCs w:val="24"/>
        </w:rPr>
        <w:t>若对项目采购电子交易系统操作有疑问，可登录乐采云（https://www.lecaiyun.com/），点击右侧咨询小采，获取采小蜜智能服务管家帮助，或拨打乐采云服务热线95763获取热线服务帮助。</w:t>
      </w:r>
    </w:p>
    <w:p>
      <w:pPr>
        <w:spacing w:line="360" w:lineRule="auto"/>
        <w:ind w:firstLine="482" w:firstLineChars="200"/>
        <w:jc w:val="left"/>
        <w:rPr>
          <w:rFonts w:hint="eastAsia" w:ascii="仿宋" w:hAnsi="仿宋" w:eastAsia="仿宋" w:cs="仿宋"/>
          <w:b/>
          <w:bCs/>
          <w:szCs w:val="24"/>
        </w:rPr>
      </w:pPr>
      <w:r>
        <w:rPr>
          <w:rFonts w:hint="eastAsia" w:ascii="仿宋" w:hAnsi="仿宋" w:eastAsia="仿宋" w:cs="仿宋"/>
          <w:b/>
          <w:bCs/>
          <w:szCs w:val="24"/>
        </w:rPr>
        <w:t>CA问题联系电话（人工）：汇信CA 400-888-4636；天谷CA 400-087-8198。</w:t>
      </w:r>
    </w:p>
    <w:p>
      <w:pPr>
        <w:rPr>
          <w:rFonts w:hint="eastAsia" w:ascii="仿宋" w:hAnsi="仿宋" w:eastAsia="仿宋" w:cs="仿宋"/>
          <w:b/>
          <w:bCs/>
          <w:szCs w:val="24"/>
        </w:rPr>
      </w:pPr>
      <w:r>
        <w:rPr>
          <w:rFonts w:hint="eastAsia" w:ascii="仿宋" w:hAnsi="仿宋" w:eastAsia="仿宋" w:cs="仿宋"/>
          <w:b/>
          <w:bCs/>
          <w:szCs w:val="24"/>
        </w:rPr>
        <w:br w:type="page"/>
      </w:r>
    </w:p>
    <w:p>
      <w:pPr>
        <w:spacing w:line="360" w:lineRule="auto"/>
        <w:ind w:firstLine="3534" w:firstLineChars="1100"/>
        <w:jc w:val="left"/>
        <w:rPr>
          <w:rFonts w:hint="eastAsia" w:ascii="仿宋" w:hAnsi="仿宋" w:eastAsia="仿宋" w:cs="仿宋"/>
          <w:b/>
          <w:bCs/>
          <w:sz w:val="32"/>
          <w:szCs w:val="32"/>
        </w:rPr>
      </w:pPr>
      <w:r>
        <w:rPr>
          <w:rFonts w:hint="eastAsia" w:ascii="仿宋" w:hAnsi="仿宋" w:eastAsia="仿宋" w:cs="仿宋"/>
          <w:b/>
          <w:bCs/>
          <w:sz w:val="32"/>
          <w:szCs w:val="32"/>
        </w:rPr>
        <w:t>第二部分  投标须知</w:t>
      </w:r>
      <w:bookmarkEnd w:id="12"/>
      <w:bookmarkEnd w:id="13"/>
      <w:bookmarkEnd w:id="14"/>
      <w:bookmarkEnd w:id="15"/>
      <w:bookmarkEnd w:id="16"/>
      <w:bookmarkEnd w:id="17"/>
      <w:bookmarkEnd w:id="18"/>
      <w:bookmarkEnd w:id="19"/>
      <w:bookmarkEnd w:id="20"/>
    </w:p>
    <w:p>
      <w:pPr>
        <w:pStyle w:val="3"/>
        <w:spacing w:line="500" w:lineRule="exact"/>
        <w:ind w:left="357"/>
        <w:rPr>
          <w:rFonts w:hint="eastAsia" w:ascii="仿宋" w:hAnsi="仿宋" w:eastAsia="仿宋" w:cs="仿宋"/>
          <w:sz w:val="24"/>
          <w:szCs w:val="24"/>
        </w:rPr>
      </w:pPr>
      <w:bookmarkStart w:id="53" w:name="_Toc226337758"/>
      <w:bookmarkStart w:id="54" w:name="_Toc248065036"/>
      <w:bookmarkStart w:id="55" w:name="_Toc180555917"/>
      <w:bookmarkStart w:id="56" w:name="_Toc19659"/>
      <w:bookmarkStart w:id="57" w:name="_Toc340322164"/>
      <w:bookmarkStart w:id="58" w:name="_Toc340321909"/>
      <w:bookmarkStart w:id="59" w:name="_Toc54978889"/>
      <w:bookmarkStart w:id="60" w:name="_Toc339302125"/>
      <w:bookmarkStart w:id="61" w:name="_Toc489481887"/>
      <w:bookmarkStart w:id="62" w:name="_Toc304551310"/>
      <w:bookmarkStart w:id="63" w:name="_Toc513456140"/>
      <w:r>
        <w:rPr>
          <w:rFonts w:hint="eastAsia" w:ascii="仿宋" w:hAnsi="仿宋" w:eastAsia="仿宋" w:cs="仿宋"/>
          <w:b w:val="0"/>
          <w:bCs/>
          <w:sz w:val="24"/>
          <w:szCs w:val="24"/>
        </w:rPr>
        <w:t>一、</w:t>
      </w:r>
      <w:r>
        <w:rPr>
          <w:rFonts w:hint="eastAsia" w:ascii="仿宋" w:hAnsi="仿宋" w:eastAsia="仿宋" w:cs="仿宋"/>
          <w:sz w:val="24"/>
          <w:szCs w:val="24"/>
        </w:rPr>
        <w:t>投标须知前附表</w:t>
      </w:r>
      <w:bookmarkEnd w:id="53"/>
      <w:bookmarkEnd w:id="54"/>
      <w:bookmarkEnd w:id="55"/>
      <w:bookmarkEnd w:id="56"/>
      <w:bookmarkEnd w:id="57"/>
      <w:bookmarkEnd w:id="58"/>
      <w:bookmarkEnd w:id="59"/>
      <w:bookmarkEnd w:id="60"/>
      <w:bookmarkEnd w:id="61"/>
      <w:bookmarkEnd w:id="62"/>
      <w:bookmarkEnd w:id="63"/>
    </w:p>
    <w:tbl>
      <w:tblPr>
        <w:tblStyle w:val="80"/>
        <w:tblW w:w="9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rPr>
            </w:pPr>
            <w:bookmarkStart w:id="64" w:name="_Toc82338239"/>
            <w:bookmarkStart w:id="65" w:name="_Toc82873322"/>
            <w:bookmarkStart w:id="66" w:name="_Toc35261571"/>
            <w:r>
              <w:rPr>
                <w:rFonts w:hint="eastAsia" w:ascii="仿宋" w:hAnsi="仿宋" w:eastAsia="仿宋" w:cs="仿宋"/>
                <w:szCs w:val="24"/>
              </w:rPr>
              <w:t>序号</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项目</w:t>
            </w:r>
          </w:p>
        </w:tc>
        <w:tc>
          <w:tcPr>
            <w:tcW w:w="7412"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exac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1</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项目属性与核心产品</w:t>
            </w:r>
          </w:p>
        </w:tc>
        <w:tc>
          <w:tcPr>
            <w:tcW w:w="7412" w:type="dxa"/>
            <w:vAlign w:val="center"/>
          </w:tcPr>
          <w:p>
            <w:pPr>
              <w:adjustRightInd w:val="0"/>
              <w:spacing w:line="440" w:lineRule="exact"/>
              <w:rPr>
                <w:rFonts w:hint="eastAsia" w:ascii="仿宋" w:hAnsi="仿宋" w:eastAsia="仿宋" w:cs="仿宋"/>
                <w:szCs w:val="24"/>
              </w:rPr>
            </w:pPr>
            <w:r>
              <w:rPr>
                <w:rFonts w:hint="eastAsia" w:ascii="仿宋" w:hAnsi="仿宋" w:eastAsia="仿宋" w:cs="仿宋"/>
                <w:kern w:val="0"/>
                <w:szCs w:val="24"/>
              </w:rPr>
              <w:sym w:font="Wingdings" w:char="00A8"/>
            </w:r>
            <w:r>
              <w:rPr>
                <w:rFonts w:hint="eastAsia" w:ascii="仿宋" w:hAnsi="仿宋" w:eastAsia="仿宋" w:cs="仿宋"/>
                <w:kern w:val="0"/>
                <w:szCs w:val="24"/>
              </w:rPr>
              <w:t>A</w:t>
            </w:r>
            <w:r>
              <w:rPr>
                <w:rFonts w:hint="eastAsia" w:ascii="仿宋" w:hAnsi="仿宋" w:eastAsia="仿宋" w:cs="仿宋"/>
                <w:szCs w:val="24"/>
              </w:rPr>
              <w:t>货物类，单一产品或</w:t>
            </w:r>
            <w:r>
              <w:rPr>
                <w:rFonts w:hint="eastAsia" w:ascii="仿宋" w:hAnsi="仿宋" w:eastAsia="仿宋" w:cs="仿宋"/>
                <w:kern w:val="0"/>
                <w:szCs w:val="24"/>
              </w:rPr>
              <w:t>核心产品为：</w:t>
            </w:r>
            <w:r>
              <w:rPr>
                <w:rFonts w:hint="eastAsia" w:ascii="仿宋" w:hAnsi="仿宋" w:eastAsia="仿宋" w:cs="仿宋"/>
                <w:kern w:val="0"/>
                <w:szCs w:val="24"/>
                <w:u w:val="single"/>
              </w:rPr>
              <w:t xml:space="preserve"> </w:t>
            </w:r>
            <w:r>
              <w:rPr>
                <w:rFonts w:hint="eastAsia" w:ascii="仿宋" w:hAnsi="仿宋" w:eastAsia="仿宋" w:cs="仿宋"/>
                <w:kern w:val="0"/>
                <w:szCs w:val="24"/>
                <w:u w:val="single"/>
                <w:lang w:val="en-US" w:eastAsia="zh-CN"/>
              </w:rPr>
              <w:t xml:space="preserve">   </w:t>
            </w:r>
            <w:r>
              <w:rPr>
                <w:rFonts w:hint="eastAsia" w:ascii="仿宋" w:hAnsi="仿宋" w:eastAsia="仿宋" w:cs="仿宋"/>
                <w:kern w:val="0"/>
                <w:szCs w:val="24"/>
                <w:u w:val="single"/>
              </w:rPr>
              <w:t xml:space="preserve"> </w:t>
            </w:r>
            <w:r>
              <w:rPr>
                <w:rFonts w:hint="eastAsia" w:ascii="仿宋" w:hAnsi="仿宋" w:eastAsia="仿宋" w:cs="仿宋"/>
                <w:szCs w:val="24"/>
              </w:rPr>
              <w:t>。</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kern w:val="0"/>
                <w:szCs w:val="24"/>
              </w:rPr>
              <w:sym w:font="Wingdings" w:char="00FE"/>
            </w:r>
            <w:r>
              <w:rPr>
                <w:rFonts w:hint="eastAsia" w:ascii="仿宋" w:hAnsi="仿宋" w:eastAsia="仿宋" w:cs="仿宋"/>
                <w:kern w:val="0"/>
                <w:szCs w:val="24"/>
              </w:rPr>
              <w:t xml:space="preserve">B </w:t>
            </w:r>
            <w:r>
              <w:rPr>
                <w:rFonts w:hint="eastAsia" w:ascii="仿宋" w:hAnsi="仿宋" w:eastAsia="仿宋" w:cs="仿宋"/>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2</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bCs/>
                <w:szCs w:val="24"/>
              </w:rPr>
            </w:pPr>
            <w:r>
              <w:rPr>
                <w:rFonts w:hint="eastAsia" w:ascii="仿宋" w:hAnsi="仿宋" w:eastAsia="仿宋" w:cs="仿宋"/>
                <w:b/>
                <w:szCs w:val="24"/>
              </w:rPr>
              <w:t>是否允许采购进口产品</w:t>
            </w:r>
          </w:p>
        </w:tc>
        <w:tc>
          <w:tcPr>
            <w:tcW w:w="7412" w:type="dxa"/>
            <w:vAlign w:val="center"/>
          </w:tcPr>
          <w:p>
            <w:pPr>
              <w:snapToGrid w:val="0"/>
              <w:spacing w:line="360" w:lineRule="auto"/>
              <w:contextualSpacing/>
              <w:rPr>
                <w:rFonts w:hint="eastAsia" w:ascii="仿宋" w:hAnsi="仿宋" w:eastAsia="仿宋" w:cs="仿宋"/>
                <w:kern w:val="0"/>
                <w:szCs w:val="24"/>
              </w:rPr>
            </w:pPr>
            <w:r>
              <w:rPr>
                <w:rFonts w:hint="eastAsia" w:ascii="仿宋" w:hAnsi="仿宋" w:eastAsia="仿宋" w:cs="仿宋"/>
                <w:kern w:val="0"/>
                <w:szCs w:val="24"/>
              </w:rPr>
              <w:sym w:font="Wingdings" w:char="F0FE"/>
            </w:r>
            <w:r>
              <w:rPr>
                <w:rFonts w:hint="eastAsia" w:ascii="仿宋" w:hAnsi="仿宋" w:eastAsia="仿宋" w:cs="仿宋"/>
                <w:kern w:val="0"/>
                <w:szCs w:val="24"/>
              </w:rPr>
              <w:t>本项目不允许采购进口产品。</w:t>
            </w:r>
          </w:p>
          <w:p>
            <w:pPr>
              <w:autoSpaceDE w:val="0"/>
              <w:autoSpaceDN w:val="0"/>
              <w:snapToGrid w:val="0"/>
              <w:spacing w:line="400" w:lineRule="exact"/>
              <w:textAlignment w:val="bottom"/>
              <w:rPr>
                <w:rFonts w:hint="eastAsia" w:ascii="仿宋" w:hAnsi="仿宋" w:eastAsia="仿宋" w:cs="仿宋"/>
                <w:szCs w:val="24"/>
              </w:rPr>
            </w:pPr>
            <w:r>
              <w:rPr>
                <w:rFonts w:ascii="Segoe UI Symbol" w:hAnsi="Segoe UI Symbol" w:eastAsia="仿宋" w:cs="Segoe UI Symbol"/>
                <w:kern w:val="0"/>
                <w:szCs w:val="24"/>
              </w:rPr>
              <w:t>☐</w:t>
            </w:r>
            <w:r>
              <w:rPr>
                <w:rFonts w:hint="eastAsia" w:ascii="仿宋" w:hAnsi="仿宋" w:eastAsia="仿宋" w:cs="仿宋"/>
                <w:kern w:val="0"/>
                <w:szCs w:val="24"/>
              </w:rPr>
              <w:t>可以就</w:t>
            </w:r>
            <w:r>
              <w:rPr>
                <w:rFonts w:hint="eastAsia" w:ascii="仿宋" w:hAnsi="仿宋" w:eastAsia="仿宋" w:cs="仿宋"/>
                <w:szCs w:val="24"/>
                <w:u w:val="single"/>
              </w:rPr>
              <w:t xml:space="preserve">    </w:t>
            </w:r>
            <w:r>
              <w:rPr>
                <w:rFonts w:hint="eastAsia" w:ascii="仿宋" w:hAnsi="仿宋" w:eastAsia="仿宋" w:cs="仿宋"/>
                <w:kern w:val="0"/>
                <w:szCs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3</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b/>
                <w:szCs w:val="24"/>
              </w:rPr>
            </w:pPr>
            <w:r>
              <w:rPr>
                <w:rFonts w:hint="eastAsia" w:ascii="仿宋" w:hAnsi="仿宋" w:eastAsia="仿宋" w:cs="仿宋"/>
                <w:b/>
                <w:szCs w:val="24"/>
              </w:rPr>
              <w:t>分包</w:t>
            </w:r>
          </w:p>
        </w:tc>
        <w:tc>
          <w:tcPr>
            <w:tcW w:w="7412" w:type="dxa"/>
            <w:vAlign w:val="center"/>
          </w:tcPr>
          <w:p>
            <w:pPr>
              <w:snapToGrid w:val="0"/>
              <w:spacing w:line="360" w:lineRule="auto"/>
              <w:contextualSpacing/>
              <w:rPr>
                <w:rFonts w:hint="eastAsia" w:ascii="仿宋" w:hAnsi="仿宋" w:eastAsia="仿宋" w:cs="仿宋"/>
                <w:szCs w:val="24"/>
              </w:rPr>
            </w:pPr>
            <w:r>
              <w:rPr>
                <w:rFonts w:ascii="Segoe UI Symbol" w:hAnsi="Segoe UI Symbol" w:eastAsia="仿宋" w:cs="Segoe UI Symbol"/>
                <w:kern w:val="0"/>
                <w:szCs w:val="24"/>
              </w:rPr>
              <w:t>☐</w:t>
            </w:r>
            <w:r>
              <w:rPr>
                <w:rFonts w:hint="eastAsia" w:ascii="仿宋" w:hAnsi="仿宋" w:eastAsia="仿宋" w:cs="仿宋"/>
                <w:kern w:val="0"/>
                <w:szCs w:val="24"/>
              </w:rPr>
              <w:t>A</w:t>
            </w:r>
            <w:r>
              <w:rPr>
                <w:rFonts w:hint="eastAsia" w:ascii="仿宋" w:hAnsi="仿宋" w:eastAsia="仿宋" w:cs="仿宋"/>
                <w:szCs w:val="24"/>
              </w:rPr>
              <w:t>同意将非主体、非关键性的</w:t>
            </w:r>
            <w:r>
              <w:rPr>
                <w:rFonts w:hint="eastAsia" w:ascii="仿宋" w:hAnsi="仿宋" w:eastAsia="仿宋" w:cs="仿宋"/>
                <w:szCs w:val="24"/>
                <w:u w:val="single"/>
              </w:rPr>
              <w:t xml:space="preserve">             </w:t>
            </w:r>
            <w:r>
              <w:rPr>
                <w:rFonts w:hint="eastAsia" w:ascii="仿宋" w:hAnsi="仿宋" w:eastAsia="仿宋" w:cs="仿宋"/>
                <w:szCs w:val="24"/>
              </w:rPr>
              <w:t>工作分包。</w:t>
            </w:r>
          </w:p>
          <w:p>
            <w:pPr>
              <w:snapToGrid w:val="0"/>
              <w:spacing w:line="360" w:lineRule="auto"/>
              <w:contextualSpacing/>
              <w:rPr>
                <w:rFonts w:hint="eastAsia" w:ascii="仿宋" w:hAnsi="仿宋" w:eastAsia="仿宋" w:cs="仿宋"/>
                <w:kern w:val="0"/>
                <w:szCs w:val="24"/>
              </w:rPr>
            </w:pPr>
            <w:r>
              <w:rPr>
                <w:rFonts w:hint="eastAsia" w:ascii="仿宋" w:hAnsi="仿宋" w:eastAsia="仿宋" w:cs="仿宋"/>
                <w:kern w:val="0"/>
                <w:szCs w:val="24"/>
              </w:rPr>
              <w:sym w:font="Wingdings" w:char="F0FE"/>
            </w:r>
            <w:r>
              <w:rPr>
                <w:rFonts w:hint="eastAsia" w:ascii="仿宋" w:hAnsi="仿宋" w:eastAsia="仿宋" w:cs="仿宋"/>
                <w:kern w:val="0"/>
                <w:szCs w:val="24"/>
              </w:rPr>
              <w:t>B</w:t>
            </w:r>
            <w:r>
              <w:rPr>
                <w:rFonts w:hint="eastAsia" w:ascii="仿宋" w:hAnsi="仿宋" w:eastAsia="仿宋" w:cs="仿宋"/>
                <w:szCs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szCs w:val="24"/>
              </w:rPr>
              <w:t>4</w:t>
            </w:r>
          </w:p>
        </w:tc>
        <w:tc>
          <w:tcPr>
            <w:tcW w:w="1788" w:type="dxa"/>
            <w:vAlign w:val="center"/>
          </w:tcPr>
          <w:p>
            <w:pPr>
              <w:snapToGrid w:val="0"/>
              <w:jc w:val="center"/>
              <w:rPr>
                <w:rFonts w:hint="eastAsia" w:ascii="仿宋" w:hAnsi="仿宋" w:eastAsia="仿宋" w:cs="仿宋"/>
                <w:bCs/>
                <w:szCs w:val="24"/>
              </w:rPr>
            </w:pPr>
            <w:r>
              <w:rPr>
                <w:rFonts w:hint="eastAsia" w:ascii="仿宋" w:hAnsi="仿宋" w:eastAsia="仿宋" w:cs="仿宋"/>
                <w:b/>
                <w:szCs w:val="24"/>
              </w:rPr>
              <w:t>开标前答疑会或现场考察</w:t>
            </w:r>
          </w:p>
        </w:tc>
        <w:tc>
          <w:tcPr>
            <w:tcW w:w="7412" w:type="dxa"/>
            <w:vAlign w:val="center"/>
          </w:tcPr>
          <w:p>
            <w:pPr>
              <w:snapToGrid w:val="0"/>
              <w:spacing w:line="360" w:lineRule="auto"/>
              <w:contextualSpacing/>
              <w:rPr>
                <w:rFonts w:hint="eastAsia" w:ascii="仿宋" w:hAnsi="仿宋" w:eastAsia="仿宋" w:cs="仿宋"/>
                <w:szCs w:val="24"/>
              </w:rPr>
            </w:pPr>
            <w:r>
              <w:rPr>
                <w:rFonts w:hint="eastAsia" w:ascii="仿宋" w:hAnsi="仿宋" w:eastAsia="仿宋" w:cs="仿宋"/>
                <w:kern w:val="0"/>
                <w:szCs w:val="24"/>
              </w:rPr>
              <w:sym w:font="Wingdings" w:char="F0FE"/>
            </w:r>
            <w:r>
              <w:rPr>
                <w:rFonts w:hint="eastAsia" w:ascii="仿宋" w:hAnsi="仿宋" w:eastAsia="仿宋" w:cs="仿宋"/>
                <w:kern w:val="0"/>
                <w:szCs w:val="24"/>
              </w:rPr>
              <w:t>A</w:t>
            </w:r>
            <w:r>
              <w:rPr>
                <w:rFonts w:hint="eastAsia" w:ascii="仿宋" w:hAnsi="仿宋" w:eastAsia="仿宋" w:cs="仿宋"/>
                <w:szCs w:val="24"/>
              </w:rPr>
              <w:t>不组织。</w:t>
            </w:r>
          </w:p>
          <w:p>
            <w:pPr>
              <w:snapToGrid w:val="0"/>
              <w:spacing w:line="360" w:lineRule="auto"/>
              <w:contextualSpacing/>
              <w:rPr>
                <w:rFonts w:hint="eastAsia" w:ascii="仿宋" w:hAnsi="仿宋" w:eastAsia="仿宋" w:cs="仿宋"/>
                <w:szCs w:val="24"/>
              </w:rPr>
            </w:pPr>
            <w:r>
              <w:rPr>
                <w:rFonts w:ascii="Segoe UI Symbol" w:hAnsi="Segoe UI Symbol" w:eastAsia="仿宋" w:cs="Segoe UI Symbol"/>
                <w:kern w:val="0"/>
                <w:szCs w:val="24"/>
              </w:rPr>
              <w:t>☐</w:t>
            </w:r>
            <w:r>
              <w:rPr>
                <w:rFonts w:hint="eastAsia" w:ascii="仿宋" w:hAnsi="仿宋" w:eastAsia="仿宋" w:cs="仿宋"/>
                <w:kern w:val="0"/>
                <w:szCs w:val="24"/>
              </w:rPr>
              <w:t>B组织，</w:t>
            </w:r>
            <w:r>
              <w:rPr>
                <w:rFonts w:hint="eastAsia" w:ascii="仿宋" w:hAnsi="仿宋" w:eastAsia="仿宋" w:cs="仿宋"/>
                <w:szCs w:val="24"/>
              </w:rPr>
              <w:t>时间：</w:t>
            </w:r>
            <w:r>
              <w:rPr>
                <w:rFonts w:hint="eastAsia" w:ascii="仿宋" w:hAnsi="仿宋" w:eastAsia="仿宋" w:cs="仿宋"/>
                <w:szCs w:val="24"/>
                <w:u w:val="single"/>
              </w:rPr>
              <w:t xml:space="preserve">      </w:t>
            </w:r>
            <w:r>
              <w:rPr>
                <w:rFonts w:hint="eastAsia" w:ascii="仿宋" w:hAnsi="仿宋" w:eastAsia="仿宋" w:cs="仿宋"/>
                <w:szCs w:val="24"/>
              </w:rPr>
              <w:t>,地点：</w:t>
            </w:r>
            <w:r>
              <w:rPr>
                <w:rFonts w:hint="eastAsia" w:ascii="仿宋" w:hAnsi="仿宋" w:eastAsia="仿宋" w:cs="仿宋"/>
                <w:szCs w:val="24"/>
                <w:u w:val="single"/>
              </w:rPr>
              <w:t xml:space="preserve">      </w:t>
            </w:r>
            <w:r>
              <w:rPr>
                <w:rFonts w:hint="eastAsia" w:ascii="仿宋" w:hAnsi="仿宋" w:eastAsia="仿宋" w:cs="仿宋"/>
                <w:szCs w:val="24"/>
              </w:rPr>
              <w:t>，联系人：</w:t>
            </w:r>
            <w:r>
              <w:rPr>
                <w:rFonts w:hint="eastAsia" w:ascii="仿宋" w:hAnsi="仿宋" w:eastAsia="仿宋" w:cs="仿宋"/>
                <w:szCs w:val="24"/>
                <w:u w:val="single"/>
              </w:rPr>
              <w:t xml:space="preserve">      </w:t>
            </w:r>
            <w:r>
              <w:rPr>
                <w:rFonts w:hint="eastAsia" w:ascii="仿宋" w:hAnsi="仿宋" w:eastAsia="仿宋" w:cs="仿宋"/>
                <w:szCs w:val="24"/>
              </w:rPr>
              <w:t>，联系方式：</w:t>
            </w:r>
            <w:r>
              <w:rPr>
                <w:rFonts w:hint="eastAsia" w:ascii="仿宋" w:hAnsi="仿宋" w:eastAsia="仿宋" w:cs="仿宋"/>
                <w:szCs w:val="24"/>
                <w:u w:val="single"/>
              </w:rPr>
              <w:t xml:space="preserve">      </w:t>
            </w:r>
            <w:r>
              <w:rPr>
                <w:rFonts w:hint="eastAsia" w:ascii="仿宋" w:hAnsi="仿宋" w:eastAsia="仿宋" w:cs="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lang w:val="en-US" w:eastAsia="zh-CN"/>
              </w:rPr>
              <w:t>5</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质疑与澄清</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pacing w:val="6"/>
                <w:szCs w:val="24"/>
              </w:rPr>
              <w:t>投标人如对采购文件有异议应该按财政部第94号令《政府采购质疑和投诉办法》规定的时间</w:t>
            </w:r>
            <w:r>
              <w:rPr>
                <w:rFonts w:hint="eastAsia" w:ascii="仿宋" w:hAnsi="仿宋" w:eastAsia="仿宋" w:cs="仿宋"/>
                <w:szCs w:val="24"/>
              </w:rPr>
              <w:t>要求一次性提出针对同一采购程序环节的质疑</w:t>
            </w:r>
            <w:r>
              <w:rPr>
                <w:rFonts w:hint="eastAsia" w:ascii="仿宋" w:hAnsi="仿宋" w:eastAsia="仿宋" w:cs="仿宋"/>
                <w:spacing w:val="6"/>
                <w:szCs w:val="24"/>
              </w:rPr>
              <w:t>，逾期提出的，代理机构不予受理、答复。对未按上述方式获取采购文件的供应商对该文件提出的质疑，采购人或采购代理机构将不予处理。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32" w:type="dxa"/>
            <w:vMerge w:val="restart"/>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lang w:val="en-US" w:eastAsia="zh-CN"/>
              </w:rPr>
              <w:t>6</w:t>
            </w:r>
          </w:p>
        </w:tc>
        <w:tc>
          <w:tcPr>
            <w:tcW w:w="1788" w:type="dxa"/>
            <w:vMerge w:val="restart"/>
            <w:vAlign w:val="center"/>
          </w:tcPr>
          <w:p>
            <w:pPr>
              <w:snapToGrid w:val="0"/>
              <w:jc w:val="center"/>
              <w:rPr>
                <w:rFonts w:hint="eastAsia" w:ascii="仿宋" w:hAnsi="仿宋" w:eastAsia="仿宋" w:cs="仿宋"/>
                <w:szCs w:val="24"/>
              </w:rPr>
            </w:pPr>
            <w:r>
              <w:rPr>
                <w:rFonts w:hint="eastAsia" w:ascii="仿宋" w:hAnsi="仿宋" w:eastAsia="仿宋" w:cs="仿宋"/>
                <w:b/>
                <w:szCs w:val="24"/>
              </w:rPr>
              <w:t>投标人应当提供的资格、资信证明文件</w:t>
            </w:r>
          </w:p>
        </w:tc>
        <w:tc>
          <w:tcPr>
            <w:tcW w:w="7412" w:type="dxa"/>
            <w:vAlign w:val="center"/>
          </w:tcPr>
          <w:p>
            <w:pPr>
              <w:snapToGrid w:val="0"/>
              <w:spacing w:line="360" w:lineRule="auto"/>
              <w:contextualSpacing/>
              <w:rPr>
                <w:rFonts w:hint="eastAsia" w:ascii="仿宋" w:hAnsi="仿宋" w:eastAsia="仿宋" w:cs="仿宋"/>
                <w:szCs w:val="24"/>
              </w:rPr>
            </w:pPr>
            <w:r>
              <w:rPr>
                <w:rFonts w:hint="eastAsia" w:ascii="仿宋" w:hAnsi="仿宋" w:eastAsia="仿宋" w:cs="仿宋"/>
                <w:szCs w:val="24"/>
              </w:rPr>
              <w:t>（1）资格证明文件见招标文件第二部分4.2.1</w:t>
            </w:r>
          </w:p>
          <w:p>
            <w:pPr>
              <w:snapToGrid w:val="0"/>
              <w:spacing w:line="360" w:lineRule="auto"/>
              <w:contextualSpacing/>
              <w:rPr>
                <w:rFonts w:hint="eastAsia" w:ascii="仿宋" w:hAnsi="仿宋" w:eastAsia="仿宋" w:cs="仿宋"/>
                <w:szCs w:val="24"/>
              </w:rPr>
            </w:pPr>
            <w:r>
              <w:rPr>
                <w:rFonts w:hint="eastAsia" w:ascii="仿宋" w:hAnsi="仿宋" w:eastAsia="仿宋" w:cs="仿宋"/>
                <w:kern w:val="0"/>
                <w:szCs w:val="24"/>
                <w:lang w:val="zh-CN"/>
              </w:rPr>
              <w:t>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32" w:type="dxa"/>
            <w:vMerge w:val="continue"/>
            <w:vAlign w:val="center"/>
          </w:tcPr>
          <w:p>
            <w:pPr>
              <w:snapToGrid w:val="0"/>
              <w:spacing w:line="360" w:lineRule="auto"/>
              <w:contextualSpacing/>
              <w:rPr>
                <w:rFonts w:hint="eastAsia" w:ascii="仿宋" w:hAnsi="仿宋" w:eastAsia="仿宋" w:cs="仿宋"/>
                <w:szCs w:val="24"/>
              </w:rPr>
            </w:pPr>
          </w:p>
        </w:tc>
        <w:tc>
          <w:tcPr>
            <w:tcW w:w="1788" w:type="dxa"/>
            <w:vMerge w:val="continue"/>
            <w:vAlign w:val="center"/>
          </w:tcPr>
          <w:p>
            <w:pPr>
              <w:snapToGrid w:val="0"/>
              <w:spacing w:line="360" w:lineRule="auto"/>
              <w:contextualSpacing/>
              <w:rPr>
                <w:rFonts w:hint="eastAsia" w:ascii="仿宋" w:hAnsi="仿宋" w:eastAsia="仿宋" w:cs="仿宋"/>
                <w:szCs w:val="24"/>
              </w:rPr>
            </w:pPr>
          </w:p>
        </w:tc>
        <w:tc>
          <w:tcPr>
            <w:tcW w:w="7412" w:type="dxa"/>
            <w:vAlign w:val="center"/>
          </w:tcPr>
          <w:p>
            <w:pPr>
              <w:snapToGrid w:val="0"/>
              <w:spacing w:line="360" w:lineRule="auto"/>
              <w:contextualSpacing/>
              <w:rPr>
                <w:rFonts w:hint="eastAsia" w:ascii="仿宋" w:hAnsi="仿宋" w:eastAsia="仿宋" w:cs="仿宋"/>
                <w:kern w:val="0"/>
                <w:szCs w:val="24"/>
                <w:lang w:val="zh-CN"/>
              </w:rPr>
            </w:pPr>
            <w:r>
              <w:rPr>
                <w:rFonts w:hint="eastAsia" w:ascii="仿宋" w:hAnsi="仿宋" w:eastAsia="仿宋" w:cs="仿宋"/>
                <w:szCs w:val="24"/>
              </w:rPr>
              <w:t>（2）资信证明文件：根据采购文件第四部分评标标准提供。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lang w:val="en-US" w:eastAsia="zh-CN"/>
              </w:rPr>
              <w:t>7</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投标文件编制</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供应商应先安装“乐采云电子交易客户端”，并按照本采购文件和“采购云平台”的要求，通过“乐采云电子交易客户端”编制并加密投标文件。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lang w:val="en-US" w:eastAsia="zh-CN"/>
              </w:rPr>
              <w:t>8</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签字或盖章要求</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（1）电子投标文件必须有电子签章；</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（2）开标后，相关信息记录确认、澄清说明、回复等内容，电子签章、或者签章后上传相关文件，均认可；</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（3）乐采云系统平台有新的操作流程的，按其规定。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lang w:val="en-US" w:eastAsia="zh-CN"/>
              </w:rPr>
              <w:t>9</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投标文件的形式</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电子投标文件（包括“电子加密投标文件”和“备份投标文件”，在投标文件编制完成后同时生成）；</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（1）“电子加密投标文件”是指通过“乐采云电子交易客户端”完成投标文件编制后生成并加密的数据电文形式的投标文件。</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default" w:ascii="仿宋" w:hAnsi="仿宋" w:eastAsia="仿宋" w:cs="仿宋"/>
                <w:szCs w:val="24"/>
                <w:lang w:val="en-US" w:eastAsia="zh-CN"/>
              </w:rPr>
            </w:pPr>
            <w:r>
              <w:rPr>
                <w:rFonts w:hint="eastAsia" w:ascii="仿宋" w:hAnsi="仿宋" w:eastAsia="仿宋" w:cs="仿宋"/>
                <w:szCs w:val="24"/>
                <w:lang w:val="en-US" w:eastAsia="zh-CN"/>
              </w:rPr>
              <w:t>10</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投标文件份数</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（1）一份电子加密标书（后缀格式为.jmbs），一份备份标书文件（后缀格式为.bfbs）。</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每份电子投标文件应包括资格证明文件、资信技术文件及报价文件三部分内容。</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（2）如中标，中标人需根据采购人要求提供纸质投标文件至少一份。采购人有权要求中标人提供原版技术资料。</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（3）“备份投标文件”：密封包装后（邮寄形式）投标截止时间前递交一份（邮寄地址：嵊州市三江街道领带园二路和创园2号楼4楼2415，魏工收）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1</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电子加密投标文件的上传、递交</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（1）投标供应商应在投标截止时间前将“电子加密投标文件”成功上传递交至“采购云平台”，否则投标无效。</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0"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2</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备份投标文件的密封包装、递交</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（1）投标供应商在“采购云平台”完成“电子加密投标文件”的上传递交后，还可以（邮寄形式）在投标截止时间前递交以介质（U盘）存储的“备份投标文件”（一份）；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（2）“备份投标文件”应当密封包装，并在包装上标注投标项目名称、投标人名称并加盖公章。没有密封包装或者逾期邮寄送达至投标地点的“备份投标文件”将不予接收；</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3）通过“采购云平台”成功上传递交的“电子加密投标文件”已按时解密的，“备份投标文件”自动失效。投标截止时间前，投标供应商仅递交了“备份投标文件”而未将“电子加密投标文件”成功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3</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电子加密投标文件的解密和异常情况处理</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（1）开标后，采购组织机构将向各投标供应商发出“电子加密投标文件”的解密通知，各投标供应商代表应当在接到解密通知后30分钟内自行完成“电子加密投标文件”的在线解密。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（3）投标截止时间前，投标供应商仅递交了“备份投标文件”而未将电子加密投标文件上传至“采购云平台”的，投标无效。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4</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投标有效期</w:t>
            </w:r>
          </w:p>
        </w:tc>
        <w:tc>
          <w:tcPr>
            <w:tcW w:w="7412" w:type="dxa"/>
            <w:vAlign w:val="center"/>
          </w:tcPr>
          <w:p>
            <w:pPr>
              <w:autoSpaceDE w:val="0"/>
              <w:autoSpaceDN w:val="0"/>
              <w:snapToGrid w:val="0"/>
              <w:spacing w:line="400" w:lineRule="exact"/>
              <w:textAlignment w:val="bottom"/>
              <w:rPr>
                <w:rFonts w:hint="eastAsia" w:ascii="仿宋" w:hAnsi="仿宋" w:eastAsia="仿宋" w:cs="仿宋"/>
                <w:szCs w:val="24"/>
              </w:rPr>
            </w:pPr>
            <w:r>
              <w:rPr>
                <w:rFonts w:hint="eastAsia" w:ascii="仿宋" w:hAnsi="仿宋" w:eastAsia="仿宋" w:cs="仿宋"/>
                <w:szCs w:val="24"/>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5</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特别说明</w:t>
            </w:r>
          </w:p>
        </w:tc>
        <w:tc>
          <w:tcPr>
            <w:tcW w:w="7412" w:type="dxa"/>
            <w:vAlign w:val="center"/>
          </w:tcPr>
          <w:p>
            <w:pPr>
              <w:pStyle w:val="294"/>
              <w:widowControl w:val="0"/>
              <w:autoSpaceDE w:val="0"/>
              <w:autoSpaceDN w:val="0"/>
              <w:snapToGrid w:val="0"/>
              <w:spacing w:line="400" w:lineRule="exact"/>
              <w:textAlignment w:val="bottom"/>
              <w:rPr>
                <w:rFonts w:hint="eastAsia" w:ascii="仿宋" w:hAnsi="仿宋" w:eastAsia="仿宋" w:cs="仿宋"/>
                <w:color w:val="auto"/>
                <w:szCs w:val="24"/>
              </w:rPr>
            </w:pPr>
            <w:r>
              <w:rPr>
                <w:rFonts w:hint="eastAsia" w:ascii="仿宋" w:hAnsi="仿宋" w:eastAsia="仿宋" w:cs="仿宋"/>
                <w:color w:val="auto"/>
                <w:szCs w:val="24"/>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6</w:t>
            </w:r>
          </w:p>
        </w:tc>
        <w:tc>
          <w:tcPr>
            <w:tcW w:w="1788" w:type="dxa"/>
            <w:vAlign w:val="center"/>
          </w:tcPr>
          <w:p>
            <w:pPr>
              <w:autoSpaceDE w:val="0"/>
              <w:autoSpaceDN w:val="0"/>
              <w:snapToGrid w:val="0"/>
              <w:spacing w:line="400" w:lineRule="exact"/>
              <w:jc w:val="center"/>
              <w:textAlignment w:val="bottom"/>
              <w:rPr>
                <w:rFonts w:hint="eastAsia" w:ascii="仿宋" w:hAnsi="仿宋" w:eastAsia="仿宋" w:cs="仿宋"/>
                <w:szCs w:val="24"/>
              </w:rPr>
            </w:pPr>
            <w:r>
              <w:rPr>
                <w:rFonts w:hint="eastAsia" w:ascii="仿宋" w:hAnsi="仿宋" w:eastAsia="仿宋" w:cs="仿宋"/>
                <w:b/>
                <w:bCs/>
                <w:szCs w:val="24"/>
              </w:rPr>
              <w:t>有关费用</w:t>
            </w:r>
          </w:p>
        </w:tc>
        <w:tc>
          <w:tcPr>
            <w:tcW w:w="7412" w:type="dxa"/>
            <w:shd w:val="clear" w:color="auto" w:fill="auto"/>
            <w:vAlign w:val="center"/>
          </w:tcPr>
          <w:p>
            <w:pPr>
              <w:spacing w:line="33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采购代理服务费：以标项中标金额为计算基数，采用差额定率累进计费方式，按以下标准费</w:t>
            </w:r>
            <w:r>
              <w:rPr>
                <w:rFonts w:hint="eastAsia" w:ascii="宋体" w:hAnsi="宋体" w:eastAsia="宋体" w:cs="宋体"/>
                <w:color w:val="auto"/>
                <w:sz w:val="21"/>
                <w:szCs w:val="21"/>
                <w:highlight w:val="none"/>
              </w:rPr>
              <w:t>率计算</w:t>
            </w:r>
            <w:r>
              <w:rPr>
                <w:rFonts w:hint="eastAsia" w:ascii="宋体" w:hAnsi="宋体" w:cs="宋体"/>
                <w:color w:val="auto"/>
                <w:sz w:val="21"/>
                <w:szCs w:val="21"/>
                <w:lang w:eastAsia="zh-CN"/>
              </w:rPr>
              <w:t>。</w:t>
            </w:r>
            <w:r>
              <w:rPr>
                <w:rFonts w:hint="eastAsia" w:ascii="宋体" w:hAnsi="宋体" w:eastAsia="宋体" w:cs="宋体"/>
                <w:color w:val="auto"/>
                <w:sz w:val="21"/>
                <w:szCs w:val="21"/>
              </w:rPr>
              <w:t>费率标准如下：</w:t>
            </w:r>
          </w:p>
          <w:tbl>
            <w:tblPr>
              <w:tblStyle w:val="81"/>
              <w:tblW w:w="5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金额（万元）</w:t>
                  </w:r>
                </w:p>
              </w:tc>
              <w:tc>
                <w:tcPr>
                  <w:tcW w:w="2838"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100（含）及以下部分</w:t>
                  </w:r>
                </w:p>
              </w:tc>
              <w:tc>
                <w:tcPr>
                  <w:tcW w:w="2838"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100～500 之间部分</w:t>
                  </w:r>
                </w:p>
              </w:tc>
              <w:tc>
                <w:tcPr>
                  <w:tcW w:w="2838"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500～1000 之间部分</w:t>
                  </w:r>
                </w:p>
              </w:tc>
              <w:tc>
                <w:tcPr>
                  <w:tcW w:w="2838" w:type="dxa"/>
                  <w:noWrap w:val="0"/>
                  <w:vAlign w:val="top"/>
                </w:tcPr>
                <w:p>
                  <w:pPr>
                    <w:widowControl w:val="0"/>
                    <w:autoSpaceDE w:val="0"/>
                    <w:autoSpaceDN w:val="0"/>
                    <w:snapToGrid w:val="0"/>
                    <w:spacing w:line="400" w:lineRule="exact"/>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0.8%</w:t>
                  </w:r>
                </w:p>
              </w:tc>
            </w:tr>
          </w:tbl>
          <w:p>
            <w:pPr>
              <w:spacing w:line="336"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由中标（成交）供应商在领取中标（成交）通知书时支付。</w:t>
            </w:r>
          </w:p>
          <w:p>
            <w:pPr>
              <w:spacing w:line="336"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中标服务费的交纳方式：</w:t>
            </w:r>
          </w:p>
          <w:p>
            <w:pPr>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用银行支票、汇票、电汇、现金等付款方式直接交纳中标服务费。</w:t>
            </w:r>
          </w:p>
          <w:p>
            <w:pPr>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公司名称：</w:t>
            </w:r>
            <w:r>
              <w:rPr>
                <w:rFonts w:hint="eastAsia" w:ascii="宋体" w:hAnsi="宋体" w:cs="宋体"/>
                <w:color w:val="auto"/>
                <w:sz w:val="21"/>
                <w:szCs w:val="21"/>
                <w:highlight w:val="none"/>
                <w:lang w:eastAsia="zh-CN"/>
              </w:rPr>
              <w:t>泾清项目管理有限公司</w:t>
            </w:r>
            <w:r>
              <w:rPr>
                <w:rFonts w:hint="eastAsia" w:ascii="宋体" w:hAnsi="宋体" w:eastAsia="宋体" w:cs="宋体"/>
                <w:color w:val="auto"/>
                <w:sz w:val="21"/>
                <w:szCs w:val="21"/>
                <w:highlight w:val="none"/>
              </w:rPr>
              <w:t>嵊州分公司</w:t>
            </w:r>
          </w:p>
          <w:p>
            <w:pPr>
              <w:spacing w:line="33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开户行：中国工商银行嵊州市支行</w:t>
            </w:r>
          </w:p>
          <w:p>
            <w:pPr>
              <w:spacing w:line="336"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highlight w:val="none"/>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32" w:type="dxa"/>
            <w:vAlign w:val="center"/>
          </w:tcPr>
          <w:p>
            <w:pPr>
              <w:autoSpaceDE w:val="0"/>
              <w:autoSpaceDN w:val="0"/>
              <w:snapToGrid w:val="0"/>
              <w:spacing w:line="400" w:lineRule="exact"/>
              <w:jc w:val="center"/>
              <w:textAlignment w:val="bottom"/>
              <w:rPr>
                <w:rFonts w:hint="eastAsia" w:ascii="仿宋" w:hAnsi="仿宋" w:eastAsia="仿宋" w:cs="仿宋"/>
                <w:szCs w:val="24"/>
                <w:lang w:eastAsia="zh-CN"/>
              </w:rPr>
            </w:pPr>
            <w:r>
              <w:rPr>
                <w:rFonts w:hint="eastAsia" w:ascii="仿宋" w:hAnsi="仿宋" w:eastAsia="仿宋" w:cs="仿宋"/>
                <w:szCs w:val="24"/>
              </w:rPr>
              <w:t>1</w:t>
            </w:r>
            <w:r>
              <w:rPr>
                <w:rFonts w:hint="eastAsia" w:ascii="仿宋" w:hAnsi="仿宋" w:eastAsia="仿宋" w:cs="仿宋"/>
                <w:szCs w:val="24"/>
                <w:lang w:val="en-US" w:eastAsia="zh-CN"/>
              </w:rPr>
              <w:t>7</w:t>
            </w:r>
          </w:p>
        </w:tc>
        <w:tc>
          <w:tcPr>
            <w:tcW w:w="1788" w:type="dxa"/>
            <w:vAlign w:val="center"/>
          </w:tcPr>
          <w:p>
            <w:pPr>
              <w:pStyle w:val="294"/>
              <w:widowControl w:val="0"/>
              <w:autoSpaceDE w:val="0"/>
              <w:autoSpaceDN w:val="0"/>
              <w:snapToGrid w:val="0"/>
              <w:spacing w:line="400" w:lineRule="exact"/>
              <w:jc w:val="center"/>
              <w:textAlignment w:val="bottom"/>
              <w:rPr>
                <w:rFonts w:hint="eastAsia" w:ascii="仿宋" w:hAnsi="仿宋" w:eastAsia="仿宋" w:cs="仿宋"/>
                <w:color w:val="auto"/>
                <w:szCs w:val="24"/>
              </w:rPr>
            </w:pPr>
            <w:r>
              <w:rPr>
                <w:rFonts w:hint="eastAsia" w:ascii="仿宋" w:hAnsi="仿宋" w:eastAsia="仿宋" w:cs="仿宋"/>
                <w:b/>
                <w:bCs/>
                <w:color w:val="auto"/>
                <w:szCs w:val="24"/>
              </w:rPr>
              <w:t>解释</w:t>
            </w:r>
          </w:p>
        </w:tc>
        <w:tc>
          <w:tcPr>
            <w:tcW w:w="7412" w:type="dxa"/>
            <w:vAlign w:val="center"/>
          </w:tcPr>
          <w:p>
            <w:pPr>
              <w:pStyle w:val="294"/>
              <w:widowControl w:val="0"/>
              <w:autoSpaceDE w:val="0"/>
              <w:autoSpaceDN w:val="0"/>
              <w:snapToGrid w:val="0"/>
              <w:spacing w:line="400" w:lineRule="exact"/>
              <w:textAlignment w:val="bottom"/>
              <w:rPr>
                <w:rFonts w:hint="eastAsia" w:ascii="仿宋" w:hAnsi="仿宋" w:eastAsia="仿宋" w:cs="仿宋"/>
                <w:color w:val="auto"/>
                <w:szCs w:val="24"/>
              </w:rPr>
            </w:pPr>
            <w:r>
              <w:rPr>
                <w:rFonts w:hint="eastAsia" w:ascii="仿宋" w:hAnsi="仿宋" w:eastAsia="仿宋" w:cs="仿宋"/>
                <w:color w:val="auto"/>
                <w:szCs w:val="24"/>
              </w:rPr>
              <w:t>凡涉及本采购文件的解释权属于招标采购单位及招标代理机构。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932" w:type="dxa"/>
            <w:gridSpan w:val="3"/>
            <w:vAlign w:val="center"/>
          </w:tcPr>
          <w:p>
            <w:pPr>
              <w:pStyle w:val="294"/>
              <w:widowControl w:val="0"/>
              <w:autoSpaceDE w:val="0"/>
              <w:autoSpaceDN w:val="0"/>
              <w:snapToGrid w:val="0"/>
              <w:spacing w:line="400" w:lineRule="exact"/>
              <w:textAlignment w:val="bottom"/>
              <w:rPr>
                <w:rFonts w:hint="eastAsia" w:ascii="仿宋" w:hAnsi="仿宋" w:eastAsia="仿宋" w:cs="仿宋"/>
                <w:color w:val="auto"/>
                <w:szCs w:val="24"/>
              </w:rPr>
            </w:pPr>
            <w:r>
              <w:rPr>
                <w:rFonts w:hint="eastAsia" w:ascii="仿宋" w:hAnsi="仿宋" w:eastAsia="仿宋" w:cs="仿宋"/>
                <w:color w:val="auto"/>
                <w:szCs w:val="24"/>
              </w:rPr>
              <w:t>注：中标人放弃中标资格或因质疑、投诉被取消预中标资格或不能履行合同的，本项目组织重新招标。</w:t>
            </w:r>
          </w:p>
        </w:tc>
      </w:tr>
    </w:tbl>
    <w:p>
      <w:pPr>
        <w:pStyle w:val="3"/>
        <w:spacing w:line="460" w:lineRule="exact"/>
        <w:jc w:val="center"/>
        <w:rPr>
          <w:rFonts w:hint="eastAsia" w:ascii="仿宋" w:hAnsi="仿宋" w:eastAsia="仿宋" w:cs="仿宋"/>
          <w:szCs w:val="32"/>
        </w:rPr>
      </w:pPr>
      <w:bookmarkStart w:id="67" w:name="_Toc54978890"/>
      <w:r>
        <w:rPr>
          <w:rFonts w:hint="eastAsia" w:ascii="仿宋" w:hAnsi="仿宋" w:eastAsia="仿宋" w:cs="仿宋"/>
          <w:szCs w:val="32"/>
        </w:rPr>
        <w:t>二、</w:t>
      </w:r>
      <w:bookmarkEnd w:id="64"/>
      <w:bookmarkEnd w:id="65"/>
      <w:r>
        <w:rPr>
          <w:rFonts w:hint="eastAsia" w:ascii="仿宋" w:hAnsi="仿宋" w:eastAsia="仿宋" w:cs="仿宋"/>
          <w:szCs w:val="32"/>
        </w:rPr>
        <w:t>总则</w:t>
      </w:r>
      <w:bookmarkEnd w:id="66"/>
      <w:bookmarkEnd w:id="67"/>
    </w:p>
    <w:p>
      <w:pPr>
        <w:spacing w:line="460" w:lineRule="exact"/>
        <w:ind w:firstLine="420"/>
        <w:rPr>
          <w:rFonts w:hint="eastAsia" w:ascii="仿宋" w:hAnsi="仿宋" w:eastAsia="仿宋" w:cs="仿宋"/>
          <w:szCs w:val="24"/>
        </w:rPr>
      </w:pPr>
      <w:bookmarkStart w:id="68" w:name="_Toc82338240"/>
      <w:bookmarkStart w:id="69" w:name="_Toc82873323"/>
      <w:r>
        <w:rPr>
          <w:rFonts w:hint="eastAsia" w:ascii="仿宋" w:hAnsi="仿宋" w:eastAsia="仿宋" w:cs="仿宋"/>
          <w:szCs w:val="24"/>
        </w:rPr>
        <w:t>1、实施依据</w:t>
      </w:r>
    </w:p>
    <w:p>
      <w:pPr>
        <w:spacing w:line="460" w:lineRule="exact"/>
        <w:ind w:firstLine="420"/>
        <w:rPr>
          <w:rFonts w:hint="eastAsia" w:ascii="仿宋" w:hAnsi="仿宋" w:eastAsia="仿宋" w:cs="仿宋"/>
          <w:szCs w:val="24"/>
        </w:rPr>
      </w:pPr>
      <w:r>
        <w:rPr>
          <w:rFonts w:hint="eastAsia" w:ascii="仿宋" w:hAnsi="仿宋" w:eastAsia="仿宋" w:cs="仿宋"/>
          <w:szCs w:val="24"/>
        </w:rPr>
        <w:t>本次招标工作是按照</w:t>
      </w:r>
      <w:r>
        <w:rPr>
          <w:rFonts w:hint="eastAsia" w:ascii="仿宋" w:hAnsi="仿宋" w:eastAsia="仿宋" w:cs="仿宋"/>
          <w:kern w:val="0"/>
          <w:szCs w:val="24"/>
        </w:rPr>
        <w:t>《中华人民共和国政府采购法》、《中华人民共和国政府采购法实施条例》</w:t>
      </w:r>
      <w:r>
        <w:rPr>
          <w:rFonts w:hint="eastAsia" w:ascii="仿宋" w:hAnsi="仿宋" w:eastAsia="仿宋" w:cs="仿宋"/>
          <w:szCs w:val="24"/>
        </w:rPr>
        <w:t>等招标投标有关法律、法规、规章、文件的规定组织和实施。</w:t>
      </w:r>
    </w:p>
    <w:p>
      <w:pPr>
        <w:spacing w:line="460" w:lineRule="exact"/>
        <w:ind w:firstLine="420"/>
        <w:rPr>
          <w:rFonts w:hint="eastAsia" w:ascii="仿宋" w:hAnsi="仿宋" w:eastAsia="仿宋" w:cs="仿宋"/>
          <w:szCs w:val="24"/>
        </w:rPr>
      </w:pPr>
      <w:r>
        <w:rPr>
          <w:rFonts w:hint="eastAsia" w:ascii="仿宋" w:hAnsi="仿宋" w:eastAsia="仿宋" w:cs="仿宋"/>
          <w:szCs w:val="24"/>
        </w:rPr>
        <w:t>2、定义</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2.1 “采购人”系指采购公告中载明的本项目的采购人。</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2.2 “采购机构”系指采购公告中载明的本项目的采购代理机构。</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2.3 “投标人”系指是指响应招标、参加投标竞争的法人、其他组织或者自然人。</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2.4 “负责人”系指法人企业的法定负责人，或其他组织为法律、行政法规规定代表单位行使职权的主要负责人，或自然人本人。</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附件）。</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2.6“电子交易平台”是指本项目采购活动所依托的采购云平台（https://www.lecaiyun.com/）。</w:t>
      </w:r>
    </w:p>
    <w:p>
      <w:pPr>
        <w:spacing w:line="460" w:lineRule="exact"/>
        <w:ind w:firstLine="420"/>
        <w:rPr>
          <w:rFonts w:hint="eastAsia" w:ascii="仿宋" w:hAnsi="仿宋" w:eastAsia="仿宋" w:cs="仿宋"/>
          <w:szCs w:val="24"/>
        </w:rPr>
      </w:pPr>
      <w:r>
        <w:rPr>
          <w:rFonts w:hint="eastAsia" w:ascii="仿宋" w:hAnsi="仿宋" w:eastAsia="仿宋" w:cs="仿宋"/>
          <w:szCs w:val="24"/>
        </w:rPr>
        <w:t>2.7 “★”系指实质性指标要求条款，“▲”系指主要性能指标要求条款。如任意一条打“★”的指标出现负偏离视为实质性不响应招标文件要求，作无效投标处理；如任意一条打“▲”的指标出现负偏离按评分标准规定处理。</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rPr>
        <w:sym w:font="Wingdings" w:char="F0FE"/>
      </w:r>
      <w:r>
        <w:rPr>
          <w:rFonts w:hint="eastAsia" w:ascii="仿宋" w:hAnsi="仿宋" w:eastAsia="仿宋" w:cs="仿宋"/>
          <w:szCs w:val="24"/>
        </w:rPr>
        <w:t>” 系指适用本项目的要求，“</w:t>
      </w:r>
      <w:r>
        <w:rPr>
          <w:rFonts w:ascii="Segoe UI Symbol" w:hAnsi="Segoe UI Symbol" w:eastAsia="仿宋" w:cs="Segoe UI Symbol"/>
          <w:szCs w:val="24"/>
        </w:rPr>
        <w:t>☐</w:t>
      </w:r>
      <w:r>
        <w:rPr>
          <w:rFonts w:hint="eastAsia" w:ascii="仿宋" w:hAnsi="仿宋" w:eastAsia="仿宋" w:cs="仿宋"/>
          <w:szCs w:val="24"/>
        </w:rPr>
        <w:t>” 系指不适用本项目的要求。</w:t>
      </w:r>
    </w:p>
    <w:p>
      <w:pPr>
        <w:spacing w:line="460" w:lineRule="exact"/>
        <w:ind w:firstLine="420"/>
        <w:rPr>
          <w:rFonts w:hint="eastAsia" w:ascii="仿宋" w:hAnsi="仿宋" w:eastAsia="仿宋" w:cs="仿宋"/>
          <w:szCs w:val="24"/>
        </w:rPr>
      </w:pPr>
      <w:r>
        <w:rPr>
          <w:rFonts w:hint="eastAsia" w:ascii="仿宋" w:hAnsi="仿宋" w:eastAsia="仿宋" w:cs="仿宋"/>
          <w:szCs w:val="24"/>
        </w:rPr>
        <w:t>投标联合体：是指两个以上供应商组成联合体，以一个投标人的身份参加投标；</w:t>
      </w:r>
    </w:p>
    <w:p>
      <w:pPr>
        <w:spacing w:line="460" w:lineRule="exact"/>
        <w:ind w:firstLine="420"/>
        <w:rPr>
          <w:rFonts w:hint="eastAsia" w:ascii="仿宋" w:hAnsi="仿宋" w:eastAsia="仿宋" w:cs="仿宋"/>
          <w:szCs w:val="24"/>
        </w:rPr>
      </w:pPr>
      <w:r>
        <w:rPr>
          <w:rFonts w:hint="eastAsia" w:ascii="仿宋" w:hAnsi="仿宋" w:eastAsia="仿宋" w:cs="仿宋"/>
          <w:szCs w:val="24"/>
        </w:rPr>
        <w:t>货物和服务：是指按采购文件要求的货物和服务；</w:t>
      </w:r>
    </w:p>
    <w:p>
      <w:pPr>
        <w:spacing w:line="460" w:lineRule="exact"/>
        <w:ind w:firstLine="420"/>
        <w:rPr>
          <w:rFonts w:hint="eastAsia" w:ascii="仿宋" w:hAnsi="仿宋" w:eastAsia="仿宋" w:cs="仿宋"/>
          <w:szCs w:val="24"/>
        </w:rPr>
      </w:pPr>
      <w:r>
        <w:rPr>
          <w:rFonts w:hint="eastAsia" w:ascii="仿宋" w:hAnsi="仿宋" w:eastAsia="仿宋" w:cs="仿宋"/>
          <w:szCs w:val="24"/>
        </w:rPr>
        <w:t>3、投标人须知前附表规定接受联合体投标的，应遵守以下规定：</w:t>
      </w:r>
      <w:r>
        <w:rPr>
          <w:rFonts w:hint="eastAsia" w:ascii="仿宋" w:hAnsi="仿宋" w:eastAsia="仿宋" w:cs="仿宋"/>
          <w:b/>
          <w:szCs w:val="24"/>
        </w:rPr>
        <w:t>（本项目不适用）</w:t>
      </w:r>
    </w:p>
    <w:p>
      <w:pPr>
        <w:spacing w:line="460" w:lineRule="exact"/>
        <w:ind w:firstLine="420"/>
        <w:rPr>
          <w:rFonts w:hint="eastAsia" w:ascii="仿宋" w:hAnsi="仿宋" w:eastAsia="仿宋" w:cs="仿宋"/>
          <w:szCs w:val="24"/>
        </w:rPr>
      </w:pPr>
      <w:r>
        <w:rPr>
          <w:rFonts w:hint="eastAsia" w:ascii="仿宋" w:hAnsi="仿宋" w:eastAsia="仿宋" w:cs="仿宋"/>
          <w:szCs w:val="24"/>
        </w:rPr>
        <w:t>3.1两个以上供应商可以组成一个联合体，以一个供应商的身份共同参加投标；</w:t>
      </w:r>
    </w:p>
    <w:p>
      <w:pPr>
        <w:spacing w:line="460" w:lineRule="exact"/>
        <w:ind w:firstLine="420"/>
        <w:rPr>
          <w:rFonts w:hint="eastAsia" w:ascii="仿宋" w:hAnsi="仿宋" w:eastAsia="仿宋" w:cs="仿宋"/>
          <w:szCs w:val="24"/>
        </w:rPr>
      </w:pPr>
      <w:r>
        <w:rPr>
          <w:rFonts w:hint="eastAsia" w:ascii="仿宋" w:hAnsi="仿宋" w:eastAsia="仿宋" w:cs="仿宋"/>
          <w:szCs w:val="24"/>
        </w:rPr>
        <w:t>3.2组成联合体参加本项目投标的，投标人须在购买采购文件时向采购代理机构作出相关书面说明，否则投标无效；</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3.3以联合体形式参加本项目投标的，联合体的各成员均应当具备《中华人民共和国政府采购法》第二十二条规定的条件，联合体各方中至少应当有一方符合采购人规定的特定条件</w:t>
      </w:r>
      <w:r>
        <w:rPr>
          <w:rFonts w:hint="eastAsia" w:ascii="仿宋" w:hAnsi="仿宋" w:eastAsia="仿宋" w:cs="仿宋"/>
          <w:kern w:val="0"/>
          <w:szCs w:val="24"/>
        </w:rPr>
        <w:t>，但同一专业的投标人组成的联合体以资质最低的一方为依据；</w:t>
      </w:r>
    </w:p>
    <w:p>
      <w:pPr>
        <w:spacing w:line="460" w:lineRule="exact"/>
        <w:ind w:firstLine="420"/>
        <w:rPr>
          <w:rFonts w:hint="eastAsia" w:ascii="仿宋" w:hAnsi="仿宋" w:eastAsia="仿宋" w:cs="仿宋"/>
          <w:szCs w:val="24"/>
        </w:rPr>
      </w:pPr>
      <w:r>
        <w:rPr>
          <w:rFonts w:hint="eastAsia" w:ascii="仿宋" w:hAnsi="仿宋" w:eastAsia="仿宋" w:cs="仿宋"/>
          <w:szCs w:val="24"/>
        </w:rPr>
        <w:t>3.4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Fonts w:hint="eastAsia" w:ascii="仿宋" w:hAnsi="仿宋" w:eastAsia="仿宋" w:cs="仿宋"/>
          <w:szCs w:val="24"/>
        </w:rPr>
      </w:pPr>
      <w:r>
        <w:rPr>
          <w:rFonts w:hint="eastAsia" w:ascii="仿宋" w:hAnsi="仿宋" w:eastAsia="仿宋" w:cs="仿宋"/>
          <w:szCs w:val="24"/>
        </w:rPr>
        <w:t>3.5联合体各方签订投标联合协议后，不得再以自己名义单独在本项目中参加投标，也不得组成新的联合体参加本项目投标；</w:t>
      </w:r>
    </w:p>
    <w:p>
      <w:pPr>
        <w:spacing w:line="460" w:lineRule="exact"/>
        <w:ind w:firstLine="420"/>
        <w:rPr>
          <w:rFonts w:hint="eastAsia" w:ascii="仿宋" w:hAnsi="仿宋" w:eastAsia="仿宋" w:cs="仿宋"/>
          <w:szCs w:val="24"/>
        </w:rPr>
      </w:pPr>
      <w:r>
        <w:rPr>
          <w:rFonts w:hint="eastAsia" w:ascii="仿宋" w:hAnsi="仿宋" w:eastAsia="仿宋" w:cs="仿宋"/>
          <w:szCs w:val="24"/>
        </w:rPr>
        <w:t>3.6联合体各方共同与采购人签订采购合同，就采购合同约定的事项对采购人承担连带责任；</w:t>
      </w:r>
    </w:p>
    <w:p>
      <w:pPr>
        <w:spacing w:line="460" w:lineRule="exact"/>
        <w:ind w:firstLine="420"/>
        <w:rPr>
          <w:rFonts w:hint="eastAsia" w:ascii="仿宋" w:hAnsi="仿宋" w:eastAsia="仿宋" w:cs="仿宋"/>
          <w:bCs/>
          <w:szCs w:val="24"/>
        </w:rPr>
      </w:pPr>
      <w:r>
        <w:rPr>
          <w:rFonts w:hint="eastAsia" w:ascii="仿宋" w:hAnsi="仿宋" w:eastAsia="仿宋" w:cs="仿宋"/>
          <w:bCs/>
          <w:szCs w:val="24"/>
        </w:rPr>
        <w:t>4、费用</w:t>
      </w:r>
    </w:p>
    <w:p>
      <w:pPr>
        <w:spacing w:line="460" w:lineRule="exact"/>
        <w:ind w:firstLine="420"/>
        <w:rPr>
          <w:rFonts w:hint="eastAsia" w:ascii="仿宋" w:hAnsi="仿宋" w:eastAsia="仿宋" w:cs="仿宋"/>
          <w:b/>
          <w:bCs/>
          <w:szCs w:val="24"/>
        </w:rPr>
      </w:pPr>
      <w:r>
        <w:rPr>
          <w:rFonts w:hint="eastAsia" w:ascii="仿宋" w:hAnsi="仿宋" w:eastAsia="仿宋" w:cs="仿宋"/>
          <w:szCs w:val="24"/>
        </w:rPr>
        <w:t>无论招投标过程中的做法和结果如何，投标人自行承担招投标活动中所发生的全部费用。</w:t>
      </w:r>
    </w:p>
    <w:p>
      <w:pPr>
        <w:spacing w:line="460" w:lineRule="exact"/>
        <w:ind w:firstLine="420"/>
        <w:rPr>
          <w:rFonts w:hint="eastAsia" w:ascii="仿宋" w:hAnsi="仿宋" w:eastAsia="仿宋" w:cs="仿宋"/>
          <w:szCs w:val="24"/>
        </w:rPr>
      </w:pPr>
      <w:r>
        <w:rPr>
          <w:rFonts w:hint="eastAsia" w:ascii="仿宋" w:hAnsi="仿宋" w:eastAsia="仿宋" w:cs="仿宋"/>
          <w:szCs w:val="24"/>
        </w:rPr>
        <w:t>5、保密</w:t>
      </w:r>
    </w:p>
    <w:p>
      <w:pPr>
        <w:spacing w:line="460" w:lineRule="exact"/>
        <w:ind w:firstLine="420"/>
        <w:rPr>
          <w:rFonts w:hint="eastAsia" w:ascii="仿宋" w:hAnsi="仿宋" w:eastAsia="仿宋" w:cs="仿宋"/>
          <w:szCs w:val="24"/>
        </w:rPr>
      </w:pPr>
      <w:r>
        <w:rPr>
          <w:rFonts w:hint="eastAsia" w:ascii="仿宋" w:hAnsi="仿宋" w:eastAsia="仿宋" w:cs="仿宋"/>
          <w:szCs w:val="24"/>
        </w:rPr>
        <w:t>参与招标投标活动的各方应对采购文件和投标文件中的商业和技术等秘密保密，违者应对此造成的后果承担法律责任。</w:t>
      </w:r>
    </w:p>
    <w:p>
      <w:pPr>
        <w:spacing w:line="460" w:lineRule="exact"/>
        <w:ind w:firstLine="420"/>
        <w:rPr>
          <w:rFonts w:hint="eastAsia" w:ascii="仿宋" w:hAnsi="仿宋" w:eastAsia="仿宋" w:cs="仿宋"/>
          <w:szCs w:val="24"/>
        </w:rPr>
      </w:pPr>
      <w:r>
        <w:rPr>
          <w:rFonts w:hint="eastAsia" w:ascii="仿宋" w:hAnsi="仿宋" w:eastAsia="仿宋" w:cs="仿宋"/>
          <w:szCs w:val="24"/>
        </w:rPr>
        <w:t>6、语言文字</w:t>
      </w:r>
    </w:p>
    <w:p>
      <w:pPr>
        <w:spacing w:line="460" w:lineRule="exact"/>
        <w:ind w:firstLine="420"/>
        <w:rPr>
          <w:rFonts w:hint="eastAsia" w:ascii="仿宋" w:hAnsi="仿宋" w:eastAsia="仿宋" w:cs="仿宋"/>
          <w:szCs w:val="24"/>
        </w:rPr>
      </w:pPr>
      <w:r>
        <w:rPr>
          <w:rFonts w:hint="eastAsia" w:ascii="仿宋" w:hAnsi="仿宋" w:eastAsia="仿宋" w:cs="仿宋"/>
          <w:szCs w:val="24"/>
        </w:rPr>
        <w:t>除专用术语外，与招标投标有关的语言使用中文。专用术语应附有中文注释。</w:t>
      </w:r>
    </w:p>
    <w:p>
      <w:pPr>
        <w:spacing w:line="460" w:lineRule="exact"/>
        <w:ind w:firstLine="420"/>
        <w:rPr>
          <w:rFonts w:hint="eastAsia" w:ascii="仿宋" w:hAnsi="仿宋" w:eastAsia="仿宋" w:cs="仿宋"/>
          <w:szCs w:val="24"/>
        </w:rPr>
      </w:pPr>
      <w:r>
        <w:rPr>
          <w:rFonts w:hint="eastAsia" w:ascii="仿宋" w:hAnsi="仿宋" w:eastAsia="仿宋" w:cs="仿宋"/>
          <w:szCs w:val="24"/>
        </w:rPr>
        <w:t>7、计量单位</w:t>
      </w:r>
    </w:p>
    <w:p>
      <w:pPr>
        <w:spacing w:line="460" w:lineRule="exact"/>
        <w:ind w:firstLine="420"/>
        <w:rPr>
          <w:rFonts w:hint="eastAsia" w:ascii="仿宋" w:hAnsi="仿宋" w:eastAsia="仿宋" w:cs="仿宋"/>
          <w:szCs w:val="24"/>
        </w:rPr>
      </w:pPr>
      <w:r>
        <w:rPr>
          <w:rFonts w:hint="eastAsia" w:ascii="仿宋" w:hAnsi="仿宋" w:eastAsia="仿宋" w:cs="仿宋"/>
          <w:szCs w:val="24"/>
        </w:rPr>
        <w:t>所有计量均采用中华人民共和国法定计量单位。</w:t>
      </w:r>
    </w:p>
    <w:p>
      <w:pPr>
        <w:spacing w:line="460" w:lineRule="exact"/>
        <w:ind w:firstLine="420"/>
        <w:rPr>
          <w:rFonts w:hint="eastAsia" w:ascii="仿宋" w:hAnsi="仿宋" w:eastAsia="仿宋" w:cs="仿宋"/>
          <w:szCs w:val="24"/>
        </w:rPr>
      </w:pPr>
      <w:r>
        <w:rPr>
          <w:rFonts w:hint="eastAsia" w:ascii="仿宋" w:hAnsi="仿宋" w:eastAsia="仿宋" w:cs="仿宋"/>
          <w:szCs w:val="24"/>
        </w:rPr>
        <w:t>8、踏勘现场</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8.1投标人须知前附表规定组织踏勘现场的，采购人按投标人须知前附表规定的时间、地点组织投标人踏勘项目现场。</w:t>
      </w:r>
    </w:p>
    <w:p>
      <w:pPr>
        <w:spacing w:line="460" w:lineRule="exact"/>
        <w:ind w:firstLine="420"/>
        <w:rPr>
          <w:rFonts w:hint="eastAsia" w:ascii="仿宋" w:hAnsi="仿宋" w:eastAsia="仿宋" w:cs="仿宋"/>
          <w:szCs w:val="24"/>
        </w:rPr>
      </w:pPr>
      <w:r>
        <w:rPr>
          <w:rFonts w:hint="eastAsia" w:ascii="仿宋" w:hAnsi="仿宋" w:eastAsia="仿宋" w:cs="仿宋"/>
          <w:szCs w:val="24"/>
        </w:rPr>
        <w:t>8.2投标人踏勘现场发生的费用自理。</w:t>
      </w:r>
    </w:p>
    <w:p>
      <w:pPr>
        <w:spacing w:line="460" w:lineRule="exact"/>
        <w:ind w:firstLine="420"/>
        <w:rPr>
          <w:rFonts w:hint="eastAsia" w:ascii="仿宋" w:hAnsi="仿宋" w:eastAsia="仿宋" w:cs="仿宋"/>
          <w:szCs w:val="24"/>
        </w:rPr>
      </w:pPr>
      <w:r>
        <w:rPr>
          <w:rFonts w:hint="eastAsia" w:ascii="仿宋" w:hAnsi="仿宋" w:eastAsia="仿宋" w:cs="仿宋"/>
          <w:szCs w:val="24"/>
        </w:rPr>
        <w:t>8.3除采购人的原因外，投标人自行负责在踏勘现场中所发生的人员伤亡和财产损失。</w:t>
      </w:r>
    </w:p>
    <w:p>
      <w:pPr>
        <w:spacing w:line="460" w:lineRule="exact"/>
        <w:ind w:firstLine="420"/>
        <w:rPr>
          <w:rFonts w:hint="eastAsia" w:ascii="仿宋" w:hAnsi="仿宋" w:eastAsia="仿宋" w:cs="仿宋"/>
          <w:szCs w:val="24"/>
        </w:rPr>
      </w:pPr>
      <w:r>
        <w:rPr>
          <w:rFonts w:hint="eastAsia" w:ascii="仿宋" w:hAnsi="仿宋" w:eastAsia="仿宋" w:cs="仿宋"/>
          <w:szCs w:val="24"/>
        </w:rPr>
        <w:t>8.4采购人在踏勘现场中介绍的场地和相关的周边环境情况，供投标人在编制投标文件时参考，采购人不对投标人据此作出的判断和决策负责。</w:t>
      </w:r>
    </w:p>
    <w:p>
      <w:pPr>
        <w:spacing w:line="460" w:lineRule="exact"/>
        <w:ind w:firstLine="420"/>
        <w:rPr>
          <w:rFonts w:hint="eastAsia" w:ascii="仿宋" w:hAnsi="仿宋" w:eastAsia="仿宋" w:cs="仿宋"/>
          <w:szCs w:val="24"/>
        </w:rPr>
      </w:pPr>
      <w:r>
        <w:rPr>
          <w:rFonts w:hint="eastAsia" w:ascii="仿宋" w:hAnsi="仿宋" w:eastAsia="仿宋" w:cs="仿宋"/>
          <w:szCs w:val="24"/>
        </w:rPr>
        <w:t>9、答疑会</w:t>
      </w:r>
    </w:p>
    <w:p>
      <w:pPr>
        <w:spacing w:line="460" w:lineRule="exact"/>
        <w:ind w:firstLine="420"/>
        <w:rPr>
          <w:rFonts w:hint="eastAsia" w:ascii="仿宋" w:hAnsi="仿宋" w:eastAsia="仿宋" w:cs="仿宋"/>
          <w:szCs w:val="24"/>
        </w:rPr>
      </w:pPr>
      <w:r>
        <w:rPr>
          <w:rFonts w:hint="eastAsia" w:ascii="仿宋" w:hAnsi="仿宋" w:eastAsia="仿宋" w:cs="仿宋"/>
          <w:szCs w:val="24"/>
        </w:rPr>
        <w:t>9.1投标人须知前附表规定召开答疑会的，采购人按投标人须知前附表规定的时间和地点召开答疑会，澄清投标人提出的问题。</w:t>
      </w:r>
    </w:p>
    <w:p>
      <w:pPr>
        <w:spacing w:line="460" w:lineRule="exact"/>
        <w:ind w:firstLine="420"/>
        <w:rPr>
          <w:rFonts w:hint="eastAsia" w:ascii="仿宋" w:hAnsi="仿宋" w:eastAsia="仿宋" w:cs="仿宋"/>
          <w:szCs w:val="24"/>
        </w:rPr>
      </w:pPr>
      <w:r>
        <w:rPr>
          <w:rFonts w:hint="eastAsia" w:ascii="仿宋" w:hAnsi="仿宋" w:eastAsia="仿宋" w:cs="仿宋"/>
          <w:szCs w:val="24"/>
        </w:rPr>
        <w:t>9.2投标人应在答疑会时间的前一天，以书面形式将提出的问题送达采购人，以便采购人在会议期间澄清。</w:t>
      </w:r>
    </w:p>
    <w:p>
      <w:pPr>
        <w:spacing w:line="460" w:lineRule="exact"/>
        <w:ind w:firstLine="420"/>
        <w:rPr>
          <w:rFonts w:hint="eastAsia" w:ascii="仿宋" w:hAnsi="仿宋" w:eastAsia="仿宋" w:cs="仿宋"/>
          <w:szCs w:val="24"/>
        </w:rPr>
      </w:pPr>
      <w:r>
        <w:rPr>
          <w:rFonts w:hint="eastAsia" w:ascii="仿宋" w:hAnsi="仿宋" w:eastAsia="仿宋" w:cs="仿宋"/>
          <w:szCs w:val="24"/>
        </w:rPr>
        <w:t>9.3答疑会后，采购人按本章3.4款规定对投标人所提问题进行澄清答复。</w:t>
      </w:r>
    </w:p>
    <w:p>
      <w:pPr>
        <w:spacing w:line="460" w:lineRule="exact"/>
        <w:ind w:firstLine="420"/>
        <w:rPr>
          <w:rFonts w:hint="eastAsia" w:ascii="仿宋" w:hAnsi="仿宋" w:eastAsia="仿宋" w:cs="仿宋"/>
          <w:szCs w:val="24"/>
        </w:rPr>
      </w:pPr>
      <w:r>
        <w:rPr>
          <w:rFonts w:hint="eastAsia" w:ascii="仿宋" w:hAnsi="仿宋" w:eastAsia="仿宋" w:cs="仿宋"/>
          <w:szCs w:val="24"/>
        </w:rPr>
        <w:t>10、转包与分包</w:t>
      </w:r>
    </w:p>
    <w:p>
      <w:pPr>
        <w:spacing w:line="460" w:lineRule="exact"/>
        <w:ind w:firstLine="420"/>
        <w:rPr>
          <w:rFonts w:hint="eastAsia" w:ascii="仿宋" w:hAnsi="仿宋" w:eastAsia="仿宋" w:cs="仿宋"/>
          <w:szCs w:val="24"/>
        </w:rPr>
      </w:pPr>
      <w:r>
        <w:rPr>
          <w:rFonts w:hint="eastAsia" w:ascii="仿宋" w:hAnsi="仿宋" w:eastAsia="仿宋" w:cs="仿宋"/>
          <w:szCs w:val="24"/>
        </w:rPr>
        <w:t>本项目不允许转包及分包。</w:t>
      </w:r>
    </w:p>
    <w:p>
      <w:pPr>
        <w:spacing w:line="460" w:lineRule="exact"/>
        <w:ind w:firstLine="420"/>
        <w:rPr>
          <w:rFonts w:hint="eastAsia" w:ascii="仿宋" w:hAnsi="仿宋" w:eastAsia="仿宋" w:cs="仿宋"/>
          <w:szCs w:val="24"/>
        </w:rPr>
      </w:pPr>
      <w:r>
        <w:rPr>
          <w:rFonts w:hint="eastAsia" w:ascii="仿宋" w:hAnsi="仿宋" w:eastAsia="仿宋" w:cs="仿宋"/>
          <w:szCs w:val="24"/>
        </w:rPr>
        <w:t>11、偏离</w:t>
      </w:r>
    </w:p>
    <w:p>
      <w:pPr>
        <w:spacing w:line="460" w:lineRule="exact"/>
        <w:ind w:firstLine="420"/>
        <w:rPr>
          <w:rFonts w:hint="eastAsia" w:ascii="仿宋" w:hAnsi="仿宋" w:eastAsia="仿宋" w:cs="仿宋"/>
          <w:szCs w:val="24"/>
        </w:rPr>
      </w:pPr>
      <w:r>
        <w:rPr>
          <w:rFonts w:hint="eastAsia" w:ascii="仿宋" w:hAnsi="仿宋" w:eastAsia="仿宋" w:cs="仿宋"/>
          <w:szCs w:val="24"/>
        </w:rPr>
        <w:t>投标文件应完全响应采购文件规定的实质性内容和条件。</w:t>
      </w:r>
    </w:p>
    <w:p>
      <w:pPr>
        <w:spacing w:line="460" w:lineRule="exact"/>
        <w:ind w:firstLine="420"/>
        <w:rPr>
          <w:rFonts w:hint="eastAsia" w:ascii="仿宋" w:hAnsi="仿宋" w:eastAsia="仿宋" w:cs="仿宋"/>
          <w:szCs w:val="24"/>
        </w:rPr>
      </w:pPr>
      <w:r>
        <w:rPr>
          <w:rFonts w:hint="eastAsia" w:ascii="仿宋" w:hAnsi="仿宋" w:eastAsia="仿宋" w:cs="仿宋"/>
          <w:szCs w:val="24"/>
        </w:rPr>
        <w:t>12、其他</w:t>
      </w:r>
    </w:p>
    <w:p>
      <w:pPr>
        <w:spacing w:line="460" w:lineRule="exact"/>
        <w:ind w:firstLine="420"/>
        <w:rPr>
          <w:rFonts w:hint="eastAsia" w:ascii="仿宋" w:hAnsi="仿宋" w:eastAsia="仿宋" w:cs="仿宋"/>
          <w:b/>
          <w:bCs/>
          <w:szCs w:val="24"/>
          <w:u w:val="single"/>
        </w:rPr>
      </w:pPr>
      <w:r>
        <w:rPr>
          <w:rFonts w:hint="eastAsia" w:ascii="仿宋" w:hAnsi="仿宋" w:eastAsia="仿宋" w:cs="仿宋"/>
          <w:szCs w:val="24"/>
        </w:rPr>
        <w:t>12.1★</w:t>
      </w:r>
      <w:r>
        <w:rPr>
          <w:rFonts w:hint="eastAsia" w:ascii="仿宋" w:hAnsi="仿宋" w:eastAsia="仿宋" w:cs="仿宋"/>
          <w:b/>
          <w:bCs/>
          <w:szCs w:val="24"/>
          <w:u w:val="single"/>
        </w:rPr>
        <w:t>投标人对所投标项内的产品或服务必须按采购数量全部进行报价。</w:t>
      </w:r>
    </w:p>
    <w:p>
      <w:pPr>
        <w:spacing w:line="460" w:lineRule="exact"/>
        <w:ind w:firstLine="420"/>
        <w:rPr>
          <w:rFonts w:hint="eastAsia" w:ascii="仿宋" w:hAnsi="仿宋" w:eastAsia="仿宋" w:cs="仿宋"/>
          <w:b/>
          <w:szCs w:val="24"/>
          <w:u w:val="single"/>
        </w:rPr>
      </w:pPr>
      <w:r>
        <w:rPr>
          <w:rFonts w:hint="eastAsia" w:ascii="仿宋" w:hAnsi="仿宋" w:eastAsia="仿宋" w:cs="仿宋"/>
          <w:szCs w:val="24"/>
        </w:rPr>
        <w:t>12.2</w:t>
      </w:r>
      <w:r>
        <w:rPr>
          <w:rFonts w:hint="eastAsia" w:ascii="仿宋" w:hAnsi="仿宋" w:eastAsia="仿宋" w:cs="仿宋"/>
          <w:b w:val="0"/>
          <w:bCs/>
          <w:szCs w:val="24"/>
          <w:u w:val="none"/>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val="0"/>
          <w:bCs/>
          <w:szCs w:val="24"/>
          <w:u w:val="none"/>
          <w:lang w:eastAsia="zh-CN"/>
        </w:rPr>
        <w:t>采购</w:t>
      </w:r>
      <w:r>
        <w:rPr>
          <w:rFonts w:hint="eastAsia" w:ascii="仿宋" w:hAnsi="仿宋" w:eastAsia="仿宋" w:cs="仿宋"/>
          <w:b w:val="0"/>
          <w:bCs/>
          <w:szCs w:val="24"/>
          <w:u w:val="none"/>
        </w:rPr>
        <w:t>文件规定的方式确定一个投标人获得中标人推荐资格，</w:t>
      </w:r>
      <w:r>
        <w:rPr>
          <w:rFonts w:hint="eastAsia" w:ascii="仿宋" w:hAnsi="仿宋" w:eastAsia="仿宋" w:cs="仿宋"/>
          <w:b w:val="0"/>
          <w:bCs/>
          <w:szCs w:val="24"/>
          <w:u w:val="none"/>
          <w:lang w:eastAsia="zh-CN"/>
        </w:rPr>
        <w:t>采购</w:t>
      </w:r>
      <w:r>
        <w:rPr>
          <w:rFonts w:hint="eastAsia" w:ascii="仿宋" w:hAnsi="仿宋" w:eastAsia="仿宋" w:cs="仿宋"/>
          <w:b w:val="0"/>
          <w:bCs/>
          <w:szCs w:val="24"/>
          <w:u w:val="none"/>
        </w:rPr>
        <w:t>文件未规定的采取随机抽取方式确定，其他同品牌投标人不作为中标候选人。</w:t>
      </w:r>
    </w:p>
    <w:p>
      <w:pPr>
        <w:spacing w:line="460" w:lineRule="exact"/>
        <w:ind w:firstLine="420"/>
        <w:rPr>
          <w:rFonts w:hint="eastAsia" w:ascii="仿宋" w:hAnsi="仿宋" w:eastAsia="仿宋" w:cs="仿宋"/>
          <w:szCs w:val="24"/>
        </w:rPr>
      </w:pPr>
      <w:r>
        <w:rPr>
          <w:rFonts w:hint="eastAsia" w:ascii="仿宋" w:hAnsi="仿宋" w:eastAsia="仿宋" w:cs="仿宋"/>
          <w:bCs/>
          <w:szCs w:val="24"/>
        </w:rPr>
        <w:t>12.3</w:t>
      </w:r>
      <w:r>
        <w:rPr>
          <w:rFonts w:hint="eastAsia" w:ascii="仿宋" w:hAnsi="仿宋" w:eastAsia="仿宋" w:cs="仿宋"/>
          <w:szCs w:val="24"/>
        </w:rPr>
        <w:t>投标截止后投标人不足3家或者通过资格审查或符合性审查的投标人不足3家的，除采购任务取消情形外，按照以下方式处理：</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12.3.1采购文件存在不合理条款或者招标程序不符合规定的，采购人、采购代理机构改正后依法重新招标；</w:t>
      </w:r>
    </w:p>
    <w:p>
      <w:pPr>
        <w:spacing w:line="460" w:lineRule="exact"/>
        <w:ind w:firstLine="420"/>
        <w:rPr>
          <w:rFonts w:hint="eastAsia" w:ascii="仿宋" w:hAnsi="仿宋" w:eastAsia="仿宋" w:cs="仿宋"/>
          <w:szCs w:val="24"/>
          <w:u w:val="thick"/>
        </w:rPr>
      </w:pPr>
      <w:r>
        <w:rPr>
          <w:rFonts w:hint="eastAsia" w:ascii="仿宋" w:hAnsi="仿宋" w:eastAsia="仿宋" w:cs="仿宋"/>
          <w:szCs w:val="24"/>
        </w:rPr>
        <w:t>12.3.2采购文件没有不合理条款、招标程序符合规定，需要采用其他采购方式采购的，采购人应当依法报财政部门批准。</w:t>
      </w:r>
    </w:p>
    <w:p>
      <w:pPr>
        <w:spacing w:line="460" w:lineRule="exact"/>
        <w:ind w:firstLine="420"/>
        <w:rPr>
          <w:rFonts w:hint="eastAsia" w:ascii="仿宋" w:hAnsi="仿宋" w:eastAsia="仿宋" w:cs="仿宋"/>
          <w:bCs/>
          <w:szCs w:val="24"/>
        </w:rPr>
      </w:pPr>
      <w:r>
        <w:rPr>
          <w:rFonts w:hint="eastAsia" w:ascii="仿宋" w:hAnsi="仿宋" w:eastAsia="仿宋" w:cs="仿宋"/>
          <w:szCs w:val="24"/>
        </w:rPr>
        <w:t>12.4</w:t>
      </w:r>
      <w:r>
        <w:rPr>
          <w:rFonts w:hint="eastAsia" w:ascii="仿宋" w:hAnsi="仿宋" w:eastAsia="仿宋" w:cs="仿宋"/>
          <w:bCs/>
          <w:szCs w:val="24"/>
        </w:rPr>
        <w:t>采购文件中如有描述歧义或前后不一致的地方，评标委员会有权按公平、合理的原则进行评判，但对同一条款的评判适用于每个投标人。</w:t>
      </w:r>
    </w:p>
    <w:p>
      <w:pPr>
        <w:spacing w:line="460" w:lineRule="exact"/>
        <w:ind w:firstLine="420"/>
        <w:rPr>
          <w:rFonts w:hint="eastAsia" w:ascii="仿宋" w:hAnsi="仿宋" w:eastAsia="仿宋" w:cs="仿宋"/>
          <w:szCs w:val="24"/>
        </w:rPr>
      </w:pPr>
      <w:r>
        <w:rPr>
          <w:rFonts w:hint="eastAsia" w:ascii="仿宋" w:hAnsi="仿宋" w:eastAsia="仿宋" w:cs="仿宋"/>
          <w:bCs/>
          <w:szCs w:val="24"/>
        </w:rPr>
        <w:t>12.5投标文件的响应内容必须真实、明确、准确。否则，评标委员会将对其作出不利的评审。</w:t>
      </w:r>
    </w:p>
    <w:p>
      <w:pPr>
        <w:spacing w:line="460" w:lineRule="exact"/>
        <w:ind w:firstLine="420"/>
        <w:rPr>
          <w:rFonts w:hint="eastAsia" w:ascii="仿宋" w:hAnsi="仿宋" w:eastAsia="仿宋" w:cs="仿宋"/>
          <w:szCs w:val="24"/>
        </w:rPr>
      </w:pPr>
      <w:r>
        <w:rPr>
          <w:rFonts w:hint="eastAsia" w:ascii="仿宋" w:hAnsi="仿宋" w:eastAsia="仿宋" w:cs="仿宋"/>
          <w:bCs/>
          <w:szCs w:val="24"/>
        </w:rPr>
        <w:t>12.6乙</w:t>
      </w:r>
      <w:r>
        <w:rPr>
          <w:rFonts w:hint="eastAsia" w:ascii="仿宋" w:hAnsi="仿宋" w:eastAsia="仿宋" w:cs="仿宋"/>
          <w:szCs w:val="24"/>
        </w:rPr>
        <w:t>方为履行合同引起的相关人员的差旅费、食宿费以及其它不可预知的费用由乙方自理。合同实施过程中，须与甲方积极配合。</w:t>
      </w:r>
    </w:p>
    <w:p>
      <w:pPr>
        <w:spacing w:line="460" w:lineRule="exact"/>
        <w:ind w:firstLine="420"/>
        <w:rPr>
          <w:rFonts w:hint="eastAsia" w:ascii="仿宋" w:hAnsi="仿宋" w:eastAsia="仿宋" w:cs="仿宋"/>
          <w:szCs w:val="24"/>
        </w:rPr>
      </w:pPr>
      <w:r>
        <w:rPr>
          <w:rFonts w:hint="eastAsia" w:ascii="仿宋" w:hAnsi="仿宋" w:eastAsia="仿宋" w:cs="仿宋"/>
          <w:szCs w:val="24"/>
        </w:rPr>
        <w:t>12.7项目资金已落实。</w:t>
      </w:r>
    </w:p>
    <w:p>
      <w:pPr>
        <w:pStyle w:val="3"/>
        <w:spacing w:line="460" w:lineRule="exact"/>
        <w:ind w:firstLine="420"/>
        <w:jc w:val="center"/>
        <w:rPr>
          <w:rFonts w:hint="eastAsia" w:ascii="仿宋" w:hAnsi="仿宋" w:eastAsia="仿宋" w:cs="仿宋"/>
          <w:szCs w:val="32"/>
        </w:rPr>
      </w:pPr>
      <w:bookmarkStart w:id="70" w:name="_Toc35261572"/>
      <w:bookmarkStart w:id="71" w:name="_Toc54978891"/>
      <w:r>
        <w:rPr>
          <w:rFonts w:hint="eastAsia" w:ascii="仿宋" w:hAnsi="仿宋" w:eastAsia="仿宋" w:cs="仿宋"/>
          <w:szCs w:val="32"/>
        </w:rPr>
        <w:t>三、采购文件</w:t>
      </w:r>
      <w:bookmarkEnd w:id="68"/>
      <w:bookmarkEnd w:id="69"/>
      <w:bookmarkEnd w:id="70"/>
      <w:bookmarkEnd w:id="71"/>
      <w:r>
        <w:rPr>
          <w:rFonts w:hint="eastAsia" w:ascii="仿宋" w:hAnsi="仿宋" w:eastAsia="仿宋" w:cs="仿宋"/>
          <w:szCs w:val="32"/>
        </w:rPr>
        <w:t>的构成、澄清、修改</w:t>
      </w:r>
    </w:p>
    <w:p>
      <w:pPr>
        <w:spacing w:line="460" w:lineRule="exact"/>
        <w:ind w:firstLine="420"/>
        <w:rPr>
          <w:rFonts w:hint="eastAsia" w:ascii="仿宋" w:hAnsi="仿宋" w:eastAsia="仿宋" w:cs="仿宋"/>
          <w:b/>
          <w:bCs/>
          <w:szCs w:val="24"/>
        </w:rPr>
      </w:pPr>
      <w:bookmarkStart w:id="72" w:name="_Toc82873324"/>
      <w:bookmarkStart w:id="73" w:name="_Toc82338241"/>
      <w:r>
        <w:rPr>
          <w:rFonts w:hint="eastAsia" w:ascii="仿宋" w:hAnsi="仿宋" w:eastAsia="仿宋" w:cs="仿宋"/>
          <w:b/>
          <w:bCs/>
          <w:szCs w:val="24"/>
        </w:rPr>
        <w:t>3.1、采购文件组成</w:t>
      </w:r>
    </w:p>
    <w:p>
      <w:pPr>
        <w:spacing w:line="460" w:lineRule="exact"/>
        <w:ind w:firstLine="420"/>
        <w:rPr>
          <w:rFonts w:hint="eastAsia" w:ascii="仿宋" w:hAnsi="仿宋" w:eastAsia="仿宋" w:cs="仿宋"/>
          <w:szCs w:val="24"/>
        </w:rPr>
      </w:pPr>
      <w:r>
        <w:rPr>
          <w:rFonts w:hint="eastAsia" w:ascii="仿宋" w:hAnsi="仿宋" w:eastAsia="仿宋" w:cs="仿宋"/>
          <w:szCs w:val="24"/>
        </w:rPr>
        <w:t>3.1.1第一章 采购公告</w:t>
      </w:r>
    </w:p>
    <w:p>
      <w:pPr>
        <w:spacing w:line="460" w:lineRule="exact"/>
        <w:ind w:firstLine="420"/>
        <w:rPr>
          <w:rFonts w:hint="eastAsia" w:ascii="仿宋" w:hAnsi="仿宋" w:eastAsia="仿宋" w:cs="仿宋"/>
          <w:szCs w:val="24"/>
        </w:rPr>
      </w:pPr>
      <w:r>
        <w:rPr>
          <w:rFonts w:hint="eastAsia" w:ascii="仿宋" w:hAnsi="仿宋" w:eastAsia="仿宋" w:cs="仿宋"/>
          <w:szCs w:val="24"/>
        </w:rPr>
        <w:t>3.1.2第二章 投标须知</w:t>
      </w:r>
    </w:p>
    <w:p>
      <w:pPr>
        <w:spacing w:line="460" w:lineRule="exact"/>
        <w:ind w:firstLine="420"/>
        <w:rPr>
          <w:rFonts w:hint="eastAsia" w:ascii="仿宋" w:hAnsi="仿宋" w:eastAsia="仿宋" w:cs="仿宋"/>
          <w:szCs w:val="24"/>
        </w:rPr>
      </w:pPr>
      <w:r>
        <w:rPr>
          <w:rFonts w:hint="eastAsia" w:ascii="仿宋" w:hAnsi="仿宋" w:eastAsia="仿宋" w:cs="仿宋"/>
          <w:szCs w:val="24"/>
        </w:rPr>
        <w:t>3.1.3第三章 项目招标范围及服务要求</w:t>
      </w:r>
    </w:p>
    <w:p>
      <w:pPr>
        <w:spacing w:line="460" w:lineRule="exact"/>
        <w:ind w:firstLine="420"/>
        <w:rPr>
          <w:rFonts w:hint="eastAsia" w:ascii="仿宋" w:hAnsi="仿宋" w:eastAsia="仿宋" w:cs="仿宋"/>
          <w:szCs w:val="24"/>
        </w:rPr>
      </w:pPr>
      <w:r>
        <w:rPr>
          <w:rFonts w:hint="eastAsia" w:ascii="仿宋" w:hAnsi="仿宋" w:eastAsia="仿宋" w:cs="仿宋"/>
          <w:szCs w:val="24"/>
        </w:rPr>
        <w:t>3.1.4第四章 评标办法</w:t>
      </w:r>
    </w:p>
    <w:p>
      <w:pPr>
        <w:spacing w:line="460" w:lineRule="exact"/>
        <w:ind w:firstLine="420"/>
        <w:rPr>
          <w:rFonts w:hint="eastAsia" w:ascii="仿宋" w:hAnsi="仿宋" w:eastAsia="仿宋" w:cs="仿宋"/>
          <w:szCs w:val="24"/>
        </w:rPr>
      </w:pPr>
      <w:r>
        <w:rPr>
          <w:rFonts w:hint="eastAsia" w:ascii="仿宋" w:hAnsi="仿宋" w:eastAsia="仿宋" w:cs="仿宋"/>
          <w:szCs w:val="24"/>
        </w:rPr>
        <w:t>3.1.5第五章 拟签订合同范本</w:t>
      </w:r>
    </w:p>
    <w:p>
      <w:pPr>
        <w:spacing w:line="460" w:lineRule="exact"/>
        <w:ind w:firstLine="420"/>
        <w:rPr>
          <w:rFonts w:hint="eastAsia" w:ascii="仿宋" w:hAnsi="仿宋" w:eastAsia="仿宋" w:cs="仿宋"/>
          <w:szCs w:val="24"/>
        </w:rPr>
      </w:pPr>
      <w:r>
        <w:rPr>
          <w:rFonts w:hint="eastAsia" w:ascii="仿宋" w:hAnsi="仿宋" w:eastAsia="仿宋" w:cs="仿宋"/>
          <w:szCs w:val="24"/>
        </w:rPr>
        <w:t>3.1.6第六章 投标文件格式</w:t>
      </w:r>
    </w:p>
    <w:p>
      <w:pPr>
        <w:spacing w:line="460" w:lineRule="exact"/>
        <w:ind w:firstLine="420"/>
        <w:rPr>
          <w:rFonts w:hint="eastAsia" w:ascii="仿宋" w:hAnsi="仿宋" w:eastAsia="仿宋" w:cs="仿宋"/>
          <w:szCs w:val="24"/>
        </w:rPr>
      </w:pPr>
      <w:r>
        <w:rPr>
          <w:rFonts w:hint="eastAsia" w:ascii="仿宋" w:hAnsi="仿宋" w:eastAsia="仿宋" w:cs="仿宋"/>
          <w:szCs w:val="24"/>
        </w:rPr>
        <w:t>3.1.7补充文件（如有）</w:t>
      </w:r>
    </w:p>
    <w:p>
      <w:pPr>
        <w:spacing w:line="460" w:lineRule="exact"/>
        <w:ind w:firstLine="420"/>
        <w:rPr>
          <w:rFonts w:hint="eastAsia" w:ascii="仿宋" w:hAnsi="仿宋" w:eastAsia="仿宋" w:cs="仿宋"/>
          <w:szCs w:val="24"/>
        </w:rPr>
      </w:pPr>
      <w:r>
        <w:rPr>
          <w:rFonts w:hint="eastAsia" w:ascii="仿宋" w:hAnsi="仿宋" w:eastAsia="仿宋" w:cs="仿宋"/>
          <w:szCs w:val="24"/>
        </w:rPr>
        <w:t>3.1.8与本项目有关的</w:t>
      </w:r>
      <w:r>
        <w:rPr>
          <w:rFonts w:hint="eastAsia" w:ascii="仿宋" w:hAnsi="仿宋" w:eastAsia="仿宋" w:cs="仿宋"/>
          <w:bCs/>
          <w:szCs w:val="24"/>
        </w:rPr>
        <w:t>澄清或者修改的内容为采购文件的组成部分</w:t>
      </w:r>
      <w:r>
        <w:rPr>
          <w:rFonts w:hint="eastAsia" w:ascii="仿宋" w:hAnsi="仿宋" w:eastAsia="仿宋" w:cs="仿宋"/>
          <w:szCs w:val="24"/>
        </w:rPr>
        <w:t>。</w:t>
      </w:r>
    </w:p>
    <w:p>
      <w:pPr>
        <w:spacing w:line="460" w:lineRule="exact"/>
        <w:ind w:firstLine="420"/>
        <w:rPr>
          <w:rFonts w:hint="eastAsia" w:ascii="仿宋" w:hAnsi="仿宋" w:eastAsia="仿宋" w:cs="仿宋"/>
          <w:szCs w:val="24"/>
        </w:rPr>
      </w:pPr>
      <w:r>
        <w:rPr>
          <w:rFonts w:hint="eastAsia" w:ascii="仿宋" w:hAnsi="仿宋" w:eastAsia="仿宋" w:cs="仿宋"/>
          <w:szCs w:val="24"/>
        </w:rPr>
        <w:t>采购文件的解释权归采购组织机构所有。</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3.2、采购文件的澄清</w:t>
      </w:r>
    </w:p>
    <w:p>
      <w:pPr>
        <w:spacing w:line="460" w:lineRule="exact"/>
        <w:ind w:firstLine="420"/>
        <w:rPr>
          <w:rFonts w:hint="eastAsia" w:ascii="仿宋" w:hAnsi="仿宋" w:eastAsia="仿宋" w:cs="仿宋"/>
          <w:szCs w:val="24"/>
        </w:rPr>
      </w:pPr>
      <w:r>
        <w:rPr>
          <w:rFonts w:hint="eastAsia" w:ascii="仿宋" w:hAnsi="仿宋" w:eastAsia="仿宋" w:cs="仿宋"/>
          <w:szCs w:val="24"/>
        </w:rPr>
        <w:t>3.2.1投标人在获取采购文件后，若有问题需要澄清或认为有必要与采购人进行技术交流，应于前附表规定的时间前，将问题发电子邮件至</w:t>
      </w:r>
      <w:r>
        <w:rPr>
          <w:rFonts w:hint="eastAsia" w:ascii="仿宋" w:hAnsi="仿宋" w:eastAsia="仿宋" w:cs="仿宋"/>
          <w:szCs w:val="24"/>
          <w:lang w:val="en-US" w:eastAsia="zh-CN"/>
        </w:rPr>
        <w:t>892720605</w:t>
      </w:r>
      <w:r>
        <w:rPr>
          <w:rFonts w:hint="eastAsia" w:ascii="仿宋" w:hAnsi="仿宋" w:eastAsia="仿宋" w:cs="仿宋"/>
          <w:szCs w:val="24"/>
        </w:rPr>
        <w:t>@qq.com（电子邮件与书面文件有不一致的，以书面文件为准）。截止期后的疑问将不予受理、答复。</w:t>
      </w:r>
    </w:p>
    <w:p>
      <w:pPr>
        <w:spacing w:line="460" w:lineRule="exact"/>
        <w:ind w:firstLine="420"/>
        <w:rPr>
          <w:rFonts w:hint="eastAsia" w:ascii="仿宋" w:hAnsi="仿宋" w:eastAsia="仿宋" w:cs="仿宋"/>
          <w:szCs w:val="24"/>
        </w:rPr>
      </w:pPr>
      <w:r>
        <w:rPr>
          <w:rFonts w:hint="eastAsia" w:ascii="仿宋" w:hAnsi="仿宋" w:eastAsia="仿宋" w:cs="仿宋"/>
          <w:szCs w:val="24"/>
        </w:rPr>
        <w:t>3.2.2 投标人要求解释或澄清的问题应以书面形式送达，并加盖公章、写明日期。</w:t>
      </w:r>
    </w:p>
    <w:p>
      <w:pPr>
        <w:spacing w:line="460" w:lineRule="exact"/>
        <w:ind w:firstLine="420"/>
        <w:rPr>
          <w:rFonts w:hint="eastAsia" w:ascii="仿宋" w:hAnsi="仿宋" w:eastAsia="仿宋" w:cs="仿宋"/>
          <w:szCs w:val="24"/>
        </w:rPr>
      </w:pPr>
      <w:r>
        <w:rPr>
          <w:rFonts w:hint="eastAsia" w:ascii="仿宋" w:hAnsi="仿宋" w:eastAsia="仿宋" w:cs="仿宋"/>
          <w:szCs w:val="24"/>
        </w:rPr>
        <w:t>3.2.3 所有要求解释或澄清的问题都予以解答，答疑内容与补充内容以更正（澄清）公告形式告知所有购买采购文件的投标人。</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3.3、采购文件的修改</w:t>
      </w:r>
    </w:p>
    <w:p>
      <w:pPr>
        <w:spacing w:line="460" w:lineRule="exact"/>
        <w:ind w:firstLine="420"/>
        <w:rPr>
          <w:rFonts w:hint="eastAsia" w:ascii="仿宋" w:hAnsi="仿宋" w:eastAsia="仿宋" w:cs="仿宋"/>
          <w:szCs w:val="24"/>
        </w:rPr>
      </w:pPr>
      <w:r>
        <w:rPr>
          <w:rFonts w:hint="eastAsia" w:ascii="仿宋" w:hAnsi="仿宋" w:eastAsia="仿宋" w:cs="仿宋"/>
          <w:szCs w:val="24"/>
        </w:rPr>
        <w:t>3.3.1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spacing w:line="460" w:lineRule="exact"/>
        <w:ind w:firstLine="420"/>
        <w:rPr>
          <w:rFonts w:hint="eastAsia" w:ascii="仿宋" w:hAnsi="仿宋" w:eastAsia="仿宋" w:cs="仿宋"/>
          <w:szCs w:val="24"/>
        </w:rPr>
      </w:pPr>
      <w:r>
        <w:rPr>
          <w:rFonts w:hint="eastAsia" w:ascii="仿宋" w:hAnsi="仿宋" w:eastAsia="仿宋" w:cs="仿宋"/>
          <w:szCs w:val="24"/>
        </w:rPr>
        <w:t>3.3.2 采购文件的修改将以更正（澄清）公告通知所有购买采购文件的投标人，并对其具有约束力。投标人应及时关注浙江政府采购网、嵊州市公共资源交易网上该项目的公告信息。</w:t>
      </w:r>
    </w:p>
    <w:p>
      <w:pPr>
        <w:spacing w:line="460" w:lineRule="exact"/>
        <w:ind w:firstLine="420"/>
        <w:rPr>
          <w:rFonts w:hint="eastAsia" w:ascii="仿宋" w:hAnsi="仿宋" w:eastAsia="仿宋" w:cs="仿宋"/>
          <w:szCs w:val="24"/>
        </w:rPr>
      </w:pPr>
      <w:r>
        <w:rPr>
          <w:rFonts w:hint="eastAsia" w:ascii="仿宋" w:hAnsi="仿宋" w:eastAsia="仿宋" w:cs="仿宋"/>
          <w:szCs w:val="24"/>
        </w:rPr>
        <w:t>3.3.3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3.3.4采购文件澄清、答复、修改、补充的内容为采购文件的组成部分。当采购文件与采购文件的答复、澄清、修改、补充通知就同一内容的表述不一致时，以最后发出的更正（澄清）公告为准。</w:t>
      </w:r>
    </w:p>
    <w:p>
      <w:pPr>
        <w:snapToGrid w:val="0"/>
        <w:spacing w:line="440" w:lineRule="exact"/>
        <w:ind w:firstLine="480" w:firstLineChars="200"/>
        <w:jc w:val="left"/>
        <w:rPr>
          <w:rFonts w:hint="eastAsia" w:ascii="仿宋" w:hAnsi="仿宋" w:eastAsia="仿宋" w:cs="仿宋"/>
          <w:szCs w:val="24"/>
        </w:rPr>
      </w:pPr>
      <w:r>
        <w:rPr>
          <w:rFonts w:hint="eastAsia" w:ascii="仿宋" w:hAnsi="仿宋" w:eastAsia="仿宋" w:cs="仿宋"/>
          <w:szCs w:val="24"/>
        </w:rPr>
        <w:t>3.3.5采购文件的澄清、答复、修改或补充都应该通过本代理机构以法定形式发布，除此以外的发布不属于采购文件的组成部分。</w:t>
      </w:r>
    </w:p>
    <w:bookmarkEnd w:id="72"/>
    <w:bookmarkEnd w:id="73"/>
    <w:p>
      <w:pPr>
        <w:pStyle w:val="3"/>
        <w:spacing w:line="460" w:lineRule="exact"/>
        <w:ind w:firstLine="420"/>
        <w:jc w:val="center"/>
        <w:rPr>
          <w:rFonts w:hint="eastAsia" w:ascii="仿宋" w:hAnsi="仿宋" w:eastAsia="仿宋" w:cs="仿宋"/>
          <w:szCs w:val="32"/>
        </w:rPr>
      </w:pPr>
      <w:bookmarkStart w:id="74" w:name="_Toc35261573"/>
      <w:bookmarkStart w:id="75" w:name="_Toc450482498"/>
      <w:bookmarkStart w:id="76" w:name="_Toc54978892"/>
      <w:bookmarkStart w:id="77" w:name="_Toc82873325"/>
      <w:bookmarkStart w:id="78" w:name="_Toc82338242"/>
      <w:r>
        <w:rPr>
          <w:rFonts w:hint="eastAsia" w:ascii="仿宋" w:hAnsi="仿宋" w:eastAsia="仿宋" w:cs="仿宋"/>
          <w:szCs w:val="32"/>
        </w:rPr>
        <w:t>四、投标文件</w:t>
      </w:r>
      <w:bookmarkEnd w:id="74"/>
      <w:bookmarkEnd w:id="75"/>
      <w:bookmarkEnd w:id="76"/>
    </w:p>
    <w:p>
      <w:pPr>
        <w:spacing w:line="460" w:lineRule="exact"/>
        <w:ind w:firstLine="420"/>
        <w:rPr>
          <w:rFonts w:hint="eastAsia" w:ascii="仿宋" w:hAnsi="仿宋" w:eastAsia="仿宋" w:cs="仿宋"/>
          <w:szCs w:val="24"/>
        </w:rPr>
      </w:pPr>
      <w:r>
        <w:rPr>
          <w:rFonts w:hint="eastAsia" w:ascii="仿宋" w:hAnsi="仿宋" w:eastAsia="仿宋" w:cs="仿宋"/>
          <w:szCs w:val="24"/>
        </w:rPr>
        <w:t>4.1、投标文件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Fonts w:hint="eastAsia" w:ascii="仿宋" w:hAnsi="仿宋" w:eastAsia="仿宋" w:cs="仿宋"/>
          <w:bCs/>
          <w:szCs w:val="24"/>
        </w:rPr>
      </w:pPr>
      <w:r>
        <w:rPr>
          <w:rFonts w:hint="eastAsia" w:ascii="仿宋" w:hAnsi="仿宋" w:eastAsia="仿宋" w:cs="仿宋"/>
          <w:szCs w:val="24"/>
        </w:rPr>
        <w:t>4.1.2投标人必须按采购文件的要求提供相关资料，并对采购文件中提出的所有内容要求给予实质性响应，须保证投标文件的准确、真实、明确</w:t>
      </w:r>
      <w:r>
        <w:rPr>
          <w:rFonts w:hint="eastAsia" w:ascii="仿宋" w:hAnsi="仿宋" w:eastAsia="仿宋" w:cs="仿宋"/>
          <w:bCs/>
          <w:szCs w:val="24"/>
        </w:rPr>
        <w:t>。投标文件响应内容对采购文件要求如有偏离均应填写偏离表，如不填写，采购人有权视作投标文件完全响应采购文件要求。</w:t>
      </w:r>
    </w:p>
    <w:p>
      <w:pPr>
        <w:spacing w:line="460" w:lineRule="exact"/>
        <w:ind w:firstLine="420"/>
        <w:rPr>
          <w:rFonts w:hint="eastAsia" w:ascii="仿宋" w:hAnsi="仿宋" w:eastAsia="仿宋" w:cs="仿宋"/>
          <w:szCs w:val="24"/>
        </w:rPr>
      </w:pPr>
      <w:r>
        <w:rPr>
          <w:rFonts w:hint="eastAsia" w:ascii="仿宋" w:hAnsi="仿宋" w:eastAsia="仿宋" w:cs="仿宋"/>
          <w:szCs w:val="24"/>
        </w:rPr>
        <w:t>4.2、投标文件组成</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4.2.1资格证明文件</w:t>
      </w:r>
    </w:p>
    <w:p>
      <w:pPr>
        <w:widowControl/>
        <w:spacing w:line="460" w:lineRule="exact"/>
        <w:ind w:firstLine="42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zh-CN"/>
        </w:rPr>
        <w:t>提供</w:t>
      </w:r>
      <w:r>
        <w:rPr>
          <w:rFonts w:hint="eastAsia" w:ascii="仿宋" w:hAnsi="仿宋" w:eastAsia="仿宋" w:cs="仿宋"/>
          <w:szCs w:val="24"/>
        </w:rPr>
        <w:t>投标人</w:t>
      </w:r>
      <w:r>
        <w:rPr>
          <w:rFonts w:hint="eastAsia" w:ascii="仿宋" w:hAnsi="仿宋" w:eastAsia="仿宋" w:cs="仿宋"/>
          <w:szCs w:val="24"/>
          <w:lang w:val="zh-CN"/>
        </w:rPr>
        <w:t>营业执照</w:t>
      </w:r>
      <w:r>
        <w:rPr>
          <w:rFonts w:hint="eastAsia" w:ascii="仿宋" w:hAnsi="仿宋" w:eastAsia="仿宋" w:cs="仿宋"/>
          <w:szCs w:val="24"/>
        </w:rPr>
        <w:t>扫描</w:t>
      </w:r>
      <w:r>
        <w:rPr>
          <w:rFonts w:hint="eastAsia" w:ascii="仿宋" w:hAnsi="仿宋" w:eastAsia="仿宋" w:cs="仿宋"/>
          <w:szCs w:val="24"/>
          <w:lang w:val="zh-CN"/>
        </w:rPr>
        <w:t>件；</w:t>
      </w:r>
    </w:p>
    <w:p>
      <w:pPr>
        <w:spacing w:line="460" w:lineRule="exact"/>
        <w:ind w:firstLine="420"/>
        <w:rPr>
          <w:rFonts w:hint="eastAsia" w:ascii="仿宋" w:hAnsi="仿宋" w:eastAsia="仿宋" w:cs="仿宋"/>
          <w:spacing w:val="6"/>
          <w:szCs w:val="24"/>
        </w:rPr>
      </w:pPr>
      <w:r>
        <w:rPr>
          <w:rFonts w:hint="eastAsia" w:ascii="仿宋" w:hAnsi="仿宋" w:eastAsia="仿宋" w:cs="仿宋"/>
          <w:szCs w:val="24"/>
        </w:rPr>
        <w:t>2</w:t>
      </w:r>
      <w:r>
        <w:rPr>
          <w:rFonts w:hint="eastAsia" w:ascii="仿宋" w:hAnsi="仿宋" w:eastAsia="仿宋" w:cs="仿宋"/>
          <w:szCs w:val="24"/>
          <w:lang w:val="zh-CN"/>
        </w:rPr>
        <w:t>）符合参加采购活动应当具备的一般条件的承诺函</w:t>
      </w:r>
      <w:r>
        <w:rPr>
          <w:rFonts w:hint="eastAsia" w:ascii="仿宋" w:hAnsi="仿宋" w:eastAsia="仿宋" w:cs="仿宋"/>
          <w:szCs w:val="24"/>
        </w:rPr>
        <w:t>（格式见附件）</w:t>
      </w:r>
      <w:r>
        <w:rPr>
          <w:rFonts w:hint="eastAsia" w:ascii="仿宋" w:hAnsi="仿宋" w:eastAsia="仿宋" w:cs="仿宋"/>
          <w:szCs w:val="24"/>
          <w:lang w:val="zh-CN"/>
        </w:rPr>
        <w:t>；</w:t>
      </w:r>
    </w:p>
    <w:p>
      <w:pPr>
        <w:spacing w:line="460" w:lineRule="exact"/>
        <w:ind w:firstLine="420"/>
        <w:rPr>
          <w:rFonts w:hint="eastAsia" w:ascii="仿宋" w:hAnsi="仿宋" w:eastAsia="仿宋" w:cs="仿宋"/>
          <w:bCs/>
          <w:szCs w:val="24"/>
        </w:rPr>
      </w:pPr>
      <w:r>
        <w:rPr>
          <w:rFonts w:hint="eastAsia" w:ascii="仿宋" w:hAnsi="仿宋" w:eastAsia="仿宋" w:cs="仿宋"/>
          <w:bCs/>
          <w:szCs w:val="24"/>
        </w:rPr>
        <w:t>3）</w:t>
      </w:r>
      <w:r>
        <w:rPr>
          <w:rFonts w:hint="eastAsia" w:ascii="仿宋" w:hAnsi="仿宋" w:eastAsia="仿宋" w:cs="仿宋"/>
          <w:szCs w:val="24"/>
        </w:rPr>
        <w:t>本项目的特定资格要求（如有）</w:t>
      </w:r>
      <w:r>
        <w:rPr>
          <w:rFonts w:hint="eastAsia" w:ascii="仿宋" w:hAnsi="仿宋" w:eastAsia="仿宋" w:cs="仿宋"/>
          <w:bCs/>
          <w:szCs w:val="24"/>
        </w:rPr>
        <w:t>。</w:t>
      </w:r>
    </w:p>
    <w:p>
      <w:pPr>
        <w:spacing w:line="460" w:lineRule="exact"/>
        <w:ind w:firstLine="420"/>
        <w:rPr>
          <w:rFonts w:hint="eastAsia" w:ascii="仿宋" w:hAnsi="仿宋" w:eastAsia="仿宋" w:cs="仿宋"/>
          <w:bCs/>
          <w:szCs w:val="24"/>
        </w:rPr>
      </w:pPr>
      <w:r>
        <w:rPr>
          <w:rFonts w:hint="eastAsia" w:ascii="仿宋" w:hAnsi="仿宋" w:eastAsia="仿宋" w:cs="仿宋"/>
          <w:bCs/>
          <w:szCs w:val="24"/>
        </w:rPr>
        <w:t>4）开标时提供《采购活动现场确认声明书》，发送至邮箱</w:t>
      </w:r>
      <w:r>
        <w:rPr>
          <w:rFonts w:hint="eastAsia" w:ascii="仿宋" w:hAnsi="仿宋" w:eastAsia="仿宋" w:cs="仿宋"/>
          <w:bCs/>
          <w:szCs w:val="24"/>
          <w:lang w:eastAsia="zh-CN"/>
        </w:rPr>
        <w:t>892720605</w:t>
      </w:r>
      <w:r>
        <w:rPr>
          <w:rFonts w:hint="eastAsia" w:ascii="仿宋" w:hAnsi="仿宋" w:eastAsia="仿宋" w:cs="仿宋"/>
          <w:bCs/>
          <w:szCs w:val="24"/>
        </w:rPr>
        <w:t>@qq.com</w:t>
      </w:r>
    </w:p>
    <w:p>
      <w:pPr>
        <w:spacing w:line="460" w:lineRule="exact"/>
        <w:ind w:firstLine="420"/>
        <w:rPr>
          <w:rFonts w:hint="eastAsia" w:ascii="仿宋" w:hAnsi="仿宋" w:eastAsia="仿宋" w:cs="仿宋"/>
          <w:bCs/>
          <w:szCs w:val="24"/>
        </w:rPr>
      </w:pPr>
      <w:r>
        <w:rPr>
          <w:rFonts w:hint="eastAsia" w:ascii="仿宋" w:hAnsi="仿宋" w:eastAsia="仿宋" w:cs="仿宋"/>
          <w:b/>
          <w:szCs w:val="24"/>
        </w:rPr>
        <w:t>4.2.2商务技术文件</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lang w:val="zh-CN"/>
        </w:rPr>
        <w:t>1）评分索引表（格式见附件）；</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lang w:val="zh-CN"/>
        </w:rPr>
        <w:t>2）投标函（格式见附件）；</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lang w:val="zh-CN"/>
        </w:rPr>
        <w:t>3）营业执照扫描件；</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lang w:val="zh-CN"/>
        </w:rPr>
        <w:t>4）法定代表人授权委托书、法定代表人身份证扫描件、授权委托人身份证扫描件；</w:t>
      </w:r>
    </w:p>
    <w:p>
      <w:pPr>
        <w:spacing w:line="460" w:lineRule="exact"/>
        <w:ind w:firstLine="42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zh-CN"/>
        </w:rPr>
        <w:t>）</w:t>
      </w:r>
      <w:r>
        <w:rPr>
          <w:rFonts w:hint="eastAsia" w:ascii="仿宋" w:hAnsi="仿宋" w:eastAsia="仿宋" w:cs="仿宋"/>
          <w:szCs w:val="24"/>
        </w:rPr>
        <w:t>评标标准相应的商务技术</w:t>
      </w:r>
      <w:r>
        <w:rPr>
          <w:rFonts w:hint="eastAsia" w:ascii="仿宋" w:hAnsi="仿宋" w:eastAsia="仿宋" w:cs="仿宋"/>
          <w:szCs w:val="24"/>
          <w:lang w:val="zh-CN"/>
        </w:rPr>
        <w:t>资料；</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rPr>
        <w:t>6）</w:t>
      </w:r>
      <w:r>
        <w:rPr>
          <w:rFonts w:hint="eastAsia" w:ascii="仿宋" w:hAnsi="仿宋" w:eastAsia="仿宋" w:cs="仿宋"/>
          <w:szCs w:val="24"/>
          <w:lang w:val="zh-CN"/>
        </w:rPr>
        <w:t>商务资信响应表、</w:t>
      </w:r>
      <w:r>
        <w:rPr>
          <w:rFonts w:hint="eastAsia" w:ascii="仿宋" w:hAnsi="仿宋" w:eastAsia="仿宋" w:cs="仿宋"/>
          <w:szCs w:val="24"/>
        </w:rPr>
        <w:t>商务技术</w:t>
      </w:r>
      <w:r>
        <w:rPr>
          <w:rFonts w:hint="eastAsia" w:ascii="仿宋" w:hAnsi="仿宋" w:eastAsia="仿宋" w:cs="仿宋"/>
          <w:szCs w:val="24"/>
          <w:lang w:val="zh-CN"/>
        </w:rPr>
        <w:t>偏离表；</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rPr>
        <w:t>7</w:t>
      </w:r>
      <w:r>
        <w:rPr>
          <w:rFonts w:hint="eastAsia" w:ascii="仿宋" w:hAnsi="仿宋" w:eastAsia="仿宋" w:cs="仿宋"/>
          <w:szCs w:val="24"/>
          <w:lang w:val="zh-CN"/>
        </w:rPr>
        <w:t>）廉政承诺书；</w:t>
      </w:r>
    </w:p>
    <w:p>
      <w:pPr>
        <w:spacing w:line="460" w:lineRule="exact"/>
        <w:ind w:firstLine="420"/>
        <w:rPr>
          <w:rFonts w:hint="eastAsia" w:ascii="仿宋" w:hAnsi="仿宋" w:eastAsia="仿宋" w:cs="仿宋"/>
          <w:szCs w:val="24"/>
          <w:lang w:val="zh-CN"/>
        </w:rPr>
      </w:pPr>
      <w:r>
        <w:rPr>
          <w:rFonts w:hint="eastAsia" w:ascii="仿宋" w:hAnsi="仿宋" w:eastAsia="仿宋" w:cs="仿宋"/>
          <w:szCs w:val="24"/>
        </w:rPr>
        <w:t>8</w:t>
      </w:r>
      <w:r>
        <w:rPr>
          <w:rFonts w:hint="eastAsia" w:ascii="仿宋" w:hAnsi="仿宋" w:eastAsia="仿宋" w:cs="仿宋"/>
          <w:szCs w:val="24"/>
          <w:lang w:val="zh-CN"/>
        </w:rPr>
        <w:t>）投标人认为需要提供的与投标评标有关的其他资料。</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4.2.3报价文件</w:t>
      </w:r>
    </w:p>
    <w:p>
      <w:pPr>
        <w:tabs>
          <w:tab w:val="left" w:pos="399"/>
        </w:tabs>
        <w:spacing w:line="460" w:lineRule="exact"/>
        <w:ind w:firstLine="420"/>
        <w:rPr>
          <w:rFonts w:hint="eastAsia" w:ascii="仿宋" w:hAnsi="仿宋" w:eastAsia="仿宋" w:cs="仿宋"/>
          <w:szCs w:val="24"/>
          <w:lang w:val="zh-CN"/>
        </w:rPr>
      </w:pPr>
      <w:r>
        <w:rPr>
          <w:rFonts w:hint="eastAsia" w:ascii="仿宋" w:hAnsi="仿宋" w:eastAsia="仿宋" w:cs="仿宋"/>
          <w:szCs w:val="24"/>
        </w:rPr>
        <w:t>1）</w:t>
      </w:r>
      <w:r>
        <w:rPr>
          <w:rFonts w:hint="eastAsia" w:ascii="仿宋" w:hAnsi="仿宋" w:eastAsia="仿宋" w:cs="仿宋"/>
          <w:szCs w:val="24"/>
          <w:lang w:val="zh-CN"/>
        </w:rPr>
        <w:t>开标一览表（</w:t>
      </w:r>
      <w:r>
        <w:rPr>
          <w:rFonts w:hint="eastAsia" w:ascii="仿宋" w:hAnsi="仿宋" w:eastAsia="仿宋" w:cs="仿宋"/>
          <w:szCs w:val="24"/>
        </w:rPr>
        <w:t>格式见附件</w:t>
      </w:r>
      <w:r>
        <w:rPr>
          <w:rFonts w:hint="eastAsia" w:ascii="仿宋" w:hAnsi="仿宋" w:eastAsia="仿宋" w:cs="仿宋"/>
          <w:szCs w:val="24"/>
          <w:lang w:val="zh-CN"/>
        </w:rPr>
        <w:t>）；</w:t>
      </w:r>
    </w:p>
    <w:p>
      <w:pPr>
        <w:tabs>
          <w:tab w:val="left" w:pos="399"/>
        </w:tabs>
        <w:spacing w:line="460" w:lineRule="exact"/>
        <w:ind w:firstLine="420"/>
        <w:rPr>
          <w:rFonts w:hint="eastAsia" w:ascii="仿宋" w:hAnsi="仿宋" w:eastAsia="仿宋" w:cs="仿宋"/>
          <w:szCs w:val="24"/>
        </w:rPr>
      </w:pPr>
      <w:r>
        <w:rPr>
          <w:rFonts w:hint="eastAsia" w:ascii="仿宋" w:hAnsi="仿宋" w:eastAsia="仿宋" w:cs="仿宋"/>
          <w:szCs w:val="24"/>
        </w:rPr>
        <w:t>2）投标报价明细表</w:t>
      </w:r>
      <w:r>
        <w:rPr>
          <w:rFonts w:hint="eastAsia" w:ascii="仿宋" w:hAnsi="仿宋" w:eastAsia="仿宋" w:cs="仿宋"/>
          <w:szCs w:val="24"/>
          <w:lang w:val="zh-CN"/>
        </w:rPr>
        <w:t>（</w:t>
      </w:r>
      <w:r>
        <w:rPr>
          <w:rFonts w:hint="eastAsia" w:ascii="仿宋" w:hAnsi="仿宋" w:eastAsia="仿宋" w:cs="仿宋"/>
          <w:szCs w:val="24"/>
        </w:rPr>
        <w:t>格式见附件</w:t>
      </w:r>
      <w:r>
        <w:rPr>
          <w:rFonts w:hint="eastAsia" w:ascii="仿宋" w:hAnsi="仿宋" w:eastAsia="仿宋" w:cs="仿宋"/>
          <w:szCs w:val="24"/>
          <w:lang w:val="zh-CN"/>
        </w:rPr>
        <w:t>）；</w:t>
      </w:r>
    </w:p>
    <w:p>
      <w:pPr>
        <w:tabs>
          <w:tab w:val="left" w:pos="399"/>
        </w:tabs>
        <w:spacing w:line="460" w:lineRule="exact"/>
        <w:ind w:firstLine="420"/>
        <w:rPr>
          <w:rFonts w:hint="eastAsia" w:ascii="仿宋" w:hAnsi="仿宋" w:eastAsia="仿宋" w:cs="仿宋"/>
          <w:b/>
          <w:bCs/>
          <w:szCs w:val="24"/>
        </w:rPr>
      </w:pPr>
      <w:r>
        <w:rPr>
          <w:rFonts w:hint="eastAsia" w:ascii="仿宋" w:hAnsi="仿宋" w:eastAsia="仿宋" w:cs="仿宋"/>
          <w:szCs w:val="24"/>
        </w:rPr>
        <w:t>3）投标人针对报价需要说明的其他文件和说明，格式自拟。</w:t>
      </w:r>
    </w:p>
    <w:p>
      <w:pPr>
        <w:tabs>
          <w:tab w:val="left" w:pos="399"/>
        </w:tabs>
        <w:spacing w:line="460" w:lineRule="exact"/>
        <w:ind w:firstLine="420"/>
        <w:rPr>
          <w:rFonts w:hint="eastAsia" w:ascii="仿宋" w:hAnsi="仿宋" w:eastAsia="仿宋" w:cs="仿宋"/>
          <w:szCs w:val="24"/>
        </w:rPr>
      </w:pPr>
      <w:r>
        <w:rPr>
          <w:rFonts w:hint="eastAsia" w:ascii="仿宋" w:hAnsi="仿宋" w:eastAsia="仿宋" w:cs="仿宋"/>
          <w:b/>
          <w:bCs/>
          <w:szCs w:val="24"/>
        </w:rPr>
        <w:t>4.2.4投标时提供的人员、业绩、荣誉、资质、项目案例等，必须为投标人本身所具有。</w:t>
      </w:r>
    </w:p>
    <w:p>
      <w:pPr>
        <w:spacing w:line="460" w:lineRule="exact"/>
        <w:ind w:firstLine="482" w:firstLineChars="200"/>
        <w:rPr>
          <w:rFonts w:hint="eastAsia" w:ascii="仿宋" w:hAnsi="仿宋" w:eastAsia="仿宋" w:cs="仿宋"/>
          <w:b/>
          <w:szCs w:val="24"/>
        </w:rPr>
      </w:pPr>
      <w:r>
        <w:rPr>
          <w:rFonts w:hint="eastAsia" w:ascii="仿宋" w:hAnsi="仿宋" w:eastAsia="仿宋" w:cs="仿宋"/>
          <w:b/>
          <w:bCs/>
          <w:szCs w:val="24"/>
        </w:rPr>
        <w:t>4.2.5注意事项：</w:t>
      </w:r>
      <w:r>
        <w:rPr>
          <w:rFonts w:hint="eastAsia" w:ascii="仿宋" w:hAnsi="仿宋" w:eastAsia="仿宋" w:cs="仿宋"/>
          <w:b/>
          <w:szCs w:val="24"/>
        </w:rPr>
        <w:t>投标文件含有采购人不能接受的附加条件的，投标无效；</w:t>
      </w:r>
    </w:p>
    <w:p>
      <w:pPr>
        <w:spacing w:line="460" w:lineRule="exact"/>
        <w:ind w:firstLine="482" w:firstLineChars="200"/>
        <w:rPr>
          <w:rFonts w:hint="eastAsia" w:ascii="仿宋" w:hAnsi="仿宋" w:eastAsia="仿宋" w:cs="仿宋"/>
          <w:b/>
          <w:bCs/>
          <w:szCs w:val="24"/>
        </w:rPr>
      </w:pPr>
      <w:r>
        <w:rPr>
          <w:rFonts w:hint="eastAsia" w:ascii="仿宋" w:hAnsi="仿宋" w:eastAsia="仿宋" w:cs="仿宋"/>
          <w:b/>
          <w:szCs w:val="24"/>
        </w:rPr>
        <w:t>4.2.6投标人提供虚假材料投标的，投标无效。</w:t>
      </w:r>
    </w:p>
    <w:p>
      <w:pPr>
        <w:spacing w:line="460" w:lineRule="exact"/>
        <w:ind w:firstLine="482" w:firstLineChars="200"/>
        <w:rPr>
          <w:rFonts w:hint="eastAsia" w:ascii="仿宋" w:hAnsi="仿宋" w:eastAsia="仿宋" w:cs="仿宋"/>
          <w:b/>
          <w:bCs/>
          <w:szCs w:val="24"/>
        </w:rPr>
      </w:pPr>
      <w:r>
        <w:rPr>
          <w:rFonts w:hint="eastAsia" w:ascii="仿宋" w:hAnsi="仿宋" w:eastAsia="仿宋" w:cs="仿宋"/>
          <w:b/>
          <w:bCs/>
          <w:szCs w:val="24"/>
        </w:rPr>
        <w:t>4.3、投标文件的编制</w:t>
      </w:r>
    </w:p>
    <w:p>
      <w:pPr>
        <w:spacing w:line="460" w:lineRule="exact"/>
        <w:ind w:firstLine="482" w:firstLineChars="200"/>
        <w:rPr>
          <w:rFonts w:hint="eastAsia" w:ascii="仿宋" w:hAnsi="仿宋" w:eastAsia="仿宋" w:cs="仿宋"/>
          <w:szCs w:val="24"/>
        </w:rPr>
      </w:pPr>
      <w:r>
        <w:rPr>
          <w:rFonts w:hint="eastAsia" w:ascii="仿宋" w:hAnsi="仿宋" w:eastAsia="仿宋" w:cs="仿宋"/>
          <w:b/>
          <w:bCs/>
          <w:kern w:val="0"/>
          <w:szCs w:val="24"/>
        </w:rPr>
        <w:t>4.3.1</w:t>
      </w:r>
      <w:r>
        <w:rPr>
          <w:rFonts w:hint="eastAsia" w:ascii="仿宋" w:hAnsi="仿宋" w:eastAsia="仿宋" w:cs="仿宋"/>
          <w:b/>
          <w:bCs/>
          <w:kern w:val="0"/>
          <w:szCs w:val="24"/>
          <w:lang w:val="zh-CN"/>
        </w:rPr>
        <w:t>投标文件分为资格</w:t>
      </w:r>
      <w:r>
        <w:rPr>
          <w:rFonts w:hint="eastAsia" w:ascii="仿宋" w:hAnsi="仿宋" w:eastAsia="仿宋" w:cs="仿宋"/>
          <w:b/>
          <w:bCs/>
          <w:kern w:val="0"/>
          <w:szCs w:val="24"/>
        </w:rPr>
        <w:t>证明</w:t>
      </w:r>
      <w:r>
        <w:rPr>
          <w:rFonts w:hint="eastAsia" w:ascii="仿宋" w:hAnsi="仿宋" w:eastAsia="仿宋" w:cs="仿宋"/>
          <w:b/>
          <w:bCs/>
          <w:kern w:val="0"/>
          <w:szCs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pPr>
        <w:spacing w:line="460" w:lineRule="exact"/>
        <w:ind w:firstLine="420"/>
        <w:rPr>
          <w:rFonts w:hint="eastAsia" w:ascii="仿宋" w:hAnsi="仿宋" w:eastAsia="仿宋" w:cs="仿宋"/>
          <w:szCs w:val="24"/>
        </w:rPr>
      </w:pPr>
      <w:r>
        <w:rPr>
          <w:rFonts w:hint="eastAsia" w:ascii="仿宋" w:hAnsi="仿宋" w:eastAsia="仿宋" w:cs="仿宋"/>
          <w:szCs w:val="24"/>
        </w:rPr>
        <w:t>4.3.2本项目通过“采购云平台（www.lecaiyun.com）”实行在线投标响应（电子投标）。供应商应通过“乐采云电子交易客户端”，并按照本采购文件和“采购云平台”的要求编制并加密投标文件。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4.3.3投标供应商应当按照本章4.2款中规定的内容及顺序在“乐采云电子交易客户端”编制投标文件。其中《资格证明文件》和《资信技术文件》中不得出现本项目投标报价，否则作无效投标。</w:t>
      </w:r>
    </w:p>
    <w:p>
      <w:pPr>
        <w:spacing w:line="460" w:lineRule="exact"/>
        <w:ind w:firstLine="420"/>
        <w:rPr>
          <w:rFonts w:hint="eastAsia" w:ascii="仿宋" w:hAnsi="仿宋" w:eastAsia="仿宋" w:cs="仿宋"/>
          <w:szCs w:val="24"/>
        </w:rPr>
      </w:pPr>
      <w:r>
        <w:rPr>
          <w:rFonts w:hint="eastAsia" w:ascii="仿宋" w:hAnsi="仿宋" w:eastAsia="仿宋" w:cs="仿宋"/>
          <w:szCs w:val="24"/>
        </w:rPr>
        <w:t>4.3.4本文件《第六章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Fonts w:hint="eastAsia" w:ascii="仿宋" w:hAnsi="仿宋" w:eastAsia="仿宋" w:cs="仿宋"/>
          <w:szCs w:val="24"/>
        </w:rPr>
      </w:pPr>
      <w:r>
        <w:rPr>
          <w:rFonts w:hint="eastAsia" w:ascii="仿宋" w:hAnsi="仿宋" w:eastAsia="仿宋" w:cs="仿宋"/>
          <w:szCs w:val="24"/>
        </w:rPr>
        <w:t>4.3.5投标文件应当对采购文件规定的内容进行明确，对采购文件规定的实质性内容应当作出响应。</w:t>
      </w:r>
    </w:p>
    <w:p>
      <w:pPr>
        <w:spacing w:line="460" w:lineRule="exact"/>
        <w:ind w:firstLine="420"/>
        <w:rPr>
          <w:rFonts w:hint="eastAsia" w:ascii="仿宋" w:hAnsi="仿宋" w:eastAsia="仿宋" w:cs="仿宋"/>
          <w:szCs w:val="24"/>
        </w:rPr>
      </w:pPr>
      <w:r>
        <w:rPr>
          <w:rFonts w:hint="eastAsia" w:ascii="仿宋" w:hAnsi="仿宋" w:eastAsia="仿宋" w:cs="仿宋"/>
          <w:szCs w:val="24"/>
        </w:rPr>
        <w:t>4.3.6投标文件由于字迹模糊或表达不清引起的后果由投标人负责。</w:t>
      </w:r>
    </w:p>
    <w:p>
      <w:pPr>
        <w:snapToGrid w:val="0"/>
        <w:spacing w:line="460" w:lineRule="exact"/>
        <w:ind w:firstLine="480" w:firstLineChars="200"/>
        <w:jc w:val="left"/>
        <w:outlineLvl w:val="2"/>
        <w:rPr>
          <w:rFonts w:hint="eastAsia" w:ascii="仿宋" w:hAnsi="仿宋" w:eastAsia="仿宋" w:cs="仿宋"/>
          <w:szCs w:val="24"/>
        </w:rPr>
      </w:pPr>
      <w:r>
        <w:rPr>
          <w:rFonts w:hint="eastAsia" w:ascii="仿宋" w:hAnsi="仿宋" w:eastAsia="仿宋" w:cs="仿宋"/>
          <w:szCs w:val="24"/>
        </w:rPr>
        <w:t>4.3.7投标供应商没有按照本章节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napToGrid w:val="0"/>
        <w:spacing w:line="460" w:lineRule="exact"/>
        <w:jc w:val="left"/>
        <w:outlineLvl w:val="2"/>
        <w:rPr>
          <w:rFonts w:hint="eastAsia" w:ascii="仿宋" w:hAnsi="仿宋" w:eastAsia="仿宋" w:cs="仿宋"/>
          <w:b/>
          <w:szCs w:val="24"/>
        </w:rPr>
      </w:pPr>
      <w:r>
        <w:rPr>
          <w:rFonts w:hint="eastAsia" w:ascii="仿宋" w:hAnsi="仿宋" w:eastAsia="仿宋" w:cs="仿宋"/>
          <w:b/>
          <w:bCs/>
          <w:szCs w:val="24"/>
        </w:rPr>
        <w:t>5</w:t>
      </w:r>
      <w:r>
        <w:rPr>
          <w:rFonts w:hint="eastAsia" w:ascii="仿宋" w:hAnsi="仿宋" w:eastAsia="仿宋" w:cs="仿宋"/>
          <w:szCs w:val="24"/>
        </w:rPr>
        <w:t>.</w:t>
      </w:r>
      <w:r>
        <w:rPr>
          <w:rFonts w:hint="eastAsia" w:ascii="仿宋" w:hAnsi="仿宋" w:eastAsia="仿宋" w:cs="仿宋"/>
          <w:b/>
          <w:szCs w:val="24"/>
        </w:rPr>
        <w:t>投标文件的签署、盖章</w:t>
      </w:r>
    </w:p>
    <w:p>
      <w:pPr>
        <w:snapToGrid w:val="0"/>
        <w:spacing w:line="460" w:lineRule="exact"/>
        <w:ind w:firstLine="482" w:firstLineChars="200"/>
        <w:rPr>
          <w:rFonts w:hint="eastAsia" w:ascii="仿宋" w:hAnsi="仿宋" w:eastAsia="仿宋" w:cs="仿宋"/>
          <w:b/>
          <w:bCs/>
          <w:szCs w:val="24"/>
        </w:rPr>
      </w:pPr>
      <w:r>
        <w:rPr>
          <w:rFonts w:hint="eastAsia" w:ascii="仿宋" w:hAnsi="仿宋" w:eastAsia="仿宋" w:cs="仿宋"/>
          <w:b/>
          <w:bCs/>
          <w:szCs w:val="24"/>
        </w:rPr>
        <w:t>5.1投标文件按照采购文件第六部分格式要求进行签署、盖章。投标人的投标文件未按照采购文件要求签署、盖章的，其投标无效。</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5.2为确保网上操作合法、有效和安全，投标人应当在投标截止时间前完成在“采购云平台”的身份认证，确保在电子投标过程中能够对相关数据电文进行加密和使用电子签名。</w:t>
      </w:r>
    </w:p>
    <w:p>
      <w:pPr>
        <w:snapToGrid w:val="0"/>
        <w:spacing w:line="460" w:lineRule="exact"/>
        <w:ind w:firstLine="480" w:firstLineChars="200"/>
        <w:jc w:val="left"/>
        <w:outlineLvl w:val="2"/>
        <w:rPr>
          <w:rFonts w:hint="eastAsia" w:ascii="仿宋" w:hAnsi="仿宋" w:eastAsia="仿宋" w:cs="仿宋"/>
          <w:szCs w:val="24"/>
        </w:rPr>
      </w:pPr>
      <w:r>
        <w:rPr>
          <w:rFonts w:hint="eastAsia" w:ascii="仿宋" w:hAnsi="仿宋" w:eastAsia="仿宋" w:cs="仿宋"/>
          <w:szCs w:val="24"/>
        </w:rPr>
        <w:t>5.3采购文件对投标文件签署、盖章的要求适用于电子签名。</w:t>
      </w:r>
    </w:p>
    <w:p>
      <w:pPr>
        <w:snapToGrid w:val="0"/>
        <w:spacing w:line="460" w:lineRule="exact"/>
        <w:jc w:val="left"/>
        <w:outlineLvl w:val="2"/>
        <w:rPr>
          <w:rFonts w:hint="eastAsia" w:ascii="仿宋" w:hAnsi="仿宋" w:eastAsia="仿宋" w:cs="仿宋"/>
          <w:b/>
          <w:szCs w:val="24"/>
        </w:rPr>
      </w:pPr>
      <w:r>
        <w:rPr>
          <w:rFonts w:hint="eastAsia" w:ascii="仿宋" w:hAnsi="仿宋" w:eastAsia="仿宋" w:cs="仿宋"/>
          <w:b/>
          <w:bCs/>
          <w:szCs w:val="24"/>
        </w:rPr>
        <w:t>6.投</w:t>
      </w:r>
      <w:r>
        <w:rPr>
          <w:rFonts w:hint="eastAsia" w:ascii="仿宋" w:hAnsi="仿宋" w:eastAsia="仿宋" w:cs="仿宋"/>
          <w:b/>
          <w:szCs w:val="24"/>
        </w:rPr>
        <w:t>标文件的提交、补充、修改、撤回</w:t>
      </w:r>
    </w:p>
    <w:p>
      <w:pPr>
        <w:spacing w:line="460" w:lineRule="exact"/>
        <w:ind w:firstLine="420"/>
        <w:rPr>
          <w:rFonts w:hint="eastAsia" w:ascii="仿宋" w:hAnsi="仿宋" w:eastAsia="仿宋" w:cs="仿宋"/>
          <w:szCs w:val="24"/>
        </w:rPr>
      </w:pPr>
      <w:r>
        <w:rPr>
          <w:rFonts w:hint="eastAsia" w:ascii="仿宋" w:hAnsi="仿宋" w:eastAsia="仿宋" w:cs="仿宋"/>
          <w:szCs w:val="24"/>
        </w:rPr>
        <w:t>6.1、投标文件的上传、递交</w:t>
      </w:r>
    </w:p>
    <w:p>
      <w:pPr>
        <w:spacing w:line="460" w:lineRule="exact"/>
        <w:ind w:firstLine="420"/>
        <w:rPr>
          <w:rFonts w:hint="eastAsia" w:ascii="仿宋" w:hAnsi="仿宋" w:eastAsia="仿宋" w:cs="仿宋"/>
          <w:szCs w:val="24"/>
        </w:rPr>
      </w:pPr>
      <w:r>
        <w:rPr>
          <w:rFonts w:hint="eastAsia" w:ascii="仿宋" w:hAnsi="仿宋" w:eastAsia="仿宋" w:cs="仿宋"/>
          <w:szCs w:val="24"/>
        </w:rPr>
        <w:t>6.1.1电子加密投标文件的上传、递交：</w:t>
      </w:r>
    </w:p>
    <w:p>
      <w:pPr>
        <w:spacing w:line="460" w:lineRule="exact"/>
        <w:ind w:firstLine="420"/>
        <w:rPr>
          <w:rFonts w:hint="eastAsia" w:ascii="仿宋" w:hAnsi="仿宋" w:eastAsia="仿宋" w:cs="仿宋"/>
          <w:szCs w:val="24"/>
        </w:rPr>
      </w:pPr>
      <w:r>
        <w:rPr>
          <w:rFonts w:hint="eastAsia" w:ascii="仿宋" w:hAnsi="仿宋" w:eastAsia="仿宋" w:cs="仿宋"/>
          <w:szCs w:val="24"/>
        </w:rPr>
        <w:t>6.1.1.1投标供应商应在投标截止时间前将“电子加密投标文件”成功上传递交至“采购云平台”，否则投标无效。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6.1.1.2“电子加密投标文件”成功上传递交后，供应商可自行打印投标文件接收回执。</w:t>
      </w:r>
    </w:p>
    <w:p>
      <w:pPr>
        <w:spacing w:line="460" w:lineRule="exact"/>
        <w:ind w:firstLine="420"/>
        <w:rPr>
          <w:rFonts w:hint="eastAsia" w:ascii="仿宋" w:hAnsi="仿宋" w:eastAsia="仿宋" w:cs="仿宋"/>
          <w:szCs w:val="24"/>
        </w:rPr>
      </w:pPr>
      <w:r>
        <w:rPr>
          <w:rFonts w:hint="eastAsia" w:ascii="仿宋" w:hAnsi="仿宋" w:eastAsia="仿宋" w:cs="仿宋"/>
          <w:szCs w:val="24"/>
        </w:rPr>
        <w:t>6.1.2备份投标文件的密封包装、递交：</w:t>
      </w:r>
    </w:p>
    <w:p>
      <w:pPr>
        <w:spacing w:line="460" w:lineRule="exact"/>
        <w:ind w:firstLine="420"/>
        <w:rPr>
          <w:rFonts w:hint="eastAsia" w:ascii="仿宋" w:hAnsi="仿宋" w:eastAsia="仿宋" w:cs="仿宋"/>
          <w:szCs w:val="24"/>
        </w:rPr>
      </w:pPr>
      <w:r>
        <w:rPr>
          <w:rFonts w:hint="eastAsia" w:ascii="仿宋" w:hAnsi="仿宋" w:eastAsia="仿宋" w:cs="仿宋"/>
          <w:szCs w:val="24"/>
        </w:rPr>
        <w:t>6.1.2.1投标供应商在“采购云平台”完成“电子加密投标文件”的上传递交后，还可以（邮寄形式）在投标截止时间前递交以介质（U盘）存储的“备份投标文件”（一份）；</w:t>
      </w:r>
    </w:p>
    <w:p>
      <w:pPr>
        <w:spacing w:line="460" w:lineRule="exact"/>
        <w:ind w:firstLine="420"/>
        <w:rPr>
          <w:rFonts w:hint="eastAsia" w:ascii="仿宋" w:hAnsi="仿宋" w:eastAsia="仿宋" w:cs="仿宋"/>
          <w:szCs w:val="24"/>
        </w:rPr>
      </w:pPr>
      <w:r>
        <w:rPr>
          <w:rFonts w:hint="eastAsia" w:ascii="仿宋" w:hAnsi="仿宋" w:eastAsia="仿宋" w:cs="仿宋"/>
          <w:szCs w:val="24"/>
        </w:rPr>
        <w:t>6.1.2.2“备份投标文件”应当密封包装，并在包装上标注投标项目名称、投标人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Fonts w:hint="eastAsia" w:ascii="仿宋" w:hAnsi="仿宋" w:eastAsia="仿宋" w:cs="仿宋"/>
          <w:szCs w:val="24"/>
        </w:rPr>
      </w:pPr>
      <w:r>
        <w:rPr>
          <w:rFonts w:hint="eastAsia" w:ascii="仿宋" w:hAnsi="仿宋" w:eastAsia="仿宋" w:cs="仿宋"/>
          <w:szCs w:val="24"/>
        </w:rPr>
        <w:t>6.1.2.3通过“采购云平台”成功上传递交的“电子加密投标文件”已按时解密的，“备份投标文件”自动失效。投标截止时间前，投标供应商仅递交了“备份投标文件”而未将“电子加密投标文件”成功上传至“采购云平台”的，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6.2、解密和异常情况处理</w:t>
      </w:r>
    </w:p>
    <w:p>
      <w:pPr>
        <w:spacing w:line="460" w:lineRule="exact"/>
        <w:ind w:firstLine="420"/>
        <w:rPr>
          <w:rFonts w:hint="eastAsia" w:ascii="仿宋" w:hAnsi="仿宋" w:eastAsia="仿宋" w:cs="仿宋"/>
          <w:szCs w:val="24"/>
        </w:rPr>
      </w:pPr>
      <w:r>
        <w:rPr>
          <w:rFonts w:hint="eastAsia" w:ascii="仿宋" w:hAnsi="仿宋" w:eastAsia="仿宋" w:cs="仿宋"/>
          <w:szCs w:val="24"/>
        </w:rPr>
        <w:t>6.2.1开标后，采购组织机构将向各投标供应商发出“电子加密投标文件”的解密通知，各投标供应商代表应当在接到解密通知后30分钟内自行完成“电子加密投标文件”的在线解密。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Fonts w:hint="eastAsia" w:ascii="仿宋" w:hAnsi="仿宋" w:eastAsia="仿宋" w:cs="仿宋"/>
          <w:szCs w:val="24"/>
        </w:rPr>
      </w:pPr>
      <w:r>
        <w:rPr>
          <w:rFonts w:hint="eastAsia" w:ascii="仿宋" w:hAnsi="仿宋" w:eastAsia="仿宋" w:cs="仿宋"/>
          <w:szCs w:val="24"/>
        </w:rPr>
        <w:t>6.2.2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pPr>
        <w:spacing w:line="460" w:lineRule="exact"/>
        <w:ind w:firstLine="420"/>
        <w:rPr>
          <w:rFonts w:hint="eastAsia" w:ascii="仿宋" w:hAnsi="仿宋" w:eastAsia="仿宋" w:cs="仿宋"/>
          <w:szCs w:val="24"/>
        </w:rPr>
      </w:pPr>
      <w:r>
        <w:rPr>
          <w:rFonts w:hint="eastAsia" w:ascii="仿宋" w:hAnsi="仿宋" w:eastAsia="仿宋" w:cs="仿宋"/>
          <w:szCs w:val="24"/>
        </w:rPr>
        <w:t>6.2.3投标截止时间前，投标供应商仅递交了“备份投标文件”而未将电子加密投标文件上传至“采购云平台”的，投标无效。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6.3、投标文件的修改和撤回</w:t>
      </w:r>
    </w:p>
    <w:p>
      <w:pPr>
        <w:spacing w:line="460" w:lineRule="exact"/>
        <w:ind w:firstLine="420"/>
        <w:rPr>
          <w:rFonts w:hint="eastAsia" w:ascii="仿宋" w:hAnsi="仿宋" w:eastAsia="仿宋" w:cs="仿宋"/>
          <w:szCs w:val="24"/>
        </w:rPr>
      </w:pPr>
      <w:r>
        <w:rPr>
          <w:rFonts w:hint="eastAsia" w:ascii="仿宋" w:hAnsi="仿宋" w:eastAsia="仿宋" w:cs="仿宋"/>
          <w:szCs w:val="24"/>
        </w:rPr>
        <w:t>6.3.1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采购云平台”将予以拒收。</w:t>
      </w:r>
    </w:p>
    <w:p>
      <w:pPr>
        <w:spacing w:line="460" w:lineRule="exact"/>
        <w:ind w:firstLine="420"/>
        <w:rPr>
          <w:rFonts w:hint="eastAsia" w:ascii="仿宋" w:hAnsi="仿宋" w:eastAsia="仿宋" w:cs="仿宋"/>
          <w:szCs w:val="24"/>
        </w:rPr>
      </w:pPr>
      <w:r>
        <w:rPr>
          <w:rFonts w:hint="eastAsia" w:ascii="仿宋" w:hAnsi="仿宋" w:eastAsia="仿宋" w:cs="仿宋"/>
          <w:szCs w:val="24"/>
        </w:rPr>
        <w:t>6.3.2投标截止时间后，投标供应商不得撤回、修改投标文件。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6.4、备选投标方案</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投标人不得提交备选投标方案，否则，投标文件将被判定为无效标。（与“电子加密投标文件”同时生成的“备份投标文件”不是投标备选（替代）方案）</w:t>
      </w:r>
    </w:p>
    <w:p>
      <w:pPr>
        <w:numPr>
          <w:ilvl w:val="0"/>
          <w:numId w:val="11"/>
        </w:numPr>
        <w:spacing w:line="460" w:lineRule="exact"/>
        <w:ind w:firstLine="482" w:firstLineChars="200"/>
        <w:rPr>
          <w:rFonts w:hint="eastAsia" w:ascii="仿宋" w:hAnsi="仿宋" w:eastAsia="仿宋" w:cs="仿宋"/>
          <w:b/>
          <w:bCs/>
          <w:szCs w:val="24"/>
        </w:rPr>
      </w:pPr>
      <w:r>
        <w:rPr>
          <w:rFonts w:hint="eastAsia" w:ascii="仿宋" w:hAnsi="仿宋" w:eastAsia="仿宋" w:cs="仿宋"/>
          <w:b/>
          <w:bCs/>
          <w:szCs w:val="24"/>
        </w:rPr>
        <w:t>备份投标文件</w:t>
      </w:r>
    </w:p>
    <w:p>
      <w:pPr>
        <w:spacing w:line="460" w:lineRule="exact"/>
        <w:ind w:firstLine="480" w:firstLineChars="200"/>
        <w:rPr>
          <w:rFonts w:hint="eastAsia" w:ascii="仿宋" w:hAnsi="仿宋" w:eastAsia="仿宋" w:cs="仿宋"/>
          <w:snapToGrid w:val="0"/>
          <w:szCs w:val="24"/>
        </w:rPr>
      </w:pPr>
      <w:r>
        <w:rPr>
          <w:rFonts w:hint="eastAsia" w:ascii="仿宋" w:hAnsi="仿宋" w:eastAsia="仿宋" w:cs="仿宋"/>
          <w:szCs w:val="24"/>
        </w:rPr>
        <w:t>7.1</w:t>
      </w:r>
      <w:r>
        <w:rPr>
          <w:rFonts w:hint="eastAsia" w:ascii="仿宋" w:hAnsi="仿宋" w:eastAsia="仿宋" w:cs="仿宋"/>
          <w:snapToGrid w:val="0"/>
          <w:szCs w:val="24"/>
        </w:rPr>
        <w:t>投标人在电子交易平台传输递交投标文件后，还可以在投标截止时间前直接提交或者以邮政快递方式递交备份投标文件1份</w:t>
      </w:r>
      <w:r>
        <w:rPr>
          <w:rFonts w:hint="eastAsia" w:ascii="仿宋" w:hAnsi="仿宋" w:eastAsia="仿宋" w:cs="仿宋"/>
          <w:b/>
          <w:bCs/>
          <w:snapToGrid w:val="0"/>
          <w:szCs w:val="24"/>
        </w:rPr>
        <w:t>，</w:t>
      </w:r>
      <w:r>
        <w:rPr>
          <w:rFonts w:hint="eastAsia" w:ascii="仿宋" w:hAnsi="仿宋" w:eastAsia="仿宋" w:cs="仿宋"/>
          <w:snapToGrid w:val="0"/>
          <w:szCs w:val="24"/>
        </w:rPr>
        <w:t>但采购人、采购机构不强制或变相强制投标人提交备份投标文件。</w:t>
      </w:r>
    </w:p>
    <w:p>
      <w:pPr>
        <w:spacing w:line="460" w:lineRule="exact"/>
        <w:ind w:firstLine="480" w:firstLineChars="200"/>
        <w:rPr>
          <w:rFonts w:hint="eastAsia" w:ascii="仿宋" w:hAnsi="仿宋" w:eastAsia="仿宋" w:cs="仿宋"/>
          <w:b/>
          <w:snapToGrid w:val="0"/>
          <w:szCs w:val="24"/>
        </w:rPr>
      </w:pPr>
      <w:r>
        <w:rPr>
          <w:rFonts w:hint="eastAsia" w:ascii="仿宋" w:hAnsi="仿宋" w:eastAsia="仿宋" w:cs="仿宋"/>
          <w:snapToGrid w:val="0"/>
          <w:szCs w:val="24"/>
        </w:rPr>
        <w:t>7.2备份投标文件须在“乐采云投标客户端”制作生成，并储存在U盘中。</w:t>
      </w:r>
      <w:r>
        <w:rPr>
          <w:rFonts w:hint="eastAsia" w:ascii="仿宋" w:hAnsi="仿宋" w:eastAsia="仿宋" w:cs="仿宋"/>
          <w:b/>
          <w:bCs/>
          <w:snapToGrid w:val="0"/>
          <w:szCs w:val="24"/>
        </w:rPr>
        <w:t>备份投标文件应当密封包装并在包装上加盖公章并注明投标项目名称，投标人名称</w:t>
      </w:r>
      <w:r>
        <w:rPr>
          <w:rFonts w:hint="eastAsia" w:ascii="仿宋" w:hAnsi="仿宋" w:eastAsia="仿宋" w:cs="仿宋"/>
          <w:snapToGrid w:val="0"/>
          <w:szCs w:val="24"/>
        </w:rPr>
        <w:t>(联合体投标的，包装物封面需注明联合体投标，并注明联合体成员各方的名称和联合协议中约定的牵头人的名称)。</w:t>
      </w:r>
      <w:r>
        <w:rPr>
          <w:rFonts w:hint="eastAsia" w:ascii="仿宋" w:hAnsi="仿宋" w:eastAsia="仿宋" w:cs="仿宋"/>
          <w:b/>
          <w:snapToGrid w:val="0"/>
          <w:szCs w:val="24"/>
        </w:rPr>
        <w:t>不符合上述制作、存储、密封规定的备份投标文件将被视为无效或者被拒绝接收。</w:t>
      </w:r>
    </w:p>
    <w:p>
      <w:pPr>
        <w:spacing w:line="46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7.3直接提交备份投标文件的，投标人应于投标截止时间前在采购公告中载明的开标地点将备份投标文件提交给采购机构，采购机构将拒绝接受逾期送达的备份投标文件。</w:t>
      </w:r>
    </w:p>
    <w:p>
      <w:pPr>
        <w:spacing w:line="46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7.4以邮政快递方式递交备份投标文件的，投标人应先将备份投标文件按要求密封和标记，再进行邮政快递包装后邮寄。</w:t>
      </w:r>
    </w:p>
    <w:p>
      <w:pPr>
        <w:spacing w:line="460" w:lineRule="exact"/>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7.5备份投标文件须在投标截止时间之前送达</w:t>
      </w:r>
      <w:r>
        <w:rPr>
          <w:rFonts w:hint="eastAsia" w:ascii="仿宋" w:hAnsi="仿宋" w:eastAsia="仿宋" w:cs="仿宋"/>
          <w:szCs w:val="24"/>
        </w:rPr>
        <w:t>采购文件第二部分投标人须知前附表规定的备份投标文件送达地点；</w:t>
      </w:r>
      <w:r>
        <w:rPr>
          <w:rFonts w:hint="eastAsia" w:ascii="仿宋" w:hAnsi="仿宋" w:eastAsia="仿宋" w:cs="仿宋"/>
          <w:snapToGrid w:val="0"/>
          <w:szCs w:val="24"/>
        </w:rPr>
        <w:t>送达时间以签收人签收时间为准。采购机构将拒绝接受逾期送达的备份投标文件。邮寄过程中，电子备份投标文件发生泄露、遗失、损坏或延期送达等情况的，由投标人自行负责。</w:t>
      </w:r>
    </w:p>
    <w:p>
      <w:pPr>
        <w:spacing w:line="460" w:lineRule="exact"/>
        <w:ind w:firstLine="482" w:firstLineChars="200"/>
        <w:rPr>
          <w:rFonts w:hint="eastAsia" w:ascii="仿宋" w:hAnsi="仿宋" w:eastAsia="仿宋" w:cs="仿宋"/>
          <w:b/>
          <w:snapToGrid w:val="0"/>
          <w:szCs w:val="24"/>
        </w:rPr>
      </w:pPr>
      <w:r>
        <w:rPr>
          <w:rFonts w:hint="eastAsia" w:ascii="仿宋" w:hAnsi="仿宋" w:eastAsia="仿宋" w:cs="仿宋"/>
          <w:b/>
          <w:snapToGrid w:val="0"/>
          <w:szCs w:val="24"/>
        </w:rPr>
        <w:t>7.6投标人仅提交备份投标文件，没有在电子交易平台传输递交投标文件的，投标无效。</w:t>
      </w:r>
    </w:p>
    <w:p>
      <w:pPr>
        <w:snapToGrid w:val="0"/>
        <w:spacing w:line="460" w:lineRule="exact"/>
        <w:ind w:firstLine="482" w:firstLineChars="200"/>
        <w:jc w:val="left"/>
        <w:outlineLvl w:val="2"/>
        <w:rPr>
          <w:rFonts w:hint="eastAsia" w:ascii="仿宋" w:hAnsi="仿宋" w:eastAsia="仿宋" w:cs="仿宋"/>
          <w:b/>
          <w:szCs w:val="24"/>
        </w:rPr>
      </w:pPr>
      <w:r>
        <w:rPr>
          <w:rFonts w:hint="eastAsia" w:ascii="仿宋" w:hAnsi="仿宋" w:eastAsia="仿宋" w:cs="仿宋"/>
          <w:b/>
          <w:snapToGrid w:val="0"/>
          <w:szCs w:val="24"/>
        </w:rPr>
        <w:t>8.</w:t>
      </w:r>
      <w:r>
        <w:rPr>
          <w:rFonts w:hint="eastAsia" w:ascii="仿宋" w:hAnsi="仿宋" w:eastAsia="仿宋" w:cs="仿宋"/>
          <w:b/>
          <w:szCs w:val="24"/>
        </w:rPr>
        <w:t>投标有效期</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8.1投标有效期为从提交投标文件的截止之日起90天。★投标人的投标文件中承诺的投标有效期少于采购文件中载明的投标有效期的，投标无效。</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8.2投标文件合格投递后，自投标截止日期起，在投标有效期内有效。</w:t>
      </w:r>
    </w:p>
    <w:p>
      <w:pPr>
        <w:spacing w:line="460" w:lineRule="exact"/>
        <w:ind w:firstLine="420"/>
        <w:rPr>
          <w:rFonts w:hint="eastAsia" w:ascii="仿宋" w:hAnsi="仿宋" w:eastAsia="仿宋" w:cs="仿宋"/>
          <w:kern w:val="0"/>
          <w:szCs w:val="24"/>
        </w:rPr>
      </w:pPr>
      <w:r>
        <w:rPr>
          <w:rFonts w:hint="eastAsia" w:ascii="仿宋" w:hAnsi="仿宋" w:eastAsia="仿宋" w:cs="仿宋"/>
          <w:kern w:val="0"/>
          <w:szCs w:val="24"/>
        </w:rPr>
        <w:t>8.3在原定投标有效期满之前，如果出现特殊情况，采购机构可以以书面形式通知投标人延长投标有效期。投标人同意延长的，不得要求或被允许修改其投标文件，投标人拒绝延长的，其投标无效。</w:t>
      </w:r>
    </w:p>
    <w:p>
      <w:pPr>
        <w:spacing w:line="460" w:lineRule="exact"/>
        <w:ind w:firstLine="420"/>
        <w:rPr>
          <w:rFonts w:hint="eastAsia" w:ascii="仿宋" w:hAnsi="仿宋" w:eastAsia="仿宋" w:cs="仿宋"/>
          <w:szCs w:val="24"/>
        </w:rPr>
      </w:pPr>
      <w:r>
        <w:rPr>
          <w:rFonts w:hint="eastAsia" w:ascii="仿宋" w:hAnsi="仿宋" w:eastAsia="仿宋" w:cs="仿宋"/>
          <w:kern w:val="0"/>
          <w:szCs w:val="24"/>
        </w:rPr>
        <w:t xml:space="preserve"> 8.4</w:t>
      </w:r>
      <w:r>
        <w:rPr>
          <w:rFonts w:hint="eastAsia" w:ascii="仿宋" w:hAnsi="仿宋" w:eastAsia="仿宋" w:cs="仿宋"/>
          <w:snapToGrid w:val="0"/>
          <w:kern w:val="0"/>
          <w:szCs w:val="24"/>
        </w:rPr>
        <w:t>中标人的投标文件自开标之日起至合同履行完毕止均应保持有效。</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9、投标报价</w:t>
      </w:r>
    </w:p>
    <w:p>
      <w:pPr>
        <w:spacing w:line="460" w:lineRule="exact"/>
        <w:ind w:firstLine="420"/>
        <w:rPr>
          <w:rFonts w:hint="eastAsia" w:ascii="仿宋" w:hAnsi="仿宋" w:eastAsia="仿宋" w:cs="仿宋"/>
          <w:b/>
          <w:szCs w:val="24"/>
          <w:u w:val="thick"/>
        </w:rPr>
      </w:pPr>
      <w:r>
        <w:rPr>
          <w:rFonts w:hint="eastAsia" w:ascii="仿宋" w:hAnsi="仿宋" w:eastAsia="仿宋" w:cs="仿宋"/>
          <w:szCs w:val="24"/>
        </w:rPr>
        <w:t>9.1 ★</w:t>
      </w:r>
      <w:r>
        <w:rPr>
          <w:rFonts w:hint="eastAsia" w:ascii="仿宋" w:hAnsi="仿宋" w:eastAsia="仿宋" w:cs="仿宋"/>
          <w:b/>
          <w:szCs w:val="24"/>
          <w:u w:val="thick"/>
        </w:rPr>
        <w:t>本次投标报价为人民币报价，超过最高投标限价的作无效标处理。</w:t>
      </w:r>
    </w:p>
    <w:p>
      <w:pPr>
        <w:spacing w:line="460" w:lineRule="exact"/>
        <w:ind w:firstLine="420"/>
        <w:rPr>
          <w:rFonts w:hint="eastAsia" w:ascii="仿宋" w:hAnsi="仿宋" w:eastAsia="仿宋" w:cs="仿宋"/>
          <w:szCs w:val="24"/>
        </w:rPr>
      </w:pPr>
      <w:r>
        <w:rPr>
          <w:rFonts w:hint="eastAsia" w:ascii="仿宋" w:hAnsi="仿宋" w:eastAsia="仿宋" w:cs="仿宋"/>
          <w:szCs w:val="24"/>
        </w:rPr>
        <w:t>9.2费用须包含产品价、运杂费、保险费、利润、关税（若有）、税金等。投标人根据采购文件的要求，将服务所需的全部费用及招标代理服务费均包含在总价之中。投标人的报价应按采购文件要求的格式、顺序编制。</w:t>
      </w:r>
    </w:p>
    <w:p>
      <w:pPr>
        <w:spacing w:line="460" w:lineRule="exact"/>
        <w:ind w:firstLine="420"/>
        <w:rPr>
          <w:rFonts w:hint="eastAsia" w:ascii="仿宋" w:hAnsi="仿宋" w:eastAsia="仿宋" w:cs="仿宋"/>
          <w:szCs w:val="24"/>
        </w:rPr>
      </w:pPr>
      <w:r>
        <w:rPr>
          <w:rFonts w:hint="eastAsia" w:ascii="仿宋" w:hAnsi="仿宋" w:eastAsia="仿宋" w:cs="仿宋"/>
          <w:bCs/>
          <w:szCs w:val="24"/>
        </w:rPr>
        <w:t xml:space="preserve">9.3 </w:t>
      </w:r>
      <w:r>
        <w:rPr>
          <w:rFonts w:hint="eastAsia" w:ascii="仿宋" w:hAnsi="仿宋" w:eastAsia="仿宋" w:cs="仿宋"/>
          <w:szCs w:val="24"/>
        </w:rPr>
        <w:t>投标报价应按不同费用类别分开填写，具体详见“投标文件格式”。</w:t>
      </w:r>
    </w:p>
    <w:p>
      <w:pPr>
        <w:spacing w:line="460" w:lineRule="exact"/>
        <w:ind w:firstLine="420"/>
        <w:rPr>
          <w:rFonts w:hint="eastAsia" w:ascii="仿宋" w:hAnsi="仿宋" w:eastAsia="仿宋" w:cs="仿宋"/>
          <w:b/>
          <w:szCs w:val="24"/>
          <w:u w:val="thick"/>
        </w:rPr>
      </w:pPr>
      <w:r>
        <w:rPr>
          <w:rFonts w:hint="eastAsia" w:ascii="仿宋" w:hAnsi="仿宋" w:eastAsia="仿宋" w:cs="仿宋"/>
          <w:szCs w:val="24"/>
        </w:rPr>
        <w:t>9.4 ★</w:t>
      </w:r>
      <w:r>
        <w:rPr>
          <w:rFonts w:hint="eastAsia" w:ascii="仿宋" w:hAnsi="仿宋" w:eastAsia="仿宋" w:cs="仿宋"/>
          <w:b/>
          <w:szCs w:val="24"/>
          <w:u w:val="thick"/>
        </w:rPr>
        <w:t>所投标项只允许有一个报价，不接受有选择报价的投标文件。</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10、投标文件的式样</w:t>
      </w:r>
    </w:p>
    <w:p>
      <w:pPr>
        <w:spacing w:line="460" w:lineRule="exact"/>
        <w:ind w:firstLine="420"/>
        <w:rPr>
          <w:rFonts w:hint="eastAsia" w:ascii="仿宋" w:hAnsi="仿宋" w:eastAsia="仿宋" w:cs="仿宋"/>
          <w:szCs w:val="24"/>
        </w:rPr>
      </w:pPr>
      <w:r>
        <w:rPr>
          <w:rFonts w:hint="eastAsia" w:ascii="仿宋" w:hAnsi="仿宋" w:eastAsia="仿宋" w:cs="仿宋"/>
          <w:szCs w:val="24"/>
        </w:rPr>
        <w:t>10.1 投标人通过“乐采云”平台制作电子投标文件，投标文件制作详见“供应商-采购项目电子交易操作指南”。</w:t>
      </w:r>
    </w:p>
    <w:p>
      <w:pPr>
        <w:spacing w:line="460" w:lineRule="exact"/>
        <w:ind w:firstLine="420"/>
        <w:rPr>
          <w:rFonts w:hint="eastAsia" w:ascii="仿宋" w:hAnsi="仿宋" w:eastAsia="仿宋" w:cs="仿宋"/>
          <w:szCs w:val="24"/>
        </w:rPr>
      </w:pPr>
      <w:r>
        <w:rPr>
          <w:rFonts w:hint="eastAsia" w:ascii="仿宋" w:hAnsi="仿宋" w:eastAsia="仿宋" w:cs="仿宋"/>
          <w:szCs w:val="24"/>
        </w:rPr>
        <w:t>10.2 投标文件是电子投标文件，包括“电子加密投标文件”和“备份投标文件”，在投标文件编制完成后同时生成。</w:t>
      </w:r>
    </w:p>
    <w:p>
      <w:pPr>
        <w:spacing w:line="460" w:lineRule="exact"/>
        <w:ind w:firstLine="420"/>
        <w:rPr>
          <w:rFonts w:hint="eastAsia" w:ascii="仿宋" w:hAnsi="仿宋" w:eastAsia="仿宋" w:cs="仿宋"/>
          <w:szCs w:val="24"/>
        </w:rPr>
      </w:pPr>
      <w:r>
        <w:rPr>
          <w:rFonts w:hint="eastAsia" w:ascii="仿宋" w:hAnsi="仿宋" w:eastAsia="仿宋" w:cs="仿宋"/>
          <w:szCs w:val="24"/>
        </w:rPr>
        <w:t>10.2.1“电子加密投标文件”是指通过“乐采云电子交易客户端”完成投标文件编制后生成并加密的数据电文形式的投标文件。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10.2.2“备份投标文件”是指与“电子加密投标文件”同时生成的数据电文形式的电子文件（备份标书，用于供应商标书解密异常时应急使用），其他方式编制的备份投标文件视为无效备份投标文件。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Fonts w:hint="eastAsia" w:ascii="仿宋" w:hAnsi="仿宋" w:eastAsia="仿宋" w:cs="仿宋"/>
          <w:szCs w:val="24"/>
        </w:rPr>
      </w:pPr>
      <w:r>
        <w:rPr>
          <w:rFonts w:hint="eastAsia" w:ascii="仿宋" w:hAnsi="仿宋" w:eastAsia="仿宋" w:cs="仿宋"/>
          <w:szCs w:val="24"/>
        </w:rPr>
        <w:t>10.2.3一份电子加密标书（后缀格式为.jmbs），一份备份标书文件（后缀格式为.bfbs）</w:t>
      </w:r>
    </w:p>
    <w:p>
      <w:pPr>
        <w:spacing w:line="460" w:lineRule="exact"/>
        <w:ind w:firstLine="420"/>
        <w:rPr>
          <w:rFonts w:hint="eastAsia" w:ascii="仿宋" w:hAnsi="仿宋" w:eastAsia="仿宋" w:cs="仿宋"/>
          <w:szCs w:val="24"/>
        </w:rPr>
      </w:pPr>
      <w:r>
        <w:rPr>
          <w:rFonts w:hint="eastAsia" w:ascii="仿宋" w:hAnsi="仿宋" w:eastAsia="仿宋" w:cs="仿宋"/>
          <w:szCs w:val="24"/>
        </w:rPr>
        <w:t>10.2.4每份电子投标文件应包括资格证明文件、资信技术文件、报价文件三部分内容。</w:t>
      </w:r>
    </w:p>
    <w:p>
      <w:pPr>
        <w:spacing w:line="460" w:lineRule="exact"/>
        <w:ind w:firstLine="420"/>
        <w:rPr>
          <w:rFonts w:hint="eastAsia" w:ascii="仿宋" w:hAnsi="仿宋" w:eastAsia="仿宋" w:cs="仿宋"/>
          <w:szCs w:val="24"/>
        </w:rPr>
      </w:pPr>
      <w:r>
        <w:rPr>
          <w:rFonts w:hint="eastAsia" w:ascii="仿宋" w:hAnsi="仿宋" w:eastAsia="仿宋" w:cs="仿宋"/>
          <w:szCs w:val="24"/>
        </w:rPr>
        <w:t>10.3 投标文件中投标函、</w:t>
      </w:r>
      <w:r>
        <w:rPr>
          <w:rFonts w:hint="eastAsia" w:ascii="仿宋" w:hAnsi="仿宋" w:eastAsia="仿宋" w:cs="仿宋"/>
          <w:szCs w:val="24"/>
          <w:lang w:val="zh-CN"/>
        </w:rPr>
        <w:t>法定代表人授权委托书</w:t>
      </w:r>
      <w:r>
        <w:rPr>
          <w:rFonts w:hint="eastAsia" w:ascii="仿宋" w:hAnsi="仿宋" w:eastAsia="仿宋" w:cs="仿宋"/>
          <w:szCs w:val="24"/>
        </w:rPr>
        <w:t>的格式、签字、盖章及内容均应符合采购文件格式要求，否则投标文件无效。</w:t>
      </w:r>
    </w:p>
    <w:p>
      <w:pPr>
        <w:spacing w:line="460" w:lineRule="exact"/>
        <w:ind w:firstLine="420"/>
        <w:rPr>
          <w:rFonts w:hint="eastAsia" w:ascii="仿宋" w:hAnsi="仿宋" w:eastAsia="仿宋" w:cs="仿宋"/>
          <w:szCs w:val="24"/>
        </w:rPr>
      </w:pPr>
      <w:r>
        <w:rPr>
          <w:rFonts w:hint="eastAsia" w:ascii="仿宋" w:hAnsi="仿宋" w:eastAsia="仿宋" w:cs="仿宋"/>
          <w:szCs w:val="24"/>
        </w:rPr>
        <w:t>10.4投标人应根据“乐采云供应商项目采购-电子招投标操作指南”及本采购文件规定编制电子投标文件并进行关联定位，以便评标委员会在评标时，点击评分项，可直接定位到该评分项内容。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Fonts w:hint="eastAsia" w:ascii="仿宋" w:hAnsi="仿宋" w:eastAsia="仿宋" w:cs="仿宋"/>
          <w:szCs w:val="24"/>
        </w:rPr>
      </w:pPr>
      <w:r>
        <w:rPr>
          <w:rFonts w:hint="eastAsia" w:ascii="仿宋" w:hAnsi="仿宋" w:eastAsia="仿宋" w:cs="仿宋"/>
          <w:szCs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77"/>
    <w:bookmarkEnd w:id="78"/>
    <w:p>
      <w:pPr>
        <w:pStyle w:val="3"/>
        <w:spacing w:line="460" w:lineRule="exact"/>
        <w:ind w:firstLine="420"/>
        <w:jc w:val="center"/>
        <w:rPr>
          <w:rFonts w:hint="eastAsia" w:ascii="仿宋" w:hAnsi="仿宋" w:eastAsia="仿宋" w:cs="仿宋"/>
          <w:szCs w:val="32"/>
        </w:rPr>
      </w:pPr>
      <w:bookmarkStart w:id="79" w:name="_Toc82338243"/>
      <w:bookmarkStart w:id="80" w:name="_Toc450482500"/>
      <w:bookmarkStart w:id="81" w:name="_Toc35261575"/>
      <w:bookmarkStart w:id="82" w:name="_Toc54978894"/>
      <w:bookmarkStart w:id="83" w:name="_Toc82873326"/>
      <w:r>
        <w:rPr>
          <w:rFonts w:hint="eastAsia" w:ascii="仿宋" w:hAnsi="仿宋" w:eastAsia="仿宋" w:cs="仿宋"/>
          <w:szCs w:val="32"/>
        </w:rPr>
        <w:t>五、开标、资格审查与信用信息查询</w:t>
      </w:r>
      <w:bookmarkEnd w:id="79"/>
      <w:bookmarkEnd w:id="80"/>
      <w:bookmarkEnd w:id="81"/>
      <w:bookmarkEnd w:id="82"/>
      <w:bookmarkEnd w:id="83"/>
    </w:p>
    <w:p>
      <w:pPr>
        <w:spacing w:line="460" w:lineRule="exact"/>
        <w:ind w:firstLine="420"/>
        <w:rPr>
          <w:rFonts w:hint="eastAsia" w:ascii="仿宋" w:hAnsi="仿宋" w:eastAsia="仿宋" w:cs="仿宋"/>
          <w:szCs w:val="24"/>
        </w:rPr>
      </w:pPr>
      <w:r>
        <w:rPr>
          <w:rFonts w:hint="eastAsia" w:ascii="仿宋" w:hAnsi="仿宋" w:eastAsia="仿宋" w:cs="仿宋"/>
          <w:szCs w:val="24"/>
        </w:rPr>
        <w:t>5.1．开标</w:t>
      </w:r>
    </w:p>
    <w:p>
      <w:pPr>
        <w:spacing w:line="460" w:lineRule="exact"/>
        <w:ind w:firstLine="420"/>
        <w:rPr>
          <w:rFonts w:hint="eastAsia" w:ascii="仿宋" w:hAnsi="仿宋" w:eastAsia="仿宋" w:cs="仿宋"/>
          <w:kern w:val="0"/>
          <w:szCs w:val="24"/>
        </w:rPr>
      </w:pPr>
      <w:r>
        <w:rPr>
          <w:rFonts w:hint="eastAsia" w:ascii="仿宋" w:hAnsi="仿宋" w:eastAsia="仿宋" w:cs="仿宋"/>
          <w:szCs w:val="24"/>
        </w:rPr>
        <w:t xml:space="preserve">5.1.1 </w:t>
      </w:r>
      <w:r>
        <w:rPr>
          <w:rFonts w:hint="eastAsia" w:ascii="仿宋" w:hAnsi="仿宋" w:eastAsia="仿宋" w:cs="仿宋"/>
          <w:kern w:val="0"/>
          <w:szCs w:val="24"/>
        </w:rPr>
        <w:t>采购机构按照采购文件规定的时间通过电子交易平台组织开标，所有投标人均应当准时在线参加。投标人不足3家的，不得开标。</w:t>
      </w:r>
    </w:p>
    <w:p>
      <w:pPr>
        <w:autoSpaceDE w:val="0"/>
        <w:autoSpaceDN w:val="0"/>
        <w:spacing w:line="460" w:lineRule="exact"/>
        <w:ind w:firstLine="480" w:firstLineChars="200"/>
        <w:contextualSpacing/>
        <w:rPr>
          <w:rFonts w:hint="eastAsia" w:ascii="仿宋" w:hAnsi="仿宋" w:eastAsia="仿宋" w:cs="仿宋"/>
          <w:kern w:val="0"/>
          <w:szCs w:val="24"/>
        </w:rPr>
      </w:pPr>
      <w:r>
        <w:rPr>
          <w:rFonts w:hint="eastAsia" w:ascii="仿宋" w:hAnsi="仿宋" w:eastAsia="仿宋" w:cs="仿宋"/>
          <w:szCs w:val="24"/>
        </w:rPr>
        <w:t>5.1.2</w:t>
      </w:r>
      <w:r>
        <w:rPr>
          <w:rFonts w:hint="eastAsia" w:ascii="仿宋" w:hAnsi="仿宋" w:eastAsia="仿宋" w:cs="仿宋"/>
          <w:kern w:val="0"/>
          <w:szCs w:val="24"/>
        </w:rPr>
        <w:t>开标时，电子交易平台按开标时间自动提取所有投标文件。采购机构依托电子交易平台发起开始解密指令，投标人按照平台提示和采购文件的规定在半小时内完成在线解密。</w:t>
      </w:r>
    </w:p>
    <w:p>
      <w:pPr>
        <w:autoSpaceDE w:val="0"/>
        <w:autoSpaceDN w:val="0"/>
        <w:spacing w:line="460" w:lineRule="exact"/>
        <w:ind w:firstLine="482" w:firstLineChars="200"/>
        <w:contextualSpacing/>
        <w:rPr>
          <w:rFonts w:hint="eastAsia" w:ascii="仿宋" w:hAnsi="仿宋" w:eastAsia="仿宋" w:cs="仿宋"/>
          <w:b/>
          <w:bCs/>
          <w:kern w:val="0"/>
          <w:szCs w:val="24"/>
        </w:rPr>
      </w:pPr>
      <w:r>
        <w:rPr>
          <w:rFonts w:hint="eastAsia" w:ascii="仿宋" w:hAnsi="仿宋" w:eastAsia="仿宋" w:cs="仿宋"/>
          <w:b/>
          <w:bCs/>
          <w:kern w:val="0"/>
          <w:szCs w:val="24"/>
        </w:rPr>
        <w:t>5.1.3投标文件未按时解密，投标人提供了备份投标文件的，以备份投标文件作为依据，否则视为投标文件撤回。投标文件已按时解密的，备份投标文件自动失效。</w:t>
      </w:r>
    </w:p>
    <w:p>
      <w:pPr>
        <w:snapToGrid w:val="0"/>
        <w:spacing w:line="460" w:lineRule="exact"/>
        <w:ind w:firstLine="480" w:firstLineChars="200"/>
        <w:jc w:val="left"/>
        <w:outlineLvl w:val="2"/>
        <w:rPr>
          <w:rFonts w:hint="eastAsia" w:ascii="仿宋" w:hAnsi="仿宋" w:eastAsia="仿宋" w:cs="仿宋"/>
          <w:szCs w:val="24"/>
        </w:rPr>
      </w:pPr>
      <w:r>
        <w:rPr>
          <w:rFonts w:hint="eastAsia" w:ascii="仿宋" w:hAnsi="仿宋" w:eastAsia="仿宋" w:cs="仿宋"/>
          <w:szCs w:val="24"/>
        </w:rPr>
        <w:t>5.1.4开评标期间，投标人代表应在线操作，并关注乐采云有关信息公布、澄清等情况。投标人代表不参加开标程序的，事后不得对采购相关人员、开标过程和开标结果提出异议。</w:t>
      </w:r>
    </w:p>
    <w:p>
      <w:pPr>
        <w:snapToGrid w:val="0"/>
        <w:spacing w:line="460" w:lineRule="exact"/>
        <w:ind w:firstLine="241" w:firstLineChars="100"/>
        <w:jc w:val="left"/>
        <w:outlineLvl w:val="2"/>
        <w:rPr>
          <w:rFonts w:hint="eastAsia" w:ascii="仿宋" w:hAnsi="仿宋" w:eastAsia="仿宋" w:cs="仿宋"/>
          <w:b/>
          <w:bCs/>
          <w:szCs w:val="24"/>
        </w:rPr>
      </w:pPr>
      <w:r>
        <w:rPr>
          <w:rFonts w:hint="eastAsia" w:ascii="仿宋" w:hAnsi="仿宋" w:eastAsia="仿宋" w:cs="仿宋"/>
          <w:b/>
          <w:bCs/>
          <w:szCs w:val="24"/>
        </w:rPr>
        <w:t>5.2资格审查</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5.2.1开标后，采购人或采购机构将依法对投标人的资格进行审查。</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kern w:val="0"/>
          <w:szCs w:val="24"/>
        </w:rPr>
        <w:t>5.2.2</w:t>
      </w:r>
      <w:r>
        <w:rPr>
          <w:rFonts w:hint="eastAsia" w:ascii="仿宋" w:hAnsi="仿宋" w:eastAsia="仿宋" w:cs="仿宋"/>
          <w:szCs w:val="24"/>
        </w:rPr>
        <w:t>采购人或采购机构依据法律法规和采购文件的规定，对投标人的资格进行审查。</w:t>
      </w:r>
    </w:p>
    <w:p>
      <w:pPr>
        <w:pStyle w:val="289"/>
        <w:spacing w:before="0" w:line="460" w:lineRule="exact"/>
        <w:ind w:firstLine="480"/>
        <w:rPr>
          <w:rFonts w:hint="eastAsia" w:ascii="仿宋" w:hAnsi="仿宋" w:eastAsia="仿宋" w:cs="仿宋"/>
          <w:szCs w:val="24"/>
        </w:rPr>
      </w:pPr>
      <w:r>
        <w:rPr>
          <w:rFonts w:hint="eastAsia" w:ascii="仿宋" w:hAnsi="仿宋" w:eastAsia="仿宋" w:cs="仿宋"/>
          <w:kern w:val="0"/>
          <w:szCs w:val="24"/>
        </w:rPr>
        <w:t>5.2.3投标人未按照采购文件要求提供与</w:t>
      </w:r>
      <w:r>
        <w:rPr>
          <w:rFonts w:hint="eastAsia" w:ascii="仿宋" w:hAnsi="仿宋" w:eastAsia="仿宋" w:cs="仿宋"/>
          <w:szCs w:val="24"/>
        </w:rPr>
        <w:t>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投标人不具备采购文件中规定的资格要求，其投标无效。</w:t>
      </w:r>
    </w:p>
    <w:p>
      <w:pPr>
        <w:spacing w:line="460" w:lineRule="exact"/>
        <w:ind w:firstLine="480" w:firstLineChars="200"/>
        <w:rPr>
          <w:rFonts w:hint="eastAsia" w:ascii="仿宋" w:hAnsi="仿宋" w:eastAsia="仿宋" w:cs="仿宋"/>
          <w:szCs w:val="24"/>
        </w:rPr>
      </w:pPr>
      <w:r>
        <w:rPr>
          <w:rFonts w:hint="eastAsia" w:ascii="仿宋" w:hAnsi="仿宋" w:eastAsia="仿宋" w:cs="仿宋"/>
          <w:kern w:val="0"/>
          <w:szCs w:val="24"/>
        </w:rPr>
        <w:t>5.2.</w:t>
      </w:r>
      <w:r>
        <w:rPr>
          <w:rFonts w:hint="eastAsia" w:ascii="仿宋" w:hAnsi="仿宋" w:eastAsia="仿宋" w:cs="仿宋"/>
          <w:szCs w:val="24"/>
        </w:rPr>
        <w:t>4对未通过资格审查的投标人，采购人或采购机构告知其未通过的原因。</w:t>
      </w:r>
    </w:p>
    <w:p>
      <w:pPr>
        <w:spacing w:line="460" w:lineRule="exact"/>
        <w:ind w:firstLine="480" w:firstLineChars="200"/>
        <w:rPr>
          <w:rFonts w:hint="eastAsia" w:ascii="仿宋" w:hAnsi="仿宋" w:eastAsia="仿宋" w:cs="仿宋"/>
          <w:szCs w:val="24"/>
        </w:rPr>
      </w:pPr>
      <w:r>
        <w:rPr>
          <w:rFonts w:hint="eastAsia" w:ascii="仿宋" w:hAnsi="仿宋" w:eastAsia="仿宋" w:cs="仿宋"/>
          <w:kern w:val="0"/>
          <w:szCs w:val="24"/>
        </w:rPr>
        <w:t>5.2..</w:t>
      </w:r>
      <w:r>
        <w:rPr>
          <w:rFonts w:hint="eastAsia" w:ascii="仿宋" w:hAnsi="仿宋" w:eastAsia="仿宋" w:cs="仿宋"/>
          <w:szCs w:val="24"/>
        </w:rPr>
        <w:t>5合格投标人不足3家的，不再评标。</w:t>
      </w:r>
    </w:p>
    <w:p>
      <w:pPr>
        <w:pStyle w:val="289"/>
        <w:spacing w:before="0" w:line="460" w:lineRule="exact"/>
        <w:ind w:firstLine="480"/>
        <w:rPr>
          <w:rFonts w:hint="eastAsia" w:ascii="仿宋" w:hAnsi="仿宋" w:eastAsia="仿宋" w:cs="仿宋"/>
          <w:b/>
          <w:bCs/>
          <w:kern w:val="0"/>
          <w:szCs w:val="24"/>
        </w:rPr>
      </w:pPr>
      <w:r>
        <w:rPr>
          <w:rFonts w:hint="eastAsia" w:ascii="仿宋" w:hAnsi="仿宋" w:eastAsia="仿宋" w:cs="仿宋"/>
          <w:b/>
          <w:bCs/>
          <w:szCs w:val="24"/>
        </w:rPr>
        <w:t>5.3</w:t>
      </w:r>
      <w:r>
        <w:rPr>
          <w:rFonts w:hint="eastAsia" w:ascii="仿宋" w:hAnsi="仿宋" w:eastAsia="仿宋" w:cs="仿宋"/>
          <w:b/>
          <w:bCs/>
          <w:kern w:val="0"/>
          <w:szCs w:val="24"/>
        </w:rPr>
        <w:t>信用信息查询</w:t>
      </w:r>
    </w:p>
    <w:p>
      <w:pPr>
        <w:pStyle w:val="289"/>
        <w:spacing w:before="0" w:line="460" w:lineRule="exact"/>
        <w:ind w:firstLine="480"/>
        <w:rPr>
          <w:rFonts w:hint="eastAsia" w:ascii="仿宋" w:hAnsi="仿宋" w:eastAsia="仿宋" w:cs="仿宋"/>
          <w:kern w:val="0"/>
          <w:szCs w:val="24"/>
        </w:rPr>
      </w:pPr>
      <w:r>
        <w:rPr>
          <w:rFonts w:hint="eastAsia" w:ascii="仿宋" w:hAnsi="仿宋" w:eastAsia="仿宋" w:cs="仿宋"/>
          <w:kern w:val="0"/>
          <w:szCs w:val="24"/>
        </w:rPr>
        <w:t>5.3.1信用信息查询渠道及截止时间：采购机构将在资格审查时通过“信用中国”网站(www.creditchina.gov.cn)、中国政府采购网(www.ccgp.gov.cn)渠道查询投标人接受资格时的信用记录。</w:t>
      </w:r>
    </w:p>
    <w:p>
      <w:pPr>
        <w:pStyle w:val="289"/>
        <w:spacing w:before="0" w:line="460" w:lineRule="exact"/>
        <w:ind w:firstLine="480"/>
        <w:rPr>
          <w:rFonts w:hint="eastAsia" w:ascii="仿宋" w:hAnsi="仿宋" w:eastAsia="仿宋" w:cs="仿宋"/>
          <w:kern w:val="0"/>
          <w:szCs w:val="24"/>
        </w:rPr>
      </w:pPr>
      <w:bookmarkStart w:id="84" w:name="_Hlk125840869"/>
      <w:r>
        <w:rPr>
          <w:rFonts w:hint="eastAsia" w:ascii="仿宋" w:hAnsi="仿宋" w:eastAsia="仿宋" w:cs="仿宋"/>
          <w:kern w:val="0"/>
          <w:szCs w:val="24"/>
        </w:rPr>
        <w:t>5.3.2信用信息查询记录和证据留存的具体方式：现场查询的投标人的信用记录、查询结果经确认后将与采购文件一起存档。</w:t>
      </w:r>
    </w:p>
    <w:p>
      <w:pPr>
        <w:pStyle w:val="289"/>
        <w:spacing w:before="0" w:line="460" w:lineRule="exact"/>
        <w:ind w:firstLine="480"/>
        <w:rPr>
          <w:rFonts w:hint="eastAsia" w:ascii="仿宋" w:hAnsi="仿宋" w:eastAsia="仿宋" w:cs="仿宋"/>
          <w:kern w:val="0"/>
          <w:szCs w:val="24"/>
        </w:rPr>
      </w:pPr>
      <w:r>
        <w:rPr>
          <w:rFonts w:hint="eastAsia" w:ascii="仿宋" w:hAnsi="仿宋" w:eastAsia="仿宋" w:cs="仿宋"/>
          <w:kern w:val="0"/>
          <w:szCs w:val="24"/>
        </w:rPr>
        <w:t>5.3.3信用信息的使用规则：经查询列入失信被执行人名单、重大税收违法案件当事人名单、政府采购严重违法失信行为记录名单的投标人将被拒绝参与采购活动。</w:t>
      </w:r>
    </w:p>
    <w:p>
      <w:pPr>
        <w:pStyle w:val="289"/>
        <w:spacing w:before="0" w:line="460" w:lineRule="exact"/>
        <w:ind w:firstLine="480"/>
        <w:rPr>
          <w:rFonts w:hint="eastAsia" w:ascii="仿宋" w:hAnsi="仿宋" w:eastAsia="仿宋" w:cs="仿宋"/>
          <w:szCs w:val="24"/>
          <w:lang w:val="zh-CN"/>
        </w:rPr>
      </w:pPr>
      <w:r>
        <w:rPr>
          <w:rFonts w:hint="eastAsia" w:ascii="仿宋" w:hAnsi="仿宋" w:eastAsia="仿宋" w:cs="仿宋"/>
          <w:kern w:val="0"/>
          <w:szCs w:val="24"/>
        </w:rPr>
        <w:t>5.3.4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szCs w:val="24"/>
        </w:rPr>
        <w:t>。</w:t>
      </w:r>
      <w:bookmarkEnd w:id="84"/>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6、开标程序</w:t>
      </w:r>
    </w:p>
    <w:p>
      <w:pPr>
        <w:spacing w:line="460" w:lineRule="exact"/>
        <w:ind w:firstLine="420"/>
        <w:rPr>
          <w:rFonts w:hint="eastAsia" w:ascii="仿宋" w:hAnsi="仿宋" w:eastAsia="仿宋" w:cs="仿宋"/>
          <w:szCs w:val="24"/>
        </w:rPr>
      </w:pPr>
      <w:r>
        <w:rPr>
          <w:rFonts w:hint="eastAsia" w:ascii="仿宋" w:hAnsi="仿宋" w:eastAsia="仿宋" w:cs="仿宋"/>
          <w:szCs w:val="24"/>
        </w:rPr>
        <w:t>6.1开标第一阶段</w:t>
      </w:r>
    </w:p>
    <w:p>
      <w:pPr>
        <w:spacing w:line="460" w:lineRule="exact"/>
        <w:ind w:firstLine="420"/>
        <w:rPr>
          <w:rFonts w:hint="eastAsia" w:ascii="仿宋" w:hAnsi="仿宋" w:eastAsia="仿宋" w:cs="仿宋"/>
          <w:szCs w:val="24"/>
        </w:rPr>
      </w:pPr>
      <w:r>
        <w:rPr>
          <w:rFonts w:hint="eastAsia" w:ascii="仿宋" w:hAnsi="仿宋" w:eastAsia="仿宋" w:cs="仿宋"/>
          <w:szCs w:val="24"/>
        </w:rPr>
        <w:t>6、1.1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采购云平台”操作规范将备份投标文件上传至“采购云平台”，上传成功后，“电子加密投标文件”自动失效；</w:t>
      </w:r>
    </w:p>
    <w:p>
      <w:pPr>
        <w:spacing w:line="460" w:lineRule="exact"/>
        <w:ind w:firstLine="420"/>
        <w:rPr>
          <w:rFonts w:hint="eastAsia" w:ascii="仿宋" w:hAnsi="仿宋" w:eastAsia="仿宋" w:cs="仿宋"/>
          <w:szCs w:val="24"/>
        </w:rPr>
      </w:pPr>
      <w:r>
        <w:rPr>
          <w:rFonts w:hint="eastAsia" w:ascii="仿宋" w:hAnsi="仿宋" w:eastAsia="仿宋" w:cs="仿宋"/>
          <w:szCs w:val="24"/>
        </w:rPr>
        <w:t>61.2投标文件解密结束，通过邮件形式发送各投标人组织签署《采购活动现场确认声明书》；</w:t>
      </w:r>
    </w:p>
    <w:p>
      <w:pPr>
        <w:spacing w:line="460" w:lineRule="exact"/>
        <w:ind w:firstLine="420"/>
        <w:rPr>
          <w:rFonts w:hint="eastAsia" w:ascii="仿宋" w:hAnsi="仿宋" w:eastAsia="仿宋" w:cs="仿宋"/>
          <w:szCs w:val="24"/>
        </w:rPr>
      </w:pPr>
      <w:r>
        <w:rPr>
          <w:rFonts w:hint="eastAsia" w:ascii="仿宋" w:hAnsi="仿宋" w:eastAsia="仿宋" w:cs="仿宋"/>
          <w:szCs w:val="24"/>
        </w:rPr>
        <w:t>6.1.3开启投标文件，进入资格审查；</w:t>
      </w:r>
    </w:p>
    <w:p>
      <w:pPr>
        <w:spacing w:line="460" w:lineRule="exact"/>
        <w:ind w:firstLine="420"/>
        <w:rPr>
          <w:rFonts w:hint="eastAsia" w:ascii="仿宋" w:hAnsi="仿宋" w:eastAsia="仿宋" w:cs="仿宋"/>
          <w:szCs w:val="24"/>
        </w:rPr>
      </w:pPr>
      <w:r>
        <w:rPr>
          <w:rFonts w:hint="eastAsia" w:ascii="仿宋" w:hAnsi="仿宋" w:eastAsia="仿宋" w:cs="仿宋"/>
          <w:szCs w:val="24"/>
        </w:rPr>
        <w:t>6.1.4开启资格审查通过的投标供应商的商务技术文件进入符合性审查、商务技术评审；</w:t>
      </w:r>
    </w:p>
    <w:p>
      <w:pPr>
        <w:spacing w:line="460" w:lineRule="exact"/>
        <w:ind w:firstLine="420"/>
        <w:rPr>
          <w:rFonts w:hint="eastAsia" w:ascii="仿宋" w:hAnsi="仿宋" w:eastAsia="仿宋" w:cs="仿宋"/>
          <w:szCs w:val="24"/>
        </w:rPr>
      </w:pPr>
      <w:r>
        <w:rPr>
          <w:rFonts w:hint="eastAsia" w:ascii="仿宋" w:hAnsi="仿宋" w:eastAsia="仿宋" w:cs="仿宋"/>
          <w:szCs w:val="24"/>
        </w:rPr>
        <w:t>6.1.5第一阶段开标结束。</w:t>
      </w:r>
    </w:p>
    <w:p>
      <w:pPr>
        <w:spacing w:line="460" w:lineRule="exact"/>
        <w:ind w:firstLine="420"/>
        <w:rPr>
          <w:rFonts w:hint="eastAsia" w:ascii="仿宋" w:hAnsi="仿宋" w:eastAsia="仿宋" w:cs="仿宋"/>
          <w:szCs w:val="24"/>
        </w:rPr>
      </w:pPr>
      <w:r>
        <w:rPr>
          <w:rFonts w:hint="eastAsia" w:ascii="仿宋" w:hAnsi="仿宋" w:eastAsia="仿宋" w:cs="仿宋"/>
          <w:szCs w:val="24"/>
        </w:rPr>
        <w:t>备注：开标程序的第一阶段结束后，采购人或采购代理机构将对依法对投标供应商的资格进行审查，资格审查结束后进入符合性审查和商务技术的评审工作。</w:t>
      </w:r>
    </w:p>
    <w:p>
      <w:pPr>
        <w:spacing w:line="460" w:lineRule="exact"/>
        <w:ind w:firstLine="420"/>
        <w:rPr>
          <w:rFonts w:hint="eastAsia" w:ascii="仿宋" w:hAnsi="仿宋" w:eastAsia="仿宋" w:cs="仿宋"/>
          <w:szCs w:val="24"/>
        </w:rPr>
      </w:pPr>
      <w:r>
        <w:rPr>
          <w:rFonts w:hint="eastAsia" w:ascii="仿宋" w:hAnsi="仿宋" w:eastAsia="仿宋" w:cs="仿宋"/>
          <w:szCs w:val="24"/>
        </w:rPr>
        <w:t>5.2开标第二阶段</w:t>
      </w:r>
    </w:p>
    <w:p>
      <w:pPr>
        <w:spacing w:line="460" w:lineRule="exact"/>
        <w:ind w:firstLine="420"/>
        <w:rPr>
          <w:rFonts w:hint="eastAsia" w:ascii="仿宋" w:hAnsi="仿宋" w:eastAsia="仿宋" w:cs="仿宋"/>
          <w:szCs w:val="24"/>
        </w:rPr>
      </w:pPr>
      <w:r>
        <w:rPr>
          <w:rFonts w:hint="eastAsia" w:ascii="仿宋" w:hAnsi="仿宋" w:eastAsia="仿宋" w:cs="仿宋"/>
          <w:szCs w:val="24"/>
        </w:rPr>
        <w:t>6.2.1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Fonts w:hint="eastAsia" w:ascii="仿宋" w:hAnsi="仿宋" w:eastAsia="仿宋" w:cs="仿宋"/>
          <w:szCs w:val="24"/>
        </w:rPr>
      </w:pPr>
      <w:r>
        <w:rPr>
          <w:rFonts w:hint="eastAsia" w:ascii="仿宋" w:hAnsi="仿宋" w:eastAsia="仿宋" w:cs="仿宋"/>
          <w:szCs w:val="24"/>
        </w:rPr>
        <w:t>6.2.2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Fonts w:hint="eastAsia" w:ascii="仿宋" w:hAnsi="仿宋" w:eastAsia="仿宋" w:cs="仿宋"/>
          <w:szCs w:val="24"/>
        </w:rPr>
      </w:pPr>
      <w:r>
        <w:rPr>
          <w:rFonts w:hint="eastAsia" w:ascii="仿宋" w:hAnsi="仿宋" w:eastAsia="仿宋" w:cs="仿宋"/>
          <w:szCs w:val="24"/>
        </w:rPr>
        <w:t>6.2.3评审结束后，通过发送邮件形式公布中标（成交）候选供应商名单，及采购人最终确定中标或成交供应商名单的时间和公告方式等。</w:t>
      </w:r>
    </w:p>
    <w:p>
      <w:pPr>
        <w:spacing w:line="460" w:lineRule="exact"/>
        <w:ind w:firstLine="420"/>
        <w:rPr>
          <w:rFonts w:hint="eastAsia" w:ascii="仿宋" w:hAnsi="仿宋" w:eastAsia="仿宋" w:cs="仿宋"/>
          <w:szCs w:val="24"/>
        </w:rPr>
      </w:pPr>
      <w:r>
        <w:rPr>
          <w:rFonts w:hint="eastAsia" w:ascii="仿宋" w:hAnsi="仿宋" w:eastAsia="仿宋" w:cs="仿宋"/>
          <w:szCs w:val="24"/>
        </w:rPr>
        <w:t>6.2.4如遇“采购云平台”电子化开标或评审程序调整的，或者乐采云系统提供数据电文交互功能的，按其规定执行。</w:t>
      </w: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六、评标</w:t>
      </w:r>
    </w:p>
    <w:p>
      <w:pPr>
        <w:spacing w:line="460" w:lineRule="exact"/>
        <w:ind w:firstLine="420"/>
        <w:rPr>
          <w:rFonts w:hint="eastAsia" w:ascii="仿宋" w:hAnsi="仿宋" w:eastAsia="仿宋" w:cs="仿宋"/>
          <w:szCs w:val="24"/>
        </w:rPr>
      </w:pPr>
      <w:r>
        <w:rPr>
          <w:rFonts w:hint="eastAsia" w:ascii="仿宋" w:hAnsi="仿宋" w:eastAsia="仿宋" w:cs="仿宋"/>
          <w:szCs w:val="24"/>
        </w:rPr>
        <w:t>6.1 评标组织</w:t>
      </w:r>
    </w:p>
    <w:p>
      <w:pPr>
        <w:spacing w:line="460" w:lineRule="exact"/>
        <w:ind w:firstLine="420"/>
        <w:rPr>
          <w:rFonts w:hint="eastAsia" w:ascii="仿宋" w:hAnsi="仿宋" w:eastAsia="仿宋" w:cs="仿宋"/>
          <w:szCs w:val="24"/>
        </w:rPr>
      </w:pPr>
      <w:r>
        <w:rPr>
          <w:rFonts w:hint="eastAsia" w:ascii="仿宋" w:hAnsi="仿宋" w:eastAsia="仿宋" w:cs="仿宋"/>
          <w:szCs w:val="24"/>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Fonts w:hint="eastAsia" w:ascii="仿宋" w:hAnsi="仿宋" w:eastAsia="仿宋" w:cs="仿宋"/>
          <w:szCs w:val="24"/>
        </w:rPr>
      </w:pPr>
      <w:r>
        <w:rPr>
          <w:rFonts w:hint="eastAsia" w:ascii="仿宋" w:hAnsi="仿宋" w:eastAsia="仿宋" w:cs="仿宋"/>
          <w:szCs w:val="24"/>
        </w:rPr>
        <w:t>6.2评标纪律</w:t>
      </w:r>
    </w:p>
    <w:p>
      <w:pPr>
        <w:spacing w:line="460" w:lineRule="exact"/>
        <w:ind w:firstLine="420"/>
        <w:rPr>
          <w:rFonts w:hint="eastAsia" w:ascii="仿宋" w:hAnsi="仿宋" w:eastAsia="仿宋" w:cs="仿宋"/>
          <w:szCs w:val="24"/>
        </w:rPr>
      </w:pPr>
      <w:r>
        <w:rPr>
          <w:rFonts w:hint="eastAsia" w:ascii="仿宋" w:hAnsi="仿宋" w:eastAsia="仿宋" w:cs="仿宋"/>
          <w:szCs w:val="24"/>
        </w:rPr>
        <w:t>本次评标工作将在严格保密的情况下进行，评标委员会成员名单在定标前将保密。</w:t>
      </w:r>
    </w:p>
    <w:p>
      <w:pPr>
        <w:spacing w:line="460" w:lineRule="exact"/>
        <w:ind w:firstLine="420"/>
        <w:rPr>
          <w:rFonts w:hint="eastAsia" w:ascii="仿宋" w:hAnsi="仿宋" w:eastAsia="仿宋" w:cs="仿宋"/>
          <w:szCs w:val="24"/>
        </w:rPr>
      </w:pPr>
      <w:r>
        <w:rPr>
          <w:rFonts w:hint="eastAsia" w:ascii="仿宋" w:hAnsi="仿宋" w:eastAsia="仿宋" w:cs="仿宋"/>
          <w:szCs w:val="24"/>
        </w:rPr>
        <w:t>6.3评标办法</w:t>
      </w:r>
    </w:p>
    <w:p>
      <w:pPr>
        <w:spacing w:line="460" w:lineRule="exact"/>
        <w:ind w:firstLine="420"/>
        <w:rPr>
          <w:rFonts w:hint="eastAsia" w:ascii="仿宋" w:hAnsi="仿宋" w:eastAsia="仿宋" w:cs="仿宋"/>
          <w:szCs w:val="24"/>
        </w:rPr>
      </w:pPr>
      <w:r>
        <w:rPr>
          <w:rFonts w:hint="eastAsia" w:ascii="仿宋" w:hAnsi="仿宋" w:eastAsia="仿宋" w:cs="仿宋"/>
          <w:szCs w:val="24"/>
        </w:rPr>
        <w:t>采用综合评分法，详见采购文件第四章“评标办法”。</w:t>
      </w:r>
    </w:p>
    <w:p>
      <w:pPr>
        <w:spacing w:line="460" w:lineRule="exact"/>
        <w:ind w:firstLine="420"/>
        <w:rPr>
          <w:rFonts w:hint="eastAsia" w:ascii="仿宋" w:hAnsi="仿宋" w:eastAsia="仿宋" w:cs="仿宋"/>
          <w:szCs w:val="24"/>
        </w:rPr>
      </w:pPr>
      <w:r>
        <w:rPr>
          <w:rFonts w:hint="eastAsia" w:ascii="仿宋" w:hAnsi="仿宋" w:eastAsia="仿宋" w:cs="仿宋"/>
          <w:szCs w:val="24"/>
        </w:rPr>
        <w:t>6.4 评标程序</w:t>
      </w:r>
    </w:p>
    <w:p>
      <w:pPr>
        <w:spacing w:line="460" w:lineRule="exact"/>
        <w:ind w:firstLine="420"/>
        <w:rPr>
          <w:rFonts w:hint="eastAsia" w:ascii="仿宋" w:hAnsi="仿宋" w:eastAsia="仿宋" w:cs="仿宋"/>
          <w:szCs w:val="24"/>
        </w:rPr>
      </w:pPr>
      <w:r>
        <w:rPr>
          <w:rFonts w:hint="eastAsia" w:ascii="仿宋" w:hAnsi="仿宋" w:eastAsia="仿宋" w:cs="仿宋"/>
          <w:szCs w:val="24"/>
        </w:rPr>
        <w:t>6.4.1投标文件初审。初审分为资格性检查和符合性检查。</w:t>
      </w:r>
    </w:p>
    <w:p>
      <w:pPr>
        <w:spacing w:line="460" w:lineRule="exact"/>
        <w:ind w:firstLine="420"/>
        <w:rPr>
          <w:rFonts w:hint="eastAsia" w:ascii="仿宋" w:hAnsi="仿宋" w:eastAsia="仿宋" w:cs="仿宋"/>
          <w:szCs w:val="24"/>
        </w:rPr>
      </w:pPr>
      <w:r>
        <w:rPr>
          <w:rFonts w:hint="eastAsia" w:ascii="仿宋" w:hAnsi="仿宋" w:eastAsia="仿宋" w:cs="仿宋"/>
          <w:szCs w:val="24"/>
        </w:rPr>
        <w:t>6.4.1.1资格性检查。</w:t>
      </w:r>
    </w:p>
    <w:p>
      <w:pPr>
        <w:spacing w:line="460" w:lineRule="exact"/>
        <w:ind w:firstLine="420"/>
        <w:rPr>
          <w:rFonts w:hint="eastAsia" w:ascii="仿宋" w:hAnsi="仿宋" w:eastAsia="仿宋" w:cs="仿宋"/>
          <w:szCs w:val="24"/>
        </w:rPr>
      </w:pPr>
      <w:r>
        <w:rPr>
          <w:rFonts w:hint="eastAsia" w:ascii="仿宋" w:hAnsi="仿宋" w:eastAsia="仿宋" w:cs="仿宋"/>
          <w:szCs w:val="24"/>
        </w:rPr>
        <w:t>开标后，采购人或采购代理机构将依据法律法规和供应商资格条件对投标人的基本资格条件、特定资格条件进行审查。</w:t>
      </w:r>
    </w:p>
    <w:p>
      <w:pPr>
        <w:spacing w:line="460" w:lineRule="exact"/>
        <w:ind w:firstLine="420"/>
        <w:rPr>
          <w:rFonts w:hint="eastAsia" w:ascii="仿宋" w:hAnsi="仿宋" w:eastAsia="仿宋" w:cs="仿宋"/>
          <w:szCs w:val="24"/>
        </w:rPr>
      </w:pPr>
      <w:r>
        <w:rPr>
          <w:rFonts w:hint="eastAsia" w:ascii="仿宋" w:hAnsi="仿宋" w:eastAsia="仿宋" w:cs="仿宋"/>
          <w:szCs w:val="24"/>
        </w:rPr>
        <w:t>投标人未按照采购文件中供应商资格条件要求提供相应的有效资格证明材料的，视为投标人不具备采购文件中规定的资格要求，其资格审查不通过。</w:t>
      </w:r>
    </w:p>
    <w:p>
      <w:pPr>
        <w:spacing w:line="460" w:lineRule="exact"/>
        <w:ind w:firstLine="420"/>
        <w:rPr>
          <w:rFonts w:hint="eastAsia" w:ascii="仿宋" w:hAnsi="仿宋" w:eastAsia="仿宋" w:cs="仿宋"/>
          <w:szCs w:val="24"/>
        </w:rPr>
      </w:pPr>
      <w:r>
        <w:rPr>
          <w:rFonts w:hint="eastAsia" w:ascii="仿宋" w:hAnsi="仿宋" w:eastAsia="仿宋" w:cs="仿宋"/>
          <w:szCs w:val="24"/>
        </w:rPr>
        <w:t>6.4.1.2符合性检查。依据采购文件的规定，从投标文件的有效性、完整性和对采购文件的响应程度进行审查，以确定是否对采购文件的实质性要求作出响应。具体审查内容见投标须知6.3.1条“无效投标的认定”。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Fonts w:hint="eastAsia" w:ascii="仿宋" w:hAnsi="仿宋" w:eastAsia="仿宋" w:cs="仿宋"/>
          <w:szCs w:val="24"/>
        </w:rPr>
      </w:pPr>
      <w:r>
        <w:rPr>
          <w:rFonts w:hint="eastAsia" w:ascii="仿宋" w:hAnsi="仿宋" w:eastAsia="仿宋" w:cs="仿宋"/>
          <w:szCs w:val="24"/>
        </w:rPr>
        <w:t>评标委员会决定投标文件的响应性只根据投标文件本身的内容，而不寻求外部证据。</w:t>
      </w:r>
    </w:p>
    <w:p>
      <w:pPr>
        <w:spacing w:line="460" w:lineRule="exact"/>
        <w:ind w:firstLine="420"/>
        <w:rPr>
          <w:rFonts w:hint="eastAsia" w:ascii="仿宋" w:hAnsi="仿宋" w:eastAsia="仿宋" w:cs="仿宋"/>
          <w:szCs w:val="24"/>
        </w:rPr>
      </w:pPr>
      <w:r>
        <w:rPr>
          <w:rFonts w:hint="eastAsia" w:ascii="仿宋" w:hAnsi="仿宋" w:eastAsia="仿宋" w:cs="仿宋"/>
          <w:szCs w:val="24"/>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Fonts w:hint="eastAsia" w:ascii="仿宋" w:hAnsi="仿宋" w:eastAsia="仿宋" w:cs="仿宋"/>
          <w:szCs w:val="24"/>
        </w:rPr>
      </w:pPr>
      <w:r>
        <w:rPr>
          <w:rFonts w:hint="eastAsia" w:ascii="仿宋" w:hAnsi="仿宋" w:eastAsia="仿宋" w:cs="仿宋"/>
          <w:szCs w:val="24"/>
        </w:rPr>
        <w:t>6.4.1.3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Fonts w:hint="eastAsia" w:ascii="仿宋" w:hAnsi="仿宋" w:eastAsia="仿宋" w:cs="仿宋"/>
          <w:szCs w:val="24"/>
        </w:rPr>
      </w:pPr>
      <w:r>
        <w:rPr>
          <w:rFonts w:hint="eastAsia" w:ascii="仿宋" w:hAnsi="仿宋" w:eastAsia="仿宋" w:cs="仿宋"/>
          <w:szCs w:val="24"/>
        </w:rPr>
        <w:t>投标供应商的澄清、说明或者补正应当由法定代表人或其授权的代表签字（或加盖公章）后扫描上传提交。</w:t>
      </w:r>
    </w:p>
    <w:p>
      <w:pPr>
        <w:spacing w:line="460" w:lineRule="exact"/>
        <w:ind w:firstLine="420"/>
        <w:rPr>
          <w:rFonts w:hint="eastAsia" w:ascii="仿宋" w:hAnsi="仿宋" w:eastAsia="仿宋" w:cs="仿宋"/>
          <w:szCs w:val="24"/>
        </w:rPr>
      </w:pPr>
      <w:r>
        <w:rPr>
          <w:rFonts w:hint="eastAsia" w:ascii="仿宋" w:hAnsi="仿宋" w:eastAsia="仿宋" w:cs="仿宋"/>
          <w:szCs w:val="24"/>
        </w:rPr>
        <w:t>授权代表对澄清、说明或者补正内容未签字确认的，将自行承担由此可能导致的对其不利的评审结果，评标委员会按少数服从多数原则对相关内容进行评判。</w:t>
      </w:r>
    </w:p>
    <w:p>
      <w:pPr>
        <w:spacing w:line="460" w:lineRule="exact"/>
        <w:ind w:firstLine="420"/>
        <w:rPr>
          <w:rFonts w:hint="eastAsia" w:ascii="仿宋" w:hAnsi="仿宋" w:eastAsia="仿宋" w:cs="仿宋"/>
          <w:szCs w:val="24"/>
        </w:rPr>
      </w:pPr>
      <w:r>
        <w:rPr>
          <w:rFonts w:hint="eastAsia" w:ascii="仿宋" w:hAnsi="仿宋" w:eastAsia="仿宋" w:cs="仿宋"/>
          <w:szCs w:val="24"/>
        </w:rPr>
        <w:t>除邮件交互外，如乐采云平台提供信息发布、澄清说明、数据交换等操作方式的，或者乐采云系统平台有新的操作流程的，按其规定。</w:t>
      </w:r>
    </w:p>
    <w:p>
      <w:pPr>
        <w:spacing w:line="460" w:lineRule="exact"/>
        <w:ind w:firstLine="420"/>
        <w:rPr>
          <w:rFonts w:hint="eastAsia" w:ascii="仿宋" w:hAnsi="仿宋" w:eastAsia="仿宋" w:cs="仿宋"/>
          <w:szCs w:val="24"/>
        </w:rPr>
      </w:pPr>
      <w:r>
        <w:rPr>
          <w:rFonts w:hint="eastAsia" w:ascii="仿宋" w:hAnsi="仿宋" w:eastAsia="仿宋" w:cs="仿宋"/>
          <w:szCs w:val="24"/>
        </w:rPr>
        <w:t>6.4.1.4修正原则</w:t>
      </w:r>
    </w:p>
    <w:p>
      <w:pPr>
        <w:spacing w:line="460" w:lineRule="exact"/>
        <w:ind w:firstLine="420"/>
        <w:rPr>
          <w:rFonts w:hint="eastAsia" w:ascii="仿宋" w:hAnsi="仿宋" w:eastAsia="仿宋" w:cs="仿宋"/>
          <w:szCs w:val="24"/>
        </w:rPr>
      </w:pPr>
      <w:r>
        <w:rPr>
          <w:rFonts w:hint="eastAsia" w:ascii="仿宋" w:hAnsi="仿宋" w:eastAsia="仿宋" w:cs="仿宋"/>
          <w:szCs w:val="24"/>
        </w:rPr>
        <w:t>投标文件报价出现前后不一致的，按照下列规定修正：</w:t>
      </w:r>
    </w:p>
    <w:p>
      <w:pPr>
        <w:spacing w:line="460" w:lineRule="exact"/>
        <w:ind w:firstLine="42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rPr>
        <w:tab/>
      </w:r>
      <w:r>
        <w:rPr>
          <w:rFonts w:hint="eastAsia" w:ascii="仿宋" w:hAnsi="仿宋" w:eastAsia="仿宋" w:cs="仿宋"/>
          <w:szCs w:val="24"/>
        </w:rPr>
        <w:t>投标文件中开标一览表(报价表)内容与投标文件中相应内容不一致的，以开标一览表(报价表)为准；</w:t>
      </w:r>
    </w:p>
    <w:p>
      <w:pPr>
        <w:spacing w:line="460" w:lineRule="exact"/>
        <w:ind w:firstLine="42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rPr>
        <w:tab/>
      </w:r>
      <w:r>
        <w:rPr>
          <w:rFonts w:hint="eastAsia" w:ascii="仿宋" w:hAnsi="仿宋" w:eastAsia="仿宋" w:cs="仿宋"/>
          <w:szCs w:val="24"/>
        </w:rPr>
        <w:t>大写金额和小写金额不一致的，以大写金额为准；</w:t>
      </w:r>
    </w:p>
    <w:p>
      <w:pPr>
        <w:spacing w:line="460" w:lineRule="exact"/>
        <w:ind w:firstLine="42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rPr>
        <w:tab/>
      </w:r>
      <w:r>
        <w:rPr>
          <w:rFonts w:hint="eastAsia" w:ascii="仿宋" w:hAnsi="仿宋" w:eastAsia="仿宋" w:cs="仿宋"/>
          <w:szCs w:val="24"/>
        </w:rPr>
        <w:t>单价金额小数点或者百分比有明显错位的，以开标一览表的总价为准，并修改单价；</w:t>
      </w:r>
    </w:p>
    <w:p>
      <w:pPr>
        <w:spacing w:line="460" w:lineRule="exact"/>
        <w:ind w:firstLine="420"/>
        <w:rPr>
          <w:rFonts w:hint="eastAsia" w:ascii="仿宋" w:hAnsi="仿宋" w:eastAsia="仿宋" w:cs="仿宋"/>
          <w:szCs w:val="24"/>
        </w:rPr>
      </w:pPr>
      <w:r>
        <w:rPr>
          <w:rFonts w:hint="eastAsia" w:ascii="仿宋" w:hAnsi="仿宋" w:eastAsia="仿宋" w:cs="仿宋"/>
          <w:szCs w:val="24"/>
        </w:rPr>
        <w:t>4)</w:t>
      </w:r>
      <w:r>
        <w:rPr>
          <w:rFonts w:hint="eastAsia" w:ascii="仿宋" w:hAnsi="仿宋" w:eastAsia="仿宋" w:cs="仿宋"/>
          <w:szCs w:val="24"/>
        </w:rPr>
        <w:tab/>
      </w:r>
      <w:r>
        <w:rPr>
          <w:rFonts w:hint="eastAsia" w:ascii="仿宋" w:hAnsi="仿宋" w:eastAsia="仿宋" w:cs="仿宋"/>
          <w:szCs w:val="24"/>
        </w:rPr>
        <w:t>总价金额与按单价汇总金额不一致的，以单价金额计算结果为准。</w:t>
      </w:r>
    </w:p>
    <w:p>
      <w:pPr>
        <w:spacing w:line="460" w:lineRule="exact"/>
        <w:ind w:firstLine="420"/>
        <w:rPr>
          <w:rFonts w:hint="eastAsia" w:ascii="仿宋" w:hAnsi="仿宋" w:eastAsia="仿宋" w:cs="仿宋"/>
          <w:szCs w:val="24"/>
        </w:rPr>
      </w:pPr>
      <w:r>
        <w:rPr>
          <w:rFonts w:hint="eastAsia" w:ascii="仿宋" w:hAnsi="仿宋" w:eastAsia="仿宋" w:cs="仿宋"/>
          <w:szCs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6.4.1.5比较与评价。</w:t>
      </w:r>
    </w:p>
    <w:p>
      <w:pPr>
        <w:spacing w:line="460" w:lineRule="exact"/>
        <w:ind w:firstLine="420"/>
        <w:rPr>
          <w:rFonts w:hint="eastAsia" w:ascii="仿宋" w:hAnsi="仿宋" w:eastAsia="仿宋" w:cs="仿宋"/>
          <w:szCs w:val="24"/>
        </w:rPr>
      </w:pPr>
      <w:r>
        <w:rPr>
          <w:rFonts w:hint="eastAsia" w:ascii="仿宋" w:hAnsi="仿宋" w:eastAsia="仿宋" w:cs="仿宋"/>
          <w:szCs w:val="24"/>
        </w:rPr>
        <w:t>按采购文件中规定的评标方法和标准，对资格性检查和符合性检查合格的投标文件进行商务和技术评估，综合比较与评价。</w:t>
      </w:r>
    </w:p>
    <w:p>
      <w:pPr>
        <w:spacing w:line="460" w:lineRule="exact"/>
        <w:ind w:firstLine="420"/>
        <w:rPr>
          <w:rFonts w:hint="eastAsia" w:ascii="仿宋" w:hAnsi="仿宋" w:eastAsia="仿宋" w:cs="仿宋"/>
          <w:szCs w:val="24"/>
        </w:rPr>
      </w:pPr>
      <w:r>
        <w:rPr>
          <w:rFonts w:hint="eastAsia" w:ascii="仿宋" w:hAnsi="仿宋" w:eastAsia="仿宋" w:cs="仿宋"/>
          <w:szCs w:val="24"/>
        </w:rPr>
        <w:t>6.4.1.6按采购文件中规定的评标方法和标准，对投标人进行排序，并推荐中标候选人。</w:t>
      </w:r>
    </w:p>
    <w:p>
      <w:pPr>
        <w:spacing w:line="460" w:lineRule="exact"/>
        <w:ind w:firstLine="420"/>
        <w:rPr>
          <w:rFonts w:hint="eastAsia" w:ascii="仿宋" w:hAnsi="仿宋" w:eastAsia="仿宋" w:cs="仿宋"/>
          <w:szCs w:val="24"/>
        </w:rPr>
      </w:pPr>
      <w:r>
        <w:rPr>
          <w:rFonts w:hint="eastAsia" w:ascii="仿宋" w:hAnsi="仿宋" w:eastAsia="仿宋" w:cs="仿宋"/>
          <w:szCs w:val="24"/>
        </w:rPr>
        <w:t>6.4.1.7编写评标报告。</w:t>
      </w:r>
    </w:p>
    <w:p>
      <w:pPr>
        <w:spacing w:line="460" w:lineRule="exact"/>
        <w:ind w:firstLine="420"/>
        <w:rPr>
          <w:rFonts w:hint="eastAsia" w:ascii="仿宋" w:hAnsi="仿宋" w:eastAsia="仿宋" w:cs="仿宋"/>
          <w:b/>
          <w:bCs/>
          <w:szCs w:val="24"/>
        </w:rPr>
      </w:pPr>
      <w:r>
        <w:rPr>
          <w:rFonts w:hint="eastAsia" w:ascii="仿宋" w:hAnsi="仿宋" w:eastAsia="仿宋" w:cs="仿宋"/>
          <w:b/>
          <w:bCs/>
          <w:szCs w:val="24"/>
        </w:rPr>
        <w:t>6.5无效投标的认定</w:t>
      </w:r>
    </w:p>
    <w:p>
      <w:pPr>
        <w:spacing w:line="460" w:lineRule="exact"/>
        <w:ind w:firstLine="420"/>
        <w:rPr>
          <w:rFonts w:hint="eastAsia" w:ascii="仿宋" w:hAnsi="仿宋" w:eastAsia="仿宋" w:cs="仿宋"/>
          <w:szCs w:val="24"/>
        </w:rPr>
      </w:pPr>
      <w:r>
        <w:rPr>
          <w:rFonts w:hint="eastAsia" w:ascii="仿宋" w:hAnsi="仿宋" w:eastAsia="仿宋" w:cs="仿宋"/>
          <w:szCs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6.5.1如发现下列情形之一的，投标文件将被视为无效投标：</w:t>
      </w:r>
    </w:p>
    <w:p>
      <w:pPr>
        <w:spacing w:line="460" w:lineRule="exact"/>
        <w:ind w:firstLine="480" w:firstLineChars="200"/>
        <w:rPr>
          <w:rFonts w:hint="eastAsia" w:ascii="仿宋" w:hAnsi="仿宋" w:eastAsia="仿宋" w:cs="仿宋"/>
          <w:szCs w:val="24"/>
        </w:rPr>
      </w:pPr>
      <w:r>
        <w:rPr>
          <w:rFonts w:hint="eastAsia" w:ascii="仿宋" w:hAnsi="仿宋" w:eastAsia="仿宋" w:cs="仿宋"/>
          <w:kern w:val="0"/>
          <w:szCs w:val="24"/>
        </w:rPr>
        <w:t>1）投标人不具备采购文件中规定的资格要求的（投标人未提供有效的资格文件的，视为投标人不具备采购文件中规定的资格要求）；</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2）未按时上传或按时解密电子投标文件的</w:t>
      </w:r>
    </w:p>
    <w:p>
      <w:pPr>
        <w:spacing w:line="460" w:lineRule="exact"/>
        <w:ind w:firstLine="480" w:firstLineChars="200"/>
        <w:rPr>
          <w:rFonts w:hint="eastAsia" w:ascii="仿宋" w:hAnsi="仿宋" w:eastAsia="仿宋" w:cs="仿宋"/>
          <w:szCs w:val="24"/>
        </w:rPr>
      </w:pPr>
      <w:r>
        <w:rPr>
          <w:rFonts w:hint="eastAsia" w:ascii="仿宋" w:hAnsi="仿宋" w:eastAsia="仿宋" w:cs="仿宋"/>
          <w:szCs w:val="24"/>
        </w:rPr>
        <w:t>3）电子投标文件解密失败的，且未在规定时间内提交有效备份投标文件的；</w:t>
      </w:r>
    </w:p>
    <w:p>
      <w:pPr>
        <w:spacing w:line="460" w:lineRule="exact"/>
        <w:ind w:firstLine="420"/>
        <w:rPr>
          <w:rFonts w:hint="eastAsia" w:ascii="仿宋" w:hAnsi="仿宋" w:eastAsia="仿宋" w:cs="仿宋"/>
          <w:szCs w:val="24"/>
        </w:rPr>
      </w:pPr>
      <w:r>
        <w:rPr>
          <w:rFonts w:hint="eastAsia" w:ascii="仿宋" w:hAnsi="仿宋" w:eastAsia="仿宋" w:cs="仿宋"/>
          <w:szCs w:val="24"/>
        </w:rPr>
        <w:t>4）电子投标文件未按规定要求提供电子签章的；</w:t>
      </w:r>
    </w:p>
    <w:p>
      <w:pPr>
        <w:spacing w:line="460" w:lineRule="exact"/>
        <w:ind w:firstLine="420"/>
        <w:rPr>
          <w:rFonts w:hint="eastAsia" w:ascii="仿宋" w:hAnsi="仿宋" w:eastAsia="仿宋" w:cs="仿宋"/>
          <w:szCs w:val="24"/>
        </w:rPr>
      </w:pPr>
      <w:r>
        <w:rPr>
          <w:rFonts w:hint="eastAsia" w:ascii="仿宋" w:hAnsi="仿宋" w:eastAsia="仿宋" w:cs="仿宋"/>
          <w:szCs w:val="24"/>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Fonts w:hint="eastAsia" w:ascii="仿宋" w:hAnsi="仿宋" w:eastAsia="仿宋" w:cs="仿宋"/>
          <w:szCs w:val="24"/>
        </w:rPr>
      </w:pPr>
      <w:r>
        <w:rPr>
          <w:rFonts w:hint="eastAsia" w:ascii="仿宋" w:hAnsi="仿宋" w:eastAsia="仿宋" w:cs="仿宋"/>
          <w:szCs w:val="24"/>
        </w:rPr>
        <w:t>6）不响应采购文件标注“★”条款要求的；</w:t>
      </w:r>
    </w:p>
    <w:p>
      <w:pPr>
        <w:spacing w:line="460" w:lineRule="exact"/>
        <w:ind w:firstLine="420"/>
        <w:rPr>
          <w:rFonts w:hint="eastAsia" w:ascii="仿宋" w:hAnsi="仿宋" w:eastAsia="仿宋" w:cs="仿宋"/>
          <w:szCs w:val="24"/>
        </w:rPr>
      </w:pPr>
      <w:r>
        <w:rPr>
          <w:rFonts w:hint="eastAsia" w:ascii="仿宋" w:hAnsi="仿宋" w:eastAsia="仿宋" w:cs="仿宋"/>
          <w:szCs w:val="24"/>
        </w:rPr>
        <w:t>7）投标文件载明的招标项目合同期或服务期少于采购文件规定期限的；</w:t>
      </w:r>
    </w:p>
    <w:p>
      <w:pPr>
        <w:spacing w:line="460" w:lineRule="exact"/>
        <w:ind w:firstLine="420"/>
        <w:rPr>
          <w:rFonts w:hint="eastAsia" w:ascii="仿宋" w:hAnsi="仿宋" w:eastAsia="仿宋" w:cs="仿宋"/>
          <w:szCs w:val="24"/>
        </w:rPr>
      </w:pPr>
      <w:r>
        <w:rPr>
          <w:rFonts w:hint="eastAsia" w:ascii="仿宋" w:hAnsi="仿宋" w:eastAsia="仿宋" w:cs="仿宋"/>
          <w:szCs w:val="24"/>
        </w:rPr>
        <w:t>8）投标文件未响应采购文件规定的付款方式的；</w:t>
      </w:r>
    </w:p>
    <w:p>
      <w:pPr>
        <w:spacing w:line="460" w:lineRule="exact"/>
        <w:ind w:firstLine="420"/>
        <w:rPr>
          <w:rFonts w:hint="eastAsia" w:ascii="仿宋" w:hAnsi="仿宋" w:eastAsia="仿宋" w:cs="仿宋"/>
          <w:szCs w:val="24"/>
        </w:rPr>
      </w:pPr>
      <w:r>
        <w:rPr>
          <w:rFonts w:hint="eastAsia" w:ascii="仿宋" w:hAnsi="仿宋" w:eastAsia="仿宋" w:cs="仿宋"/>
          <w:szCs w:val="24"/>
        </w:rPr>
        <w:t>9）投标报价超出预算或最高限价，采购人无法接受的；</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szCs w:val="24"/>
        </w:rPr>
        <w:t>10）</w:t>
      </w:r>
      <w:r>
        <w:rPr>
          <w:rFonts w:hint="eastAsia" w:ascii="仿宋" w:hAnsi="仿宋" w:eastAsia="仿宋" w:cs="仿宋"/>
          <w:kern w:val="0"/>
          <w:szCs w:val="24"/>
        </w:rPr>
        <w:t>报价明显低于其他通过符合性审查投标人的报价，有可能影响产品质量或者不能诚信履约的，未能按要求提供书面说明或者提交相关证明材料，不能证明其报价合理性的；</w:t>
      </w:r>
    </w:p>
    <w:p>
      <w:pPr>
        <w:spacing w:line="460" w:lineRule="exact"/>
        <w:ind w:firstLine="420"/>
        <w:rPr>
          <w:rFonts w:hint="eastAsia" w:ascii="仿宋" w:hAnsi="仿宋" w:eastAsia="仿宋" w:cs="仿宋"/>
          <w:szCs w:val="24"/>
        </w:rPr>
      </w:pPr>
      <w:r>
        <w:rPr>
          <w:rFonts w:hint="eastAsia" w:ascii="仿宋" w:hAnsi="仿宋" w:eastAsia="仿宋" w:cs="仿宋"/>
          <w:szCs w:val="24"/>
        </w:rPr>
        <w:t>11）投标货物的技术规范、技术标准明显不符合国家强制性要求的；</w:t>
      </w:r>
    </w:p>
    <w:p>
      <w:pPr>
        <w:spacing w:line="460" w:lineRule="exact"/>
        <w:ind w:firstLine="420"/>
        <w:rPr>
          <w:rFonts w:hint="eastAsia" w:ascii="仿宋" w:hAnsi="仿宋" w:eastAsia="仿宋" w:cs="仿宋"/>
          <w:szCs w:val="24"/>
        </w:rPr>
      </w:pPr>
      <w:r>
        <w:rPr>
          <w:rFonts w:hint="eastAsia" w:ascii="仿宋" w:hAnsi="仿宋" w:eastAsia="仿宋" w:cs="仿宋"/>
          <w:szCs w:val="24"/>
        </w:rPr>
        <w:t>12）投标人提交两份或多份内容不同的报价响应文件，或在一份报价响应文件中对同一内容报有两个或多个报价，且未声明哪一个为最终报价的；</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szCs w:val="24"/>
        </w:rPr>
        <w:t>13）</w:t>
      </w:r>
      <w:r>
        <w:rPr>
          <w:rFonts w:hint="eastAsia" w:ascii="仿宋" w:hAnsi="仿宋" w:eastAsia="仿宋" w:cs="仿宋"/>
          <w:kern w:val="0"/>
          <w:szCs w:val="24"/>
        </w:rPr>
        <w:t>投标报价超过采购文件中规定的预算金额或者最高限价的；</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14）投标人对根据修正原则修正后的报价不确认的；</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15）投标人提供虚假材料投标的；</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16）投标人有恶意串通、妨碍其他投标人的竞争行为、损害采购人或者其他投标人的合法权益情形的；</w:t>
      </w:r>
    </w:p>
    <w:p>
      <w:pPr>
        <w:spacing w:line="460" w:lineRule="exact"/>
        <w:ind w:left="658" w:leftChars="174" w:hanging="240" w:hangingChars="100"/>
        <w:rPr>
          <w:rFonts w:hint="eastAsia" w:ascii="仿宋" w:hAnsi="仿宋" w:eastAsia="仿宋" w:cs="仿宋"/>
          <w:kern w:val="0"/>
          <w:szCs w:val="24"/>
        </w:rPr>
      </w:pPr>
      <w:r>
        <w:rPr>
          <w:rFonts w:hint="eastAsia" w:ascii="仿宋" w:hAnsi="仿宋" w:eastAsia="仿宋" w:cs="仿宋"/>
          <w:kern w:val="0"/>
          <w:szCs w:val="24"/>
        </w:rPr>
        <w:t>17）资信技术文件出现投标报价的；</w:t>
      </w:r>
    </w:p>
    <w:p>
      <w:pPr>
        <w:spacing w:line="460" w:lineRule="exact"/>
        <w:ind w:firstLine="420"/>
        <w:rPr>
          <w:rFonts w:hint="eastAsia" w:ascii="仿宋" w:hAnsi="仿宋" w:eastAsia="仿宋" w:cs="仿宋"/>
          <w:szCs w:val="24"/>
        </w:rPr>
      </w:pPr>
      <w:r>
        <w:rPr>
          <w:rFonts w:hint="eastAsia" w:ascii="仿宋" w:hAnsi="仿宋" w:eastAsia="仿宋" w:cs="仿宋"/>
          <w:szCs w:val="24"/>
        </w:rPr>
        <w:t>18）投标文件附有采购人不能接受的条款；</w:t>
      </w:r>
    </w:p>
    <w:p>
      <w:pPr>
        <w:spacing w:line="46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19）投标人仅提交备份投标文件，没有在电子交易平台传输递交投标文件的，投标无效；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20）不满足采购文件规定的实质性要求的；</w:t>
      </w:r>
    </w:p>
    <w:p>
      <w:pPr>
        <w:spacing w:line="460" w:lineRule="exact"/>
        <w:ind w:firstLine="420"/>
        <w:rPr>
          <w:rFonts w:hint="eastAsia" w:ascii="仿宋" w:hAnsi="仿宋" w:eastAsia="仿宋" w:cs="仿宋"/>
          <w:szCs w:val="24"/>
        </w:rPr>
      </w:pPr>
      <w:r>
        <w:rPr>
          <w:rFonts w:hint="eastAsia" w:ascii="仿宋" w:hAnsi="仿宋" w:eastAsia="仿宋" w:cs="仿宋"/>
          <w:szCs w:val="24"/>
        </w:rPr>
        <w:t>21）国家和省另有规定属无效投标文件的。</w:t>
      </w:r>
    </w:p>
    <w:p>
      <w:pPr>
        <w:spacing w:line="460" w:lineRule="exact"/>
        <w:ind w:firstLine="420"/>
        <w:rPr>
          <w:rFonts w:hint="eastAsia" w:ascii="仿宋" w:hAnsi="仿宋" w:eastAsia="仿宋" w:cs="仿宋"/>
          <w:szCs w:val="24"/>
        </w:rPr>
      </w:pPr>
      <w:r>
        <w:rPr>
          <w:rFonts w:hint="eastAsia" w:ascii="仿宋" w:hAnsi="仿宋" w:eastAsia="仿宋" w:cs="仿宋"/>
          <w:szCs w:val="24"/>
        </w:rPr>
        <w:t>6.3.2有下列情形之一的，视为投标人串通投标，其投标无效：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1）不同投标人的投标文件由同一单位或者个人编制；</w:t>
      </w:r>
    </w:p>
    <w:p>
      <w:pPr>
        <w:spacing w:line="460" w:lineRule="exact"/>
        <w:ind w:firstLine="420"/>
        <w:rPr>
          <w:rFonts w:hint="eastAsia" w:ascii="仿宋" w:hAnsi="仿宋" w:eastAsia="仿宋" w:cs="仿宋"/>
          <w:szCs w:val="24"/>
        </w:rPr>
      </w:pPr>
      <w:r>
        <w:rPr>
          <w:rFonts w:hint="eastAsia" w:ascii="仿宋" w:hAnsi="仿宋" w:eastAsia="仿宋" w:cs="仿宋"/>
          <w:szCs w:val="24"/>
        </w:rPr>
        <w:t>2）不同投标人委托同一单位或者个人办理投标事宜；</w:t>
      </w:r>
    </w:p>
    <w:p>
      <w:pPr>
        <w:spacing w:line="460" w:lineRule="exact"/>
        <w:ind w:firstLine="420"/>
        <w:rPr>
          <w:rFonts w:hint="eastAsia" w:ascii="仿宋" w:hAnsi="仿宋" w:eastAsia="仿宋" w:cs="仿宋"/>
          <w:szCs w:val="24"/>
        </w:rPr>
      </w:pPr>
      <w:r>
        <w:rPr>
          <w:rFonts w:hint="eastAsia" w:ascii="仿宋" w:hAnsi="仿宋" w:eastAsia="仿宋" w:cs="仿宋"/>
          <w:szCs w:val="24"/>
        </w:rPr>
        <w:t>3）不同投标人的投标文件载明的项目管理成员或者联系人员为同一人；</w:t>
      </w:r>
    </w:p>
    <w:p>
      <w:pPr>
        <w:spacing w:line="460" w:lineRule="exact"/>
        <w:ind w:firstLine="420"/>
        <w:rPr>
          <w:rFonts w:hint="eastAsia" w:ascii="仿宋" w:hAnsi="仿宋" w:eastAsia="仿宋" w:cs="仿宋"/>
          <w:szCs w:val="24"/>
        </w:rPr>
      </w:pPr>
      <w:r>
        <w:rPr>
          <w:rFonts w:hint="eastAsia" w:ascii="仿宋" w:hAnsi="仿宋" w:eastAsia="仿宋" w:cs="仿宋"/>
          <w:szCs w:val="24"/>
        </w:rPr>
        <w:t>4）不同投标人的投标文件异常一致或者投标报价呈规律性差异；</w:t>
      </w:r>
    </w:p>
    <w:p>
      <w:pPr>
        <w:spacing w:line="460" w:lineRule="exact"/>
        <w:ind w:firstLine="420"/>
        <w:rPr>
          <w:rFonts w:hint="eastAsia" w:ascii="仿宋" w:hAnsi="仿宋" w:eastAsia="仿宋" w:cs="仿宋"/>
          <w:szCs w:val="24"/>
        </w:rPr>
      </w:pPr>
      <w:r>
        <w:rPr>
          <w:rFonts w:hint="eastAsia" w:ascii="仿宋" w:hAnsi="仿宋" w:eastAsia="仿宋" w:cs="仿宋"/>
          <w:szCs w:val="24"/>
        </w:rPr>
        <w:t>5）不同投标人的投标文件相互混装。</w:t>
      </w:r>
    </w:p>
    <w:p>
      <w:pPr>
        <w:snapToGrid w:val="0"/>
        <w:spacing w:line="460" w:lineRule="exact"/>
        <w:jc w:val="left"/>
        <w:outlineLvl w:val="2"/>
        <w:rPr>
          <w:rFonts w:hint="eastAsia" w:ascii="仿宋" w:hAnsi="仿宋" w:eastAsia="仿宋" w:cs="仿宋"/>
          <w:b/>
          <w:bCs/>
          <w:szCs w:val="24"/>
        </w:rPr>
      </w:pPr>
      <w:r>
        <w:rPr>
          <w:rFonts w:hint="eastAsia" w:ascii="仿宋" w:hAnsi="仿宋" w:eastAsia="仿宋" w:cs="仿宋"/>
          <w:b/>
          <w:bCs/>
          <w:szCs w:val="24"/>
        </w:rPr>
        <w:t xml:space="preserve">                          </w:t>
      </w:r>
    </w:p>
    <w:p>
      <w:pPr>
        <w:snapToGrid w:val="0"/>
        <w:spacing w:line="460" w:lineRule="exact"/>
        <w:jc w:val="center"/>
        <w:outlineLvl w:val="2"/>
        <w:rPr>
          <w:rFonts w:hint="eastAsia" w:ascii="仿宋" w:hAnsi="仿宋" w:eastAsia="仿宋" w:cs="仿宋"/>
          <w:b/>
          <w:bCs/>
          <w:sz w:val="32"/>
          <w:szCs w:val="32"/>
        </w:rPr>
      </w:pPr>
      <w:r>
        <w:rPr>
          <w:rFonts w:hint="eastAsia" w:ascii="仿宋" w:hAnsi="仿宋" w:eastAsia="仿宋" w:cs="仿宋"/>
          <w:b/>
          <w:bCs/>
          <w:sz w:val="32"/>
          <w:szCs w:val="32"/>
        </w:rPr>
        <w:t>七、  定标</w:t>
      </w:r>
    </w:p>
    <w:p>
      <w:pPr>
        <w:pStyle w:val="289"/>
        <w:snapToGrid w:val="0"/>
        <w:spacing w:before="0" w:line="460" w:lineRule="exact"/>
        <w:ind w:firstLine="480"/>
        <w:rPr>
          <w:rFonts w:hint="eastAsia" w:ascii="仿宋" w:hAnsi="仿宋" w:eastAsia="仿宋" w:cs="仿宋"/>
          <w:b/>
          <w:szCs w:val="24"/>
        </w:rPr>
      </w:pPr>
      <w:r>
        <w:rPr>
          <w:rFonts w:hint="eastAsia" w:ascii="仿宋" w:hAnsi="仿宋" w:eastAsia="仿宋" w:cs="仿宋"/>
          <w:b/>
          <w:szCs w:val="24"/>
        </w:rPr>
        <w:t>7.1确定中标人</w:t>
      </w:r>
    </w:p>
    <w:p>
      <w:pPr>
        <w:spacing w:line="460" w:lineRule="exact"/>
        <w:ind w:firstLine="420"/>
        <w:rPr>
          <w:rFonts w:hint="eastAsia" w:ascii="仿宋" w:hAnsi="仿宋" w:eastAsia="仿宋" w:cs="仿宋"/>
          <w:szCs w:val="24"/>
        </w:rPr>
      </w:pPr>
      <w:r>
        <w:rPr>
          <w:rFonts w:hint="eastAsia" w:ascii="仿宋" w:hAnsi="仿宋" w:eastAsia="仿宋" w:cs="仿宋"/>
          <w:szCs w:val="24"/>
        </w:rPr>
        <w:t>7.1.1采购代理机构应当自评审结束之日起2个工作日内将评审报告送交采购人。</w:t>
      </w:r>
    </w:p>
    <w:p>
      <w:pPr>
        <w:spacing w:line="460" w:lineRule="exact"/>
        <w:ind w:firstLine="420"/>
        <w:rPr>
          <w:rFonts w:hint="eastAsia" w:ascii="仿宋" w:hAnsi="仿宋" w:eastAsia="仿宋" w:cs="仿宋"/>
          <w:szCs w:val="24"/>
        </w:rPr>
      </w:pPr>
      <w:r>
        <w:rPr>
          <w:rFonts w:hint="eastAsia" w:ascii="仿宋" w:hAnsi="仿宋" w:eastAsia="仿宋" w:cs="仿宋"/>
          <w:szCs w:val="24"/>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Fonts w:hint="eastAsia" w:ascii="仿宋" w:hAnsi="仿宋" w:eastAsia="仿宋" w:cs="仿宋"/>
          <w:szCs w:val="24"/>
        </w:rPr>
      </w:pPr>
      <w:r>
        <w:rPr>
          <w:rFonts w:hint="eastAsia" w:ascii="仿宋" w:hAnsi="仿宋" w:eastAsia="仿宋" w:cs="仿宋"/>
          <w:szCs w:val="24"/>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Fonts w:hint="eastAsia" w:ascii="仿宋" w:hAnsi="仿宋" w:eastAsia="仿宋" w:cs="仿宋"/>
          <w:szCs w:val="24"/>
        </w:rPr>
      </w:pPr>
      <w:r>
        <w:rPr>
          <w:rFonts w:hint="eastAsia" w:ascii="仿宋" w:hAnsi="仿宋" w:eastAsia="仿宋" w:cs="仿宋"/>
          <w:szCs w:val="24"/>
        </w:rPr>
        <w:t>采购人或者采购代理机构应当自中标人确定之日起2个工作日内，在省级以上财政部门指定的媒体上公告中标结果。</w:t>
      </w:r>
    </w:p>
    <w:p>
      <w:pPr>
        <w:spacing w:line="460" w:lineRule="exact"/>
        <w:ind w:firstLine="420"/>
        <w:rPr>
          <w:rFonts w:hint="eastAsia" w:ascii="仿宋" w:hAnsi="仿宋" w:eastAsia="仿宋" w:cs="仿宋"/>
          <w:szCs w:val="24"/>
        </w:rPr>
      </w:pPr>
      <w:r>
        <w:rPr>
          <w:rFonts w:hint="eastAsia" w:ascii="仿宋" w:hAnsi="仿宋" w:eastAsia="仿宋" w:cs="仿宋"/>
          <w:szCs w:val="24"/>
        </w:rPr>
        <w:t>公告期限为1个工作日。</w:t>
      </w:r>
    </w:p>
    <w:p>
      <w:pPr>
        <w:spacing w:line="460" w:lineRule="exact"/>
        <w:ind w:firstLine="420"/>
        <w:rPr>
          <w:rFonts w:hint="eastAsia" w:ascii="仿宋" w:hAnsi="仿宋" w:eastAsia="仿宋" w:cs="仿宋"/>
          <w:szCs w:val="24"/>
        </w:rPr>
      </w:pPr>
      <w:r>
        <w:rPr>
          <w:rFonts w:hint="eastAsia" w:ascii="仿宋" w:hAnsi="仿宋" w:eastAsia="仿宋" w:cs="仿宋"/>
          <w:szCs w:val="24"/>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Fonts w:hint="eastAsia" w:ascii="仿宋" w:hAnsi="仿宋" w:eastAsia="仿宋" w:cs="仿宋"/>
          <w:szCs w:val="24"/>
        </w:rPr>
      </w:pPr>
      <w:r>
        <w:rPr>
          <w:rFonts w:hint="eastAsia" w:ascii="仿宋" w:hAnsi="仿宋" w:eastAsia="仿宋" w:cs="仿宋"/>
          <w:szCs w:val="24"/>
        </w:rPr>
        <w:t xml:space="preserve">7.3中标通知书发出后，采购人不得违法改变中标结果，中标人无正当理由不得放弃中标。 </w:t>
      </w:r>
    </w:p>
    <w:p>
      <w:pPr>
        <w:snapToGrid w:val="0"/>
        <w:spacing w:line="460" w:lineRule="exact"/>
        <w:ind w:firstLine="482" w:firstLineChars="200"/>
        <w:jc w:val="left"/>
        <w:outlineLvl w:val="2"/>
        <w:rPr>
          <w:rFonts w:hint="eastAsia" w:ascii="仿宋" w:hAnsi="仿宋" w:eastAsia="仿宋" w:cs="仿宋"/>
          <w:b/>
          <w:szCs w:val="24"/>
        </w:rPr>
      </w:pPr>
      <w:r>
        <w:rPr>
          <w:rFonts w:hint="eastAsia" w:ascii="仿宋" w:hAnsi="仿宋" w:eastAsia="仿宋" w:cs="仿宋"/>
          <w:b/>
          <w:szCs w:val="24"/>
        </w:rPr>
        <w:t>7.2. 中标通知与中标结果公告</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7.2.1自中标人确定之日起2个工作日内，采购机构通过电子交易平台向中标人发出中标通知书，同时编制发布采购结果公告。采购机构也可以以纸质形式进行中标通知。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460" w:lineRule="exact"/>
        <w:ind w:firstLine="480" w:firstLineChars="200"/>
        <w:jc w:val="left"/>
        <w:rPr>
          <w:rFonts w:hint="eastAsia" w:ascii="仿宋" w:hAnsi="仿宋" w:eastAsia="仿宋" w:cs="仿宋"/>
          <w:szCs w:val="24"/>
        </w:rPr>
      </w:pPr>
      <w:r>
        <w:rPr>
          <w:rFonts w:hint="eastAsia" w:ascii="仿宋" w:hAnsi="仿宋" w:eastAsia="仿宋" w:cs="仿宋"/>
          <w:szCs w:val="24"/>
        </w:rPr>
        <w:t>7.2.2中标结果公告内容包括采购人及其委托的采购机构的名称、地址、联系方式，项目名称和项目编号，中标人名称、地址和中标金额，主要中标标的的名称、规格型号、数量、单价、服务要求，开标记录、</w:t>
      </w:r>
      <w:bookmarkStart w:id="85" w:name="_Hlk101184471"/>
      <w:r>
        <w:rPr>
          <w:rFonts w:hint="eastAsia" w:ascii="仿宋" w:hAnsi="仿宋" w:eastAsia="仿宋" w:cs="仿宋"/>
          <w:szCs w:val="24"/>
        </w:rPr>
        <w:t>资格审查情况、评审专家抽取规则、符合性审查情况、</w:t>
      </w:r>
      <w:bookmarkEnd w:id="85"/>
      <w:r>
        <w:rPr>
          <w:rFonts w:hint="eastAsia" w:ascii="仿宋" w:hAnsi="仿宋" w:eastAsia="仿宋" w:cs="仿宋"/>
          <w:szCs w:val="24"/>
        </w:rPr>
        <w:t>未中标情况说明、中标公告期限以及评审专家名单、评分汇总及明细。</w:t>
      </w:r>
    </w:p>
    <w:p>
      <w:pPr>
        <w:snapToGrid w:val="0"/>
        <w:spacing w:line="460" w:lineRule="exact"/>
        <w:ind w:firstLine="480" w:firstLineChars="200"/>
        <w:rPr>
          <w:rFonts w:hint="eastAsia" w:ascii="仿宋" w:hAnsi="仿宋" w:eastAsia="仿宋" w:cs="仿宋"/>
          <w:b/>
          <w:szCs w:val="24"/>
        </w:rPr>
      </w:pPr>
      <w:r>
        <w:rPr>
          <w:rFonts w:hint="eastAsia" w:ascii="仿宋" w:hAnsi="仿宋" w:eastAsia="仿宋" w:cs="仿宋"/>
          <w:szCs w:val="24"/>
        </w:rPr>
        <w:t>7.2.3公告期限为1个工作日。</w:t>
      </w: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八、废标</w:t>
      </w:r>
    </w:p>
    <w:p>
      <w:pPr>
        <w:spacing w:line="460" w:lineRule="exact"/>
        <w:ind w:firstLine="420"/>
        <w:rPr>
          <w:rFonts w:hint="eastAsia" w:ascii="仿宋" w:hAnsi="仿宋" w:eastAsia="仿宋" w:cs="仿宋"/>
          <w:szCs w:val="24"/>
        </w:rPr>
      </w:pPr>
      <w:r>
        <w:rPr>
          <w:rFonts w:hint="eastAsia" w:ascii="仿宋" w:hAnsi="仿宋" w:eastAsia="仿宋" w:cs="仿宋"/>
          <w:szCs w:val="24"/>
        </w:rPr>
        <w:t>8.1出现下列情形之一的，应予以废标：</w:t>
      </w:r>
    </w:p>
    <w:p>
      <w:pPr>
        <w:spacing w:line="460" w:lineRule="exact"/>
        <w:ind w:firstLine="420"/>
        <w:rPr>
          <w:rFonts w:hint="eastAsia" w:ascii="仿宋" w:hAnsi="仿宋" w:eastAsia="仿宋" w:cs="仿宋"/>
          <w:szCs w:val="24"/>
        </w:rPr>
      </w:pPr>
      <w:r>
        <w:rPr>
          <w:rFonts w:hint="eastAsia" w:ascii="仿宋" w:hAnsi="仿宋" w:eastAsia="仿宋" w:cs="仿宋"/>
          <w:szCs w:val="24"/>
        </w:rPr>
        <w:t>8.1.1符合专业条件的供应商或者对采购文件作实质响应的供应商不足三家的；</w:t>
      </w:r>
    </w:p>
    <w:p>
      <w:pPr>
        <w:spacing w:line="460" w:lineRule="exact"/>
        <w:ind w:firstLine="420"/>
        <w:rPr>
          <w:rFonts w:hint="eastAsia" w:ascii="仿宋" w:hAnsi="仿宋" w:eastAsia="仿宋" w:cs="仿宋"/>
          <w:szCs w:val="24"/>
        </w:rPr>
      </w:pPr>
      <w:r>
        <w:rPr>
          <w:rFonts w:hint="eastAsia" w:ascii="仿宋" w:hAnsi="仿宋" w:eastAsia="仿宋" w:cs="仿宋"/>
          <w:szCs w:val="24"/>
        </w:rPr>
        <w:t>8.1.2出现影响采购公正的违法、违规行为的；</w:t>
      </w:r>
    </w:p>
    <w:p>
      <w:pPr>
        <w:spacing w:line="460" w:lineRule="exact"/>
        <w:ind w:firstLine="420"/>
        <w:rPr>
          <w:rFonts w:hint="eastAsia" w:ascii="仿宋" w:hAnsi="仿宋" w:eastAsia="仿宋" w:cs="仿宋"/>
          <w:szCs w:val="24"/>
        </w:rPr>
      </w:pPr>
      <w:r>
        <w:rPr>
          <w:rFonts w:hint="eastAsia" w:ascii="仿宋" w:hAnsi="仿宋" w:eastAsia="仿宋" w:cs="仿宋"/>
          <w:szCs w:val="24"/>
        </w:rPr>
        <w:t>8.1.3所有投标人的报价均超过了采购预算，采购人不能支付的；</w:t>
      </w:r>
    </w:p>
    <w:p>
      <w:pPr>
        <w:spacing w:line="460" w:lineRule="exact"/>
        <w:ind w:firstLine="420"/>
        <w:rPr>
          <w:rFonts w:hint="eastAsia" w:ascii="仿宋" w:hAnsi="仿宋" w:eastAsia="仿宋" w:cs="仿宋"/>
          <w:szCs w:val="24"/>
        </w:rPr>
      </w:pPr>
      <w:r>
        <w:rPr>
          <w:rFonts w:hint="eastAsia" w:ascii="仿宋" w:hAnsi="仿宋" w:eastAsia="仿宋" w:cs="仿宋"/>
          <w:szCs w:val="24"/>
        </w:rPr>
        <w:t>8.1.4因重大变故，采购任务取消的。</w:t>
      </w:r>
    </w:p>
    <w:p>
      <w:pPr>
        <w:spacing w:line="460" w:lineRule="exact"/>
        <w:ind w:left="718" w:leftChars="174" w:hanging="300" w:hangingChars="125"/>
        <w:rPr>
          <w:rFonts w:hint="eastAsia" w:ascii="仿宋" w:hAnsi="仿宋" w:eastAsia="仿宋" w:cs="仿宋"/>
          <w:szCs w:val="24"/>
        </w:rPr>
      </w:pPr>
      <w:r>
        <w:rPr>
          <w:rFonts w:hint="eastAsia" w:ascii="仿宋" w:hAnsi="仿宋" w:eastAsia="仿宋" w:cs="仿宋"/>
          <w:szCs w:val="24"/>
        </w:rPr>
        <w:t>8.2采购过程中出现以下情形，导致电子交易平台无法正常运行，或者无法保证电子交易的公 平、公正和安全时，采购组织机构可中止电子交易活动：</w:t>
      </w:r>
    </w:p>
    <w:p>
      <w:pPr>
        <w:spacing w:line="460" w:lineRule="exact"/>
        <w:ind w:firstLine="420"/>
        <w:rPr>
          <w:rFonts w:hint="eastAsia" w:ascii="仿宋" w:hAnsi="仿宋" w:eastAsia="仿宋" w:cs="仿宋"/>
          <w:szCs w:val="24"/>
        </w:rPr>
      </w:pPr>
      <w:r>
        <w:rPr>
          <w:rFonts w:hint="eastAsia" w:ascii="仿宋" w:hAnsi="仿宋" w:eastAsia="仿宋" w:cs="仿宋"/>
          <w:szCs w:val="24"/>
        </w:rPr>
        <w:t xml:space="preserve">8.2.1电子交易平台发生故障而无法登录访问的； </w:t>
      </w:r>
    </w:p>
    <w:p>
      <w:pPr>
        <w:spacing w:line="460" w:lineRule="exact"/>
        <w:ind w:firstLine="420"/>
        <w:rPr>
          <w:rFonts w:hint="eastAsia" w:ascii="仿宋" w:hAnsi="仿宋" w:eastAsia="仿宋" w:cs="仿宋"/>
          <w:szCs w:val="24"/>
        </w:rPr>
      </w:pPr>
      <w:r>
        <w:rPr>
          <w:rFonts w:hint="eastAsia" w:ascii="仿宋" w:hAnsi="仿宋" w:eastAsia="仿宋" w:cs="仿宋"/>
          <w:szCs w:val="24"/>
        </w:rPr>
        <w:t>8.2.2电子交易平台应用或数据库出现错误，不能进行正常操作的；</w:t>
      </w:r>
    </w:p>
    <w:p>
      <w:pPr>
        <w:spacing w:line="460" w:lineRule="exact"/>
        <w:ind w:firstLine="420"/>
        <w:rPr>
          <w:rFonts w:hint="eastAsia" w:ascii="仿宋" w:hAnsi="仿宋" w:eastAsia="仿宋" w:cs="仿宋"/>
          <w:szCs w:val="24"/>
        </w:rPr>
      </w:pPr>
      <w:r>
        <w:rPr>
          <w:rFonts w:hint="eastAsia" w:ascii="仿宋" w:hAnsi="仿宋" w:eastAsia="仿宋" w:cs="仿宋"/>
          <w:szCs w:val="24"/>
        </w:rPr>
        <w:t>8.2.3电子交易平台发现严重安全漏洞，有潜在泄密危险的；</w:t>
      </w:r>
    </w:p>
    <w:p>
      <w:pPr>
        <w:spacing w:line="460" w:lineRule="exact"/>
        <w:ind w:firstLine="420"/>
        <w:rPr>
          <w:rFonts w:hint="eastAsia" w:ascii="仿宋" w:hAnsi="仿宋" w:eastAsia="仿宋" w:cs="仿宋"/>
          <w:szCs w:val="24"/>
        </w:rPr>
      </w:pPr>
      <w:r>
        <w:rPr>
          <w:rFonts w:hint="eastAsia" w:ascii="仿宋" w:hAnsi="仿宋" w:eastAsia="仿宋" w:cs="仿宋"/>
          <w:szCs w:val="24"/>
        </w:rPr>
        <w:t xml:space="preserve">8.2.4病毒发作导致不能进行正常操作的； </w:t>
      </w:r>
    </w:p>
    <w:p>
      <w:pPr>
        <w:spacing w:line="460" w:lineRule="exact"/>
        <w:ind w:firstLine="420"/>
        <w:rPr>
          <w:rFonts w:hint="eastAsia" w:ascii="仿宋" w:hAnsi="仿宋" w:eastAsia="仿宋" w:cs="仿宋"/>
          <w:szCs w:val="24"/>
        </w:rPr>
      </w:pPr>
      <w:r>
        <w:rPr>
          <w:rFonts w:hint="eastAsia" w:ascii="仿宋" w:hAnsi="仿宋" w:eastAsia="仿宋" w:cs="仿宋"/>
          <w:szCs w:val="24"/>
        </w:rPr>
        <w:t>8.2.5其他无法保证电子交易的公平、公正和安全的情况。</w:t>
      </w:r>
    </w:p>
    <w:p>
      <w:pPr>
        <w:spacing w:line="460" w:lineRule="exact"/>
        <w:ind w:firstLine="420"/>
        <w:rPr>
          <w:rFonts w:hint="eastAsia" w:ascii="仿宋" w:hAnsi="仿宋" w:eastAsia="仿宋" w:cs="仿宋"/>
          <w:szCs w:val="24"/>
        </w:rPr>
      </w:pPr>
      <w:r>
        <w:rPr>
          <w:rFonts w:hint="eastAsia" w:ascii="仿宋" w:hAnsi="仿宋" w:eastAsia="仿宋" w:cs="仿宋"/>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60" w:lineRule="exact"/>
        <w:ind w:firstLine="420"/>
        <w:rPr>
          <w:rFonts w:hint="eastAsia" w:ascii="仿宋" w:hAnsi="仿宋" w:eastAsia="仿宋" w:cs="仿宋"/>
          <w:szCs w:val="24"/>
        </w:rPr>
      </w:pPr>
      <w:r>
        <w:rPr>
          <w:rFonts w:hint="eastAsia" w:ascii="仿宋" w:hAnsi="仿宋" w:eastAsia="仿宋" w:cs="仿宋"/>
          <w:szCs w:val="24"/>
        </w:rPr>
        <w:t>8.2.6 废标后，采购人应当将废标理由通知所有投标人并重新组织招标；或者经主管部门批准，采取其他方式组织采购。</w:t>
      </w:r>
    </w:p>
    <w:p>
      <w:pPr>
        <w:pStyle w:val="3"/>
        <w:spacing w:line="460" w:lineRule="exact"/>
        <w:jc w:val="center"/>
        <w:rPr>
          <w:rFonts w:hint="eastAsia" w:ascii="仿宋" w:hAnsi="仿宋" w:eastAsia="仿宋" w:cs="仿宋"/>
          <w:szCs w:val="32"/>
        </w:rPr>
      </w:pPr>
      <w:bookmarkStart w:id="86" w:name="_Toc450482502"/>
      <w:bookmarkStart w:id="87" w:name="_Toc35261577"/>
      <w:bookmarkStart w:id="88" w:name="_Toc54978896"/>
      <w:r>
        <w:rPr>
          <w:rFonts w:hint="eastAsia" w:ascii="仿宋" w:hAnsi="仿宋" w:eastAsia="仿宋" w:cs="仿宋"/>
          <w:szCs w:val="32"/>
        </w:rPr>
        <w:t>九、合同授予</w:t>
      </w:r>
      <w:bookmarkEnd w:id="86"/>
      <w:r>
        <w:rPr>
          <w:rFonts w:hint="eastAsia" w:ascii="仿宋" w:hAnsi="仿宋" w:eastAsia="仿宋" w:cs="仿宋"/>
          <w:szCs w:val="32"/>
        </w:rPr>
        <w:t>及签订</w:t>
      </w:r>
      <w:bookmarkEnd w:id="87"/>
      <w:bookmarkEnd w:id="88"/>
    </w:p>
    <w:p>
      <w:pPr>
        <w:spacing w:line="460" w:lineRule="exact"/>
        <w:ind w:firstLine="420"/>
        <w:rPr>
          <w:rFonts w:hint="eastAsia" w:ascii="仿宋" w:hAnsi="仿宋" w:eastAsia="仿宋" w:cs="仿宋"/>
          <w:szCs w:val="24"/>
        </w:rPr>
      </w:pPr>
      <w:r>
        <w:rPr>
          <w:rFonts w:hint="eastAsia" w:ascii="仿宋" w:hAnsi="仿宋" w:eastAsia="仿宋" w:cs="仿宋"/>
          <w:szCs w:val="24"/>
        </w:rPr>
        <w:t>9.1合同授予</w:t>
      </w:r>
    </w:p>
    <w:p>
      <w:pPr>
        <w:spacing w:line="460" w:lineRule="exact"/>
        <w:ind w:firstLine="420"/>
        <w:rPr>
          <w:rFonts w:hint="eastAsia" w:ascii="仿宋" w:hAnsi="仿宋" w:eastAsia="仿宋" w:cs="仿宋"/>
          <w:szCs w:val="24"/>
        </w:rPr>
      </w:pPr>
      <w:r>
        <w:rPr>
          <w:rFonts w:hint="eastAsia" w:ascii="仿宋" w:hAnsi="仿宋" w:eastAsia="仿宋" w:cs="仿宋"/>
          <w:szCs w:val="24"/>
        </w:rPr>
        <w:t>9.1.1本项目的合同将授予按本须知第7.1.1款所确定的中标人。</w:t>
      </w:r>
    </w:p>
    <w:p>
      <w:pPr>
        <w:spacing w:line="460" w:lineRule="exact"/>
        <w:ind w:firstLine="420"/>
        <w:rPr>
          <w:rFonts w:hint="eastAsia" w:ascii="仿宋" w:hAnsi="仿宋" w:eastAsia="仿宋" w:cs="仿宋"/>
          <w:szCs w:val="24"/>
        </w:rPr>
      </w:pPr>
      <w:r>
        <w:rPr>
          <w:rFonts w:hint="eastAsia" w:ascii="仿宋" w:hAnsi="仿宋" w:eastAsia="仿宋" w:cs="仿宋"/>
          <w:szCs w:val="24"/>
        </w:rPr>
        <w:t>9.1.2 中标或者成交供应商拒绝与采购人签订合同的，采购人可以按照评审报告推荐的中标或者成交候选人名单排序，确定下一候选人为中标或者成交供应商，也可以重新开展采购活动。</w:t>
      </w:r>
    </w:p>
    <w:p>
      <w:pPr>
        <w:spacing w:line="460" w:lineRule="exact"/>
        <w:ind w:firstLine="420"/>
        <w:rPr>
          <w:rFonts w:hint="eastAsia" w:ascii="仿宋" w:hAnsi="仿宋" w:eastAsia="仿宋" w:cs="仿宋"/>
          <w:szCs w:val="24"/>
        </w:rPr>
      </w:pPr>
      <w:r>
        <w:rPr>
          <w:rFonts w:hint="eastAsia" w:ascii="仿宋" w:hAnsi="仿宋" w:eastAsia="仿宋" w:cs="仿宋"/>
          <w:szCs w:val="24"/>
        </w:rPr>
        <w:t>9.2签订合同</w:t>
      </w:r>
    </w:p>
    <w:p>
      <w:pPr>
        <w:spacing w:line="460" w:lineRule="exact"/>
        <w:ind w:firstLine="420"/>
        <w:rPr>
          <w:rFonts w:hint="eastAsia" w:ascii="仿宋" w:hAnsi="仿宋" w:eastAsia="仿宋" w:cs="仿宋"/>
          <w:szCs w:val="24"/>
        </w:rPr>
      </w:pPr>
      <w:r>
        <w:rPr>
          <w:rFonts w:hint="eastAsia" w:ascii="仿宋" w:hAnsi="仿宋" w:eastAsia="仿宋" w:cs="仿宋"/>
          <w:szCs w:val="24"/>
        </w:rPr>
        <w:t>9.2.1 中标人应按中标通知书规定的时间与采购人签订合同。中标人在领取中标通知书时须向采购人提供一份关于本项目在实施过程中的相关人员的通讯录作为合同附件。</w:t>
      </w:r>
    </w:p>
    <w:p>
      <w:pPr>
        <w:spacing w:line="460" w:lineRule="exact"/>
        <w:ind w:firstLine="420"/>
        <w:rPr>
          <w:rFonts w:hint="eastAsia" w:ascii="仿宋" w:hAnsi="仿宋" w:eastAsia="仿宋" w:cs="仿宋"/>
          <w:szCs w:val="24"/>
        </w:rPr>
      </w:pPr>
      <w:r>
        <w:rPr>
          <w:rFonts w:hint="eastAsia" w:ascii="仿宋" w:hAnsi="仿宋" w:eastAsia="仿宋" w:cs="仿宋"/>
          <w:szCs w:val="24"/>
        </w:rPr>
        <w:t>9.2.2 中标人如不遵守采购文件或投标文件各项条款的邀约与要约，或在接到中标通知书后借故拖延，拒签合同的，采购人将依据国家和采购文件有关规定要求中标人予以赔偿，同时采购人可根据相关规定另行选择中标人；</w:t>
      </w:r>
    </w:p>
    <w:p>
      <w:pPr>
        <w:spacing w:line="460" w:lineRule="exact"/>
        <w:ind w:firstLine="420"/>
        <w:rPr>
          <w:rFonts w:hint="eastAsia" w:ascii="仿宋" w:hAnsi="仿宋" w:eastAsia="仿宋" w:cs="仿宋"/>
          <w:szCs w:val="24"/>
        </w:rPr>
      </w:pPr>
      <w:r>
        <w:rPr>
          <w:rFonts w:hint="eastAsia" w:ascii="仿宋" w:hAnsi="仿宋" w:eastAsia="仿宋" w:cs="仿宋"/>
          <w:szCs w:val="24"/>
        </w:rPr>
        <w:t>9.2.3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Fonts w:hint="eastAsia" w:ascii="仿宋" w:hAnsi="仿宋" w:eastAsia="仿宋" w:cs="仿宋"/>
          <w:szCs w:val="24"/>
        </w:rPr>
      </w:pPr>
      <w:r>
        <w:rPr>
          <w:rFonts w:hint="eastAsia" w:ascii="仿宋" w:hAnsi="仿宋" w:eastAsia="仿宋" w:cs="仿宋"/>
          <w:szCs w:val="24"/>
        </w:rPr>
        <w:t>9.3履约保证金</w:t>
      </w:r>
    </w:p>
    <w:p>
      <w:pPr>
        <w:spacing w:line="460" w:lineRule="exact"/>
        <w:ind w:firstLine="420"/>
        <w:rPr>
          <w:rFonts w:hint="eastAsia" w:ascii="仿宋" w:hAnsi="仿宋" w:eastAsia="仿宋" w:cs="仿宋"/>
          <w:szCs w:val="24"/>
        </w:rPr>
      </w:pPr>
      <w:r>
        <w:rPr>
          <w:rFonts w:hint="eastAsia" w:ascii="仿宋" w:hAnsi="仿宋" w:eastAsia="仿宋" w:cs="仿宋"/>
          <w:szCs w:val="24"/>
        </w:rPr>
        <w:t>9.3.1中标人按“投标人须知前附表”规定的缴纳履约保证金。</w:t>
      </w:r>
    </w:p>
    <w:p>
      <w:pPr>
        <w:spacing w:line="460" w:lineRule="exact"/>
        <w:ind w:firstLine="420"/>
        <w:rPr>
          <w:rFonts w:hint="eastAsia" w:ascii="仿宋" w:hAnsi="仿宋" w:eastAsia="仿宋" w:cs="仿宋"/>
          <w:szCs w:val="24"/>
        </w:rPr>
      </w:pPr>
      <w:r>
        <w:rPr>
          <w:rFonts w:hint="eastAsia" w:ascii="仿宋" w:hAnsi="仿宋" w:eastAsia="仿宋" w:cs="仿宋"/>
          <w:szCs w:val="24"/>
        </w:rPr>
        <w:t>9.3.2履约保证金有效期按“投标人须知前附表”规定。</w:t>
      </w:r>
    </w:p>
    <w:p>
      <w:pPr>
        <w:spacing w:line="460" w:lineRule="exact"/>
        <w:ind w:firstLine="420"/>
        <w:rPr>
          <w:rFonts w:hint="eastAsia" w:ascii="仿宋" w:hAnsi="仿宋" w:eastAsia="仿宋" w:cs="仿宋"/>
          <w:szCs w:val="24"/>
        </w:rPr>
      </w:pPr>
      <w:r>
        <w:rPr>
          <w:rFonts w:hint="eastAsia" w:ascii="仿宋" w:hAnsi="仿宋" w:eastAsia="仿宋" w:cs="仿宋"/>
          <w:szCs w:val="24"/>
        </w:rPr>
        <w:t>9.3.3履约保证金有效期结束后，中标人凭保证金收据无息退还。</w:t>
      </w:r>
    </w:p>
    <w:p>
      <w:pPr>
        <w:spacing w:line="460" w:lineRule="exact"/>
        <w:ind w:firstLine="420"/>
        <w:rPr>
          <w:rFonts w:hint="eastAsia" w:ascii="仿宋" w:hAnsi="仿宋" w:eastAsia="仿宋" w:cs="仿宋"/>
          <w:szCs w:val="24"/>
        </w:rPr>
      </w:pPr>
      <w:r>
        <w:rPr>
          <w:rFonts w:hint="eastAsia" w:ascii="仿宋" w:hAnsi="仿宋" w:eastAsia="仿宋" w:cs="仿宋"/>
          <w:szCs w:val="24"/>
        </w:rPr>
        <w:t>9.3.4如投标人有下列情况，投标人将承担赔偿责任，赔偿金额为项目预算金额的2%，如实际损失超过前述金额的，投标人需赔偿超过前述金额部分的实际损失。</w:t>
      </w:r>
    </w:p>
    <w:p>
      <w:pPr>
        <w:spacing w:line="460" w:lineRule="exact"/>
        <w:ind w:firstLine="420"/>
        <w:rPr>
          <w:rFonts w:hint="eastAsia" w:ascii="仿宋" w:hAnsi="仿宋" w:eastAsia="仿宋" w:cs="仿宋"/>
          <w:szCs w:val="24"/>
        </w:rPr>
      </w:pPr>
      <w:r>
        <w:rPr>
          <w:rFonts w:hint="eastAsia" w:ascii="仿宋" w:hAnsi="仿宋" w:eastAsia="仿宋" w:cs="仿宋"/>
          <w:szCs w:val="24"/>
        </w:rPr>
        <w:t>9.3.4.1投标人在投标截止时间后撤销投标文件的；</w:t>
      </w:r>
    </w:p>
    <w:p>
      <w:pPr>
        <w:spacing w:line="460" w:lineRule="exact"/>
        <w:ind w:firstLine="420"/>
        <w:rPr>
          <w:rFonts w:hint="eastAsia" w:ascii="仿宋" w:hAnsi="仿宋" w:eastAsia="仿宋" w:cs="仿宋"/>
          <w:szCs w:val="24"/>
        </w:rPr>
      </w:pPr>
      <w:r>
        <w:rPr>
          <w:rFonts w:hint="eastAsia" w:ascii="仿宋" w:hAnsi="仿宋" w:eastAsia="仿宋" w:cs="仿宋"/>
          <w:szCs w:val="24"/>
        </w:rPr>
        <w:t>9.3.4.2投标人未按规定签订合同或转让中标的；</w:t>
      </w:r>
    </w:p>
    <w:p>
      <w:pPr>
        <w:spacing w:line="460" w:lineRule="exact"/>
        <w:ind w:firstLine="420"/>
        <w:rPr>
          <w:rFonts w:hint="eastAsia" w:ascii="仿宋" w:hAnsi="仿宋" w:eastAsia="仿宋" w:cs="仿宋"/>
          <w:szCs w:val="24"/>
        </w:rPr>
      </w:pPr>
      <w:r>
        <w:rPr>
          <w:rFonts w:hint="eastAsia" w:ascii="仿宋" w:hAnsi="仿宋" w:eastAsia="仿宋" w:cs="仿宋"/>
          <w:szCs w:val="24"/>
        </w:rPr>
        <w:t>9.3.4.3其他投标人违反《中华人民共和国政府采购法》等法律法规规定，给采购人造成损失的。</w:t>
      </w:r>
    </w:p>
    <w:p>
      <w:pPr>
        <w:spacing w:line="460" w:lineRule="exact"/>
        <w:ind w:firstLine="420"/>
        <w:rPr>
          <w:rFonts w:hint="eastAsia" w:ascii="仿宋" w:hAnsi="仿宋" w:eastAsia="仿宋" w:cs="仿宋"/>
          <w:szCs w:val="24"/>
        </w:rPr>
      </w:pPr>
      <w:r>
        <w:rPr>
          <w:rFonts w:hint="eastAsia" w:ascii="仿宋" w:hAnsi="仿宋" w:eastAsia="仿宋" w:cs="仿宋"/>
          <w:szCs w:val="24"/>
        </w:rPr>
        <w:t>9.4采购代理服务费</w:t>
      </w:r>
    </w:p>
    <w:p>
      <w:pPr>
        <w:spacing w:line="460" w:lineRule="exact"/>
        <w:ind w:firstLine="420"/>
        <w:rPr>
          <w:rFonts w:hint="eastAsia" w:ascii="仿宋" w:hAnsi="仿宋" w:eastAsia="仿宋" w:cs="仿宋"/>
          <w:szCs w:val="24"/>
        </w:rPr>
      </w:pPr>
      <w:r>
        <w:rPr>
          <w:rFonts w:hint="eastAsia" w:ascii="仿宋" w:hAnsi="仿宋" w:eastAsia="仿宋" w:cs="仿宋"/>
          <w:szCs w:val="24"/>
        </w:rPr>
        <w:t>本次采购代理服务费按“投标人须知前附表”规定收取。</w:t>
      </w:r>
      <w:bookmarkStart w:id="89" w:name="_Toc226337791"/>
      <w:bookmarkStart w:id="90" w:name="_Toc248065069"/>
      <w:bookmarkStart w:id="91" w:name="_Toc180555950"/>
    </w:p>
    <w:p>
      <w:pPr>
        <w:spacing w:line="460" w:lineRule="exact"/>
        <w:ind w:firstLine="420"/>
        <w:rPr>
          <w:rFonts w:hint="eastAsia" w:ascii="仿宋" w:hAnsi="仿宋" w:eastAsia="仿宋" w:cs="仿宋"/>
          <w:szCs w:val="24"/>
        </w:rPr>
      </w:pPr>
      <w:r>
        <w:rPr>
          <w:rFonts w:hint="eastAsia" w:ascii="仿宋" w:hAnsi="仿宋" w:eastAsia="仿宋" w:cs="仿宋"/>
          <w:szCs w:val="24"/>
        </w:rPr>
        <w:t>9.5诚实信用</w:t>
      </w:r>
      <w:bookmarkEnd w:id="89"/>
      <w:bookmarkEnd w:id="90"/>
      <w:bookmarkEnd w:id="91"/>
    </w:p>
    <w:p>
      <w:pPr>
        <w:spacing w:line="460" w:lineRule="exact"/>
        <w:ind w:firstLine="420"/>
        <w:rPr>
          <w:rFonts w:hint="eastAsia" w:ascii="仿宋" w:hAnsi="仿宋" w:eastAsia="仿宋" w:cs="仿宋"/>
          <w:szCs w:val="24"/>
        </w:rPr>
      </w:pPr>
      <w:bookmarkStart w:id="92" w:name="_Toc226337792"/>
      <w:bookmarkStart w:id="93" w:name="_Toc180555951"/>
      <w:bookmarkStart w:id="94" w:name="_Toc248065070"/>
      <w:r>
        <w:rPr>
          <w:rFonts w:hint="eastAsia" w:ascii="仿宋" w:hAnsi="仿宋" w:eastAsia="仿宋" w:cs="仿宋"/>
          <w:szCs w:val="24"/>
        </w:rPr>
        <w:t>9.5.1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Fonts w:hint="eastAsia" w:ascii="仿宋" w:hAnsi="仿宋" w:eastAsia="仿宋" w:cs="仿宋"/>
          <w:szCs w:val="24"/>
        </w:rPr>
      </w:pPr>
      <w:r>
        <w:rPr>
          <w:rFonts w:hint="eastAsia" w:ascii="仿宋" w:hAnsi="仿宋" w:eastAsia="仿宋" w:cs="仿宋"/>
          <w:szCs w:val="24"/>
        </w:rPr>
        <w:t>9.5.2如果采购人有证据表明投标人在本招标项目的竞争中存在腐败、欺诈、失信记录或其他严重违背诚信原则的行为，则将拒绝其投标，或中标无效。</w:t>
      </w:r>
    </w:p>
    <w:p>
      <w:pPr>
        <w:spacing w:line="460" w:lineRule="exact"/>
        <w:ind w:firstLine="420"/>
        <w:rPr>
          <w:rFonts w:hint="eastAsia" w:ascii="仿宋" w:hAnsi="仿宋" w:eastAsia="仿宋" w:cs="仿宋"/>
          <w:szCs w:val="24"/>
        </w:rPr>
      </w:pPr>
      <w:r>
        <w:rPr>
          <w:rFonts w:hint="eastAsia" w:ascii="仿宋" w:hAnsi="仿宋" w:eastAsia="仿宋" w:cs="仿宋"/>
          <w:szCs w:val="24"/>
        </w:rPr>
        <w:t>9.5.3如果中标人没有按照采购文件和中标通知书的规定签订合同，报嵊州市采购监督管理部门按照采购的有关规定进行处理。</w:t>
      </w:r>
      <w:bookmarkEnd w:id="92"/>
      <w:bookmarkEnd w:id="93"/>
      <w:bookmarkEnd w:id="94"/>
    </w:p>
    <w:p>
      <w:pPr>
        <w:pStyle w:val="3"/>
        <w:spacing w:line="460" w:lineRule="exact"/>
        <w:jc w:val="center"/>
        <w:rPr>
          <w:rFonts w:hint="eastAsia" w:ascii="仿宋" w:hAnsi="仿宋" w:eastAsia="仿宋" w:cs="仿宋"/>
          <w:szCs w:val="32"/>
        </w:rPr>
      </w:pPr>
      <w:bookmarkStart w:id="95" w:name="_Toc35261578"/>
      <w:bookmarkStart w:id="96" w:name="_Toc54978897"/>
      <w:r>
        <w:rPr>
          <w:rFonts w:hint="eastAsia" w:ascii="仿宋" w:hAnsi="仿宋" w:eastAsia="仿宋" w:cs="仿宋"/>
          <w:szCs w:val="32"/>
        </w:rPr>
        <w:t>十、询问、投诉、质疑</w:t>
      </w:r>
      <w:bookmarkEnd w:id="95"/>
      <w:bookmarkEnd w:id="96"/>
    </w:p>
    <w:p>
      <w:pPr>
        <w:spacing w:line="460" w:lineRule="exact"/>
        <w:ind w:firstLine="420"/>
        <w:rPr>
          <w:rFonts w:hint="eastAsia" w:ascii="仿宋" w:hAnsi="仿宋" w:eastAsia="仿宋" w:cs="仿宋"/>
          <w:szCs w:val="24"/>
        </w:rPr>
      </w:pPr>
      <w:r>
        <w:rPr>
          <w:rFonts w:hint="eastAsia" w:ascii="仿宋" w:hAnsi="仿宋" w:eastAsia="仿宋" w:cs="仿宋"/>
          <w:szCs w:val="24"/>
        </w:rPr>
        <w:t>根据《财政部关于加强政府采购供应商投诉受理审查工作的通知》(财库〔2007〕1号)和《政府采购质疑和投诉办法》（财政部令第94号）的规定，采购供应商（投标人，下同）可以依法提起质疑和投诉。</w:t>
      </w:r>
    </w:p>
    <w:p>
      <w:pPr>
        <w:spacing w:line="460" w:lineRule="exact"/>
        <w:ind w:firstLine="420"/>
        <w:rPr>
          <w:rFonts w:hint="eastAsia" w:ascii="仿宋" w:hAnsi="仿宋" w:eastAsia="仿宋" w:cs="仿宋"/>
          <w:szCs w:val="24"/>
        </w:rPr>
      </w:pPr>
      <w:r>
        <w:rPr>
          <w:rFonts w:hint="eastAsia" w:ascii="仿宋" w:hAnsi="仿宋" w:eastAsia="仿宋" w:cs="仿宋"/>
          <w:szCs w:val="24"/>
        </w:rPr>
        <w:t>质疑函范本、投诉书范本请到浙江政府采购网下载专区下载。</w:t>
      </w:r>
    </w:p>
    <w:p>
      <w:pPr>
        <w:spacing w:line="460" w:lineRule="exact"/>
        <w:ind w:firstLine="420"/>
        <w:rPr>
          <w:rFonts w:hint="eastAsia" w:ascii="仿宋" w:hAnsi="仿宋" w:eastAsia="仿宋" w:cs="仿宋"/>
          <w:szCs w:val="24"/>
        </w:rPr>
      </w:pPr>
      <w:r>
        <w:rPr>
          <w:rFonts w:hint="eastAsia" w:ascii="仿宋" w:hAnsi="仿宋" w:eastAsia="仿宋" w:cs="仿宋"/>
          <w:szCs w:val="24"/>
        </w:rPr>
        <w:t>10.1供应商询问</w:t>
      </w:r>
    </w:p>
    <w:p>
      <w:pPr>
        <w:spacing w:line="460" w:lineRule="exact"/>
        <w:ind w:firstLine="420"/>
        <w:rPr>
          <w:rFonts w:hint="eastAsia" w:ascii="仿宋" w:hAnsi="仿宋" w:eastAsia="仿宋" w:cs="仿宋"/>
          <w:szCs w:val="24"/>
        </w:rPr>
      </w:pPr>
      <w:r>
        <w:rPr>
          <w:rFonts w:hint="eastAsia" w:ascii="仿宋" w:hAnsi="仿宋" w:eastAsia="仿宋" w:cs="仿宋"/>
          <w:szCs w:val="24"/>
        </w:rPr>
        <w:t>供应商对采购活动事项有疑问的，可以向采购机构提出询问，采购人或者采购代理机构应当在3个工作日内对供应商依法提出的询问作出答复，但答复的内容不得涉及商业秘密。</w:t>
      </w:r>
    </w:p>
    <w:p>
      <w:pPr>
        <w:spacing w:line="460" w:lineRule="exact"/>
        <w:ind w:firstLine="420"/>
        <w:rPr>
          <w:rFonts w:hint="eastAsia" w:ascii="仿宋" w:hAnsi="仿宋" w:eastAsia="仿宋" w:cs="仿宋"/>
          <w:szCs w:val="24"/>
        </w:rPr>
      </w:pPr>
      <w:r>
        <w:rPr>
          <w:rFonts w:hint="eastAsia" w:ascii="仿宋" w:hAnsi="仿宋" w:eastAsia="仿宋" w:cs="仿宋"/>
          <w:szCs w:val="24"/>
        </w:rPr>
        <w:t>10.2供应商质疑</w:t>
      </w:r>
    </w:p>
    <w:p>
      <w:pPr>
        <w:spacing w:line="460" w:lineRule="exact"/>
        <w:ind w:firstLine="420"/>
        <w:rPr>
          <w:rFonts w:hint="eastAsia" w:ascii="仿宋" w:hAnsi="仿宋" w:eastAsia="仿宋" w:cs="仿宋"/>
          <w:szCs w:val="24"/>
        </w:rPr>
      </w:pPr>
      <w:r>
        <w:rPr>
          <w:rFonts w:hint="eastAsia" w:ascii="仿宋" w:hAnsi="仿宋" w:eastAsia="仿宋" w:cs="仿宋"/>
          <w:szCs w:val="24"/>
        </w:rPr>
        <w:t>10.2.1投标人认为采购文件、采购过程、中标或者成交结果使自己的权益受到损害的，可以在知道或者应知其权益受到损害之日起7个工作日内，以书面形式向采购人、采购代理机构提出质疑。</w:t>
      </w:r>
    </w:p>
    <w:p>
      <w:pPr>
        <w:spacing w:line="460" w:lineRule="exact"/>
        <w:ind w:firstLine="420"/>
        <w:rPr>
          <w:rFonts w:hint="eastAsia" w:ascii="仿宋" w:hAnsi="仿宋" w:eastAsia="仿宋" w:cs="仿宋"/>
          <w:szCs w:val="24"/>
        </w:rPr>
      </w:pPr>
      <w:r>
        <w:rPr>
          <w:rFonts w:hint="eastAsia" w:ascii="仿宋" w:hAnsi="仿宋" w:eastAsia="仿宋" w:cs="仿宋"/>
          <w:szCs w:val="24"/>
        </w:rPr>
        <w:t>本项目要求投标人在法定质疑期内一次性提出针对同一采购程序环节的质疑。</w:t>
      </w:r>
    </w:p>
    <w:p>
      <w:pPr>
        <w:spacing w:line="460" w:lineRule="exact"/>
        <w:ind w:firstLine="420"/>
        <w:rPr>
          <w:rFonts w:hint="eastAsia" w:ascii="仿宋" w:hAnsi="仿宋" w:eastAsia="仿宋" w:cs="仿宋"/>
          <w:szCs w:val="24"/>
        </w:rPr>
      </w:pPr>
      <w:r>
        <w:rPr>
          <w:rFonts w:hint="eastAsia" w:ascii="仿宋" w:hAnsi="仿宋" w:eastAsia="仿宋" w:cs="仿宋"/>
          <w:szCs w:val="24"/>
        </w:rPr>
        <w:t>10.2.2提出质疑的投标人（以下简称质疑人）应当是参与所质疑项目采购活动的投标人。</w:t>
      </w:r>
    </w:p>
    <w:p>
      <w:pPr>
        <w:spacing w:line="460" w:lineRule="exact"/>
        <w:ind w:firstLine="420"/>
        <w:rPr>
          <w:rFonts w:hint="eastAsia" w:ascii="仿宋" w:hAnsi="仿宋" w:eastAsia="仿宋" w:cs="仿宋"/>
          <w:szCs w:val="24"/>
        </w:rPr>
      </w:pPr>
      <w:r>
        <w:rPr>
          <w:rFonts w:hint="eastAsia" w:ascii="仿宋" w:hAnsi="仿宋" w:eastAsia="仿宋" w:cs="仿宋"/>
          <w:szCs w:val="24"/>
        </w:rPr>
        <w:t>潜在投标人已依法获取其可质疑的采购文件的，可以对该文件提出质疑。对采购文件提出质疑的，应当在获取采购文件或者采购文件公告期限届满之日起7个工作日内提出。</w:t>
      </w:r>
    </w:p>
    <w:p>
      <w:pPr>
        <w:spacing w:line="460" w:lineRule="exact"/>
        <w:ind w:firstLine="420"/>
        <w:rPr>
          <w:rFonts w:hint="eastAsia" w:ascii="仿宋" w:hAnsi="仿宋" w:eastAsia="仿宋" w:cs="仿宋"/>
          <w:szCs w:val="24"/>
        </w:rPr>
      </w:pPr>
      <w:r>
        <w:rPr>
          <w:rFonts w:hint="eastAsia" w:ascii="仿宋" w:hAnsi="仿宋" w:eastAsia="仿宋" w:cs="仿宋"/>
          <w:szCs w:val="24"/>
        </w:rPr>
        <w:t>10.2.3投标人提出质疑应当提交质疑函和必要的证明材料。质疑函应当包括下列内容：</w:t>
      </w:r>
    </w:p>
    <w:p>
      <w:pPr>
        <w:spacing w:line="460" w:lineRule="exact"/>
        <w:ind w:firstLine="420"/>
        <w:rPr>
          <w:rFonts w:hint="eastAsia" w:ascii="仿宋" w:hAnsi="仿宋" w:eastAsia="仿宋" w:cs="仿宋"/>
          <w:szCs w:val="24"/>
        </w:rPr>
      </w:pPr>
      <w:r>
        <w:rPr>
          <w:rFonts w:hint="eastAsia" w:ascii="仿宋" w:hAnsi="仿宋" w:eastAsia="仿宋" w:cs="仿宋"/>
          <w:szCs w:val="24"/>
        </w:rPr>
        <w:t>（一）投标人的姓名或者名称、地址、邮编、联系人及联系电话；</w:t>
      </w:r>
    </w:p>
    <w:p>
      <w:pPr>
        <w:spacing w:line="460" w:lineRule="exact"/>
        <w:ind w:firstLine="420"/>
        <w:rPr>
          <w:rFonts w:hint="eastAsia" w:ascii="仿宋" w:hAnsi="仿宋" w:eastAsia="仿宋" w:cs="仿宋"/>
          <w:szCs w:val="24"/>
        </w:rPr>
      </w:pPr>
      <w:r>
        <w:rPr>
          <w:rFonts w:hint="eastAsia" w:ascii="仿宋" w:hAnsi="仿宋" w:eastAsia="仿宋" w:cs="仿宋"/>
          <w:szCs w:val="24"/>
        </w:rPr>
        <w:t>（二）质疑项目的名称、编号；</w:t>
      </w:r>
    </w:p>
    <w:p>
      <w:pPr>
        <w:spacing w:line="460" w:lineRule="exact"/>
        <w:ind w:firstLine="420"/>
        <w:rPr>
          <w:rFonts w:hint="eastAsia" w:ascii="仿宋" w:hAnsi="仿宋" w:eastAsia="仿宋" w:cs="仿宋"/>
          <w:szCs w:val="24"/>
        </w:rPr>
      </w:pPr>
      <w:r>
        <w:rPr>
          <w:rFonts w:hint="eastAsia" w:ascii="仿宋" w:hAnsi="仿宋" w:eastAsia="仿宋" w:cs="仿宋"/>
          <w:szCs w:val="24"/>
        </w:rPr>
        <w:t>（三）具体、明确的质疑事项和与质疑事项相关的请求；</w:t>
      </w:r>
    </w:p>
    <w:p>
      <w:pPr>
        <w:spacing w:line="460" w:lineRule="exact"/>
        <w:ind w:firstLine="420"/>
        <w:rPr>
          <w:rFonts w:hint="eastAsia" w:ascii="仿宋" w:hAnsi="仿宋" w:eastAsia="仿宋" w:cs="仿宋"/>
          <w:szCs w:val="24"/>
        </w:rPr>
      </w:pPr>
      <w:r>
        <w:rPr>
          <w:rFonts w:hint="eastAsia" w:ascii="仿宋" w:hAnsi="仿宋" w:eastAsia="仿宋" w:cs="仿宋"/>
          <w:szCs w:val="24"/>
        </w:rPr>
        <w:t>（四）事实依据；</w:t>
      </w:r>
    </w:p>
    <w:p>
      <w:pPr>
        <w:spacing w:line="460" w:lineRule="exact"/>
        <w:ind w:firstLine="420"/>
        <w:rPr>
          <w:rFonts w:hint="eastAsia" w:ascii="仿宋" w:hAnsi="仿宋" w:eastAsia="仿宋" w:cs="仿宋"/>
          <w:szCs w:val="24"/>
        </w:rPr>
      </w:pPr>
      <w:r>
        <w:rPr>
          <w:rFonts w:hint="eastAsia" w:ascii="仿宋" w:hAnsi="仿宋" w:eastAsia="仿宋" w:cs="仿宋"/>
          <w:szCs w:val="24"/>
        </w:rPr>
        <w:t>（五）必要的法律依据；</w:t>
      </w:r>
    </w:p>
    <w:p>
      <w:pPr>
        <w:spacing w:line="460" w:lineRule="exact"/>
        <w:ind w:firstLine="420"/>
        <w:rPr>
          <w:rFonts w:hint="eastAsia" w:ascii="仿宋" w:hAnsi="仿宋" w:eastAsia="仿宋" w:cs="仿宋"/>
          <w:szCs w:val="24"/>
        </w:rPr>
      </w:pPr>
      <w:r>
        <w:rPr>
          <w:rFonts w:hint="eastAsia" w:ascii="仿宋" w:hAnsi="仿宋" w:eastAsia="仿宋" w:cs="仿宋"/>
          <w:szCs w:val="24"/>
        </w:rPr>
        <w:t>（六）提出质疑的日期。</w:t>
      </w:r>
    </w:p>
    <w:p>
      <w:pPr>
        <w:spacing w:line="460" w:lineRule="exact"/>
        <w:ind w:firstLine="420"/>
        <w:rPr>
          <w:rFonts w:hint="eastAsia" w:ascii="仿宋" w:hAnsi="仿宋" w:eastAsia="仿宋" w:cs="仿宋"/>
          <w:szCs w:val="24"/>
        </w:rPr>
      </w:pPr>
      <w:r>
        <w:rPr>
          <w:rFonts w:hint="eastAsia" w:ascii="仿宋" w:hAnsi="仿宋" w:eastAsia="仿宋" w:cs="仿宋"/>
          <w:szCs w:val="24"/>
        </w:rPr>
        <w:t>投标人为自然人的，应当由本人签字；投标人为法人或者其他组织的，应当由法定代表人、主要负责人，或者其授权代表签字或者盖章，并加盖公章。</w:t>
      </w:r>
    </w:p>
    <w:p>
      <w:pPr>
        <w:spacing w:line="460" w:lineRule="exact"/>
        <w:ind w:firstLine="420"/>
        <w:rPr>
          <w:rFonts w:hint="eastAsia" w:ascii="仿宋" w:hAnsi="仿宋" w:eastAsia="仿宋" w:cs="仿宋"/>
          <w:szCs w:val="24"/>
        </w:rPr>
      </w:pPr>
      <w:r>
        <w:rPr>
          <w:rFonts w:hint="eastAsia" w:ascii="仿宋" w:hAnsi="仿宋" w:eastAsia="仿宋" w:cs="仿宋"/>
          <w:szCs w:val="24"/>
        </w:rPr>
        <w:t>10.2.4采购人、采购代理机构在收到法定质疑期内发出的质疑函后7个工作日内作出答复，并以书面形式通知质疑人和其他有关投标人。质疑答复的内容不得涉及商业秘密。</w:t>
      </w:r>
    </w:p>
    <w:p>
      <w:pPr>
        <w:spacing w:line="460" w:lineRule="exact"/>
        <w:ind w:firstLine="420"/>
        <w:rPr>
          <w:rFonts w:hint="eastAsia" w:ascii="仿宋" w:hAnsi="仿宋" w:eastAsia="仿宋" w:cs="仿宋"/>
          <w:szCs w:val="24"/>
        </w:rPr>
      </w:pPr>
      <w:r>
        <w:rPr>
          <w:rFonts w:hint="eastAsia" w:ascii="仿宋" w:hAnsi="仿宋" w:eastAsia="仿宋" w:cs="仿宋"/>
          <w:szCs w:val="24"/>
        </w:rPr>
        <w:t>10.3供应商投诉</w:t>
      </w:r>
    </w:p>
    <w:p>
      <w:pPr>
        <w:spacing w:line="460" w:lineRule="exact"/>
        <w:ind w:firstLine="420"/>
        <w:rPr>
          <w:rFonts w:hint="eastAsia" w:ascii="仿宋" w:hAnsi="仿宋" w:eastAsia="仿宋" w:cs="仿宋"/>
          <w:szCs w:val="24"/>
        </w:rPr>
      </w:pPr>
      <w:r>
        <w:rPr>
          <w:rFonts w:hint="eastAsia" w:ascii="仿宋" w:hAnsi="仿宋" w:eastAsia="仿宋" w:cs="仿宋"/>
          <w:szCs w:val="24"/>
        </w:rPr>
        <w:t>质疑供应商对采购机构的答复不满意或者采购机构未在规定的时间内作出答复的，可以在答复期满后十五个工作日内向同级采购监督管理部门提出投诉。</w:t>
      </w:r>
    </w:p>
    <w:p>
      <w:pPr>
        <w:spacing w:line="460" w:lineRule="exact"/>
        <w:ind w:firstLine="420"/>
        <w:rPr>
          <w:rFonts w:hint="eastAsia" w:ascii="仿宋" w:hAnsi="仿宋" w:eastAsia="仿宋" w:cs="仿宋"/>
          <w:szCs w:val="24"/>
        </w:rPr>
      </w:pPr>
      <w:r>
        <w:rPr>
          <w:rFonts w:hint="eastAsia" w:ascii="仿宋" w:hAnsi="仿宋" w:eastAsia="仿宋" w:cs="仿宋"/>
          <w:szCs w:val="24"/>
        </w:rPr>
        <w:t>10.4采购结束</w:t>
      </w:r>
    </w:p>
    <w:p>
      <w:pPr>
        <w:spacing w:line="460" w:lineRule="exact"/>
        <w:ind w:firstLine="420"/>
        <w:rPr>
          <w:rFonts w:hint="eastAsia" w:ascii="仿宋" w:hAnsi="仿宋" w:eastAsia="仿宋" w:cs="仿宋"/>
          <w:szCs w:val="24"/>
        </w:rPr>
      </w:pPr>
      <w:r>
        <w:rPr>
          <w:rFonts w:hint="eastAsia" w:ascii="仿宋" w:hAnsi="仿宋" w:eastAsia="仿宋" w:cs="仿宋"/>
          <w:szCs w:val="24"/>
        </w:rPr>
        <w:t>10.4.1中标人与采购人签订合同生效后即为采购结束。</w:t>
      </w:r>
    </w:p>
    <w:p>
      <w:pPr>
        <w:spacing w:line="460" w:lineRule="exact"/>
        <w:ind w:firstLine="420"/>
        <w:rPr>
          <w:rFonts w:hint="eastAsia" w:ascii="仿宋" w:hAnsi="仿宋" w:eastAsia="仿宋" w:cs="仿宋"/>
          <w:szCs w:val="24"/>
        </w:rPr>
      </w:pPr>
      <w:r>
        <w:rPr>
          <w:rFonts w:hint="eastAsia" w:ascii="仿宋" w:hAnsi="仿宋" w:eastAsia="仿宋" w:cs="仿宋"/>
          <w:szCs w:val="24"/>
        </w:rPr>
        <w:t>10.4.2本项目的投标文件不予退回。</w:t>
      </w:r>
    </w:p>
    <w:p>
      <w:pPr>
        <w:snapToGrid w:val="0"/>
        <w:spacing w:line="460" w:lineRule="exact"/>
        <w:outlineLvl w:val="1"/>
        <w:rPr>
          <w:rFonts w:hint="eastAsia" w:ascii="仿宋" w:hAnsi="仿宋" w:eastAsia="仿宋" w:cs="仿宋"/>
          <w:b/>
          <w:szCs w:val="24"/>
        </w:rPr>
      </w:pPr>
      <w:bookmarkStart w:id="97" w:name="_Toc54978898"/>
    </w:p>
    <w:p>
      <w:pPr>
        <w:snapToGrid w:val="0"/>
        <w:spacing w:line="460" w:lineRule="exact"/>
        <w:jc w:val="center"/>
        <w:outlineLvl w:val="1"/>
        <w:rPr>
          <w:rFonts w:hint="eastAsia" w:ascii="仿宋" w:hAnsi="仿宋" w:eastAsia="仿宋" w:cs="仿宋"/>
          <w:b/>
          <w:sz w:val="32"/>
          <w:szCs w:val="32"/>
        </w:rPr>
      </w:pPr>
      <w:r>
        <w:rPr>
          <w:rFonts w:hint="eastAsia" w:ascii="仿宋" w:hAnsi="仿宋" w:eastAsia="仿宋" w:cs="仿宋"/>
          <w:b/>
          <w:sz w:val="32"/>
          <w:szCs w:val="32"/>
        </w:rPr>
        <w:t>十一、电子交易活动的中止</w:t>
      </w:r>
    </w:p>
    <w:p>
      <w:pPr>
        <w:snapToGrid w:val="0"/>
        <w:spacing w:line="460" w:lineRule="exact"/>
        <w:jc w:val="left"/>
        <w:outlineLvl w:val="2"/>
        <w:rPr>
          <w:rFonts w:hint="eastAsia" w:ascii="仿宋" w:hAnsi="仿宋" w:eastAsia="仿宋" w:cs="仿宋"/>
          <w:b/>
          <w:szCs w:val="24"/>
        </w:rPr>
      </w:pPr>
      <w:r>
        <w:rPr>
          <w:rFonts w:hint="eastAsia" w:ascii="仿宋" w:hAnsi="仿宋" w:eastAsia="仿宋" w:cs="仿宋"/>
          <w:b/>
          <w:szCs w:val="24"/>
        </w:rPr>
        <w:t xml:space="preserve">   11.1电子交易活动的中止。</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采购过程中出现以下情形，导致电子交易平台无法正常运行，或者无法保证电子交易的公平、公正和安全时，采购机构可中止电子交易活动：</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 xml:space="preserve">11.1.1电子交易平台发生故障而无法登录访问的； </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11.1.2电子交易平台应用或数据库出现错误，不能进行正常操作的；</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11.1.3电子交易平台发现严重安全漏洞，有潜在泄密危险的；</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11.1.4病毒发作导致不能进行正常操作的；</w:t>
      </w:r>
    </w:p>
    <w:p>
      <w:pPr>
        <w:snapToGrid w:val="0"/>
        <w:spacing w:line="460" w:lineRule="exact"/>
        <w:ind w:firstLine="480" w:firstLineChars="200"/>
        <w:rPr>
          <w:rFonts w:hint="eastAsia" w:ascii="仿宋" w:hAnsi="仿宋" w:eastAsia="仿宋" w:cs="仿宋"/>
          <w:szCs w:val="24"/>
        </w:rPr>
      </w:pPr>
      <w:r>
        <w:rPr>
          <w:rFonts w:hint="eastAsia" w:ascii="仿宋" w:hAnsi="仿宋" w:eastAsia="仿宋" w:cs="仿宋"/>
          <w:szCs w:val="24"/>
        </w:rPr>
        <w:t>11.1.5其他无法保证电子交易的公平、公正和安全的情况。</w:t>
      </w:r>
    </w:p>
    <w:p>
      <w:pPr>
        <w:widowControl/>
        <w:snapToGrid w:val="0"/>
        <w:spacing w:line="460" w:lineRule="exact"/>
        <w:jc w:val="left"/>
        <w:rPr>
          <w:rFonts w:hint="eastAsia" w:ascii="仿宋" w:hAnsi="仿宋" w:eastAsia="仿宋" w:cs="仿宋"/>
          <w:szCs w:val="24"/>
          <w:lang w:val="zh-CN"/>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460" w:lineRule="exact"/>
        <w:jc w:val="center"/>
        <w:outlineLvl w:val="1"/>
        <w:rPr>
          <w:rFonts w:hint="eastAsia" w:ascii="仿宋" w:hAnsi="仿宋" w:eastAsia="仿宋" w:cs="仿宋"/>
          <w:b/>
          <w:bCs/>
          <w:szCs w:val="24"/>
        </w:rPr>
      </w:pP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r>
        <w:rPr>
          <w:rFonts w:hint="eastAsia" w:ascii="仿宋" w:hAnsi="仿宋" w:eastAsia="仿宋" w:cs="仿宋"/>
          <w:b/>
          <w:bCs/>
          <w:szCs w:val="24"/>
        </w:rPr>
        <w:br w:type="textWrapping"/>
      </w:r>
    </w:p>
    <w:p>
      <w:pPr>
        <w:pStyle w:val="350"/>
        <w:numPr>
          <w:ilvl w:val="0"/>
          <w:numId w:val="0"/>
        </w:numPr>
        <w:jc w:val="center"/>
        <w:rPr>
          <w:rFonts w:hint="eastAsia" w:ascii="仿宋" w:hAnsi="仿宋" w:eastAsia="仿宋" w:cs="仿宋"/>
          <w:b/>
          <w:bCs/>
          <w:color w:val="auto"/>
          <w:sz w:val="24"/>
          <w:highlight w:val="none"/>
        </w:rPr>
      </w:pPr>
      <w:r>
        <w:rPr>
          <w:rFonts w:hint="eastAsia" w:ascii="仿宋" w:hAnsi="仿宋" w:eastAsia="仿宋" w:cs="仿宋"/>
          <w:b/>
          <w:bCs/>
          <w:kern w:val="0"/>
          <w:sz w:val="32"/>
          <w:szCs w:val="32"/>
          <w:lang w:eastAsia="zh-CN"/>
        </w:rPr>
        <w:t>第三部分</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项目招标范围及服务要求</w:t>
      </w:r>
    </w:p>
    <w:p>
      <w:pPr>
        <w:pStyle w:val="350"/>
        <w:numPr>
          <w:ilvl w:val="0"/>
          <w:numId w:val="0"/>
        </w:num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一、项目概况：</w:t>
      </w:r>
      <w:r>
        <w:rPr>
          <w:rFonts w:hint="eastAsia" w:ascii="仿宋" w:hAnsi="仿宋" w:eastAsia="仿宋" w:cs="仿宋"/>
          <w:color w:val="auto"/>
          <w:sz w:val="24"/>
          <w:highlight w:val="none"/>
          <w:lang w:eastAsia="zh-CN"/>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bidi="ar-SA"/>
        </w:rPr>
        <w:t>前岩水库位于嵊州市三界镇前岩村，坝址座落在曹娥江流域的范洋江支流上游。坝址以上集水面积38.6km²(其中引水面积18km²),水库总库容1170万m³,是一座以灌溉为主，结合防洪、发电、供水等综合利用的中型水库。水库由拦河坝(主坝1座、副坝3座)、溢洪道、泄洪闸、输水隧洞(2只)、放水涵洞(4只)、引水渠(2条)及电站等部分组成。水库于1958年3月动工兴建；1960年水库开始蓄水，电站建成并开始发电；1964年建成永久性溢洪道及泄洪闸工程；1978~1979年完成保坝溢洪道及陈村渠工程。</w:t>
      </w:r>
      <w:r>
        <w:rPr>
          <w:rFonts w:hint="eastAsia" w:ascii="仿宋" w:hAnsi="仿宋" w:eastAsia="仿宋" w:cs="仿宋"/>
          <w:b/>
          <w:bCs/>
          <w:kern w:val="0"/>
          <w:sz w:val="32"/>
          <w:szCs w:val="32"/>
        </w:rPr>
        <w:br w:type="textWrapping"/>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服务内容：</w:t>
      </w:r>
    </w:p>
    <w:p>
      <w:pPr>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包括但不限于水库大坝及</w:t>
      </w:r>
      <w:r>
        <w:rPr>
          <w:rFonts w:hint="eastAsia" w:ascii="仿宋" w:hAnsi="仿宋" w:eastAsia="仿宋" w:cs="仿宋"/>
          <w:color w:val="auto"/>
          <w:sz w:val="24"/>
          <w:szCs w:val="21"/>
          <w:highlight w:val="none"/>
        </w:rPr>
        <w:t>电站的运行和日常维修养护的以下工作内容。</w:t>
      </w:r>
    </w:p>
    <w:p>
      <w:pPr>
        <w:numPr>
          <w:ilvl w:val="0"/>
          <w:numId w:val="0"/>
        </w:numPr>
        <w:spacing w:line="360" w:lineRule="auto"/>
        <w:ind w:left="480" w:leftChars="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大坝日常值班值守，水文、水工程及机电设备的数据观测、记录和整理；</w:t>
      </w:r>
    </w:p>
    <w:p>
      <w:pPr>
        <w:numPr>
          <w:ilvl w:val="0"/>
          <w:numId w:val="0"/>
        </w:numPr>
        <w:spacing w:line="460" w:lineRule="exact"/>
        <w:ind w:left="480" w:leftChars="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水工程及机电设备运行和日常维护；</w:t>
      </w:r>
    </w:p>
    <w:p>
      <w:pPr>
        <w:numPr>
          <w:ilvl w:val="0"/>
          <w:numId w:val="0"/>
        </w:numPr>
        <w:spacing w:line="460" w:lineRule="exact"/>
        <w:ind w:left="480" w:leftChars="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电站发电运行及维护；</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1、水库运行管理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1.1负责按照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水库标准化管理要求值班值守，开展日常巡查，做好相关数据资料的观测、记录、整理和上传。</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1.2负责按照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水库标准化管理要求进行日常维护，负责大坝水工程及机电设备安全运行，做好相关数据资料的观测、记录、整理和上传。</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1.3负责按照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水库标准化管理要求做好水文数据资料的观测、记录、整理和上报。</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1.4负责做好大坝工程扬压力、位移和渗流量数据观测和资料整理。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水库安全应急预案要求，参与应急抢险工作。</w:t>
      </w:r>
    </w:p>
    <w:p>
      <w:pPr>
        <w:pStyle w:val="350"/>
        <w:numPr>
          <w:ilvl w:val="0"/>
          <w:numId w:val="0"/>
        </w:numPr>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1.6服从</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安排，参与有关管理事项。</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2、电站运行管理</w:t>
      </w:r>
    </w:p>
    <w:p>
      <w:pPr>
        <w:spacing w:line="460" w:lineRule="exact"/>
        <w:ind w:left="480" w:leftChars="2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2.1负责按照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电站标准化管理要求，服从日常调度，开展发电运行。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2.2负责按照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电站标准化管理要求，开展日常维护，参与电站年度检修。</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2.3按照</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电站事故应急预案要求，参与应急抢险工作。</w:t>
      </w:r>
    </w:p>
    <w:p>
      <w:pPr>
        <w:pStyle w:val="350"/>
        <w:numPr>
          <w:ilvl w:val="0"/>
          <w:numId w:val="0"/>
        </w:numPr>
        <w:ind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2.4服从</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安排，参与有关管理事项。</w:t>
      </w:r>
    </w:p>
    <w:p>
      <w:pPr>
        <w:pStyle w:val="2"/>
        <w:tabs>
          <w:tab w:val="left" w:pos="432"/>
          <w:tab w:val="clear" w:pos="478"/>
        </w:tabs>
        <w:spacing w:line="460" w:lineRule="exact"/>
        <w:rPr>
          <w:rFonts w:hint="eastAsia" w:ascii="仿宋" w:hAnsi="仿宋" w:eastAsia="仿宋" w:cs="仿宋"/>
          <w:color w:val="auto"/>
          <w:kern w:val="0"/>
          <w:sz w:val="28"/>
          <w:szCs w:val="28"/>
        </w:rPr>
      </w:pPr>
      <w:bookmarkStart w:id="98" w:name="_Toc433094820"/>
      <w:bookmarkStart w:id="99" w:name="_Toc22961"/>
      <w:bookmarkStart w:id="100" w:name="_Toc450859766"/>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主要参数</w:t>
      </w:r>
      <w:bookmarkEnd w:id="98"/>
      <w:bookmarkEnd w:id="99"/>
      <w:bookmarkEnd w:id="100"/>
    </w:p>
    <w:tbl>
      <w:tblPr>
        <w:tblStyle w:val="80"/>
        <w:tblW w:w="10294" w:type="dxa"/>
        <w:tblInd w:w="-612" w:type="dxa"/>
        <w:tblLayout w:type="fixed"/>
        <w:tblCellMar>
          <w:top w:w="0" w:type="dxa"/>
          <w:left w:w="108" w:type="dxa"/>
          <w:bottom w:w="0" w:type="dxa"/>
          <w:right w:w="108" w:type="dxa"/>
        </w:tblCellMar>
      </w:tblPr>
      <w:tblGrid>
        <w:gridCol w:w="2356"/>
        <w:gridCol w:w="6450"/>
        <w:gridCol w:w="11"/>
        <w:gridCol w:w="1477"/>
      </w:tblGrid>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设备名称：1#发电机</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SFW-W400-8/850</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额定功率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400KW</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额定电压</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400V</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722A</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功率因数</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0.8</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    法</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Y</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额定励磁电压</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42V</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额定励磁电流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160A</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绝缘等级</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B/B</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额定转速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750r/min</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飞 转 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1800r/min</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02285</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2002年3月</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出厂厂家</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临海电机厂</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nil"/>
              <w:bottom w:val="nil"/>
              <w:right w:val="nil"/>
            </w:tcBorders>
            <w:noWrap/>
            <w:vAlign w:val="center"/>
          </w:tcPr>
          <w:p>
            <w:pPr>
              <w:widowControl/>
              <w:jc w:val="left"/>
              <w:rPr>
                <w:rFonts w:hint="eastAsia" w:ascii="仿宋" w:hAnsi="仿宋" w:eastAsia="仿宋" w:cs="仿宋"/>
                <w:color w:val="auto"/>
                <w:kern w:val="0"/>
                <w:sz w:val="24"/>
                <w:szCs w:val="24"/>
              </w:rPr>
            </w:pPr>
          </w:p>
        </w:tc>
        <w:tc>
          <w:tcPr>
            <w:tcW w:w="6450" w:type="dxa"/>
            <w:tcBorders>
              <w:top w:val="nil"/>
              <w:left w:val="nil"/>
              <w:bottom w:val="nil"/>
              <w:right w:val="nil"/>
            </w:tcBorders>
            <w:noWrap/>
            <w:vAlign w:val="center"/>
          </w:tcPr>
          <w:p>
            <w:pPr>
              <w:widowControl/>
              <w:jc w:val="left"/>
              <w:rPr>
                <w:rFonts w:hint="eastAsia" w:ascii="仿宋" w:hAnsi="仿宋" w:eastAsia="仿宋" w:cs="仿宋"/>
                <w:color w:val="auto"/>
                <w:kern w:val="0"/>
                <w:sz w:val="24"/>
                <w:szCs w:val="24"/>
              </w:rPr>
            </w:pPr>
          </w:p>
        </w:tc>
        <w:tc>
          <w:tcPr>
            <w:tcW w:w="1488" w:type="dxa"/>
            <w:gridSpan w:val="2"/>
            <w:tcBorders>
              <w:top w:val="nil"/>
              <w:left w:val="nil"/>
              <w:bottom w:val="nil"/>
              <w:right w:val="nil"/>
            </w:tcBorders>
            <w:noWrap/>
            <w:vAlign w:val="center"/>
          </w:tcPr>
          <w:p>
            <w:pPr>
              <w:widowControl/>
              <w:jc w:val="left"/>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设备名称：2#发电机</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346"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SFW-W250-8/850</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额定功率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250KW</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额定电压</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400V</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451A</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功率因数</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0.8</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    法</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Y</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额定励磁电压</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34V</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额定励磁电流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189A</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绝缘等级</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B/B</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额定转速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750r/min</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飞 转 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1800r/min</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01766</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2001年12月</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出厂厂家</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临海电机厂</w:t>
            </w:r>
          </w:p>
        </w:tc>
        <w:tc>
          <w:tcPr>
            <w:tcW w:w="1488" w:type="dxa"/>
            <w:gridSpan w:val="2"/>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10294" w:type="dxa"/>
            <w:gridSpan w:val="4"/>
            <w:tcBorders>
              <w:top w:val="nil"/>
              <w:left w:val="nil"/>
              <w:bottom w:val="nil"/>
              <w:right w:val="nil"/>
            </w:tcBorders>
            <w:noWrap/>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主要设备参数表</w:t>
            </w: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设备名称：1#水轮机</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HL810-WJ54</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功   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435KW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流   量</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1.96米/秒</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水   头</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26米</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转   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750转/分</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编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2002-1</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2002.1</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出厂厂家</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杭州发电设备厂萧山径流分厂</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设备名称：2#水轮机</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HLD87-WJ-50</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功   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272KW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流   量</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1.25米/秒</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水   头</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25米</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转   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750转/分</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编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2002-2</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2002.1</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出厂厂家</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杭州发电设备厂萧山径流分厂</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设备名称：1#机电动蝶阀（主阀）</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型号规格</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ZW20-24</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电机型号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ZW10-30</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电机功率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0.55KW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输出转速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24r/min</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2.4A</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防护等级</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IP55</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C16487</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2016年10月</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设备名称：2#机电动蝶阀（主阀）</w:t>
            </w:r>
          </w:p>
        </w:tc>
        <w:tc>
          <w:tcPr>
            <w:tcW w:w="148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型号规格</w:t>
            </w:r>
          </w:p>
        </w:tc>
        <w:tc>
          <w:tcPr>
            <w:tcW w:w="6450" w:type="dxa"/>
            <w:tcBorders>
              <w:top w:val="nil"/>
              <w:left w:val="nil"/>
              <w:bottom w:val="single" w:color="auto" w:sz="4" w:space="0"/>
              <w:right w:val="single" w:color="auto" w:sz="4" w:space="0"/>
            </w:tcBorders>
            <w:noWrap/>
            <w:vAlign w:val="center"/>
          </w:tcPr>
          <w:p>
            <w:pPr>
              <w:widowControl/>
              <w:ind w:firstLine="2880" w:firstLineChars="1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ZW20-24</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电机型号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ZW10-30</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电机功率</w:t>
            </w:r>
          </w:p>
        </w:tc>
        <w:tc>
          <w:tcPr>
            <w:tcW w:w="6450" w:type="dxa"/>
            <w:tcBorders>
              <w:top w:val="nil"/>
              <w:left w:val="nil"/>
              <w:bottom w:val="single" w:color="auto" w:sz="4" w:space="0"/>
              <w:right w:val="single" w:color="auto" w:sz="4" w:space="0"/>
            </w:tcBorders>
            <w:noWrap/>
            <w:vAlign w:val="center"/>
          </w:tcPr>
          <w:p>
            <w:pPr>
              <w:widowControl/>
              <w:ind w:firstLine="2880" w:firstLineChars="1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0.55KW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输出转速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24r/min</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2.4A</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防护等级</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IP55</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电装编号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C16488</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出厂年月</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2016年10月</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10294" w:type="dxa"/>
            <w:gridSpan w:val="4"/>
            <w:tcBorders>
              <w:top w:val="nil"/>
              <w:left w:val="nil"/>
              <w:bottom w:val="nil"/>
              <w:right w:val="nil"/>
            </w:tcBorders>
            <w:noWrap/>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主要设备参数表</w:t>
            </w: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设备名称：1#电动蝶阀（旁通阀）</w:t>
            </w:r>
          </w:p>
        </w:tc>
        <w:tc>
          <w:tcPr>
            <w:tcW w:w="148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FOSD-16</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电源</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AC220V</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频率</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50/60HZ</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环境温度</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-30-+60</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输出力矩</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100Nm</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开关时间</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30S</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电机功率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设备名称：2#电动蝶阀（旁通阀）</w:t>
            </w:r>
          </w:p>
        </w:tc>
        <w:tc>
          <w:tcPr>
            <w:tcW w:w="148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FOSD-16</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电源</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AC220V</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频率</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50/60HZ</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环境温度</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-30-+60</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输出力矩</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100Nm</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开关时间</w:t>
            </w:r>
          </w:p>
        </w:tc>
        <w:tc>
          <w:tcPr>
            <w:tcW w:w="645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30S</w:t>
            </w:r>
          </w:p>
        </w:tc>
        <w:tc>
          <w:tcPr>
            <w:tcW w:w="1488"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电机功率</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0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1#机万能式断路器</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DW15-1600</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额定电压</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400V</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额定电流</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1600A</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执行标准</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GB14048.2</w:t>
            </w:r>
          </w:p>
          <w:p>
            <w:pPr>
              <w:ind w:firstLine="2640" w:firstLineChars="1100"/>
              <w:jc w:val="both"/>
              <w:rPr>
                <w:rFonts w:hint="eastAsia" w:ascii="仿宋" w:hAnsi="仿宋" w:eastAsia="仿宋" w:cs="仿宋"/>
                <w:color w:val="auto"/>
                <w:sz w:val="24"/>
                <w:szCs w:val="24"/>
              </w:rPr>
            </w:pPr>
            <w:r>
              <w:rPr>
                <w:rFonts w:hint="eastAsia" w:ascii="仿宋" w:hAnsi="仿宋" w:eastAsia="仿宋" w:cs="仿宋"/>
                <w:color w:val="auto"/>
                <w:sz w:val="24"/>
                <w:szCs w:val="24"/>
              </w:rPr>
              <w:t>IEC60947-2</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产品编号</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5023</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2015年5月</w:t>
            </w:r>
          </w:p>
        </w:tc>
        <w:tc>
          <w:tcPr>
            <w:tcW w:w="1488"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生产厂家</w:t>
            </w:r>
          </w:p>
        </w:tc>
        <w:tc>
          <w:tcPr>
            <w:tcW w:w="6450"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江苏国星电器有限公司</w:t>
            </w:r>
          </w:p>
        </w:tc>
        <w:tc>
          <w:tcPr>
            <w:tcW w:w="1488"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10294"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主要设备参数表</w:t>
            </w:r>
          </w:p>
        </w:tc>
      </w:tr>
      <w:tr>
        <w:tblPrEx>
          <w:tblLayout w:type="fixed"/>
          <w:tblCellMar>
            <w:top w:w="0" w:type="dxa"/>
            <w:left w:w="108" w:type="dxa"/>
            <w:bottom w:w="0" w:type="dxa"/>
            <w:right w:w="108" w:type="dxa"/>
          </w:tblCellMar>
        </w:tblPrEx>
        <w:trPr>
          <w:trHeight w:val="283" w:hRule="atLeast"/>
        </w:trPr>
        <w:tc>
          <w:tcPr>
            <w:tcW w:w="8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2#机万能式断路器</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DW15-630</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额定电压</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额定电流</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630A</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执行标准</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GB14048.2</w:t>
            </w:r>
          </w:p>
          <w:p>
            <w:pPr>
              <w:ind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IEC60947-2</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产品编号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5280</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2015年4月</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生产厂家</w:t>
            </w:r>
          </w:p>
        </w:tc>
        <w:tc>
          <w:tcPr>
            <w:tcW w:w="6461" w:type="dxa"/>
            <w:gridSpan w:val="2"/>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江苏国星电器有限公司</w:t>
            </w:r>
          </w:p>
        </w:tc>
        <w:tc>
          <w:tcPr>
            <w:tcW w:w="1477"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color w:val="auto"/>
                <w:kern w:val="0"/>
                <w:sz w:val="24"/>
                <w:szCs w:val="24"/>
              </w:rPr>
            </w:pPr>
          </w:p>
        </w:tc>
      </w:tr>
      <w:tr>
        <w:tblPrEx>
          <w:tblLayout w:type="fixed"/>
          <w:tblCellMar>
            <w:top w:w="0" w:type="dxa"/>
            <w:left w:w="108" w:type="dxa"/>
            <w:bottom w:w="0" w:type="dxa"/>
            <w:right w:w="108" w:type="dxa"/>
          </w:tblCellMar>
        </w:tblPrEx>
        <w:trPr>
          <w:trHeight w:val="283" w:hRule="atLeast"/>
        </w:trPr>
        <w:tc>
          <w:tcPr>
            <w:tcW w:w="8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控制屏</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WPET-8000-IC</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容    量</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400KW</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操作电压</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AC220V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电压等级</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频    率</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50Hz</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1#15207  2#15208</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2015年10月</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厂用屏</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操作电压</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AC220V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频    率</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50Hz</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12129</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2015年10月</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1#变压器</w:t>
            </w:r>
          </w:p>
        </w:tc>
        <w:tc>
          <w:tcPr>
            <w:tcW w:w="14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额定容量</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500KAV</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联结组标号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Dyn10</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冷却方式</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ONAN</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3相</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额定频率</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50Hz</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使用条件</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户外</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器身吊重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油    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    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绝缘水平</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LI75AC35</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标准代号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DB/</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产品代号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产品型号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S9-M-500/10</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短路阻抗</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4.24%</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出厂序号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0703092</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高压10000电流</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28.9A</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低压400电流</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721.7A</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制造年月</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2007年7月</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制造厂家</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宁波奥克斯高科技有限公司</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88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2#变压器</w:t>
            </w:r>
          </w:p>
        </w:tc>
        <w:tc>
          <w:tcPr>
            <w:tcW w:w="14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额定容量</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315KAV</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联结组标号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Yyn0</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冷却方式</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ONAN</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3相</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额定频率</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50Hz</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使用条件</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户外</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器身吊重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820kg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油    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418kg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    重</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1238kg</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绝缘水平</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LI75AC35</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标准代号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GB1094.1-1996  GB/1094.3.5-85</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产品代号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1SB- 710.580.5</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产品型号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S9-315/10</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短路阻抗</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4.08%</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出厂序号</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01315525</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高压10000电流</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17.32A</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低压400电流</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454.7A</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制造年月</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2001年12月</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制造厂家</w:t>
            </w:r>
          </w:p>
        </w:tc>
        <w:tc>
          <w:tcPr>
            <w:tcW w:w="646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浙江三变集团有限公司</w:t>
            </w:r>
          </w:p>
        </w:tc>
        <w:tc>
          <w:tcPr>
            <w:tcW w:w="1477"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bl>
    <w:p>
      <w:pPr>
        <w:pStyle w:val="350"/>
        <w:numPr>
          <w:ilvl w:val="0"/>
          <w:numId w:val="0"/>
        </w:numPr>
        <w:ind w:firstLine="482" w:firstLineChars="200"/>
        <w:jc w:val="both"/>
        <w:rPr>
          <w:rFonts w:hint="eastAsia" w:ascii="仿宋" w:hAnsi="仿宋" w:eastAsia="仿宋" w:cs="仿宋"/>
          <w:color w:val="auto"/>
          <w:sz w:val="24"/>
          <w:highlight w:val="none"/>
        </w:rPr>
      </w:pPr>
      <w:r>
        <w:rPr>
          <w:rFonts w:hint="eastAsia" w:ascii="仿宋" w:hAnsi="仿宋" w:eastAsia="仿宋" w:cs="仿宋"/>
          <w:b/>
          <w:bCs/>
          <w:color w:val="auto"/>
          <w:kern w:val="0"/>
          <w:sz w:val="24"/>
          <w:szCs w:val="24"/>
        </w:rPr>
        <w:t>主要设备参数表</w:t>
      </w:r>
    </w:p>
    <w:tbl>
      <w:tblPr>
        <w:tblStyle w:val="80"/>
        <w:tblW w:w="10294" w:type="dxa"/>
        <w:tblInd w:w="-612" w:type="dxa"/>
        <w:tblLayout w:type="fixed"/>
        <w:tblCellMar>
          <w:top w:w="0" w:type="dxa"/>
          <w:left w:w="108" w:type="dxa"/>
          <w:bottom w:w="0" w:type="dxa"/>
          <w:right w:w="108" w:type="dxa"/>
        </w:tblCellMar>
      </w:tblPr>
      <w:tblGrid>
        <w:gridCol w:w="2356"/>
        <w:gridCol w:w="6461"/>
        <w:gridCol w:w="1477"/>
      </w:tblGrid>
      <w:tr>
        <w:tblPrEx>
          <w:tblLayout w:type="fixed"/>
          <w:tblCellMar>
            <w:top w:w="0" w:type="dxa"/>
            <w:left w:w="108" w:type="dxa"/>
            <w:bottom w:w="0" w:type="dxa"/>
            <w:right w:w="108" w:type="dxa"/>
          </w:tblCellMar>
        </w:tblPrEx>
        <w:trPr>
          <w:trHeight w:val="283" w:hRule="atLeast"/>
        </w:trPr>
        <w:tc>
          <w:tcPr>
            <w:tcW w:w="88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设备名称： 厂用变压器</w:t>
            </w:r>
          </w:p>
        </w:tc>
        <w:tc>
          <w:tcPr>
            <w:tcW w:w="14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额定容量</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80KAV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联结组标号</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Yyn11</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冷却方式</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ONAN</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额定频率</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50Hz</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额定电压</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（10000+-2*2.5%/400V）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器身吊重</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290kg</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油    重</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85kg</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    重</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445kg</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绝缘水平</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LI/AC75/35KV</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标准代号</w:t>
            </w:r>
          </w:p>
        </w:tc>
        <w:tc>
          <w:tcPr>
            <w:tcW w:w="6461" w:type="dxa"/>
            <w:tcBorders>
              <w:top w:val="nil"/>
              <w:left w:val="nil"/>
              <w:bottom w:val="single" w:color="auto" w:sz="4" w:space="0"/>
              <w:right w:val="single" w:color="auto" w:sz="4" w:space="0"/>
            </w:tcBorders>
            <w:noWrap/>
            <w:vAlign w:val="center"/>
          </w:tcPr>
          <w:p>
            <w:pPr>
              <w:widowControl/>
              <w:ind w:firstLine="2040" w:firstLineChars="8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GB1094.1-2-1996</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产品代号</w:t>
            </w:r>
          </w:p>
        </w:tc>
        <w:tc>
          <w:tcPr>
            <w:tcW w:w="6461" w:type="dxa"/>
            <w:tcBorders>
              <w:top w:val="nil"/>
              <w:left w:val="nil"/>
              <w:bottom w:val="single" w:color="auto" w:sz="4" w:space="0"/>
              <w:right w:val="single" w:color="auto" w:sz="4" w:space="0"/>
            </w:tcBorders>
            <w:noWrap/>
            <w:vAlign w:val="center"/>
          </w:tcPr>
          <w:p>
            <w:pPr>
              <w:widowControl/>
              <w:ind w:firstLine="1920" w:firstLineChars="8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1QRE710.00046.34</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产品型号</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S11-M-80/10</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短路阻抗</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4.03%</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出厂序号</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S1000046.34.0692</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高压10000电流</w:t>
            </w:r>
          </w:p>
        </w:tc>
        <w:tc>
          <w:tcPr>
            <w:tcW w:w="6461" w:type="dxa"/>
            <w:tcBorders>
              <w:top w:val="nil"/>
              <w:left w:val="nil"/>
              <w:bottom w:val="single" w:color="auto" w:sz="4" w:space="0"/>
              <w:right w:val="single" w:color="auto" w:sz="4" w:space="0"/>
            </w:tcBorders>
            <w:noWrap/>
            <w:vAlign w:val="center"/>
          </w:tcPr>
          <w:p>
            <w:pPr>
              <w:widowControl/>
              <w:ind w:firstLine="2880" w:firstLineChars="1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4.62A</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低压400电流</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115.5A</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制造年月</w:t>
            </w:r>
          </w:p>
        </w:tc>
        <w:tc>
          <w:tcPr>
            <w:tcW w:w="64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2010年9月</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Layout w:type="fixed"/>
          <w:tblCellMar>
            <w:top w:w="0" w:type="dxa"/>
            <w:left w:w="108" w:type="dxa"/>
            <w:bottom w:w="0" w:type="dxa"/>
            <w:right w:w="108" w:type="dxa"/>
          </w:tblCellMar>
        </w:tblPrEx>
        <w:trPr>
          <w:trHeight w:val="283" w:hRule="atLeast"/>
        </w:trPr>
        <w:tc>
          <w:tcPr>
            <w:tcW w:w="23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制造厂家</w:t>
            </w:r>
          </w:p>
        </w:tc>
        <w:tc>
          <w:tcPr>
            <w:tcW w:w="64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杭州钱江电气集团股份有限公司</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bl>
    <w:p>
      <w:pPr>
        <w:spacing w:line="460" w:lineRule="exact"/>
        <w:ind w:left="482" w:hanging="482" w:hanging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3、运行和日常维修养护执行主要规范、标准（不限于，如有更新，以更新版本为准）</w:t>
      </w:r>
      <w:r>
        <w:rPr>
          <w:rFonts w:hint="eastAsia" w:ascii="仿宋" w:hAnsi="仿宋" w:eastAsia="仿宋" w:cs="仿宋"/>
          <w:b/>
          <w:color w:val="auto"/>
          <w:sz w:val="24"/>
          <w:highlight w:val="none"/>
        </w:rPr>
        <w:br w:type="textWrapping"/>
      </w:r>
      <w:r>
        <w:rPr>
          <w:rFonts w:hint="eastAsia" w:ascii="仿宋" w:hAnsi="仿宋" w:eastAsia="仿宋" w:cs="仿宋"/>
          <w:color w:val="auto"/>
          <w:sz w:val="24"/>
          <w:highlight w:val="none"/>
        </w:rPr>
        <w:t>（1）中华人民共和国防洪法</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（2）水库大坝安全管理条例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（3）浙江省防汛防台抗旱条例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（4）浙江省水利工程安全管理条例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（5）浙江省水库大坝安全管理办法</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（6）大中型水库管理规程（DB33/T2013-2018）</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（7）《电力安全工作规程》（发电厂和变电站电气部分）GB26860-2011</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（8）《水轮机运行规程》DL/T710-1999</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（9）《水轮发电机运行规程》DL/T710-2001</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（10）《农村水电站技术管理规程》SL529-2011、《小型水电站运行维护技术规范》GB/T50964-2014、《农村水电站管理技术规程》DB33/T809-2010</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水库标准化管理手册》</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电站标准化管理规程》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 xml:space="preserve">各项规章制度 </w:t>
      </w:r>
    </w:p>
    <w:p>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4、运行和日常维修养护有关技术要求</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4.1运行和日常维修养护服务基本要求</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大坝运行维护人员必须熟悉和严格执行有关规程、制度，掌握必要的水工程、机电设备基础知识，熟练掌握闸门运行操作规程、水工观测操作规程，具有闸门运行操作证、水工观测上岗证。</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电站运行维护人员必须熟悉和严格执行有关规程、制度，掌握必要的电工、机械基础知识，熟悉电站设备参数。经岗位培训合格，持证上岗。持证上岗率应达到100%；</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严格执行</w:t>
      </w:r>
      <w:r>
        <w:rPr>
          <w:rFonts w:hint="eastAsia" w:ascii="仿宋" w:hAnsi="仿宋" w:eastAsia="仿宋" w:cs="仿宋"/>
          <w:color w:val="auto"/>
          <w:sz w:val="24"/>
          <w:highlight w:val="none"/>
          <w:lang w:val="en-US" w:eastAsia="zh-CN"/>
        </w:rPr>
        <w:t>前岩</w:t>
      </w:r>
      <w:r>
        <w:rPr>
          <w:rFonts w:hint="eastAsia" w:ascii="仿宋" w:hAnsi="仿宋" w:eastAsia="仿宋" w:cs="仿宋"/>
          <w:color w:val="auto"/>
          <w:sz w:val="24"/>
          <w:highlight w:val="none"/>
        </w:rPr>
        <w:t>水库管理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关于水工程运行和电力调度命令，执行率应达100%；</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严格执行“两票三制”，“两票”合格率和执行率达到100%；</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按规定进行设备、设施评级，水工程及电站设备、设施完好率应达到100%，</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4.2维修养护方面</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做好日常维修养护工作，水工程设施及机电设备应严格按照规程规定维护、试验，发现缺陷要及时处理。主设备消缺率达到100%。防止随时可能发生的损坏，保持全部设备设施的整洁、安全、完好和正常运用。</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）设备干净整洁，门窗玻璃完好，房屋无渗漏水现象，室内卫生清洁。</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）仪器仪表、备品备件，各种资料书籍及记录簿设有专柜或专架，分类存放，摆放整齐。各种图表（板）悬挂整齐，各种盘柜、钥匙箱、值班桌及各种用具完好整洁。</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4.3运行管理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（1）严格按照水库、电站标准化管理要求，履行岗位职责，完成观测、运行、维护、操作、保洁和日常管理工作。</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（2）严格执行工作票、操作票制度，工作结束后应及时交回。</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（3）严格执行交接班制度，交接时值班人员应掌握水文、设备设施运行情况。</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（4）严格按照巡查制度要求，对水文、水工程、设备设施等定时、定点按巡视路线进行巡视检查。</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（5）发现水工程异常、设备设施缺陷、库面库区环境不洁等问题时，按照相关管理制度要求进行处理，并及时上报。</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（6）严格按照要求认真填写各种记录并归档。</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4.4 安全管理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（1）基本要求</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坚持“安全第一、预防为主”的方针，根据水库、电站标准化管理要求，严格执行各项安全规程，做好各项安全保障措施。</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发生事故应及时上报，对隐瞒不报及阻碍事故调查的要追究相关人员责任。</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(2)安全工器具管理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安全工器具按规定严格管理，并设有安全负责人。</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安全工器具应定期试验合格方可使用，已损坏的应及时报废，并报管理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更换补齐。</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交接班和使用前应认真检查，发现损坏禁止使用。</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(3)消防、保卫管理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认真执行管理</w:t>
      </w:r>
      <w:r>
        <w:rPr>
          <w:rFonts w:hint="eastAsia" w:ascii="仿宋" w:hAnsi="仿宋" w:eastAsia="仿宋" w:cs="仿宋"/>
          <w:color w:val="auto"/>
          <w:sz w:val="24"/>
          <w:highlight w:val="none"/>
          <w:lang w:val="en-US" w:eastAsia="zh-CN"/>
        </w:rPr>
        <w:t>处</w:t>
      </w:r>
      <w:r>
        <w:rPr>
          <w:rFonts w:hint="eastAsia" w:ascii="仿宋" w:hAnsi="仿宋" w:eastAsia="仿宋" w:cs="仿宋"/>
          <w:color w:val="auto"/>
          <w:sz w:val="24"/>
          <w:highlight w:val="none"/>
        </w:rPr>
        <w:t>各项消防管理制度。</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设备室或设备区不得存放易燃、易爆物品，确因工作需要在设备区使用易燃、易爆物品，应加强管理，并按规定要求使用，工作结束后立即撤出。</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运行值班人员，应掌握消防知识和消防器材的正确使用方法。</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要做好安全保卫工作，定期检查各类安全监控设施，保障正常使用。</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运行值班人员，应熟知报警电话和报警方法。</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4.5岗位培训管理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（1）应按有关规定制定年度培训计划，由项目负责人监督培训计划的落实。</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（2）结合工作实际，采取多种形式对职工进行专业技术培训、安全培训，合格后方可从事相应工作，履行上岗手续，持证上岗。</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（3）运行人员因工作调动或其他原因离岗超过三个月以上者，必须履行考试和审批手续，符合要求方可准许从事运行工作。</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（4）在新设备、新技术、新工艺使用之前应对所有运行、检修人员进行重点培训。</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（5）根据本单位实际情况安排规程和现场运行规程学习。</w:t>
      </w:r>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4.6档案管理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接受上级管理部门检查和业务指导。</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档案管理设有专用档案柜，满足档案管理要求。</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按年度归档立卷，分类存放。</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使用微机化档案管理的要有备份档案。</w:t>
      </w:r>
    </w:p>
    <w:p>
      <w:pPr>
        <w:spacing w:line="460" w:lineRule="exact"/>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建立技术档案和技术资料管理制度。</w:t>
      </w:r>
      <w:r>
        <w:rPr>
          <w:rFonts w:hint="eastAsia" w:ascii="仿宋" w:hAnsi="仿宋" w:eastAsia="仿宋" w:cs="仿宋"/>
          <w:color w:val="auto"/>
          <w:sz w:val="24"/>
          <w:highlight w:val="none"/>
        </w:rPr>
        <w:br w:type="textWrapping"/>
      </w: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运行和维修养护期：</w:t>
      </w:r>
    </w:p>
    <w:p>
      <w:pPr>
        <w:pStyle w:val="350"/>
        <w:numPr>
          <w:ilvl w:val="0"/>
          <w:numId w:val="0"/>
        </w:num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合同期限:3年，具体起止时间以合同签订为准。</w:t>
      </w:r>
    </w:p>
    <w:p>
      <w:pPr>
        <w:pStyle w:val="350"/>
        <w:numPr>
          <w:ilvl w:val="0"/>
          <w:numId w:val="0"/>
        </w:numPr>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五、人员配置</w:t>
      </w:r>
    </w:p>
    <w:tbl>
      <w:tblPr>
        <w:tblStyle w:val="569"/>
        <w:tblW w:w="83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3350"/>
        <w:gridCol w:w="1869"/>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1364" w:type="dxa"/>
            <w:noWrap w:val="0"/>
            <w:vAlign w:val="top"/>
          </w:tcPr>
          <w:p>
            <w:pPr>
              <w:pStyle w:val="568"/>
              <w:spacing w:before="160" w:line="219" w:lineRule="auto"/>
              <w:ind w:left="475"/>
              <w:rPr>
                <w:rFonts w:hint="eastAsia" w:ascii="仿宋" w:hAnsi="仿宋" w:eastAsia="仿宋" w:cs="仿宋"/>
                <w:color w:val="auto"/>
                <w:sz w:val="20"/>
                <w:szCs w:val="20"/>
              </w:rPr>
            </w:pPr>
            <w:r>
              <w:rPr>
                <w:rFonts w:hint="eastAsia" w:ascii="仿宋" w:hAnsi="仿宋" w:eastAsia="仿宋" w:cs="仿宋"/>
                <w:color w:val="auto"/>
                <w:spacing w:val="6"/>
                <w:sz w:val="20"/>
                <w:szCs w:val="20"/>
              </w:rPr>
              <w:t>编号</w:t>
            </w:r>
          </w:p>
        </w:tc>
        <w:tc>
          <w:tcPr>
            <w:tcW w:w="3350" w:type="dxa"/>
            <w:noWrap w:val="0"/>
            <w:vAlign w:val="top"/>
          </w:tcPr>
          <w:p>
            <w:pPr>
              <w:pStyle w:val="568"/>
              <w:spacing w:before="160" w:line="220"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项目名称</w:t>
            </w:r>
          </w:p>
        </w:tc>
        <w:tc>
          <w:tcPr>
            <w:tcW w:w="1869" w:type="dxa"/>
            <w:noWrap w:val="0"/>
            <w:vAlign w:val="top"/>
          </w:tcPr>
          <w:p>
            <w:pPr>
              <w:pStyle w:val="568"/>
              <w:spacing w:before="158" w:line="219"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计算依据</w:t>
            </w:r>
          </w:p>
        </w:tc>
        <w:tc>
          <w:tcPr>
            <w:tcW w:w="1745" w:type="dxa"/>
            <w:noWrap w:val="0"/>
            <w:vAlign w:val="top"/>
          </w:tcPr>
          <w:p>
            <w:pPr>
              <w:pStyle w:val="568"/>
              <w:spacing w:before="157" w:line="219" w:lineRule="auto"/>
              <w:jc w:val="center"/>
              <w:rPr>
                <w:rFonts w:hint="eastAsia" w:ascii="仿宋" w:hAnsi="仿宋" w:eastAsia="仿宋" w:cs="仿宋"/>
                <w:color w:val="auto"/>
                <w:sz w:val="20"/>
                <w:szCs w:val="20"/>
              </w:rPr>
            </w:pPr>
            <w:r>
              <w:rPr>
                <w:rFonts w:hint="eastAsia" w:ascii="仿宋" w:hAnsi="仿宋" w:eastAsia="仿宋" w:cs="仿宋"/>
                <w:b/>
                <w:bCs/>
                <w:color w:val="auto"/>
                <w:spacing w:val="-5"/>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364" w:type="dxa"/>
            <w:noWrap w:val="0"/>
            <w:vAlign w:val="top"/>
          </w:tcPr>
          <w:p>
            <w:pPr>
              <w:pStyle w:val="568"/>
              <w:spacing w:before="221" w:line="184" w:lineRule="auto"/>
              <w:ind w:left="624"/>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3350" w:type="dxa"/>
            <w:noWrap w:val="0"/>
            <w:vAlign w:val="top"/>
          </w:tcPr>
          <w:p>
            <w:pPr>
              <w:pStyle w:val="568"/>
              <w:spacing w:before="171" w:line="220" w:lineRule="auto"/>
              <w:jc w:val="center"/>
              <w:rPr>
                <w:rFonts w:hint="eastAsia" w:ascii="仿宋" w:hAnsi="仿宋" w:eastAsia="仿宋" w:cs="仿宋"/>
                <w:color w:val="auto"/>
                <w:sz w:val="20"/>
                <w:szCs w:val="20"/>
              </w:rPr>
            </w:pPr>
            <w:r>
              <w:rPr>
                <w:rFonts w:hint="eastAsia" w:ascii="仿宋" w:hAnsi="仿宋" w:eastAsia="仿宋" w:cs="仿宋"/>
                <w:color w:val="auto"/>
                <w:spacing w:val="4"/>
                <w:sz w:val="20"/>
                <w:szCs w:val="20"/>
              </w:rPr>
              <w:t>电站运行人员</w:t>
            </w:r>
          </w:p>
        </w:tc>
        <w:tc>
          <w:tcPr>
            <w:tcW w:w="1869" w:type="dxa"/>
            <w:noWrap w:val="0"/>
            <w:vAlign w:val="top"/>
          </w:tcPr>
          <w:p>
            <w:pPr>
              <w:pStyle w:val="568"/>
              <w:spacing w:before="171" w:line="220"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元/人</w:t>
            </w:r>
          </w:p>
        </w:tc>
        <w:tc>
          <w:tcPr>
            <w:tcW w:w="1745" w:type="dxa"/>
            <w:noWrap w:val="0"/>
            <w:vAlign w:val="top"/>
          </w:tcPr>
          <w:p>
            <w:pPr>
              <w:jc w:val="center"/>
              <w:rPr>
                <w:rFonts w:hint="eastAsia" w:ascii="仿宋" w:hAnsi="仿宋" w:eastAsia="仿宋" w:cs="仿宋"/>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364" w:type="dxa"/>
            <w:noWrap w:val="0"/>
            <w:vAlign w:val="top"/>
          </w:tcPr>
          <w:p>
            <w:pPr>
              <w:pStyle w:val="568"/>
              <w:spacing w:before="211" w:line="184" w:lineRule="auto"/>
              <w:ind w:left="524"/>
              <w:rPr>
                <w:rFonts w:hint="eastAsia" w:ascii="仿宋" w:hAnsi="仿宋" w:eastAsia="仿宋" w:cs="仿宋"/>
                <w:color w:val="auto"/>
                <w:sz w:val="20"/>
                <w:szCs w:val="20"/>
              </w:rPr>
            </w:pPr>
            <w:r>
              <w:rPr>
                <w:rFonts w:hint="eastAsia" w:ascii="仿宋" w:hAnsi="仿宋" w:eastAsia="仿宋" w:cs="仿宋"/>
                <w:color w:val="auto"/>
                <w:spacing w:val="-6"/>
                <w:sz w:val="20"/>
                <w:szCs w:val="20"/>
              </w:rPr>
              <w:t>1.1</w:t>
            </w:r>
          </w:p>
        </w:tc>
        <w:tc>
          <w:tcPr>
            <w:tcW w:w="3350" w:type="dxa"/>
            <w:noWrap w:val="0"/>
            <w:vAlign w:val="top"/>
          </w:tcPr>
          <w:p>
            <w:pPr>
              <w:pStyle w:val="568"/>
              <w:spacing w:before="161" w:line="220" w:lineRule="auto"/>
              <w:jc w:val="center"/>
              <w:rPr>
                <w:rFonts w:hint="eastAsia" w:ascii="仿宋" w:hAnsi="仿宋" w:eastAsia="仿宋" w:cs="仿宋"/>
                <w:color w:val="auto"/>
                <w:sz w:val="20"/>
                <w:szCs w:val="20"/>
              </w:rPr>
            </w:pPr>
            <w:r>
              <w:rPr>
                <w:rFonts w:hint="eastAsia" w:ascii="仿宋" w:hAnsi="仿宋" w:eastAsia="仿宋" w:cs="仿宋"/>
                <w:color w:val="auto"/>
                <w:spacing w:val="3"/>
                <w:sz w:val="20"/>
                <w:szCs w:val="20"/>
              </w:rPr>
              <w:t>汛期电站运行人员</w:t>
            </w:r>
          </w:p>
        </w:tc>
        <w:tc>
          <w:tcPr>
            <w:tcW w:w="1869" w:type="dxa"/>
            <w:noWrap w:val="0"/>
            <w:vAlign w:val="top"/>
          </w:tcPr>
          <w:p>
            <w:pPr>
              <w:pStyle w:val="568"/>
              <w:spacing w:before="161" w:line="220"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元/人</w:t>
            </w:r>
          </w:p>
        </w:tc>
        <w:tc>
          <w:tcPr>
            <w:tcW w:w="1745" w:type="dxa"/>
            <w:noWrap w:val="0"/>
            <w:vAlign w:val="top"/>
          </w:tcPr>
          <w:p>
            <w:pPr>
              <w:pStyle w:val="568"/>
              <w:spacing w:before="212" w:line="183"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364" w:type="dxa"/>
            <w:noWrap w:val="0"/>
            <w:vAlign w:val="top"/>
          </w:tcPr>
          <w:p>
            <w:pPr>
              <w:pStyle w:val="568"/>
              <w:spacing w:before="222" w:line="184" w:lineRule="auto"/>
              <w:ind w:left="524"/>
              <w:rPr>
                <w:rFonts w:hint="eastAsia" w:ascii="仿宋" w:hAnsi="仿宋" w:eastAsia="仿宋" w:cs="仿宋"/>
                <w:color w:val="auto"/>
                <w:sz w:val="20"/>
                <w:szCs w:val="20"/>
              </w:rPr>
            </w:pPr>
            <w:r>
              <w:rPr>
                <w:rFonts w:hint="eastAsia" w:ascii="仿宋" w:hAnsi="仿宋" w:eastAsia="仿宋" w:cs="仿宋"/>
                <w:color w:val="auto"/>
                <w:spacing w:val="-6"/>
                <w:sz w:val="20"/>
                <w:szCs w:val="20"/>
              </w:rPr>
              <w:t>1.2</w:t>
            </w:r>
          </w:p>
        </w:tc>
        <w:tc>
          <w:tcPr>
            <w:tcW w:w="3350" w:type="dxa"/>
            <w:noWrap w:val="0"/>
            <w:vAlign w:val="top"/>
          </w:tcPr>
          <w:p>
            <w:pPr>
              <w:pStyle w:val="568"/>
              <w:spacing w:before="172" w:line="219" w:lineRule="auto"/>
              <w:jc w:val="center"/>
              <w:rPr>
                <w:rFonts w:hint="eastAsia" w:ascii="仿宋" w:hAnsi="仿宋" w:eastAsia="仿宋" w:cs="仿宋"/>
                <w:color w:val="auto"/>
                <w:sz w:val="20"/>
                <w:szCs w:val="20"/>
              </w:rPr>
            </w:pPr>
            <w:r>
              <w:rPr>
                <w:rFonts w:hint="eastAsia" w:ascii="仿宋" w:hAnsi="仿宋" w:eastAsia="仿宋" w:cs="仿宋"/>
                <w:color w:val="auto"/>
                <w:spacing w:val="3"/>
                <w:sz w:val="20"/>
                <w:szCs w:val="20"/>
              </w:rPr>
              <w:t>全年电站运行人员</w:t>
            </w:r>
          </w:p>
        </w:tc>
        <w:tc>
          <w:tcPr>
            <w:tcW w:w="1869" w:type="dxa"/>
            <w:noWrap w:val="0"/>
            <w:vAlign w:val="top"/>
          </w:tcPr>
          <w:p>
            <w:pPr>
              <w:pStyle w:val="568"/>
              <w:spacing w:before="172" w:line="220"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元/人</w:t>
            </w:r>
          </w:p>
        </w:tc>
        <w:tc>
          <w:tcPr>
            <w:tcW w:w="1745" w:type="dxa"/>
            <w:noWrap w:val="0"/>
            <w:vAlign w:val="top"/>
          </w:tcPr>
          <w:p>
            <w:pPr>
              <w:pStyle w:val="568"/>
              <w:spacing w:before="223" w:line="183"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364" w:type="dxa"/>
            <w:noWrap w:val="0"/>
            <w:vAlign w:val="top"/>
          </w:tcPr>
          <w:p>
            <w:pPr>
              <w:pStyle w:val="568"/>
              <w:spacing w:before="223" w:line="183" w:lineRule="auto"/>
              <w:ind w:left="624"/>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3350" w:type="dxa"/>
            <w:noWrap w:val="0"/>
            <w:vAlign w:val="top"/>
          </w:tcPr>
          <w:p>
            <w:pPr>
              <w:pStyle w:val="568"/>
              <w:spacing w:before="172" w:line="220" w:lineRule="auto"/>
              <w:jc w:val="center"/>
              <w:rPr>
                <w:rFonts w:hint="eastAsia" w:ascii="仿宋" w:hAnsi="仿宋" w:eastAsia="仿宋" w:cs="仿宋"/>
                <w:color w:val="auto"/>
                <w:sz w:val="20"/>
                <w:szCs w:val="20"/>
              </w:rPr>
            </w:pPr>
            <w:r>
              <w:rPr>
                <w:rFonts w:hint="eastAsia" w:ascii="仿宋" w:hAnsi="仿宋" w:eastAsia="仿宋" w:cs="仿宋"/>
                <w:color w:val="auto"/>
                <w:spacing w:val="4"/>
                <w:sz w:val="20"/>
                <w:szCs w:val="20"/>
              </w:rPr>
              <w:t>大坝运行人员</w:t>
            </w:r>
          </w:p>
        </w:tc>
        <w:tc>
          <w:tcPr>
            <w:tcW w:w="1869" w:type="dxa"/>
            <w:noWrap w:val="0"/>
            <w:vAlign w:val="top"/>
          </w:tcPr>
          <w:p>
            <w:pPr>
              <w:pStyle w:val="568"/>
              <w:spacing w:before="172" w:line="220"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元/人</w:t>
            </w:r>
          </w:p>
        </w:tc>
        <w:tc>
          <w:tcPr>
            <w:tcW w:w="1745" w:type="dxa"/>
            <w:noWrap w:val="0"/>
            <w:vAlign w:val="top"/>
          </w:tcPr>
          <w:p>
            <w:pPr>
              <w:pStyle w:val="568"/>
              <w:spacing w:before="223" w:line="183"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2</w:t>
            </w:r>
          </w:p>
        </w:tc>
      </w:tr>
    </w:tbl>
    <w:p>
      <w:pPr>
        <w:spacing w:line="360" w:lineRule="auto"/>
        <w:rPr>
          <w:rFonts w:hint="eastAsia"/>
          <w:color w:val="auto"/>
          <w:lang w:eastAsia="zh-CN"/>
        </w:rPr>
      </w:pPr>
      <w:r>
        <w:rPr>
          <w:rFonts w:hint="eastAsia" w:ascii="仿宋" w:hAnsi="仿宋" w:eastAsia="仿宋" w:cs="仿宋"/>
          <w:color w:val="auto"/>
          <w:sz w:val="24"/>
          <w:highlight w:val="none"/>
          <w:lang w:val="en-US" w:eastAsia="zh-CN"/>
        </w:rPr>
        <w:t>注：本项目</w:t>
      </w:r>
      <w:r>
        <w:rPr>
          <w:rFonts w:hint="eastAsia" w:ascii="仿宋" w:hAnsi="仿宋" w:eastAsia="仿宋" w:cs="仿宋"/>
          <w:color w:val="auto"/>
          <w:sz w:val="24"/>
          <w:highlight w:val="none"/>
          <w:lang w:eastAsia="zh-CN"/>
        </w:rPr>
        <w:t>服务人员按业主要求增减。</w:t>
      </w:r>
    </w:p>
    <w:p>
      <w:pPr>
        <w:pStyle w:val="350"/>
        <w:numPr>
          <w:ilvl w:val="0"/>
          <w:numId w:val="12"/>
        </w:numPr>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其他要求</w:t>
      </w:r>
    </w:p>
    <w:p>
      <w:pPr>
        <w:pStyle w:val="350"/>
        <w:numPr>
          <w:ilvl w:val="0"/>
          <w:numId w:val="0"/>
        </w:numPr>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本服务范围中的项目，一律不得转（分）包。一经发现，立即取消服务人的服务资格，并由服务人承担由此引起的一切经济损失和法律责任。</w:t>
      </w:r>
    </w:p>
    <w:bookmarkEnd w:id="97"/>
    <w:p>
      <w:pPr>
        <w:pStyle w:val="2"/>
        <w:spacing w:line="700" w:lineRule="exact"/>
        <w:ind w:left="0" w:firstLine="0"/>
        <w:rPr>
          <w:rFonts w:hint="eastAsia" w:ascii="仿宋" w:hAnsi="仿宋" w:eastAsia="仿宋" w:cs="仿宋"/>
          <w:b/>
          <w:bCs/>
          <w:color w:val="auto"/>
          <w:szCs w:val="36"/>
        </w:rPr>
      </w:pPr>
      <w:bookmarkStart w:id="101" w:name="_Toc297662418"/>
      <w:bookmarkStart w:id="102" w:name="_Toc340322195"/>
      <w:bookmarkStart w:id="103" w:name="_Toc340321940"/>
      <w:bookmarkStart w:id="104" w:name="_Toc17741"/>
      <w:bookmarkStart w:id="105" w:name="_Toc339302155"/>
      <w:bookmarkStart w:id="106" w:name="_Toc22296"/>
      <w:bookmarkStart w:id="107" w:name="_Toc54978899"/>
      <w:bookmarkStart w:id="108" w:name="_Toc248065071"/>
      <w:bookmarkStart w:id="109" w:name="_Toc340321928"/>
      <w:bookmarkStart w:id="110" w:name="_Toc226337793"/>
      <w:bookmarkStart w:id="111" w:name="_Toc4171"/>
      <w:bookmarkStart w:id="112" w:name="_Toc339302144"/>
      <w:bookmarkStart w:id="113" w:name="_Toc340322183"/>
      <w:r>
        <w:rPr>
          <w:rFonts w:hint="eastAsia" w:ascii="仿宋" w:hAnsi="仿宋" w:eastAsia="仿宋" w:cs="仿宋"/>
          <w:b/>
          <w:bCs/>
          <w:color w:val="auto"/>
          <w:szCs w:val="36"/>
        </w:rPr>
        <w:t>第四部分  评标办法</w:t>
      </w:r>
      <w:bookmarkEnd w:id="101"/>
      <w:bookmarkEnd w:id="102"/>
      <w:bookmarkEnd w:id="103"/>
      <w:bookmarkEnd w:id="104"/>
      <w:bookmarkEnd w:id="105"/>
      <w:bookmarkEnd w:id="106"/>
      <w:bookmarkEnd w:id="107"/>
    </w:p>
    <w:p>
      <w:pPr>
        <w:spacing w:line="440" w:lineRule="exact"/>
        <w:ind w:firstLine="482" w:firstLineChars="200"/>
        <w:jc w:val="left"/>
        <w:rPr>
          <w:rFonts w:hint="eastAsia" w:ascii="仿宋" w:hAnsi="仿宋" w:eastAsia="仿宋" w:cs="仿宋"/>
          <w:b/>
          <w:bCs/>
          <w:sz w:val="24"/>
        </w:rPr>
      </w:pPr>
      <w:bookmarkStart w:id="114" w:name="_Toc297662419"/>
      <w:bookmarkStart w:id="115" w:name="_Toc22707"/>
      <w:r>
        <w:rPr>
          <w:rFonts w:hint="eastAsia" w:ascii="仿宋" w:hAnsi="仿宋" w:eastAsia="仿宋" w:cs="仿宋"/>
          <w:b/>
          <w:bCs/>
          <w:sz w:val="24"/>
        </w:rPr>
        <w:t>1.评标组织</w:t>
      </w:r>
      <w:bookmarkEnd w:id="114"/>
      <w:bookmarkEnd w:id="115"/>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评标工作由评标委员会负责。评标委员会按有关规定产生。评标委员会由采购方代表和有关技术、经济等方面的专家组成，成员人数为</w:t>
      </w:r>
      <w:r>
        <w:rPr>
          <w:rFonts w:hint="eastAsia" w:ascii="仿宋" w:hAnsi="仿宋" w:eastAsia="仿宋" w:cs="仿宋"/>
          <w:sz w:val="24"/>
          <w:lang w:eastAsia="zh-CN"/>
        </w:rPr>
        <w:t>五</w:t>
      </w:r>
      <w:r>
        <w:rPr>
          <w:rFonts w:hint="eastAsia" w:ascii="仿宋" w:hAnsi="仿宋" w:eastAsia="仿宋" w:cs="仿宋"/>
          <w:sz w:val="24"/>
        </w:rPr>
        <w:t>人及以上单数。其中，技术、经济等方面的专家不得少于成员总数的三分之二。整个开、评标过程接受有关部门的监督指导。</w:t>
      </w:r>
    </w:p>
    <w:p>
      <w:pPr>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2.评标方法：</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本次评标采用综合评分法，评标结果按评审后得分由高到低顺序排列。得分相同的，按投标报价由低到高顺序排列。得分且投标报价相同的并列。</w:t>
      </w:r>
      <w:r>
        <w:rPr>
          <w:rFonts w:hint="eastAsia" w:ascii="仿宋" w:hAnsi="仿宋" w:eastAsia="仿宋" w:cs="仿宋"/>
          <w:sz w:val="24"/>
          <w:lang w:eastAsia="zh-CN"/>
        </w:rPr>
        <w:t>投标</w:t>
      </w:r>
      <w:r>
        <w:rPr>
          <w:rFonts w:hint="eastAsia" w:ascii="仿宋" w:hAnsi="仿宋" w:eastAsia="仿宋" w:cs="仿宋"/>
          <w:sz w:val="24"/>
        </w:rPr>
        <w:t>文件满足</w:t>
      </w:r>
      <w:r>
        <w:rPr>
          <w:rFonts w:hint="eastAsia" w:ascii="仿宋" w:hAnsi="仿宋" w:eastAsia="仿宋" w:cs="仿宋"/>
          <w:sz w:val="24"/>
          <w:lang w:eastAsia="zh-CN"/>
        </w:rPr>
        <w:t>采购</w:t>
      </w:r>
      <w:r>
        <w:rPr>
          <w:rFonts w:hint="eastAsia" w:ascii="仿宋" w:hAnsi="仿宋" w:eastAsia="仿宋" w:cs="仿宋"/>
          <w:sz w:val="24"/>
        </w:rPr>
        <w:t>文件全部实质性要求，且按照评审因素的量化指标评审得分最高的供应商为中标候选人。中标候选人并列的，采用随机抽取的方式确定。</w:t>
      </w:r>
    </w:p>
    <w:p>
      <w:pPr>
        <w:spacing w:line="440" w:lineRule="exact"/>
        <w:ind w:firstLine="482" w:firstLineChars="200"/>
        <w:jc w:val="left"/>
        <w:rPr>
          <w:rFonts w:hint="eastAsia" w:ascii="仿宋" w:hAnsi="仿宋" w:eastAsia="仿宋" w:cs="仿宋"/>
          <w:sz w:val="24"/>
        </w:rPr>
      </w:pPr>
      <w:r>
        <w:rPr>
          <w:rFonts w:hint="eastAsia" w:ascii="仿宋" w:hAnsi="仿宋" w:eastAsia="仿宋" w:cs="仿宋"/>
          <w:b/>
          <w:sz w:val="24"/>
        </w:rPr>
        <w:t>3.评分标准：</w:t>
      </w:r>
      <w:r>
        <w:rPr>
          <w:rFonts w:hint="eastAsia" w:ascii="仿宋" w:hAnsi="仿宋" w:eastAsia="仿宋" w:cs="仿宋"/>
          <w:sz w:val="24"/>
        </w:rPr>
        <w:t>共100分，其中资信技术分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0  </w:t>
      </w:r>
      <w:r>
        <w:rPr>
          <w:rFonts w:hint="eastAsia" w:ascii="仿宋" w:hAnsi="仿宋" w:eastAsia="仿宋" w:cs="仿宋"/>
          <w:sz w:val="24"/>
        </w:rPr>
        <w:t>分，价格分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0  </w:t>
      </w:r>
      <w:r>
        <w:rPr>
          <w:rFonts w:hint="eastAsia" w:ascii="仿宋" w:hAnsi="仿宋" w:eastAsia="仿宋" w:cs="仿宋"/>
          <w:sz w:val="24"/>
        </w:rPr>
        <w:t>分。评分依下述所列为评标打分依据，分值如下（计算分值时，按其算术平均值保留小数2位）。</w:t>
      </w:r>
    </w:p>
    <w:p>
      <w:pPr>
        <w:spacing w:line="440" w:lineRule="exact"/>
        <w:ind w:firstLine="482" w:firstLineChars="200"/>
        <w:rPr>
          <w:rFonts w:hint="eastAsia" w:ascii="仿宋" w:hAnsi="仿宋" w:eastAsia="仿宋" w:cs="仿宋"/>
          <w:b/>
          <w:bCs/>
          <w:iCs/>
          <w:sz w:val="24"/>
        </w:rPr>
      </w:pPr>
      <w:r>
        <w:rPr>
          <w:rFonts w:hint="eastAsia" w:ascii="仿宋" w:hAnsi="仿宋" w:eastAsia="仿宋" w:cs="仿宋"/>
          <w:b/>
          <w:bCs/>
          <w:iCs/>
          <w:sz w:val="24"/>
        </w:rPr>
        <w:t>3.1资信技术分（</w:t>
      </w:r>
      <w:r>
        <w:rPr>
          <w:rFonts w:hint="eastAsia" w:ascii="仿宋" w:hAnsi="仿宋" w:eastAsia="仿宋" w:cs="仿宋"/>
          <w:b/>
          <w:bCs/>
          <w:iCs/>
          <w:sz w:val="24"/>
          <w:u w:val="single"/>
        </w:rPr>
        <w:t xml:space="preserve"> </w:t>
      </w:r>
      <w:r>
        <w:rPr>
          <w:rFonts w:hint="eastAsia" w:ascii="仿宋" w:hAnsi="仿宋" w:eastAsia="仿宋" w:cs="仿宋"/>
          <w:b/>
          <w:bCs/>
          <w:iCs/>
          <w:sz w:val="24"/>
          <w:u w:val="single"/>
          <w:lang w:val="en-US" w:eastAsia="zh-CN"/>
        </w:rPr>
        <w:t>5</w:t>
      </w:r>
      <w:r>
        <w:rPr>
          <w:rFonts w:hint="eastAsia" w:ascii="仿宋" w:hAnsi="仿宋" w:eastAsia="仿宋" w:cs="仿宋"/>
          <w:b/>
          <w:bCs/>
          <w:iCs/>
          <w:sz w:val="24"/>
          <w:u w:val="single"/>
        </w:rPr>
        <w:t xml:space="preserve">0  </w:t>
      </w:r>
      <w:r>
        <w:rPr>
          <w:rFonts w:hint="eastAsia" w:ascii="仿宋" w:hAnsi="仿宋" w:eastAsia="仿宋" w:cs="仿宋"/>
          <w:b/>
          <w:bCs/>
          <w:iCs/>
          <w:sz w:val="24"/>
        </w:rPr>
        <w:t>分）</w:t>
      </w:r>
    </w:p>
    <w:tbl>
      <w:tblPr>
        <w:tblStyle w:val="80"/>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012"/>
        <w:gridCol w:w="681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tblHeader/>
          <w:jc w:val="center"/>
        </w:trPr>
        <w:tc>
          <w:tcPr>
            <w:tcW w:w="735" w:type="dxa"/>
            <w:noWrap w:val="0"/>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012" w:type="dxa"/>
            <w:noWrap w:val="0"/>
            <w:tcMar>
              <w:top w:w="15" w:type="dxa"/>
              <w:left w:w="15" w:type="dxa"/>
              <w:bottom w:w="0" w:type="dxa"/>
              <w:right w:w="15" w:type="dxa"/>
            </w:tcMar>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评议内容</w:t>
            </w:r>
          </w:p>
        </w:tc>
        <w:tc>
          <w:tcPr>
            <w:tcW w:w="6819" w:type="dxa"/>
            <w:noWrap w:val="0"/>
            <w:tcMar>
              <w:top w:w="15" w:type="dxa"/>
              <w:left w:w="15" w:type="dxa"/>
              <w:bottom w:w="0" w:type="dxa"/>
              <w:right w:w="15" w:type="dxa"/>
            </w:tcMar>
            <w:vAlign w:val="center"/>
          </w:tcPr>
          <w:p>
            <w:pPr>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评议标准</w:t>
            </w:r>
          </w:p>
        </w:tc>
        <w:tc>
          <w:tcPr>
            <w:tcW w:w="802" w:type="dxa"/>
            <w:noWrap w:val="0"/>
            <w:tcMar>
              <w:top w:w="15" w:type="dxa"/>
              <w:left w:w="15" w:type="dxa"/>
              <w:bottom w:w="0" w:type="dxa"/>
              <w:right w:w="15" w:type="dxa"/>
            </w:tcMar>
            <w:vAlign w:val="center"/>
          </w:tcPr>
          <w:p>
            <w:pPr>
              <w:snapToGrid w:val="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6" w:hRule="atLeast"/>
          <w:jc w:val="center"/>
        </w:trPr>
        <w:tc>
          <w:tcPr>
            <w:tcW w:w="735" w:type="dxa"/>
            <w:vMerge w:val="restart"/>
            <w:noWrap/>
            <w:vAlign w:val="center"/>
          </w:tcPr>
          <w:p>
            <w:pPr>
              <w:spacing w:line="300" w:lineRule="exac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012" w:type="dxa"/>
            <w:vMerge w:val="restart"/>
            <w:noWrap/>
            <w:tcMar>
              <w:top w:w="15" w:type="dxa"/>
              <w:left w:w="15" w:type="dxa"/>
              <w:bottom w:w="0" w:type="dxa"/>
              <w:right w:w="15" w:type="dxa"/>
            </w:tcMar>
            <w:vAlign w:val="center"/>
          </w:tcPr>
          <w:p>
            <w:pPr>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投标人资质</w:t>
            </w:r>
          </w:p>
        </w:tc>
        <w:tc>
          <w:tcPr>
            <w:tcW w:w="6819"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eastAsia="zh-CN"/>
              </w:rPr>
              <w:t>投标人具有水库山塘丙级评价证书的加</w:t>
            </w:r>
            <w:r>
              <w:rPr>
                <w:rFonts w:hint="eastAsia" w:ascii="仿宋" w:hAnsi="仿宋" w:eastAsia="仿宋" w:cs="仿宋"/>
                <w:b w:val="0"/>
                <w:bCs w:val="0"/>
                <w:color w:val="auto"/>
                <w:kern w:val="0"/>
                <w:sz w:val="21"/>
                <w:szCs w:val="21"/>
                <w:lang w:val="en-US" w:eastAsia="zh-CN"/>
              </w:rPr>
              <w:t>1分，</w:t>
            </w:r>
            <w:r>
              <w:rPr>
                <w:rFonts w:hint="eastAsia" w:ascii="仿宋" w:hAnsi="仿宋" w:eastAsia="仿宋" w:cs="仿宋"/>
                <w:b w:val="0"/>
                <w:bCs w:val="0"/>
                <w:color w:val="auto"/>
                <w:kern w:val="0"/>
                <w:sz w:val="21"/>
                <w:szCs w:val="21"/>
                <w:lang w:eastAsia="zh-CN"/>
              </w:rPr>
              <w:t>具有水库山塘乙级评价证书的加</w:t>
            </w:r>
            <w:r>
              <w:rPr>
                <w:rFonts w:hint="eastAsia" w:ascii="仿宋" w:hAnsi="仿宋" w:eastAsia="仿宋" w:cs="仿宋"/>
                <w:b w:val="0"/>
                <w:bCs w:val="0"/>
                <w:color w:val="auto"/>
                <w:kern w:val="0"/>
                <w:sz w:val="21"/>
                <w:szCs w:val="21"/>
                <w:lang w:val="en-US" w:eastAsia="zh-CN"/>
              </w:rPr>
              <w:t>1.5分，</w:t>
            </w:r>
            <w:r>
              <w:rPr>
                <w:rFonts w:hint="eastAsia" w:ascii="仿宋" w:hAnsi="仿宋" w:eastAsia="仿宋" w:cs="仿宋"/>
                <w:b w:val="0"/>
                <w:bCs w:val="0"/>
                <w:color w:val="auto"/>
                <w:kern w:val="0"/>
                <w:sz w:val="21"/>
                <w:szCs w:val="21"/>
                <w:lang w:eastAsia="zh-CN"/>
              </w:rPr>
              <w:t>具有水库山塘甲级评价证书的加</w:t>
            </w:r>
            <w:r>
              <w:rPr>
                <w:rFonts w:hint="eastAsia" w:ascii="仿宋" w:hAnsi="仿宋" w:eastAsia="仿宋" w:cs="仿宋"/>
                <w:b w:val="0"/>
                <w:bCs w:val="0"/>
                <w:color w:val="auto"/>
                <w:kern w:val="0"/>
                <w:sz w:val="21"/>
                <w:szCs w:val="21"/>
                <w:lang w:val="en-US" w:eastAsia="zh-CN"/>
              </w:rPr>
              <w:t>2分</w:t>
            </w:r>
          </w:p>
        </w:tc>
        <w:tc>
          <w:tcPr>
            <w:tcW w:w="802" w:type="dxa"/>
            <w:noWrap/>
            <w:tcMar>
              <w:top w:w="15" w:type="dxa"/>
              <w:left w:w="15" w:type="dxa"/>
              <w:bottom w:w="0" w:type="dxa"/>
              <w:right w:w="15" w:type="dxa"/>
            </w:tcMar>
            <w:vAlign w:val="center"/>
          </w:tcPr>
          <w:p>
            <w:pPr>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0" w:hRule="atLeast"/>
          <w:jc w:val="center"/>
        </w:trPr>
        <w:tc>
          <w:tcPr>
            <w:tcW w:w="735" w:type="dxa"/>
            <w:vMerge w:val="continue"/>
            <w:noWrap/>
            <w:vAlign w:val="center"/>
          </w:tcPr>
          <w:p>
            <w:pPr>
              <w:spacing w:line="300" w:lineRule="exact"/>
              <w:jc w:val="center"/>
              <w:rPr>
                <w:rFonts w:hint="eastAsia" w:ascii="仿宋" w:hAnsi="仿宋" w:eastAsia="仿宋" w:cs="仿宋"/>
                <w:b w:val="0"/>
                <w:bCs w:val="0"/>
                <w:color w:val="auto"/>
                <w:sz w:val="21"/>
                <w:szCs w:val="21"/>
                <w:lang w:eastAsia="zh-CN"/>
              </w:rPr>
            </w:pPr>
          </w:p>
        </w:tc>
        <w:tc>
          <w:tcPr>
            <w:tcW w:w="1012" w:type="dxa"/>
            <w:vMerge w:val="continue"/>
            <w:noWrap/>
            <w:tcMar>
              <w:top w:w="15" w:type="dxa"/>
              <w:left w:w="15" w:type="dxa"/>
              <w:bottom w:w="0" w:type="dxa"/>
              <w:right w:w="15" w:type="dxa"/>
            </w:tcMar>
            <w:vAlign w:val="center"/>
          </w:tcPr>
          <w:p>
            <w:pPr>
              <w:jc w:val="center"/>
              <w:rPr>
                <w:rFonts w:hint="eastAsia" w:ascii="仿宋" w:hAnsi="仿宋" w:eastAsia="仿宋" w:cs="仿宋"/>
                <w:b w:val="0"/>
                <w:bCs w:val="0"/>
                <w:color w:val="auto"/>
                <w:sz w:val="21"/>
                <w:szCs w:val="21"/>
                <w:lang w:eastAsia="zh-CN"/>
              </w:rPr>
            </w:pPr>
          </w:p>
        </w:tc>
        <w:tc>
          <w:tcPr>
            <w:tcW w:w="6819"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eastAsia="zh-CN"/>
              </w:rPr>
              <w:t>投标人具有电力工程施工总承包资质或水利水电机电安装工程专业承包资质或输变电工程专业承包资质的得</w:t>
            </w:r>
            <w:r>
              <w:rPr>
                <w:rFonts w:hint="eastAsia" w:ascii="仿宋" w:hAnsi="仿宋" w:eastAsia="仿宋" w:cs="仿宋"/>
                <w:b w:val="0"/>
                <w:bCs w:val="0"/>
                <w:color w:val="auto"/>
                <w:kern w:val="0"/>
                <w:sz w:val="21"/>
                <w:szCs w:val="21"/>
                <w:lang w:val="en-US" w:eastAsia="zh-CN"/>
              </w:rPr>
              <w:t>1分。</w:t>
            </w:r>
            <w:r>
              <w:rPr>
                <w:rFonts w:hint="eastAsia" w:ascii="仿宋" w:hAnsi="仿宋" w:eastAsia="仿宋" w:cs="仿宋"/>
                <w:b w:val="0"/>
                <w:bCs w:val="0"/>
                <w:color w:val="auto"/>
                <w:kern w:val="0"/>
                <w:sz w:val="21"/>
                <w:szCs w:val="21"/>
                <w:lang w:val="en-US" w:eastAsia="zh-CN"/>
              </w:rPr>
              <w:br w:type="textWrapping"/>
            </w:r>
            <w:r>
              <w:rPr>
                <w:rFonts w:hint="eastAsia" w:ascii="仿宋" w:hAnsi="仿宋" w:eastAsia="仿宋" w:cs="仿宋"/>
                <w:b w:val="0"/>
                <w:bCs w:val="0"/>
                <w:color w:val="auto"/>
                <w:kern w:val="0"/>
                <w:sz w:val="21"/>
                <w:szCs w:val="21"/>
                <w:lang w:eastAsia="zh-CN"/>
              </w:rPr>
              <w:t>注：需提供证书扫描件并加盖</w:t>
            </w:r>
            <w:r>
              <w:rPr>
                <w:rFonts w:hint="eastAsia" w:ascii="仿宋" w:hAnsi="仿宋" w:eastAsia="仿宋" w:cs="仿宋"/>
                <w:b w:val="0"/>
                <w:bCs w:val="0"/>
                <w:color w:val="auto"/>
                <w:kern w:val="0"/>
                <w:sz w:val="21"/>
                <w:szCs w:val="21"/>
                <w:lang w:val="en-US" w:eastAsia="zh-CN"/>
              </w:rPr>
              <w:t>CA签章，不提供不得分。</w:t>
            </w:r>
          </w:p>
        </w:tc>
        <w:tc>
          <w:tcPr>
            <w:tcW w:w="802" w:type="dxa"/>
            <w:noWrap/>
            <w:tcMar>
              <w:top w:w="15" w:type="dxa"/>
              <w:left w:w="15" w:type="dxa"/>
              <w:bottom w:w="0" w:type="dxa"/>
              <w:right w:w="15" w:type="dxa"/>
            </w:tcMar>
            <w:vAlign w:val="center"/>
          </w:tcPr>
          <w:p>
            <w:pPr>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5" w:hRule="atLeast"/>
          <w:jc w:val="center"/>
        </w:trPr>
        <w:tc>
          <w:tcPr>
            <w:tcW w:w="735" w:type="dxa"/>
            <w:noWrap/>
            <w:vAlign w:val="center"/>
          </w:tcPr>
          <w:p>
            <w:pPr>
              <w:spacing w:line="30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1012" w:type="dxa"/>
            <w:noWrap/>
            <w:tcMar>
              <w:top w:w="15" w:type="dxa"/>
              <w:left w:w="15" w:type="dxa"/>
              <w:bottom w:w="0" w:type="dxa"/>
              <w:right w:w="15" w:type="dxa"/>
            </w:tcMar>
            <w:vAlign w:val="center"/>
          </w:tcPr>
          <w:p>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业绩</w:t>
            </w: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rPr>
            </w:pPr>
            <w:r>
              <w:rPr>
                <w:rFonts w:hint="eastAsia" w:ascii="仿宋" w:hAnsi="仿宋" w:eastAsia="仿宋" w:cs="仿宋"/>
                <w:color w:val="auto"/>
                <w:kern w:val="0"/>
                <w:sz w:val="21"/>
                <w:szCs w:val="21"/>
                <w:highlight w:val="none"/>
                <w:lang w:val="zh-CN"/>
              </w:rPr>
              <w:t>投标人自202</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zh-CN"/>
              </w:rPr>
              <w:t>月1日至今（以合同签订时间为准），承接</w:t>
            </w:r>
            <w:r>
              <w:rPr>
                <w:rFonts w:hint="eastAsia" w:ascii="仿宋" w:hAnsi="仿宋" w:eastAsia="仿宋" w:cs="仿宋"/>
                <w:color w:val="auto"/>
                <w:kern w:val="0"/>
                <w:sz w:val="21"/>
                <w:szCs w:val="21"/>
                <w:highlight w:val="none"/>
                <w:lang w:val="zh-CN" w:eastAsia="zh-CN"/>
              </w:rPr>
              <w:t>过同类运行管理维护项目成功业绩，每提供1个得1分，最高得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eastAsia="zh-CN"/>
              </w:rPr>
              <w:t>分。</w:t>
            </w:r>
            <w:r>
              <w:rPr>
                <w:rFonts w:hint="eastAsia" w:ascii="仿宋" w:hAnsi="仿宋" w:eastAsia="仿宋" w:cs="仿宋"/>
                <w:color w:val="auto"/>
                <w:kern w:val="0"/>
                <w:sz w:val="21"/>
                <w:szCs w:val="21"/>
                <w:highlight w:val="none"/>
                <w:lang w:val="zh-CN"/>
              </w:rPr>
              <w:t>（提供合同扫描件并加盖CA签章）</w:t>
            </w:r>
          </w:p>
        </w:tc>
        <w:tc>
          <w:tcPr>
            <w:tcW w:w="802" w:type="dxa"/>
            <w:noWrap/>
            <w:tcMar>
              <w:top w:w="15" w:type="dxa"/>
              <w:left w:w="15" w:type="dxa"/>
              <w:bottom w:w="0" w:type="dxa"/>
              <w:right w:w="15" w:type="dxa"/>
            </w:tcMar>
            <w:vAlign w:val="center"/>
          </w:tcPr>
          <w:p>
            <w:pPr>
              <w:spacing w:line="300" w:lineRule="exact"/>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5" w:hRule="atLeast"/>
          <w:jc w:val="center"/>
        </w:trPr>
        <w:tc>
          <w:tcPr>
            <w:tcW w:w="735" w:type="dxa"/>
            <w:noWrap/>
            <w:vAlign w:val="center"/>
          </w:tcPr>
          <w:p>
            <w:pPr>
              <w:spacing w:line="300" w:lineRule="exact"/>
              <w:jc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3</w:t>
            </w:r>
          </w:p>
        </w:tc>
        <w:tc>
          <w:tcPr>
            <w:tcW w:w="1012" w:type="dxa"/>
            <w:noWrap/>
            <w:tcMar>
              <w:top w:w="15" w:type="dxa"/>
              <w:left w:w="15" w:type="dxa"/>
              <w:bottom w:w="0" w:type="dxa"/>
              <w:right w:w="15" w:type="dxa"/>
            </w:tcMar>
            <w:vAlign w:val="center"/>
          </w:tcPr>
          <w:p>
            <w:pPr>
              <w:pStyle w:val="43"/>
              <w:adjustRightInd w:val="0"/>
              <w:snapToGrid w:val="0"/>
              <w:jc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投标人综合实力</w:t>
            </w:r>
          </w:p>
        </w:tc>
        <w:tc>
          <w:tcPr>
            <w:tcW w:w="6819" w:type="dxa"/>
            <w:noWrap/>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eastAsia="zh-CN"/>
              </w:rPr>
              <w:t>1</w:t>
            </w:r>
            <w:r>
              <w:rPr>
                <w:rFonts w:hint="eastAsia" w:ascii="仿宋" w:hAnsi="仿宋" w:eastAsia="仿宋" w:cs="仿宋"/>
                <w:color w:val="auto"/>
                <w:kern w:val="0"/>
                <w:sz w:val="21"/>
                <w:szCs w:val="21"/>
                <w:highlight w:val="none"/>
                <w:lang w:val="zh-CN"/>
              </w:rPr>
              <w:t>）投标人具有质量管理体系认证证书的得</w:t>
            </w:r>
            <w:r>
              <w:rPr>
                <w:rFonts w:hint="eastAsia" w:ascii="仿宋" w:hAnsi="仿宋" w:eastAsia="仿宋" w:cs="仿宋"/>
                <w:color w:val="auto"/>
                <w:kern w:val="0"/>
                <w:sz w:val="21"/>
                <w:szCs w:val="21"/>
                <w:highlight w:val="none"/>
                <w:lang w:val="zh-CN" w:eastAsia="zh-CN"/>
              </w:rPr>
              <w:t>1分</w:t>
            </w:r>
            <w:r>
              <w:rPr>
                <w:rFonts w:hint="eastAsia" w:ascii="仿宋" w:hAnsi="仿宋" w:eastAsia="仿宋" w:cs="仿宋"/>
                <w:color w:val="auto"/>
                <w:kern w:val="0"/>
                <w:sz w:val="21"/>
                <w:szCs w:val="21"/>
                <w:highlight w:val="none"/>
                <w:lang w:val="zh-CN"/>
              </w:rPr>
              <w:t>；</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eastAsia="zh-CN"/>
              </w:rPr>
              <w:t>2</w:t>
            </w:r>
            <w:r>
              <w:rPr>
                <w:rFonts w:hint="eastAsia" w:ascii="仿宋" w:hAnsi="仿宋" w:eastAsia="仿宋" w:cs="仿宋"/>
                <w:color w:val="auto"/>
                <w:kern w:val="0"/>
                <w:sz w:val="21"/>
                <w:szCs w:val="21"/>
                <w:highlight w:val="none"/>
                <w:lang w:val="zh-CN"/>
              </w:rPr>
              <w:t>）投标人具有环境管理体系认证证书的得</w:t>
            </w:r>
            <w:r>
              <w:rPr>
                <w:rFonts w:hint="eastAsia" w:ascii="仿宋" w:hAnsi="仿宋" w:eastAsia="仿宋" w:cs="仿宋"/>
                <w:color w:val="auto"/>
                <w:kern w:val="0"/>
                <w:sz w:val="21"/>
                <w:szCs w:val="21"/>
                <w:highlight w:val="none"/>
                <w:lang w:val="zh-CN" w:eastAsia="zh-CN"/>
              </w:rPr>
              <w:t>1分</w:t>
            </w:r>
            <w:r>
              <w:rPr>
                <w:rFonts w:hint="eastAsia" w:ascii="仿宋" w:hAnsi="仿宋" w:eastAsia="仿宋" w:cs="仿宋"/>
                <w:color w:val="auto"/>
                <w:kern w:val="0"/>
                <w:sz w:val="21"/>
                <w:szCs w:val="21"/>
                <w:highlight w:val="none"/>
                <w:lang w:val="zh-CN"/>
              </w:rPr>
              <w:t>；</w:t>
            </w: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eastAsia="zh-CN"/>
              </w:rPr>
              <w:t>3</w:t>
            </w:r>
            <w:r>
              <w:rPr>
                <w:rFonts w:hint="eastAsia" w:ascii="仿宋" w:hAnsi="仿宋" w:eastAsia="仿宋" w:cs="仿宋"/>
                <w:color w:val="auto"/>
                <w:kern w:val="0"/>
                <w:sz w:val="21"/>
                <w:szCs w:val="21"/>
                <w:highlight w:val="none"/>
                <w:lang w:val="zh-CN"/>
              </w:rPr>
              <w:t>）投标人具有职业健康安全管理体系认证证书的得</w:t>
            </w:r>
            <w:r>
              <w:rPr>
                <w:rFonts w:hint="eastAsia" w:ascii="仿宋" w:hAnsi="仿宋" w:eastAsia="仿宋" w:cs="仿宋"/>
                <w:color w:val="auto"/>
                <w:kern w:val="0"/>
                <w:sz w:val="21"/>
                <w:szCs w:val="21"/>
                <w:highlight w:val="none"/>
                <w:lang w:val="zh-CN" w:eastAsia="zh-CN"/>
              </w:rPr>
              <w:t>1分；</w:t>
            </w:r>
          </w:p>
          <w:p>
            <w:pPr>
              <w:pStyle w:val="43"/>
              <w:adjustRightInd w:val="0"/>
              <w:snapToGrid w:val="0"/>
              <w:jc w:val="left"/>
              <w:rPr>
                <w:rFonts w:hint="eastAsia" w:ascii="仿宋" w:hAnsi="仿宋" w:eastAsia="仿宋" w:cs="仿宋"/>
                <w:b w:val="0"/>
                <w:color w:val="auto"/>
                <w:sz w:val="21"/>
                <w:szCs w:val="21"/>
              </w:rPr>
            </w:pPr>
            <w:r>
              <w:rPr>
                <w:rFonts w:hint="eastAsia" w:ascii="仿宋" w:hAnsi="仿宋" w:eastAsia="仿宋" w:cs="仿宋"/>
                <w:color w:val="auto"/>
                <w:kern w:val="0"/>
                <w:sz w:val="21"/>
                <w:szCs w:val="21"/>
                <w:highlight w:val="none"/>
                <w:lang w:val="zh-CN"/>
              </w:rPr>
              <w:t>（提供相关证书扫描件和“中国国家认证认可监督管理委员会网站”查询截图并加盖CA 签章。）</w:t>
            </w:r>
          </w:p>
        </w:tc>
        <w:tc>
          <w:tcPr>
            <w:tcW w:w="802" w:type="dxa"/>
            <w:noWrap/>
            <w:tcMar>
              <w:top w:w="15" w:type="dxa"/>
              <w:left w:w="15" w:type="dxa"/>
              <w:bottom w:w="0" w:type="dxa"/>
              <w:right w:w="15" w:type="dxa"/>
            </w:tcMar>
            <w:vAlign w:val="center"/>
          </w:tcPr>
          <w:p>
            <w:pPr>
              <w:pStyle w:val="43"/>
              <w:adjustRightInd w:val="0"/>
              <w:snapToGrid w:val="0"/>
              <w:jc w:val="center"/>
              <w:rPr>
                <w:rFonts w:hint="eastAsia" w:ascii="仿宋" w:hAnsi="仿宋" w:eastAsia="仿宋" w:cs="仿宋"/>
                <w:bCs/>
                <w:color w:val="auto"/>
                <w:kern w:val="0"/>
                <w:sz w:val="21"/>
                <w:szCs w:val="21"/>
              </w:rPr>
            </w:pPr>
            <w:r>
              <w:rPr>
                <w:rFonts w:hint="eastAsia" w:ascii="仿宋" w:hAnsi="仿宋" w:eastAsia="仿宋" w:cs="仿宋"/>
                <w:b w:val="0"/>
                <w:color w:val="auto"/>
                <w:sz w:val="21"/>
                <w:szCs w:val="21"/>
              </w:rPr>
              <w:t>0-</w:t>
            </w:r>
            <w:r>
              <w:rPr>
                <w:rFonts w:hint="eastAsia" w:ascii="仿宋" w:hAnsi="仿宋" w:eastAsia="仿宋" w:cs="仿宋"/>
                <w:b w:val="0"/>
                <w:color w:val="auto"/>
                <w:sz w:val="21"/>
                <w:szCs w:val="21"/>
                <w:lang w:val="en-US" w:eastAsia="zh-CN"/>
              </w:rPr>
              <w:t>3</w:t>
            </w:r>
            <w:r>
              <w:rPr>
                <w:rFonts w:hint="eastAsia" w:ascii="仿宋" w:hAnsi="仿宋" w:eastAsia="仿宋" w:cs="仿宋"/>
                <w:b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3" w:hRule="atLeast"/>
          <w:jc w:val="center"/>
        </w:trPr>
        <w:tc>
          <w:tcPr>
            <w:tcW w:w="735" w:type="dxa"/>
            <w:noWrap/>
            <w:vAlign w:val="center"/>
          </w:tcPr>
          <w:p>
            <w:pPr>
              <w:spacing w:line="300" w:lineRule="exact"/>
              <w:jc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4</w:t>
            </w:r>
          </w:p>
        </w:tc>
        <w:tc>
          <w:tcPr>
            <w:tcW w:w="1012" w:type="dxa"/>
            <w:noWrap/>
            <w:tcMar>
              <w:top w:w="15" w:type="dxa"/>
              <w:left w:w="15" w:type="dxa"/>
              <w:bottom w:w="0" w:type="dxa"/>
              <w:right w:w="15" w:type="dxa"/>
            </w:tcMar>
            <w:vAlign w:val="center"/>
          </w:tcPr>
          <w:p>
            <w:pPr>
              <w:spacing w:line="300" w:lineRule="exact"/>
              <w:jc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项目负责人</w:t>
            </w:r>
          </w:p>
        </w:tc>
        <w:tc>
          <w:tcPr>
            <w:tcW w:w="6819" w:type="dxa"/>
            <w:noWrap/>
            <w:tcMar>
              <w:top w:w="15" w:type="dxa"/>
              <w:left w:w="15" w:type="dxa"/>
              <w:bottom w:w="0" w:type="dxa"/>
              <w:right w:w="15" w:type="dxa"/>
            </w:tcMar>
            <w:vAlign w:val="center"/>
          </w:tcPr>
          <w:p>
            <w:pPr>
              <w:pStyle w:val="43"/>
              <w:adjustRightInd w:val="0"/>
              <w:snapToGrid w:val="0"/>
              <w:jc w:val="left"/>
              <w:rPr>
                <w:rFonts w:hint="default" w:ascii="仿宋" w:hAnsi="仿宋" w:eastAsia="仿宋" w:cs="仿宋"/>
                <w:b w:val="0"/>
                <w:color w:val="auto"/>
                <w:sz w:val="21"/>
                <w:szCs w:val="21"/>
                <w:lang w:val="en-US"/>
              </w:rPr>
            </w:pPr>
            <w:r>
              <w:rPr>
                <w:rFonts w:hint="eastAsia" w:ascii="仿宋" w:hAnsi="仿宋" w:eastAsia="仿宋" w:cs="仿宋"/>
                <w:b w:val="0"/>
                <w:bCs w:val="0"/>
                <w:color w:val="auto"/>
                <w:kern w:val="0"/>
                <w:sz w:val="21"/>
                <w:szCs w:val="21"/>
                <w:lang w:val="en-US" w:eastAsia="zh-CN" w:bidi="ar-SA"/>
              </w:rPr>
              <w:t>1.项目负责人具有本科及以上学历的得1分；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2.项目负责人具有水利水电相关中级职称的得1分，高级及以上职称的得2分。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须提供职相关证书扫描件和近3个月社保证明扫描件加盖CA签章，否则不得分。</w:t>
            </w:r>
          </w:p>
        </w:tc>
        <w:tc>
          <w:tcPr>
            <w:tcW w:w="802" w:type="dxa"/>
            <w:noWrap/>
            <w:tcMar>
              <w:top w:w="15" w:type="dxa"/>
              <w:left w:w="15" w:type="dxa"/>
              <w:bottom w:w="0" w:type="dxa"/>
              <w:right w:w="15" w:type="dxa"/>
            </w:tcMar>
            <w:vAlign w:val="center"/>
          </w:tcPr>
          <w:p>
            <w:pPr>
              <w:pStyle w:val="43"/>
              <w:adjustRightInd w:val="0"/>
              <w:snapToGrid w:val="0"/>
              <w:jc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7" w:hRule="atLeast"/>
          <w:jc w:val="center"/>
        </w:trPr>
        <w:tc>
          <w:tcPr>
            <w:tcW w:w="735" w:type="dxa"/>
            <w:noWrap/>
            <w:vAlign w:val="center"/>
          </w:tcPr>
          <w:p>
            <w:pPr>
              <w:snapToGrid w:val="0"/>
              <w:spacing w:line="3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1012" w:type="dxa"/>
            <w:noWrap/>
            <w:tcMar>
              <w:top w:w="15" w:type="dxa"/>
              <w:left w:w="15" w:type="dxa"/>
              <w:bottom w:w="0" w:type="dxa"/>
              <w:right w:w="15" w:type="dxa"/>
            </w:tcMar>
            <w:vAlign w:val="center"/>
          </w:tcPr>
          <w:p>
            <w:pPr>
              <w:pStyle w:val="43"/>
              <w:adjustRightInd w:val="0"/>
              <w:snapToGrid w:val="0"/>
              <w:jc w:val="center"/>
              <w:rPr>
                <w:rFonts w:hint="eastAsia" w:ascii="仿宋" w:hAnsi="仿宋" w:eastAsia="仿宋" w:cs="仿宋"/>
                <w:b w:val="0"/>
                <w:color w:val="auto"/>
                <w:sz w:val="21"/>
                <w:szCs w:val="21"/>
                <w:lang w:eastAsia="zh-CN"/>
              </w:rPr>
            </w:pPr>
            <w:r>
              <w:rPr>
                <w:rFonts w:hint="eastAsia" w:ascii="仿宋" w:hAnsi="仿宋" w:eastAsia="仿宋" w:cs="仿宋"/>
                <w:b w:val="0"/>
                <w:color w:val="auto"/>
                <w:sz w:val="21"/>
                <w:szCs w:val="21"/>
                <w:lang w:eastAsia="zh-CN"/>
              </w:rPr>
              <w:t>项目组成员</w:t>
            </w:r>
          </w:p>
        </w:tc>
        <w:tc>
          <w:tcPr>
            <w:tcW w:w="6819"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项目组成员中具有高压电工作业证书、低压电工证书、电气试验工证书、水轮机安装工证书、继电保护工证书、农村水电站从业人员岗位证书、水工监测工证书、化学分析工、水处理师，每个类别得1分，最多得6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须提供职相关证书扫描件和近3个月社保证明扫描件加盖CA签章，否则不得分。</w:t>
            </w:r>
          </w:p>
        </w:tc>
        <w:tc>
          <w:tcPr>
            <w:tcW w:w="802" w:type="dxa"/>
            <w:noWrap/>
            <w:tcMar>
              <w:top w:w="15" w:type="dxa"/>
              <w:left w:w="15" w:type="dxa"/>
              <w:bottom w:w="0" w:type="dxa"/>
              <w:right w:w="15" w:type="dxa"/>
            </w:tcMar>
            <w:vAlign w:val="center"/>
          </w:tcPr>
          <w:p>
            <w:pPr>
              <w:spacing w:line="300" w:lineRule="exact"/>
              <w:jc w:val="center"/>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restart"/>
            <w:noWrap/>
            <w:vAlign w:val="center"/>
          </w:tcPr>
          <w:p>
            <w:pPr>
              <w:snapToGri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12" w:type="dxa"/>
            <w:vMerge w:val="restart"/>
            <w:noWrap/>
            <w:tcMar>
              <w:top w:w="15" w:type="dxa"/>
              <w:left w:w="15" w:type="dxa"/>
              <w:bottom w:w="0" w:type="dxa"/>
              <w:right w:w="15" w:type="dxa"/>
            </w:tcMar>
            <w:vAlign w:val="center"/>
          </w:tcPr>
          <w:p>
            <w:pPr>
              <w:pStyle w:val="43"/>
              <w:adjustRightInd w:val="0"/>
              <w:snapToGrid w:val="0"/>
              <w:jc w:val="center"/>
              <w:rPr>
                <w:rFonts w:hint="eastAsia" w:ascii="仿宋" w:hAnsi="仿宋" w:eastAsia="仿宋" w:cs="仿宋"/>
                <w:b w:val="0"/>
                <w:color w:val="auto"/>
                <w:sz w:val="21"/>
                <w:szCs w:val="21"/>
                <w:lang w:eastAsia="zh-CN"/>
              </w:rPr>
            </w:pPr>
            <w:r>
              <w:rPr>
                <w:rFonts w:hint="eastAsia" w:ascii="仿宋" w:hAnsi="仿宋" w:eastAsia="仿宋" w:cs="仿宋"/>
                <w:b w:val="0"/>
                <w:color w:val="auto"/>
                <w:sz w:val="21"/>
                <w:szCs w:val="21"/>
                <w:lang w:eastAsia="zh-CN"/>
              </w:rPr>
              <w:t>运行维护</w:t>
            </w:r>
          </w:p>
        </w:tc>
        <w:tc>
          <w:tcPr>
            <w:tcW w:w="6819"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（1）针对本项目的运行和日常维修养护组织管理体系，科学且合理进行打分（0-2分）；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（2）针对本项目的养护组织和管理架构、养护工作标准和规程，符合业主单位的管理模式及管理要求内容进行打分（0-2分）；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（3）投标人针对该项目运行和日常维修养护工程的重点、难点分析情况，进行打分（0-2分）。</w:t>
            </w:r>
          </w:p>
        </w:tc>
        <w:tc>
          <w:tcPr>
            <w:tcW w:w="802" w:type="dxa"/>
            <w:noWrap/>
            <w:tcMar>
              <w:top w:w="15" w:type="dxa"/>
              <w:left w:w="15" w:type="dxa"/>
              <w:bottom w:w="0" w:type="dxa"/>
              <w:right w:w="15" w:type="dxa"/>
            </w:tcMar>
            <w:vAlign w:val="center"/>
          </w:tcPr>
          <w:p>
            <w:pPr>
              <w:spacing w:line="300" w:lineRule="exact"/>
              <w:jc w:val="center"/>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sz w:val="21"/>
                <w:szCs w:val="21"/>
              </w:rPr>
            </w:pPr>
          </w:p>
        </w:tc>
        <w:tc>
          <w:tcPr>
            <w:tcW w:w="1012" w:type="dxa"/>
            <w:vMerge w:val="continue"/>
            <w:noWrap/>
            <w:tcMar>
              <w:top w:w="15" w:type="dxa"/>
              <w:left w:w="15" w:type="dxa"/>
              <w:bottom w:w="0" w:type="dxa"/>
              <w:right w:w="15" w:type="dxa"/>
            </w:tcMar>
            <w:vAlign w:val="center"/>
          </w:tcPr>
          <w:p>
            <w:pPr>
              <w:spacing w:line="300" w:lineRule="exact"/>
              <w:jc w:val="left"/>
              <w:rPr>
                <w:sz w:val="21"/>
                <w:szCs w:val="21"/>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(1) 投标人针对本项目的运行和日常维修养护，目标清晰且合理情兄，进行打分(0-2分);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(2) 投标人针对本项目的闸泵站运行和日常维修养护方案及其标准符合规范要求并合理可行情况，日常巡检制度和相关保障措施等进行打分(0-2分);</w:t>
            </w:r>
            <w:r>
              <w:rPr>
                <w:rFonts w:hint="eastAsia" w:ascii="仿宋" w:hAnsi="仿宋" w:eastAsia="仿宋" w:cs="仿宋"/>
                <w:b w:val="0"/>
                <w:bCs w:val="0"/>
                <w:color w:val="auto"/>
                <w:kern w:val="0"/>
                <w:sz w:val="21"/>
                <w:szCs w:val="21"/>
                <w:lang w:val="en-US" w:eastAsia="zh-CN" w:bidi="ar-SA"/>
              </w:rPr>
              <w:br w:type="textWrapping"/>
            </w:r>
            <w:r>
              <w:rPr>
                <w:rFonts w:hint="eastAsia" w:ascii="仿宋" w:hAnsi="仿宋" w:eastAsia="仿宋" w:cs="仿宋"/>
                <w:b w:val="0"/>
                <w:bCs w:val="0"/>
                <w:color w:val="auto"/>
                <w:kern w:val="0"/>
                <w:sz w:val="21"/>
                <w:szCs w:val="21"/>
                <w:lang w:val="en-US" w:eastAsia="zh-CN" w:bidi="ar-SA"/>
              </w:rPr>
              <w:t>(3) 投标人针对该项目运行和日常维修养护工程的重点、难点分析情况，进行打分(0-2分)。</w:t>
            </w:r>
          </w:p>
        </w:tc>
        <w:tc>
          <w:tcPr>
            <w:tcW w:w="802"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1012" w:type="dxa"/>
            <w:vMerge w:val="continue"/>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(1)投标人针对本项目的现场各岗位职责明确、责任落实到位情况，有内部监督和考核制度，考核实施方案完善，进行打分(0-3分);</w:t>
            </w:r>
          </w:p>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(2) 针对本项目拟投入设施设备用电安全制度完善情况，进行打分(0-3 分)。</w:t>
            </w:r>
          </w:p>
        </w:tc>
        <w:tc>
          <w:tcPr>
            <w:tcW w:w="802"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1012" w:type="dxa"/>
            <w:vMerge w:val="continue"/>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投标人针对本项目的应急响应方案合理； 针对防汛防台、抗雪防冻、抢险及重大活动保障的方案内容，应急物资储备充足(提供清单) 且有保护措施情况进行打分(0-4分)；</w:t>
            </w:r>
          </w:p>
        </w:tc>
        <w:tc>
          <w:tcPr>
            <w:tcW w:w="802"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1012" w:type="dxa"/>
            <w:vMerge w:val="continue"/>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投标人针对本项目的档案资料的归档整理方案，闸泵站运行保养和维修记录使用及存档措施完善度进行打分 (0-3分)；</w:t>
            </w:r>
          </w:p>
        </w:tc>
        <w:tc>
          <w:tcPr>
            <w:tcW w:w="802"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1012" w:type="dxa"/>
            <w:vMerge w:val="continue"/>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投标人针对本项目的员工管理制度和财务管理制度完善情况；页目运行和日常维修养护人员的专业培训能力、计划和培训方案措施内容进行打分(0-4分);</w:t>
            </w:r>
          </w:p>
        </w:tc>
        <w:tc>
          <w:tcPr>
            <w:tcW w:w="802"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jc w:val="center"/>
        </w:trPr>
        <w:tc>
          <w:tcPr>
            <w:tcW w:w="735" w:type="dxa"/>
            <w:vMerge w:val="continue"/>
            <w:noWrap/>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1012" w:type="dxa"/>
            <w:vMerge w:val="continue"/>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p>
        </w:tc>
        <w:tc>
          <w:tcPr>
            <w:tcW w:w="6819" w:type="dxa"/>
            <w:noWrap/>
            <w:tcMar>
              <w:top w:w="15" w:type="dxa"/>
              <w:left w:w="15" w:type="dxa"/>
              <w:bottom w:w="0" w:type="dxa"/>
              <w:right w:w="15" w:type="dxa"/>
            </w:tcMar>
            <w:vAlign w:val="center"/>
          </w:tcPr>
          <w:p>
            <w:pPr>
              <w:spacing w:line="300" w:lineRule="exact"/>
              <w:jc w:val="left"/>
              <w:rPr>
                <w:rFonts w:hint="eastAsia" w:ascii="仿宋" w:hAnsi="仿宋" w:eastAsia="仿宋" w:cs="仿宋"/>
                <w:b w:val="0"/>
                <w:bCs w:val="0"/>
                <w:color w:val="auto"/>
                <w:kern w:val="0"/>
                <w:sz w:val="21"/>
                <w:szCs w:val="21"/>
                <w:lang w:val="en-US" w:eastAsia="zh-CN" w:bidi="ar-SA"/>
              </w:rPr>
            </w:pPr>
            <w:bookmarkStart w:id="153" w:name="_GoBack"/>
            <w:bookmarkStart w:id="116" w:name="OLE_LINK6"/>
            <w:r>
              <w:rPr>
                <w:rFonts w:hint="eastAsia" w:ascii="仿宋" w:hAnsi="仿宋" w:eastAsia="仿宋" w:cs="仿宋"/>
                <w:b w:val="0"/>
                <w:bCs w:val="0"/>
                <w:color w:val="auto"/>
                <w:kern w:val="0"/>
                <w:sz w:val="21"/>
                <w:szCs w:val="21"/>
                <w:lang w:val="en-US" w:eastAsia="zh-CN" w:bidi="ar-SA"/>
              </w:rPr>
              <w:t>投标人针对本项目的现场安全生产制度建立及安全措施合理情兄，定期开展安全生产培训及培训记录保持完整性的承诺情况； 配备专职安全员并制定专职安全员管理计划方案，进行打分(0-4分)。</w:t>
            </w:r>
            <w:bookmarkEnd w:id="153"/>
            <w:bookmarkEnd w:id="116"/>
          </w:p>
        </w:tc>
        <w:tc>
          <w:tcPr>
            <w:tcW w:w="802" w:type="dxa"/>
            <w:noWrap/>
            <w:tcMar>
              <w:top w:w="15" w:type="dxa"/>
              <w:left w:w="15" w:type="dxa"/>
              <w:bottom w:w="0" w:type="dxa"/>
              <w:right w:w="15" w:type="dxa"/>
            </w:tcMar>
            <w:vAlign w:val="center"/>
          </w:tcPr>
          <w:p>
            <w:pPr>
              <w:spacing w:line="300" w:lineRule="exact"/>
              <w:jc w:val="left"/>
              <w:rPr>
                <w:rFonts w:hint="default"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0-4分</w:t>
            </w:r>
          </w:p>
        </w:tc>
      </w:tr>
    </w:tbl>
    <w:p>
      <w:pPr>
        <w:spacing w:line="440" w:lineRule="exact"/>
        <w:rPr>
          <w:rFonts w:hint="eastAsia" w:ascii="仿宋" w:hAnsi="仿宋" w:eastAsia="仿宋" w:cs="仿宋"/>
          <w:b/>
          <w:bCs/>
          <w:iCs/>
          <w:sz w:val="24"/>
        </w:rPr>
      </w:pPr>
    </w:p>
    <w:p>
      <w:pPr>
        <w:snapToGrid w:val="0"/>
        <w:spacing w:line="440" w:lineRule="exact"/>
        <w:ind w:firstLine="482" w:firstLineChars="200"/>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供应商编制响应文件（资信技术文件部分）时，建议按此目录（序号和内容）提供评标标准相应的资信技术资料。 </w:t>
      </w:r>
    </w:p>
    <w:p>
      <w:pPr>
        <w:spacing w:line="440" w:lineRule="exact"/>
        <w:ind w:firstLine="482" w:firstLineChars="200"/>
        <w:rPr>
          <w:rFonts w:hint="eastAsia" w:ascii="仿宋" w:hAnsi="仿宋" w:eastAsia="仿宋" w:cs="仿宋"/>
          <w:b/>
          <w:bCs/>
          <w:iCs/>
          <w:sz w:val="24"/>
        </w:rPr>
      </w:pPr>
      <w:r>
        <w:rPr>
          <w:rFonts w:hint="eastAsia" w:ascii="仿宋" w:hAnsi="仿宋" w:eastAsia="仿宋" w:cs="仿宋"/>
          <w:b/>
          <w:bCs/>
          <w:iCs/>
          <w:sz w:val="24"/>
        </w:rPr>
        <w:t>3.2价格分（</w:t>
      </w:r>
      <w:r>
        <w:rPr>
          <w:rFonts w:hint="eastAsia" w:ascii="仿宋" w:hAnsi="仿宋" w:eastAsia="仿宋" w:cs="仿宋"/>
          <w:b/>
          <w:bCs/>
          <w:iCs/>
          <w:sz w:val="24"/>
          <w:u w:val="single"/>
        </w:rPr>
        <w:t xml:space="preserve"> </w:t>
      </w:r>
      <w:r>
        <w:rPr>
          <w:rFonts w:hint="eastAsia" w:ascii="仿宋" w:hAnsi="仿宋" w:eastAsia="仿宋" w:cs="仿宋"/>
          <w:b/>
          <w:bCs/>
          <w:iCs/>
          <w:sz w:val="24"/>
          <w:u w:val="single"/>
          <w:lang w:val="en-US" w:eastAsia="zh-CN"/>
        </w:rPr>
        <w:t>50</w:t>
      </w:r>
      <w:r>
        <w:rPr>
          <w:rFonts w:hint="eastAsia" w:ascii="仿宋" w:hAnsi="仿宋" w:eastAsia="仿宋" w:cs="仿宋"/>
          <w:b/>
          <w:bCs/>
          <w:iCs/>
          <w:sz w:val="24"/>
          <w:u w:val="single"/>
        </w:rPr>
        <w:t xml:space="preserve"> </w:t>
      </w:r>
      <w:r>
        <w:rPr>
          <w:rFonts w:hint="eastAsia" w:ascii="仿宋" w:hAnsi="仿宋" w:eastAsia="仿宋" w:cs="仿宋"/>
          <w:b/>
          <w:bCs/>
          <w:iCs/>
          <w:sz w:val="24"/>
        </w:rPr>
        <w:t>分）</w:t>
      </w:r>
    </w:p>
    <w:p>
      <w:pPr>
        <w:spacing w:line="440" w:lineRule="exact"/>
        <w:ind w:firstLine="480" w:firstLineChars="200"/>
        <w:rPr>
          <w:rFonts w:hint="eastAsia" w:ascii="仿宋" w:hAnsi="仿宋" w:eastAsia="仿宋" w:cs="仿宋"/>
          <w:bCs/>
          <w:iCs/>
          <w:sz w:val="24"/>
        </w:rPr>
      </w:pPr>
      <w:r>
        <w:rPr>
          <w:rFonts w:hint="eastAsia" w:ascii="仿宋" w:hAnsi="仿宋" w:eastAsia="仿宋" w:cs="仿宋"/>
          <w:bCs/>
          <w:iCs/>
          <w:sz w:val="24"/>
        </w:rPr>
        <w:t>3.2.1评审基准价：即满足</w:t>
      </w:r>
      <w:r>
        <w:rPr>
          <w:rFonts w:hint="eastAsia" w:ascii="仿宋" w:hAnsi="仿宋" w:eastAsia="仿宋" w:cs="仿宋"/>
          <w:bCs/>
          <w:iCs/>
          <w:sz w:val="24"/>
          <w:lang w:eastAsia="zh-CN"/>
        </w:rPr>
        <w:t>采购</w:t>
      </w:r>
      <w:r>
        <w:rPr>
          <w:rFonts w:hint="eastAsia" w:ascii="仿宋" w:hAnsi="仿宋" w:eastAsia="仿宋" w:cs="仿宋"/>
          <w:bCs/>
          <w:iCs/>
          <w:sz w:val="24"/>
        </w:rPr>
        <w:t>文件要求且投标价格最低的投标报价为评标基准价，其价格分为满分。</w:t>
      </w:r>
    </w:p>
    <w:p>
      <w:pPr>
        <w:spacing w:line="440" w:lineRule="exact"/>
        <w:ind w:firstLine="480" w:firstLineChars="200"/>
        <w:rPr>
          <w:rFonts w:hint="eastAsia" w:ascii="仿宋" w:hAnsi="仿宋" w:eastAsia="仿宋" w:cs="仿宋"/>
          <w:bCs/>
          <w:iCs/>
          <w:sz w:val="24"/>
        </w:rPr>
      </w:pPr>
      <w:r>
        <w:rPr>
          <w:rFonts w:hint="eastAsia" w:ascii="仿宋" w:hAnsi="仿宋" w:eastAsia="仿宋" w:cs="仿宋"/>
          <w:bCs/>
          <w:iCs/>
          <w:sz w:val="24"/>
        </w:rPr>
        <w:t>3.2.2其他供应商的价格分统一按照下列公式计算：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sz w:val="24"/>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rPr>
        <w:t xml:space="preserve"> </w:t>
      </w:r>
      <w:r>
        <w:rPr>
          <w:rFonts w:hint="eastAsia" w:ascii="仿宋" w:hAnsi="仿宋" w:eastAsia="仿宋" w:cs="仿宋"/>
          <w:bCs/>
          <w:iCs/>
          <w:sz w:val="24"/>
          <w:u w:val="single"/>
          <w:lang w:val="en-US" w:eastAsia="zh-CN"/>
        </w:rPr>
        <w:t>5</w:t>
      </w:r>
      <w:r>
        <w:rPr>
          <w:rFonts w:hint="eastAsia" w:ascii="仿宋" w:hAnsi="仿宋" w:eastAsia="仿宋" w:cs="仿宋"/>
          <w:bCs/>
          <w:iCs/>
          <w:sz w:val="24"/>
          <w:u w:val="single"/>
        </w:rPr>
        <w:t xml:space="preserve">0 </w:t>
      </w:r>
      <w:r>
        <w:rPr>
          <w:rFonts w:hint="eastAsia" w:ascii="仿宋" w:hAnsi="仿宋" w:eastAsia="仿宋" w:cs="仿宋"/>
          <w:bCs/>
          <w:iCs/>
          <w:sz w:val="24"/>
        </w:rPr>
        <w:t>（保留到小数点后两位，第三位四舍五入）</w:t>
      </w:r>
    </w:p>
    <w:p>
      <w:pPr>
        <w:adjustRightInd/>
        <w:spacing w:line="400" w:lineRule="exact"/>
        <w:ind w:firstLine="480" w:firstLineChars="200"/>
        <w:rPr>
          <w:rFonts w:hint="eastAsia"/>
        </w:rPr>
      </w:pPr>
      <w:r>
        <w:rPr>
          <w:rFonts w:hint="eastAsia" w:ascii="仿宋" w:hAnsi="仿宋" w:eastAsia="仿宋" w:cs="仿宋"/>
          <w:bCs/>
          <w:iCs/>
          <w:sz w:val="24"/>
        </w:rPr>
        <w:t>3.2.3</w:t>
      </w:r>
      <w:r>
        <w:rPr>
          <w:rFonts w:hint="eastAsia" w:ascii="仿宋" w:hAnsi="仿宋" w:eastAsia="仿宋" w:cs="仿宋"/>
          <w:b/>
          <w:iCs/>
          <w:sz w:val="24"/>
        </w:rPr>
        <w:t>本项目预算价为</w:t>
      </w:r>
      <w:r>
        <w:rPr>
          <w:rFonts w:hint="eastAsia" w:ascii="仿宋" w:hAnsi="仿宋" w:eastAsia="仿宋" w:cs="仿宋"/>
          <w:b/>
          <w:iCs/>
          <w:sz w:val="24"/>
          <w:lang w:eastAsia="zh-CN"/>
        </w:rPr>
        <w:t>1497196.47</w:t>
      </w:r>
      <w:r>
        <w:rPr>
          <w:rFonts w:hint="eastAsia" w:ascii="仿宋" w:hAnsi="仿宋" w:eastAsia="仿宋" w:cs="仿宋"/>
          <w:b/>
          <w:iCs/>
          <w:sz w:val="24"/>
        </w:rPr>
        <w:t>元，风险控制价为</w:t>
      </w:r>
      <w:r>
        <w:rPr>
          <w:rFonts w:hint="eastAsia" w:ascii="仿宋" w:hAnsi="仿宋" w:eastAsia="仿宋" w:cs="仿宋"/>
          <w:b/>
          <w:iCs/>
          <w:sz w:val="24"/>
          <w:lang w:val="en-US" w:eastAsia="zh-CN"/>
        </w:rPr>
        <w:t>1197757.18</w:t>
      </w:r>
      <w:r>
        <w:rPr>
          <w:rFonts w:hint="eastAsia" w:ascii="仿宋" w:hAnsi="仿宋" w:eastAsia="仿宋" w:cs="仿宋"/>
          <w:b/>
          <w:iCs/>
          <w:sz w:val="24"/>
        </w:rPr>
        <w:t>元（预算价的</w:t>
      </w:r>
      <w:r>
        <w:rPr>
          <w:rFonts w:hint="eastAsia" w:ascii="仿宋" w:hAnsi="仿宋" w:eastAsia="仿宋" w:cs="仿宋"/>
          <w:b/>
          <w:iCs/>
          <w:sz w:val="24"/>
          <w:lang w:val="en-US" w:eastAsia="zh-CN"/>
        </w:rPr>
        <w:t>80</w:t>
      </w:r>
      <w:r>
        <w:rPr>
          <w:rFonts w:hint="eastAsia" w:ascii="仿宋" w:hAnsi="仿宋" w:eastAsia="仿宋" w:cs="仿宋"/>
          <w:b/>
          <w:iCs/>
          <w:sz w:val="24"/>
        </w:rPr>
        <w:t>%）。凡低于该风险控制价的，中标人应在中标通知书发出后5个工作日内补交中标价净值与风险控制价之差额，中标人不提交的视为放弃中标。差额保证金待合同期满后无息退还。（差额保证金应在中标通知书发出后5个工作日内交至采购单位，以现金、电汇、转账方式交纳，其他方式不接受)</w:t>
      </w:r>
    </w:p>
    <w:p>
      <w:pPr>
        <w:spacing w:before="120" w:beforeLines="50" w:line="400" w:lineRule="exact"/>
        <w:ind w:firstLine="482" w:firstLineChars="200"/>
        <w:rPr>
          <w:rFonts w:hint="eastAsia" w:ascii="仿宋" w:hAnsi="仿宋" w:eastAsia="仿宋" w:cs="仿宋"/>
          <w:szCs w:val="24"/>
        </w:rPr>
      </w:pPr>
      <w:r>
        <w:rPr>
          <w:rFonts w:hint="eastAsia" w:ascii="仿宋" w:hAnsi="仿宋" w:eastAsia="仿宋" w:cs="仿宋"/>
          <w:b/>
          <w:iCs/>
          <w:sz w:val="24"/>
        </w:rPr>
        <w:t>评标委员会认为供应商的报价明显低于其他通过符合性审查供应商的报价，有可能影响产品质量或者不能诚信履约的，应当要求其在评标现场合理的时间内通过乐采云平台提供线上说明，必要时提交相关证明材料。供应商不能在规定时间内合理说明原因并提供证明材料的，评标委员会应当将该供应商的响应文件作无效处理，并在评审报告中说明。</w:t>
      </w:r>
    </w:p>
    <w:p>
      <w:pPr>
        <w:pStyle w:val="2"/>
        <w:spacing w:line="700" w:lineRule="exact"/>
        <w:rPr>
          <w:rFonts w:hint="eastAsia" w:ascii="仿宋" w:hAnsi="仿宋" w:eastAsia="仿宋" w:cs="仿宋"/>
          <w:bCs/>
          <w:color w:val="auto"/>
          <w:sz w:val="32"/>
          <w:szCs w:val="32"/>
        </w:rPr>
      </w:pPr>
      <w:bookmarkStart w:id="117" w:name="_Toc54978900"/>
      <w:r>
        <w:rPr>
          <w:rFonts w:hint="eastAsia" w:ascii="仿宋" w:hAnsi="仿宋" w:eastAsia="仿宋" w:cs="仿宋"/>
          <w:b/>
          <w:bCs/>
          <w:color w:val="auto"/>
          <w:sz w:val="32"/>
          <w:szCs w:val="32"/>
        </w:rPr>
        <w:t xml:space="preserve">第五部分  </w:t>
      </w:r>
      <w:bookmarkEnd w:id="117"/>
      <w:r>
        <w:rPr>
          <w:rFonts w:hint="eastAsia" w:ascii="仿宋" w:hAnsi="仿宋" w:eastAsia="仿宋" w:cs="仿宋"/>
          <w:b/>
          <w:bCs/>
          <w:color w:val="auto"/>
          <w:sz w:val="32"/>
          <w:szCs w:val="32"/>
        </w:rPr>
        <w:t>拟签订合同范本</w:t>
      </w:r>
    </w:p>
    <w:p>
      <w:pPr>
        <w:pStyle w:val="74"/>
        <w:widowControl w:val="0"/>
        <w:tabs>
          <w:tab w:val="left" w:pos="180"/>
        </w:tabs>
        <w:snapToGrid w:val="0"/>
        <w:spacing w:before="0" w:beforeAutospacing="0" w:after="0" w:afterAutospacing="0" w:line="460" w:lineRule="exact"/>
        <w:jc w:val="center"/>
        <w:rPr>
          <w:rFonts w:hint="eastAsia" w:ascii="仿宋" w:hAnsi="仿宋" w:eastAsia="仿宋" w:cs="仿宋"/>
          <w:b/>
          <w:sz w:val="24"/>
          <w:szCs w:val="24"/>
        </w:rPr>
      </w:pPr>
      <w:bookmarkStart w:id="118" w:name="_Toc32443"/>
      <w:bookmarkStart w:id="119" w:name="_Toc54978901"/>
      <w:r>
        <w:rPr>
          <w:rFonts w:hint="eastAsia" w:ascii="仿宋" w:hAnsi="仿宋" w:eastAsia="仿宋" w:cs="仿宋"/>
          <w:b/>
          <w:kern w:val="2"/>
          <w:sz w:val="24"/>
          <w:szCs w:val="24"/>
          <w:lang w:bidi="ar"/>
        </w:rPr>
        <w:t xml:space="preserve">                                           合同编号：</w:t>
      </w:r>
    </w:p>
    <w:p>
      <w:pPr>
        <w:spacing w:line="440" w:lineRule="exact"/>
        <w:ind w:left="1267" w:leftChars="228"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甲方（采购方）：</w:t>
      </w:r>
      <w:r>
        <w:rPr>
          <w:rFonts w:hint="eastAsia" w:ascii="仿宋" w:hAnsi="仿宋" w:eastAsia="仿宋" w:cs="仿宋"/>
          <w:kern w:val="0"/>
          <w:sz w:val="24"/>
          <w:szCs w:val="24"/>
          <w:lang w:eastAsia="zh-CN"/>
        </w:rPr>
        <w:t>嵊州市鸿发物业管理有限公司</w:t>
      </w:r>
    </w:p>
    <w:p>
      <w:pPr>
        <w:spacing w:line="440" w:lineRule="exact"/>
        <w:ind w:left="1267" w:leftChars="228"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乙方（中标方）：</w:t>
      </w:r>
    </w:p>
    <w:p>
      <w:pPr>
        <w:tabs>
          <w:tab w:val="left" w:pos="3420"/>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根据《中华人民共和国民法典》规定，本合同当事人在平等、自愿的基础上，经协商一致，同意按下述条款和条件签署本合同：</w:t>
      </w:r>
    </w:p>
    <w:p>
      <w:pPr>
        <w:pStyle w:val="74"/>
        <w:widowControl w:val="0"/>
        <w:spacing w:before="0" w:beforeAutospacing="0" w:after="0" w:afterAutospacing="0" w:line="440" w:lineRule="exact"/>
        <w:rPr>
          <w:rFonts w:hint="eastAsia" w:ascii="仿宋" w:hAnsi="仿宋" w:eastAsia="仿宋" w:cs="仿宋"/>
          <w:sz w:val="24"/>
          <w:szCs w:val="24"/>
          <w:lang w:bidi="ar"/>
        </w:rPr>
      </w:pPr>
      <w:bookmarkStart w:id="120" w:name="_Toc339302133"/>
      <w:bookmarkStart w:id="121" w:name="_Toc269217275"/>
      <w:bookmarkStart w:id="122" w:name="_Toc340322172"/>
      <w:bookmarkStart w:id="123" w:name="_Toc480884136"/>
      <w:bookmarkStart w:id="124" w:name="_Toc19146"/>
      <w:bookmarkStart w:id="125" w:name="_Toc340321917"/>
      <w:r>
        <w:rPr>
          <w:rFonts w:hint="eastAsia" w:ascii="仿宋" w:hAnsi="仿宋" w:eastAsia="仿宋" w:cs="仿宋"/>
          <w:b/>
          <w:sz w:val="24"/>
          <w:szCs w:val="24"/>
          <w:lang w:val="en-US" w:eastAsia="zh-CN"/>
        </w:rPr>
        <w:t>1、</w:t>
      </w:r>
      <w:bookmarkEnd w:id="120"/>
      <w:bookmarkEnd w:id="121"/>
      <w:bookmarkEnd w:id="122"/>
      <w:bookmarkEnd w:id="123"/>
      <w:bookmarkEnd w:id="124"/>
      <w:bookmarkEnd w:id="125"/>
      <w:bookmarkStart w:id="126" w:name="_Toc269217276"/>
      <w:bookmarkStart w:id="127" w:name="_Toc339302134"/>
      <w:bookmarkStart w:id="128" w:name="_Toc15932"/>
      <w:bookmarkStart w:id="129" w:name="_Toc340322173"/>
      <w:bookmarkStart w:id="130" w:name="_Toc340321918"/>
      <w:r>
        <w:rPr>
          <w:rFonts w:hint="eastAsia" w:ascii="仿宋" w:hAnsi="仿宋" w:eastAsia="仿宋" w:cs="仿宋"/>
          <w:b/>
          <w:sz w:val="24"/>
          <w:szCs w:val="24"/>
        </w:rPr>
        <w:t>合同文件的组成</w:t>
      </w:r>
    </w:p>
    <w:p>
      <w:pPr>
        <w:pStyle w:val="74"/>
        <w:widowControl w:val="0"/>
        <w:spacing w:before="0" w:beforeAutospacing="0" w:after="0" w:afterAutospacing="0" w:line="44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本合同所附下列文件是构成本合同不可分割的部分：</w:t>
      </w:r>
    </w:p>
    <w:p>
      <w:pPr>
        <w:pStyle w:val="74"/>
        <w:widowControl w:val="0"/>
        <w:spacing w:before="0" w:beforeAutospacing="0" w:after="0" w:afterAutospacing="0" w:line="44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w:t>
      </w:r>
      <w:r>
        <w:rPr>
          <w:rFonts w:hint="eastAsia" w:ascii="仿宋" w:hAnsi="仿宋" w:eastAsia="仿宋" w:cs="仿宋"/>
          <w:sz w:val="24"/>
          <w:szCs w:val="24"/>
          <w:lang w:eastAsia="zh-CN"/>
        </w:rPr>
        <w:t>嵊州市前岩水库物业化管理采购项目</w:t>
      </w:r>
      <w:r>
        <w:rPr>
          <w:rFonts w:hint="eastAsia" w:ascii="仿宋" w:hAnsi="仿宋" w:eastAsia="仿宋" w:cs="仿宋"/>
          <w:sz w:val="24"/>
          <w:szCs w:val="24"/>
          <w:lang w:bidi="ar"/>
        </w:rPr>
        <w:t>采购文件以及相关的澄清、补充文件等；</w:t>
      </w:r>
    </w:p>
    <w:p>
      <w:pPr>
        <w:pStyle w:val="74"/>
        <w:widowControl w:val="0"/>
        <w:spacing w:before="0" w:beforeAutospacing="0" w:after="0" w:afterAutospacing="0" w:line="44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2.乙方的响应文件及澄清、补充说明文件等；</w:t>
      </w:r>
    </w:p>
    <w:p>
      <w:pPr>
        <w:pStyle w:val="74"/>
        <w:widowControl w:val="0"/>
        <w:spacing w:before="0" w:beforeAutospacing="0" w:after="0" w:afterAutospacing="0" w:line="44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3.履约保证金；</w:t>
      </w:r>
    </w:p>
    <w:p>
      <w:pPr>
        <w:pStyle w:val="74"/>
        <w:widowControl w:val="0"/>
        <w:spacing w:before="0" w:beforeAutospacing="0" w:after="0" w:afterAutospacing="0" w:line="44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4.中标通知书；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5.合同。</w:t>
      </w:r>
    </w:p>
    <w:bookmarkEnd w:id="126"/>
    <w:bookmarkEnd w:id="127"/>
    <w:bookmarkEnd w:id="128"/>
    <w:bookmarkEnd w:id="129"/>
    <w:bookmarkEnd w:id="130"/>
    <w:p>
      <w:pPr>
        <w:pStyle w:val="9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 合同主要条款： </w:t>
      </w:r>
    </w:p>
    <w:p>
      <w:pPr>
        <w:pStyle w:val="9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2.1双方主要义务和责任 </w:t>
      </w:r>
    </w:p>
    <w:p>
      <w:pPr>
        <w:pStyle w:val="9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第1条 电站委托运行主要内容</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电站委托运行和维护保养管理范围包括：电站厂区、生活区及水工设施。</w:t>
      </w:r>
    </w:p>
    <w:p>
      <w:pPr>
        <w:pStyle w:val="9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开工通知：指经甲方签发通知乙方开工的函件。</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1.1电站委托运行和维护管理主要包含电站日常运行管理和维护保养；安全文明生产、厂区维护工作等：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（1）电站全年安全生产发电运行值班，电站全厂机电设备维护、保养（不含材料和备品备件）。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（2）电站闸门及其启闭设备、电气设备的维护、保养（不含材料和备品备件），参与电站引水渠道、压力管道的定期检查、记录。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（3）渠首分水闸闸门及其启闭设备的维护、保养（不含材料和备品备件）。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（4）电站备用柴油发电机的运行与维护。</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（5）电站维修养护不含输电线路、视频监视系统。</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（6）参与管理</w:t>
      </w:r>
      <w:r>
        <w:rPr>
          <w:rFonts w:hint="eastAsia" w:ascii="仿宋" w:hAnsi="仿宋" w:eastAsia="仿宋" w:cs="仿宋"/>
          <w:color w:val="auto"/>
          <w:sz w:val="24"/>
          <w:szCs w:val="24"/>
          <w:lang w:val="en-US" w:eastAsia="zh-CN"/>
        </w:rPr>
        <w:t>处</w:t>
      </w:r>
      <w:r>
        <w:rPr>
          <w:rFonts w:hint="eastAsia" w:ascii="仿宋" w:hAnsi="仿宋" w:eastAsia="仿宋" w:cs="仿宋"/>
          <w:color w:val="auto"/>
          <w:sz w:val="24"/>
          <w:szCs w:val="24"/>
        </w:rPr>
        <w:t>的年度检修工作。</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1.2电站管理范围包括：电站厂房、电站进水口及引水渠道。</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委托运行期：3 年，具体起止时间以合同签订为准</w:t>
      </w:r>
      <w:r>
        <w:rPr>
          <w:rFonts w:hint="eastAsia" w:ascii="仿宋" w:hAnsi="仿宋" w:eastAsia="仿宋" w:cs="仿宋"/>
          <w:color w:val="auto"/>
          <w:sz w:val="24"/>
          <w:szCs w:val="24"/>
          <w:lang w:eastAsia="zh-CN"/>
        </w:rPr>
        <w:t>。</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甲方根据乙方的履约情况和实际运行和日常维护管理效果，经年度综合考评不合格的，甲方有权终止合同。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如遇上级重大政策性原因须中止合同的，甲方有权终止合同。</w:t>
      </w:r>
    </w:p>
    <w:p>
      <w:pPr>
        <w:pStyle w:val="9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第2条 甲方的主要义务和责任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2.1对乙方的管理实施监督检查，负责考核办法的制定，考核评定。如因乙方管理不善，或人为因素造成重大经济损失，或造成严重不良社会影响的，甲方有权终止合同；并要求进行赔偿或追究相关法律责任。</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2.2负责提供专用工具（附工具清单）、管理范围内有关工程图纸、技术资料并进行必要的技术交底，并在乙方管理期满时予以收回；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2.3按合同条款的约定，按时支付进度款及结算款；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2.4不得干涉乙方依法或依本合同规定内容所进行的管理和经营活动；</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2.5负责处理非乙方原因而产生的各种纠纷；</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2.6法规政策规定由甲方承担的其他责任；</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2.7提供乙方生产所需的办公及生活用房及相关配套设施。</w:t>
      </w:r>
    </w:p>
    <w:p>
      <w:pPr>
        <w:pStyle w:val="9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第3条 乙方的主要义务和责任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3.1根据有关法律、法规政策及本合同的规定，制订运行和日常维护管理制度、值班制度等各项制度、实施细则，并报甲方批准后执行。</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3.2按照甲方的指令，严格按照技术条款中规定的质量要求完成全部承包工作。接受甲方的监督、考核，并对存在的问题进行整改。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按技术条款的规定编制运行和维护管理方案和计划提交甲方审批，方案中应包含运行和日常维修护管理及主设备年度定期大修全过程文明措施计划，保证按照国家有关规定文明运行和日常维护管理。每月对运行和维护管理工作进行总结（每月的25号之前提交甲方）。做好运行记录、维护养保工作的日记，每月末与总结一起提交甲方。协助编制主设备定期大修方案，报甲方相关部门核准后协助实施。</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乙方对本招标工程范围内的运行和维护管理（包括巡视、看护、定期检查、特别检查等）现场配备人数应满足合同工作需要。若人员不能满足安全生产要求，经甲方提出增配或更换工作人员，在接甲方通知后的一周内人员到位，并不得提出额外的费用补偿要求。项目负责人的更换须取得甲方同意。在进场一个月之内，乙方必须在运行和日常维修管理区域完成公示牌（规格为：2m×1.5m；二块，内容由甲方审定）的设置，设置地点由</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方指定。</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3.5遵守环境保护的法律、法规和规章及技术条款有关规定，禁止弃土、材料任意堆放，防止因为噪音、扬尘、废水、废油不进行控制和治理及生活垃圾不及时清除而造成环境破坏、人员伤害和财产损失。</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3.6乙方不得出租甲方提供管理及生产生活用房或另作它用。</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3.7在合同存续期间，乙方要制定防汛防台抢险预案，保证工程运行安全及上下游的防汛安全，必须服从防汛防台抢险的命令与调度和《嵊州市</w:t>
      </w:r>
      <w:r>
        <w:rPr>
          <w:rFonts w:hint="eastAsia" w:ascii="仿宋" w:hAnsi="仿宋" w:eastAsia="仿宋" w:cs="仿宋"/>
          <w:color w:val="auto"/>
          <w:sz w:val="24"/>
          <w:szCs w:val="24"/>
          <w:lang w:val="en-US" w:eastAsia="zh-CN"/>
        </w:rPr>
        <w:t>前岩</w:t>
      </w:r>
      <w:r>
        <w:rPr>
          <w:rFonts w:hint="eastAsia" w:ascii="仿宋" w:hAnsi="仿宋" w:eastAsia="仿宋" w:cs="仿宋"/>
          <w:color w:val="auto"/>
          <w:sz w:val="24"/>
          <w:szCs w:val="24"/>
        </w:rPr>
        <w:t>水库控制运用计划》的规定。</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3.8在符合合同要求所许可的范围内，实施和完成本合同维护工作中的一切运行和日常维护管理作业，不得对现有建筑物及各种管道、电线、电缆、通讯等设施造成任何影响或破坏，不得影响邻近建筑物、构筑物等的安全与正常使用或不适当作业造成对附近群众的干扰与不便。如发生上述情况，应由乙方承担一切责任及费用。乙方应协调和处理好与邻近村民的关系。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3.9乙方应对投标报价中所报的单价和合价的正确性和完备性负责。除合同中另有规定的以外，上述报价包括了合同内列明和包含的全部风险、责任和义务，以及为履行本合同所需的全部费用及利润、税费。</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3.10按照投标承诺组织项目管理人员按时到场。 </w:t>
      </w:r>
    </w:p>
    <w:p>
      <w:pPr>
        <w:pStyle w:val="9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3.11遵守安全生产法律法规，按照国家标准、行业标准、电网的要求及甲方提供的安全生产管理制度进行电站的安全生产运行管理，承担因违反相关法规和运行维护不当造成的甲方经济损失。</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3.12负责合同范围内甲方资产的安全完好，及时处理安全隐患和事故。 </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3.13负责电站承包范围内各种生产设备、设施的运行、日常维护及招标文件规定的维护保养工作。</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3.14负责电站现场运行规程和管理规章制度的修编，建立事故应急预案，报甲方同意后实施。 </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3.15协助甲方制订设备大修计划及编制技改方案等。协助完成电气设备定期预防性试验、继电保护校验等，组织实施事故抢修。</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3.16认真记录，收集、整理设备运行、维护、异常、故障、检修消缺等相关资料，并做好数据库录入和归档保存工作。 </w:t>
      </w:r>
    </w:p>
    <w:p>
      <w:pPr>
        <w:pStyle w:val="90"/>
        <w:spacing w:line="360" w:lineRule="auto"/>
        <w:ind w:firstLine="360" w:firstLineChars="15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 xml:space="preserve">3.17负责对电站生产人员进行安全教育、岗位培训、法制教育，并进行安全、岗位技术考核，并承担相应费用。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 xml:space="preserve">   3.18乙方须提供本项目相关服务人员在本单位的劳务合同。</w:t>
      </w:r>
    </w:p>
    <w:p>
      <w:pPr>
        <w:pStyle w:val="9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第4条 项目负责人</w:t>
      </w:r>
      <w:r>
        <w:rPr>
          <w:rFonts w:hint="eastAsia" w:ascii="仿宋" w:hAnsi="仿宋" w:eastAsia="仿宋" w:cs="仿宋"/>
          <w:color w:val="auto"/>
          <w:sz w:val="24"/>
          <w:szCs w:val="24"/>
        </w:rPr>
        <w:t>。项目负责人按照本合同的约定行使权利，履行职责。</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4.1为实施本合同发出的一切函件应由项目负责人或其授权代表签名，</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方人员在回执上签署姓名和收到时间后生效。</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4.2项目负责人按甲方批准的运行和日常维护管理方案、进度计划和根据合同发出的指示、要求组织开展工作。 </w:t>
      </w:r>
    </w:p>
    <w:p>
      <w:pPr>
        <w:pStyle w:val="9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4.3项目负责人原则上不得换人，如确因工作需要，须经业主同意。项目负责人每月在现场时间不得少于22天；否则处以500元／天罚款（以现场考勤表为准）。</w:t>
      </w:r>
    </w:p>
    <w:p>
      <w:pPr>
        <w:pStyle w:val="90"/>
        <w:spacing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第5条 人员的工伤事故 </w:t>
      </w:r>
    </w:p>
    <w:p>
      <w:pPr>
        <w:pStyle w:val="90"/>
        <w:spacing w:line="360" w:lineRule="auto"/>
        <w:jc w:val="both"/>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.1</w:t>
      </w:r>
      <w:r>
        <w:rPr>
          <w:rFonts w:hint="eastAsia" w:ascii="仿宋" w:hAnsi="仿宋" w:eastAsia="仿宋" w:cs="仿宋"/>
          <w:color w:val="auto"/>
          <w:sz w:val="24"/>
          <w:szCs w:val="24"/>
        </w:rPr>
        <w:t>乙方须为本项目现场服务人员投保人身意外伤害险。</w:t>
      </w:r>
    </w:p>
    <w:p>
      <w:pPr>
        <w:pStyle w:val="90"/>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xml:space="preserve">.2 </w:t>
      </w:r>
      <w:r>
        <w:rPr>
          <w:rFonts w:hint="eastAsia" w:ascii="仿宋" w:hAnsi="仿宋" w:eastAsia="仿宋" w:cs="仿宋"/>
          <w:b/>
          <w:color w:val="auto"/>
          <w:sz w:val="24"/>
          <w:szCs w:val="24"/>
          <w:lang w:val="en-US" w:eastAsia="zh-CN"/>
        </w:rPr>
        <w:t>服务期</w:t>
      </w:r>
      <w:r>
        <w:rPr>
          <w:rFonts w:hint="eastAsia" w:ascii="仿宋" w:hAnsi="仿宋" w:eastAsia="仿宋" w:cs="仿宋"/>
          <w:b/>
          <w:color w:val="auto"/>
          <w:sz w:val="24"/>
          <w:szCs w:val="24"/>
        </w:rPr>
        <w:t>要求：</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3</w:t>
      </w:r>
      <w:r>
        <w:rPr>
          <w:rFonts w:hint="eastAsia" w:ascii="仿宋" w:hAnsi="仿宋" w:eastAsia="仿宋" w:cs="仿宋"/>
          <w:color w:val="auto"/>
          <w:sz w:val="24"/>
          <w:szCs w:val="24"/>
        </w:rPr>
        <w:t>年（    年   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日至    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 xml:space="preserve">日），具体以业主发出指令为准。 </w:t>
      </w:r>
    </w:p>
    <w:p>
      <w:pPr>
        <w:spacing w:before="0"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xml:space="preserve">.3质量与验收 </w:t>
      </w:r>
    </w:p>
    <w:p>
      <w:pPr>
        <w:spacing w:before="0" w:after="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第1条 运行和日常维护保养项目质量考核 </w:t>
      </w:r>
    </w:p>
    <w:p>
      <w:pPr>
        <w:spacing w:before="0" w:after="0"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1.1运行和日常维护保养工作实施每周不定期抽查和月度定期考核相结合的检查制度。每周不定期抽查由甲方择时进行，一般每周一次，检查发现的问题，作为月度考核该项目赋分的重要依据；月度定期考核由甲方自行随机确定，打分作为月度考核分。</w:t>
      </w:r>
      <w:r>
        <w:rPr>
          <w:rFonts w:hint="eastAsia" w:ascii="仿宋" w:hAnsi="仿宋" w:eastAsia="仿宋" w:cs="仿宋"/>
          <w:color w:val="auto"/>
          <w:sz w:val="24"/>
          <w:szCs w:val="24"/>
          <w:lang w:eastAsia="zh-CN"/>
        </w:rPr>
        <w:t>年度考核结果</w:t>
      </w:r>
      <w:r>
        <w:rPr>
          <w:rFonts w:hint="eastAsia" w:ascii="仿宋" w:hAnsi="仿宋" w:eastAsia="仿宋" w:cs="仿宋"/>
          <w:color w:val="auto"/>
          <w:sz w:val="24"/>
          <w:szCs w:val="24"/>
          <w:lang w:val="en-US" w:eastAsia="zh-CN"/>
        </w:rPr>
        <w:t>=全年月度考核分值之和/12。</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1.2考核分在900分及以</w:t>
      </w:r>
      <w:r>
        <w:rPr>
          <w:rFonts w:hint="eastAsia" w:ascii="仿宋" w:hAnsi="仿宋" w:eastAsia="仿宋" w:cs="仿宋"/>
          <w:color w:val="auto"/>
          <w:sz w:val="24"/>
          <w:szCs w:val="24"/>
          <w:lang w:eastAsia="zh-CN"/>
        </w:rPr>
        <w:t>下</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合格，900分以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为合格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920分以上的为良好，950分以上的为优秀。</w:t>
      </w:r>
      <w:r>
        <w:rPr>
          <w:rFonts w:hint="eastAsia" w:ascii="仿宋" w:hAnsi="仿宋" w:eastAsia="仿宋" w:cs="仿宋"/>
          <w:color w:val="auto"/>
          <w:sz w:val="24"/>
          <w:szCs w:val="24"/>
        </w:rPr>
        <w:t xml:space="preserve"> </w:t>
      </w:r>
    </w:p>
    <w:p>
      <w:pPr>
        <w:spacing w:before="0" w:after="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第2条 维护项目质量验收</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2.1本工程招标要求维护项目质量等级必须达到合格及其以上。</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2.2如维护保养项目质量未能达到合格，乙方必须无条件返工，直至工程质量达到合格，期间所发生的一切费用由乙方自行承担。</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2.3设备应具备维护保养日记、维护保养大事记等资料。</w:t>
      </w:r>
    </w:p>
    <w:p>
      <w:pPr>
        <w:spacing w:before="0"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2.4其他要求：</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乙方必须按规定程序和安全文明服务有关要求进行实施，承担服务过程中的各种意外，其责任由乙方承担，甲方不承担任何责任。</w:t>
      </w:r>
    </w:p>
    <w:p>
      <w:pPr>
        <w:spacing w:before="0"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xml:space="preserve"> 结算原则</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.1采购文件、招标答疑会纪要、中标乙方的中标报价等作为结算依据；</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.2中标单价一次性包死，不再调整。 </w:t>
      </w:r>
    </w:p>
    <w:p>
      <w:pPr>
        <w:spacing w:before="0" w:after="0" w:line="360" w:lineRule="auto"/>
        <w:ind w:left="482" w:hanging="482" w:hangingChars="20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付款方式：</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lang w:eastAsia="zh-CN"/>
        </w:rPr>
        <w:t>总价</w:t>
      </w:r>
      <w:r>
        <w:rPr>
          <w:rFonts w:hint="eastAsia" w:ascii="仿宋" w:hAnsi="仿宋" w:eastAsia="仿宋" w:cs="仿宋"/>
          <w:color w:val="auto"/>
          <w:sz w:val="24"/>
          <w:szCs w:val="24"/>
          <w:lang w:val="en-US" w:eastAsia="zh-CN"/>
        </w:rPr>
        <w:t>=服务人员实际数量*服务人员单价</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电站委托运行费用实行总价承包，并根据考核情况结算。根据月度考核得分值，总价承包项目费用按季度结付：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①季度费用付款额（元）＝总价承包项目费用总额/</w:t>
      </w:r>
      <w:r>
        <w:rPr>
          <w:rFonts w:hint="eastAsia" w:ascii="仿宋" w:hAnsi="仿宋" w:eastAsia="仿宋" w:cs="仿宋"/>
          <w:color w:val="auto"/>
          <w:sz w:val="24"/>
          <w:szCs w:val="24"/>
          <w:lang w:val="en-US" w:eastAsia="zh-CN"/>
        </w:rPr>
        <w:t>3年</w:t>
      </w: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rPr>
        <w:t>；</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②月度最终考核得分值在900分以下的，按每低1分（900分为基数）扣200元的标准实行，即月度扣款额＝（900-月度考核得分值）×200，则季度总价承包项目付款额＝该季度运行维护管理费用－本季度累计扣款额。 本工程甲方不支付预付款，前期费用由乙方自行考虑。</w:t>
      </w:r>
    </w:p>
    <w:p>
      <w:pPr>
        <w:spacing w:before="0" w:after="0" w:line="360" w:lineRule="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签订合同时间：</w:t>
      </w:r>
      <w:r>
        <w:rPr>
          <w:rFonts w:hint="eastAsia" w:ascii="仿宋" w:hAnsi="仿宋" w:eastAsia="仿宋" w:cs="仿宋"/>
          <w:b/>
          <w:color w:val="auto"/>
          <w:sz w:val="24"/>
          <w:szCs w:val="24"/>
          <w:u w:val="single"/>
          <w:lang w:val="en-US"/>
        </w:rPr>
        <w:t xml:space="preserve">    </w:t>
      </w:r>
      <w:r>
        <w:rPr>
          <w:rFonts w:hint="eastAsia" w:ascii="仿宋" w:hAnsi="仿宋" w:eastAsia="仿宋" w:cs="仿宋"/>
          <w:b/>
          <w:color w:val="auto"/>
          <w:sz w:val="24"/>
          <w:szCs w:val="24"/>
        </w:rPr>
        <w:t>年</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月</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rPr>
        <w:t xml:space="preserve">   </w:t>
      </w:r>
      <w:r>
        <w:rPr>
          <w:rFonts w:hint="eastAsia" w:ascii="仿宋" w:hAnsi="仿宋" w:eastAsia="仿宋" w:cs="仿宋"/>
          <w:b/>
          <w:color w:val="auto"/>
          <w:sz w:val="24"/>
          <w:szCs w:val="24"/>
        </w:rPr>
        <w:t>日</w:t>
      </w:r>
    </w:p>
    <w:p>
      <w:pPr>
        <w:spacing w:before="0"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xml:space="preserve">违约及责任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第1条 乙方违约 在履行合同过程中，乙方发生下述行为之一者属乙方违约。</w:t>
      </w:r>
    </w:p>
    <w:p>
      <w:pPr>
        <w:spacing w:before="0" w:after="0"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1.1在运行期间，运行维护人员未按要求到位，或由于人为原因造成电站设施不能正常运行，无故弃水并造成损失。</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1.2乙方无正当理由未按开工通知的要求及时进点开展工作和未按签订协议书商定的进度计划有效地开展工作，造成工期延误。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1.3乙方违反规定私自将合同或合同的任何部分或任何权利转让给其他人，或私自将工程或工程的一部分分包出去。</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1.4乙方无视甲方对运行维保质量的监督管理，年度综合考评不合格的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连续两个月考核分数均在900分以下的；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1.5乙方在保养期内拒绝按规定和工程移交证书中所列的缺陷清单内容进行修复，或经监督管理人检验认为修复质量不合格而乙方拒绝再进行修补。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1.6乙方否认合同有效或拒绝履行合同规定的乙方义务，或由于法律、财务等原因导致乙方无法继续履行或实质上已停止履行本合同的义务。</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 乙方必须确保项目组人员到位（如需更换人员，须向甲方书面申请并得到甲方同意后，方可更换具有相应资格或高于现岗位人员资格），否则甲方有权终止合同，相应的损失由乙方承担。</w:t>
      </w:r>
    </w:p>
    <w:p>
      <w:pPr>
        <w:spacing w:before="0" w:after="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第2条 对乙方违约的处理 </w:t>
      </w:r>
    </w:p>
    <w:p>
      <w:pPr>
        <w:spacing w:before="0" w:after="0"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2.1对乙方发出警告 乙方发生上述违约行为时，甲方应及时向乙方发出书面警告，限令其在收到书面警告后的5天内予以改正。乙方应立即采取有效措施认真改正，并尽可能挽回由于违约造成的延误和损失。由于乙方采取改正措施所增加的费用，应由乙方承担。</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2.2责令乙方整改 乙方在收到书面警告的的5天内仍不采取有效措施改正其违约行为，甚至危及工程安全，甲方人可暂停支付工程价款，责令其整改，并限令乙方在10天内提交整改报告报送甲方审核。由此产生一切费用和工期延误责任由乙方承担。</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2.3解除合同 监督管理人发出整改通知5天后，乙方继续无视甲方意见，仍不提交整改报告，亦不采取整改措施，则甲方有权另行组织人员或委托其他乙方实施维护保养，但甲方的这一行动不免除乙方按合同规定应负的责任。乙方连续两个月考核均在900分以下的，甲方可单方解除本次招标委托运行与维护管理合同，并按乙方按合同规定已完成的各项工作应得金额的70％进行结算。</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第3条 甲方违约 在履行合同过程中，发生下述行为之一者属甲方违约。</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3.1甲方未能按合同规定的内容提供养护对象的。</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3.2甲方未能按合同规定的期限向乙方提供应由甲方负责的图纸。</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3.3甲方未能按合同规定的时间支付合同价款，或拖延、拒绝批准付款申请和支付凭证，导致付款延误。</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3.4由于法律、财务等原因导致甲方无法继续履行或实质上已停止履行本合同的义务。</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第4条 甲方违约的处理 </w:t>
      </w:r>
    </w:p>
    <w:p>
      <w:pPr>
        <w:spacing w:before="0" w:after="0"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4.1乙方有权暂停养护：若发生上述3.l、3.2项的违约时，乙方应及时向甲方和监督管理人发出通知，要求甲方采取有效措施限期提供上述条件和图纸，并有权要求延长工期和补偿额外费用。监督管理人收到乙方通知后，应立即与甲方和乙方共同协商补救办法。由此增加的费用和工期延误责任，由甲方承担。甲方收到乙方通知后的10天内仍未采取措施改正，则乙方有权暂停养护，并通知甲方和监督管理人。由此增加的费用和工期延误责任，由甲方承担。若发生3.3项的违约时，甲方应按规定加付逾期付款违约金，逾期10天仍不支付，则乙方有权暂停养护，并通知甲方和监督管理人。由此增加的费用和工期延误责任，由甲方承担。</w:t>
      </w:r>
    </w:p>
    <w:p>
      <w:pPr>
        <w:spacing w:before="0" w:after="0"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 xml:space="preserve"> 4.2乙方有权解除合同：若发生第3.3、3.4项的违约时，乙方已按4.1款的规定发出通知，并采取了暂停养护的行动后，甲方仍不采取有效措施纠正其违约行为，乙方有权向甲方提出解除合同的要求。甲方在收到乙方书面要求后的10天内仍不答复乙方，则乙方有权立即采取行动解除合同。 </w:t>
      </w:r>
    </w:p>
    <w:p>
      <w:pPr>
        <w:spacing w:before="0"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其他</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1.2安全运行 乙方作为安全生产运行和管理的第一责任人，应按技术条款规定，认真做好水工程与机电设备、防汛、防台、管辖区治安保卫与消防等安全工作。因乙方原因引起的人员伤亡、财产损失等安全事故由其负责，并承担相应费用。</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方应按照有关法律、法规、规章和本合同有关规定，检查承包方上述工作的实施，对乙方故意延误或拒绝改正的，有权责令其停工整改。发生重大伤亡事故，乙方应按有关规定立即通知甲方和上级有关部门。</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1.3不可抗力 地震、洪水、雪雹等不可抗力发生后，乙方应迅速采取措施，尽力减少损失，并在24小时内向甲方通报情况，按合同条款约定的时间向甲方报告损失情况和清理、修复的费用。灾害继续发生，乙方应每隔3天向甲方报告一次灾害情况，直到灾害 结束。甲方应对灾害处理提供必要条件。</w:t>
      </w:r>
    </w:p>
    <w:p>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因灾害发生的费用按下列规定由双方分别承担。</w:t>
      </w:r>
    </w:p>
    <w:p>
      <w:pPr>
        <w:adjustRightInd w:val="0"/>
        <w:spacing w:before="0" w:after="0" w:line="360" w:lineRule="auto"/>
        <w:ind w:firstLine="566" w:firstLineChars="236"/>
        <w:rPr>
          <w:rFonts w:hint="eastAsia" w:ascii="仿宋" w:hAnsi="仿宋" w:eastAsia="仿宋" w:cs="仿宋"/>
          <w:color w:val="auto"/>
          <w:sz w:val="24"/>
          <w:szCs w:val="24"/>
        </w:rPr>
      </w:pPr>
      <w:r>
        <w:rPr>
          <w:rFonts w:hint="eastAsia" w:ascii="仿宋" w:hAnsi="仿宋" w:eastAsia="仿宋" w:cs="仿宋"/>
          <w:color w:val="auto"/>
          <w:sz w:val="24"/>
          <w:szCs w:val="24"/>
        </w:rPr>
        <w:t>1.3.1工程本身的损害由甲方承担。</w:t>
      </w:r>
    </w:p>
    <w:p>
      <w:pPr>
        <w:adjustRightInd w:val="0"/>
        <w:spacing w:before="0" w:after="0" w:line="360" w:lineRule="auto"/>
        <w:ind w:firstLine="566" w:firstLineChars="236"/>
        <w:rPr>
          <w:rFonts w:hint="eastAsia" w:ascii="仿宋" w:hAnsi="仿宋" w:eastAsia="仿宋" w:cs="仿宋"/>
          <w:color w:val="auto"/>
          <w:sz w:val="24"/>
          <w:szCs w:val="24"/>
        </w:rPr>
      </w:pPr>
      <w:r>
        <w:rPr>
          <w:rFonts w:hint="eastAsia" w:ascii="仿宋" w:hAnsi="仿宋" w:eastAsia="仿宋" w:cs="仿宋"/>
          <w:color w:val="auto"/>
          <w:sz w:val="24"/>
          <w:szCs w:val="24"/>
        </w:rPr>
        <w:t>1.3.2人员伤亡由其所属单位负责，并承担相应费用。</w:t>
      </w:r>
    </w:p>
    <w:p>
      <w:pPr>
        <w:adjustRightInd w:val="0"/>
        <w:spacing w:before="0" w:after="0" w:line="360" w:lineRule="auto"/>
        <w:ind w:firstLine="566" w:firstLineChars="236"/>
        <w:rPr>
          <w:rFonts w:hint="eastAsia" w:ascii="仿宋" w:hAnsi="仿宋" w:eastAsia="仿宋" w:cs="仿宋"/>
          <w:color w:val="auto"/>
          <w:sz w:val="24"/>
          <w:szCs w:val="24"/>
        </w:rPr>
      </w:pPr>
      <w:r>
        <w:rPr>
          <w:rFonts w:hint="eastAsia" w:ascii="仿宋" w:hAnsi="仿宋" w:eastAsia="仿宋" w:cs="仿宋"/>
          <w:color w:val="auto"/>
          <w:sz w:val="24"/>
          <w:szCs w:val="24"/>
        </w:rPr>
        <w:t>1.3.3造成乙方设备、机械的损失等由乙方承担。</w:t>
      </w:r>
    </w:p>
    <w:p>
      <w:pPr>
        <w:adjustRightInd w:val="0"/>
        <w:spacing w:before="0" w:after="0" w:line="360" w:lineRule="auto"/>
        <w:ind w:firstLine="566" w:firstLineChars="236"/>
        <w:rPr>
          <w:rFonts w:hint="eastAsia" w:ascii="仿宋" w:hAnsi="仿宋" w:eastAsia="仿宋" w:cs="仿宋"/>
          <w:color w:val="auto"/>
          <w:sz w:val="24"/>
          <w:szCs w:val="24"/>
        </w:rPr>
      </w:pPr>
      <w:r>
        <w:rPr>
          <w:rFonts w:hint="eastAsia" w:ascii="仿宋" w:hAnsi="仿宋" w:eastAsia="仿宋" w:cs="仿宋"/>
          <w:color w:val="auto"/>
          <w:sz w:val="24"/>
          <w:szCs w:val="24"/>
        </w:rPr>
        <w:t>1.3.4所需清理修复工作的费用由甲方承担。</w:t>
      </w:r>
    </w:p>
    <w:p>
      <w:pPr>
        <w:pStyle w:val="9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甲、乙双方的法定代表人或其委托代理人在协议书上签名并盖单位公章后，合同生效。</w:t>
      </w:r>
      <w:r>
        <w:rPr>
          <w:rFonts w:hint="eastAsia" w:ascii="仿宋" w:hAnsi="仿宋" w:eastAsia="仿宋" w:cs="仿宋"/>
          <w:snapToGrid w:val="0"/>
          <w:color w:val="auto"/>
          <w:kern w:val="0"/>
          <w:sz w:val="24"/>
          <w:szCs w:val="24"/>
        </w:rPr>
        <w:t>本合同一式</w:t>
      </w:r>
      <w:r>
        <w:rPr>
          <w:rFonts w:hint="eastAsia" w:ascii="仿宋" w:hAnsi="仿宋" w:eastAsia="仿宋" w:cs="仿宋"/>
          <w:snapToGrid w:val="0"/>
          <w:color w:val="auto"/>
          <w:kern w:val="0"/>
          <w:sz w:val="24"/>
          <w:szCs w:val="24"/>
          <w:lang w:eastAsia="zh-CN"/>
        </w:rPr>
        <w:t>陆</w:t>
      </w:r>
      <w:r>
        <w:rPr>
          <w:rFonts w:hint="eastAsia" w:ascii="仿宋" w:hAnsi="仿宋" w:eastAsia="仿宋" w:cs="仿宋"/>
          <w:snapToGrid w:val="0"/>
          <w:color w:val="auto"/>
          <w:kern w:val="0"/>
          <w:sz w:val="24"/>
          <w:szCs w:val="24"/>
        </w:rPr>
        <w:t>份</w:t>
      </w:r>
      <w:r>
        <w:rPr>
          <w:rFonts w:hint="eastAsia" w:ascii="仿宋" w:hAnsi="仿宋" w:eastAsia="仿宋" w:cs="仿宋"/>
          <w:snapToGrid w:val="0"/>
          <w:color w:val="auto"/>
          <w:kern w:val="0"/>
          <w:sz w:val="24"/>
          <w:szCs w:val="24"/>
          <w:lang w:eastAsia="zh-CN"/>
        </w:rPr>
        <w:t>，双方各执叁份。</w:t>
      </w:r>
    </w:p>
    <w:p>
      <w:pPr>
        <w:pStyle w:val="20"/>
        <w:spacing w:line="460" w:lineRule="exact"/>
        <w:ind w:firstLine="420"/>
        <w:contextualSpacing/>
        <w:rPr>
          <w:rFonts w:hint="eastAsia" w:ascii="仿宋" w:hAnsi="仿宋" w:eastAsia="仿宋" w:cs="仿宋"/>
          <w:szCs w:val="24"/>
        </w:rPr>
      </w:pPr>
      <w:r>
        <w:rPr>
          <w:rFonts w:hint="eastAsia" w:ascii="仿宋" w:hAnsi="仿宋" w:eastAsia="仿宋" w:cs="仿宋"/>
          <w:szCs w:val="24"/>
        </w:rPr>
        <w:t xml:space="preserve">甲方：                                   乙方：                                  </w:t>
      </w:r>
    </w:p>
    <w:p>
      <w:pPr>
        <w:pStyle w:val="20"/>
        <w:spacing w:line="460" w:lineRule="exact"/>
        <w:ind w:firstLine="420"/>
        <w:contextualSpacing/>
        <w:rPr>
          <w:rFonts w:hint="eastAsia" w:ascii="仿宋" w:hAnsi="仿宋" w:eastAsia="仿宋" w:cs="仿宋"/>
          <w:szCs w:val="24"/>
        </w:rPr>
      </w:pPr>
      <w:r>
        <w:rPr>
          <w:rFonts w:hint="eastAsia" w:ascii="仿宋" w:hAnsi="仿宋" w:eastAsia="仿宋" w:cs="仿宋"/>
          <w:szCs w:val="24"/>
        </w:rPr>
        <w:t xml:space="preserve">地址：                                   地址： </w:t>
      </w:r>
    </w:p>
    <w:p>
      <w:pPr>
        <w:pStyle w:val="20"/>
        <w:spacing w:line="460" w:lineRule="exact"/>
        <w:ind w:firstLine="420"/>
        <w:contextualSpacing/>
        <w:rPr>
          <w:rFonts w:hint="eastAsia" w:ascii="仿宋" w:hAnsi="仿宋" w:eastAsia="仿宋" w:cs="仿宋"/>
          <w:szCs w:val="24"/>
        </w:rPr>
      </w:pPr>
      <w:r>
        <w:rPr>
          <w:rFonts w:hint="eastAsia" w:ascii="仿宋" w:hAnsi="仿宋" w:eastAsia="仿宋" w:cs="仿宋"/>
          <w:szCs w:val="24"/>
        </w:rPr>
        <w:t>法定（授权）代表人：                     法定（授权）代表人：</w:t>
      </w:r>
    </w:p>
    <w:p>
      <w:pPr>
        <w:pStyle w:val="20"/>
        <w:spacing w:line="460" w:lineRule="exact"/>
        <w:ind w:firstLine="420"/>
        <w:contextualSpacing/>
        <w:rPr>
          <w:rFonts w:hint="eastAsia" w:ascii="仿宋" w:hAnsi="仿宋" w:eastAsia="仿宋" w:cs="仿宋"/>
          <w:szCs w:val="24"/>
        </w:rPr>
      </w:pPr>
      <w:r>
        <w:rPr>
          <w:rFonts w:hint="eastAsia" w:ascii="仿宋" w:hAnsi="仿宋" w:eastAsia="仿宋" w:cs="仿宋"/>
          <w:szCs w:val="24"/>
        </w:rPr>
        <w:t xml:space="preserve">电    话：                               电    话： </w:t>
      </w:r>
    </w:p>
    <w:p>
      <w:pPr>
        <w:pStyle w:val="20"/>
        <w:spacing w:line="460" w:lineRule="exact"/>
        <w:ind w:firstLine="420"/>
        <w:contextualSpacing/>
        <w:rPr>
          <w:rFonts w:hint="eastAsia" w:ascii="仿宋" w:hAnsi="仿宋" w:eastAsia="仿宋" w:cs="仿宋"/>
          <w:szCs w:val="24"/>
        </w:rPr>
      </w:pPr>
      <w:r>
        <w:rPr>
          <w:rFonts w:hint="eastAsia" w:ascii="仿宋" w:hAnsi="仿宋" w:eastAsia="仿宋" w:cs="仿宋"/>
          <w:szCs w:val="24"/>
        </w:rPr>
        <w:t xml:space="preserve">开户银行：                               开户银行：       </w:t>
      </w:r>
    </w:p>
    <w:p>
      <w:pPr>
        <w:pStyle w:val="20"/>
        <w:spacing w:line="460" w:lineRule="exact"/>
        <w:ind w:firstLine="420"/>
        <w:rPr>
          <w:rFonts w:hint="eastAsia" w:ascii="仿宋" w:hAnsi="仿宋" w:eastAsia="仿宋" w:cs="仿宋"/>
          <w:szCs w:val="24"/>
        </w:rPr>
      </w:pPr>
      <w:r>
        <w:rPr>
          <w:rFonts w:hint="eastAsia" w:ascii="仿宋" w:hAnsi="仿宋" w:eastAsia="仿宋" w:cs="仿宋"/>
          <w:szCs w:val="24"/>
        </w:rPr>
        <w:t>账    号：                               账    号：</w:t>
      </w:r>
    </w:p>
    <w:p>
      <w:pPr>
        <w:pStyle w:val="20"/>
        <w:spacing w:line="460" w:lineRule="exact"/>
        <w:ind w:firstLine="420"/>
        <w:rPr>
          <w:rFonts w:hint="eastAsia" w:ascii="仿宋" w:hAnsi="仿宋" w:eastAsia="仿宋" w:cs="仿宋"/>
          <w:szCs w:val="24"/>
        </w:rPr>
      </w:pPr>
      <w:r>
        <w:rPr>
          <w:rFonts w:hint="eastAsia" w:ascii="仿宋" w:hAnsi="仿宋" w:eastAsia="仿宋" w:cs="仿宋"/>
          <w:szCs w:val="24"/>
        </w:rPr>
        <w:t xml:space="preserve">日    期：   年  月  日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日    期：   年  月  日</w:t>
      </w:r>
    </w:p>
    <w:p>
      <w:pPr>
        <w:rPr>
          <w:rFonts w:hint="eastAsia" w:ascii="仿宋" w:hAnsi="仿宋" w:eastAsia="仿宋"/>
        </w:rPr>
      </w:pPr>
    </w:p>
    <w:p>
      <w:pPr>
        <w:pStyle w:val="20"/>
        <w:spacing w:line="460" w:lineRule="exact"/>
        <w:ind w:firstLine="420"/>
        <w:rPr>
          <w:rFonts w:hint="eastAsia" w:ascii="仿宋" w:hAnsi="仿宋" w:eastAsia="仿宋" w:cs="仿宋"/>
          <w:szCs w:val="24"/>
        </w:rPr>
      </w:pPr>
    </w:p>
    <w:p>
      <w:pPr>
        <w:spacing w:line="400" w:lineRule="exact"/>
        <w:rPr>
          <w:rFonts w:hint="eastAsia" w:ascii="仿宋" w:hAnsi="仿宋" w:eastAsia="仿宋" w:cs="仿宋"/>
          <w:szCs w:val="24"/>
        </w:rPr>
      </w:pPr>
      <w:r>
        <w:rPr>
          <w:rFonts w:hint="eastAsia" w:ascii="仿宋" w:hAnsi="仿宋" w:eastAsia="仿宋" w:cs="仿宋"/>
          <w:szCs w:val="24"/>
        </w:rPr>
        <w:t xml:space="preserve">       </w:t>
      </w:r>
    </w:p>
    <w:p>
      <w:pPr>
        <w:spacing w:line="400" w:lineRule="exact"/>
        <w:rPr>
          <w:rFonts w:hint="eastAsia" w:ascii="仿宋" w:hAnsi="仿宋" w:eastAsia="仿宋" w:cs="仿宋"/>
          <w:b/>
          <w:bCs/>
          <w:szCs w:val="24"/>
        </w:rPr>
      </w:pPr>
      <w:r>
        <w:rPr>
          <w:rFonts w:hint="eastAsia" w:ascii="仿宋" w:hAnsi="仿宋" w:eastAsia="仿宋" w:cs="仿宋"/>
          <w:szCs w:val="24"/>
        </w:rPr>
        <w:t xml:space="preserve"> </w:t>
      </w:r>
      <w:r>
        <w:rPr>
          <w:rFonts w:hint="eastAsia" w:ascii="仿宋" w:hAnsi="仿宋" w:eastAsia="仿宋" w:cs="仿宋"/>
          <w:b/>
          <w:bCs/>
          <w:szCs w:val="24"/>
        </w:rPr>
        <w:t>注：具体以</w:t>
      </w:r>
      <w:r>
        <w:rPr>
          <w:rFonts w:hint="eastAsia" w:ascii="仿宋" w:hAnsi="仿宋" w:eastAsia="仿宋" w:cs="仿宋"/>
          <w:b/>
          <w:bCs/>
          <w:szCs w:val="24"/>
          <w:lang w:eastAsia="zh-CN"/>
        </w:rPr>
        <w:t>双</w:t>
      </w:r>
      <w:r>
        <w:rPr>
          <w:rFonts w:hint="eastAsia" w:ascii="仿宋" w:hAnsi="仿宋" w:eastAsia="仿宋" w:cs="仿宋"/>
          <w:b/>
          <w:bCs/>
          <w:szCs w:val="24"/>
        </w:rPr>
        <w:t>方签定的正式合同为准，合同内容不得违背本招标文件实质性要求。</w:t>
      </w:r>
    </w:p>
    <w:p>
      <w:pPr>
        <w:spacing w:line="400" w:lineRule="exact"/>
        <w:jc w:val="center"/>
        <w:rPr>
          <w:rStyle w:val="486"/>
          <w:rFonts w:hint="eastAsia" w:ascii="仿宋" w:hAnsi="仿宋" w:eastAsia="仿宋" w:cs="仿宋"/>
          <w:color w:val="auto"/>
          <w:sz w:val="24"/>
          <w:szCs w:val="24"/>
        </w:rPr>
      </w:pPr>
    </w:p>
    <w:p>
      <w:pPr>
        <w:spacing w:line="400" w:lineRule="exact"/>
        <w:jc w:val="center"/>
        <w:rPr>
          <w:rStyle w:val="486"/>
          <w:rFonts w:hint="eastAsia" w:ascii="仿宋" w:hAnsi="仿宋" w:eastAsia="仿宋" w:cs="仿宋"/>
          <w:color w:val="auto"/>
          <w:sz w:val="24"/>
          <w:szCs w:val="24"/>
        </w:rPr>
      </w:pPr>
    </w:p>
    <w:p>
      <w:pPr>
        <w:spacing w:line="400" w:lineRule="exact"/>
        <w:jc w:val="center"/>
        <w:rPr>
          <w:rStyle w:val="486"/>
          <w:rFonts w:hint="eastAsia" w:ascii="仿宋" w:hAnsi="仿宋" w:eastAsia="仿宋" w:cs="仿宋"/>
          <w:color w:val="auto"/>
          <w:sz w:val="24"/>
          <w:szCs w:val="24"/>
        </w:rPr>
      </w:pPr>
    </w:p>
    <w:p>
      <w:pPr>
        <w:spacing w:line="400" w:lineRule="exact"/>
        <w:jc w:val="center"/>
        <w:rPr>
          <w:rStyle w:val="486"/>
          <w:rFonts w:hint="eastAsia" w:ascii="仿宋" w:hAnsi="仿宋" w:eastAsia="仿宋" w:cs="仿宋"/>
          <w:color w:val="auto"/>
          <w:sz w:val="24"/>
          <w:szCs w:val="24"/>
        </w:rPr>
      </w:pPr>
    </w:p>
    <w:p>
      <w:pPr>
        <w:pStyle w:val="32"/>
        <w:rPr>
          <w:rFonts w:hint="eastAsia" w:ascii="仿宋" w:hAnsi="仿宋" w:eastAsia="仿宋"/>
        </w:rPr>
      </w:pPr>
    </w:p>
    <w:p>
      <w:pPr>
        <w:rPr>
          <w:rFonts w:hint="eastAsia" w:ascii="仿宋" w:hAnsi="仿宋" w:eastAsia="仿宋"/>
        </w:rPr>
      </w:pPr>
    </w:p>
    <w:p>
      <w:pPr>
        <w:pStyle w:val="32"/>
        <w:rPr>
          <w:rFonts w:hint="eastAsia" w:ascii="仿宋" w:hAnsi="仿宋" w:eastAsia="仿宋"/>
        </w:rPr>
      </w:pPr>
    </w:p>
    <w:p>
      <w:pPr>
        <w:rPr>
          <w:rFonts w:hint="eastAsia" w:ascii="仿宋" w:hAnsi="仿宋" w:eastAsia="仿宋"/>
        </w:rPr>
      </w:pPr>
    </w:p>
    <w:p>
      <w:pPr>
        <w:pStyle w:val="32"/>
        <w:rPr>
          <w:rFonts w:hint="eastAsia" w:ascii="仿宋" w:hAnsi="仿宋" w:eastAsia="仿宋"/>
        </w:rPr>
      </w:pPr>
    </w:p>
    <w:p>
      <w:pPr>
        <w:spacing w:line="400" w:lineRule="exact"/>
        <w:jc w:val="center"/>
        <w:rPr>
          <w:rStyle w:val="486"/>
          <w:rFonts w:hint="eastAsia" w:ascii="仿宋" w:hAnsi="仿宋" w:eastAsia="仿宋" w:cs="仿宋"/>
          <w:b/>
          <w:bCs/>
          <w:color w:val="auto"/>
          <w:sz w:val="32"/>
          <w:szCs w:val="32"/>
        </w:rPr>
      </w:pPr>
    </w:p>
    <w:p>
      <w:pPr>
        <w:rPr>
          <w:rStyle w:val="486"/>
          <w:rFonts w:hint="eastAsia" w:ascii="仿宋" w:hAnsi="仿宋" w:eastAsia="仿宋" w:cs="仿宋"/>
          <w:b/>
          <w:bCs/>
          <w:color w:val="auto"/>
          <w:sz w:val="32"/>
          <w:szCs w:val="32"/>
        </w:rPr>
      </w:pPr>
      <w:r>
        <w:rPr>
          <w:rStyle w:val="486"/>
          <w:rFonts w:hint="eastAsia" w:ascii="仿宋" w:hAnsi="仿宋" w:eastAsia="仿宋" w:cs="仿宋"/>
          <w:b/>
          <w:bCs/>
          <w:color w:val="auto"/>
          <w:sz w:val="32"/>
          <w:szCs w:val="32"/>
        </w:rPr>
        <w:br w:type="page"/>
      </w:r>
    </w:p>
    <w:p>
      <w:pPr>
        <w:spacing w:line="400" w:lineRule="exact"/>
        <w:jc w:val="center"/>
        <w:rPr>
          <w:rStyle w:val="486"/>
          <w:rFonts w:hint="eastAsia" w:ascii="仿宋" w:hAnsi="仿宋" w:eastAsia="仿宋" w:cs="仿宋"/>
          <w:b/>
          <w:bCs/>
          <w:color w:val="auto"/>
          <w:sz w:val="32"/>
          <w:szCs w:val="32"/>
        </w:rPr>
      </w:pPr>
    </w:p>
    <w:p>
      <w:pPr>
        <w:spacing w:line="400" w:lineRule="exact"/>
        <w:jc w:val="center"/>
        <w:rPr>
          <w:rFonts w:hint="eastAsia" w:ascii="仿宋" w:hAnsi="仿宋" w:eastAsia="仿宋" w:cs="仿宋"/>
          <w:b/>
          <w:bCs/>
          <w:kern w:val="0"/>
          <w:sz w:val="32"/>
          <w:szCs w:val="32"/>
        </w:rPr>
      </w:pPr>
      <w:r>
        <w:rPr>
          <w:rStyle w:val="486"/>
          <w:rFonts w:hint="eastAsia" w:ascii="仿宋" w:hAnsi="仿宋" w:eastAsia="仿宋" w:cs="仿宋"/>
          <w:b/>
          <w:bCs/>
          <w:color w:val="auto"/>
          <w:sz w:val="32"/>
          <w:szCs w:val="32"/>
        </w:rPr>
        <w:t>第六部分  投标文件格式</w:t>
      </w:r>
    </w:p>
    <w:p>
      <w:pPr>
        <w:pStyle w:val="3"/>
        <w:tabs>
          <w:tab w:val="left" w:pos="420"/>
        </w:tabs>
        <w:ind w:left="360" w:firstLine="0"/>
        <w:rPr>
          <w:rFonts w:hint="eastAsia" w:ascii="仿宋" w:hAnsi="仿宋" w:eastAsia="仿宋" w:cs="仿宋"/>
          <w:bCs/>
          <w:kern w:val="0"/>
          <w:sz w:val="24"/>
          <w:szCs w:val="24"/>
        </w:rPr>
      </w:pPr>
      <w:r>
        <w:rPr>
          <w:rFonts w:hint="eastAsia" w:ascii="仿宋" w:hAnsi="仿宋" w:eastAsia="仿宋" w:cs="仿宋"/>
          <w:sz w:val="24"/>
          <w:szCs w:val="24"/>
        </w:rPr>
        <w:t>附件1 ：评分索引表</w:t>
      </w:r>
      <w:bookmarkEnd w:id="108"/>
      <w:bookmarkEnd w:id="109"/>
      <w:bookmarkEnd w:id="110"/>
      <w:bookmarkEnd w:id="111"/>
      <w:bookmarkEnd w:id="112"/>
      <w:bookmarkEnd w:id="113"/>
      <w:bookmarkEnd w:id="118"/>
      <w:bookmarkEnd w:id="119"/>
      <w:bookmarkStart w:id="131" w:name="_Toc340322186"/>
      <w:bookmarkStart w:id="132" w:name="_Toc340321931"/>
      <w:bookmarkStart w:id="133" w:name="_Toc32609"/>
      <w:bookmarkStart w:id="134" w:name="_Toc180555954"/>
      <w:bookmarkStart w:id="135" w:name="_Toc339302147"/>
      <w:bookmarkStart w:id="136" w:name="_Toc489481899"/>
    </w:p>
    <w:tbl>
      <w:tblPr>
        <w:tblStyle w:val="80"/>
        <w:tblpPr w:leftFromText="180" w:rightFromText="180" w:vertAnchor="page" w:horzAnchor="margin" w:tblpY="3571"/>
        <w:tblW w:w="9447" w:type="dxa"/>
        <w:tblInd w:w="0" w:type="dxa"/>
        <w:tblLayout w:type="fixed"/>
        <w:tblCellMar>
          <w:top w:w="0" w:type="dxa"/>
          <w:left w:w="108" w:type="dxa"/>
          <w:bottom w:w="0" w:type="dxa"/>
          <w:right w:w="108" w:type="dxa"/>
        </w:tblCellMar>
      </w:tblPr>
      <w:tblGrid>
        <w:gridCol w:w="708"/>
        <w:gridCol w:w="1560"/>
        <w:gridCol w:w="1914"/>
        <w:gridCol w:w="1515"/>
        <w:gridCol w:w="1875"/>
        <w:gridCol w:w="1875"/>
      </w:tblGrid>
      <w:tr>
        <w:tblPrEx>
          <w:tblLayout w:type="fixed"/>
          <w:tblCellMar>
            <w:top w:w="0" w:type="dxa"/>
            <w:left w:w="108" w:type="dxa"/>
            <w:bottom w:w="0" w:type="dxa"/>
            <w:right w:w="108"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after="120" w:line="400" w:lineRule="exact"/>
              <w:ind w:left="-854" w:firstLine="854"/>
              <w:jc w:val="center"/>
              <w:rPr>
                <w:rFonts w:hint="eastAsia" w:ascii="仿宋" w:hAnsi="仿宋" w:eastAsia="仿宋" w:cs="仿宋"/>
                <w:kern w:val="0"/>
                <w:szCs w:val="24"/>
              </w:rPr>
            </w:pPr>
            <w:r>
              <w:rPr>
                <w:rFonts w:hint="eastAsia" w:ascii="仿宋" w:hAnsi="仿宋" w:eastAsia="仿宋" w:cs="仿宋"/>
                <w:kern w:val="0"/>
                <w:szCs w:val="24"/>
              </w:rPr>
              <w:t>序号</w:t>
            </w:r>
          </w:p>
        </w:tc>
        <w:tc>
          <w:tcPr>
            <w:tcW w:w="1560" w:type="dxa"/>
            <w:tcBorders>
              <w:top w:val="single" w:color="000000" w:sz="4" w:space="0"/>
              <w:left w:val="nil"/>
              <w:bottom w:val="single" w:color="000000" w:sz="4" w:space="0"/>
              <w:right w:val="single" w:color="auto" w:sz="4" w:space="0"/>
            </w:tcBorders>
            <w:vAlign w:val="center"/>
          </w:tcPr>
          <w:p>
            <w:pPr>
              <w:widowControl/>
              <w:spacing w:after="120" w:line="400" w:lineRule="exact"/>
              <w:jc w:val="center"/>
              <w:rPr>
                <w:rFonts w:hint="eastAsia" w:ascii="仿宋" w:hAnsi="仿宋" w:eastAsia="仿宋" w:cs="仿宋"/>
                <w:kern w:val="0"/>
                <w:szCs w:val="24"/>
              </w:rPr>
            </w:pPr>
            <w:r>
              <w:rPr>
                <w:rFonts w:hint="eastAsia" w:ascii="仿宋" w:hAnsi="仿宋" w:eastAsia="仿宋" w:cs="仿宋"/>
                <w:kern w:val="0"/>
                <w:szCs w:val="24"/>
              </w:rPr>
              <w:t>评审内容</w:t>
            </w:r>
          </w:p>
        </w:tc>
        <w:tc>
          <w:tcPr>
            <w:tcW w:w="1914" w:type="dxa"/>
            <w:tcBorders>
              <w:top w:val="single" w:color="000000" w:sz="4" w:space="0"/>
              <w:left w:val="single" w:color="auto" w:sz="4" w:space="0"/>
              <w:bottom w:val="single" w:color="000000" w:sz="4" w:space="0"/>
              <w:right w:val="single" w:color="000000" w:sz="4" w:space="0"/>
            </w:tcBorders>
            <w:vAlign w:val="center"/>
          </w:tcPr>
          <w:p>
            <w:pPr>
              <w:spacing w:after="120" w:line="400" w:lineRule="exact"/>
              <w:jc w:val="center"/>
              <w:rPr>
                <w:rFonts w:hint="eastAsia" w:ascii="仿宋" w:hAnsi="仿宋" w:eastAsia="仿宋" w:cs="仿宋"/>
                <w:kern w:val="0"/>
                <w:szCs w:val="24"/>
              </w:rPr>
            </w:pPr>
            <w:r>
              <w:rPr>
                <w:rFonts w:hint="eastAsia" w:ascii="仿宋" w:hAnsi="仿宋" w:eastAsia="仿宋" w:cs="仿宋"/>
                <w:kern w:val="0"/>
                <w:szCs w:val="24"/>
              </w:rPr>
              <w:t>评审标准</w:t>
            </w:r>
          </w:p>
        </w:tc>
        <w:tc>
          <w:tcPr>
            <w:tcW w:w="1515" w:type="dxa"/>
            <w:tcBorders>
              <w:top w:val="single" w:color="000000" w:sz="4" w:space="0"/>
              <w:left w:val="nil"/>
              <w:bottom w:val="single" w:color="000000" w:sz="4" w:space="0"/>
              <w:right w:val="single" w:color="000000" w:sz="4" w:space="0"/>
            </w:tcBorders>
            <w:vAlign w:val="center"/>
          </w:tcPr>
          <w:p>
            <w:pPr>
              <w:widowControl/>
              <w:spacing w:after="120" w:line="400" w:lineRule="exact"/>
              <w:jc w:val="center"/>
              <w:rPr>
                <w:rFonts w:hint="eastAsia" w:ascii="仿宋" w:hAnsi="仿宋" w:eastAsia="仿宋" w:cs="仿宋"/>
                <w:kern w:val="0"/>
                <w:szCs w:val="24"/>
              </w:rPr>
            </w:pPr>
            <w:r>
              <w:rPr>
                <w:rFonts w:hint="eastAsia" w:ascii="仿宋" w:hAnsi="仿宋" w:eastAsia="仿宋" w:cs="仿宋"/>
                <w:kern w:val="0"/>
                <w:szCs w:val="24"/>
              </w:rPr>
              <w:t>评审分值</w:t>
            </w:r>
          </w:p>
        </w:tc>
        <w:tc>
          <w:tcPr>
            <w:tcW w:w="1875" w:type="dxa"/>
            <w:tcBorders>
              <w:top w:val="single" w:color="000000" w:sz="4" w:space="0"/>
              <w:left w:val="nil"/>
              <w:bottom w:val="single" w:color="000000" w:sz="4" w:space="0"/>
              <w:right w:val="single" w:color="000000" w:sz="4" w:space="0"/>
            </w:tcBorders>
            <w:vAlign w:val="center"/>
          </w:tcPr>
          <w:p>
            <w:pPr>
              <w:widowControl/>
              <w:spacing w:after="120" w:line="400" w:lineRule="exact"/>
              <w:jc w:val="center"/>
              <w:rPr>
                <w:rFonts w:hint="eastAsia" w:ascii="仿宋" w:hAnsi="仿宋" w:eastAsia="仿宋" w:cs="仿宋"/>
                <w:kern w:val="0"/>
                <w:szCs w:val="24"/>
              </w:rPr>
            </w:pPr>
            <w:r>
              <w:rPr>
                <w:rFonts w:hint="eastAsia" w:ascii="仿宋" w:hAnsi="仿宋" w:eastAsia="仿宋" w:cs="仿宋"/>
                <w:kern w:val="0"/>
                <w:szCs w:val="24"/>
              </w:rPr>
              <w:t>对应页码范围</w:t>
            </w:r>
          </w:p>
        </w:tc>
        <w:tc>
          <w:tcPr>
            <w:tcW w:w="1875" w:type="dxa"/>
            <w:tcBorders>
              <w:top w:val="single" w:color="000000" w:sz="4" w:space="0"/>
              <w:left w:val="nil"/>
              <w:bottom w:val="single" w:color="000000" w:sz="4" w:space="0"/>
              <w:right w:val="single" w:color="000000" w:sz="4" w:space="0"/>
            </w:tcBorders>
            <w:vAlign w:val="center"/>
          </w:tcPr>
          <w:p>
            <w:pPr>
              <w:widowControl/>
              <w:spacing w:after="120" w:line="400" w:lineRule="exact"/>
              <w:jc w:val="center"/>
              <w:rPr>
                <w:rFonts w:hint="eastAsia" w:ascii="仿宋" w:hAnsi="仿宋" w:eastAsia="仿宋" w:cs="仿宋"/>
                <w:kern w:val="0"/>
                <w:szCs w:val="24"/>
              </w:rPr>
            </w:pPr>
            <w:r>
              <w:rPr>
                <w:rFonts w:hint="eastAsia" w:ascii="仿宋" w:hAnsi="仿宋" w:eastAsia="仿宋" w:cs="仿宋"/>
                <w:kern w:val="0"/>
                <w:szCs w:val="24"/>
              </w:rPr>
              <w:t>客观自评分</w:t>
            </w:r>
          </w:p>
        </w:tc>
      </w:tr>
      <w:tr>
        <w:tblPrEx>
          <w:tblLayout w:type="fixed"/>
          <w:tblCellMar>
            <w:top w:w="0" w:type="dxa"/>
            <w:left w:w="108" w:type="dxa"/>
            <w:bottom w:w="0" w:type="dxa"/>
            <w:right w:w="108"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60" w:type="dxa"/>
            <w:tcBorders>
              <w:top w:val="single" w:color="000000" w:sz="4" w:space="0"/>
              <w:left w:val="nil"/>
              <w:bottom w:val="single" w:color="000000" w:sz="4" w:space="0"/>
              <w:right w:val="single" w:color="auto" w:sz="4" w:space="0"/>
            </w:tcBorders>
            <w:vAlign w:val="center"/>
          </w:tcPr>
          <w:p>
            <w:pPr>
              <w:pStyle w:val="254"/>
              <w:spacing w:line="400" w:lineRule="exact"/>
              <w:jc w:val="center"/>
              <w:rPr>
                <w:rFonts w:hint="eastAsia" w:ascii="仿宋" w:hAnsi="仿宋" w:eastAsia="仿宋" w:cs="仿宋"/>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15" w:type="dxa"/>
            <w:tcBorders>
              <w:top w:val="single" w:color="000000" w:sz="4" w:space="0"/>
              <w:left w:val="nil"/>
              <w:bottom w:val="single" w:color="000000" w:sz="4" w:space="0"/>
              <w:right w:val="single" w:color="000000" w:sz="4" w:space="0"/>
            </w:tcBorders>
            <w:vAlign w:val="center"/>
          </w:tcPr>
          <w:p>
            <w:pPr>
              <w:widowControl/>
              <w:snapToGrid w:val="0"/>
              <w:spacing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after="120"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after="120" w:line="400" w:lineRule="exact"/>
              <w:jc w:val="center"/>
              <w:rPr>
                <w:rFonts w:hint="eastAsia" w:ascii="仿宋" w:hAnsi="仿宋" w:eastAsia="仿宋" w:cs="仿宋"/>
                <w:kern w:val="0"/>
                <w:szCs w:val="24"/>
              </w:rPr>
            </w:pPr>
          </w:p>
        </w:tc>
      </w:tr>
      <w:tr>
        <w:tblPrEx>
          <w:tblLayout w:type="fixed"/>
          <w:tblCellMar>
            <w:top w:w="0" w:type="dxa"/>
            <w:left w:w="108" w:type="dxa"/>
            <w:bottom w:w="0" w:type="dxa"/>
            <w:right w:w="108"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60" w:type="dxa"/>
            <w:tcBorders>
              <w:top w:val="single" w:color="000000" w:sz="4" w:space="0"/>
              <w:left w:val="nil"/>
              <w:bottom w:val="single" w:color="000000" w:sz="4" w:space="0"/>
              <w:right w:val="single" w:color="auto" w:sz="4" w:space="0"/>
            </w:tcBorders>
            <w:vAlign w:val="center"/>
          </w:tcPr>
          <w:p>
            <w:pPr>
              <w:pStyle w:val="254"/>
              <w:spacing w:line="400" w:lineRule="exact"/>
              <w:jc w:val="center"/>
              <w:rPr>
                <w:rFonts w:hint="eastAsia" w:ascii="仿宋" w:hAnsi="仿宋" w:eastAsia="仿宋" w:cs="仿宋"/>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 w:hAnsi="仿宋" w:eastAsia="仿宋" w:cs="仿宋"/>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r>
      <w:tr>
        <w:tblPrEx>
          <w:tblLayout w:type="fixed"/>
          <w:tblCellMar>
            <w:top w:w="0" w:type="dxa"/>
            <w:left w:w="108" w:type="dxa"/>
            <w:bottom w:w="0" w:type="dxa"/>
            <w:right w:w="108"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60" w:type="dxa"/>
            <w:tcBorders>
              <w:top w:val="single" w:color="000000" w:sz="4" w:space="0"/>
              <w:left w:val="nil"/>
              <w:bottom w:val="single" w:color="000000" w:sz="4" w:space="0"/>
              <w:right w:val="single" w:color="auto" w:sz="4" w:space="0"/>
            </w:tcBorders>
            <w:vAlign w:val="center"/>
          </w:tcPr>
          <w:p>
            <w:pPr>
              <w:pStyle w:val="254"/>
              <w:spacing w:line="400" w:lineRule="exact"/>
              <w:jc w:val="center"/>
              <w:rPr>
                <w:rFonts w:hint="eastAsia" w:ascii="仿宋" w:hAnsi="仿宋" w:eastAsia="仿宋" w:cs="仿宋"/>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 w:hAnsi="仿宋" w:eastAsia="仿宋" w:cs="仿宋"/>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r>
      <w:tr>
        <w:tblPrEx>
          <w:tblLayout w:type="fixed"/>
          <w:tblCellMar>
            <w:top w:w="0" w:type="dxa"/>
            <w:left w:w="108" w:type="dxa"/>
            <w:bottom w:w="0" w:type="dxa"/>
            <w:right w:w="108"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60" w:type="dxa"/>
            <w:tcBorders>
              <w:top w:val="single" w:color="000000" w:sz="4" w:space="0"/>
              <w:left w:val="nil"/>
              <w:bottom w:val="single" w:color="000000" w:sz="4" w:space="0"/>
              <w:right w:val="single" w:color="auto" w:sz="4" w:space="0"/>
            </w:tcBorders>
            <w:vAlign w:val="center"/>
          </w:tcPr>
          <w:p>
            <w:pPr>
              <w:pStyle w:val="254"/>
              <w:spacing w:line="400" w:lineRule="exact"/>
              <w:jc w:val="center"/>
              <w:rPr>
                <w:rFonts w:hint="eastAsia" w:ascii="仿宋" w:hAnsi="仿宋" w:eastAsia="仿宋" w:cs="仿宋"/>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 w:hAnsi="仿宋" w:eastAsia="仿宋" w:cs="仿宋"/>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r>
      <w:tr>
        <w:tblPrEx>
          <w:tblLayout w:type="fixed"/>
          <w:tblCellMar>
            <w:top w:w="0" w:type="dxa"/>
            <w:left w:w="108" w:type="dxa"/>
            <w:bottom w:w="0" w:type="dxa"/>
            <w:right w:w="108"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60" w:type="dxa"/>
            <w:tcBorders>
              <w:top w:val="single" w:color="000000" w:sz="4" w:space="0"/>
              <w:left w:val="nil"/>
              <w:bottom w:val="single" w:color="000000" w:sz="4" w:space="0"/>
              <w:right w:val="single" w:color="auto" w:sz="4" w:space="0"/>
            </w:tcBorders>
            <w:vAlign w:val="center"/>
          </w:tcPr>
          <w:p>
            <w:pPr>
              <w:pStyle w:val="254"/>
              <w:spacing w:line="400" w:lineRule="exact"/>
              <w:jc w:val="center"/>
              <w:rPr>
                <w:rFonts w:hint="eastAsia" w:ascii="仿宋" w:hAnsi="仿宋" w:eastAsia="仿宋" w:cs="仿宋"/>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pPr>
              <w:pStyle w:val="254"/>
              <w:spacing w:line="400" w:lineRule="exact"/>
              <w:jc w:val="center"/>
              <w:rPr>
                <w:rFonts w:hint="eastAsia" w:ascii="仿宋" w:hAnsi="仿宋" w:eastAsia="仿宋" w:cs="仿宋"/>
                <w:szCs w:val="24"/>
              </w:rPr>
            </w:pPr>
          </w:p>
        </w:tc>
        <w:tc>
          <w:tcPr>
            <w:tcW w:w="15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仿宋" w:hAnsi="仿宋" w:eastAsia="仿宋" w:cs="仿宋"/>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c>
          <w:tcPr>
            <w:tcW w:w="18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Cs w:val="24"/>
              </w:rPr>
            </w:pPr>
          </w:p>
        </w:tc>
      </w:tr>
    </w:tbl>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r>
        <w:rPr>
          <w:rFonts w:hint="eastAsia" w:ascii="仿宋" w:hAnsi="仿宋" w:eastAsia="仿宋" w:cs="仿宋"/>
          <w:kern w:val="0"/>
          <w:szCs w:val="24"/>
        </w:rPr>
        <w:t>注：本表可根据实际自行扩展。</w:t>
      </w: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widowControl/>
        <w:rPr>
          <w:rFonts w:hint="eastAsia" w:ascii="仿宋" w:hAnsi="仿宋" w:eastAsia="仿宋" w:cs="仿宋"/>
          <w:kern w:val="0"/>
          <w:szCs w:val="24"/>
        </w:rPr>
      </w:pPr>
    </w:p>
    <w:p>
      <w:pPr>
        <w:pStyle w:val="33"/>
        <w:ind w:firstLine="0"/>
        <w:rPr>
          <w:rFonts w:hint="eastAsia" w:ascii="仿宋" w:hAnsi="仿宋" w:eastAsia="仿宋" w:cs="仿宋"/>
          <w:bCs/>
          <w:color w:val="auto"/>
          <w:szCs w:val="24"/>
        </w:rPr>
      </w:pPr>
      <w:bookmarkStart w:id="137" w:name="_Toc489481898"/>
      <w:bookmarkStart w:id="138" w:name="_Toc2165"/>
      <w:bookmarkStart w:id="139" w:name="_Toc513456153"/>
      <w:bookmarkStart w:id="140" w:name="_Toc7504"/>
      <w:r>
        <w:rPr>
          <w:rFonts w:hint="eastAsia" w:ascii="仿宋" w:hAnsi="仿宋" w:eastAsia="仿宋" w:cs="仿宋"/>
          <w:bCs/>
          <w:color w:val="auto"/>
          <w:szCs w:val="24"/>
        </w:rPr>
        <w:br w:type="page"/>
      </w:r>
      <w:r>
        <w:rPr>
          <w:rFonts w:hint="eastAsia" w:ascii="仿宋" w:hAnsi="仿宋" w:eastAsia="仿宋" w:cs="仿宋"/>
          <w:b/>
          <w:color w:val="auto"/>
          <w:szCs w:val="24"/>
        </w:rPr>
        <w:t>附件2：</w:t>
      </w:r>
      <w:bookmarkEnd w:id="137"/>
      <w:bookmarkEnd w:id="138"/>
      <w:bookmarkEnd w:id="139"/>
      <w:bookmarkEnd w:id="140"/>
      <w:r>
        <w:rPr>
          <w:rFonts w:hint="eastAsia" w:ascii="仿宋" w:hAnsi="仿宋" w:eastAsia="仿宋" w:cs="仿宋"/>
          <w:b/>
          <w:color w:val="auto"/>
          <w:szCs w:val="24"/>
          <w:lang w:val="zh-CN"/>
        </w:rPr>
        <w:t>投标函</w:t>
      </w:r>
    </w:p>
    <w:p>
      <w:pPr>
        <w:snapToGrid w:val="0"/>
        <w:spacing w:before="120" w:beforeLines="50" w:after="50" w:line="360" w:lineRule="auto"/>
        <w:jc w:val="center"/>
        <w:rPr>
          <w:rFonts w:hint="eastAsia" w:ascii="仿宋" w:hAnsi="仿宋" w:eastAsia="仿宋" w:cs="仿宋"/>
          <w:b/>
          <w:sz w:val="28"/>
          <w:szCs w:val="28"/>
        </w:rPr>
      </w:pPr>
      <w:r>
        <w:rPr>
          <w:rFonts w:hint="eastAsia" w:ascii="仿宋" w:hAnsi="仿宋" w:eastAsia="仿宋" w:cs="仿宋"/>
          <w:b/>
          <w:sz w:val="28"/>
          <w:szCs w:val="28"/>
          <w:lang w:val="zh-CN"/>
        </w:rPr>
        <w:t>投标函</w:t>
      </w:r>
    </w:p>
    <w:p>
      <w:pPr>
        <w:jc w:val="center"/>
        <w:rPr>
          <w:rFonts w:hint="eastAsia" w:ascii="仿宋" w:hAnsi="仿宋" w:eastAsia="仿宋" w:cs="仿宋"/>
          <w:szCs w:val="24"/>
        </w:rPr>
      </w:pPr>
    </w:p>
    <w:p>
      <w:pPr>
        <w:snapToGrid w:val="0"/>
        <w:spacing w:line="540" w:lineRule="exact"/>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r>
        <w:rPr>
          <w:rFonts w:hint="eastAsia" w:ascii="仿宋" w:hAnsi="仿宋" w:eastAsia="仿宋" w:cs="仿宋"/>
          <w:szCs w:val="24"/>
        </w:rPr>
        <w:t>（招标采购单位名称）：</w:t>
      </w:r>
    </w:p>
    <w:p>
      <w:pPr>
        <w:snapToGrid w:val="0"/>
        <w:spacing w:line="540" w:lineRule="exact"/>
        <w:ind w:firstLine="480"/>
        <w:rPr>
          <w:rFonts w:hint="eastAsia" w:ascii="仿宋" w:hAnsi="仿宋" w:eastAsia="仿宋" w:cs="仿宋"/>
          <w:szCs w:val="24"/>
        </w:rPr>
      </w:pPr>
      <w:r>
        <w:rPr>
          <w:rFonts w:hint="eastAsia" w:ascii="仿宋" w:hAnsi="仿宋" w:eastAsia="仿宋" w:cs="仿宋"/>
          <w:szCs w:val="24"/>
        </w:rPr>
        <w:t>根据贵方为</w:t>
      </w:r>
      <w:r>
        <w:rPr>
          <w:rFonts w:hint="eastAsia" w:ascii="仿宋" w:hAnsi="仿宋" w:eastAsia="仿宋" w:cs="仿宋"/>
          <w:szCs w:val="24"/>
          <w:u w:val="single"/>
        </w:rPr>
        <w:t xml:space="preserve">                             </w:t>
      </w:r>
      <w:r>
        <w:rPr>
          <w:rFonts w:hint="eastAsia" w:ascii="仿宋" w:hAnsi="仿宋" w:eastAsia="仿宋" w:cs="仿宋"/>
          <w:szCs w:val="24"/>
        </w:rPr>
        <w:t>项目的采购公告（项目编号：</w:t>
      </w:r>
      <w:r>
        <w:rPr>
          <w:rFonts w:hint="eastAsia" w:ascii="仿宋" w:hAnsi="仿宋" w:eastAsia="仿宋" w:cs="仿宋"/>
          <w:szCs w:val="24"/>
          <w:u w:val="single"/>
        </w:rPr>
        <w:t xml:space="preserve">           </w:t>
      </w:r>
      <w:r>
        <w:rPr>
          <w:rFonts w:hint="eastAsia" w:ascii="仿宋" w:hAnsi="仿宋" w:eastAsia="仿宋" w:cs="仿宋"/>
          <w:szCs w:val="24"/>
        </w:rPr>
        <w:t>），签字代表</w:t>
      </w:r>
      <w:r>
        <w:rPr>
          <w:rFonts w:hint="eastAsia" w:ascii="仿宋" w:hAnsi="仿宋" w:eastAsia="仿宋" w:cs="仿宋"/>
          <w:szCs w:val="24"/>
          <w:u w:val="single"/>
        </w:rPr>
        <w:t xml:space="preserve">             </w:t>
      </w:r>
      <w:r>
        <w:rPr>
          <w:rFonts w:hint="eastAsia" w:ascii="仿宋" w:hAnsi="仿宋" w:eastAsia="仿宋" w:cs="仿宋"/>
          <w:szCs w:val="24"/>
        </w:rPr>
        <w:t>（全名）经正式授权并代表投标人</w:t>
      </w:r>
      <w:r>
        <w:rPr>
          <w:rFonts w:hint="eastAsia" w:ascii="仿宋" w:hAnsi="仿宋" w:eastAsia="仿宋" w:cs="仿宋"/>
          <w:szCs w:val="24"/>
          <w:u w:val="single"/>
        </w:rPr>
        <w:t xml:space="preserve">                       </w:t>
      </w:r>
      <w:r>
        <w:rPr>
          <w:rFonts w:hint="eastAsia" w:ascii="仿宋" w:hAnsi="仿宋" w:eastAsia="仿宋" w:cs="仿宋"/>
          <w:szCs w:val="24"/>
        </w:rPr>
        <w:t>（投标人名称）提交投标文件。</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据此函，签字代表宣布同意如下：</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2.投标人在投标之前已经与贵方进行了充分的沟通，完全理解并接受采购文件的各项规定和要求，对采购文件的合理性、合法性不再有异议。</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 xml:space="preserve">3.本投标有效期自开标之日起 </w:t>
      </w:r>
      <w:r>
        <w:rPr>
          <w:rFonts w:hint="eastAsia" w:ascii="仿宋" w:hAnsi="仿宋" w:eastAsia="仿宋" w:cs="仿宋"/>
          <w:szCs w:val="24"/>
          <w:u w:val="single"/>
        </w:rPr>
        <w:t xml:space="preserve">    </w:t>
      </w:r>
      <w:r>
        <w:rPr>
          <w:rFonts w:hint="eastAsia" w:ascii="仿宋" w:hAnsi="仿宋" w:eastAsia="仿宋" w:cs="仿宋"/>
          <w:szCs w:val="24"/>
        </w:rPr>
        <w:t>个日。</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4.如中标，本投标文件至本项目合同履行完毕止均保持有效，本投标人将按“采购文件”及采购法律、法规的规定履行合同责任和义务。</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5.投标人同意按照贵方要求提供与投标有关的一切数据或资料。</w:t>
      </w:r>
    </w:p>
    <w:p>
      <w:pPr>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6.与本投标有关的一切正式往来信函请寄：</w:t>
      </w:r>
    </w:p>
    <w:p>
      <w:pPr>
        <w:snapToGrid w:val="0"/>
        <w:spacing w:line="540" w:lineRule="exact"/>
        <w:rPr>
          <w:rFonts w:hint="eastAsia" w:ascii="仿宋" w:hAnsi="仿宋" w:eastAsia="仿宋" w:cs="仿宋"/>
          <w:szCs w:val="24"/>
        </w:rPr>
      </w:pPr>
      <w:r>
        <w:rPr>
          <w:rFonts w:hint="eastAsia" w:ascii="仿宋" w:hAnsi="仿宋" w:eastAsia="仿宋" w:cs="仿宋"/>
          <w:szCs w:val="24"/>
        </w:rPr>
        <w:t>地址：</w:t>
      </w:r>
      <w:r>
        <w:rPr>
          <w:rFonts w:hint="eastAsia" w:ascii="仿宋" w:hAnsi="仿宋" w:eastAsia="仿宋" w:cs="仿宋"/>
          <w:szCs w:val="24"/>
          <w:u w:val="single"/>
        </w:rPr>
        <w:t xml:space="preserve">                   </w:t>
      </w:r>
      <w:r>
        <w:rPr>
          <w:rFonts w:hint="eastAsia" w:ascii="仿宋" w:hAnsi="仿宋" w:eastAsia="仿宋" w:cs="仿宋"/>
          <w:szCs w:val="24"/>
        </w:rPr>
        <w:t>邮编：</w:t>
      </w:r>
      <w:r>
        <w:rPr>
          <w:rFonts w:hint="eastAsia" w:ascii="仿宋" w:hAnsi="仿宋" w:eastAsia="仿宋" w:cs="仿宋"/>
          <w:szCs w:val="24"/>
          <w:u w:val="single"/>
        </w:rPr>
        <w:t xml:space="preserve">             </w:t>
      </w:r>
      <w:r>
        <w:rPr>
          <w:rFonts w:hint="eastAsia" w:ascii="仿宋" w:hAnsi="仿宋" w:eastAsia="仿宋" w:cs="仿宋"/>
          <w:szCs w:val="24"/>
        </w:rPr>
        <w:t xml:space="preserve">  电话：</w:t>
      </w:r>
      <w:r>
        <w:rPr>
          <w:rFonts w:hint="eastAsia" w:ascii="仿宋" w:hAnsi="仿宋" w:eastAsia="仿宋" w:cs="仿宋"/>
          <w:szCs w:val="24"/>
          <w:u w:val="single"/>
        </w:rPr>
        <w:t xml:space="preserve">             </w:t>
      </w:r>
    </w:p>
    <w:p>
      <w:pPr>
        <w:snapToGrid w:val="0"/>
        <w:spacing w:line="540" w:lineRule="exact"/>
        <w:rPr>
          <w:rFonts w:hint="eastAsia" w:ascii="仿宋" w:hAnsi="仿宋" w:eastAsia="仿宋" w:cs="仿宋"/>
          <w:szCs w:val="24"/>
        </w:rPr>
      </w:pPr>
      <w:r>
        <w:rPr>
          <w:rFonts w:hint="eastAsia" w:ascii="仿宋" w:hAnsi="仿宋" w:eastAsia="仿宋" w:cs="仿宋"/>
          <w:szCs w:val="24"/>
        </w:rPr>
        <w:t>传真：</w:t>
      </w:r>
      <w:r>
        <w:rPr>
          <w:rFonts w:hint="eastAsia" w:ascii="仿宋" w:hAnsi="仿宋" w:eastAsia="仿宋" w:cs="仿宋"/>
          <w:szCs w:val="24"/>
          <w:u w:val="single"/>
        </w:rPr>
        <w:t xml:space="preserve">             </w:t>
      </w:r>
      <w:r>
        <w:rPr>
          <w:rFonts w:hint="eastAsia" w:ascii="仿宋" w:hAnsi="仿宋" w:eastAsia="仿宋" w:cs="仿宋"/>
          <w:szCs w:val="24"/>
        </w:rPr>
        <w:t>投标人代表姓名：</w:t>
      </w:r>
      <w:r>
        <w:rPr>
          <w:rFonts w:hint="eastAsia" w:ascii="仿宋" w:hAnsi="仿宋" w:eastAsia="仿宋" w:cs="仿宋"/>
          <w:szCs w:val="24"/>
          <w:u w:val="single"/>
        </w:rPr>
        <w:t xml:space="preserve">             </w:t>
      </w:r>
      <w:r>
        <w:rPr>
          <w:rFonts w:hint="eastAsia" w:ascii="仿宋" w:hAnsi="仿宋" w:eastAsia="仿宋" w:cs="仿宋"/>
          <w:szCs w:val="24"/>
        </w:rPr>
        <w:t xml:space="preserve">  职务：</w:t>
      </w:r>
      <w:r>
        <w:rPr>
          <w:rFonts w:hint="eastAsia" w:ascii="仿宋" w:hAnsi="仿宋" w:eastAsia="仿宋" w:cs="仿宋"/>
          <w:szCs w:val="24"/>
          <w:u w:val="single"/>
        </w:rPr>
        <w:t xml:space="preserve">             </w:t>
      </w:r>
    </w:p>
    <w:p>
      <w:pPr>
        <w:snapToGrid w:val="0"/>
        <w:spacing w:line="540" w:lineRule="exact"/>
        <w:rPr>
          <w:rFonts w:hint="eastAsia" w:ascii="仿宋" w:hAnsi="仿宋" w:eastAsia="仿宋" w:cs="仿宋"/>
          <w:szCs w:val="24"/>
        </w:rPr>
      </w:pPr>
      <w:r>
        <w:rPr>
          <w:rFonts w:hint="eastAsia" w:ascii="仿宋" w:hAnsi="仿宋" w:eastAsia="仿宋" w:cs="仿宋"/>
          <w:szCs w:val="24"/>
        </w:rPr>
        <w:t>投标人名称(公章):</w:t>
      </w:r>
      <w:r>
        <w:rPr>
          <w:rFonts w:hint="eastAsia" w:ascii="仿宋" w:hAnsi="仿宋" w:eastAsia="仿宋" w:cs="仿宋"/>
          <w:szCs w:val="24"/>
          <w:u w:val="single"/>
        </w:rPr>
        <w:t xml:space="preserve">             </w:t>
      </w:r>
    </w:p>
    <w:p>
      <w:pPr>
        <w:snapToGrid w:val="0"/>
        <w:spacing w:line="540" w:lineRule="exact"/>
        <w:rPr>
          <w:rFonts w:hint="eastAsia" w:ascii="仿宋" w:hAnsi="仿宋" w:eastAsia="仿宋" w:cs="仿宋"/>
          <w:szCs w:val="24"/>
        </w:rPr>
      </w:pPr>
      <w:r>
        <w:rPr>
          <w:rFonts w:hint="eastAsia" w:ascii="仿宋" w:hAnsi="仿宋" w:eastAsia="仿宋" w:cs="仿宋"/>
          <w:szCs w:val="24"/>
        </w:rPr>
        <w:t>开户银行：</w:t>
      </w:r>
      <w:r>
        <w:rPr>
          <w:rFonts w:hint="eastAsia" w:ascii="仿宋" w:hAnsi="仿宋" w:eastAsia="仿宋" w:cs="仿宋"/>
          <w:szCs w:val="24"/>
          <w:u w:val="single"/>
        </w:rPr>
        <w:t xml:space="preserve">                      </w:t>
      </w:r>
      <w:r>
        <w:rPr>
          <w:rFonts w:hint="eastAsia" w:ascii="仿宋" w:hAnsi="仿宋" w:eastAsia="仿宋" w:cs="仿宋"/>
          <w:szCs w:val="24"/>
        </w:rPr>
        <w:t xml:space="preserve">   银行账号：</w:t>
      </w:r>
      <w:r>
        <w:rPr>
          <w:rFonts w:hint="eastAsia" w:ascii="仿宋" w:hAnsi="仿宋" w:eastAsia="仿宋" w:cs="仿宋"/>
          <w:szCs w:val="24"/>
          <w:u w:val="single"/>
        </w:rPr>
        <w:t xml:space="preserve">                    </w:t>
      </w:r>
      <w:r>
        <w:rPr>
          <w:rFonts w:hint="eastAsia" w:ascii="仿宋" w:hAnsi="仿宋" w:eastAsia="仿宋" w:cs="仿宋"/>
          <w:szCs w:val="24"/>
        </w:rPr>
        <w:t xml:space="preserve"> </w:t>
      </w:r>
    </w:p>
    <w:p>
      <w:pPr>
        <w:snapToGrid w:val="0"/>
        <w:spacing w:line="540" w:lineRule="exact"/>
        <w:rPr>
          <w:rFonts w:hint="eastAsia" w:ascii="仿宋" w:hAnsi="仿宋" w:eastAsia="仿宋" w:cs="仿宋"/>
          <w:szCs w:val="24"/>
        </w:rPr>
      </w:pPr>
      <w:r>
        <w:rPr>
          <w:rFonts w:hint="eastAsia" w:ascii="仿宋" w:hAnsi="仿宋" w:eastAsia="仿宋" w:cs="仿宋"/>
          <w:szCs w:val="24"/>
        </w:rPr>
        <w:t>授权代表签字:</w:t>
      </w:r>
      <w:r>
        <w:rPr>
          <w:rFonts w:hint="eastAsia" w:ascii="仿宋" w:hAnsi="仿宋" w:eastAsia="仿宋" w:cs="仿宋"/>
          <w:szCs w:val="24"/>
          <w:u w:val="single"/>
        </w:rPr>
        <w:t xml:space="preserve">             </w:t>
      </w:r>
      <w:r>
        <w:rPr>
          <w:rFonts w:hint="eastAsia" w:ascii="仿宋" w:hAnsi="仿宋" w:eastAsia="仿宋" w:cs="仿宋"/>
          <w:szCs w:val="24"/>
        </w:rPr>
        <w:t xml:space="preserve">                     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33"/>
        <w:ind w:firstLine="0"/>
        <w:rPr>
          <w:rFonts w:hint="eastAsia" w:ascii="仿宋" w:hAnsi="仿宋" w:eastAsia="仿宋" w:cs="仿宋"/>
          <w:bCs/>
          <w:color w:val="auto"/>
          <w:szCs w:val="24"/>
        </w:rPr>
      </w:pPr>
    </w:p>
    <w:p>
      <w:pPr>
        <w:pStyle w:val="2"/>
        <w:spacing w:line="600" w:lineRule="exact"/>
        <w:ind w:left="453" w:leftChars="89" w:hanging="239" w:hangingChars="99"/>
        <w:jc w:val="both"/>
        <w:rPr>
          <w:rFonts w:hint="eastAsia" w:ascii="仿宋" w:hAnsi="仿宋" w:eastAsia="仿宋" w:cs="仿宋"/>
          <w:b/>
          <w:color w:val="auto"/>
          <w:sz w:val="24"/>
          <w:szCs w:val="24"/>
        </w:rPr>
      </w:pPr>
      <w:bookmarkStart w:id="141" w:name="_Toc54978903"/>
      <w:r>
        <w:rPr>
          <w:rFonts w:hint="eastAsia" w:ascii="仿宋" w:hAnsi="仿宋" w:eastAsia="仿宋" w:cs="仿宋"/>
          <w:b/>
          <w:color w:val="auto"/>
          <w:sz w:val="24"/>
          <w:szCs w:val="24"/>
        </w:rPr>
        <w:t>附件</w:t>
      </w:r>
      <w:bookmarkEnd w:id="131"/>
      <w:bookmarkEnd w:id="132"/>
      <w:bookmarkEnd w:id="133"/>
      <w:bookmarkEnd w:id="134"/>
      <w:bookmarkEnd w:id="135"/>
      <w:bookmarkEnd w:id="136"/>
      <w:r>
        <w:rPr>
          <w:rFonts w:hint="eastAsia" w:ascii="仿宋" w:hAnsi="仿宋" w:eastAsia="仿宋" w:cs="仿宋"/>
          <w:b/>
          <w:color w:val="auto"/>
          <w:sz w:val="24"/>
          <w:szCs w:val="24"/>
        </w:rPr>
        <w:t>3：法定代表人授权委托书</w:t>
      </w:r>
      <w:bookmarkEnd w:id="141"/>
    </w:p>
    <w:p>
      <w:pPr>
        <w:pStyle w:val="33"/>
        <w:ind w:firstLine="240"/>
        <w:rPr>
          <w:rFonts w:hint="eastAsia" w:ascii="仿宋" w:hAnsi="仿宋" w:eastAsia="仿宋" w:cs="仿宋"/>
          <w:color w:val="auto"/>
          <w:szCs w:val="24"/>
        </w:rPr>
      </w:pPr>
    </w:p>
    <w:p>
      <w:pPr>
        <w:tabs>
          <w:tab w:val="left" w:pos="358"/>
          <w:tab w:val="left" w:pos="420"/>
        </w:tabs>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jc w:val="center"/>
        <w:rPr>
          <w:rFonts w:hint="eastAsia" w:ascii="仿宋" w:hAnsi="仿宋" w:eastAsia="仿宋" w:cs="仿宋"/>
          <w:szCs w:val="24"/>
        </w:rPr>
      </w:pPr>
    </w:p>
    <w:p>
      <w:pPr>
        <w:rPr>
          <w:rFonts w:hint="eastAsia" w:ascii="仿宋" w:hAnsi="仿宋" w:eastAsia="仿宋" w:cs="仿宋"/>
          <w:szCs w:val="24"/>
        </w:rPr>
      </w:pPr>
    </w:p>
    <w:p>
      <w:pPr>
        <w:spacing w:line="500" w:lineRule="exact"/>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r>
        <w:rPr>
          <w:rFonts w:hint="eastAsia" w:ascii="仿宋" w:hAnsi="仿宋" w:eastAsia="仿宋" w:cs="仿宋"/>
          <w:szCs w:val="24"/>
        </w:rPr>
        <w:t>(招标采购单位名称)</w:t>
      </w:r>
    </w:p>
    <w:p>
      <w:pPr>
        <w:pStyle w:val="20"/>
        <w:spacing w:before="0" w:after="0" w:line="500" w:lineRule="exact"/>
        <w:ind w:firstLine="480" w:firstLineChars="200"/>
        <w:rPr>
          <w:rFonts w:hint="eastAsia" w:ascii="仿宋" w:hAnsi="仿宋" w:eastAsia="仿宋" w:cs="仿宋"/>
          <w:szCs w:val="24"/>
        </w:rPr>
      </w:pPr>
      <w:r>
        <w:rPr>
          <w:rFonts w:hint="eastAsia" w:ascii="仿宋" w:hAnsi="仿宋" w:eastAsia="仿宋" w:cs="仿宋"/>
          <w:szCs w:val="24"/>
        </w:rPr>
        <w:t>我</w:t>
      </w:r>
      <w:r>
        <w:rPr>
          <w:rFonts w:hint="eastAsia" w:ascii="仿宋" w:hAnsi="仿宋" w:eastAsia="仿宋" w:cs="仿宋"/>
          <w:szCs w:val="24"/>
          <w:u w:val="single"/>
        </w:rPr>
        <w:t xml:space="preserve">       </w:t>
      </w:r>
      <w:r>
        <w:rPr>
          <w:rFonts w:hint="eastAsia" w:ascii="仿宋" w:hAnsi="仿宋" w:eastAsia="仿宋" w:cs="仿宋"/>
          <w:szCs w:val="24"/>
        </w:rPr>
        <w:t>（姓名）系</w:t>
      </w:r>
      <w:r>
        <w:rPr>
          <w:rFonts w:hint="eastAsia" w:ascii="仿宋" w:hAnsi="仿宋" w:eastAsia="仿宋" w:cs="仿宋"/>
          <w:szCs w:val="24"/>
          <w:u w:val="single"/>
        </w:rPr>
        <w:t xml:space="preserve">                     </w:t>
      </w:r>
      <w:r>
        <w:rPr>
          <w:rFonts w:hint="eastAsia" w:ascii="仿宋" w:hAnsi="仿宋" w:eastAsia="仿宋" w:cs="仿宋"/>
          <w:szCs w:val="24"/>
        </w:rPr>
        <w:t>（投标人名称）的法定代表人，现授权委托本单位在职职工</w:t>
      </w:r>
      <w:r>
        <w:rPr>
          <w:rFonts w:hint="eastAsia" w:ascii="仿宋" w:hAnsi="仿宋" w:eastAsia="仿宋" w:cs="仿宋"/>
          <w:szCs w:val="24"/>
          <w:u w:val="single"/>
        </w:rPr>
        <w:t xml:space="preserve">          </w:t>
      </w:r>
      <w:r>
        <w:rPr>
          <w:rFonts w:hint="eastAsia" w:ascii="仿宋" w:hAnsi="仿宋" w:eastAsia="仿宋" w:cs="仿宋"/>
          <w:szCs w:val="24"/>
        </w:rPr>
        <w:t>（姓名）以我方的名义参加</w:t>
      </w:r>
      <w:r>
        <w:rPr>
          <w:rFonts w:hint="eastAsia" w:ascii="仿宋" w:hAnsi="仿宋" w:eastAsia="仿宋" w:cs="仿宋"/>
          <w:szCs w:val="24"/>
          <w:u w:val="single"/>
        </w:rPr>
        <w:t xml:space="preserve">            （</w:t>
      </w:r>
      <w:r>
        <w:rPr>
          <w:rFonts w:hint="eastAsia" w:ascii="仿宋" w:hAnsi="仿宋" w:eastAsia="仿宋" w:cs="仿宋"/>
          <w:szCs w:val="24"/>
        </w:rPr>
        <w:t>采购人名称）</w:t>
      </w:r>
      <w:r>
        <w:rPr>
          <w:rFonts w:hint="eastAsia" w:ascii="仿宋" w:hAnsi="仿宋" w:eastAsia="仿宋" w:cs="仿宋"/>
          <w:szCs w:val="24"/>
          <w:u w:val="single"/>
        </w:rPr>
        <w:t xml:space="preserve">             </w:t>
      </w:r>
      <w:r>
        <w:rPr>
          <w:rFonts w:hint="eastAsia" w:ascii="仿宋" w:hAnsi="仿宋" w:eastAsia="仿宋" w:cs="仿宋"/>
          <w:szCs w:val="24"/>
        </w:rPr>
        <w:t>(编号及项目名称)的投标活动，并代表我方全权办理针对上述项目的投标、开标、评标、签约等具体事务和签署相关文件。</w:t>
      </w:r>
    </w:p>
    <w:p>
      <w:pPr>
        <w:pStyle w:val="20"/>
        <w:spacing w:before="0" w:after="0" w:line="500" w:lineRule="exact"/>
        <w:rPr>
          <w:rFonts w:hint="eastAsia" w:ascii="仿宋" w:hAnsi="仿宋" w:eastAsia="仿宋" w:cs="仿宋"/>
          <w:szCs w:val="24"/>
        </w:rPr>
      </w:pPr>
      <w:r>
        <w:rPr>
          <w:rFonts w:hint="eastAsia" w:ascii="仿宋" w:hAnsi="仿宋" w:eastAsia="仿宋" w:cs="仿宋"/>
          <w:szCs w:val="24"/>
        </w:rPr>
        <w:t>我方对被授权人的签名事项负全部责任。</w:t>
      </w:r>
    </w:p>
    <w:p>
      <w:pPr>
        <w:pStyle w:val="20"/>
        <w:spacing w:before="0" w:after="0" w:line="500" w:lineRule="exact"/>
        <w:ind w:firstLine="480" w:firstLineChars="200"/>
        <w:rPr>
          <w:rFonts w:hint="eastAsia" w:ascii="仿宋" w:hAnsi="仿宋" w:eastAsia="仿宋" w:cs="仿宋"/>
          <w:szCs w:val="24"/>
        </w:rPr>
      </w:pPr>
      <w:r>
        <w:rPr>
          <w:rFonts w:hint="eastAsia" w:ascii="仿宋" w:hAnsi="仿宋" w:eastAsia="仿宋" w:cs="仿宋"/>
          <w:szCs w:val="24"/>
        </w:rPr>
        <w:t>在撤销授权的书面通知以前，本授权书一直有效。被授权人在授权书有效期内签署的所有文件不因授权的撤销而失效。</w:t>
      </w:r>
    </w:p>
    <w:p>
      <w:pPr>
        <w:pStyle w:val="20"/>
        <w:spacing w:before="0" w:after="0" w:line="500" w:lineRule="exact"/>
        <w:rPr>
          <w:rFonts w:hint="eastAsia" w:ascii="仿宋" w:hAnsi="仿宋" w:eastAsia="仿宋" w:cs="仿宋"/>
          <w:szCs w:val="24"/>
        </w:rPr>
      </w:pPr>
      <w:r>
        <w:rPr>
          <w:rFonts w:hint="eastAsia" w:ascii="仿宋" w:hAnsi="仿宋" w:eastAsia="仿宋" w:cs="仿宋"/>
          <w:szCs w:val="24"/>
        </w:rPr>
        <w:t>被授权人无转委托权。特此委托。</w:t>
      </w:r>
    </w:p>
    <w:p>
      <w:pPr>
        <w:pStyle w:val="20"/>
        <w:spacing w:before="0" w:after="0" w:line="500" w:lineRule="exact"/>
        <w:rPr>
          <w:rFonts w:hint="eastAsia" w:ascii="仿宋" w:hAnsi="仿宋" w:eastAsia="仿宋" w:cs="仿宋"/>
          <w:szCs w:val="24"/>
        </w:rPr>
      </w:pPr>
    </w:p>
    <w:p>
      <w:pPr>
        <w:pStyle w:val="20"/>
        <w:spacing w:before="0" w:after="0" w:line="500" w:lineRule="exact"/>
        <w:ind w:firstLine="480" w:firstLineChars="200"/>
        <w:rPr>
          <w:rFonts w:hint="eastAsia" w:ascii="仿宋" w:hAnsi="仿宋" w:eastAsia="仿宋" w:cs="仿宋"/>
          <w:szCs w:val="24"/>
        </w:rPr>
      </w:pPr>
      <w:r>
        <w:rPr>
          <w:rFonts w:hint="eastAsia" w:ascii="仿宋" w:hAnsi="仿宋" w:eastAsia="仿宋" w:cs="仿宋"/>
          <w:szCs w:val="24"/>
        </w:rPr>
        <w:t>被授权人签名：</w:t>
      </w:r>
      <w:r>
        <w:rPr>
          <w:rFonts w:hint="eastAsia" w:ascii="仿宋" w:hAnsi="仿宋" w:eastAsia="仿宋" w:cs="仿宋"/>
          <w:szCs w:val="24"/>
          <w:u w:val="single"/>
        </w:rPr>
        <w:t xml:space="preserve">             </w:t>
      </w:r>
      <w:r>
        <w:rPr>
          <w:rFonts w:hint="eastAsia" w:ascii="仿宋" w:hAnsi="仿宋" w:eastAsia="仿宋" w:cs="仿宋"/>
          <w:szCs w:val="24"/>
        </w:rPr>
        <w:t xml:space="preserve">        </w:t>
      </w:r>
    </w:p>
    <w:p>
      <w:pPr>
        <w:pStyle w:val="20"/>
        <w:spacing w:before="0" w:after="0" w:line="500" w:lineRule="exact"/>
        <w:ind w:firstLine="523" w:firstLineChars="218"/>
        <w:rPr>
          <w:rFonts w:hint="eastAsia" w:ascii="仿宋" w:hAnsi="仿宋" w:eastAsia="仿宋" w:cs="仿宋"/>
          <w:szCs w:val="24"/>
        </w:rPr>
      </w:pPr>
      <w:r>
        <w:rPr>
          <w:rFonts w:hint="eastAsia" w:ascii="仿宋" w:hAnsi="仿宋" w:eastAsia="仿宋" w:cs="仿宋"/>
          <w:szCs w:val="24"/>
        </w:rPr>
        <w:t>职务：</w:t>
      </w:r>
      <w:r>
        <w:rPr>
          <w:rFonts w:hint="eastAsia" w:ascii="仿宋" w:hAnsi="仿宋" w:eastAsia="仿宋" w:cs="仿宋"/>
          <w:szCs w:val="24"/>
          <w:u w:val="single"/>
        </w:rPr>
        <w:t xml:space="preserve">             </w:t>
      </w:r>
      <w:r>
        <w:rPr>
          <w:rFonts w:hint="eastAsia" w:ascii="仿宋" w:hAnsi="仿宋" w:eastAsia="仿宋" w:cs="仿宋"/>
          <w:szCs w:val="24"/>
        </w:rPr>
        <w:t xml:space="preserve">     联系号码：             </w:t>
      </w:r>
    </w:p>
    <w:p>
      <w:pPr>
        <w:pStyle w:val="20"/>
        <w:spacing w:before="0" w:after="0" w:line="500" w:lineRule="exact"/>
        <w:ind w:firstLine="523" w:firstLineChars="218"/>
        <w:rPr>
          <w:rFonts w:hint="eastAsia" w:ascii="仿宋" w:hAnsi="仿宋" w:eastAsia="仿宋" w:cs="仿宋"/>
          <w:szCs w:val="24"/>
        </w:rPr>
      </w:pPr>
      <w:r>
        <w:rPr>
          <w:rFonts w:hint="eastAsia" w:ascii="仿宋" w:hAnsi="仿宋" w:eastAsia="仿宋" w:cs="仿宋"/>
          <w:szCs w:val="24"/>
        </w:rPr>
        <w:t>被授权人身份证号码：</w:t>
      </w:r>
      <w:r>
        <w:rPr>
          <w:rFonts w:hint="eastAsia" w:ascii="仿宋" w:hAnsi="仿宋" w:eastAsia="仿宋" w:cs="仿宋"/>
          <w:szCs w:val="24"/>
          <w:u w:val="single"/>
        </w:rPr>
        <w:t xml:space="preserve">             </w:t>
      </w:r>
    </w:p>
    <w:p>
      <w:pPr>
        <w:pStyle w:val="20"/>
        <w:spacing w:before="0" w:after="0" w:line="500" w:lineRule="exact"/>
        <w:ind w:firstLine="523" w:firstLineChars="218"/>
        <w:rPr>
          <w:rFonts w:hint="eastAsia" w:ascii="仿宋" w:hAnsi="仿宋" w:eastAsia="仿宋" w:cs="仿宋"/>
          <w:szCs w:val="24"/>
        </w:rPr>
      </w:pPr>
      <w:r>
        <w:rPr>
          <w:rFonts w:hint="eastAsia" w:ascii="仿宋" w:hAnsi="仿宋" w:eastAsia="仿宋" w:cs="仿宋"/>
          <w:szCs w:val="24"/>
        </w:rPr>
        <w:t>法定代表人签名：</w:t>
      </w:r>
      <w:r>
        <w:rPr>
          <w:rFonts w:hint="eastAsia" w:ascii="仿宋" w:hAnsi="仿宋" w:eastAsia="仿宋" w:cs="仿宋"/>
          <w:szCs w:val="24"/>
          <w:u w:val="single"/>
        </w:rPr>
        <w:t xml:space="preserve">             </w:t>
      </w:r>
    </w:p>
    <w:p>
      <w:pPr>
        <w:pStyle w:val="20"/>
        <w:spacing w:before="0" w:after="0" w:line="500" w:lineRule="exact"/>
        <w:ind w:firstLine="523" w:firstLineChars="218"/>
        <w:rPr>
          <w:rFonts w:hint="eastAsia" w:ascii="仿宋" w:hAnsi="仿宋" w:eastAsia="仿宋" w:cs="仿宋"/>
          <w:szCs w:val="24"/>
        </w:rPr>
      </w:pPr>
      <w:r>
        <w:rPr>
          <w:rFonts w:hint="eastAsia" w:ascii="仿宋" w:hAnsi="仿宋" w:eastAsia="仿宋" w:cs="仿宋"/>
          <w:szCs w:val="24"/>
        </w:rPr>
        <w:t>身份证号码：</w:t>
      </w:r>
      <w:r>
        <w:rPr>
          <w:rFonts w:hint="eastAsia" w:ascii="仿宋" w:hAnsi="仿宋" w:eastAsia="仿宋" w:cs="仿宋"/>
          <w:szCs w:val="24"/>
          <w:u w:val="single"/>
        </w:rPr>
        <w:t xml:space="preserve">             </w:t>
      </w:r>
    </w:p>
    <w:p>
      <w:pPr>
        <w:pStyle w:val="20"/>
        <w:spacing w:before="0" w:after="0" w:line="500" w:lineRule="exact"/>
        <w:ind w:firstLine="523" w:firstLineChars="218"/>
        <w:rPr>
          <w:rFonts w:hint="eastAsia" w:ascii="仿宋" w:hAnsi="仿宋" w:eastAsia="仿宋" w:cs="仿宋"/>
          <w:szCs w:val="24"/>
        </w:rPr>
      </w:pPr>
      <w:r>
        <w:rPr>
          <w:rFonts w:hint="eastAsia" w:ascii="仿宋" w:hAnsi="仿宋" w:eastAsia="仿宋" w:cs="仿宋"/>
          <w:szCs w:val="24"/>
        </w:rPr>
        <w:t>职务：</w:t>
      </w:r>
      <w:r>
        <w:rPr>
          <w:rFonts w:hint="eastAsia" w:ascii="仿宋" w:hAnsi="仿宋" w:eastAsia="仿宋" w:cs="仿宋"/>
          <w:szCs w:val="24"/>
          <w:u w:val="single"/>
        </w:rPr>
        <w:t xml:space="preserve">             </w:t>
      </w:r>
      <w:r>
        <w:rPr>
          <w:rFonts w:hint="eastAsia" w:ascii="仿宋" w:hAnsi="仿宋" w:eastAsia="仿宋" w:cs="仿宋"/>
          <w:szCs w:val="24"/>
        </w:rPr>
        <w:t xml:space="preserve">     联系号码：</w:t>
      </w:r>
    </w:p>
    <w:p>
      <w:pPr>
        <w:pStyle w:val="20"/>
        <w:spacing w:before="0" w:after="0" w:line="500" w:lineRule="exact"/>
        <w:ind w:firstLine="480" w:firstLineChars="200"/>
        <w:rPr>
          <w:rFonts w:hint="eastAsia" w:ascii="仿宋" w:hAnsi="仿宋" w:eastAsia="仿宋" w:cs="仿宋"/>
          <w:szCs w:val="24"/>
        </w:rPr>
      </w:pPr>
    </w:p>
    <w:p>
      <w:pPr>
        <w:pStyle w:val="20"/>
        <w:spacing w:before="0" w:after="0" w:line="500" w:lineRule="exact"/>
        <w:ind w:firstLine="480" w:firstLineChars="200"/>
        <w:rPr>
          <w:rFonts w:hint="eastAsia" w:ascii="仿宋" w:hAnsi="仿宋" w:eastAsia="仿宋" w:cs="仿宋"/>
          <w:szCs w:val="24"/>
        </w:rPr>
      </w:pPr>
    </w:p>
    <w:p>
      <w:pPr>
        <w:pStyle w:val="20"/>
        <w:spacing w:before="0" w:after="0" w:line="500" w:lineRule="exact"/>
        <w:ind w:firstLine="4572" w:firstLineChars="1905"/>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pStyle w:val="20"/>
        <w:spacing w:before="0" w:after="0" w:line="500" w:lineRule="exact"/>
        <w:ind w:firstLine="480" w:firstLineChars="200"/>
        <w:rPr>
          <w:rFonts w:hint="eastAsia" w:ascii="仿宋" w:hAnsi="仿宋" w:eastAsia="仿宋" w:cs="仿宋"/>
          <w:szCs w:val="24"/>
        </w:rPr>
      </w:pPr>
      <w:r>
        <w:rPr>
          <w:rFonts w:hint="eastAsia" w:ascii="仿宋" w:hAnsi="仿宋" w:eastAsia="仿宋" w:cs="仿宋"/>
          <w:szCs w:val="24"/>
        </w:rPr>
        <w:t xml:space="preserve">                                  日期：     年    月   日</w:t>
      </w:r>
    </w:p>
    <w:p>
      <w:pPr>
        <w:widowControl/>
        <w:spacing w:line="440" w:lineRule="atLeast"/>
        <w:ind w:firstLine="300"/>
        <w:rPr>
          <w:rFonts w:hint="eastAsia" w:ascii="仿宋" w:hAnsi="仿宋" w:eastAsia="仿宋" w:cs="仿宋"/>
          <w:b/>
          <w:bCs/>
          <w:kern w:val="0"/>
          <w:szCs w:val="24"/>
        </w:rPr>
      </w:pPr>
    </w:p>
    <w:p>
      <w:pPr>
        <w:widowControl/>
        <w:spacing w:line="440" w:lineRule="atLeast"/>
        <w:ind w:firstLine="300"/>
        <w:rPr>
          <w:rFonts w:hint="eastAsia" w:ascii="仿宋" w:hAnsi="仿宋" w:eastAsia="仿宋" w:cs="仿宋"/>
          <w:b/>
          <w:bCs/>
          <w:kern w:val="0"/>
          <w:szCs w:val="24"/>
        </w:rPr>
      </w:pPr>
    </w:p>
    <w:p>
      <w:pPr>
        <w:jc w:val="left"/>
        <w:rPr>
          <w:rFonts w:hint="eastAsia" w:ascii="仿宋" w:hAnsi="仿宋" w:eastAsia="仿宋" w:cs="仿宋"/>
          <w:b/>
          <w:kern w:val="0"/>
          <w:szCs w:val="24"/>
        </w:rPr>
      </w:pPr>
      <w:bookmarkStart w:id="142" w:name="_Toc54978904"/>
    </w:p>
    <w:p>
      <w:pPr>
        <w:pStyle w:val="3"/>
        <w:tabs>
          <w:tab w:val="left" w:pos="420"/>
        </w:tabs>
        <w:ind w:left="0" w:firstLine="0"/>
        <w:rPr>
          <w:rFonts w:hint="eastAsia" w:ascii="仿宋" w:hAnsi="仿宋" w:eastAsia="仿宋" w:cs="仿宋"/>
          <w:sz w:val="24"/>
          <w:szCs w:val="24"/>
        </w:rPr>
      </w:pPr>
      <w:r>
        <w:rPr>
          <w:rFonts w:hint="eastAsia" w:ascii="仿宋" w:hAnsi="仿宋" w:eastAsia="仿宋" w:cs="仿宋"/>
          <w:sz w:val="24"/>
          <w:szCs w:val="24"/>
        </w:rPr>
        <w:t>附件4：符合参加采购活动应当具备的一般条件的承诺函</w:t>
      </w:r>
    </w:p>
    <w:p>
      <w:pPr>
        <w:pStyle w:val="3"/>
        <w:tabs>
          <w:tab w:val="left" w:pos="420"/>
        </w:tabs>
        <w:ind w:left="0" w:firstLine="0"/>
        <w:jc w:val="center"/>
        <w:rPr>
          <w:rFonts w:hint="eastAsia" w:ascii="仿宋" w:hAnsi="仿宋" w:eastAsia="仿宋" w:cs="仿宋"/>
          <w:b w:val="0"/>
          <w:bCs/>
          <w:sz w:val="24"/>
          <w:szCs w:val="24"/>
        </w:rPr>
      </w:pPr>
      <w:r>
        <w:rPr>
          <w:rFonts w:hint="eastAsia" w:ascii="仿宋" w:hAnsi="仿宋" w:eastAsia="仿宋" w:cs="仿宋"/>
          <w:b w:val="0"/>
          <w:bCs/>
          <w:sz w:val="24"/>
          <w:szCs w:val="24"/>
        </w:rPr>
        <w:t>符合参加采购活动应当具备的一般条件的承诺函</w:t>
      </w:r>
    </w:p>
    <w:p>
      <w:pPr>
        <w:pStyle w:val="3"/>
        <w:tabs>
          <w:tab w:val="left" w:pos="420"/>
        </w:tabs>
        <w:ind w:left="0" w:firstLine="0"/>
        <w:rPr>
          <w:rFonts w:hint="eastAsia" w:ascii="仿宋" w:hAnsi="仿宋" w:eastAsia="仿宋" w:cs="仿宋"/>
          <w:sz w:val="24"/>
          <w:szCs w:val="24"/>
        </w:rPr>
      </w:pPr>
      <w:r>
        <w:rPr>
          <w:rFonts w:hint="eastAsia" w:ascii="仿宋" w:hAnsi="仿宋" w:eastAsia="仿宋" w:cs="仿宋"/>
          <w:sz w:val="24"/>
          <w:szCs w:val="24"/>
          <w:u w:val="single"/>
          <w:lang w:eastAsia="zh-CN"/>
        </w:rPr>
        <w:t>嵊州市鸿发物业管理有限公司、</w:t>
      </w:r>
      <w:r>
        <w:rPr>
          <w:rFonts w:hint="eastAsia" w:ascii="仿宋" w:hAnsi="仿宋" w:eastAsia="仿宋" w:cs="仿宋"/>
          <w:sz w:val="24"/>
          <w:szCs w:val="24"/>
          <w:u w:val="single"/>
        </w:rPr>
        <w:t>泾清项目管理有限公司：</w:t>
      </w:r>
    </w:p>
    <w:p>
      <w:pPr>
        <w:pStyle w:val="3"/>
        <w:tabs>
          <w:tab w:val="left" w:pos="420"/>
        </w:tabs>
        <w:spacing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我方参与</w:t>
      </w:r>
      <w:r>
        <w:rPr>
          <w:rFonts w:hint="eastAsia" w:ascii="仿宋" w:hAnsi="仿宋" w:eastAsia="仿宋" w:cs="仿宋"/>
          <w:b w:val="0"/>
          <w:bCs/>
          <w:sz w:val="24"/>
          <w:szCs w:val="24"/>
          <w:u w:val="single"/>
          <w:lang w:eastAsia="zh-CN"/>
        </w:rPr>
        <w:t>嵊州市前岩水库物业化管理采购项目</w:t>
      </w:r>
      <w:r>
        <w:rPr>
          <w:rFonts w:hint="eastAsia" w:ascii="仿宋" w:hAnsi="仿宋" w:eastAsia="仿宋" w:cs="仿宋"/>
          <w:b w:val="0"/>
          <w:bCs/>
          <w:sz w:val="24"/>
          <w:szCs w:val="24"/>
          <w:u w:val="single"/>
        </w:rPr>
        <w:t>(项目编号：</w:t>
      </w:r>
      <w:r>
        <w:rPr>
          <w:rFonts w:hint="eastAsia" w:ascii="仿宋" w:hAnsi="仿宋" w:eastAsia="仿宋" w:cs="仿宋"/>
          <w:b w:val="0"/>
          <w:bCs/>
          <w:sz w:val="24"/>
          <w:szCs w:val="24"/>
          <w:u w:val="single"/>
          <w:lang w:val="en-US" w:eastAsia="zh-CN"/>
        </w:rPr>
        <w:t>JQ-SZ20250112</w:t>
      </w:r>
      <w:r>
        <w:rPr>
          <w:rFonts w:hint="eastAsia" w:ascii="仿宋" w:hAnsi="仿宋" w:eastAsia="仿宋" w:cs="仿宋"/>
          <w:b w:val="0"/>
          <w:bCs/>
          <w:sz w:val="24"/>
          <w:szCs w:val="24"/>
          <w:u w:val="single"/>
        </w:rPr>
        <w:t>)</w:t>
      </w:r>
      <w:r>
        <w:rPr>
          <w:rFonts w:hint="eastAsia" w:ascii="仿宋" w:hAnsi="仿宋" w:eastAsia="仿宋" w:cs="仿宋"/>
          <w:b w:val="0"/>
          <w:bCs/>
          <w:sz w:val="24"/>
          <w:szCs w:val="24"/>
        </w:rPr>
        <w:t xml:space="preserve">的采购活动，郑重承诺：     </w:t>
      </w:r>
    </w:p>
    <w:p>
      <w:pPr>
        <w:pStyle w:val="3"/>
        <w:tabs>
          <w:tab w:val="left" w:pos="420"/>
        </w:tabs>
        <w:spacing w:before="0" w:line="380" w:lineRule="exact"/>
        <w:ind w:left="0" w:firstLine="0"/>
        <w:rPr>
          <w:rFonts w:hint="eastAsia" w:ascii="仿宋" w:hAnsi="仿宋" w:eastAsia="仿宋" w:cs="仿宋"/>
          <w:sz w:val="24"/>
          <w:szCs w:val="24"/>
        </w:rPr>
      </w:pPr>
      <w:r>
        <w:rPr>
          <w:rFonts w:hint="eastAsia" w:ascii="仿宋" w:hAnsi="仿宋" w:eastAsia="仿宋" w:cs="仿宋"/>
          <w:sz w:val="24"/>
          <w:szCs w:val="24"/>
        </w:rPr>
        <w:t>一、具备</w:t>
      </w:r>
      <w:r>
        <w:rPr>
          <w:rFonts w:hint="eastAsia" w:ascii="仿宋" w:hAnsi="仿宋" w:eastAsia="仿宋" w:cs="仿宋"/>
          <w:sz w:val="24"/>
          <w:szCs w:val="24"/>
          <w:lang w:eastAsia="zh-CN"/>
        </w:rPr>
        <w:t>相关</w:t>
      </w:r>
      <w:r>
        <w:rPr>
          <w:rFonts w:hint="eastAsia" w:ascii="仿宋" w:hAnsi="仿宋" w:eastAsia="仿宋" w:cs="仿宋"/>
          <w:sz w:val="24"/>
          <w:szCs w:val="24"/>
        </w:rPr>
        <w:t>规定的条件：</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1.具有独立承担民事责任的能力；</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2.具有良好的商业信誉和健全的财务会计制度；</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3.具有履行本项目合同所必需的设备和专业技术能力；</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4.有依法缴纳税收和社会保障资金的良好记录；</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5.在参加本次采购活动前三年内，经营活动中没有重大违法记录；</w:t>
      </w:r>
    </w:p>
    <w:p>
      <w:pPr>
        <w:pStyle w:val="3"/>
        <w:tabs>
          <w:tab w:val="left" w:pos="420"/>
        </w:tabs>
        <w:spacing w:before="120" w:beforeLines="50" w:line="380" w:lineRule="exact"/>
        <w:ind w:left="0" w:firstLine="0"/>
        <w:rPr>
          <w:rFonts w:hint="eastAsia" w:ascii="仿宋" w:hAnsi="仿宋" w:eastAsia="仿宋" w:cs="仿宋"/>
          <w:b w:val="0"/>
          <w:bCs/>
          <w:sz w:val="24"/>
          <w:szCs w:val="24"/>
        </w:rPr>
      </w:pPr>
      <w:r>
        <w:rPr>
          <w:rFonts w:hint="eastAsia" w:ascii="仿宋" w:hAnsi="仿宋" w:eastAsia="仿宋" w:cs="仿宋"/>
          <w:sz w:val="24"/>
          <w:szCs w:val="24"/>
        </w:rPr>
        <w:t>二、未被“信用中国”（www.creditchina.gov.cn）、“中国政府采购网”（www.ccgp.gov.cn）列入失信被执行人名单、重大税收违法案件当事人名单、政府采购严重违法失信行为记录名单。</w:t>
      </w:r>
    </w:p>
    <w:p>
      <w:pPr>
        <w:pStyle w:val="3"/>
        <w:tabs>
          <w:tab w:val="left" w:pos="420"/>
        </w:tabs>
        <w:spacing w:before="120" w:beforeLines="50" w:line="380" w:lineRule="exact"/>
        <w:ind w:left="0" w:firstLine="0"/>
        <w:rPr>
          <w:rFonts w:hint="eastAsia" w:ascii="仿宋" w:hAnsi="仿宋" w:eastAsia="仿宋" w:cs="仿宋"/>
          <w:b w:val="0"/>
          <w:bCs/>
          <w:sz w:val="24"/>
          <w:szCs w:val="24"/>
        </w:rPr>
      </w:pPr>
      <w:r>
        <w:rPr>
          <w:rFonts w:hint="eastAsia" w:ascii="仿宋" w:hAnsi="仿宋" w:eastAsia="仿宋" w:cs="仿宋"/>
          <w:sz w:val="24"/>
          <w:szCs w:val="24"/>
        </w:rPr>
        <w:t>三、不存在以下情况：</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1.单位负责人为同一人或者存在直接控股、管理关系的不同供应商参加同一合同项下的采购活动的；</w:t>
      </w:r>
    </w:p>
    <w:p>
      <w:pPr>
        <w:pStyle w:val="3"/>
        <w:tabs>
          <w:tab w:val="left" w:pos="420"/>
        </w:tabs>
        <w:spacing w:before="0" w:line="380" w:lineRule="exact"/>
        <w:ind w:left="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2.为采购项目提供整体设计、规范编制或者项目管理、监理、检测等服务后再参加该采购项目的其他采购活动的。</w:t>
      </w:r>
    </w:p>
    <w:p>
      <w:pPr>
        <w:pStyle w:val="3"/>
        <w:tabs>
          <w:tab w:val="left" w:pos="420"/>
        </w:tabs>
        <w:spacing w:line="380" w:lineRule="exact"/>
        <w:ind w:left="0" w:firstLine="482" w:firstLineChars="200"/>
        <w:rPr>
          <w:rFonts w:hint="eastAsia" w:ascii="仿宋" w:hAnsi="仿宋" w:eastAsia="仿宋" w:cs="仿宋"/>
          <w:b w:val="0"/>
          <w:bCs/>
          <w:sz w:val="24"/>
          <w:szCs w:val="24"/>
        </w:rPr>
      </w:pPr>
      <w:r>
        <w:rPr>
          <w:rFonts w:hint="eastAsia" w:ascii="仿宋" w:hAnsi="仿宋" w:eastAsia="仿宋" w:cs="仿宋"/>
          <w:sz w:val="24"/>
          <w:szCs w:val="24"/>
        </w:rPr>
        <w:t>以上承诺如有虚假或隐瞒，采购人可取消我方任何资格（投标/中标/签订合同），我方对此无任何异议，并愿意承担一切后果和责任。</w:t>
      </w:r>
    </w:p>
    <w:p>
      <w:pPr>
        <w:pStyle w:val="3"/>
        <w:tabs>
          <w:tab w:val="left" w:pos="420"/>
        </w:tabs>
        <w:ind w:left="0" w:firstLine="5280" w:firstLineChars="2200"/>
        <w:rPr>
          <w:rFonts w:hint="eastAsia" w:ascii="仿宋" w:hAnsi="仿宋" w:eastAsia="仿宋" w:cs="仿宋"/>
          <w:b w:val="0"/>
          <w:bCs/>
          <w:sz w:val="24"/>
          <w:szCs w:val="24"/>
        </w:rPr>
      </w:pPr>
    </w:p>
    <w:p>
      <w:pPr>
        <w:pStyle w:val="3"/>
        <w:tabs>
          <w:tab w:val="left" w:pos="420"/>
        </w:tabs>
        <w:ind w:left="0" w:firstLine="5280" w:firstLineChars="2200"/>
        <w:rPr>
          <w:rFonts w:hint="eastAsia" w:ascii="仿宋" w:hAnsi="仿宋" w:eastAsia="仿宋" w:cs="仿宋"/>
          <w:b w:val="0"/>
          <w:bCs/>
          <w:sz w:val="24"/>
          <w:szCs w:val="24"/>
        </w:rPr>
      </w:pPr>
      <w:r>
        <w:rPr>
          <w:rFonts w:hint="eastAsia" w:ascii="仿宋" w:hAnsi="仿宋" w:eastAsia="仿宋" w:cs="仿宋"/>
          <w:b w:val="0"/>
          <w:bCs/>
          <w:sz w:val="24"/>
          <w:szCs w:val="24"/>
        </w:rPr>
        <w:t>投标人</w:t>
      </w:r>
      <w:r>
        <w:rPr>
          <w:rFonts w:hint="eastAsia" w:ascii="仿宋" w:hAnsi="仿宋" w:eastAsia="仿宋" w:cs="仿宋"/>
          <w:b w:val="0"/>
          <w:bCs/>
          <w:sz w:val="24"/>
          <w:szCs w:val="24"/>
          <w:lang w:val="zh-CN"/>
        </w:rPr>
        <w:t>名称(电子签名)</w:t>
      </w:r>
      <w:r>
        <w:rPr>
          <w:rFonts w:hint="eastAsia" w:ascii="仿宋" w:hAnsi="仿宋" w:eastAsia="仿宋" w:cs="仿宋"/>
          <w:b w:val="0"/>
          <w:bCs/>
          <w:sz w:val="24"/>
          <w:szCs w:val="24"/>
        </w:rPr>
        <w:t>：</w:t>
      </w:r>
    </w:p>
    <w:p>
      <w:pPr>
        <w:pStyle w:val="3"/>
        <w:tabs>
          <w:tab w:val="left" w:pos="420"/>
        </w:tabs>
        <w:ind w:left="418" w:leftChars="174" w:firstLine="4860" w:firstLineChars="2025"/>
        <w:rPr>
          <w:rFonts w:hint="eastAsia" w:ascii="仿宋" w:hAnsi="仿宋" w:eastAsia="仿宋" w:cs="仿宋"/>
          <w:b w:val="0"/>
          <w:bCs/>
          <w:sz w:val="24"/>
          <w:szCs w:val="24"/>
        </w:rPr>
      </w:pPr>
      <w:r>
        <w:rPr>
          <w:rFonts w:hint="eastAsia" w:ascii="仿宋" w:hAnsi="仿宋" w:eastAsia="仿宋" w:cs="仿宋"/>
          <w:b w:val="0"/>
          <w:bCs/>
          <w:sz w:val="24"/>
          <w:szCs w:val="24"/>
        </w:rPr>
        <w:t>日期：   年  月  日</w:t>
      </w:r>
    </w:p>
    <w:p>
      <w:pPr>
        <w:rPr>
          <w:rFonts w:hint="eastAsia" w:ascii="仿宋" w:hAnsi="仿宋" w:eastAsia="仿宋" w:cs="仿宋"/>
          <w:szCs w:val="24"/>
        </w:rPr>
      </w:pPr>
      <w:r>
        <w:rPr>
          <w:rFonts w:hint="eastAsia" w:ascii="仿宋" w:hAnsi="仿宋" w:eastAsia="仿宋" w:cs="仿宋"/>
          <w:szCs w:val="24"/>
        </w:rPr>
        <w:br w:type="page"/>
      </w:r>
    </w:p>
    <w:p>
      <w:pPr>
        <w:pStyle w:val="3"/>
        <w:tabs>
          <w:tab w:val="left" w:pos="420"/>
        </w:tabs>
        <w:ind w:left="0" w:firstLine="0"/>
        <w:rPr>
          <w:rFonts w:hint="eastAsia" w:ascii="仿宋" w:hAnsi="仿宋" w:eastAsia="仿宋" w:cs="仿宋"/>
          <w:sz w:val="24"/>
          <w:szCs w:val="24"/>
        </w:rPr>
      </w:pPr>
      <w:r>
        <w:rPr>
          <w:rFonts w:hint="eastAsia" w:ascii="仿宋" w:hAnsi="仿宋" w:eastAsia="仿宋" w:cs="仿宋"/>
          <w:sz w:val="24"/>
          <w:szCs w:val="24"/>
        </w:rPr>
        <w:t>附件5：开标一览表（报价表）</w:t>
      </w:r>
      <w:bookmarkEnd w:id="142"/>
    </w:p>
    <w:p>
      <w:pPr>
        <w:spacing w:line="400" w:lineRule="exact"/>
        <w:jc w:val="center"/>
        <w:rPr>
          <w:rFonts w:hint="eastAsia" w:ascii="仿宋" w:hAnsi="仿宋" w:eastAsia="仿宋" w:cs="仿宋"/>
          <w:szCs w:val="24"/>
        </w:rPr>
      </w:pPr>
      <w:r>
        <w:rPr>
          <w:rFonts w:hint="eastAsia" w:ascii="仿宋" w:hAnsi="仿宋" w:eastAsia="仿宋" w:cs="仿宋"/>
          <w:b/>
          <w:bCs/>
          <w:szCs w:val="24"/>
        </w:rPr>
        <w:t xml:space="preserve">开标一览表（报价表）                            </w:t>
      </w:r>
    </w:p>
    <w:p>
      <w:pPr>
        <w:spacing w:line="360" w:lineRule="auto"/>
        <w:rPr>
          <w:rFonts w:hint="eastAsia" w:ascii="仿宋" w:hAnsi="仿宋" w:eastAsia="仿宋" w:cs="仿宋"/>
          <w:szCs w:val="24"/>
        </w:rPr>
      </w:pPr>
    </w:p>
    <w:p>
      <w:pPr>
        <w:spacing w:line="360" w:lineRule="auto"/>
        <w:rPr>
          <w:rFonts w:hint="eastAsia" w:ascii="仿宋" w:hAnsi="仿宋" w:eastAsia="仿宋" w:cs="仿宋"/>
          <w:szCs w:val="24"/>
        </w:rPr>
      </w:pPr>
      <w:r>
        <w:rPr>
          <w:rFonts w:hint="eastAsia" w:ascii="仿宋" w:hAnsi="仿宋" w:eastAsia="仿宋" w:cs="仿宋"/>
          <w:szCs w:val="24"/>
        </w:rPr>
        <w:t xml:space="preserve">项目名称：                                </w:t>
      </w:r>
    </w:p>
    <w:p>
      <w:pPr>
        <w:spacing w:line="360" w:lineRule="auto"/>
        <w:rPr>
          <w:rFonts w:hint="eastAsia" w:ascii="仿宋" w:hAnsi="仿宋" w:eastAsia="仿宋" w:cs="仿宋"/>
          <w:szCs w:val="24"/>
        </w:rPr>
      </w:pPr>
      <w:r>
        <w:rPr>
          <w:rFonts w:hint="eastAsia" w:ascii="仿宋" w:hAnsi="仿宋" w:eastAsia="仿宋" w:cs="仿宋"/>
          <w:szCs w:val="24"/>
        </w:rPr>
        <w:t xml:space="preserve">项目编号： </w:t>
      </w:r>
    </w:p>
    <w:p>
      <w:pPr>
        <w:spacing w:line="360" w:lineRule="auto"/>
        <w:rPr>
          <w:rFonts w:hint="eastAsia" w:ascii="仿宋" w:hAnsi="仿宋" w:eastAsia="仿宋" w:cs="仿宋"/>
          <w:szCs w:val="24"/>
        </w:rPr>
      </w:pPr>
      <w:r>
        <w:rPr>
          <w:rFonts w:hint="eastAsia" w:ascii="仿宋" w:hAnsi="仿宋" w:eastAsia="仿宋" w:cs="仿宋"/>
          <w:szCs w:val="24"/>
        </w:rPr>
        <w:t>价格单位：（人民币）元</w:t>
      </w:r>
    </w:p>
    <w:tbl>
      <w:tblPr>
        <w:tblStyle w:val="80"/>
        <w:tblpPr w:leftFromText="180" w:rightFromText="180" w:vertAnchor="text" w:horzAnchor="page" w:tblpX="1557" w:tblpY="246"/>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195"/>
        <w:gridCol w:w="846"/>
        <w:gridCol w:w="197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773"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序号</w:t>
            </w:r>
          </w:p>
        </w:tc>
        <w:tc>
          <w:tcPr>
            <w:tcW w:w="4195"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采购内容</w:t>
            </w:r>
          </w:p>
        </w:tc>
        <w:tc>
          <w:tcPr>
            <w:tcW w:w="846"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数量</w:t>
            </w:r>
          </w:p>
        </w:tc>
        <w:tc>
          <w:tcPr>
            <w:tcW w:w="1974"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投标报价（元）</w:t>
            </w:r>
          </w:p>
        </w:tc>
        <w:tc>
          <w:tcPr>
            <w:tcW w:w="1362"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773"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w:t>
            </w:r>
          </w:p>
        </w:tc>
        <w:tc>
          <w:tcPr>
            <w:tcW w:w="4195" w:type="dxa"/>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lang w:eastAsia="zh-CN"/>
              </w:rPr>
              <w:t>嵊州市前岩水库物业化管理采购项目</w:t>
            </w:r>
          </w:p>
        </w:tc>
        <w:tc>
          <w:tcPr>
            <w:tcW w:w="846" w:type="dxa"/>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1批</w:t>
            </w:r>
          </w:p>
        </w:tc>
        <w:tc>
          <w:tcPr>
            <w:tcW w:w="1974" w:type="dxa"/>
            <w:vAlign w:val="center"/>
          </w:tcPr>
          <w:p>
            <w:pPr>
              <w:spacing w:line="440" w:lineRule="exact"/>
              <w:jc w:val="center"/>
              <w:rPr>
                <w:rFonts w:hint="eastAsia" w:ascii="仿宋" w:hAnsi="仿宋" w:eastAsia="仿宋" w:cs="仿宋"/>
                <w:szCs w:val="24"/>
              </w:rPr>
            </w:pPr>
          </w:p>
        </w:tc>
        <w:tc>
          <w:tcPr>
            <w:tcW w:w="1362" w:type="dxa"/>
            <w:vAlign w:val="center"/>
          </w:tcPr>
          <w:p>
            <w:pPr>
              <w:spacing w:line="440" w:lineRule="exact"/>
              <w:jc w:val="left"/>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9150" w:type="dxa"/>
            <w:gridSpan w:val="5"/>
            <w:vAlign w:val="center"/>
          </w:tcPr>
          <w:p>
            <w:pPr>
              <w:spacing w:line="440" w:lineRule="exact"/>
              <w:jc w:val="left"/>
              <w:rPr>
                <w:rFonts w:hint="eastAsia" w:ascii="仿宋" w:hAnsi="仿宋" w:eastAsia="仿宋" w:cs="仿宋"/>
                <w:b/>
                <w:bCs/>
                <w:szCs w:val="24"/>
              </w:rPr>
            </w:pPr>
            <w:r>
              <w:rPr>
                <w:rFonts w:hint="eastAsia" w:ascii="仿宋" w:hAnsi="仿宋" w:eastAsia="仿宋" w:cs="仿宋"/>
                <w:b/>
                <w:bCs/>
                <w:szCs w:val="24"/>
              </w:rPr>
              <w:t>投标报价（大写）：      元整</w:t>
            </w:r>
          </w:p>
        </w:tc>
      </w:tr>
    </w:tbl>
    <w:p>
      <w:pPr>
        <w:spacing w:line="360" w:lineRule="auto"/>
        <w:rPr>
          <w:rFonts w:hint="eastAsia" w:ascii="仿宋" w:hAnsi="仿宋" w:eastAsia="仿宋" w:cs="仿宋"/>
          <w:szCs w:val="24"/>
        </w:rPr>
      </w:pPr>
    </w:p>
    <w:p>
      <w:pPr>
        <w:spacing w:line="360" w:lineRule="auto"/>
        <w:ind w:firstLine="240" w:firstLineChars="100"/>
        <w:jc w:val="left"/>
        <w:rPr>
          <w:rFonts w:hint="eastAsia" w:ascii="仿宋" w:hAnsi="仿宋" w:eastAsia="仿宋" w:cs="仿宋"/>
          <w:szCs w:val="24"/>
        </w:rPr>
      </w:pPr>
      <w:r>
        <w:rPr>
          <w:rFonts w:hint="eastAsia" w:ascii="仿宋" w:hAnsi="仿宋" w:eastAsia="仿宋" w:cs="仿宋"/>
          <w:bCs/>
          <w:szCs w:val="24"/>
        </w:rPr>
        <w:t>注：1.投标报价是履行合同的最终价格，即完成本项目服务内容和要求所产生的所有费用</w:t>
      </w:r>
      <w:r>
        <w:rPr>
          <w:rFonts w:hint="eastAsia" w:ascii="仿宋" w:hAnsi="仿宋" w:eastAsia="仿宋" w:cs="仿宋"/>
          <w:szCs w:val="24"/>
        </w:rPr>
        <w:t>。</w:t>
      </w:r>
    </w:p>
    <w:p>
      <w:pPr>
        <w:snapToGrid w:val="0"/>
        <w:spacing w:line="360" w:lineRule="auto"/>
        <w:ind w:firstLine="480" w:firstLineChars="200"/>
        <w:jc w:val="left"/>
        <w:rPr>
          <w:rFonts w:hint="eastAsia" w:ascii="仿宋" w:hAnsi="仿宋" w:eastAsia="仿宋" w:cs="仿宋"/>
          <w:szCs w:val="24"/>
        </w:rPr>
      </w:pPr>
      <w:r>
        <w:rPr>
          <w:rFonts w:hint="eastAsia" w:ascii="仿宋" w:hAnsi="仿宋" w:eastAsia="仿宋" w:cs="仿宋"/>
          <w:szCs w:val="24"/>
        </w:rPr>
        <w:t>2.报价一经涂改，应在涂改处加盖单位公章或者由法定代表人签字或盖章，否则其投标作无效标处理。</w:t>
      </w:r>
    </w:p>
    <w:p>
      <w:pPr>
        <w:spacing w:line="360" w:lineRule="auto"/>
        <w:ind w:firstLine="480"/>
        <w:rPr>
          <w:rFonts w:hint="eastAsia" w:ascii="仿宋" w:hAnsi="仿宋" w:eastAsia="仿宋" w:cs="仿宋"/>
          <w:szCs w:val="24"/>
        </w:rPr>
      </w:pPr>
      <w:r>
        <w:rPr>
          <w:rFonts w:hint="eastAsia" w:ascii="仿宋" w:hAnsi="仿宋" w:eastAsia="仿宋" w:cs="仿宋"/>
          <w:szCs w:val="24"/>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400" w:lineRule="exact"/>
        <w:rPr>
          <w:rFonts w:hint="eastAsia" w:ascii="仿宋" w:hAnsi="仿宋" w:eastAsia="仿宋" w:cs="仿宋"/>
          <w:szCs w:val="24"/>
        </w:rPr>
      </w:pPr>
      <w:bookmarkStart w:id="143" w:name="_Toc248065077"/>
      <w:bookmarkStart w:id="144" w:name="_Toc15277"/>
      <w:bookmarkStart w:id="145" w:name="_Toc180555957"/>
      <w:bookmarkStart w:id="146" w:name="_Toc226337799"/>
      <w:bookmarkStart w:id="147" w:name="_Toc340321936"/>
      <w:bookmarkStart w:id="148" w:name="_Toc340322191"/>
      <w:bookmarkStart w:id="149" w:name="_Toc498451765"/>
    </w:p>
    <w:p>
      <w:pPr>
        <w:spacing w:line="540" w:lineRule="exact"/>
        <w:ind w:firstLine="4800" w:firstLineChars="2000"/>
        <w:rPr>
          <w:rFonts w:hint="eastAsia" w:ascii="仿宋" w:hAnsi="仿宋" w:eastAsia="仿宋" w:cs="仿宋"/>
          <w:szCs w:val="24"/>
        </w:rPr>
      </w:pPr>
    </w:p>
    <w:p>
      <w:pPr>
        <w:spacing w:line="540" w:lineRule="exact"/>
        <w:ind w:firstLine="5520" w:firstLineChars="2300"/>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spacing w:line="540" w:lineRule="exact"/>
        <w:ind w:firstLine="4080" w:firstLineChars="1700"/>
        <w:rPr>
          <w:rFonts w:hint="eastAsia" w:ascii="仿宋" w:hAnsi="仿宋" w:eastAsia="仿宋" w:cs="仿宋"/>
          <w:szCs w:val="24"/>
        </w:rPr>
      </w:pPr>
      <w:r>
        <w:rPr>
          <w:rFonts w:hint="eastAsia" w:ascii="仿宋" w:hAnsi="仿宋" w:eastAsia="仿宋" w:cs="仿宋"/>
          <w:szCs w:val="24"/>
        </w:rPr>
        <w:t xml:space="preserve">            日期：   年  月  日</w:t>
      </w:r>
    </w:p>
    <w:p>
      <w:pPr>
        <w:ind w:firstLine="240" w:firstLineChars="100"/>
        <w:jc w:val="left"/>
        <w:rPr>
          <w:rFonts w:hint="eastAsia" w:ascii="仿宋" w:hAnsi="仿宋" w:eastAsia="仿宋" w:cs="仿宋"/>
          <w:b/>
          <w:bCs/>
          <w:szCs w:val="24"/>
        </w:rPr>
      </w:pPr>
      <w:r>
        <w:rPr>
          <w:rFonts w:hint="eastAsia" w:ascii="仿宋" w:hAnsi="仿宋" w:eastAsia="仿宋" w:cs="仿宋"/>
          <w:szCs w:val="24"/>
        </w:rPr>
        <w:t xml:space="preserve">             </w:t>
      </w:r>
      <w:bookmarkEnd w:id="143"/>
      <w:bookmarkEnd w:id="144"/>
      <w:bookmarkEnd w:id="145"/>
      <w:bookmarkEnd w:id="146"/>
      <w:bookmarkEnd w:id="147"/>
      <w:bookmarkEnd w:id="148"/>
      <w:bookmarkEnd w:id="149"/>
    </w:p>
    <w:p>
      <w:pPr>
        <w:ind w:firstLine="241" w:firstLineChars="100"/>
        <w:jc w:val="left"/>
        <w:rPr>
          <w:rFonts w:hint="eastAsia" w:ascii="仿宋" w:hAnsi="仿宋" w:eastAsia="仿宋" w:cs="仿宋"/>
          <w:b/>
          <w:bCs/>
          <w:szCs w:val="24"/>
        </w:rPr>
      </w:pPr>
    </w:p>
    <w:p>
      <w:pPr>
        <w:rPr>
          <w:rFonts w:hint="eastAsia" w:ascii="仿宋" w:hAnsi="仿宋" w:eastAsia="仿宋" w:cs="仿宋"/>
          <w:b/>
          <w:szCs w:val="24"/>
        </w:rPr>
      </w:pPr>
      <w:r>
        <w:rPr>
          <w:rFonts w:hint="eastAsia" w:ascii="仿宋" w:hAnsi="仿宋" w:eastAsia="仿宋" w:cs="仿宋"/>
          <w:b/>
          <w:szCs w:val="24"/>
        </w:rPr>
        <w:br w:type="page"/>
      </w:r>
    </w:p>
    <w:p>
      <w:pPr>
        <w:spacing w:line="360" w:lineRule="auto"/>
        <w:rPr>
          <w:rFonts w:hint="eastAsia" w:ascii="仿宋" w:hAnsi="仿宋" w:eastAsia="仿宋" w:cs="仿宋"/>
          <w:b/>
          <w:szCs w:val="24"/>
        </w:rPr>
      </w:pPr>
      <w:r>
        <w:rPr>
          <w:rFonts w:hint="eastAsia" w:ascii="仿宋" w:hAnsi="仿宋" w:eastAsia="仿宋" w:cs="仿宋"/>
          <w:b/>
          <w:szCs w:val="24"/>
        </w:rPr>
        <w:t>附件6：投标报价明细表</w:t>
      </w:r>
    </w:p>
    <w:p>
      <w:pPr>
        <w:spacing w:line="360" w:lineRule="auto"/>
        <w:jc w:val="center"/>
        <w:rPr>
          <w:rFonts w:hint="eastAsia" w:ascii="仿宋" w:hAnsi="仿宋" w:eastAsia="仿宋" w:cs="仿宋"/>
          <w:szCs w:val="24"/>
        </w:rPr>
      </w:pPr>
      <w:r>
        <w:rPr>
          <w:rFonts w:hint="eastAsia" w:ascii="仿宋" w:hAnsi="仿宋" w:eastAsia="仿宋" w:cs="仿宋"/>
          <w:b/>
          <w:szCs w:val="24"/>
        </w:rPr>
        <w:t>投标报价明细表</w:t>
      </w:r>
    </w:p>
    <w:p>
      <w:pPr>
        <w:snapToGrid w:val="0"/>
        <w:spacing w:line="400" w:lineRule="exact"/>
        <w:rPr>
          <w:rFonts w:hint="eastAsia" w:ascii="仿宋" w:hAnsi="仿宋" w:eastAsia="仿宋" w:cs="仿宋"/>
          <w:szCs w:val="24"/>
        </w:rPr>
      </w:pPr>
      <w:r>
        <w:rPr>
          <w:rFonts w:hint="eastAsia" w:ascii="仿宋" w:hAnsi="仿宋" w:eastAsia="仿宋" w:cs="仿宋"/>
          <w:szCs w:val="24"/>
        </w:rPr>
        <w:t>项目名称：</w:t>
      </w:r>
    </w:p>
    <w:p>
      <w:pPr>
        <w:snapToGrid w:val="0"/>
        <w:spacing w:line="400" w:lineRule="exact"/>
        <w:rPr>
          <w:rFonts w:hint="eastAsia" w:ascii="仿宋" w:hAnsi="仿宋" w:eastAsia="仿宋" w:cs="仿宋"/>
          <w:szCs w:val="24"/>
          <w:u w:val="single"/>
        </w:rPr>
      </w:pPr>
      <w:r>
        <w:rPr>
          <w:rFonts w:hint="eastAsia" w:ascii="仿宋" w:hAnsi="仿宋" w:eastAsia="仿宋" w:cs="仿宋"/>
          <w:szCs w:val="24"/>
        </w:rPr>
        <w:t>项目编号：</w:t>
      </w:r>
    </w:p>
    <w:p>
      <w:pPr>
        <w:snapToGrid w:val="0"/>
        <w:spacing w:line="400" w:lineRule="exact"/>
        <w:jc w:val="left"/>
        <w:rPr>
          <w:rFonts w:hint="eastAsia" w:ascii="仿宋" w:hAnsi="仿宋" w:eastAsia="仿宋" w:cs="仿宋"/>
          <w:b/>
          <w:szCs w:val="24"/>
        </w:rPr>
      </w:pPr>
      <w:r>
        <w:rPr>
          <w:rFonts w:hint="eastAsia" w:ascii="仿宋" w:hAnsi="仿宋" w:eastAsia="仿宋" w:cs="仿宋"/>
          <w:szCs w:val="24"/>
        </w:rPr>
        <w:t>单位：人民币（元）</w:t>
      </w:r>
    </w:p>
    <w:tbl>
      <w:tblPr>
        <w:tblStyle w:val="80"/>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293"/>
        <w:gridCol w:w="1609"/>
        <w:gridCol w:w="1541"/>
        <w:gridCol w:w="1609"/>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trPr>
        <w:tc>
          <w:tcPr>
            <w:tcW w:w="72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序号</w:t>
            </w:r>
          </w:p>
        </w:tc>
        <w:tc>
          <w:tcPr>
            <w:tcW w:w="229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名称</w:t>
            </w: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Fonts w:hint="eastAsia" w:ascii="仿宋" w:hAnsi="仿宋" w:eastAsia="仿宋" w:cs="仿宋"/>
                <w:sz w:val="24"/>
              </w:rPr>
              <w:t>单位及数量</w:t>
            </w: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单价</w:t>
            </w: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lang w:eastAsia="zh-CN"/>
              </w:rPr>
            </w:pPr>
            <w:r>
              <w:rPr>
                <w:rStyle w:val="505"/>
                <w:rFonts w:hint="eastAsia" w:ascii="仿宋" w:hAnsi="仿宋" w:eastAsia="仿宋" w:cs="仿宋"/>
                <w:szCs w:val="24"/>
                <w:lang w:eastAsia="zh-CN"/>
              </w:rPr>
              <w:t>金额</w:t>
            </w: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72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1</w:t>
            </w:r>
          </w:p>
        </w:tc>
        <w:tc>
          <w:tcPr>
            <w:tcW w:w="229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72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2</w:t>
            </w:r>
          </w:p>
        </w:tc>
        <w:tc>
          <w:tcPr>
            <w:tcW w:w="229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72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r>
              <w:rPr>
                <w:rStyle w:val="505"/>
                <w:rFonts w:hint="eastAsia" w:ascii="仿宋" w:hAnsi="仿宋" w:eastAsia="仿宋" w:cs="仿宋"/>
                <w:szCs w:val="24"/>
              </w:rPr>
              <w:t>3</w:t>
            </w:r>
          </w:p>
        </w:tc>
        <w:tc>
          <w:tcPr>
            <w:tcW w:w="229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2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jc w:val="center"/>
              <w:rPr>
                <w:rStyle w:val="505"/>
                <w:rFonts w:hint="eastAsia" w:ascii="仿宋" w:hAnsi="仿宋" w:eastAsia="仿宋" w:cs="仿宋"/>
                <w:szCs w:val="24"/>
              </w:rPr>
            </w:pPr>
          </w:p>
        </w:tc>
        <w:tc>
          <w:tcPr>
            <w:tcW w:w="229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505"/>
                <w:rFonts w:hint="eastAsia" w:ascii="仿宋" w:hAnsi="仿宋" w:eastAsia="仿宋" w:cs="仿宋"/>
                <w:szCs w:val="24"/>
              </w:rPr>
            </w:pPr>
            <w:r>
              <w:rPr>
                <w:rStyle w:val="505"/>
                <w:rFonts w:hint="eastAsia" w:ascii="仿宋" w:hAnsi="仿宋" w:eastAsia="仿宋" w:cs="仿宋"/>
                <w:b/>
                <w:bCs/>
                <w:szCs w:val="24"/>
              </w:rPr>
              <w:t>……</w:t>
            </w: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ind w:firstLine="480" w:firstLineChars="200"/>
              <w:jc w:val="center"/>
              <w:rPr>
                <w:rStyle w:val="505"/>
                <w:rFonts w:hint="eastAsia" w:ascii="仿宋" w:hAnsi="仿宋" w:eastAsia="仿宋" w:cs="仿宋"/>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933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500" w:lineRule="exact"/>
              <w:rPr>
                <w:rStyle w:val="505"/>
                <w:rFonts w:hint="eastAsia" w:ascii="仿宋" w:hAnsi="仿宋" w:eastAsia="仿宋" w:cs="仿宋"/>
                <w:szCs w:val="24"/>
              </w:rPr>
            </w:pPr>
            <w:r>
              <w:rPr>
                <w:rStyle w:val="505"/>
                <w:rFonts w:hint="eastAsia" w:ascii="仿宋" w:hAnsi="仿宋" w:eastAsia="仿宋" w:cs="仿宋"/>
                <w:szCs w:val="24"/>
              </w:rPr>
              <w:t>投标总报价（小写）：             元；大写：</w:t>
            </w:r>
          </w:p>
        </w:tc>
      </w:tr>
    </w:tbl>
    <w:p>
      <w:pPr>
        <w:snapToGrid w:val="0"/>
        <w:spacing w:line="400" w:lineRule="exact"/>
        <w:ind w:firstLine="482"/>
        <w:rPr>
          <w:rStyle w:val="505"/>
          <w:rFonts w:hint="eastAsia" w:ascii="仿宋" w:hAnsi="仿宋" w:eastAsia="仿宋" w:cs="仿宋"/>
          <w:szCs w:val="24"/>
        </w:rPr>
      </w:pPr>
      <w:r>
        <w:rPr>
          <w:rStyle w:val="505"/>
          <w:rFonts w:hint="eastAsia" w:ascii="仿宋" w:hAnsi="仿宋" w:eastAsia="仿宋" w:cs="仿宋"/>
          <w:szCs w:val="24"/>
        </w:rPr>
        <w:t>注：1.</w:t>
      </w:r>
      <w:r>
        <w:rPr>
          <w:rFonts w:hint="eastAsia" w:ascii="仿宋" w:hAnsi="仿宋" w:eastAsia="仿宋" w:cs="仿宋"/>
          <w:szCs w:val="24"/>
        </w:rPr>
        <w:t>本报价是完成本项目服务内容和要求所产生的所有费用</w:t>
      </w:r>
      <w:r>
        <w:rPr>
          <w:rStyle w:val="505"/>
          <w:rFonts w:hint="eastAsia" w:ascii="仿宋" w:hAnsi="仿宋" w:eastAsia="仿宋" w:cs="仿宋"/>
          <w:szCs w:val="24"/>
        </w:rPr>
        <w:t>。</w:t>
      </w:r>
    </w:p>
    <w:p>
      <w:pPr>
        <w:snapToGrid w:val="0"/>
        <w:spacing w:line="400" w:lineRule="exact"/>
        <w:ind w:firstLine="480" w:firstLineChars="200"/>
        <w:jc w:val="left"/>
        <w:rPr>
          <w:rFonts w:hint="eastAsia" w:ascii="仿宋" w:hAnsi="仿宋" w:eastAsia="仿宋" w:cs="仿宋"/>
          <w:szCs w:val="24"/>
        </w:rPr>
      </w:pPr>
      <w:r>
        <w:rPr>
          <w:rFonts w:hint="eastAsia" w:ascii="仿宋" w:hAnsi="仿宋" w:eastAsia="仿宋" w:cs="仿宋"/>
          <w:szCs w:val="24"/>
        </w:rPr>
        <w:t>2.报价一经涂改，应在涂改处加盖单位公章或者由法定代表人签字或盖章，否则其投标作无效标处理。</w:t>
      </w:r>
    </w:p>
    <w:p>
      <w:pPr>
        <w:spacing w:line="400" w:lineRule="exact"/>
        <w:ind w:firstLine="480"/>
        <w:rPr>
          <w:rFonts w:hint="eastAsia" w:ascii="仿宋" w:hAnsi="仿宋" w:eastAsia="仿宋" w:cs="仿宋"/>
          <w:szCs w:val="24"/>
        </w:rPr>
      </w:pPr>
      <w:r>
        <w:rPr>
          <w:rFonts w:hint="eastAsia" w:ascii="仿宋" w:hAnsi="仿宋" w:eastAsia="仿宋" w:cs="仿宋"/>
          <w:szCs w:val="24"/>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pStyle w:val="338"/>
        <w:snapToGrid w:val="0"/>
        <w:spacing w:before="120" w:after="120" w:line="400" w:lineRule="exact"/>
        <w:ind w:firstLine="720" w:firstLineChars="300"/>
        <w:rPr>
          <w:rStyle w:val="505"/>
          <w:rFonts w:hint="eastAsia" w:ascii="仿宋" w:hAnsi="仿宋" w:eastAsia="仿宋" w:cs="仿宋"/>
          <w:sz w:val="24"/>
          <w:szCs w:val="24"/>
        </w:rPr>
      </w:pPr>
      <w:r>
        <w:rPr>
          <w:rStyle w:val="505"/>
          <w:rFonts w:hint="eastAsia" w:ascii="仿宋" w:hAnsi="仿宋" w:eastAsia="仿宋" w:cs="仿宋"/>
          <w:sz w:val="24"/>
          <w:szCs w:val="24"/>
        </w:rPr>
        <w:t>4.名称按不同采购内容分别填写，投标总报价应与开标一览表（报价表）中金额的相一致。</w:t>
      </w:r>
    </w:p>
    <w:p>
      <w:pPr>
        <w:snapToGrid w:val="0"/>
        <w:spacing w:line="400" w:lineRule="exact"/>
        <w:ind w:firstLine="720" w:firstLineChars="300"/>
        <w:rPr>
          <w:rStyle w:val="505"/>
          <w:rFonts w:hint="eastAsia" w:ascii="仿宋" w:hAnsi="仿宋" w:eastAsia="仿宋" w:cs="仿宋"/>
          <w:szCs w:val="24"/>
        </w:rPr>
      </w:pPr>
      <w:r>
        <w:rPr>
          <w:rStyle w:val="505"/>
          <w:rFonts w:hint="eastAsia" w:ascii="仿宋" w:hAnsi="仿宋" w:eastAsia="仿宋" w:cs="仿宋"/>
          <w:szCs w:val="24"/>
        </w:rPr>
        <w:t>5.此表仅提供了表格形式，投标人可按此表格格式进行扩展。</w:t>
      </w:r>
    </w:p>
    <w:p>
      <w:pPr>
        <w:snapToGrid w:val="0"/>
        <w:spacing w:line="400" w:lineRule="exact"/>
        <w:ind w:firstLine="720" w:firstLineChars="300"/>
        <w:rPr>
          <w:rStyle w:val="505"/>
          <w:rFonts w:hint="eastAsia" w:ascii="仿宋" w:hAnsi="仿宋" w:eastAsia="仿宋" w:cs="仿宋"/>
          <w:szCs w:val="24"/>
        </w:rPr>
      </w:pPr>
    </w:p>
    <w:p>
      <w:pPr>
        <w:snapToGrid w:val="0"/>
        <w:spacing w:line="400" w:lineRule="exact"/>
        <w:ind w:firstLine="6240" w:firstLineChars="2600"/>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spacing w:line="600" w:lineRule="exact"/>
        <w:jc w:val="left"/>
        <w:rPr>
          <w:rFonts w:hint="eastAsia" w:ascii="仿宋" w:hAnsi="仿宋" w:eastAsia="仿宋" w:cs="仿宋"/>
          <w:b/>
          <w:bCs/>
          <w:szCs w:val="24"/>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日期：   年  月  日</w:t>
      </w:r>
    </w:p>
    <w:p>
      <w:pPr>
        <w:rPr>
          <w:rFonts w:hint="eastAsia" w:ascii="仿宋" w:hAnsi="仿宋" w:eastAsia="仿宋" w:cs="仿宋"/>
          <w:b/>
          <w:bCs/>
          <w:szCs w:val="24"/>
        </w:rPr>
      </w:pPr>
      <w:r>
        <w:rPr>
          <w:rFonts w:hint="eastAsia" w:ascii="仿宋" w:hAnsi="仿宋" w:eastAsia="仿宋" w:cs="仿宋"/>
          <w:b/>
          <w:bCs/>
          <w:szCs w:val="24"/>
        </w:rPr>
        <w:br w:type="page"/>
      </w:r>
    </w:p>
    <w:p>
      <w:pPr>
        <w:ind w:firstLine="241" w:firstLineChars="100"/>
        <w:jc w:val="left"/>
        <w:rPr>
          <w:rFonts w:hint="eastAsia" w:ascii="仿宋" w:hAnsi="仿宋" w:eastAsia="仿宋" w:cs="仿宋"/>
          <w:bCs/>
          <w:szCs w:val="24"/>
        </w:rPr>
      </w:pPr>
      <w:r>
        <w:rPr>
          <w:rFonts w:hint="eastAsia" w:ascii="仿宋" w:hAnsi="仿宋" w:eastAsia="仿宋" w:cs="仿宋"/>
          <w:b/>
          <w:bCs/>
          <w:szCs w:val="24"/>
        </w:rPr>
        <w:t>附件7：商务资信响应表</w:t>
      </w:r>
    </w:p>
    <w:p>
      <w:pPr>
        <w:spacing w:line="360" w:lineRule="auto"/>
        <w:rPr>
          <w:rFonts w:hint="eastAsia" w:ascii="仿宋" w:hAnsi="仿宋" w:eastAsia="仿宋" w:cs="仿宋"/>
          <w:b/>
          <w:szCs w:val="24"/>
        </w:rPr>
      </w:pPr>
    </w:p>
    <w:p>
      <w:pPr>
        <w:jc w:val="center"/>
        <w:rPr>
          <w:rFonts w:hint="eastAsia" w:ascii="仿宋" w:hAnsi="仿宋" w:eastAsia="仿宋" w:cs="仿宋"/>
          <w:b/>
          <w:bCs/>
          <w:szCs w:val="24"/>
        </w:rPr>
      </w:pPr>
    </w:p>
    <w:p>
      <w:pPr>
        <w:jc w:val="center"/>
        <w:rPr>
          <w:rFonts w:hint="eastAsia" w:ascii="仿宋" w:hAnsi="仿宋" w:eastAsia="仿宋" w:cs="仿宋"/>
          <w:b/>
          <w:bCs/>
          <w:szCs w:val="24"/>
          <w:lang w:val="zh-CN"/>
        </w:rPr>
      </w:pPr>
      <w:r>
        <w:rPr>
          <w:rFonts w:hint="eastAsia" w:ascii="仿宋" w:hAnsi="仿宋" w:eastAsia="仿宋" w:cs="仿宋"/>
          <w:b/>
          <w:bCs/>
          <w:szCs w:val="24"/>
          <w:lang w:val="zh-CN"/>
        </w:rPr>
        <w:t>商务资信响应表</w:t>
      </w:r>
    </w:p>
    <w:p>
      <w:pPr>
        <w:pStyle w:val="19"/>
        <w:spacing w:line="360" w:lineRule="auto"/>
        <w:ind w:firstLine="0"/>
        <w:rPr>
          <w:rFonts w:hint="eastAsia" w:ascii="仿宋" w:hAnsi="仿宋" w:eastAsia="仿宋" w:cs="仿宋"/>
          <w:bCs/>
          <w:sz w:val="24"/>
          <w:szCs w:val="24"/>
        </w:rPr>
      </w:pPr>
    </w:p>
    <w:p>
      <w:pPr>
        <w:spacing w:line="360" w:lineRule="auto"/>
        <w:ind w:firstLine="480"/>
        <w:rPr>
          <w:rFonts w:hint="eastAsia" w:ascii="仿宋" w:hAnsi="仿宋" w:eastAsia="仿宋" w:cs="仿宋"/>
          <w:szCs w:val="24"/>
        </w:rPr>
      </w:pPr>
      <w:r>
        <w:rPr>
          <w:rFonts w:hint="eastAsia" w:ascii="仿宋" w:hAnsi="仿宋" w:eastAsia="仿宋" w:cs="仿宋"/>
          <w:szCs w:val="24"/>
        </w:rPr>
        <w:t>项目名称：</w:t>
      </w:r>
    </w:p>
    <w:p>
      <w:pPr>
        <w:spacing w:line="360" w:lineRule="auto"/>
        <w:ind w:firstLine="480"/>
        <w:rPr>
          <w:rFonts w:hint="eastAsia" w:ascii="仿宋" w:hAnsi="仿宋" w:eastAsia="仿宋" w:cs="仿宋"/>
          <w:szCs w:val="24"/>
        </w:rPr>
      </w:pPr>
      <w:r>
        <w:rPr>
          <w:rFonts w:hint="eastAsia" w:ascii="仿宋" w:hAnsi="仿宋" w:eastAsia="仿宋" w:cs="仿宋"/>
          <w:szCs w:val="24"/>
        </w:rPr>
        <w:t xml:space="preserve">项目编号： </w:t>
      </w:r>
    </w:p>
    <w:tbl>
      <w:tblPr>
        <w:tblStyle w:val="80"/>
        <w:tblW w:w="8896" w:type="dxa"/>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r>
              <w:rPr>
                <w:rFonts w:hint="eastAsia" w:ascii="仿宋" w:hAnsi="仿宋" w:eastAsia="仿宋" w:cs="仿宋"/>
                <w:szCs w:val="24"/>
                <w:lang w:bidi="ar"/>
              </w:rPr>
              <w:t>项目</w:t>
            </w:r>
          </w:p>
        </w:tc>
        <w:tc>
          <w:tcPr>
            <w:tcW w:w="254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r>
              <w:rPr>
                <w:rFonts w:hint="eastAsia" w:ascii="仿宋" w:hAnsi="仿宋" w:eastAsia="仿宋" w:cs="仿宋"/>
                <w:szCs w:val="24"/>
                <w:lang w:bidi="ar"/>
              </w:rPr>
              <w:t>采购文件要求</w:t>
            </w: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r>
              <w:rPr>
                <w:rFonts w:hint="eastAsia" w:ascii="仿宋" w:hAnsi="仿宋" w:eastAsia="仿宋" w:cs="仿宋"/>
                <w:szCs w:val="24"/>
                <w:lang w:bidi="ar"/>
              </w:rPr>
              <w:t>是否响应</w:t>
            </w:r>
          </w:p>
        </w:tc>
        <w:tc>
          <w:tcPr>
            <w:tcW w:w="2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r>
              <w:rPr>
                <w:rFonts w:hint="eastAsia" w:ascii="仿宋" w:hAnsi="仿宋" w:eastAsia="仿宋" w:cs="仿宋"/>
                <w:szCs w:val="24"/>
                <w:lang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0" w:hRule="atLeast"/>
        </w:trPr>
        <w:tc>
          <w:tcPr>
            <w:tcW w:w="2072"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kern w:val="1"/>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hint="eastAsia" w:ascii="仿宋" w:hAnsi="仿宋" w:eastAsia="仿宋" w:cs="仿宋"/>
                <w:szCs w:val="24"/>
              </w:rPr>
            </w:pPr>
          </w:p>
        </w:tc>
        <w:tc>
          <w:tcPr>
            <w:tcW w:w="2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p>
        </w:tc>
        <w:tc>
          <w:tcPr>
            <w:tcW w:w="2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kern w:val="1"/>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kern w:val="1"/>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072" w:type="dxa"/>
            <w:vAlign w:val="center"/>
          </w:tcPr>
          <w:p>
            <w:pPr>
              <w:snapToGrid w:val="0"/>
              <w:spacing w:line="360" w:lineRule="auto"/>
              <w:jc w:val="center"/>
              <w:rPr>
                <w:rFonts w:hint="eastAsia" w:ascii="仿宋" w:hAnsi="仿宋" w:eastAsia="仿宋" w:cs="仿宋"/>
                <w:szCs w:val="24"/>
              </w:rPr>
            </w:pPr>
          </w:p>
        </w:tc>
        <w:tc>
          <w:tcPr>
            <w:tcW w:w="2544" w:type="dxa"/>
          </w:tcPr>
          <w:p>
            <w:pPr>
              <w:snapToGrid w:val="0"/>
              <w:spacing w:before="120" w:beforeLines="50" w:line="360" w:lineRule="auto"/>
              <w:jc w:val="center"/>
              <w:rPr>
                <w:rFonts w:hint="eastAsia" w:ascii="仿宋" w:hAnsi="仿宋" w:eastAsia="仿宋" w:cs="仿宋"/>
                <w:szCs w:val="24"/>
              </w:rPr>
            </w:pPr>
          </w:p>
        </w:tc>
        <w:tc>
          <w:tcPr>
            <w:tcW w:w="1795" w:type="dxa"/>
          </w:tcPr>
          <w:p>
            <w:pPr>
              <w:snapToGrid w:val="0"/>
              <w:spacing w:before="120" w:beforeLines="50" w:line="360" w:lineRule="auto"/>
              <w:jc w:val="center"/>
              <w:rPr>
                <w:rFonts w:hint="eastAsia" w:ascii="仿宋" w:hAnsi="仿宋" w:eastAsia="仿宋" w:cs="仿宋"/>
                <w:szCs w:val="24"/>
              </w:rPr>
            </w:pPr>
          </w:p>
        </w:tc>
        <w:tc>
          <w:tcPr>
            <w:tcW w:w="2485" w:type="dxa"/>
          </w:tcPr>
          <w:p>
            <w:pPr>
              <w:snapToGrid w:val="0"/>
              <w:spacing w:before="120" w:beforeLines="50" w:line="360" w:lineRule="auto"/>
              <w:jc w:val="center"/>
              <w:rPr>
                <w:rFonts w:hint="eastAsia" w:ascii="仿宋" w:hAnsi="仿宋" w:eastAsia="仿宋" w:cs="仿宋"/>
                <w:szCs w:val="24"/>
              </w:rPr>
            </w:pPr>
          </w:p>
        </w:tc>
      </w:tr>
    </w:tbl>
    <w:p>
      <w:pPr>
        <w:pStyle w:val="20"/>
        <w:ind w:firstLine="0"/>
        <w:rPr>
          <w:rFonts w:hint="eastAsia" w:ascii="仿宋" w:hAnsi="仿宋" w:eastAsia="仿宋" w:cs="仿宋"/>
          <w:szCs w:val="24"/>
        </w:rPr>
      </w:pPr>
      <w:r>
        <w:rPr>
          <w:rFonts w:hint="eastAsia" w:ascii="仿宋" w:hAnsi="仿宋" w:eastAsia="仿宋" w:cs="仿宋"/>
          <w:b/>
          <w:bCs/>
          <w:szCs w:val="24"/>
        </w:rPr>
        <w:t>注：此表仅提供了表格形式，投标人可按此表格格式进行扩展。</w:t>
      </w:r>
    </w:p>
    <w:p>
      <w:pPr>
        <w:spacing w:line="540" w:lineRule="exact"/>
        <w:ind w:firstLine="4800" w:firstLineChars="2000"/>
        <w:rPr>
          <w:rFonts w:hint="eastAsia" w:ascii="仿宋" w:hAnsi="仿宋" w:eastAsia="仿宋" w:cs="仿宋"/>
          <w:szCs w:val="24"/>
          <w:lang w:bidi="ar"/>
        </w:rPr>
      </w:pPr>
      <w:r>
        <w:rPr>
          <w:rFonts w:hint="eastAsia" w:ascii="仿宋" w:hAnsi="仿宋" w:eastAsia="仿宋" w:cs="仿宋"/>
          <w:szCs w:val="24"/>
          <w:lang w:bidi="ar"/>
        </w:rPr>
        <w:t xml:space="preserve"> </w:t>
      </w:r>
    </w:p>
    <w:p>
      <w:pPr>
        <w:spacing w:line="540" w:lineRule="exact"/>
        <w:ind w:firstLine="4800" w:firstLineChars="2000"/>
        <w:rPr>
          <w:rFonts w:hint="eastAsia" w:ascii="仿宋" w:hAnsi="仿宋" w:eastAsia="仿宋" w:cs="仿宋"/>
          <w:szCs w:val="24"/>
          <w:lang w:bidi="ar"/>
        </w:rPr>
      </w:pPr>
    </w:p>
    <w:p>
      <w:pPr>
        <w:spacing w:line="540" w:lineRule="exact"/>
        <w:ind w:firstLine="4800" w:firstLineChars="2000"/>
        <w:rPr>
          <w:rFonts w:hint="eastAsia" w:ascii="仿宋" w:hAnsi="仿宋" w:eastAsia="仿宋" w:cs="仿宋"/>
          <w:szCs w:val="24"/>
        </w:rPr>
      </w:pPr>
      <w:r>
        <w:rPr>
          <w:rFonts w:hint="eastAsia" w:ascii="仿宋" w:hAnsi="仿宋" w:eastAsia="仿宋" w:cs="仿宋"/>
          <w:szCs w:val="24"/>
          <w:lang w:bidi="ar"/>
        </w:rPr>
        <w:t xml:space="preserve"> </w:t>
      </w:r>
      <w:r>
        <w:rPr>
          <w:rFonts w:hint="eastAsia" w:ascii="仿宋" w:hAnsi="仿宋" w:eastAsia="仿宋" w:cs="仿宋"/>
          <w:szCs w:val="24"/>
          <w:lang w:val="en-US" w:eastAsia="zh-CN" w:bidi="ar"/>
        </w:rPr>
        <w:t xml:space="preserve">          </w:t>
      </w:r>
      <w:r>
        <w:rPr>
          <w:rFonts w:hint="eastAsia" w:ascii="仿宋" w:hAnsi="仿宋" w:eastAsia="仿宋" w:cs="仿宋"/>
          <w:szCs w:val="24"/>
        </w:rPr>
        <w:t>投标人</w:t>
      </w:r>
      <w:r>
        <w:rPr>
          <w:rFonts w:hint="eastAsia" w:ascii="仿宋" w:hAnsi="仿宋" w:eastAsia="仿宋" w:cs="仿宋"/>
          <w:szCs w:val="24"/>
          <w:lang w:val="zh-CN"/>
        </w:rPr>
        <w:t>名称(电子签名)：</w:t>
      </w:r>
    </w:p>
    <w:p>
      <w:pPr>
        <w:snapToGrid w:val="0"/>
        <w:spacing w:before="50" w:after="50" w:line="600" w:lineRule="exact"/>
        <w:rPr>
          <w:rFonts w:hint="eastAsia" w:ascii="仿宋" w:hAnsi="仿宋" w:eastAsia="仿宋" w:cs="仿宋"/>
          <w:szCs w:val="24"/>
        </w:rPr>
      </w:pPr>
      <w:r>
        <w:rPr>
          <w:rFonts w:hint="eastAsia" w:ascii="仿宋" w:hAnsi="仿宋" w:eastAsia="仿宋" w:cs="仿宋"/>
          <w:szCs w:val="24"/>
        </w:rPr>
        <w:t xml:space="preserve">                                                   日期：   年  月  日</w:t>
      </w:r>
    </w:p>
    <w:p>
      <w:pPr>
        <w:spacing w:line="360" w:lineRule="auto"/>
        <w:rPr>
          <w:rFonts w:hint="eastAsia" w:ascii="仿宋" w:hAnsi="仿宋" w:eastAsia="仿宋" w:cs="仿宋"/>
          <w:b/>
          <w:bCs/>
          <w:szCs w:val="24"/>
        </w:rPr>
      </w:pPr>
    </w:p>
    <w:p>
      <w:pPr>
        <w:spacing w:line="360" w:lineRule="auto"/>
        <w:rPr>
          <w:rFonts w:hint="eastAsia"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附件8：商务技术偏离表</w:t>
      </w:r>
    </w:p>
    <w:p>
      <w:pPr>
        <w:spacing w:line="360" w:lineRule="auto"/>
        <w:jc w:val="center"/>
        <w:rPr>
          <w:rFonts w:hint="eastAsia" w:ascii="仿宋" w:hAnsi="仿宋" w:eastAsia="仿宋" w:cs="仿宋"/>
          <w:b/>
          <w:bCs/>
          <w:szCs w:val="24"/>
        </w:rPr>
      </w:pPr>
    </w:p>
    <w:p>
      <w:pPr>
        <w:spacing w:line="360" w:lineRule="auto"/>
        <w:jc w:val="center"/>
        <w:rPr>
          <w:rFonts w:hint="eastAsia" w:ascii="仿宋" w:hAnsi="仿宋" w:eastAsia="仿宋" w:cs="仿宋"/>
          <w:b/>
          <w:bCs/>
          <w:szCs w:val="24"/>
        </w:rPr>
      </w:pPr>
      <w:r>
        <w:rPr>
          <w:rFonts w:hint="eastAsia" w:ascii="仿宋" w:hAnsi="仿宋" w:eastAsia="仿宋" w:cs="仿宋"/>
          <w:b/>
          <w:bCs/>
          <w:szCs w:val="24"/>
        </w:rPr>
        <w:t>商务技术偏离表</w:t>
      </w:r>
    </w:p>
    <w:p>
      <w:pPr>
        <w:spacing w:line="360" w:lineRule="auto"/>
        <w:rPr>
          <w:rFonts w:hint="eastAsia" w:ascii="仿宋" w:hAnsi="仿宋" w:eastAsia="仿宋" w:cs="仿宋"/>
          <w:b/>
          <w:bCs/>
          <w:szCs w:val="24"/>
        </w:rPr>
      </w:pPr>
      <w:r>
        <w:rPr>
          <w:rFonts w:hint="eastAsia" w:ascii="仿宋" w:hAnsi="仿宋" w:eastAsia="仿宋" w:cs="仿宋"/>
          <w:szCs w:val="24"/>
        </w:rPr>
        <w:t>（由投标人根据采购需求及采购文件要求编制）</w:t>
      </w:r>
    </w:p>
    <w:tbl>
      <w:tblPr>
        <w:tblStyle w:val="80"/>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567"/>
        <w:gridCol w:w="112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序号</w:t>
            </w: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采购文件要求</w:t>
            </w:r>
          </w:p>
        </w:tc>
        <w:tc>
          <w:tcPr>
            <w:tcW w:w="112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响应</w:t>
            </w:r>
          </w:p>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情况</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偏离</w:t>
            </w:r>
          </w:p>
          <w:p>
            <w:pPr>
              <w:tabs>
                <w:tab w:val="left" w:pos="4905"/>
              </w:tabs>
              <w:spacing w:line="400" w:lineRule="exact"/>
              <w:jc w:val="center"/>
              <w:rPr>
                <w:rFonts w:hint="eastAsia" w:ascii="仿宋" w:hAnsi="仿宋" w:eastAsia="仿宋" w:cs="仿宋"/>
                <w:szCs w:val="24"/>
              </w:rPr>
            </w:pPr>
            <w:r>
              <w:rPr>
                <w:rFonts w:hint="eastAsia" w:ascii="仿宋" w:hAnsi="仿宋" w:eastAsia="仿宋" w:cs="仿宋"/>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c>
          <w:tcPr>
            <w:tcW w:w="5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12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Cs w:val="24"/>
              </w:rPr>
            </w:pPr>
          </w:p>
        </w:tc>
      </w:tr>
    </w:tbl>
    <w:p>
      <w:pPr>
        <w:tabs>
          <w:tab w:val="left" w:pos="570"/>
        </w:tabs>
        <w:spacing w:line="440" w:lineRule="exact"/>
        <w:ind w:firstLine="120" w:firstLineChars="50"/>
        <w:jc w:val="left"/>
        <w:rPr>
          <w:rFonts w:hint="eastAsia" w:ascii="仿宋" w:hAnsi="仿宋" w:eastAsia="仿宋" w:cs="仿宋"/>
          <w:szCs w:val="24"/>
        </w:rPr>
      </w:pPr>
      <w:r>
        <w:rPr>
          <w:rFonts w:hint="eastAsia" w:ascii="仿宋" w:hAnsi="仿宋" w:eastAsia="仿宋" w:cs="仿宋"/>
          <w:szCs w:val="24"/>
        </w:rPr>
        <w:t>注：1、此表须与</w:t>
      </w:r>
      <w:r>
        <w:rPr>
          <w:rFonts w:hint="eastAsia" w:ascii="仿宋" w:hAnsi="仿宋" w:eastAsia="仿宋" w:cs="仿宋"/>
          <w:kern w:val="0"/>
          <w:szCs w:val="24"/>
        </w:rPr>
        <w:t>招标文件“项目招标范围及服务要求”</w:t>
      </w:r>
      <w:r>
        <w:rPr>
          <w:rFonts w:hint="eastAsia" w:ascii="仿宋" w:hAnsi="仿宋" w:eastAsia="仿宋" w:cs="仿宋"/>
          <w:szCs w:val="24"/>
        </w:rPr>
        <w:t>相应标项内的所有技术规格相比较且一一对应真实逐条填列。</w:t>
      </w:r>
    </w:p>
    <w:p>
      <w:pPr>
        <w:tabs>
          <w:tab w:val="left" w:pos="570"/>
        </w:tabs>
        <w:spacing w:line="440" w:lineRule="exact"/>
        <w:ind w:firstLine="480" w:firstLineChars="200"/>
        <w:jc w:val="left"/>
        <w:rPr>
          <w:rFonts w:hint="eastAsia" w:ascii="仿宋" w:hAnsi="仿宋" w:eastAsia="仿宋" w:cs="仿宋"/>
          <w:szCs w:val="24"/>
        </w:rPr>
      </w:pPr>
      <w:r>
        <w:rPr>
          <w:rFonts w:hint="eastAsia" w:ascii="仿宋" w:hAnsi="仿宋" w:eastAsia="仿宋" w:cs="仿宋"/>
          <w:szCs w:val="24"/>
        </w:rPr>
        <w:t>2、投标人递交的技术规格书中必须真实逐条列明，否则由投标人自行承担相关风险。</w:t>
      </w:r>
    </w:p>
    <w:p>
      <w:pPr>
        <w:tabs>
          <w:tab w:val="left" w:pos="570"/>
        </w:tabs>
        <w:spacing w:line="440" w:lineRule="exact"/>
        <w:ind w:left="480"/>
        <w:jc w:val="left"/>
        <w:rPr>
          <w:rFonts w:hint="eastAsia" w:ascii="仿宋" w:hAnsi="仿宋" w:eastAsia="仿宋" w:cs="仿宋"/>
          <w:b/>
          <w:bCs/>
          <w:szCs w:val="24"/>
        </w:rPr>
      </w:pPr>
      <w:r>
        <w:rPr>
          <w:rFonts w:hint="eastAsia" w:ascii="仿宋" w:hAnsi="仿宋" w:eastAsia="仿宋" w:cs="仿宋"/>
          <w:b/>
          <w:bCs/>
          <w:szCs w:val="24"/>
        </w:rPr>
        <w:t>3、此表仅提供了表格形式，投标人可按此表格格式进行扩展。</w:t>
      </w:r>
    </w:p>
    <w:p>
      <w:pPr>
        <w:spacing w:line="540" w:lineRule="exact"/>
        <w:ind w:firstLine="4800" w:firstLineChars="2000"/>
        <w:rPr>
          <w:rFonts w:hint="eastAsia" w:ascii="仿宋" w:hAnsi="仿宋" w:eastAsia="仿宋" w:cs="仿宋"/>
          <w:szCs w:val="24"/>
        </w:rPr>
      </w:pPr>
    </w:p>
    <w:p>
      <w:pPr>
        <w:spacing w:line="540" w:lineRule="exact"/>
        <w:ind w:firstLine="4800" w:firstLineChars="2000"/>
        <w:rPr>
          <w:rFonts w:hint="eastAsia" w:ascii="仿宋" w:hAnsi="仿宋" w:eastAsia="仿宋" w:cs="仿宋"/>
          <w:szCs w:val="24"/>
        </w:rPr>
      </w:pPr>
    </w:p>
    <w:p>
      <w:pPr>
        <w:spacing w:line="540" w:lineRule="exact"/>
        <w:ind w:firstLine="4800" w:firstLineChars="2000"/>
        <w:rPr>
          <w:rFonts w:hint="eastAsia" w:ascii="仿宋" w:hAnsi="仿宋" w:eastAsia="仿宋" w:cs="仿宋"/>
          <w:szCs w:val="24"/>
        </w:rPr>
      </w:pPr>
    </w:p>
    <w:p>
      <w:pPr>
        <w:spacing w:line="540" w:lineRule="exact"/>
        <w:ind w:firstLine="5760" w:firstLineChars="2400"/>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autoSpaceDE w:val="0"/>
        <w:autoSpaceDN w:val="0"/>
        <w:spacing w:line="360" w:lineRule="auto"/>
        <w:rPr>
          <w:rFonts w:hint="eastAsia" w:ascii="仿宋" w:hAnsi="仿宋" w:eastAsia="仿宋" w:cs="仿宋"/>
          <w:szCs w:val="24"/>
        </w:rPr>
      </w:pPr>
      <w:r>
        <w:rPr>
          <w:rFonts w:hint="eastAsia" w:ascii="仿宋" w:hAnsi="仿宋" w:eastAsia="仿宋" w:cs="仿宋"/>
          <w:szCs w:val="24"/>
        </w:rPr>
        <w:t xml:space="preserve">                                                         </w:t>
      </w:r>
    </w:p>
    <w:p>
      <w:pPr>
        <w:autoSpaceDE w:val="0"/>
        <w:autoSpaceDN w:val="0"/>
        <w:spacing w:line="360" w:lineRule="auto"/>
        <w:jc w:val="center"/>
        <w:rPr>
          <w:rFonts w:hint="eastAsia" w:ascii="仿宋" w:hAnsi="仿宋" w:eastAsia="仿宋" w:cs="仿宋"/>
          <w:b/>
          <w:kern w:val="0"/>
          <w:szCs w:val="24"/>
        </w:rPr>
      </w:pPr>
      <w:r>
        <w:rPr>
          <w:rFonts w:hint="eastAsia" w:ascii="仿宋" w:hAnsi="仿宋" w:eastAsia="仿宋" w:cs="仿宋"/>
          <w:szCs w:val="24"/>
          <w:lang w:val="en-US" w:eastAsia="zh-CN"/>
        </w:rPr>
        <w:t xml:space="preserve">                                       </w:t>
      </w:r>
      <w:r>
        <w:rPr>
          <w:rFonts w:hint="eastAsia" w:ascii="仿宋" w:hAnsi="仿宋" w:eastAsia="仿宋" w:cs="仿宋"/>
          <w:szCs w:val="24"/>
        </w:rPr>
        <w:t>日期：   年  月  日</w:t>
      </w:r>
    </w:p>
    <w:p>
      <w:pPr>
        <w:rPr>
          <w:rFonts w:hint="eastAsia" w:ascii="仿宋" w:hAnsi="仿宋" w:eastAsia="仿宋" w:cs="仿宋"/>
          <w:b/>
          <w:bCs/>
          <w:szCs w:val="24"/>
        </w:rPr>
      </w:pPr>
      <w:r>
        <w:rPr>
          <w:rFonts w:hint="eastAsia" w:ascii="仿宋" w:hAnsi="仿宋" w:eastAsia="仿宋" w:cs="仿宋"/>
          <w:b/>
          <w:bCs/>
          <w:szCs w:val="24"/>
        </w:rPr>
        <w:br w:type="page"/>
      </w:r>
    </w:p>
    <w:p>
      <w:pPr>
        <w:spacing w:line="360" w:lineRule="auto"/>
        <w:rPr>
          <w:rFonts w:hint="eastAsia" w:ascii="仿宋" w:hAnsi="仿宋" w:eastAsia="仿宋" w:cs="仿宋"/>
          <w:szCs w:val="24"/>
        </w:rPr>
      </w:pPr>
      <w:r>
        <w:rPr>
          <w:rFonts w:hint="eastAsia" w:ascii="仿宋" w:hAnsi="仿宋" w:eastAsia="仿宋" w:cs="仿宋"/>
          <w:b/>
          <w:bCs/>
          <w:szCs w:val="24"/>
        </w:rPr>
        <w:t>附件9：项目业绩表</w:t>
      </w:r>
      <w:r>
        <w:rPr>
          <w:rFonts w:hint="eastAsia" w:ascii="仿宋" w:hAnsi="仿宋" w:eastAsia="仿宋" w:cs="仿宋"/>
          <w:szCs w:val="24"/>
        </w:rPr>
        <w:t xml:space="preserve"> </w:t>
      </w:r>
    </w:p>
    <w:p>
      <w:pPr>
        <w:pStyle w:val="33"/>
        <w:ind w:firstLine="0"/>
        <w:jc w:val="center"/>
        <w:rPr>
          <w:rFonts w:ascii="仿宋" w:hAnsi="仿宋" w:eastAsia="仿宋" w:cs="仿宋"/>
          <w:b/>
          <w:bCs/>
          <w:color w:val="auto"/>
          <w:szCs w:val="24"/>
        </w:rPr>
      </w:pPr>
      <w:r>
        <w:rPr>
          <w:rFonts w:hint="eastAsia" w:ascii="仿宋" w:hAnsi="仿宋" w:eastAsia="仿宋" w:cs="仿宋"/>
          <w:b/>
          <w:bCs/>
          <w:color w:val="auto"/>
          <w:szCs w:val="24"/>
        </w:rPr>
        <w:t>项目业绩表</w:t>
      </w:r>
    </w:p>
    <w:p>
      <w:pPr>
        <w:rPr>
          <w:rFonts w:hint="eastAsia"/>
        </w:rPr>
      </w:pPr>
    </w:p>
    <w:tbl>
      <w:tblPr>
        <w:tblStyle w:val="80"/>
        <w:tblW w:w="8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22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jc w:val="center"/>
              <w:rPr>
                <w:rFonts w:hint="eastAsia" w:ascii="仿宋" w:hAnsi="仿宋" w:eastAsia="仿宋" w:cs="仿宋"/>
                <w:b/>
                <w:szCs w:val="24"/>
              </w:rPr>
            </w:pPr>
            <w:r>
              <w:rPr>
                <w:rFonts w:hint="eastAsia" w:ascii="仿宋" w:hAnsi="仿宋" w:eastAsia="仿宋" w:cs="仿宋"/>
                <w:b/>
                <w:szCs w:val="24"/>
              </w:rPr>
              <w:t>序号</w:t>
            </w:r>
          </w:p>
        </w:tc>
        <w:tc>
          <w:tcPr>
            <w:tcW w:w="1242" w:type="dxa"/>
            <w:vAlign w:val="center"/>
          </w:tcPr>
          <w:p>
            <w:pPr>
              <w:jc w:val="center"/>
              <w:rPr>
                <w:rFonts w:hint="eastAsia" w:ascii="仿宋" w:hAnsi="仿宋" w:eastAsia="仿宋" w:cs="仿宋"/>
                <w:b/>
                <w:szCs w:val="24"/>
              </w:rPr>
            </w:pPr>
            <w:r>
              <w:rPr>
                <w:rFonts w:hint="eastAsia" w:ascii="仿宋" w:hAnsi="仿宋" w:eastAsia="仿宋" w:cs="仿宋"/>
                <w:b/>
                <w:szCs w:val="24"/>
              </w:rPr>
              <w:t>项目时间</w:t>
            </w:r>
          </w:p>
        </w:tc>
        <w:tc>
          <w:tcPr>
            <w:tcW w:w="1380" w:type="dxa"/>
            <w:vAlign w:val="center"/>
          </w:tcPr>
          <w:p>
            <w:pPr>
              <w:jc w:val="center"/>
              <w:rPr>
                <w:rFonts w:hint="eastAsia" w:ascii="仿宋" w:hAnsi="仿宋" w:eastAsia="仿宋" w:cs="仿宋"/>
                <w:b/>
                <w:szCs w:val="24"/>
              </w:rPr>
            </w:pPr>
            <w:r>
              <w:rPr>
                <w:rFonts w:hint="eastAsia" w:ascii="仿宋" w:hAnsi="仿宋" w:eastAsia="仿宋" w:cs="仿宋"/>
                <w:b/>
                <w:szCs w:val="24"/>
              </w:rPr>
              <w:t xml:space="preserve">项目名称 </w:t>
            </w:r>
          </w:p>
        </w:tc>
        <w:tc>
          <w:tcPr>
            <w:tcW w:w="966" w:type="dxa"/>
            <w:vAlign w:val="center"/>
          </w:tcPr>
          <w:p>
            <w:pPr>
              <w:jc w:val="center"/>
              <w:rPr>
                <w:rFonts w:hint="eastAsia" w:ascii="仿宋" w:hAnsi="仿宋" w:eastAsia="仿宋" w:cs="仿宋"/>
                <w:b/>
                <w:szCs w:val="24"/>
              </w:rPr>
            </w:pPr>
            <w:r>
              <w:rPr>
                <w:rFonts w:hint="eastAsia" w:ascii="仿宋" w:hAnsi="仿宋" w:eastAsia="仿宋" w:cs="仿宋"/>
                <w:b/>
                <w:szCs w:val="24"/>
              </w:rPr>
              <w:t>金额</w:t>
            </w:r>
          </w:p>
        </w:tc>
        <w:tc>
          <w:tcPr>
            <w:tcW w:w="1242" w:type="dxa"/>
            <w:vAlign w:val="center"/>
          </w:tcPr>
          <w:p>
            <w:pPr>
              <w:jc w:val="center"/>
              <w:rPr>
                <w:rFonts w:hint="eastAsia" w:ascii="仿宋" w:hAnsi="仿宋" w:eastAsia="仿宋" w:cs="仿宋"/>
                <w:b/>
                <w:szCs w:val="24"/>
              </w:rPr>
            </w:pPr>
            <w:r>
              <w:rPr>
                <w:rFonts w:hint="eastAsia" w:ascii="仿宋" w:hAnsi="仿宋" w:eastAsia="仿宋" w:cs="仿宋"/>
                <w:b/>
                <w:szCs w:val="24"/>
              </w:rPr>
              <w:t>实施情况</w:t>
            </w:r>
          </w:p>
        </w:tc>
        <w:tc>
          <w:tcPr>
            <w:tcW w:w="1229" w:type="dxa"/>
            <w:vAlign w:val="center"/>
          </w:tcPr>
          <w:p>
            <w:pPr>
              <w:jc w:val="center"/>
              <w:rPr>
                <w:rFonts w:hint="eastAsia" w:ascii="仿宋" w:hAnsi="仿宋" w:eastAsia="仿宋" w:cs="仿宋"/>
                <w:b/>
                <w:szCs w:val="24"/>
              </w:rPr>
            </w:pPr>
            <w:r>
              <w:rPr>
                <w:rFonts w:hint="eastAsia" w:ascii="仿宋" w:hAnsi="仿宋" w:eastAsia="仿宋" w:cs="仿宋"/>
                <w:b/>
                <w:szCs w:val="24"/>
              </w:rPr>
              <w:t>采购方单位名称</w:t>
            </w:r>
          </w:p>
        </w:tc>
        <w:tc>
          <w:tcPr>
            <w:tcW w:w="1860" w:type="dxa"/>
            <w:vAlign w:val="center"/>
          </w:tcPr>
          <w:p>
            <w:pPr>
              <w:jc w:val="center"/>
              <w:rPr>
                <w:rFonts w:hint="eastAsia" w:ascii="仿宋" w:hAnsi="仿宋" w:eastAsia="仿宋" w:cs="仿宋"/>
                <w:b/>
                <w:szCs w:val="24"/>
              </w:rPr>
            </w:pPr>
            <w:r>
              <w:rPr>
                <w:rFonts w:hint="eastAsia" w:ascii="仿宋" w:hAnsi="仿宋" w:eastAsia="仿宋" w:cs="仿宋"/>
                <w:b/>
                <w:szCs w:val="24"/>
              </w:rPr>
              <w:t>联系人姓名</w:t>
            </w:r>
          </w:p>
          <w:p>
            <w:pPr>
              <w:jc w:val="center"/>
              <w:rPr>
                <w:rFonts w:hint="eastAsia" w:ascii="仿宋" w:hAnsi="仿宋" w:eastAsia="仿宋" w:cs="仿宋"/>
                <w:b/>
                <w:szCs w:val="24"/>
              </w:rPr>
            </w:pPr>
            <w:r>
              <w:rPr>
                <w:rFonts w:hint="eastAsia" w:ascii="仿宋" w:hAnsi="仿宋" w:eastAsia="仿宋" w:cs="仿宋"/>
                <w:b/>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10" w:type="dxa"/>
            <w:vAlign w:val="center"/>
          </w:tcPr>
          <w:p>
            <w:pPr>
              <w:jc w:val="center"/>
              <w:rPr>
                <w:rFonts w:hint="eastAsia" w:ascii="仿宋" w:hAnsi="仿宋" w:eastAsia="仿宋" w:cs="仿宋"/>
                <w:szCs w:val="24"/>
              </w:rPr>
            </w:pPr>
          </w:p>
        </w:tc>
        <w:tc>
          <w:tcPr>
            <w:tcW w:w="1242" w:type="dxa"/>
          </w:tcPr>
          <w:p>
            <w:pPr>
              <w:jc w:val="center"/>
              <w:rPr>
                <w:rFonts w:hint="eastAsia" w:ascii="仿宋" w:hAnsi="仿宋" w:eastAsia="仿宋" w:cs="仿宋"/>
                <w:szCs w:val="24"/>
              </w:rPr>
            </w:pPr>
          </w:p>
        </w:tc>
        <w:tc>
          <w:tcPr>
            <w:tcW w:w="1380" w:type="dxa"/>
            <w:vAlign w:val="center"/>
          </w:tcPr>
          <w:p>
            <w:pPr>
              <w:jc w:val="center"/>
              <w:rPr>
                <w:rFonts w:hint="eastAsia" w:ascii="仿宋" w:hAnsi="仿宋" w:eastAsia="仿宋" w:cs="仿宋"/>
                <w:szCs w:val="24"/>
              </w:rPr>
            </w:pPr>
          </w:p>
        </w:tc>
        <w:tc>
          <w:tcPr>
            <w:tcW w:w="966" w:type="dxa"/>
            <w:vAlign w:val="center"/>
          </w:tcPr>
          <w:p>
            <w:pPr>
              <w:jc w:val="center"/>
              <w:rPr>
                <w:rFonts w:hint="eastAsia" w:ascii="仿宋" w:hAnsi="仿宋" w:eastAsia="仿宋" w:cs="仿宋"/>
                <w:szCs w:val="24"/>
              </w:rPr>
            </w:pPr>
          </w:p>
        </w:tc>
        <w:tc>
          <w:tcPr>
            <w:tcW w:w="1242" w:type="dxa"/>
            <w:vAlign w:val="center"/>
          </w:tcPr>
          <w:p>
            <w:pPr>
              <w:jc w:val="center"/>
              <w:rPr>
                <w:rFonts w:hint="eastAsia" w:ascii="仿宋" w:hAnsi="仿宋" w:eastAsia="仿宋" w:cs="仿宋"/>
                <w:szCs w:val="24"/>
              </w:rPr>
            </w:pPr>
          </w:p>
        </w:tc>
        <w:tc>
          <w:tcPr>
            <w:tcW w:w="1229" w:type="dxa"/>
            <w:vAlign w:val="center"/>
          </w:tcPr>
          <w:p>
            <w:pPr>
              <w:jc w:val="center"/>
              <w:rPr>
                <w:rFonts w:hint="eastAsia" w:ascii="仿宋" w:hAnsi="仿宋" w:eastAsia="仿宋" w:cs="仿宋"/>
                <w:szCs w:val="24"/>
              </w:rPr>
            </w:pPr>
          </w:p>
        </w:tc>
        <w:tc>
          <w:tcPr>
            <w:tcW w:w="1860" w:type="dxa"/>
            <w:vAlign w:val="center"/>
          </w:tcPr>
          <w:p>
            <w:pPr>
              <w:jc w:val="center"/>
              <w:rPr>
                <w:rFonts w:hint="eastAsia" w:ascii="仿宋" w:hAnsi="仿宋" w:eastAsia="仿宋" w:cs="仿宋"/>
                <w:szCs w:val="24"/>
              </w:rPr>
            </w:pPr>
          </w:p>
        </w:tc>
      </w:tr>
    </w:tbl>
    <w:p>
      <w:pPr>
        <w:rPr>
          <w:rFonts w:hint="eastAsia" w:ascii="仿宋" w:hAnsi="仿宋" w:eastAsia="仿宋" w:cs="仿宋"/>
          <w:szCs w:val="24"/>
        </w:rPr>
      </w:pPr>
    </w:p>
    <w:p>
      <w:pPr>
        <w:rPr>
          <w:rFonts w:hint="eastAsia" w:ascii="仿宋" w:hAnsi="仿宋" w:eastAsia="仿宋" w:cs="仿宋"/>
          <w:b/>
          <w:bCs/>
          <w:szCs w:val="24"/>
        </w:rPr>
      </w:pPr>
      <w:r>
        <w:rPr>
          <w:rFonts w:hint="eastAsia" w:ascii="仿宋" w:hAnsi="仿宋" w:eastAsia="仿宋" w:cs="仿宋"/>
          <w:b/>
          <w:bCs/>
          <w:szCs w:val="24"/>
        </w:rPr>
        <w:t>注：1.提供合同扫描件并加盖CA签章。</w:t>
      </w:r>
    </w:p>
    <w:p>
      <w:pPr>
        <w:rPr>
          <w:rFonts w:hint="eastAsia" w:ascii="仿宋" w:hAnsi="仿宋" w:eastAsia="仿宋" w:cs="仿宋"/>
          <w:b/>
          <w:bCs/>
          <w:szCs w:val="24"/>
        </w:rPr>
      </w:pPr>
      <w:r>
        <w:rPr>
          <w:rFonts w:hint="eastAsia" w:ascii="仿宋" w:hAnsi="仿宋" w:eastAsia="仿宋" w:cs="仿宋"/>
          <w:b/>
          <w:bCs/>
          <w:szCs w:val="24"/>
        </w:rPr>
        <w:t xml:space="preserve">    </w:t>
      </w:r>
    </w:p>
    <w:p>
      <w:pPr>
        <w:spacing w:line="360" w:lineRule="auto"/>
        <w:ind w:firstLine="482" w:firstLineChars="200"/>
        <w:rPr>
          <w:rFonts w:hint="eastAsia" w:ascii="仿宋" w:hAnsi="仿宋" w:eastAsia="仿宋" w:cs="仿宋"/>
          <w:b/>
          <w:bCs/>
          <w:szCs w:val="24"/>
        </w:rPr>
      </w:pPr>
      <w:r>
        <w:rPr>
          <w:rFonts w:hint="eastAsia" w:ascii="仿宋" w:hAnsi="仿宋" w:eastAsia="仿宋" w:cs="仿宋"/>
          <w:b/>
          <w:bCs/>
          <w:szCs w:val="24"/>
        </w:rPr>
        <w:t>2.此表仅提供了表格形式，投标人可按此表格格式进行扩展。</w:t>
      </w: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spacing w:line="540" w:lineRule="exact"/>
        <w:ind w:firstLine="6240" w:firstLineChars="2600"/>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autoSpaceDE w:val="0"/>
        <w:autoSpaceDN w:val="0"/>
        <w:spacing w:line="360" w:lineRule="auto"/>
        <w:rPr>
          <w:rFonts w:hint="eastAsia" w:ascii="仿宋" w:hAnsi="仿宋" w:eastAsia="仿宋" w:cs="仿宋"/>
          <w:szCs w:val="24"/>
        </w:rPr>
      </w:pPr>
      <w:r>
        <w:rPr>
          <w:rFonts w:hint="eastAsia" w:ascii="仿宋" w:hAnsi="仿宋" w:eastAsia="仿宋" w:cs="仿宋"/>
          <w:szCs w:val="24"/>
        </w:rPr>
        <w:t xml:space="preserve">                                                         </w:t>
      </w:r>
    </w:p>
    <w:p>
      <w:pPr>
        <w:spacing w:line="360" w:lineRule="auto"/>
        <w:ind w:firstLine="6240" w:firstLineChars="2600"/>
        <w:rPr>
          <w:rFonts w:hint="eastAsia" w:ascii="仿宋" w:hAnsi="仿宋" w:eastAsia="仿宋" w:cs="仿宋"/>
          <w:szCs w:val="24"/>
        </w:rPr>
      </w:pPr>
      <w:r>
        <w:rPr>
          <w:rFonts w:hint="eastAsia" w:ascii="仿宋" w:hAnsi="仿宋" w:eastAsia="仿宋" w:cs="仿宋"/>
          <w:szCs w:val="24"/>
        </w:rPr>
        <w:t>日期：   年  月  日</w:t>
      </w:r>
    </w:p>
    <w:p>
      <w:pPr>
        <w:pStyle w:val="20"/>
        <w:ind w:left="7" w:leftChars="3" w:firstLine="0"/>
        <w:rPr>
          <w:rFonts w:hint="eastAsia" w:ascii="仿宋" w:hAnsi="仿宋" w:eastAsia="仿宋" w:cs="仿宋"/>
          <w:szCs w:val="24"/>
        </w:rPr>
      </w:pPr>
    </w:p>
    <w:p>
      <w:pPr>
        <w:pStyle w:val="20"/>
        <w:ind w:left="7" w:leftChars="3" w:firstLine="0"/>
        <w:rPr>
          <w:rFonts w:hint="eastAsia" w:ascii="仿宋" w:hAnsi="仿宋" w:eastAsia="仿宋" w:cs="仿宋"/>
          <w:szCs w:val="24"/>
        </w:rPr>
      </w:pPr>
    </w:p>
    <w:p>
      <w:pPr>
        <w:pStyle w:val="20"/>
        <w:ind w:left="7" w:leftChars="3" w:firstLine="0"/>
        <w:rPr>
          <w:rFonts w:hint="eastAsia" w:ascii="仿宋" w:hAnsi="仿宋" w:eastAsia="仿宋" w:cs="仿宋"/>
          <w:szCs w:val="24"/>
        </w:rPr>
      </w:pPr>
    </w:p>
    <w:p>
      <w:pPr>
        <w:pStyle w:val="20"/>
        <w:ind w:firstLine="0"/>
        <w:rPr>
          <w:rFonts w:hint="eastAsia" w:ascii="仿宋" w:hAnsi="仿宋" w:eastAsia="仿宋" w:cs="仿宋"/>
          <w:szCs w:val="24"/>
        </w:rPr>
      </w:pPr>
    </w:p>
    <w:p>
      <w:pPr>
        <w:rPr>
          <w:rFonts w:hint="eastAsia" w:ascii="仿宋" w:hAnsi="仿宋" w:eastAsia="仿宋" w:cs="仿宋"/>
          <w:b/>
          <w:bCs/>
          <w:szCs w:val="24"/>
        </w:rPr>
      </w:pPr>
      <w:bookmarkStart w:id="150" w:name="_Toc365487077"/>
      <w:r>
        <w:rPr>
          <w:rFonts w:hint="eastAsia" w:ascii="仿宋" w:hAnsi="仿宋" w:eastAsia="仿宋" w:cs="仿宋"/>
          <w:szCs w:val="24"/>
        </w:rPr>
        <w:br w:type="page"/>
      </w:r>
      <w:bookmarkEnd w:id="150"/>
    </w:p>
    <w:p>
      <w:pPr>
        <w:pStyle w:val="326"/>
        <w:ind w:firstLine="0"/>
        <w:rPr>
          <w:rFonts w:hint="eastAsia" w:ascii="仿宋" w:hAnsi="仿宋" w:eastAsia="仿宋" w:cs="仿宋"/>
          <w:b/>
          <w:szCs w:val="24"/>
        </w:rPr>
      </w:pPr>
      <w:r>
        <w:rPr>
          <w:rFonts w:hint="eastAsia" w:ascii="仿宋" w:hAnsi="仿宋" w:eastAsia="仿宋" w:cs="仿宋"/>
          <w:b/>
          <w:bCs/>
          <w:szCs w:val="24"/>
        </w:rPr>
        <w:t>附件10：</w:t>
      </w:r>
      <w:r>
        <w:rPr>
          <w:rFonts w:hint="eastAsia" w:ascii="仿宋" w:hAnsi="仿宋" w:eastAsia="仿宋" w:cs="仿宋"/>
          <w:b/>
          <w:szCs w:val="24"/>
        </w:rPr>
        <w:t>廉政承诺书</w:t>
      </w:r>
    </w:p>
    <w:p>
      <w:pPr>
        <w:pStyle w:val="326"/>
        <w:ind w:firstLine="0"/>
        <w:rPr>
          <w:rFonts w:hint="eastAsia" w:ascii="仿宋" w:hAnsi="仿宋" w:eastAsia="仿宋" w:cs="仿宋"/>
          <w:b/>
          <w:szCs w:val="24"/>
        </w:rPr>
      </w:pPr>
    </w:p>
    <w:p>
      <w:pPr>
        <w:autoSpaceDE w:val="0"/>
        <w:autoSpaceDN w:val="0"/>
        <w:spacing w:line="360" w:lineRule="auto"/>
        <w:ind w:left="2"/>
        <w:jc w:val="center"/>
        <w:rPr>
          <w:rFonts w:hint="eastAsia" w:ascii="仿宋" w:hAnsi="仿宋" w:eastAsia="仿宋" w:cs="仿宋"/>
          <w:szCs w:val="24"/>
        </w:rPr>
      </w:pPr>
      <w:r>
        <w:rPr>
          <w:rFonts w:hint="eastAsia" w:ascii="仿宋" w:hAnsi="仿宋" w:eastAsia="仿宋" w:cs="仿宋"/>
          <w:b/>
          <w:szCs w:val="24"/>
        </w:rPr>
        <w:t>廉政承诺书</w:t>
      </w:r>
    </w:p>
    <w:p>
      <w:pPr>
        <w:autoSpaceDE w:val="0"/>
        <w:autoSpaceDN w:val="0"/>
        <w:spacing w:line="360" w:lineRule="auto"/>
        <w:ind w:left="2"/>
        <w:jc w:val="left"/>
        <w:rPr>
          <w:rFonts w:hint="eastAsia" w:ascii="仿宋" w:hAnsi="仿宋" w:eastAsia="仿宋" w:cs="仿宋"/>
          <w:szCs w:val="24"/>
          <w:u w:val="single"/>
        </w:rPr>
      </w:pPr>
    </w:p>
    <w:p>
      <w:pPr>
        <w:autoSpaceDE w:val="0"/>
        <w:autoSpaceDN w:val="0"/>
        <w:spacing w:line="360" w:lineRule="auto"/>
        <w:ind w:left="2"/>
        <w:jc w:val="left"/>
        <w:rPr>
          <w:rFonts w:hint="eastAsia" w:ascii="仿宋" w:hAnsi="仿宋" w:eastAsia="仿宋" w:cs="仿宋"/>
          <w:kern w:val="0"/>
          <w:szCs w:val="24"/>
          <w:lang w:val="zh-CN"/>
        </w:rPr>
      </w:pPr>
      <w:r>
        <w:rPr>
          <w:rFonts w:hint="eastAsia" w:ascii="仿宋" w:hAnsi="仿宋" w:eastAsia="仿宋" w:cs="仿宋"/>
          <w:szCs w:val="24"/>
          <w:u w:val="single"/>
          <w:lang w:eastAsia="zh-CN"/>
        </w:rPr>
        <w:t>嵊州市鸿发物业管理有限公司</w:t>
      </w:r>
      <w:r>
        <w:rPr>
          <w:rFonts w:hint="eastAsia" w:ascii="仿宋" w:hAnsi="仿宋" w:eastAsia="仿宋" w:cs="仿宋"/>
          <w:kern w:val="0"/>
          <w:szCs w:val="24"/>
          <w:lang w:val="zh-CN"/>
        </w:rPr>
        <w:t xml:space="preserve">：    </w:t>
      </w:r>
    </w:p>
    <w:p>
      <w:pPr>
        <w:autoSpaceDE w:val="0"/>
        <w:autoSpaceDN w:val="0"/>
        <w:spacing w:line="500" w:lineRule="exact"/>
        <w:ind w:left="2" w:leftChars="1"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我单位响应你</w:t>
      </w:r>
      <w:r>
        <w:rPr>
          <w:rFonts w:hint="eastAsia" w:ascii="仿宋" w:hAnsi="仿宋" w:eastAsia="仿宋" w:cs="仿宋"/>
          <w:szCs w:val="24"/>
        </w:rPr>
        <w:t>单位</w:t>
      </w:r>
      <w:r>
        <w:rPr>
          <w:rFonts w:hint="eastAsia" w:ascii="仿宋" w:hAnsi="仿宋" w:eastAsia="仿宋" w:cs="仿宋"/>
          <w:kern w:val="0"/>
          <w:szCs w:val="24"/>
          <w:lang w:val="zh-CN"/>
        </w:rPr>
        <w:t xml:space="preserve">项目招标要求参加投标。在这次投标过程中和中标后，我们将严格遵守国家法律法规要求，并郑重承诺：    </w:t>
      </w:r>
    </w:p>
    <w:p>
      <w:pPr>
        <w:autoSpaceDE w:val="0"/>
        <w:autoSpaceDN w:val="0"/>
        <w:spacing w:line="500" w:lineRule="exact"/>
        <w:ind w:left="2" w:leftChars="1"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一、不向项目有关人员及部门赠送礼金礼物、有价证券、回扣以及中介费、介绍费、咨询费等好处费；    </w:t>
      </w:r>
    </w:p>
    <w:p>
      <w:pPr>
        <w:autoSpaceDE w:val="0"/>
        <w:autoSpaceDN w:val="0"/>
        <w:spacing w:line="500" w:lineRule="exact"/>
        <w:ind w:left="2" w:leftChars="1"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二、不为项目有关人员及部门报销应由你方单位或个人支付的费用；    </w:t>
      </w:r>
    </w:p>
    <w:p>
      <w:pPr>
        <w:autoSpaceDE w:val="0"/>
        <w:autoSpaceDN w:val="0"/>
        <w:spacing w:line="500" w:lineRule="exact"/>
        <w:ind w:left="2" w:leftChars="1"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三、不向项目有关人员及部门提供有可能影响公正的宴请和健身娱乐等活动；    </w:t>
      </w:r>
    </w:p>
    <w:p>
      <w:pPr>
        <w:autoSpaceDE w:val="0"/>
        <w:autoSpaceDN w:val="0"/>
        <w:spacing w:line="500" w:lineRule="exact"/>
        <w:ind w:left="2" w:leftChars="1"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四、不为项目有关人员及部门出国（境）、旅游等提供方便；    </w:t>
      </w:r>
    </w:p>
    <w:p>
      <w:pPr>
        <w:autoSpaceDE w:val="0"/>
        <w:autoSpaceDN w:val="0"/>
        <w:spacing w:line="500" w:lineRule="exact"/>
        <w:ind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五、不为项目有关人员个人装修住房、婚丧嫁娶、配偶子女工作安排等提供好处；    </w:t>
      </w:r>
    </w:p>
    <w:p>
      <w:pPr>
        <w:autoSpaceDE w:val="0"/>
        <w:autoSpaceDN w:val="0"/>
        <w:spacing w:line="500" w:lineRule="exact"/>
        <w:ind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 xml:space="preserve">六、严格遵守政府采购法、合同法等法律，诚实守信，合法经营，坚决抵制各种违法违纪行为。    </w:t>
      </w:r>
    </w:p>
    <w:p>
      <w:pPr>
        <w:autoSpaceDE w:val="0"/>
        <w:autoSpaceDN w:val="0"/>
        <w:spacing w:line="500" w:lineRule="exact"/>
        <w:ind w:firstLine="480" w:firstLineChars="200"/>
        <w:jc w:val="left"/>
        <w:rPr>
          <w:rFonts w:hint="eastAsia" w:ascii="仿宋" w:hAnsi="仿宋" w:eastAsia="仿宋" w:cs="仿宋"/>
          <w:kern w:val="0"/>
          <w:szCs w:val="24"/>
          <w:lang w:val="zh-CN"/>
        </w:rPr>
      </w:pPr>
      <w:r>
        <w:rPr>
          <w:rFonts w:hint="eastAsia" w:ascii="仿宋" w:hAnsi="仿宋" w:eastAsia="仿宋" w:cs="仿宋"/>
          <w:kern w:val="0"/>
          <w:szCs w:val="24"/>
          <w:lang w:val="zh-CN"/>
        </w:rPr>
        <w:t>如违反上述承诺，你</w:t>
      </w:r>
      <w:r>
        <w:rPr>
          <w:rFonts w:hint="eastAsia" w:ascii="仿宋" w:hAnsi="仿宋" w:eastAsia="仿宋" w:cs="仿宋"/>
          <w:szCs w:val="24"/>
        </w:rPr>
        <w:t>单位</w:t>
      </w:r>
      <w:r>
        <w:rPr>
          <w:rFonts w:hint="eastAsia" w:ascii="仿宋" w:hAnsi="仿宋" w:eastAsia="仿宋" w:cs="仿宋"/>
          <w:kern w:val="0"/>
          <w:szCs w:val="24"/>
          <w:lang w:val="zh-CN"/>
        </w:rPr>
        <w:t>有权立即取消我单位投标、中标或在建项目的建设资格，有权拒绝我单位在一定时期内进入你</w:t>
      </w:r>
      <w:r>
        <w:rPr>
          <w:rFonts w:hint="eastAsia" w:ascii="仿宋" w:hAnsi="仿宋" w:eastAsia="仿宋" w:cs="仿宋"/>
          <w:szCs w:val="24"/>
        </w:rPr>
        <w:t>单位</w:t>
      </w:r>
      <w:r>
        <w:rPr>
          <w:rFonts w:hint="eastAsia" w:ascii="仿宋" w:hAnsi="仿宋" w:eastAsia="仿宋" w:cs="仿宋"/>
          <w:kern w:val="0"/>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Cs w:val="24"/>
          <w:lang w:val="zh-CN"/>
        </w:rPr>
      </w:pPr>
    </w:p>
    <w:p>
      <w:pPr>
        <w:autoSpaceDE w:val="0"/>
        <w:autoSpaceDN w:val="0"/>
        <w:spacing w:line="360" w:lineRule="auto"/>
        <w:ind w:left="2"/>
        <w:jc w:val="left"/>
        <w:rPr>
          <w:rFonts w:hint="eastAsia" w:ascii="仿宋" w:hAnsi="仿宋" w:eastAsia="仿宋" w:cs="仿宋"/>
          <w:kern w:val="0"/>
          <w:szCs w:val="24"/>
          <w:lang w:val="zh-CN"/>
        </w:rPr>
      </w:pPr>
    </w:p>
    <w:p>
      <w:pPr>
        <w:autoSpaceDE w:val="0"/>
        <w:autoSpaceDN w:val="0"/>
        <w:spacing w:line="360" w:lineRule="auto"/>
        <w:ind w:left="2"/>
        <w:jc w:val="left"/>
        <w:rPr>
          <w:rFonts w:hint="eastAsia" w:ascii="仿宋" w:hAnsi="仿宋" w:eastAsia="仿宋" w:cs="仿宋"/>
          <w:kern w:val="0"/>
          <w:szCs w:val="24"/>
          <w:lang w:val="zh-CN"/>
        </w:rPr>
      </w:pPr>
    </w:p>
    <w:p>
      <w:pPr>
        <w:spacing w:line="540" w:lineRule="exact"/>
        <w:ind w:firstLine="6000" w:firstLineChars="2500"/>
        <w:rPr>
          <w:rFonts w:hint="eastAsia" w:ascii="仿宋" w:hAnsi="仿宋" w:eastAsia="仿宋" w:cs="仿宋"/>
          <w:szCs w:val="24"/>
        </w:rPr>
      </w:pPr>
      <w:r>
        <w:rPr>
          <w:rFonts w:hint="eastAsia" w:ascii="仿宋" w:hAnsi="仿宋" w:eastAsia="仿宋" w:cs="仿宋"/>
          <w:szCs w:val="24"/>
        </w:rPr>
        <w:t>投标人</w:t>
      </w:r>
      <w:r>
        <w:rPr>
          <w:rFonts w:hint="eastAsia" w:ascii="仿宋" w:hAnsi="仿宋" w:eastAsia="仿宋" w:cs="仿宋"/>
          <w:szCs w:val="24"/>
          <w:lang w:val="zh-CN"/>
        </w:rPr>
        <w:t>名称(电子签名)：</w:t>
      </w:r>
    </w:p>
    <w:p>
      <w:pPr>
        <w:autoSpaceDE w:val="0"/>
        <w:autoSpaceDN w:val="0"/>
        <w:spacing w:line="360" w:lineRule="auto"/>
        <w:rPr>
          <w:rFonts w:hint="eastAsia" w:ascii="仿宋" w:hAnsi="仿宋" w:eastAsia="仿宋" w:cs="仿宋"/>
          <w:szCs w:val="24"/>
        </w:rPr>
      </w:pPr>
      <w:r>
        <w:rPr>
          <w:rFonts w:hint="eastAsia" w:ascii="仿宋" w:hAnsi="仿宋" w:eastAsia="仿宋" w:cs="仿宋"/>
          <w:szCs w:val="24"/>
        </w:rPr>
        <w:t xml:space="preserve">                                                         </w:t>
      </w:r>
    </w:p>
    <w:p>
      <w:pPr>
        <w:spacing w:line="500" w:lineRule="exact"/>
        <w:ind w:left="5760" w:hanging="5760" w:hangingChars="2400"/>
        <w:jc w:val="center"/>
        <w:rPr>
          <w:rFonts w:hint="eastAsia" w:ascii="仿宋" w:hAnsi="仿宋" w:eastAsia="仿宋" w:cs="仿宋"/>
          <w:kern w:val="0"/>
          <w:szCs w:val="24"/>
        </w:rPr>
      </w:pPr>
      <w:r>
        <w:rPr>
          <w:rFonts w:hint="eastAsia" w:ascii="仿宋" w:hAnsi="仿宋" w:eastAsia="仿宋" w:cs="仿宋"/>
          <w:szCs w:val="24"/>
          <w:lang w:val="en-US" w:eastAsia="zh-CN"/>
        </w:rPr>
        <w:t xml:space="preserve">                                            </w:t>
      </w:r>
      <w:r>
        <w:rPr>
          <w:rFonts w:hint="eastAsia" w:ascii="仿宋" w:hAnsi="仿宋" w:eastAsia="仿宋" w:cs="仿宋"/>
          <w:szCs w:val="24"/>
        </w:rPr>
        <w:t>日期：   年  月  日</w:t>
      </w:r>
    </w:p>
    <w:p>
      <w:pPr>
        <w:spacing w:line="360" w:lineRule="auto"/>
        <w:ind w:left="5040" w:hanging="5040" w:hangingChars="2100"/>
        <w:rPr>
          <w:rFonts w:hint="eastAsia" w:ascii="仿宋" w:hAnsi="仿宋" w:eastAsia="仿宋" w:cs="仿宋"/>
          <w:kern w:val="0"/>
          <w:szCs w:val="24"/>
        </w:rPr>
      </w:pPr>
    </w:p>
    <w:p>
      <w:pPr>
        <w:pStyle w:val="340"/>
        <w:numPr>
          <w:ilvl w:val="0"/>
          <w:numId w:val="0"/>
        </w:numPr>
        <w:adjustRightInd/>
        <w:snapToGrid w:val="0"/>
        <w:spacing w:line="500" w:lineRule="exact"/>
        <w:ind w:firstLine="480" w:firstLineChars="200"/>
        <w:rPr>
          <w:rFonts w:ascii="仿宋" w:hAnsi="仿宋" w:eastAsia="仿宋" w:cs="仿宋"/>
          <w:b/>
          <w:bCs/>
          <w:sz w:val="24"/>
          <w:szCs w:val="24"/>
        </w:rPr>
      </w:pPr>
      <w:r>
        <w:rPr>
          <w:rFonts w:ascii="仿宋" w:hAnsi="仿宋" w:eastAsia="仿宋" w:cs="仿宋"/>
          <w:sz w:val="24"/>
          <w:szCs w:val="24"/>
        </w:rPr>
        <w:br w:type="page"/>
      </w:r>
      <w:r>
        <w:rPr>
          <w:rFonts w:ascii="仿宋" w:hAnsi="仿宋" w:eastAsia="仿宋" w:cs="仿宋"/>
          <w:b/>
          <w:bCs/>
          <w:sz w:val="24"/>
          <w:szCs w:val="24"/>
        </w:rPr>
        <w:t>根据浙江省财政厅关于印发《浙江省政府采购活动现场组织管理办法》的通知（浙财采监【2015】13号）文件要求，由各投标供应商在投标文件解密后半小时内如实填写采购活动现场确认声明书，并以扫描件形式发送至</w:t>
      </w:r>
      <w:r>
        <w:rPr>
          <w:rFonts w:hint="eastAsia" w:ascii="仿宋" w:hAnsi="仿宋" w:eastAsia="仿宋" w:cs="仿宋"/>
          <w:b/>
          <w:bCs/>
          <w:sz w:val="24"/>
          <w:szCs w:val="24"/>
          <w:lang w:eastAsia="zh-CN"/>
        </w:rPr>
        <w:t>892720605</w:t>
      </w:r>
      <w:r>
        <w:rPr>
          <w:rFonts w:ascii="仿宋" w:hAnsi="仿宋" w:eastAsia="仿宋" w:cs="仿宋"/>
          <w:b/>
          <w:bCs/>
          <w:sz w:val="24"/>
          <w:szCs w:val="24"/>
        </w:rPr>
        <w:t>@qq.com邮箱，如未如实填写，将有可能影响你的投标文件评审（采购活动现场确认声明书格式见附表）。</w:t>
      </w: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p>
    <w:p>
      <w:pPr>
        <w:pStyle w:val="340"/>
        <w:numPr>
          <w:ilvl w:val="0"/>
          <w:numId w:val="0"/>
        </w:numPr>
        <w:adjustRightInd/>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附表：               </w:t>
      </w:r>
    </w:p>
    <w:p>
      <w:pPr>
        <w:pStyle w:val="340"/>
        <w:numPr>
          <w:ilvl w:val="0"/>
          <w:numId w:val="0"/>
        </w:numPr>
        <w:adjustRightInd/>
        <w:snapToGrid w:val="0"/>
        <w:spacing w:line="360" w:lineRule="auto"/>
        <w:jc w:val="center"/>
        <w:rPr>
          <w:rFonts w:ascii="仿宋" w:hAnsi="仿宋" w:eastAsia="仿宋" w:cs="仿宋"/>
          <w:b/>
          <w:bCs/>
          <w:sz w:val="24"/>
          <w:szCs w:val="24"/>
        </w:rPr>
      </w:pPr>
      <w:r>
        <w:rPr>
          <w:rFonts w:ascii="仿宋" w:hAnsi="仿宋" w:eastAsia="仿宋" w:cs="仿宋"/>
          <w:b/>
          <w:bCs/>
          <w:sz w:val="24"/>
          <w:szCs w:val="24"/>
        </w:rPr>
        <w:t>采购活动现场确认声明书</w:t>
      </w:r>
    </w:p>
    <w:p>
      <w:pPr>
        <w:pStyle w:val="340"/>
        <w:numPr>
          <w:ilvl w:val="0"/>
          <w:numId w:val="0"/>
        </w:numPr>
        <w:adjustRightInd/>
        <w:snapToGrid w:val="0"/>
        <w:spacing w:line="460" w:lineRule="exact"/>
        <w:ind w:firstLine="504" w:firstLineChars="200"/>
        <w:rPr>
          <w:rFonts w:ascii="仿宋" w:hAnsi="仿宋" w:eastAsia="仿宋" w:cs="仿宋"/>
          <w:spacing w:val="6"/>
          <w:sz w:val="24"/>
          <w:szCs w:val="24"/>
        </w:rPr>
      </w:pPr>
      <w:r>
        <w:rPr>
          <w:rFonts w:ascii="仿宋" w:hAnsi="仿宋" w:eastAsia="仿宋" w:cs="仿宋"/>
          <w:spacing w:val="6"/>
          <w:sz w:val="24"/>
          <w:szCs w:val="24"/>
        </w:rPr>
        <w:t>泾清项目管理有限公司：</w:t>
      </w:r>
    </w:p>
    <w:p>
      <w:pPr>
        <w:pStyle w:val="340"/>
        <w:numPr>
          <w:ilvl w:val="0"/>
          <w:numId w:val="0"/>
        </w:numPr>
        <w:adjustRightInd/>
        <w:snapToGrid w:val="0"/>
        <w:spacing w:line="460" w:lineRule="exact"/>
        <w:ind w:firstLine="504" w:firstLineChars="200"/>
        <w:rPr>
          <w:rFonts w:ascii="仿宋" w:hAnsi="仿宋" w:eastAsia="仿宋" w:cs="仿宋"/>
          <w:spacing w:val="6"/>
          <w:sz w:val="24"/>
          <w:szCs w:val="24"/>
        </w:rPr>
      </w:pPr>
      <w:r>
        <w:rPr>
          <w:rFonts w:ascii="仿宋" w:hAnsi="仿宋" w:eastAsia="仿宋" w:cs="仿宋"/>
          <w:spacing w:val="6"/>
          <w:sz w:val="24"/>
          <w:szCs w:val="24"/>
        </w:rPr>
        <w:t>本人</w:t>
      </w:r>
      <w:r>
        <w:rPr>
          <w:rFonts w:ascii="仿宋" w:hAnsi="仿宋" w:eastAsia="仿宋" w:cs="仿宋"/>
          <w:spacing w:val="6"/>
          <w:sz w:val="24"/>
          <w:szCs w:val="24"/>
          <w:u w:val="single"/>
        </w:rPr>
        <w:t xml:space="preserve">      </w:t>
      </w:r>
      <w:r>
        <w:rPr>
          <w:rFonts w:ascii="仿宋" w:hAnsi="仿宋" w:eastAsia="仿宋" w:cs="仿宋"/>
          <w:spacing w:val="6"/>
          <w:sz w:val="24"/>
          <w:szCs w:val="24"/>
        </w:rPr>
        <w:t>经由</w:t>
      </w:r>
      <w:r>
        <w:rPr>
          <w:rFonts w:ascii="仿宋" w:hAnsi="仿宋" w:eastAsia="仿宋" w:cs="仿宋"/>
          <w:spacing w:val="6"/>
          <w:sz w:val="24"/>
          <w:szCs w:val="24"/>
          <w:u w:val="single"/>
        </w:rPr>
        <w:t xml:space="preserve">                                （单位）</w:t>
      </w:r>
      <w:r>
        <w:rPr>
          <w:rFonts w:ascii="仿宋" w:hAnsi="仿宋" w:eastAsia="仿宋" w:cs="仿宋"/>
          <w:spacing w:val="6"/>
          <w:sz w:val="24"/>
          <w:szCs w:val="24"/>
        </w:rPr>
        <w:t>负责人</w:t>
      </w:r>
      <w:r>
        <w:rPr>
          <w:rFonts w:ascii="仿宋" w:hAnsi="仿宋" w:eastAsia="仿宋" w:cs="仿宋"/>
          <w:spacing w:val="6"/>
          <w:sz w:val="24"/>
          <w:szCs w:val="24"/>
          <w:u w:val="single"/>
        </w:rPr>
        <w:t xml:space="preserve"> </w:t>
      </w:r>
      <w:r>
        <w:rPr>
          <w:rFonts w:ascii="仿宋" w:hAnsi="仿宋" w:eastAsia="仿宋" w:cs="仿宋"/>
          <w:i/>
          <w:iCs/>
          <w:spacing w:val="6"/>
          <w:sz w:val="24"/>
          <w:szCs w:val="24"/>
          <w:u w:val="single"/>
        </w:rPr>
        <w:t xml:space="preserve">     </w:t>
      </w:r>
      <w:r>
        <w:rPr>
          <w:rFonts w:ascii="仿宋" w:hAnsi="仿宋" w:eastAsia="仿宋" w:cs="仿宋"/>
          <w:spacing w:val="6"/>
          <w:sz w:val="24"/>
          <w:szCs w:val="24"/>
          <w:u w:val="single"/>
        </w:rPr>
        <w:t>（姓名）</w:t>
      </w:r>
      <w:r>
        <w:rPr>
          <w:rFonts w:ascii="仿宋" w:hAnsi="仿宋" w:eastAsia="仿宋" w:cs="仿宋"/>
          <w:spacing w:val="6"/>
          <w:sz w:val="24"/>
          <w:szCs w:val="24"/>
        </w:rPr>
        <w:t>合法授权参加</w:t>
      </w:r>
      <w:r>
        <w:rPr>
          <w:rFonts w:ascii="仿宋" w:hAnsi="仿宋" w:eastAsia="仿宋" w:cs="仿宋"/>
          <w:spacing w:val="6"/>
          <w:sz w:val="24"/>
          <w:szCs w:val="24"/>
          <w:u w:val="single"/>
        </w:rPr>
        <w:t xml:space="preserve">                </w:t>
      </w:r>
      <w:r>
        <w:rPr>
          <w:rFonts w:ascii="仿宋" w:hAnsi="仿宋" w:eastAsia="仿宋" w:cs="仿宋"/>
          <w:spacing w:val="6"/>
          <w:sz w:val="24"/>
          <w:szCs w:val="24"/>
        </w:rPr>
        <w:t>（项目编号：</w:t>
      </w:r>
      <w:r>
        <w:rPr>
          <w:rFonts w:ascii="仿宋" w:hAnsi="仿宋" w:eastAsia="仿宋" w:cs="仿宋"/>
          <w:spacing w:val="6"/>
          <w:sz w:val="24"/>
          <w:szCs w:val="24"/>
          <w:u w:val="single"/>
        </w:rPr>
        <w:t xml:space="preserve">            </w:t>
      </w:r>
      <w:r>
        <w:rPr>
          <w:rFonts w:ascii="仿宋" w:hAnsi="仿宋" w:eastAsia="仿宋" w:cs="仿宋"/>
          <w:spacing w:val="6"/>
          <w:sz w:val="24"/>
          <w:szCs w:val="24"/>
        </w:rPr>
        <w:t xml:space="preserve">）采购活动，经与本单位法人代表（负责人）联系确认，现就有关公平竞争事项郑重声明如下： </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一、本单位与采购人之间 </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□不存在利害关系;</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141"/>
        <w:widowControl/>
        <w:snapToGrid w:val="0"/>
        <w:spacing w:line="460" w:lineRule="exact"/>
        <w:rPr>
          <w:rFonts w:ascii="仿宋" w:hAnsi="仿宋" w:eastAsia="仿宋" w:cs="仿宋"/>
          <w:kern w:val="0"/>
          <w:sz w:val="24"/>
          <w:szCs w:val="24"/>
        </w:rPr>
      </w:pPr>
      <w:r>
        <w:rPr>
          <w:rFonts w:ascii="仿宋" w:hAnsi="仿宋" w:eastAsia="仿宋" w:cs="仿宋"/>
          <w:spacing w:val="6"/>
          <w:sz w:val="24"/>
          <w:szCs w:val="24"/>
        </w:rPr>
        <w:t>二、</w:t>
      </w:r>
      <w:r>
        <w:rPr>
          <w:rFonts w:ascii="仿宋" w:hAnsi="仿宋" w:eastAsia="仿宋" w:cs="仿宋"/>
          <w:kern w:val="0"/>
          <w:sz w:val="24"/>
          <w:szCs w:val="24"/>
        </w:rPr>
        <w:t xml:space="preserve">现已清楚知道参加本项目采购活动的其他所有供应商名称，本单位 </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□与其他所有供应商之间均不存在利害关系 </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 xml:space="preserve">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A.法定代表人或负责人或实际控制人是同一人</w:t>
      </w:r>
    </w:p>
    <w:p>
      <w:pPr>
        <w:pStyle w:val="340"/>
        <w:numPr>
          <w:ilvl w:val="0"/>
          <w:numId w:val="0"/>
        </w:numPr>
        <w:adjustRightInd/>
        <w:snapToGrid w:val="0"/>
        <w:spacing w:line="460" w:lineRule="exact"/>
        <w:rPr>
          <w:rFonts w:ascii="仿宋" w:hAnsi="仿宋" w:eastAsia="仿宋" w:cs="仿宋"/>
          <w:spacing w:val="6"/>
          <w:sz w:val="24"/>
          <w:szCs w:val="24"/>
        </w:rPr>
      </w:pPr>
      <w:r>
        <w:rPr>
          <w:rFonts w:ascii="仿宋" w:hAnsi="仿宋" w:eastAsia="仿宋" w:cs="仿宋"/>
          <w:sz w:val="24"/>
          <w:szCs w:val="24"/>
        </w:rPr>
        <w:t>B.法定代表人或负责人或实际控制人是夫妻关系</w:t>
      </w:r>
    </w:p>
    <w:p>
      <w:pPr>
        <w:pStyle w:val="340"/>
        <w:numPr>
          <w:ilvl w:val="0"/>
          <w:numId w:val="0"/>
        </w:numPr>
        <w:adjustRightInd/>
        <w:snapToGrid w:val="0"/>
        <w:spacing w:line="460" w:lineRule="exact"/>
        <w:rPr>
          <w:rFonts w:ascii="仿宋" w:hAnsi="仿宋" w:eastAsia="仿宋" w:cs="仿宋"/>
          <w:spacing w:val="6"/>
          <w:sz w:val="24"/>
          <w:szCs w:val="24"/>
        </w:rPr>
      </w:pPr>
      <w:r>
        <w:rPr>
          <w:rFonts w:ascii="仿宋" w:hAnsi="仿宋" w:eastAsia="仿宋" w:cs="仿宋"/>
          <w:sz w:val="24"/>
          <w:szCs w:val="24"/>
        </w:rPr>
        <w:t>C.法定代表人或负责人或实际控制人是直系血亲关系</w:t>
      </w:r>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D.法定代表人或负责人或实际控制人存在三代以内旁系血亲关系</w:t>
      </w:r>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E.法定代表人或负责人或实际控制人存在近姻亲关系</w:t>
      </w:r>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F.法定代表人或负责人或实际控制人存在股份控制或实际控制关系</w:t>
      </w:r>
      <w:bookmarkStart w:id="151" w:name="_Toc11926"/>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G.存在共同直接或间接投资设立子公司、联营企业和合营企业情况</w:t>
      </w:r>
      <w:bookmarkEnd w:id="151"/>
    </w:p>
    <w:p>
      <w:pPr>
        <w:pStyle w:val="340"/>
        <w:numPr>
          <w:ilvl w:val="0"/>
          <w:numId w:val="0"/>
        </w:numPr>
        <w:adjustRightInd/>
        <w:snapToGrid w:val="0"/>
        <w:spacing w:line="460" w:lineRule="exact"/>
        <w:rPr>
          <w:rFonts w:ascii="仿宋" w:hAnsi="仿宋" w:eastAsia="仿宋" w:cs="仿宋"/>
          <w:sz w:val="24"/>
          <w:szCs w:val="24"/>
        </w:rPr>
      </w:pPr>
      <w:r>
        <w:rPr>
          <w:rFonts w:ascii="仿宋" w:hAnsi="仿宋" w:eastAsia="仿宋" w:cs="仿宋"/>
          <w:sz w:val="24"/>
          <w:szCs w:val="24"/>
        </w:rPr>
        <w:t>H.存在分级代理或代销关系、同一生产制造商关系、管理关系、重要业务（占主营业务收入50%以上）或重要财务往来关系（如融资）等其他实质性控制关系</w:t>
      </w:r>
    </w:p>
    <w:p>
      <w:pPr>
        <w:pStyle w:val="340"/>
        <w:numPr>
          <w:ilvl w:val="0"/>
          <w:numId w:val="0"/>
        </w:numPr>
        <w:adjustRightInd/>
        <w:snapToGrid w:val="0"/>
        <w:spacing w:line="460" w:lineRule="exact"/>
        <w:rPr>
          <w:rFonts w:ascii="仿宋" w:hAnsi="仿宋" w:eastAsia="仿宋" w:cs="仿宋"/>
          <w:spacing w:val="6"/>
          <w:sz w:val="24"/>
          <w:szCs w:val="24"/>
        </w:rPr>
      </w:pPr>
      <w:r>
        <w:rPr>
          <w:rFonts w:ascii="仿宋" w:hAnsi="仿宋" w:eastAsia="仿宋" w:cs="仿宋"/>
          <w:sz w:val="24"/>
          <w:szCs w:val="24"/>
        </w:rPr>
        <w:t>I.其他利害关系情况</w:t>
      </w:r>
      <w:r>
        <w:rPr>
          <w:rFonts w:ascii="仿宋" w:hAnsi="仿宋" w:eastAsia="仿宋" w:cs="仿宋"/>
          <w:sz w:val="24"/>
          <w:szCs w:val="24"/>
          <w:u w:val="single"/>
        </w:rPr>
        <w:t xml:space="preserve">                              </w:t>
      </w:r>
      <w:r>
        <w:rPr>
          <w:rFonts w:ascii="仿宋" w:hAnsi="仿宋" w:eastAsia="仿宋" w:cs="仿宋"/>
          <w:sz w:val="24"/>
          <w:szCs w:val="24"/>
        </w:rPr>
        <w:t>。</w:t>
      </w:r>
    </w:p>
    <w:p>
      <w:pPr>
        <w:pStyle w:val="141"/>
        <w:widowControl/>
        <w:snapToGrid w:val="0"/>
        <w:spacing w:line="460" w:lineRule="exact"/>
        <w:rPr>
          <w:rFonts w:ascii="仿宋" w:hAnsi="仿宋" w:eastAsia="仿宋" w:cs="仿宋"/>
          <w:kern w:val="0"/>
          <w:sz w:val="24"/>
          <w:szCs w:val="24"/>
        </w:rPr>
      </w:pPr>
      <w:r>
        <w:rPr>
          <w:rFonts w:ascii="仿宋" w:hAnsi="仿宋" w:eastAsia="仿宋" w:cs="仿宋"/>
          <w:sz w:val="24"/>
          <w:szCs w:val="24"/>
        </w:rPr>
        <w:t>三、现已清楚知道并</w:t>
      </w:r>
      <w:r>
        <w:rPr>
          <w:rFonts w:ascii="仿宋" w:hAnsi="仿宋" w:eastAsia="仿宋" w:cs="仿宋"/>
          <w:kern w:val="0"/>
          <w:sz w:val="24"/>
          <w:szCs w:val="24"/>
        </w:rPr>
        <w:t>严格遵守采购法律法规和现场纪律。</w:t>
      </w:r>
    </w:p>
    <w:p>
      <w:pPr>
        <w:pStyle w:val="141"/>
        <w:widowControl/>
        <w:snapToGrid w:val="0"/>
        <w:spacing w:line="460" w:lineRule="exact"/>
        <w:rPr>
          <w:rFonts w:ascii="仿宋" w:hAnsi="仿宋" w:eastAsia="仿宋" w:cs="仿宋"/>
          <w:kern w:val="0"/>
          <w:sz w:val="24"/>
          <w:szCs w:val="24"/>
        </w:rPr>
      </w:pPr>
      <w:r>
        <w:rPr>
          <w:rFonts w:ascii="仿宋" w:hAnsi="仿宋" w:eastAsia="仿宋" w:cs="仿宋"/>
          <w:kern w:val="0"/>
          <w:sz w:val="24"/>
          <w:szCs w:val="24"/>
        </w:rPr>
        <w:t>四、我发现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340"/>
        <w:numPr>
          <w:ilvl w:val="0"/>
          <w:numId w:val="0"/>
        </w:numPr>
        <w:adjustRightInd/>
        <w:snapToGrid w:val="0"/>
        <w:spacing w:line="360" w:lineRule="auto"/>
        <w:rPr>
          <w:rFonts w:ascii="仿宋" w:hAnsi="仿宋" w:eastAsia="仿宋" w:cs="仿宋"/>
          <w:sz w:val="24"/>
          <w:szCs w:val="24"/>
        </w:rPr>
      </w:pPr>
    </w:p>
    <w:p>
      <w:pPr>
        <w:rPr>
          <w:rFonts w:hint="eastAsia" w:ascii="仿宋" w:hAnsi="仿宋" w:eastAsia="仿宋" w:cs="仿宋"/>
          <w:szCs w:val="24"/>
        </w:rPr>
      </w:pPr>
    </w:p>
    <w:p>
      <w:pPr>
        <w:rPr>
          <w:rFonts w:hint="eastAsia" w:ascii="仿宋" w:hAnsi="仿宋" w:eastAsia="仿宋" w:cs="仿宋"/>
          <w:szCs w:val="24"/>
        </w:rPr>
        <w:sectPr>
          <w:footerReference r:id="rId5" w:type="first"/>
          <w:headerReference r:id="rId3" w:type="default"/>
          <w:footerReference r:id="rId4" w:type="default"/>
          <w:pgSz w:w="11906" w:h="16838"/>
          <w:pgMar w:top="1417" w:right="1417" w:bottom="1417" w:left="1417" w:header="851" w:footer="992" w:gutter="0"/>
          <w:cols w:space="0" w:num="1"/>
          <w:titlePg/>
          <w:docGrid w:linePitch="312" w:charSpace="0"/>
        </w:sectPr>
      </w:pPr>
      <w:r>
        <w:rPr>
          <w:rFonts w:hint="eastAsia" w:ascii="仿宋" w:hAnsi="仿宋" w:eastAsia="仿宋" w:cs="仿宋"/>
          <w:szCs w:val="24"/>
        </w:rPr>
        <w:t>（供应商代表签名）：                                      年  月  日</w:t>
      </w:r>
    </w:p>
    <w:p>
      <w:pPr>
        <w:spacing w:line="360" w:lineRule="auto"/>
        <w:ind w:right="-934" w:rightChars="-38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w:t>
      </w:r>
    </w:p>
    <w:p>
      <w:pPr>
        <w:autoSpaceDE w:val="0"/>
        <w:autoSpaceDN w:val="0"/>
        <w:adjustRightInd w:val="0"/>
        <w:spacing w:line="440" w:lineRule="exact"/>
        <w:jc w:val="center"/>
        <w:outlineLvl w:val="0"/>
        <w:rPr>
          <w:rFonts w:hint="eastAsia" w:ascii="仿宋" w:hAnsi="仿宋" w:eastAsia="仿宋" w:cs="仿宋"/>
          <w:b/>
          <w:bCs/>
          <w:color w:val="auto"/>
          <w:sz w:val="32"/>
          <w:szCs w:val="32"/>
        </w:rPr>
      </w:pPr>
      <w:bookmarkStart w:id="152" w:name="_Toc468735056"/>
      <w:r>
        <w:rPr>
          <w:rFonts w:hint="eastAsia" w:ascii="仿宋" w:hAnsi="仿宋" w:eastAsia="仿宋" w:cs="仿宋"/>
          <w:b/>
          <w:bCs/>
          <w:color w:val="auto"/>
          <w:sz w:val="32"/>
          <w:szCs w:val="32"/>
        </w:rPr>
        <w:t>委托运行和维护管理考核标准（评分表）</w:t>
      </w:r>
      <w:bookmarkEnd w:id="152"/>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总分</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00分）</w:t>
      </w:r>
    </w:p>
    <w:tbl>
      <w:tblPr>
        <w:tblStyle w:val="80"/>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3530"/>
        <w:gridCol w:w="832"/>
        <w:gridCol w:w="6163"/>
        <w:gridCol w:w="95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center"/>
          </w:tcPr>
          <w:p>
            <w:pPr>
              <w:jc w:val="center"/>
              <w:rPr>
                <w:rFonts w:hint="eastAsia" w:ascii="仿宋" w:hAnsi="仿宋" w:eastAsia="仿宋" w:cs="仿宋"/>
                <w:color w:val="auto"/>
                <w:szCs w:val="21"/>
              </w:rPr>
            </w:pPr>
            <w:r>
              <w:rPr>
                <w:rFonts w:hint="eastAsia" w:ascii="仿宋" w:hAnsi="仿宋" w:eastAsia="仿宋" w:cs="仿宋"/>
                <w:bCs/>
                <w:color w:val="auto"/>
                <w:kern w:val="0"/>
                <w:szCs w:val="21"/>
              </w:rPr>
              <w:t>类别</w:t>
            </w:r>
          </w:p>
        </w:tc>
        <w:tc>
          <w:tcPr>
            <w:tcW w:w="4790" w:type="dxa"/>
            <w:gridSpan w:val="2"/>
            <w:noWrap w:val="0"/>
            <w:vAlign w:val="center"/>
          </w:tcPr>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考 核 内 容</w:t>
            </w:r>
          </w:p>
        </w:tc>
        <w:tc>
          <w:tcPr>
            <w:tcW w:w="832" w:type="dxa"/>
            <w:noWrap w:val="0"/>
            <w:vAlign w:val="center"/>
          </w:tcPr>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标准</w:t>
            </w:r>
          </w:p>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分值</w:t>
            </w:r>
          </w:p>
        </w:tc>
        <w:tc>
          <w:tcPr>
            <w:tcW w:w="6163" w:type="dxa"/>
            <w:noWrap w:val="0"/>
            <w:vAlign w:val="center"/>
          </w:tcPr>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评 分 标 准</w:t>
            </w:r>
          </w:p>
        </w:tc>
        <w:tc>
          <w:tcPr>
            <w:tcW w:w="955" w:type="dxa"/>
            <w:noWrap w:val="0"/>
            <w:vAlign w:val="center"/>
          </w:tcPr>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自评扣分描述</w:t>
            </w:r>
          </w:p>
        </w:tc>
        <w:tc>
          <w:tcPr>
            <w:tcW w:w="1052" w:type="dxa"/>
            <w:noWrap w:val="0"/>
            <w:vAlign w:val="center"/>
          </w:tcPr>
          <w:p>
            <w:pPr>
              <w:widowControl/>
              <w:adjustRightInd w:val="0"/>
              <w:snapToGrid w:val="0"/>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考核扣分描述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trPr>
        <w:tc>
          <w:tcPr>
            <w:tcW w:w="1188" w:type="dxa"/>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安全</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生产</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目标</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55</w:t>
            </w:r>
            <w:r>
              <w:rPr>
                <w:rFonts w:hint="eastAsia" w:ascii="仿宋" w:hAnsi="仿宋" w:eastAsia="仿宋" w:cs="仿宋"/>
                <w:color w:val="auto"/>
                <w:kern w:val="0"/>
                <w:szCs w:val="21"/>
              </w:rPr>
              <w:t>分）</w:t>
            </w:r>
          </w:p>
        </w:tc>
        <w:tc>
          <w:tcPr>
            <w:tcW w:w="4790" w:type="dxa"/>
            <w:gridSpan w:val="2"/>
            <w:noWrap w:val="0"/>
            <w:vAlign w:val="center"/>
          </w:tcPr>
          <w:p>
            <w:pPr>
              <w:adjustRightInd w:val="0"/>
              <w:snapToGrid w:val="0"/>
              <w:ind w:firstLine="240" w:firstLineChars="1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1、从业人员须持有省水利厅颁发的水电站运行管理从业资格证。</w:t>
            </w:r>
          </w:p>
          <w:p>
            <w:pPr>
              <w:adjustRightInd w:val="0"/>
              <w:snapToGrid w:val="0"/>
              <w:ind w:firstLine="240" w:firstLineChars="1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2、建立健全安全生产目标管理制度。</w:t>
            </w:r>
          </w:p>
          <w:p>
            <w:pPr>
              <w:adjustRightInd w:val="0"/>
              <w:snapToGrid w:val="0"/>
              <w:ind w:firstLine="240" w:firstLineChars="1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3、逐级签订年度安全生产责任书。</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lang w:val="en-US" w:eastAsia="zh-CN"/>
              </w:rPr>
              <w:t>4、每月召开安全生产会议，定期对安全生产目标的完成情况进行监督，开展安全生产目标年终考核。</w:t>
            </w:r>
          </w:p>
        </w:tc>
        <w:tc>
          <w:tcPr>
            <w:tcW w:w="832" w:type="dxa"/>
            <w:vMerge w:val="restart"/>
            <w:noWrap w:val="0"/>
            <w:vAlign w:val="center"/>
          </w:tcPr>
          <w:p>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55</w:t>
            </w:r>
          </w:p>
        </w:tc>
        <w:tc>
          <w:tcPr>
            <w:tcW w:w="6163" w:type="dxa"/>
            <w:noWrap w:val="0"/>
            <w:vAlign w:val="center"/>
          </w:tcPr>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未持证上岗，每人扣2分；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上岗证率低于70%，不得分。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无安全生产目标管理制度，不得分；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目标的制定中，安全事故控制指标、安全生产隐患排查治理目标不清，</w:t>
            </w:r>
            <w:r>
              <w:rPr>
                <w:rFonts w:hint="eastAsia" w:ascii="仿宋" w:hAnsi="仿宋" w:eastAsia="仿宋" w:cs="仿宋"/>
                <w:color w:val="auto"/>
                <w:lang w:eastAsia="zh-CN"/>
              </w:rPr>
              <w:t>扣</w:t>
            </w:r>
            <w:r>
              <w:rPr>
                <w:rFonts w:hint="eastAsia" w:ascii="仿宋" w:hAnsi="仿宋" w:eastAsia="仿宋" w:cs="仿宋"/>
                <w:color w:val="auto"/>
                <w:lang w:val="en-US" w:eastAsia="zh-CN"/>
              </w:rPr>
              <w:t>10分</w:t>
            </w:r>
            <w:r>
              <w:rPr>
                <w:rFonts w:hint="eastAsia" w:ascii="仿宋" w:hAnsi="仿宋" w:eastAsia="仿宋" w:cs="仿宋"/>
                <w:color w:val="auto"/>
              </w:rPr>
              <w:t>；</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目标的分解、控制、考核等内容不明确，年度考核不完善，每项扣</w:t>
            </w:r>
            <w:r>
              <w:rPr>
                <w:rFonts w:hint="eastAsia" w:ascii="仿宋" w:hAnsi="仿宋" w:eastAsia="仿宋" w:cs="仿宋"/>
                <w:color w:val="auto"/>
                <w:lang w:val="en-US" w:eastAsia="zh-CN"/>
              </w:rPr>
              <w:t>5</w:t>
            </w:r>
            <w:r>
              <w:rPr>
                <w:rFonts w:hint="eastAsia" w:ascii="仿宋" w:hAnsi="仿宋" w:eastAsia="仿宋" w:cs="仿宋"/>
                <w:color w:val="auto"/>
              </w:rPr>
              <w:t>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未逐级签订安全责任书，不得分；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有缺级或漏签，</w:t>
            </w:r>
            <w:r>
              <w:rPr>
                <w:rFonts w:hint="eastAsia" w:ascii="仿宋" w:hAnsi="仿宋" w:eastAsia="仿宋" w:cs="仿宋"/>
                <w:color w:val="auto"/>
                <w:lang w:eastAsia="zh-CN"/>
              </w:rPr>
              <w:t>扣</w:t>
            </w:r>
            <w:r>
              <w:rPr>
                <w:rFonts w:hint="eastAsia" w:ascii="仿宋" w:hAnsi="仿宋" w:eastAsia="仿宋" w:cs="仿宋"/>
                <w:color w:val="auto"/>
                <w:lang w:val="en-US" w:eastAsia="zh-CN"/>
              </w:rPr>
              <w:t>10分</w:t>
            </w:r>
            <w:r>
              <w:rPr>
                <w:rFonts w:hint="eastAsia" w:ascii="仿宋" w:hAnsi="仿宋" w:eastAsia="仿宋" w:cs="仿宋"/>
                <w:color w:val="auto"/>
              </w:rPr>
              <w:t>。</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未每月召开安全生产会议，不得分；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无安全生产目标监督记录，</w:t>
            </w:r>
            <w:r>
              <w:rPr>
                <w:rFonts w:hint="eastAsia" w:ascii="仿宋" w:hAnsi="仿宋" w:eastAsia="仿宋" w:cs="仿宋"/>
                <w:color w:val="auto"/>
                <w:lang w:eastAsia="zh-CN"/>
              </w:rPr>
              <w:t>扣</w:t>
            </w:r>
            <w:r>
              <w:rPr>
                <w:rFonts w:hint="eastAsia" w:ascii="仿宋" w:hAnsi="仿宋" w:eastAsia="仿宋" w:cs="仿宋"/>
                <w:color w:val="auto"/>
                <w:lang w:val="en-US" w:eastAsia="zh-CN"/>
              </w:rPr>
              <w:t>10分</w:t>
            </w:r>
            <w:r>
              <w:rPr>
                <w:rFonts w:hint="eastAsia" w:ascii="仿宋" w:hAnsi="仿宋" w:eastAsia="仿宋" w:cs="仿宋"/>
                <w:color w:val="auto"/>
              </w:rPr>
              <w:t>；</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未完成年度安全考核，不得分；</w:t>
            </w:r>
          </w:p>
          <w:p>
            <w:pPr>
              <w:adjustRightInd w:val="0"/>
              <w:snapToGrid w:val="0"/>
              <w:ind w:firstLine="240" w:firstLineChars="100"/>
              <w:rPr>
                <w:rFonts w:hint="eastAsia" w:ascii="仿宋" w:hAnsi="仿宋" w:eastAsia="仿宋" w:cs="仿宋"/>
                <w:color w:val="auto"/>
              </w:rPr>
            </w:pPr>
            <w:r>
              <w:rPr>
                <w:rFonts w:hint="eastAsia" w:ascii="仿宋" w:hAnsi="仿宋" w:eastAsia="仿宋" w:cs="仿宋"/>
                <w:color w:val="auto"/>
              </w:rPr>
              <w:t>记录不完善，每项扣</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955" w:type="dxa"/>
            <w:noWrap w:val="0"/>
            <w:vAlign w:val="center"/>
          </w:tcPr>
          <w:p>
            <w:pPr>
              <w:autoSpaceDE w:val="0"/>
              <w:autoSpaceDN w:val="0"/>
              <w:adjustRightInd w:val="0"/>
              <w:rPr>
                <w:rFonts w:hint="eastAsia" w:ascii="仿宋" w:hAnsi="仿宋" w:eastAsia="仿宋" w:cs="仿宋"/>
                <w:color w:val="auto"/>
                <w:sz w:val="18"/>
                <w:szCs w:val="18"/>
              </w:rPr>
            </w:pPr>
          </w:p>
        </w:tc>
        <w:tc>
          <w:tcPr>
            <w:tcW w:w="1052" w:type="dxa"/>
            <w:noWrap w:val="0"/>
            <w:vAlign w:val="center"/>
          </w:tcPr>
          <w:p>
            <w:pPr>
              <w:widowControl/>
              <w:adjustRightInd w:val="0"/>
              <w:snapToGrid w:val="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法律</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法规</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与安</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全管</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理制</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度</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（60分）</w:t>
            </w:r>
          </w:p>
        </w:tc>
        <w:tc>
          <w:tcPr>
            <w:tcW w:w="4790" w:type="dxa"/>
            <w:gridSpan w:val="2"/>
            <w:noWrap w:val="0"/>
            <w:vAlign w:val="center"/>
          </w:tcPr>
          <w:p>
            <w:pPr>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应有与规章制度相配套的记录、表格。重要记录包括值班记事（含调度命令、设备操作、事故故障情况及处理、巡查结果、交接班情况等内容）、设备检修、电气设备预防性试验、电气绝缘工具和安全用具检查试验等；一般记录包括设备缺陷、闸门启闭操作、设备设施评级、设备命名标识、教育培训登记、外来人员登记、档案借阅登记等。</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50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重要记录有缺项，不得分。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一般记录表格有缺项，每项扣2分。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规章制度不健全，每缺1项扣5分；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管理制度未上墙，扣5分；</w:t>
            </w:r>
          </w:p>
          <w:p>
            <w:pPr>
              <w:adjustRightInd w:val="0"/>
              <w:snapToGrid w:val="0"/>
              <w:ind w:firstLine="240" w:firstLineChars="100"/>
              <w:rPr>
                <w:rFonts w:hint="eastAsia" w:ascii="仿宋" w:hAnsi="仿宋" w:eastAsia="仿宋" w:cs="仿宋"/>
                <w:color w:val="auto"/>
                <w:szCs w:val="21"/>
              </w:rPr>
            </w:pP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严格规范文件和档案管理。</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文件和档案管理混乱，扣5分；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文件和档案未定点存放，扣5分。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188" w:type="dxa"/>
            <w:vMerge w:val="restart"/>
            <w:noWrap w:val="0"/>
            <w:vAlign w:val="top"/>
          </w:tcPr>
          <w:p>
            <w:pPr>
              <w:rPr>
                <w:rFonts w:hint="eastAsia" w:ascii="仿宋" w:hAnsi="仿宋" w:eastAsia="仿宋" w:cs="仿宋"/>
                <w:color w:val="auto"/>
              </w:rPr>
            </w:pPr>
          </w:p>
          <w:p>
            <w:pPr>
              <w:rPr>
                <w:rFonts w:hint="eastAsia" w:ascii="仿宋" w:hAnsi="仿宋" w:eastAsia="仿宋" w:cs="仿宋"/>
                <w:color w:val="auto"/>
                <w:lang w:val="en-US" w:eastAsia="zh-CN"/>
              </w:rPr>
            </w:pPr>
          </w:p>
          <w:p>
            <w:pPr>
              <w:jc w:val="center"/>
              <w:rPr>
                <w:rFonts w:hint="eastAsia" w:ascii="仿宋" w:hAnsi="仿宋" w:eastAsia="仿宋" w:cs="仿宋"/>
                <w:color w:val="auto"/>
                <w:lang w:val="en-US" w:eastAsia="zh-CN"/>
              </w:rPr>
            </w:pPr>
            <w:r>
              <w:rPr>
                <w:rFonts w:hint="eastAsia" w:ascii="仿宋" w:hAnsi="仿宋" w:eastAsia="仿宋" w:cs="仿宋"/>
                <w:color w:val="auto"/>
                <w:kern w:val="2"/>
                <w:sz w:val="21"/>
                <w:szCs w:val="21"/>
                <w:lang w:val="en-US" w:eastAsia="zh-CN" w:bidi="ar-SA"/>
              </w:rPr>
              <w:t>3、教育培训（35分）</w:t>
            </w:r>
          </w:p>
        </w:tc>
        <w:tc>
          <w:tcPr>
            <w:tcW w:w="4790" w:type="dxa"/>
            <w:gridSpan w:val="2"/>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定期学习法律法规与安全生产管理制度。</w:t>
            </w:r>
          </w:p>
        </w:tc>
        <w:tc>
          <w:tcPr>
            <w:tcW w:w="832" w:type="dxa"/>
            <w:noWrap w:val="0"/>
            <w:vAlign w:val="center"/>
          </w:tcPr>
          <w:p>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未组织年度学习并形成记录，</w:t>
            </w:r>
            <w:r>
              <w:rPr>
                <w:rFonts w:hint="eastAsia" w:ascii="仿宋" w:hAnsi="仿宋" w:eastAsia="仿宋" w:cs="仿宋"/>
                <w:color w:val="auto"/>
                <w:szCs w:val="21"/>
                <w:lang w:eastAsia="zh-CN"/>
              </w:rPr>
              <w:t>扣</w:t>
            </w:r>
            <w:r>
              <w:rPr>
                <w:rFonts w:hint="eastAsia" w:ascii="仿宋" w:hAnsi="仿宋" w:eastAsia="仿宋" w:cs="仿宋"/>
                <w:color w:val="auto"/>
                <w:szCs w:val="21"/>
                <w:lang w:val="en-US" w:eastAsia="zh-CN"/>
              </w:rPr>
              <w:t>5分</w:t>
            </w:r>
            <w:r>
              <w:rPr>
                <w:rFonts w:hint="eastAsia" w:ascii="仿宋" w:hAnsi="仿宋" w:eastAsia="仿宋" w:cs="仿宋"/>
                <w:color w:val="auto"/>
                <w:szCs w:val="21"/>
              </w:rPr>
              <w:t>；</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学习内容不完整，每项扣5分。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每年对在岗的从业人员进行不少于1次的安全生产教育培训和考核。</w:t>
            </w:r>
          </w:p>
        </w:tc>
        <w:tc>
          <w:tcPr>
            <w:tcW w:w="832" w:type="dxa"/>
            <w:noWrap w:val="0"/>
            <w:vAlign w:val="center"/>
          </w:tcPr>
          <w:p>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无培训、考核记录，不得分。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188" w:type="dxa"/>
            <w:vMerge w:val="restart"/>
            <w:noWrap w:val="0"/>
            <w:vAlign w:val="center"/>
          </w:tcPr>
          <w:p>
            <w:pPr>
              <w:widowControl/>
              <w:adjustRightInd w:val="0"/>
              <w:snapToGrid w:val="0"/>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生产</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设备</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设施</w:t>
            </w:r>
          </w:p>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0分）</w:t>
            </w: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jc w:val="center"/>
              <w:rPr>
                <w:rFonts w:hint="eastAsia" w:ascii="仿宋" w:hAnsi="仿宋" w:eastAsia="仿宋" w:cs="仿宋"/>
                <w:color w:val="auto"/>
                <w:szCs w:val="21"/>
              </w:rPr>
            </w:pP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生产</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设备</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设施</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33</w:t>
            </w:r>
            <w:r>
              <w:rPr>
                <w:rFonts w:hint="eastAsia" w:ascii="仿宋" w:hAnsi="仿宋" w:eastAsia="仿宋" w:cs="仿宋"/>
                <w:color w:val="auto"/>
                <w:kern w:val="0"/>
                <w:szCs w:val="21"/>
              </w:rPr>
              <w:t>0分</w:t>
            </w:r>
          </w:p>
        </w:tc>
        <w:tc>
          <w:tcPr>
            <w:tcW w:w="1260" w:type="dxa"/>
            <w:noWrap w:val="0"/>
            <w:vAlign w:val="center"/>
          </w:tcPr>
          <w:p>
            <w:pPr>
              <w:widowControl/>
              <w:adjustRightInd w:val="0"/>
              <w:snapToGrid w:val="0"/>
              <w:ind w:left="-72" w:leftChars="-30" w:right="-72" w:rightChars="-30"/>
              <w:jc w:val="center"/>
              <w:rPr>
                <w:rFonts w:hint="eastAsia" w:ascii="仿宋" w:hAnsi="仿宋" w:eastAsia="仿宋" w:cs="仿宋"/>
                <w:color w:val="auto"/>
                <w:kern w:val="0"/>
                <w:szCs w:val="21"/>
              </w:rPr>
            </w:pPr>
            <w:r>
              <w:rPr>
                <w:rFonts w:hint="eastAsia" w:ascii="仿宋" w:hAnsi="仿宋" w:eastAsia="仿宋" w:cs="仿宋"/>
                <w:color w:val="auto"/>
                <w:kern w:val="0"/>
                <w:szCs w:val="21"/>
              </w:rPr>
              <w:t>4.1</w:t>
            </w:r>
          </w:p>
          <w:p>
            <w:pPr>
              <w:widowControl/>
              <w:adjustRightInd w:val="0"/>
              <w:snapToGrid w:val="0"/>
              <w:ind w:left="-72" w:leftChars="-30" w:right="-72" w:rightChars="-30"/>
              <w:jc w:val="center"/>
              <w:rPr>
                <w:rFonts w:hint="eastAsia" w:ascii="仿宋" w:hAnsi="仿宋" w:eastAsia="仿宋" w:cs="仿宋"/>
                <w:color w:val="auto"/>
                <w:kern w:val="0"/>
                <w:szCs w:val="21"/>
              </w:rPr>
            </w:pPr>
            <w:r>
              <w:rPr>
                <w:rFonts w:hint="eastAsia" w:ascii="仿宋" w:hAnsi="仿宋" w:eastAsia="仿宋" w:cs="仿宋"/>
                <w:color w:val="auto"/>
                <w:kern w:val="0"/>
                <w:szCs w:val="21"/>
              </w:rPr>
              <w:t>水工</w:t>
            </w:r>
          </w:p>
          <w:p>
            <w:pPr>
              <w:widowControl/>
              <w:adjustRightInd w:val="0"/>
              <w:snapToGrid w:val="0"/>
              <w:ind w:left="-72" w:leftChars="-30" w:right="-72" w:rightChars="-30"/>
              <w:jc w:val="center"/>
              <w:rPr>
                <w:rFonts w:hint="eastAsia" w:ascii="仿宋" w:hAnsi="仿宋" w:eastAsia="仿宋" w:cs="仿宋"/>
                <w:color w:val="auto"/>
                <w:kern w:val="0"/>
                <w:szCs w:val="21"/>
              </w:rPr>
            </w:pPr>
            <w:r>
              <w:rPr>
                <w:rFonts w:hint="eastAsia" w:ascii="仿宋" w:hAnsi="仿宋" w:eastAsia="仿宋" w:cs="仿宋"/>
                <w:color w:val="auto"/>
                <w:kern w:val="0"/>
                <w:szCs w:val="21"/>
              </w:rPr>
              <w:t>建筑物</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（10分）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隧洞等引（输）水建筑物应定期进行检查和维护，结构完好。</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无巡查记录，不得分；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检查中发现问题或隐患没有及时向管理处报告，扣10分。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4.2</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金属</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结构</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（40分）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压力钢管、闸门及其启闭机等金属结构应按规定进行维护。</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40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泄洪闸门未按规定进行启闭试验并进行记录，扣10分；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压力钢管、闸门及其启闭机外观锈蚀严重，每管段（扇、台）扣10分。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restart"/>
            <w:noWrap w:val="0"/>
            <w:vAlign w:val="center"/>
          </w:tcPr>
          <w:p>
            <w:pPr>
              <w:widowControl/>
              <w:adjustRightInd w:val="0"/>
              <w:snapToGrid w:val="0"/>
              <w:ind w:left="-120" w:leftChars="-50" w:right="-120" w:rightChars="-50"/>
              <w:jc w:val="center"/>
              <w:rPr>
                <w:rFonts w:hint="eastAsia" w:ascii="仿宋" w:hAnsi="仿宋" w:eastAsia="仿宋" w:cs="仿宋"/>
                <w:color w:val="auto"/>
                <w:kern w:val="0"/>
                <w:szCs w:val="21"/>
              </w:rPr>
            </w:pPr>
            <w:r>
              <w:rPr>
                <w:rFonts w:hint="eastAsia" w:ascii="仿宋" w:hAnsi="仿宋" w:eastAsia="仿宋" w:cs="仿宋"/>
                <w:color w:val="auto"/>
                <w:kern w:val="0"/>
                <w:szCs w:val="21"/>
              </w:rPr>
              <w:t>4.3</w:t>
            </w:r>
          </w:p>
          <w:p>
            <w:pPr>
              <w:widowControl/>
              <w:adjustRightInd w:val="0"/>
              <w:snapToGrid w:val="0"/>
              <w:ind w:left="-120" w:leftChars="-50" w:right="-120" w:rightChars="-50"/>
              <w:jc w:val="center"/>
              <w:rPr>
                <w:rFonts w:hint="eastAsia" w:ascii="仿宋" w:hAnsi="仿宋" w:eastAsia="仿宋" w:cs="仿宋"/>
                <w:color w:val="auto"/>
                <w:kern w:val="0"/>
                <w:szCs w:val="21"/>
              </w:rPr>
            </w:pPr>
            <w:r>
              <w:rPr>
                <w:rFonts w:hint="eastAsia" w:ascii="仿宋" w:hAnsi="仿宋" w:eastAsia="仿宋" w:cs="仿宋"/>
                <w:color w:val="auto"/>
                <w:kern w:val="0"/>
                <w:szCs w:val="21"/>
              </w:rPr>
              <w:t>水力机械</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（80分）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水轮机设备外观基本完好，轴承温度正常，无漏油、甩油现象，无严重漏水现象，停机制动安全可靠，水轮机控制系统调节性能良好。定期试验结果满足运行要求。</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40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维护、保养未进行记录，扣10分；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记录不详实，每处扣5分；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主阀关闭严密，传动灵活可靠，外观良好，启闭阀门时间符合要求。</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无主阀关闭时间定期检测记录或关闭时间严重偏离设计要求，扣</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主阀外观锈蚀、动作不到位，油压装置管路渗油、压力或油色油位异常，每处扣5分。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油气水系统各管道设置符合要求，防腐、防护良好，无明显渗漏。</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存在异常“跑、冒、滴、漏”，每处扣5分。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restart"/>
            <w:noWrap w:val="0"/>
            <w:vAlign w:val="center"/>
          </w:tcPr>
          <w:p>
            <w:pPr>
              <w:widowControl/>
              <w:adjustRightInd w:val="0"/>
              <w:snapToGrid w:val="0"/>
              <w:ind w:left="-120" w:leftChars="-50" w:right="-120" w:rightChars="-50"/>
              <w:jc w:val="center"/>
              <w:rPr>
                <w:rFonts w:hint="eastAsia" w:ascii="仿宋" w:hAnsi="仿宋" w:eastAsia="仿宋" w:cs="仿宋"/>
                <w:color w:val="auto"/>
                <w:kern w:val="0"/>
                <w:szCs w:val="21"/>
              </w:rPr>
            </w:pPr>
            <w:r>
              <w:rPr>
                <w:rFonts w:hint="eastAsia" w:ascii="仿宋" w:hAnsi="仿宋" w:eastAsia="仿宋" w:cs="仿宋"/>
                <w:color w:val="auto"/>
                <w:kern w:val="0"/>
                <w:szCs w:val="21"/>
              </w:rPr>
              <w:t>4.4</w:t>
            </w:r>
          </w:p>
          <w:p>
            <w:pPr>
              <w:widowControl/>
              <w:adjustRightInd w:val="0"/>
              <w:snapToGrid w:val="0"/>
              <w:ind w:left="-120" w:leftChars="-50" w:right="-120" w:rightChars="-50"/>
              <w:jc w:val="center"/>
              <w:rPr>
                <w:rFonts w:hint="eastAsia" w:ascii="仿宋" w:hAnsi="仿宋" w:eastAsia="仿宋" w:cs="仿宋"/>
                <w:color w:val="auto"/>
                <w:kern w:val="0"/>
                <w:szCs w:val="21"/>
              </w:rPr>
            </w:pPr>
            <w:r>
              <w:rPr>
                <w:rFonts w:hint="eastAsia" w:ascii="仿宋" w:hAnsi="仿宋" w:eastAsia="仿宋" w:cs="仿宋"/>
                <w:color w:val="auto"/>
                <w:kern w:val="0"/>
                <w:szCs w:val="21"/>
              </w:rPr>
              <w:t>电气设备</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（1</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电气设备应按规程规定的周期进行维护、保养。</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维护、保养未进行记录，扣10分；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记录不详实，每处扣5分。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发电机定、转子温度、温升符合规程要求，励磁装置工作正常。</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变压器各部件应完整无缺，外观无明显锈蚀，本体无渗油，瓷瓶无损伤，油枕油色油位正常，油温正常，安全距离符合规范要求。</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开关及刀闸外观完整，电缆绝缘层良好，母线及构架结构完整。</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有相关缺陷，每处扣3分。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控制、保护装置完整可靠。</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有相关缺陷，每处扣3分。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360" w:firstLineChars="150"/>
              <w:rPr>
                <w:rFonts w:hint="eastAsia" w:ascii="仿宋" w:hAnsi="仿宋" w:eastAsia="仿宋" w:cs="仿宋"/>
                <w:color w:val="auto"/>
                <w:szCs w:val="21"/>
              </w:rPr>
            </w:pPr>
            <w:r>
              <w:rPr>
                <w:rFonts w:hint="eastAsia" w:ascii="仿宋" w:hAnsi="仿宋" w:eastAsia="仿宋" w:cs="仿宋"/>
                <w:color w:val="auto"/>
                <w:szCs w:val="21"/>
              </w:rPr>
              <w:t>防雷避雷设施的配置齐全完整，接地装置以及接地电阻符合规程要求；防雷避雷装置及接地装置齐全完整。</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有相关缺陷，每处扣3分。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通信系统无影响电力设备运行操作或电力调度的缺陷；直流系统蓄电池电压、对地绝缘、放电容量满足要求。</w:t>
            </w:r>
          </w:p>
        </w:tc>
        <w:tc>
          <w:tcPr>
            <w:tcW w:w="83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有相关缺陷，每处扣1分。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1188" w:type="dxa"/>
            <w:vMerge w:val="continue"/>
            <w:noWrap w:val="0"/>
            <w:vAlign w:val="top"/>
          </w:tcPr>
          <w:p>
            <w:pPr>
              <w:rPr>
                <w:rFonts w:hint="eastAsia" w:ascii="仿宋" w:hAnsi="仿宋" w:eastAsia="仿宋" w:cs="仿宋"/>
                <w:color w:val="auto"/>
                <w:szCs w:val="21"/>
              </w:rPr>
            </w:pPr>
          </w:p>
        </w:tc>
        <w:tc>
          <w:tcPr>
            <w:tcW w:w="1260" w:type="dxa"/>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4.5</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设备设</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施运行</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管理</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（20分）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应根据运行规程做好设备的运行工况、变位、信号等的记录工作。及时记录故障和缺陷报修。</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无设备运行记录，不得分；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记录数据不满足安全运行需求，每项扣1分；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缺陷未及时记录并报修，每项扣1分。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restart"/>
            <w:noWrap w:val="0"/>
            <w:vAlign w:val="center"/>
          </w:tcPr>
          <w:p>
            <w:pPr>
              <w:widowControl/>
              <w:adjustRightInd w:val="0"/>
              <w:snapToGrid w:val="0"/>
              <w:spacing w:before="156" w:beforeLines="50"/>
              <w:jc w:val="center"/>
              <w:rPr>
                <w:rFonts w:hint="eastAsia" w:ascii="仿宋" w:hAnsi="仿宋" w:eastAsia="仿宋" w:cs="仿宋"/>
                <w:color w:val="auto"/>
                <w:kern w:val="0"/>
                <w:szCs w:val="21"/>
              </w:rPr>
            </w:pPr>
          </w:p>
          <w:p>
            <w:pPr>
              <w:widowControl/>
              <w:adjustRightInd w:val="0"/>
              <w:snapToGrid w:val="0"/>
              <w:spacing w:before="156" w:beforeLines="50"/>
              <w:jc w:val="center"/>
              <w:rPr>
                <w:rFonts w:hint="eastAsia" w:ascii="仿宋" w:hAnsi="仿宋" w:eastAsia="仿宋" w:cs="仿宋"/>
                <w:color w:val="auto"/>
                <w:kern w:val="0"/>
                <w:szCs w:val="21"/>
              </w:rPr>
            </w:pPr>
          </w:p>
          <w:p>
            <w:pPr>
              <w:widowControl/>
              <w:adjustRightInd w:val="0"/>
              <w:snapToGrid w:val="0"/>
              <w:spacing w:before="156" w:beforeLines="50"/>
              <w:jc w:val="center"/>
              <w:rPr>
                <w:rFonts w:hint="eastAsia" w:ascii="仿宋" w:hAnsi="仿宋" w:eastAsia="仿宋" w:cs="仿宋"/>
                <w:color w:val="auto"/>
                <w:kern w:val="0"/>
                <w:szCs w:val="21"/>
              </w:rPr>
            </w:pPr>
          </w:p>
          <w:p>
            <w:pPr>
              <w:widowControl/>
              <w:adjustRightInd w:val="0"/>
              <w:snapToGrid w:val="0"/>
              <w:spacing w:before="156" w:beforeLines="50"/>
              <w:jc w:val="center"/>
              <w:rPr>
                <w:rFonts w:hint="eastAsia" w:ascii="仿宋" w:hAnsi="仿宋" w:eastAsia="仿宋" w:cs="仿宋"/>
                <w:color w:val="auto"/>
                <w:kern w:val="0"/>
                <w:szCs w:val="21"/>
              </w:rPr>
            </w:pPr>
            <w:r>
              <w:rPr>
                <w:rFonts w:hint="eastAsia" w:ascii="仿宋" w:hAnsi="仿宋" w:eastAsia="仿宋" w:cs="仿宋"/>
                <w:color w:val="auto"/>
                <w:kern w:val="0"/>
                <w:szCs w:val="21"/>
              </w:rPr>
              <w:t>4.6</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文明生产管理</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（20分）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发电厂房、升压站应定期维护，结构完好，布置整洁。</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物品或设备布置混乱、杂物堆砌，每处扣2分。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门窗破损，地面或墙体开裂、渗水，粉刷层剥落，没有及时报告业主，每处扣2分。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各功能区域划分有序、布置合理，室内布置整洁，设施齐全。</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工具间、中控室、值班室等区域划分不清、物品混放，每间（区域）扣2分；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室内不整洁或设施不全，每间（区域）扣2分。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值班人员着装整齐、规范，并佩戴值班标志。</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存在穿拖鞋、高跟鞋、裙子值班，不得分；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上班未佩戴值班标志，每人扣5分。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restart"/>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4.7</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标志标识管理</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（30分）</w:t>
            </w: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厂房内外墙的安全警示标识、安全生产提醒规范齐全，巡查路线、安全生产逃生路线、消防设施布置等标志清晰明了，必要制度已上墙，机电设备的名称、编号、主要信息、状态标识、管路着色均应规范、齐全。</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标志、标识不规范或有缺项，每处扣3分。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vMerge w:val="continue"/>
            <w:noWrap w:val="0"/>
            <w:vAlign w:val="top"/>
          </w:tcPr>
          <w:p>
            <w:pPr>
              <w:rPr>
                <w:rFonts w:hint="eastAsia" w:ascii="仿宋" w:hAnsi="仿宋" w:eastAsia="仿宋" w:cs="仿宋"/>
                <w:color w:val="auto"/>
                <w:szCs w:val="21"/>
              </w:rPr>
            </w:pPr>
          </w:p>
        </w:tc>
        <w:tc>
          <w:tcPr>
            <w:tcW w:w="3530"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升压站的安全警示标识、安全生产提醒规范齐全，巡查路线、消防设施布置等标志清晰明了，机电设备的名称、编号、主要信息、状态标识规范、齐全。</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标志、标识不规范或有缺项，每处扣3分。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noWrap w:val="0"/>
            <w:vAlign w:val="center"/>
          </w:tcPr>
          <w:p>
            <w:pPr>
              <w:widowControl/>
              <w:adjustRightInd w:val="0"/>
              <w:snapToGrid w:val="0"/>
              <w:spacing w:before="156" w:beforeLines="50"/>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p>
            <w:pPr>
              <w:widowControl/>
              <w:adjustRightInd w:val="0"/>
              <w:snapToGrid w:val="0"/>
              <w:spacing w:before="156" w:beforeLines="50"/>
              <w:jc w:val="center"/>
              <w:rPr>
                <w:rFonts w:hint="eastAsia" w:ascii="仿宋" w:hAnsi="仿宋" w:eastAsia="仿宋" w:cs="仿宋"/>
                <w:color w:val="auto"/>
                <w:kern w:val="0"/>
                <w:szCs w:val="21"/>
              </w:rPr>
            </w:pPr>
            <w:r>
              <w:rPr>
                <w:rFonts w:hint="eastAsia" w:ascii="仿宋" w:hAnsi="仿宋" w:eastAsia="仿宋" w:cs="仿宋"/>
                <w:color w:val="auto"/>
                <w:kern w:val="0"/>
                <w:szCs w:val="21"/>
              </w:rPr>
              <w:t>安全</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作业</w:t>
            </w:r>
          </w:p>
          <w:p>
            <w:pPr>
              <w:tabs>
                <w:tab w:val="left" w:pos="525"/>
              </w:tabs>
              <w:jc w:val="center"/>
              <w:rPr>
                <w:rFonts w:hint="eastAsia" w:ascii="仿宋" w:hAnsi="仿宋" w:eastAsia="仿宋" w:cs="仿宋"/>
                <w:color w:val="auto"/>
                <w:szCs w:val="21"/>
              </w:rPr>
            </w:pPr>
            <w:r>
              <w:rPr>
                <w:rFonts w:hint="eastAsia" w:ascii="仿宋" w:hAnsi="仿宋" w:eastAsia="仿宋" w:cs="仿宋"/>
                <w:color w:val="auto"/>
                <w:kern w:val="0"/>
                <w:szCs w:val="21"/>
              </w:rPr>
              <w:t>（90分）</w:t>
            </w:r>
          </w:p>
        </w:tc>
        <w:tc>
          <w:tcPr>
            <w:tcW w:w="4790" w:type="dxa"/>
            <w:gridSpan w:val="2"/>
            <w:noWrap w:val="0"/>
            <w:vAlign w:val="top"/>
          </w:tcPr>
          <w:p>
            <w:pPr>
              <w:adjustRightInd w:val="0"/>
              <w:snapToGrid w:val="0"/>
              <w:rPr>
                <w:rFonts w:hint="eastAsia" w:ascii="仿宋" w:hAnsi="仿宋" w:eastAsia="仿宋" w:cs="仿宋"/>
                <w:color w:val="auto"/>
                <w:szCs w:val="21"/>
              </w:rPr>
            </w:pPr>
            <w:r>
              <w:rPr>
                <w:rFonts w:hint="eastAsia" w:ascii="仿宋" w:hAnsi="仿宋" w:eastAsia="仿宋" w:cs="仿宋"/>
                <w:color w:val="auto"/>
                <w:szCs w:val="21"/>
              </w:rPr>
              <w:t>栏杆、盖板、护板等设施齐全规范，应急照明配置符合要求，紧急逃生通道畅通，机器的转动部分防护齐全、完整，电气设备金属外壳接地装置齐全、完好。</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安全设施不符合安全要求，每项扣5分。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top"/>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有消防措施，并按消防规定配置消防器具；厂房配置的救生绳索、防毒面具、护目眼镜、绝缘靴、绝缘手套、安全帽等防护用品数量合理；接地线、验电器、标示牌、防误锁、安全遮栏、绝缘杆等安全技术用具数量合理。</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安全设施不符合安全要求，每项扣5分。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top"/>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严格执行“两票三制”。核对操作票、工作票的内容和设备名称，加强操作监护并逐项进行操作。交接班人员按要求做好交接班准备工作，填写各项记录，办理交接班手续。认真监视设备运行工况，按规定时间、内容及线路对设备进行巡回检查，随时掌握设备运行情况，合理调整设备状态参数，及时处理设备异常情况。按规定时间和方法做好设备定期轮换工作，做好相关记录。</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40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“两票”执行率未达到100%的，不得分；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无交接班记录，</w:t>
            </w:r>
            <w:r>
              <w:rPr>
                <w:rFonts w:hint="eastAsia" w:ascii="仿宋" w:hAnsi="仿宋" w:eastAsia="仿宋" w:cs="仿宋"/>
                <w:color w:val="auto"/>
                <w:szCs w:val="21"/>
                <w:lang w:eastAsia="zh-CN"/>
              </w:rPr>
              <w:t>发现一次扣</w:t>
            </w:r>
            <w:r>
              <w:rPr>
                <w:rFonts w:hint="eastAsia" w:ascii="仿宋" w:hAnsi="仿宋" w:eastAsia="仿宋" w:cs="仿宋"/>
                <w:color w:val="auto"/>
                <w:szCs w:val="21"/>
                <w:lang w:val="en-US" w:eastAsia="zh-CN"/>
              </w:rPr>
              <w:t>5分</w:t>
            </w:r>
            <w:r>
              <w:rPr>
                <w:rFonts w:hint="eastAsia" w:ascii="仿宋" w:hAnsi="仿宋" w:eastAsia="仿宋" w:cs="仿宋"/>
                <w:color w:val="auto"/>
                <w:szCs w:val="21"/>
              </w:rPr>
              <w:t>；</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无巡回检查记录，</w:t>
            </w:r>
            <w:r>
              <w:rPr>
                <w:rFonts w:hint="eastAsia" w:ascii="仿宋" w:hAnsi="仿宋" w:eastAsia="仿宋" w:cs="仿宋"/>
                <w:color w:val="auto"/>
                <w:szCs w:val="21"/>
                <w:lang w:eastAsia="zh-CN"/>
              </w:rPr>
              <w:t>发现一次扣</w:t>
            </w:r>
            <w:r>
              <w:rPr>
                <w:rFonts w:hint="eastAsia" w:ascii="仿宋" w:hAnsi="仿宋" w:eastAsia="仿宋" w:cs="仿宋"/>
                <w:color w:val="auto"/>
                <w:szCs w:val="21"/>
                <w:lang w:val="en-US" w:eastAsia="zh-CN"/>
              </w:rPr>
              <w:t>5分</w:t>
            </w:r>
            <w:r>
              <w:rPr>
                <w:rFonts w:hint="eastAsia" w:ascii="仿宋" w:hAnsi="仿宋" w:eastAsia="仿宋" w:cs="仿宋"/>
                <w:color w:val="auto"/>
                <w:szCs w:val="21"/>
              </w:rPr>
              <w:t>；</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操作票、工作票不合格，每张扣5分；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设备定期轮换工作未执行或执行不到位，扣5分；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记录不完整、不详实，每次扣2分。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top"/>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严格执行调度命令，落实调度指令；严格执行运行规程，严格执行高处作业规程，严格执行起重作业等特种作业规程；无违章作业情况。</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违反调度命令，不得分；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违反运行规程，不得分；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违反特种作业规程，不得分。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隐患</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排查和</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治理</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（40分）</w:t>
            </w:r>
          </w:p>
        </w:tc>
        <w:tc>
          <w:tcPr>
            <w:tcW w:w="4790" w:type="dxa"/>
            <w:gridSpan w:val="2"/>
            <w:noWrap w:val="0"/>
            <w:vAlign w:val="top"/>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按电站标准化要求，结合安全检查，定期组织排查事故隐患，并形成记录。</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30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缺少事故隐患排查记录，</w:t>
            </w:r>
            <w:r>
              <w:rPr>
                <w:rFonts w:hint="eastAsia" w:ascii="仿宋" w:hAnsi="仿宋" w:eastAsia="仿宋" w:cs="仿宋"/>
                <w:color w:val="auto"/>
                <w:szCs w:val="21"/>
                <w:lang w:eastAsia="zh-CN"/>
              </w:rPr>
              <w:t>扣</w:t>
            </w:r>
            <w:r>
              <w:rPr>
                <w:rFonts w:hint="eastAsia" w:ascii="仿宋" w:hAnsi="仿宋" w:eastAsia="仿宋" w:cs="仿宋"/>
                <w:color w:val="auto"/>
                <w:szCs w:val="21"/>
                <w:lang w:val="en-US" w:eastAsia="zh-CN"/>
              </w:rPr>
              <w:t>10分</w:t>
            </w:r>
            <w:r>
              <w:rPr>
                <w:rFonts w:hint="eastAsia" w:ascii="仿宋" w:hAnsi="仿宋" w:eastAsia="仿宋" w:cs="仿宋"/>
                <w:color w:val="auto"/>
                <w:szCs w:val="21"/>
              </w:rPr>
              <w:t>；</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无汛前隐患排查记录，扣15分。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88" w:type="dxa"/>
            <w:vMerge w:val="continue"/>
            <w:noWrap w:val="0"/>
            <w:vAlign w:val="top"/>
          </w:tcPr>
          <w:p>
            <w:pPr>
              <w:rPr>
                <w:rFonts w:hint="eastAsia" w:ascii="仿宋" w:hAnsi="仿宋" w:eastAsia="仿宋" w:cs="仿宋"/>
                <w:color w:val="auto"/>
                <w:szCs w:val="21"/>
              </w:rPr>
            </w:pPr>
          </w:p>
        </w:tc>
        <w:tc>
          <w:tcPr>
            <w:tcW w:w="4790" w:type="dxa"/>
            <w:gridSpan w:val="2"/>
            <w:noWrap w:val="0"/>
            <w:vAlign w:val="top"/>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 xml:space="preserve"> 在接到自然灾害预报时，及时发出预警信息；对自然灾害可能导致事故的隐患采取相应的预防措施。</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lang w:eastAsia="zh-CN"/>
              </w:rPr>
              <w:t>没有采取相应的预防措施扣</w:t>
            </w:r>
            <w:r>
              <w:rPr>
                <w:rFonts w:hint="eastAsia" w:ascii="仿宋" w:hAnsi="仿宋" w:eastAsia="仿宋" w:cs="仿宋"/>
                <w:color w:val="auto"/>
                <w:szCs w:val="21"/>
                <w:lang w:val="en-US" w:eastAsia="zh-CN"/>
              </w:rPr>
              <w:t>10分</w:t>
            </w:r>
            <w:r>
              <w:rPr>
                <w:rFonts w:hint="eastAsia" w:ascii="仿宋" w:hAnsi="仿宋" w:eastAsia="仿宋" w:cs="仿宋"/>
                <w:color w:val="auto"/>
                <w:szCs w:val="21"/>
              </w:rPr>
              <w:t>。</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center"/>
          </w:tcPr>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职业健</w:t>
            </w:r>
          </w:p>
          <w:p>
            <w:pPr>
              <w:widowControl/>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康管理</w:t>
            </w:r>
          </w:p>
          <w:p>
            <w:pPr>
              <w:jc w:val="center"/>
              <w:rPr>
                <w:rFonts w:hint="eastAsia" w:ascii="仿宋" w:hAnsi="仿宋" w:eastAsia="仿宋" w:cs="仿宋"/>
                <w:color w:val="auto"/>
                <w:szCs w:val="21"/>
              </w:rPr>
            </w:pPr>
            <w:r>
              <w:rPr>
                <w:rFonts w:hint="eastAsia" w:ascii="仿宋" w:hAnsi="仿宋" w:eastAsia="仿宋" w:cs="仿宋"/>
                <w:color w:val="auto"/>
                <w:kern w:val="0"/>
                <w:szCs w:val="21"/>
              </w:rPr>
              <w:t>（20分）</w:t>
            </w:r>
          </w:p>
        </w:tc>
        <w:tc>
          <w:tcPr>
            <w:tcW w:w="4790" w:type="dxa"/>
            <w:gridSpan w:val="2"/>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为从业人员提供符合职业健康要求的工作环境和条件，配备相适应的职业健康保护设施、工具和用品，建立健全职业卫生档案。</w:t>
            </w:r>
          </w:p>
        </w:tc>
        <w:tc>
          <w:tcPr>
            <w:tcW w:w="832" w:type="dxa"/>
            <w:noWrap w:val="0"/>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6163" w:type="dxa"/>
            <w:noWrap w:val="0"/>
            <w:vAlign w:val="center"/>
          </w:tcPr>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未为员工配备相适应的劳动防护，不得分；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无健康档案，不得分；</w:t>
            </w:r>
          </w:p>
          <w:p>
            <w:pPr>
              <w:adjustRightInd w:val="0"/>
              <w:snapToGri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健康档案有欠缺，每少一人扣2分。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188"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w:t>
            </w:r>
          </w:p>
          <w:p>
            <w:pPr>
              <w:jc w:val="center"/>
              <w:rPr>
                <w:rFonts w:hint="eastAsia" w:ascii="仿宋" w:hAnsi="仿宋" w:eastAsia="仿宋" w:cs="仿宋"/>
                <w:color w:val="auto"/>
                <w:szCs w:val="21"/>
              </w:rPr>
            </w:pPr>
            <w:r>
              <w:rPr>
                <w:rFonts w:hint="eastAsia" w:ascii="仿宋" w:hAnsi="仿宋" w:eastAsia="仿宋" w:cs="仿宋"/>
                <w:color w:val="auto"/>
                <w:szCs w:val="21"/>
              </w:rPr>
              <w:t>运行</w:t>
            </w:r>
          </w:p>
          <w:p>
            <w:pPr>
              <w:jc w:val="center"/>
              <w:rPr>
                <w:rFonts w:hint="eastAsia" w:ascii="仿宋" w:hAnsi="仿宋" w:eastAsia="仿宋" w:cs="仿宋"/>
                <w:color w:val="auto"/>
                <w:szCs w:val="21"/>
              </w:rPr>
            </w:pPr>
            <w:r>
              <w:rPr>
                <w:rFonts w:hint="eastAsia" w:ascii="仿宋" w:hAnsi="仿宋" w:eastAsia="仿宋" w:cs="仿宋"/>
                <w:color w:val="auto"/>
                <w:szCs w:val="21"/>
              </w:rPr>
              <w:t>管理</w:t>
            </w:r>
          </w:p>
          <w:p>
            <w:pPr>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370</w:t>
            </w:r>
            <w:r>
              <w:rPr>
                <w:rFonts w:hint="eastAsia" w:ascii="仿宋" w:hAnsi="仿宋" w:eastAsia="仿宋" w:cs="仿宋"/>
                <w:color w:val="auto"/>
                <w:szCs w:val="21"/>
              </w:rPr>
              <w:t>分）</w:t>
            </w:r>
          </w:p>
        </w:tc>
        <w:tc>
          <w:tcPr>
            <w:tcW w:w="1260" w:type="dxa"/>
            <w:noWrap w:val="0"/>
            <w:vAlign w:val="center"/>
          </w:tcPr>
          <w:p>
            <w:pPr>
              <w:autoSpaceDE w:val="0"/>
              <w:autoSpaceDN w:val="0"/>
              <w:adjustRightInd w:val="0"/>
              <w:ind w:firstLine="240" w:firstLineChars="100"/>
              <w:jc w:val="center"/>
              <w:rPr>
                <w:rFonts w:hint="eastAsia" w:ascii="仿宋" w:hAnsi="仿宋" w:eastAsia="仿宋" w:cs="仿宋"/>
                <w:color w:val="auto"/>
                <w:szCs w:val="21"/>
              </w:rPr>
            </w:pPr>
            <w:r>
              <w:rPr>
                <w:rFonts w:hint="eastAsia" w:ascii="仿宋" w:hAnsi="仿宋" w:eastAsia="仿宋" w:cs="仿宋"/>
                <w:color w:val="auto"/>
                <w:szCs w:val="21"/>
              </w:rPr>
              <w:t>8.1</w:t>
            </w:r>
          </w:p>
          <w:p>
            <w:pPr>
              <w:autoSpaceDE w:val="0"/>
              <w:autoSpaceDN w:val="0"/>
              <w:adjustRightInd w:val="0"/>
              <w:ind w:firstLine="240" w:firstLineChars="100"/>
              <w:jc w:val="center"/>
              <w:rPr>
                <w:rFonts w:hint="eastAsia" w:ascii="仿宋" w:hAnsi="仿宋" w:eastAsia="仿宋" w:cs="仿宋"/>
                <w:color w:val="auto"/>
                <w:szCs w:val="21"/>
              </w:rPr>
            </w:pPr>
            <w:r>
              <w:rPr>
                <w:rFonts w:hint="eastAsia" w:ascii="仿宋" w:hAnsi="仿宋" w:eastAsia="仿宋" w:cs="仿宋"/>
                <w:color w:val="auto"/>
                <w:szCs w:val="21"/>
              </w:rPr>
              <w:t>日常</w:t>
            </w:r>
          </w:p>
          <w:p>
            <w:pPr>
              <w:autoSpaceDE w:val="0"/>
              <w:autoSpaceDN w:val="0"/>
              <w:adjustRightInd w:val="0"/>
              <w:ind w:firstLine="240" w:firstLineChars="100"/>
              <w:jc w:val="center"/>
              <w:rPr>
                <w:rFonts w:hint="eastAsia" w:ascii="仿宋" w:hAnsi="仿宋" w:eastAsia="仿宋" w:cs="仿宋"/>
                <w:color w:val="auto"/>
                <w:szCs w:val="21"/>
              </w:rPr>
            </w:pPr>
            <w:r>
              <w:rPr>
                <w:rFonts w:hint="eastAsia" w:ascii="仿宋" w:hAnsi="仿宋" w:eastAsia="仿宋" w:cs="仿宋"/>
                <w:color w:val="auto"/>
                <w:szCs w:val="21"/>
              </w:rPr>
              <w:t>运行</w:t>
            </w:r>
          </w:p>
          <w:p>
            <w:pPr>
              <w:autoSpaceDE w:val="0"/>
              <w:autoSpaceDN w:val="0"/>
              <w:adjustRightInd w:val="0"/>
              <w:ind w:firstLine="240" w:firstLineChars="100"/>
              <w:jc w:val="center"/>
              <w:rPr>
                <w:rFonts w:hint="eastAsia" w:ascii="仿宋" w:hAnsi="仿宋" w:eastAsia="仿宋" w:cs="仿宋"/>
                <w:color w:val="auto"/>
                <w:szCs w:val="21"/>
              </w:rPr>
            </w:pPr>
          </w:p>
        </w:tc>
        <w:tc>
          <w:tcPr>
            <w:tcW w:w="3530" w:type="dxa"/>
            <w:noWrap w:val="0"/>
            <w:vAlign w:val="center"/>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lang w:eastAsia="zh-CN"/>
              </w:rPr>
              <w:t>电站</w:t>
            </w:r>
            <w:r>
              <w:rPr>
                <w:rFonts w:hint="eastAsia" w:ascii="仿宋" w:hAnsi="仿宋" w:eastAsia="仿宋" w:cs="仿宋"/>
                <w:color w:val="auto"/>
                <w:szCs w:val="21"/>
              </w:rPr>
              <w:t>每值确保2人在岗。</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值班人员统一佩戴上岗证件。</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按规定做好设备巡查。遵守24小时值班制度，值班人员不得擅自离岗、脱岗或迟到早退。</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严格按调度命令要求开、停机。</w:t>
            </w:r>
          </w:p>
        </w:tc>
        <w:tc>
          <w:tcPr>
            <w:tcW w:w="832" w:type="dxa"/>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200</w:t>
            </w:r>
          </w:p>
        </w:tc>
        <w:tc>
          <w:tcPr>
            <w:tcW w:w="6163" w:type="dxa"/>
            <w:noWrap w:val="0"/>
            <w:vAlign w:val="center"/>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未到规定人数，每人次扣50分；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未达要求，每人次扣20分；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值班人员擅自离岗、脱岗的，每人次扣10分，扣完为止；</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未按调度要求开停机，每次扣</w:t>
            </w:r>
            <w:r>
              <w:rPr>
                <w:rFonts w:hint="eastAsia" w:ascii="仿宋" w:hAnsi="仿宋" w:eastAsia="仿宋" w:cs="仿宋"/>
                <w:color w:val="auto"/>
                <w:szCs w:val="21"/>
                <w:lang w:val="en-US" w:eastAsia="zh-CN"/>
              </w:rPr>
              <w:t>2</w:t>
            </w:r>
            <w:r>
              <w:rPr>
                <w:rFonts w:hint="eastAsia" w:ascii="仿宋" w:hAnsi="仿宋" w:eastAsia="仿宋" w:cs="仿宋"/>
                <w:color w:val="auto"/>
                <w:szCs w:val="21"/>
              </w:rPr>
              <w:t>0分；</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188" w:type="dxa"/>
            <w:vMerge w:val="continue"/>
            <w:noWrap w:val="0"/>
            <w:vAlign w:val="center"/>
          </w:tcPr>
          <w:p>
            <w:pPr>
              <w:jc w:val="center"/>
              <w:rPr>
                <w:rFonts w:hint="eastAsia" w:ascii="仿宋" w:hAnsi="仿宋" w:eastAsia="仿宋" w:cs="仿宋"/>
                <w:color w:val="auto"/>
                <w:szCs w:val="21"/>
              </w:rPr>
            </w:pPr>
          </w:p>
        </w:tc>
        <w:tc>
          <w:tcPr>
            <w:tcW w:w="126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8.2</w:t>
            </w:r>
          </w:p>
          <w:p>
            <w:pPr>
              <w:jc w:val="center"/>
              <w:rPr>
                <w:rFonts w:hint="eastAsia" w:ascii="仿宋" w:hAnsi="仿宋" w:eastAsia="仿宋" w:cs="仿宋"/>
                <w:color w:val="auto"/>
                <w:szCs w:val="21"/>
              </w:rPr>
            </w:pPr>
            <w:r>
              <w:rPr>
                <w:rFonts w:hint="eastAsia" w:ascii="仿宋" w:hAnsi="仿宋" w:eastAsia="仿宋" w:cs="仿宋"/>
                <w:color w:val="auto"/>
                <w:szCs w:val="21"/>
              </w:rPr>
              <w:t>非计划</w:t>
            </w:r>
          </w:p>
          <w:p>
            <w:pPr>
              <w:jc w:val="center"/>
              <w:rPr>
                <w:rFonts w:hint="eastAsia" w:ascii="仿宋" w:hAnsi="仿宋" w:eastAsia="仿宋" w:cs="仿宋"/>
                <w:color w:val="auto"/>
                <w:szCs w:val="21"/>
              </w:rPr>
            </w:pPr>
            <w:r>
              <w:rPr>
                <w:rFonts w:hint="eastAsia" w:ascii="仿宋" w:hAnsi="仿宋" w:eastAsia="仿宋" w:cs="仿宋"/>
                <w:color w:val="auto"/>
                <w:szCs w:val="21"/>
              </w:rPr>
              <w:t>停运</w:t>
            </w:r>
          </w:p>
        </w:tc>
        <w:tc>
          <w:tcPr>
            <w:tcW w:w="3530" w:type="dxa"/>
            <w:noWrap w:val="0"/>
            <w:vAlign w:val="center"/>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当月发生无故弃水停机。</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设备正常进行时前池保持高水位运行，水位不底于泄洪堰50CM。（除停机前）</w:t>
            </w:r>
          </w:p>
          <w:p>
            <w:pPr>
              <w:autoSpaceDE w:val="0"/>
              <w:autoSpaceDN w:val="0"/>
              <w:adjustRightInd w:val="0"/>
              <w:ind w:firstLine="240" w:firstLineChars="100"/>
              <w:rPr>
                <w:rFonts w:hint="eastAsia" w:ascii="仿宋" w:hAnsi="仿宋" w:eastAsia="仿宋" w:cs="仿宋"/>
                <w:color w:val="auto"/>
                <w:szCs w:val="21"/>
              </w:rPr>
            </w:pPr>
          </w:p>
        </w:tc>
        <w:tc>
          <w:tcPr>
            <w:tcW w:w="832" w:type="dxa"/>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80</w:t>
            </w:r>
          </w:p>
        </w:tc>
        <w:tc>
          <w:tcPr>
            <w:tcW w:w="6163" w:type="dxa"/>
            <w:noWrap w:val="0"/>
            <w:vAlign w:val="top"/>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当月发生无故弃水停机，每1次，扣20分；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设备正常进行时前池水位底于泄洪堰50CM，每发现1次，扣20分；</w:t>
            </w:r>
          </w:p>
          <w:p>
            <w:pPr>
              <w:autoSpaceDE w:val="0"/>
              <w:autoSpaceDN w:val="0"/>
              <w:adjustRightInd w:val="0"/>
              <w:ind w:firstLine="240" w:firstLineChars="100"/>
              <w:rPr>
                <w:rFonts w:hint="eastAsia" w:ascii="仿宋" w:hAnsi="仿宋" w:eastAsia="仿宋" w:cs="仿宋"/>
                <w:color w:val="auto"/>
                <w:szCs w:val="21"/>
              </w:rPr>
            </w:pP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8.3</w:t>
            </w:r>
          </w:p>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设备缺</w:t>
            </w:r>
          </w:p>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陷管理</w:t>
            </w:r>
          </w:p>
        </w:tc>
        <w:tc>
          <w:tcPr>
            <w:tcW w:w="3530" w:type="dxa"/>
            <w:noWrap w:val="0"/>
            <w:vAlign w:val="center"/>
          </w:tcPr>
          <w:p>
            <w:pPr>
              <w:autoSpaceDE w:val="0"/>
              <w:autoSpaceDN w:val="0"/>
              <w:adjustRightInd w:val="0"/>
              <w:rPr>
                <w:rFonts w:hint="eastAsia" w:ascii="仿宋" w:hAnsi="仿宋" w:eastAsia="仿宋" w:cs="仿宋"/>
                <w:color w:val="auto"/>
                <w:szCs w:val="21"/>
              </w:rPr>
            </w:pP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紧急缺陷月上报率100%，立刻上报；</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重大缺陷月上报率100%，立刻上报；</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一般缺陷月消缺率100%，立刻上报。</w:t>
            </w:r>
          </w:p>
        </w:tc>
        <w:tc>
          <w:tcPr>
            <w:tcW w:w="832" w:type="dxa"/>
            <w:noWrap w:val="0"/>
            <w:vAlign w:val="center"/>
          </w:tcPr>
          <w:p>
            <w:pPr>
              <w:autoSpaceDE w:val="0"/>
              <w:autoSpaceDN w:val="0"/>
              <w:adjustRightInd w:val="0"/>
              <w:jc w:val="center"/>
              <w:rPr>
                <w:rFonts w:hint="eastAsia" w:ascii="仿宋" w:hAnsi="仿宋" w:eastAsia="仿宋" w:cs="仿宋"/>
                <w:color w:val="auto"/>
                <w:szCs w:val="21"/>
              </w:rPr>
            </w:pPr>
            <w:r>
              <w:rPr>
                <w:rFonts w:hint="eastAsia" w:ascii="仿宋" w:hAnsi="仿宋" w:eastAsia="仿宋" w:cs="仿宋"/>
                <w:color w:val="auto"/>
                <w:szCs w:val="21"/>
              </w:rPr>
              <w:t>60</w:t>
            </w:r>
          </w:p>
        </w:tc>
        <w:tc>
          <w:tcPr>
            <w:tcW w:w="6163" w:type="dxa"/>
            <w:noWrap w:val="0"/>
            <w:vAlign w:val="center"/>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截止每月15日，已过消缺上报时限未上报每项扣20分；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发现紧急缺陷后未及时上报，每项扣10分；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截止每月15日，未上报重大缺陷每项扣10分；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发现重大缺陷后未及时上报，每项扣5分；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截止每月15日，未上报一般缺陷每项扣5分；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发现一般缺陷后未及时上报，每项扣5分。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无正当理由，未上报的，本项不得分。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无备品备件造成设备缺陷不能及时消除的，可不列入考核。</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noWrap w:val="0"/>
            <w:vAlign w:val="top"/>
          </w:tcPr>
          <w:p>
            <w:pPr>
              <w:rPr>
                <w:rFonts w:hint="eastAsia" w:ascii="仿宋" w:hAnsi="仿宋" w:eastAsia="仿宋" w:cs="仿宋"/>
                <w:color w:val="auto"/>
                <w:szCs w:val="21"/>
              </w:rPr>
            </w:pPr>
          </w:p>
        </w:tc>
        <w:tc>
          <w:tcPr>
            <w:tcW w:w="1260" w:type="dxa"/>
            <w:noWrap w:val="0"/>
            <w:vAlign w:val="center"/>
          </w:tcPr>
          <w:p>
            <w:pPr>
              <w:autoSpaceDE w:val="0"/>
              <w:autoSpaceDN w:val="0"/>
              <w:adjustRightIn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8.</w:t>
            </w:r>
            <w:r>
              <w:rPr>
                <w:rFonts w:hint="eastAsia" w:ascii="仿宋" w:hAnsi="仿宋" w:eastAsia="仿宋" w:cs="仿宋"/>
                <w:color w:val="auto"/>
                <w:szCs w:val="21"/>
                <w:lang w:val="en-US" w:eastAsia="zh-CN"/>
              </w:rPr>
              <w:t>4</w:t>
            </w:r>
          </w:p>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rPr>
              <w:t>上报信息准确性和及时性</w:t>
            </w:r>
          </w:p>
        </w:tc>
        <w:tc>
          <w:tcPr>
            <w:tcW w:w="3530" w:type="dxa"/>
            <w:noWrap w:val="0"/>
            <w:vAlign w:val="top"/>
          </w:tcPr>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rPr>
              <w:t>电量月报正确率100%；</w:t>
            </w:r>
          </w:p>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rPr>
              <w:t>生产信息周报正确率100%。</w:t>
            </w:r>
          </w:p>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rPr>
              <w:t>生产信息月报准确。</w:t>
            </w:r>
          </w:p>
        </w:tc>
        <w:tc>
          <w:tcPr>
            <w:tcW w:w="832" w:type="dxa"/>
            <w:noWrap w:val="0"/>
            <w:vAlign w:val="center"/>
          </w:tcPr>
          <w:p>
            <w:pPr>
              <w:autoSpaceDE w:val="0"/>
              <w:autoSpaceDN w:val="0"/>
              <w:adjustRightInd w:val="0"/>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0</w:t>
            </w:r>
          </w:p>
        </w:tc>
        <w:tc>
          <w:tcPr>
            <w:tcW w:w="6163" w:type="dxa"/>
            <w:noWrap w:val="0"/>
            <w:vAlign w:val="top"/>
          </w:tcPr>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每报错一次扣10分；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电量月报报错后2日内纠正的不累计扣分；</w:t>
            </w:r>
          </w:p>
          <w:p>
            <w:pPr>
              <w:autoSpaceDE w:val="0"/>
              <w:autoSpaceDN w:val="0"/>
              <w:adjustRightInd w:val="0"/>
              <w:ind w:firstLine="240" w:firstLineChars="100"/>
              <w:rPr>
                <w:rFonts w:hint="eastAsia" w:ascii="仿宋" w:hAnsi="仿宋" w:eastAsia="仿宋" w:cs="仿宋"/>
                <w:color w:val="auto"/>
                <w:szCs w:val="21"/>
              </w:rPr>
            </w:pPr>
            <w:r>
              <w:rPr>
                <w:rFonts w:hint="eastAsia" w:ascii="仿宋" w:hAnsi="仿宋" w:eastAsia="仿宋" w:cs="仿宋"/>
                <w:color w:val="auto"/>
                <w:szCs w:val="21"/>
              </w:rPr>
              <w:t>2日内未纠正的，从第3日开始累计扣分，每日扣5分，直至纠正为止。</w:t>
            </w:r>
          </w:p>
        </w:tc>
        <w:tc>
          <w:tcPr>
            <w:tcW w:w="955" w:type="dxa"/>
            <w:noWrap w:val="0"/>
            <w:vAlign w:val="top"/>
          </w:tcPr>
          <w:p>
            <w:pPr>
              <w:rPr>
                <w:rFonts w:hint="eastAsia" w:ascii="仿宋" w:hAnsi="仿宋" w:eastAsia="仿宋" w:cs="仿宋"/>
                <w:color w:val="auto"/>
                <w:szCs w:val="21"/>
              </w:rPr>
            </w:pPr>
          </w:p>
        </w:tc>
        <w:tc>
          <w:tcPr>
            <w:tcW w:w="1052" w:type="dxa"/>
            <w:noWrap w:val="0"/>
            <w:vAlign w:val="top"/>
          </w:tcPr>
          <w:p>
            <w:pPr>
              <w:rPr>
                <w:rFonts w:hint="eastAsia" w:ascii="仿宋" w:hAnsi="仿宋" w:eastAsia="仿宋" w:cs="仿宋"/>
                <w:color w:val="auto"/>
                <w:szCs w:val="21"/>
              </w:rPr>
            </w:pPr>
          </w:p>
        </w:tc>
      </w:tr>
    </w:tbl>
    <w:p>
      <w:pPr>
        <w:pStyle w:val="2"/>
        <w:ind w:left="0" w:leftChars="0" w:firstLine="0" w:firstLineChars="0"/>
        <w:jc w:val="both"/>
        <w:rPr>
          <w:rFonts w:hint="eastAsia"/>
          <w:lang w:val="en-US" w:eastAsia="zh-CN"/>
        </w:rPr>
        <w:sectPr>
          <w:pgSz w:w="16838" w:h="11906" w:orient="landscape"/>
          <w:pgMar w:top="1531" w:right="1474" w:bottom="1531" w:left="1247" w:header="851" w:footer="850" w:gutter="0"/>
          <w:pgNumType w:fmt="decimal"/>
          <w:cols w:space="720" w:num="1"/>
          <w:docGrid w:linePitch="312" w:charSpace="0"/>
        </w:sectPr>
      </w:pPr>
    </w:p>
    <w:p>
      <w:pPr>
        <w:autoSpaceDE w:val="0"/>
        <w:autoSpaceDN w:val="0"/>
        <w:adjustRightInd w:val="0"/>
        <w:spacing w:line="288" w:lineRule="auto"/>
        <w:jc w:val="center"/>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年</w:t>
      </w:r>
      <w:r>
        <w:rPr>
          <w:rFonts w:hint="eastAsia" w:ascii="仿宋" w:hAnsi="仿宋" w:eastAsia="仿宋" w:cs="仿宋"/>
          <w:b/>
          <w:bCs/>
          <w:color w:val="auto"/>
          <w:kern w:val="0"/>
          <w:sz w:val="30"/>
          <w:szCs w:val="30"/>
          <w:lang w:val="en-US" w:eastAsia="zh-CN"/>
        </w:rPr>
        <w:t>嵊州市前岩水库物业</w:t>
      </w:r>
      <w:r>
        <w:rPr>
          <w:rFonts w:hint="eastAsia" w:ascii="仿宋" w:hAnsi="仿宋" w:eastAsia="仿宋" w:cs="仿宋"/>
          <w:b/>
          <w:bCs/>
          <w:color w:val="auto"/>
          <w:kern w:val="0"/>
          <w:sz w:val="30"/>
          <w:szCs w:val="30"/>
        </w:rPr>
        <w:t>管理考核评分表</w:t>
      </w:r>
    </w:p>
    <w:tbl>
      <w:tblPr>
        <w:tblStyle w:val="80"/>
        <w:tblW w:w="8758" w:type="dxa"/>
        <w:tblInd w:w="0" w:type="dxa"/>
        <w:tblLayout w:type="fixed"/>
        <w:tblCellMar>
          <w:top w:w="0" w:type="dxa"/>
          <w:left w:w="108" w:type="dxa"/>
          <w:bottom w:w="0" w:type="dxa"/>
          <w:right w:w="108" w:type="dxa"/>
        </w:tblCellMar>
      </w:tblPr>
      <w:tblGrid>
        <w:gridCol w:w="603"/>
        <w:gridCol w:w="2167"/>
        <w:gridCol w:w="177"/>
        <w:gridCol w:w="253"/>
        <w:gridCol w:w="14"/>
        <w:gridCol w:w="411"/>
        <w:gridCol w:w="5"/>
        <w:gridCol w:w="430"/>
        <w:gridCol w:w="430"/>
        <w:gridCol w:w="430"/>
        <w:gridCol w:w="430"/>
        <w:gridCol w:w="430"/>
        <w:gridCol w:w="212"/>
        <w:gridCol w:w="218"/>
        <w:gridCol w:w="430"/>
        <w:gridCol w:w="430"/>
        <w:gridCol w:w="430"/>
        <w:gridCol w:w="436"/>
        <w:gridCol w:w="822"/>
      </w:tblGrid>
      <w:tr>
        <w:tblPrEx>
          <w:tblLayout w:type="fixed"/>
          <w:tblCellMar>
            <w:top w:w="0" w:type="dxa"/>
            <w:left w:w="108" w:type="dxa"/>
            <w:bottom w:w="0" w:type="dxa"/>
            <w:right w:w="108" w:type="dxa"/>
          </w:tblCellMar>
        </w:tblPrEx>
        <w:trPr>
          <w:trHeight w:val="60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kern w:val="0"/>
              </w:rPr>
            </w:pPr>
            <w:r>
              <w:rPr>
                <w:rFonts w:hint="eastAsia" w:ascii="仿宋" w:hAnsi="仿宋" w:eastAsia="仿宋" w:cs="仿宋"/>
                <w:color w:val="auto"/>
              </w:rPr>
              <w:t>序号</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考核类别及赋分值</w:t>
            </w:r>
          </w:p>
        </w:tc>
        <w:tc>
          <w:tcPr>
            <w:tcW w:w="444"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1月</w:t>
            </w:r>
          </w:p>
        </w:tc>
        <w:tc>
          <w:tcPr>
            <w:tcW w:w="41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2月</w:t>
            </w:r>
          </w:p>
        </w:tc>
        <w:tc>
          <w:tcPr>
            <w:tcW w:w="43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4月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5月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6月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7月</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8月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9月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10月</w:t>
            </w: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11月</w:t>
            </w: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12月</w:t>
            </w: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eastAsia="zh-CN"/>
              </w:rPr>
            </w:pPr>
            <w:r>
              <w:rPr>
                <w:rFonts w:hint="eastAsia" w:ascii="仿宋" w:hAnsi="仿宋" w:eastAsia="仿宋" w:cs="仿宋"/>
                <w:b/>
                <w:bCs/>
                <w:color w:val="auto"/>
                <w:lang w:eastAsia="zh-CN"/>
              </w:rPr>
              <w:t>年度</w:t>
            </w:r>
            <w:r>
              <w:rPr>
                <w:rFonts w:hint="eastAsia" w:ascii="仿宋" w:hAnsi="仿宋" w:eastAsia="仿宋" w:cs="仿宋"/>
                <w:b/>
                <w:bCs/>
                <w:color w:val="auto"/>
              </w:rPr>
              <w:t>得分</w:t>
            </w:r>
          </w:p>
        </w:tc>
      </w:tr>
      <w:tr>
        <w:tblPrEx>
          <w:tblLayout w:type="fixed"/>
          <w:tblCellMar>
            <w:top w:w="0" w:type="dxa"/>
            <w:left w:w="108" w:type="dxa"/>
            <w:bottom w:w="0" w:type="dxa"/>
            <w:right w:w="108" w:type="dxa"/>
          </w:tblCellMar>
        </w:tblPrEx>
        <w:trPr>
          <w:trHeight w:val="74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1</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安全生产目标</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55</w:t>
            </w:r>
            <w:r>
              <w:rPr>
                <w:rFonts w:hint="eastAsia" w:ascii="仿宋" w:hAnsi="仿宋" w:eastAsia="仿宋" w:cs="仿宋"/>
                <w:color w:val="auto"/>
              </w:rPr>
              <w:t>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26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2</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法律法规与</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安全管理制度</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（60分）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74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3</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教育培训</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35</w:t>
            </w:r>
            <w:r>
              <w:rPr>
                <w:rFonts w:hint="eastAsia" w:ascii="仿宋" w:hAnsi="仿宋" w:eastAsia="仿宋" w:cs="仿宋"/>
                <w:color w:val="auto"/>
              </w:rPr>
              <w:t>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24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r>
              <w:rPr>
                <w:rFonts w:hint="eastAsia" w:ascii="仿宋" w:hAnsi="仿宋" w:eastAsia="仿宋" w:cs="仿宋"/>
                <w:color w:val="auto"/>
              </w:rPr>
              <w:t xml:space="preserve">  4</w:t>
            </w:r>
          </w:p>
        </w:tc>
        <w:tc>
          <w:tcPr>
            <w:tcW w:w="2167"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jc w:val="center"/>
              <w:rPr>
                <w:rFonts w:hint="eastAsia" w:ascii="仿宋" w:hAnsi="仿宋" w:eastAsia="仿宋" w:cs="仿宋"/>
                <w:color w:val="auto"/>
              </w:rPr>
            </w:pPr>
            <w:r>
              <w:rPr>
                <w:rFonts w:hint="eastAsia" w:ascii="仿宋" w:hAnsi="仿宋" w:eastAsia="仿宋" w:cs="仿宋"/>
                <w:color w:val="auto"/>
              </w:rPr>
              <w:t>生产设备设施    （</w:t>
            </w:r>
            <w:r>
              <w:rPr>
                <w:rFonts w:hint="eastAsia" w:ascii="仿宋" w:hAnsi="仿宋" w:eastAsia="仿宋" w:cs="仿宋"/>
                <w:color w:val="auto"/>
                <w:lang w:val="en-US" w:eastAsia="zh-CN"/>
              </w:rPr>
              <w:t>330</w:t>
            </w:r>
            <w:r>
              <w:rPr>
                <w:rFonts w:hint="eastAsia" w:ascii="仿宋" w:hAnsi="仿宋" w:eastAsia="仿宋" w:cs="仿宋"/>
                <w:color w:val="auto"/>
              </w:rPr>
              <w:t>分）</w:t>
            </w:r>
          </w:p>
        </w:tc>
        <w:tc>
          <w:tcPr>
            <w:tcW w:w="430"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left"/>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05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5</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安全作业</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（90分）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934"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6</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基本隐患排查和治理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（40分）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left"/>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04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7</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职业健康管理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（20分）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86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8</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运行管理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370</w:t>
            </w:r>
            <w:r>
              <w:rPr>
                <w:rFonts w:hint="eastAsia" w:ascii="仿宋" w:hAnsi="仿宋" w:eastAsia="仿宋" w:cs="仿宋"/>
                <w:color w:val="auto"/>
              </w:rPr>
              <w:t>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74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b/>
                <w:bCs/>
                <w:color w:val="auto"/>
              </w:rPr>
              <w:t>合计</w:t>
            </w:r>
          </w:p>
        </w:tc>
        <w:tc>
          <w:tcPr>
            <w:tcW w:w="21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1000分</w:t>
            </w: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82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2863" w:hRule="atLeast"/>
        </w:trPr>
        <w:tc>
          <w:tcPr>
            <w:tcW w:w="2947"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rPr>
              <w:t>考核</w:t>
            </w:r>
            <w:r>
              <w:rPr>
                <w:rFonts w:hint="eastAsia" w:ascii="仿宋" w:hAnsi="仿宋" w:eastAsia="仿宋" w:cs="仿宋"/>
                <w:color w:val="auto"/>
                <w:lang w:eastAsia="zh-CN"/>
              </w:rPr>
              <w:t>领导小组成员</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b/>
                <w:bCs/>
                <w:color w:val="auto"/>
                <w:kern w:val="0"/>
                <w:lang w:eastAsia="zh-CN"/>
              </w:rPr>
            </w:pPr>
            <w:r>
              <w:rPr>
                <w:rFonts w:hint="eastAsia" w:ascii="仿宋" w:hAnsi="仿宋" w:eastAsia="仿宋" w:cs="仿宋"/>
                <w:color w:val="auto"/>
                <w:lang w:eastAsia="zh-CN"/>
              </w:rPr>
              <w:t>签名：</w:t>
            </w:r>
          </w:p>
        </w:tc>
        <w:tc>
          <w:tcPr>
            <w:tcW w:w="3045" w:type="dxa"/>
            <w:gridSpan w:val="10"/>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运行商</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运行商</w:t>
            </w:r>
            <w:r>
              <w:rPr>
                <w:rFonts w:hint="eastAsia" w:ascii="仿宋" w:hAnsi="仿宋" w:eastAsia="仿宋" w:cs="仿宋"/>
                <w:color w:val="auto"/>
              </w:rPr>
              <w:t>代表：</w:t>
            </w:r>
          </w:p>
          <w:p>
            <w:pPr>
              <w:autoSpaceDE w:val="0"/>
              <w:autoSpaceDN w:val="0"/>
              <w:adjustRightInd w:val="0"/>
              <w:spacing w:line="288" w:lineRule="auto"/>
              <w:jc w:val="both"/>
              <w:rPr>
                <w:rFonts w:hint="eastAsia" w:ascii="仿宋" w:hAnsi="仿宋" w:eastAsia="仿宋" w:cs="仿宋"/>
                <w:color w:val="auto"/>
              </w:rPr>
            </w:pPr>
          </w:p>
        </w:tc>
        <w:tc>
          <w:tcPr>
            <w:tcW w:w="2766" w:type="dxa"/>
            <w:gridSpan w:val="6"/>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考核领导小组组长</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lang w:eastAsia="zh-CN"/>
              </w:rPr>
            </w:pPr>
            <w:r>
              <w:rPr>
                <w:rFonts w:hint="eastAsia" w:ascii="仿宋" w:hAnsi="仿宋" w:eastAsia="仿宋" w:cs="仿宋"/>
                <w:color w:val="auto"/>
                <w:lang w:eastAsia="zh-CN"/>
              </w:rPr>
              <w:t>签名：</w:t>
            </w:r>
          </w:p>
          <w:p>
            <w:pPr>
              <w:autoSpaceDE w:val="0"/>
              <w:autoSpaceDN w:val="0"/>
              <w:adjustRightInd w:val="0"/>
              <w:spacing w:line="288" w:lineRule="auto"/>
              <w:jc w:val="both"/>
              <w:rPr>
                <w:rFonts w:hint="eastAsia" w:ascii="仿宋" w:hAnsi="仿宋" w:eastAsia="仿宋" w:cs="仿宋"/>
                <w:color w:val="auto"/>
              </w:rPr>
            </w:pPr>
          </w:p>
        </w:tc>
      </w:tr>
    </w:tbl>
    <w:p>
      <w:pPr>
        <w:tabs>
          <w:tab w:val="left" w:pos="2473"/>
        </w:tabs>
        <w:jc w:val="right"/>
        <w:rPr>
          <w:rFonts w:hint="eastAsia" w:ascii="仿宋" w:hAnsi="仿宋" w:eastAsia="仿宋" w:cs="仿宋"/>
          <w:color w:val="auto"/>
          <w:lang w:val="en-US" w:eastAsia="zh-CN"/>
        </w:rPr>
      </w:pPr>
      <w:r>
        <w:rPr>
          <w:rFonts w:hint="eastAsia" w:ascii="仿宋" w:hAnsi="仿宋" w:eastAsia="仿宋" w:cs="仿宋"/>
          <w:color w:val="auto"/>
          <w:lang w:eastAsia="zh-CN"/>
        </w:rPr>
        <w:t>年</w:t>
      </w:r>
      <w:r>
        <w:rPr>
          <w:rFonts w:hint="eastAsia" w:ascii="仿宋" w:hAnsi="仿宋" w:eastAsia="仿宋" w:cs="仿宋"/>
          <w:color w:val="auto"/>
          <w:lang w:val="en-US" w:eastAsia="zh-CN"/>
        </w:rPr>
        <w:t xml:space="preserve">   月   日</w:t>
      </w:r>
    </w:p>
    <w:p>
      <w:pPr>
        <w:autoSpaceDE w:val="0"/>
        <w:autoSpaceDN w:val="0"/>
        <w:adjustRightInd w:val="0"/>
        <w:spacing w:line="288" w:lineRule="auto"/>
        <w:jc w:val="center"/>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br w:type="textWrapping"/>
      </w:r>
      <w:r>
        <w:rPr>
          <w:rFonts w:hint="eastAsia" w:ascii="仿宋" w:hAnsi="仿宋" w:eastAsia="仿宋" w:cs="仿宋"/>
          <w:b/>
          <w:bCs/>
          <w:color w:val="auto"/>
          <w:kern w:val="0"/>
          <w:sz w:val="30"/>
          <w:szCs w:val="30"/>
          <w:lang w:val="en-US" w:eastAsia="zh-CN"/>
        </w:rPr>
        <w:t xml:space="preserve">  嵊州市前岩水库管理处物业管理</w:t>
      </w:r>
      <w:r>
        <w:rPr>
          <w:rFonts w:hint="eastAsia" w:ascii="仿宋" w:hAnsi="仿宋" w:eastAsia="仿宋" w:cs="仿宋"/>
          <w:b/>
          <w:bCs/>
          <w:color w:val="auto"/>
          <w:kern w:val="0"/>
          <w:sz w:val="30"/>
          <w:szCs w:val="30"/>
        </w:rPr>
        <w:t>考核评分表</w:t>
      </w:r>
    </w:p>
    <w:tbl>
      <w:tblPr>
        <w:tblStyle w:val="80"/>
        <w:tblW w:w="9286" w:type="dxa"/>
        <w:tblInd w:w="0" w:type="dxa"/>
        <w:tblLayout w:type="fixed"/>
        <w:tblCellMar>
          <w:top w:w="0" w:type="dxa"/>
          <w:left w:w="108" w:type="dxa"/>
          <w:bottom w:w="0" w:type="dxa"/>
          <w:right w:w="108" w:type="dxa"/>
        </w:tblCellMar>
      </w:tblPr>
      <w:tblGrid>
        <w:gridCol w:w="733"/>
        <w:gridCol w:w="2295"/>
        <w:gridCol w:w="313"/>
        <w:gridCol w:w="626"/>
        <w:gridCol w:w="2399"/>
        <w:gridCol w:w="1981"/>
        <w:gridCol w:w="939"/>
      </w:tblGrid>
      <w:tr>
        <w:tblPrEx>
          <w:tblLayout w:type="fixed"/>
          <w:tblCellMar>
            <w:top w:w="0" w:type="dxa"/>
            <w:left w:w="108" w:type="dxa"/>
            <w:bottom w:w="0" w:type="dxa"/>
            <w:right w:w="108" w:type="dxa"/>
          </w:tblCellMar>
        </w:tblPrEx>
        <w:trPr>
          <w:trHeight w:val="60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kern w:val="0"/>
              </w:rPr>
            </w:pPr>
            <w:r>
              <w:rPr>
                <w:rFonts w:hint="eastAsia" w:ascii="仿宋" w:hAnsi="仿宋" w:eastAsia="仿宋" w:cs="仿宋"/>
                <w:color w:val="auto"/>
              </w:rPr>
              <w:t>序号</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考核类别及赋分值</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得分</w:t>
            </w: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lang w:eastAsia="zh-CN"/>
              </w:rPr>
            </w:pPr>
            <w:r>
              <w:rPr>
                <w:rFonts w:hint="eastAsia" w:ascii="仿宋" w:hAnsi="仿宋" w:eastAsia="仿宋" w:cs="仿宋"/>
                <w:b/>
                <w:bCs/>
                <w:color w:val="auto"/>
              </w:rPr>
              <w:t>扣分描述</w:t>
            </w: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扣分</w:t>
            </w:r>
          </w:p>
        </w:tc>
      </w:tr>
      <w:tr>
        <w:tblPrEx>
          <w:tblLayout w:type="fixed"/>
          <w:tblCellMar>
            <w:top w:w="0" w:type="dxa"/>
            <w:left w:w="108" w:type="dxa"/>
            <w:bottom w:w="0" w:type="dxa"/>
            <w:right w:w="108" w:type="dxa"/>
          </w:tblCellMar>
        </w:tblPrEx>
        <w:trPr>
          <w:trHeight w:val="74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1</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安全生产目标</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55</w:t>
            </w:r>
            <w:r>
              <w:rPr>
                <w:rFonts w:hint="eastAsia" w:ascii="仿宋" w:hAnsi="仿宋" w:eastAsia="仿宋" w:cs="仿宋"/>
                <w:color w:val="auto"/>
              </w:rPr>
              <w:t>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261"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2</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法律法规与</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安全管理制度</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（60分）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74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3</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教育培训</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35</w:t>
            </w:r>
            <w:r>
              <w:rPr>
                <w:rFonts w:hint="eastAsia" w:ascii="仿宋" w:hAnsi="仿宋" w:eastAsia="仿宋" w:cs="仿宋"/>
                <w:color w:val="auto"/>
              </w:rPr>
              <w:t>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245"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r>
              <w:rPr>
                <w:rFonts w:hint="eastAsia" w:ascii="仿宋" w:hAnsi="仿宋" w:eastAsia="仿宋" w:cs="仿宋"/>
                <w:color w:val="auto"/>
              </w:rPr>
              <w:t xml:space="preserve">  4</w:t>
            </w:r>
          </w:p>
        </w:tc>
        <w:tc>
          <w:tcPr>
            <w:tcW w:w="229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jc w:val="center"/>
              <w:rPr>
                <w:rFonts w:hint="eastAsia" w:ascii="仿宋" w:hAnsi="仿宋" w:eastAsia="仿宋" w:cs="仿宋"/>
                <w:color w:val="auto"/>
              </w:rPr>
            </w:pPr>
            <w:r>
              <w:rPr>
                <w:rFonts w:hint="eastAsia" w:ascii="仿宋" w:hAnsi="仿宋" w:eastAsia="仿宋" w:cs="仿宋"/>
                <w:color w:val="auto"/>
              </w:rPr>
              <w:t>生产设备设施    （</w:t>
            </w:r>
            <w:r>
              <w:rPr>
                <w:rFonts w:hint="eastAsia" w:ascii="仿宋" w:hAnsi="仿宋" w:eastAsia="仿宋" w:cs="仿宋"/>
                <w:color w:val="auto"/>
                <w:lang w:val="en-US" w:eastAsia="zh-CN"/>
              </w:rPr>
              <w:t>330</w:t>
            </w:r>
            <w:r>
              <w:rPr>
                <w:rFonts w:hint="eastAsia" w:ascii="仿宋" w:hAnsi="仿宋" w:eastAsia="仿宋" w:cs="仿宋"/>
                <w:color w:val="auto"/>
              </w:rPr>
              <w:t>分）</w:t>
            </w:r>
          </w:p>
        </w:tc>
        <w:tc>
          <w:tcPr>
            <w:tcW w:w="939"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left"/>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051"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5</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安全作业</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（90分）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ind w:firstLine="120" w:firstLineChars="50"/>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93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6</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基本隐患排查和治理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（40分）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left"/>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104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7</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职业健康管理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（20分）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86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8</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运行管理</w:t>
            </w:r>
          </w:p>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370</w:t>
            </w:r>
            <w:r>
              <w:rPr>
                <w:rFonts w:hint="eastAsia" w:ascii="仿宋" w:hAnsi="仿宋" w:eastAsia="仿宋" w:cs="仿宋"/>
                <w:color w:val="auto"/>
              </w:rPr>
              <w:t>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749"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r>
              <w:rPr>
                <w:rFonts w:hint="eastAsia" w:ascii="仿宋" w:hAnsi="仿宋" w:eastAsia="仿宋" w:cs="仿宋"/>
                <w:b/>
                <w:bCs/>
                <w:color w:val="auto"/>
              </w:rPr>
              <w:t>合计</w:t>
            </w:r>
          </w:p>
        </w:tc>
        <w:tc>
          <w:tcPr>
            <w:tcW w:w="229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rPr>
            </w:pPr>
            <w:r>
              <w:rPr>
                <w:rFonts w:hint="eastAsia" w:ascii="仿宋" w:hAnsi="仿宋" w:eastAsia="仿宋" w:cs="仿宋"/>
                <w:b/>
                <w:bCs/>
                <w:color w:val="auto"/>
              </w:rPr>
              <w:t>1000分</w:t>
            </w:r>
          </w:p>
        </w:tc>
        <w:tc>
          <w:tcPr>
            <w:tcW w:w="93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c>
          <w:tcPr>
            <w:tcW w:w="438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p>
            <w:pPr>
              <w:autoSpaceDE w:val="0"/>
              <w:autoSpaceDN w:val="0"/>
              <w:adjustRightInd w:val="0"/>
              <w:spacing w:line="288" w:lineRule="auto"/>
              <w:jc w:val="center"/>
              <w:rPr>
                <w:rFonts w:hint="eastAsia" w:ascii="仿宋" w:hAnsi="仿宋" w:eastAsia="仿宋" w:cs="仿宋"/>
                <w:color w:val="auto"/>
              </w:rPr>
            </w:pP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rPr>
            </w:pPr>
          </w:p>
        </w:tc>
      </w:tr>
      <w:tr>
        <w:tblPrEx>
          <w:tblLayout w:type="fixed"/>
          <w:tblCellMar>
            <w:top w:w="0" w:type="dxa"/>
            <w:left w:w="108" w:type="dxa"/>
            <w:bottom w:w="0" w:type="dxa"/>
            <w:right w:w="108" w:type="dxa"/>
          </w:tblCellMar>
        </w:tblPrEx>
        <w:trPr>
          <w:trHeight w:val="2901"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rPr>
              <w:t>考核</w:t>
            </w:r>
            <w:r>
              <w:rPr>
                <w:rFonts w:hint="eastAsia" w:ascii="仿宋" w:hAnsi="仿宋" w:eastAsia="仿宋" w:cs="仿宋"/>
                <w:color w:val="auto"/>
                <w:lang w:eastAsia="zh-CN"/>
              </w:rPr>
              <w:t>领导小组成员</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b/>
                <w:bCs/>
                <w:color w:val="auto"/>
                <w:kern w:val="0"/>
              </w:rPr>
            </w:pPr>
            <w:r>
              <w:rPr>
                <w:rFonts w:hint="eastAsia" w:ascii="仿宋" w:hAnsi="仿宋" w:eastAsia="仿宋" w:cs="仿宋"/>
                <w:color w:val="auto"/>
                <w:lang w:eastAsia="zh-CN"/>
              </w:rPr>
              <w:t>签名：</w:t>
            </w:r>
          </w:p>
        </w:tc>
        <w:tc>
          <w:tcPr>
            <w:tcW w:w="3025"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运行商</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运行商</w:t>
            </w:r>
            <w:r>
              <w:rPr>
                <w:rFonts w:hint="eastAsia" w:ascii="仿宋" w:hAnsi="仿宋" w:eastAsia="仿宋" w:cs="仿宋"/>
                <w:color w:val="auto"/>
              </w:rPr>
              <w:t>代表：</w:t>
            </w:r>
          </w:p>
          <w:p>
            <w:pPr>
              <w:autoSpaceDE w:val="0"/>
              <w:autoSpaceDN w:val="0"/>
              <w:adjustRightInd w:val="0"/>
              <w:spacing w:line="288" w:lineRule="auto"/>
              <w:jc w:val="both"/>
              <w:rPr>
                <w:rFonts w:hint="eastAsia" w:ascii="仿宋" w:hAnsi="仿宋" w:eastAsia="仿宋" w:cs="仿宋"/>
                <w:color w:val="auto"/>
              </w:rPr>
            </w:pPr>
          </w:p>
        </w:tc>
        <w:tc>
          <w:tcPr>
            <w:tcW w:w="2920" w:type="dxa"/>
            <w:gridSpan w:val="2"/>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lang w:eastAsia="zh-CN"/>
              </w:rPr>
              <w:t>考核领导小组组长</w:t>
            </w:r>
            <w:r>
              <w:rPr>
                <w:rFonts w:hint="eastAsia" w:ascii="仿宋" w:hAnsi="仿宋" w:eastAsia="仿宋" w:cs="仿宋"/>
                <w:color w:val="auto"/>
              </w:rPr>
              <w:t>意见：</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r>
              <w:rPr>
                <w:rFonts w:hint="eastAsia" w:ascii="仿宋" w:hAnsi="仿宋" w:eastAsia="仿宋" w:cs="仿宋"/>
                <w:color w:val="auto"/>
              </w:rPr>
              <w:t xml:space="preserve">     </w:t>
            </w: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rPr>
            </w:pPr>
          </w:p>
          <w:p>
            <w:pPr>
              <w:autoSpaceDE w:val="0"/>
              <w:autoSpaceDN w:val="0"/>
              <w:adjustRightInd w:val="0"/>
              <w:spacing w:line="288" w:lineRule="auto"/>
              <w:jc w:val="both"/>
              <w:rPr>
                <w:rFonts w:hint="eastAsia" w:ascii="仿宋" w:hAnsi="仿宋" w:eastAsia="仿宋" w:cs="仿宋"/>
                <w:color w:val="auto"/>
                <w:lang w:eastAsia="zh-CN"/>
              </w:rPr>
            </w:pPr>
            <w:r>
              <w:rPr>
                <w:rFonts w:hint="eastAsia" w:ascii="仿宋" w:hAnsi="仿宋" w:eastAsia="仿宋" w:cs="仿宋"/>
                <w:color w:val="auto"/>
                <w:lang w:eastAsia="zh-CN"/>
              </w:rPr>
              <w:t>签名：</w:t>
            </w:r>
          </w:p>
          <w:p>
            <w:pPr>
              <w:autoSpaceDE w:val="0"/>
              <w:autoSpaceDN w:val="0"/>
              <w:adjustRightInd w:val="0"/>
              <w:spacing w:line="288" w:lineRule="auto"/>
              <w:jc w:val="both"/>
              <w:rPr>
                <w:rFonts w:hint="eastAsia" w:ascii="仿宋" w:hAnsi="仿宋" w:eastAsia="仿宋" w:cs="仿宋"/>
                <w:color w:val="auto"/>
              </w:rPr>
            </w:pPr>
          </w:p>
        </w:tc>
      </w:tr>
    </w:tbl>
    <w:p>
      <w:pPr>
        <w:pStyle w:val="91"/>
        <w:ind w:firstLine="4410" w:firstLineChars="2100"/>
        <w:jc w:val="right"/>
        <w:rPr>
          <w:rFonts w:hint="eastAsia" w:ascii="仿宋" w:hAnsi="仿宋" w:eastAsia="仿宋" w:cs="仿宋"/>
        </w:rPr>
        <w:sectPr>
          <w:pgSz w:w="11906" w:h="16838"/>
          <w:pgMar w:top="1474" w:right="1814" w:bottom="1474" w:left="1814" w:header="851" w:footer="992" w:gutter="0"/>
          <w:cols w:space="720" w:num="1"/>
          <w:titlePg/>
          <w:docGrid w:linePitch="312" w:charSpace="0"/>
        </w:sectPr>
      </w:pPr>
      <w:r>
        <w:rPr>
          <w:rFonts w:hint="eastAsia" w:ascii="仿宋" w:hAnsi="仿宋" w:eastAsia="仿宋" w:cs="仿宋"/>
          <w:color w:val="auto"/>
          <w:lang w:eastAsia="zh-CN"/>
        </w:rPr>
        <w:t>年</w:t>
      </w:r>
      <w:r>
        <w:rPr>
          <w:rFonts w:hint="eastAsia" w:ascii="仿宋" w:hAnsi="仿宋" w:eastAsia="仿宋" w:cs="仿宋"/>
          <w:color w:val="auto"/>
          <w:lang w:val="en-US" w:eastAsia="zh-CN"/>
        </w:rPr>
        <w:t xml:space="preserve">   月   日</w:t>
      </w:r>
    </w:p>
    <w:p>
      <w:pPr>
        <w:pStyle w:val="2"/>
        <w:ind w:left="0" w:leftChars="0" w:firstLine="0" w:firstLineChars="0"/>
        <w:jc w:val="both"/>
        <w:rPr>
          <w:rFonts w:hint="eastAsia"/>
        </w:rPr>
      </w:pPr>
    </w:p>
    <w:sectPr>
      <w:pgSz w:w="11906" w:h="16838"/>
      <w:pgMar w:top="1417" w:right="1417" w:bottom="141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0000009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81</w:t>
                          </w:r>
                          <w:r>
                            <w:fldChar w:fldCharType="end"/>
                          </w:r>
                        </w:p>
                      </w:txbxContent>
                    </wps:txbx>
                    <wps:bodyPr vert="horz" wrap="none" lIns="0" tIns="0" rIns="0" bIns="0" anchor="t" anchorCtr="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gQLf8EBAABpAwAADgAAAAAAAAABACAAAAAeAQAAZHJzL2Uyb0RvYy54bWxQSwUG&#10;AAAAAAYABgBZAQAAUQU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s>
      <w:jc w:val="center"/>
    </w:pPr>
    <w: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UC79R8EBAABpAwAADgAAAAAAAAABACAAAAAeAQAAZHJzL2Uyb0RvYy54bWxQSwUG&#10;AAAAAAYABgBZAQAAUQU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133"/>
      <w:suff w:val="nothing"/>
      <w:lvlText w:val="%1"/>
      <w:lvlJc w:val="left"/>
      <w:pPr>
        <w:ind w:left="0" w:firstLine="0"/>
      </w:pPr>
      <w:rPr>
        <w:rFonts w:hint="default" w:ascii="Times New Roman" w:hAnsi="Times New Roman"/>
        <w:b/>
        <w:i w:val="0"/>
        <w:sz w:val="21"/>
      </w:rPr>
    </w:lvl>
    <w:lvl w:ilvl="1" w:tentative="0">
      <w:start w:val="1"/>
      <w:numFmt w:val="decimal"/>
      <w:pStyle w:val="209"/>
      <w:suff w:val="nothing"/>
      <w:lvlText w:val="%1%2　"/>
      <w:lvlJc w:val="left"/>
      <w:pPr>
        <w:ind w:left="0" w:firstLine="0"/>
      </w:pPr>
      <w:rPr>
        <w:rFonts w:hint="eastAsia" w:ascii="黑体" w:hAnsi="Times New Roman" w:eastAsia="黑体"/>
        <w:b w:val="0"/>
        <w:i w:val="0"/>
        <w:sz w:val="21"/>
      </w:rPr>
    </w:lvl>
    <w:lvl w:ilvl="2" w:tentative="0">
      <w:start w:val="1"/>
      <w:numFmt w:val="decimal"/>
      <w:pStyle w:val="198"/>
      <w:suff w:val="nothing"/>
      <w:lvlText w:val="%1%2.%3　"/>
      <w:lvlJc w:val="left"/>
      <w:pPr>
        <w:ind w:left="3675" w:firstLine="0"/>
      </w:pPr>
      <w:rPr>
        <w:rFonts w:hint="eastAsia" w:ascii="黑体" w:hAnsi="Times New Roman" w:eastAsia="黑体"/>
        <w:b w:val="0"/>
        <w:i w:val="0"/>
        <w:sz w:val="21"/>
      </w:rPr>
    </w:lvl>
    <w:lvl w:ilvl="3" w:tentative="0">
      <w:start w:val="1"/>
      <w:numFmt w:val="decimal"/>
      <w:pStyle w:val="197"/>
      <w:suff w:val="nothing"/>
      <w:lvlText w:val="%1%2.%3.%4　"/>
      <w:lvlJc w:val="left"/>
      <w:pPr>
        <w:ind w:left="0" w:firstLine="0"/>
      </w:pPr>
      <w:rPr>
        <w:rFonts w:hint="eastAsia" w:ascii="黑体" w:hAnsi="Times New Roman" w:eastAsia="黑体"/>
        <w:b w:val="0"/>
        <w:i w:val="0"/>
        <w:sz w:val="21"/>
      </w:rPr>
    </w:lvl>
    <w:lvl w:ilvl="4" w:tentative="0">
      <w:start w:val="1"/>
      <w:numFmt w:val="decimal"/>
      <w:pStyle w:val="196"/>
      <w:suff w:val="nothing"/>
      <w:lvlText w:val="%1%2.%3.%4.%5　"/>
      <w:lvlJc w:val="left"/>
      <w:pPr>
        <w:ind w:left="0" w:firstLine="0"/>
      </w:pPr>
      <w:rPr>
        <w:rFonts w:hint="eastAsia" w:ascii="黑体" w:hAnsi="Times New Roman" w:eastAsia="黑体"/>
        <w:b w:val="0"/>
        <w:i w:val="0"/>
        <w:sz w:val="21"/>
      </w:rPr>
    </w:lvl>
    <w:lvl w:ilvl="5" w:tentative="0">
      <w:start w:val="1"/>
      <w:numFmt w:val="decimal"/>
      <w:pStyle w:val="195"/>
      <w:suff w:val="nothing"/>
      <w:lvlText w:val="%1%2.%3.%4.%5.%6　"/>
      <w:lvlJc w:val="left"/>
      <w:pPr>
        <w:ind w:left="0" w:firstLine="0"/>
      </w:pPr>
      <w:rPr>
        <w:rFonts w:hint="eastAsia" w:ascii="黑体" w:hAnsi="Times New Roman" w:eastAsia="黑体"/>
        <w:b w:val="0"/>
        <w:i w:val="0"/>
        <w:sz w:val="21"/>
      </w:rPr>
    </w:lvl>
    <w:lvl w:ilvl="6" w:tentative="0">
      <w:start w:val="1"/>
      <w:numFmt w:val="decimal"/>
      <w:pStyle w:val="1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decimal"/>
      <w:pStyle w:val="18"/>
      <w:lvlText w:val="%1)"/>
      <w:lvlJc w:val="left"/>
      <w:pPr>
        <w:tabs>
          <w:tab w:val="left" w:pos="900"/>
        </w:tabs>
        <w:ind w:left="900" w:hanging="420"/>
      </w:pPr>
    </w:lvl>
    <w:lvl w:ilvl="1" w:tentative="0">
      <w:start w:val="1"/>
      <w:numFmt w:val="lowerLetter"/>
      <w:pStyle w:val="115"/>
      <w:lvlText w:val="%2)"/>
      <w:lvlJc w:val="left"/>
      <w:pPr>
        <w:tabs>
          <w:tab w:val="left" w:pos="1320"/>
        </w:tabs>
        <w:ind w:left="1320" w:hanging="420"/>
      </w:pPr>
    </w:lvl>
    <w:lvl w:ilvl="2" w:tentative="0">
      <w:start w:val="1"/>
      <w:numFmt w:val="lowerRoman"/>
      <w:pStyle w:val="116"/>
      <w:lvlText w:val="%3."/>
      <w:lvlJc w:val="right"/>
      <w:pPr>
        <w:tabs>
          <w:tab w:val="left" w:pos="1740"/>
        </w:tabs>
        <w:ind w:left="1740" w:hanging="420"/>
      </w:pPr>
    </w:lvl>
    <w:lvl w:ilvl="3" w:tentative="0">
      <w:start w:val="1"/>
      <w:numFmt w:val="decimal"/>
      <w:pStyle w:val="144"/>
      <w:lvlText w:val="%4."/>
      <w:lvlJc w:val="left"/>
      <w:pPr>
        <w:tabs>
          <w:tab w:val="left" w:pos="2160"/>
        </w:tabs>
        <w:ind w:left="2160" w:hanging="420"/>
      </w:pPr>
    </w:lvl>
    <w:lvl w:ilvl="4" w:tentative="0">
      <w:start w:val="1"/>
      <w:numFmt w:val="lowerLetter"/>
      <w:pStyle w:val="170"/>
      <w:lvlText w:val="%5)"/>
      <w:lvlJc w:val="left"/>
      <w:pPr>
        <w:tabs>
          <w:tab w:val="left" w:pos="2580"/>
        </w:tabs>
        <w:ind w:left="2580" w:hanging="420"/>
      </w:pPr>
    </w:lvl>
    <w:lvl w:ilvl="5" w:tentative="0">
      <w:start w:val="1"/>
      <w:numFmt w:val="lowerRoman"/>
      <w:pStyle w:val="238"/>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0"/>
    <w:multiLevelType w:val="singleLevel"/>
    <w:tmpl w:val="0000001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3">
    <w:nsid w:val="00000011"/>
    <w:multiLevelType w:val="multilevel"/>
    <w:tmpl w:val="00000011"/>
    <w:lvl w:ilvl="0" w:tentative="0">
      <w:start w:val="1"/>
      <w:numFmt w:val="japaneseCounting"/>
      <w:pStyle w:val="390"/>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4">
    <w:nsid w:val="00000012"/>
    <w:multiLevelType w:val="multilevel"/>
    <w:tmpl w:val="00000012"/>
    <w:lvl w:ilvl="0" w:tentative="0">
      <w:start w:val="1"/>
      <w:numFmt w:val="decimal"/>
      <w:pStyle w:val="14"/>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5"/>
    <w:multiLevelType w:val="singleLevel"/>
    <w:tmpl w:val="00000015"/>
    <w:lvl w:ilvl="0" w:tentative="0">
      <w:start w:val="1"/>
      <w:numFmt w:val="bullet"/>
      <w:pStyle w:val="31"/>
      <w:lvlText w:val=""/>
      <w:lvlJc w:val="left"/>
      <w:pPr>
        <w:tabs>
          <w:tab w:val="left" w:pos="360"/>
        </w:tabs>
        <w:ind w:left="360" w:hanging="360"/>
      </w:pPr>
      <w:rPr>
        <w:rFonts w:hint="default" w:ascii="Wingdings" w:hAnsi="Wingdings"/>
      </w:rPr>
    </w:lvl>
  </w:abstractNum>
  <w:abstractNum w:abstractNumId="6">
    <w:nsid w:val="00000017"/>
    <w:multiLevelType w:val="singleLevel"/>
    <w:tmpl w:val="00000017"/>
    <w:lvl w:ilvl="0" w:tentative="0">
      <w:start w:val="1"/>
      <w:numFmt w:val="decimal"/>
      <w:pStyle w:val="45"/>
      <w:lvlText w:val="%1."/>
      <w:lvlJc w:val="left"/>
      <w:pPr>
        <w:tabs>
          <w:tab w:val="left" w:pos="780"/>
        </w:tabs>
        <w:ind w:left="780" w:hanging="360"/>
      </w:pPr>
    </w:lvl>
  </w:abstractNum>
  <w:abstractNum w:abstractNumId="7">
    <w:nsid w:val="00000019"/>
    <w:multiLevelType w:val="multilevel"/>
    <w:tmpl w:val="00000019"/>
    <w:lvl w:ilvl="0" w:tentative="0">
      <w:start w:val="1"/>
      <w:numFmt w:val="decimal"/>
      <w:pStyle w:val="281"/>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singleLevel"/>
    <w:tmpl w:val="0000001B"/>
    <w:lvl w:ilvl="0" w:tentative="0">
      <w:start w:val="1"/>
      <w:numFmt w:val="decimal"/>
      <w:pStyle w:val="35"/>
      <w:lvlText w:val="%1."/>
      <w:lvlJc w:val="left"/>
      <w:pPr>
        <w:tabs>
          <w:tab w:val="left" w:pos="1200"/>
        </w:tabs>
        <w:ind w:left="1200" w:hanging="360"/>
      </w:pPr>
    </w:lvl>
  </w:abstractNum>
  <w:abstractNum w:abstractNumId="9">
    <w:nsid w:val="419319EE"/>
    <w:multiLevelType w:val="singleLevel"/>
    <w:tmpl w:val="419319EE"/>
    <w:lvl w:ilvl="0" w:tentative="0">
      <w:start w:val="7"/>
      <w:numFmt w:val="decimal"/>
      <w:lvlText w:val="%1."/>
      <w:lvlJc w:val="left"/>
      <w:pPr>
        <w:tabs>
          <w:tab w:val="left" w:pos="312"/>
        </w:tabs>
      </w:pPr>
    </w:lvl>
  </w:abstractNum>
  <w:abstractNum w:abstractNumId="10">
    <w:nsid w:val="545A512C"/>
    <w:multiLevelType w:val="multilevel"/>
    <w:tmpl w:val="545A512C"/>
    <w:lvl w:ilvl="0" w:tentative="0">
      <w:start w:val="1"/>
      <w:numFmt w:val="chineseCountingThousand"/>
      <w:pStyle w:val="34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D04B4B3"/>
    <w:multiLevelType w:val="singleLevel"/>
    <w:tmpl w:val="5D04B4B3"/>
    <w:lvl w:ilvl="0" w:tentative="0">
      <w:start w:val="6"/>
      <w:numFmt w:val="chineseCounting"/>
      <w:suff w:val="nothing"/>
      <w:lvlText w:val="%1、"/>
      <w:lvlJc w:val="left"/>
      <w:rPr>
        <w:rFonts w:hint="eastAsia"/>
      </w:rPr>
    </w:lvl>
  </w:abstractNum>
  <w:num w:numId="1">
    <w:abstractNumId w:val="4"/>
  </w:num>
  <w:num w:numId="2">
    <w:abstractNumId w:val="2"/>
  </w:num>
  <w:num w:numId="3">
    <w:abstractNumId w:val="1"/>
  </w:num>
  <w:num w:numId="4">
    <w:abstractNumId w:val="5"/>
  </w:num>
  <w:num w:numId="5">
    <w:abstractNumId w:val="8"/>
  </w:num>
  <w:num w:numId="6">
    <w:abstractNumId w:val="6"/>
  </w:num>
  <w:num w:numId="7">
    <w:abstractNumId w:val="0"/>
  </w:num>
  <w:num w:numId="8">
    <w:abstractNumId w:val="7"/>
  </w:num>
  <w:num w:numId="9">
    <w:abstractNumId w:val="10"/>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333E"/>
    <w:rsid w:val="00054C6B"/>
    <w:rsid w:val="00055B3E"/>
    <w:rsid w:val="00056330"/>
    <w:rsid w:val="00056EDE"/>
    <w:rsid w:val="00057CB7"/>
    <w:rsid w:val="000601E0"/>
    <w:rsid w:val="000623C3"/>
    <w:rsid w:val="000625F9"/>
    <w:rsid w:val="00062AA4"/>
    <w:rsid w:val="00062D91"/>
    <w:rsid w:val="000636CB"/>
    <w:rsid w:val="0006375F"/>
    <w:rsid w:val="00063CAF"/>
    <w:rsid w:val="000648A4"/>
    <w:rsid w:val="00066782"/>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521"/>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DD9"/>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3FC4"/>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2A27"/>
    <w:rsid w:val="00173D9D"/>
    <w:rsid w:val="00173E08"/>
    <w:rsid w:val="00175E7D"/>
    <w:rsid w:val="00176734"/>
    <w:rsid w:val="00176A3F"/>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A1F"/>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75"/>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654"/>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B7F86"/>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1C0"/>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540"/>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6C2B"/>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1720"/>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262"/>
    <w:rsid w:val="00885759"/>
    <w:rsid w:val="0088586D"/>
    <w:rsid w:val="00887387"/>
    <w:rsid w:val="00887F28"/>
    <w:rsid w:val="00890466"/>
    <w:rsid w:val="008929E7"/>
    <w:rsid w:val="00893597"/>
    <w:rsid w:val="008939AC"/>
    <w:rsid w:val="008939D5"/>
    <w:rsid w:val="00893A51"/>
    <w:rsid w:val="00895FB5"/>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251"/>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2D21"/>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08CC"/>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90"/>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9F7004"/>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301"/>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54"/>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B96"/>
    <w:rsid w:val="00B06D60"/>
    <w:rsid w:val="00B06FAA"/>
    <w:rsid w:val="00B1121F"/>
    <w:rsid w:val="00B11549"/>
    <w:rsid w:val="00B11E28"/>
    <w:rsid w:val="00B12428"/>
    <w:rsid w:val="00B125C0"/>
    <w:rsid w:val="00B127F3"/>
    <w:rsid w:val="00B12A09"/>
    <w:rsid w:val="00B14233"/>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155"/>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1B6"/>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3F1F"/>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95"/>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72"/>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5DC2"/>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88"/>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6F84"/>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6093"/>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747"/>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7E2E02"/>
    <w:rsid w:val="018124EE"/>
    <w:rsid w:val="01914DAF"/>
    <w:rsid w:val="0194620D"/>
    <w:rsid w:val="019F45E6"/>
    <w:rsid w:val="01A01C5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DF2E16"/>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3F59FC"/>
    <w:rsid w:val="02455351"/>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24BCC"/>
    <w:rsid w:val="03A403E0"/>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E0986"/>
    <w:rsid w:val="04701466"/>
    <w:rsid w:val="04726F99"/>
    <w:rsid w:val="04742319"/>
    <w:rsid w:val="04762F3E"/>
    <w:rsid w:val="04784D20"/>
    <w:rsid w:val="047C35A8"/>
    <w:rsid w:val="047F3ADB"/>
    <w:rsid w:val="048374D1"/>
    <w:rsid w:val="04930183"/>
    <w:rsid w:val="04945DB3"/>
    <w:rsid w:val="049832CF"/>
    <w:rsid w:val="04A008CA"/>
    <w:rsid w:val="04A0094E"/>
    <w:rsid w:val="04A06E22"/>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13EDB"/>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77A7D"/>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5FD2B10"/>
    <w:rsid w:val="06047F54"/>
    <w:rsid w:val="060632A7"/>
    <w:rsid w:val="0609615B"/>
    <w:rsid w:val="06136D9F"/>
    <w:rsid w:val="06137119"/>
    <w:rsid w:val="061944F4"/>
    <w:rsid w:val="061A2ED9"/>
    <w:rsid w:val="062210A9"/>
    <w:rsid w:val="06243F9A"/>
    <w:rsid w:val="062475F7"/>
    <w:rsid w:val="062A31F6"/>
    <w:rsid w:val="06320AE6"/>
    <w:rsid w:val="063B2D93"/>
    <w:rsid w:val="063C0382"/>
    <w:rsid w:val="063E3598"/>
    <w:rsid w:val="063E540D"/>
    <w:rsid w:val="064743B9"/>
    <w:rsid w:val="064827D4"/>
    <w:rsid w:val="064B3BC7"/>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70359A0"/>
    <w:rsid w:val="0705063B"/>
    <w:rsid w:val="070A0F55"/>
    <w:rsid w:val="070A77F4"/>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7D71"/>
    <w:rsid w:val="07854B87"/>
    <w:rsid w:val="078564AD"/>
    <w:rsid w:val="07886872"/>
    <w:rsid w:val="0788733F"/>
    <w:rsid w:val="078F1D07"/>
    <w:rsid w:val="07983F1F"/>
    <w:rsid w:val="079A1B2D"/>
    <w:rsid w:val="079A1C0F"/>
    <w:rsid w:val="079B05D9"/>
    <w:rsid w:val="079C1B35"/>
    <w:rsid w:val="079C4EB2"/>
    <w:rsid w:val="07A25163"/>
    <w:rsid w:val="07A5330F"/>
    <w:rsid w:val="07A86AAB"/>
    <w:rsid w:val="07AB36BB"/>
    <w:rsid w:val="07AF1602"/>
    <w:rsid w:val="07AF55A6"/>
    <w:rsid w:val="07B80AC0"/>
    <w:rsid w:val="07BA45BD"/>
    <w:rsid w:val="07C05E24"/>
    <w:rsid w:val="07C55AF8"/>
    <w:rsid w:val="07C6632A"/>
    <w:rsid w:val="07C824BF"/>
    <w:rsid w:val="07C91479"/>
    <w:rsid w:val="07C92B05"/>
    <w:rsid w:val="07CA7201"/>
    <w:rsid w:val="07D826A0"/>
    <w:rsid w:val="07DC3D2D"/>
    <w:rsid w:val="07E45910"/>
    <w:rsid w:val="07F32076"/>
    <w:rsid w:val="08057A19"/>
    <w:rsid w:val="08057FCF"/>
    <w:rsid w:val="080B5BA7"/>
    <w:rsid w:val="080C7184"/>
    <w:rsid w:val="081606E4"/>
    <w:rsid w:val="081D240C"/>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A6A56"/>
    <w:rsid w:val="086E62CF"/>
    <w:rsid w:val="087064FA"/>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60B0C"/>
    <w:rsid w:val="08B83A84"/>
    <w:rsid w:val="08BB49DB"/>
    <w:rsid w:val="08BF2E10"/>
    <w:rsid w:val="08BF343B"/>
    <w:rsid w:val="08C71B2A"/>
    <w:rsid w:val="08CA0085"/>
    <w:rsid w:val="08CA64F5"/>
    <w:rsid w:val="08CB65E7"/>
    <w:rsid w:val="08CE410F"/>
    <w:rsid w:val="08DD0FEC"/>
    <w:rsid w:val="08DE150D"/>
    <w:rsid w:val="08ED70A2"/>
    <w:rsid w:val="08EF501B"/>
    <w:rsid w:val="08F27CFF"/>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27899"/>
    <w:rsid w:val="096A0964"/>
    <w:rsid w:val="09876078"/>
    <w:rsid w:val="09895F17"/>
    <w:rsid w:val="098A3838"/>
    <w:rsid w:val="098C3D2F"/>
    <w:rsid w:val="098C7E25"/>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D342D"/>
    <w:rsid w:val="0A7E2714"/>
    <w:rsid w:val="0A801BC2"/>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201170"/>
    <w:rsid w:val="0B2366D2"/>
    <w:rsid w:val="0B27543E"/>
    <w:rsid w:val="0B293B8C"/>
    <w:rsid w:val="0B2F2519"/>
    <w:rsid w:val="0B32198C"/>
    <w:rsid w:val="0B334392"/>
    <w:rsid w:val="0B361549"/>
    <w:rsid w:val="0B366B23"/>
    <w:rsid w:val="0B3F7384"/>
    <w:rsid w:val="0B4235F7"/>
    <w:rsid w:val="0B473487"/>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45728"/>
    <w:rsid w:val="0C302557"/>
    <w:rsid w:val="0C3A3A7B"/>
    <w:rsid w:val="0C402FC7"/>
    <w:rsid w:val="0C427C40"/>
    <w:rsid w:val="0C473778"/>
    <w:rsid w:val="0C480454"/>
    <w:rsid w:val="0C4A6D32"/>
    <w:rsid w:val="0C4C5381"/>
    <w:rsid w:val="0C4D7AEB"/>
    <w:rsid w:val="0C580401"/>
    <w:rsid w:val="0C5C38FD"/>
    <w:rsid w:val="0C5D1E4B"/>
    <w:rsid w:val="0C5F1480"/>
    <w:rsid w:val="0C684328"/>
    <w:rsid w:val="0C6B3DF2"/>
    <w:rsid w:val="0C6E2480"/>
    <w:rsid w:val="0C717083"/>
    <w:rsid w:val="0C784387"/>
    <w:rsid w:val="0C795A09"/>
    <w:rsid w:val="0C7B58AD"/>
    <w:rsid w:val="0C806EAB"/>
    <w:rsid w:val="0C807E76"/>
    <w:rsid w:val="0C895863"/>
    <w:rsid w:val="0C94460F"/>
    <w:rsid w:val="0C9C64B3"/>
    <w:rsid w:val="0C9D0879"/>
    <w:rsid w:val="0C9E7365"/>
    <w:rsid w:val="0CA72E90"/>
    <w:rsid w:val="0CB82705"/>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9318C"/>
    <w:rsid w:val="0D1A4BA1"/>
    <w:rsid w:val="0D1A524F"/>
    <w:rsid w:val="0D1C7266"/>
    <w:rsid w:val="0D1D3A97"/>
    <w:rsid w:val="0D1E6EE6"/>
    <w:rsid w:val="0D237BBD"/>
    <w:rsid w:val="0D254BE8"/>
    <w:rsid w:val="0D2571D0"/>
    <w:rsid w:val="0D293161"/>
    <w:rsid w:val="0D2D34F1"/>
    <w:rsid w:val="0D313C31"/>
    <w:rsid w:val="0D3926FF"/>
    <w:rsid w:val="0D4030C9"/>
    <w:rsid w:val="0D40776D"/>
    <w:rsid w:val="0D450FB6"/>
    <w:rsid w:val="0D461B3E"/>
    <w:rsid w:val="0D507873"/>
    <w:rsid w:val="0D5579A4"/>
    <w:rsid w:val="0D5B6219"/>
    <w:rsid w:val="0D624C38"/>
    <w:rsid w:val="0D63174A"/>
    <w:rsid w:val="0D785F02"/>
    <w:rsid w:val="0D7E2B70"/>
    <w:rsid w:val="0D824108"/>
    <w:rsid w:val="0D85034C"/>
    <w:rsid w:val="0D876A5A"/>
    <w:rsid w:val="0D882F99"/>
    <w:rsid w:val="0D891097"/>
    <w:rsid w:val="0D8977B0"/>
    <w:rsid w:val="0D8A4E4C"/>
    <w:rsid w:val="0D902D83"/>
    <w:rsid w:val="0D917179"/>
    <w:rsid w:val="0D962483"/>
    <w:rsid w:val="0D9715F3"/>
    <w:rsid w:val="0D9C2C84"/>
    <w:rsid w:val="0DAE2C9A"/>
    <w:rsid w:val="0DB0595F"/>
    <w:rsid w:val="0DBF6263"/>
    <w:rsid w:val="0DCE6AFF"/>
    <w:rsid w:val="0DCF02E4"/>
    <w:rsid w:val="0DD45088"/>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83C6C"/>
    <w:rsid w:val="0E2A68D3"/>
    <w:rsid w:val="0E2B30FB"/>
    <w:rsid w:val="0E336584"/>
    <w:rsid w:val="0E346BDA"/>
    <w:rsid w:val="0E407D57"/>
    <w:rsid w:val="0E4107CB"/>
    <w:rsid w:val="0E434A84"/>
    <w:rsid w:val="0E487C96"/>
    <w:rsid w:val="0E49681C"/>
    <w:rsid w:val="0E4B36E0"/>
    <w:rsid w:val="0E4E7770"/>
    <w:rsid w:val="0E50535B"/>
    <w:rsid w:val="0E506063"/>
    <w:rsid w:val="0E51538E"/>
    <w:rsid w:val="0E55138B"/>
    <w:rsid w:val="0E616D2A"/>
    <w:rsid w:val="0E6170B3"/>
    <w:rsid w:val="0E6211F6"/>
    <w:rsid w:val="0E625048"/>
    <w:rsid w:val="0E631330"/>
    <w:rsid w:val="0E634069"/>
    <w:rsid w:val="0E677751"/>
    <w:rsid w:val="0E786AD5"/>
    <w:rsid w:val="0E7B180B"/>
    <w:rsid w:val="0E81394B"/>
    <w:rsid w:val="0E82150E"/>
    <w:rsid w:val="0E861EFB"/>
    <w:rsid w:val="0E864F87"/>
    <w:rsid w:val="0E8B7EEA"/>
    <w:rsid w:val="0E900680"/>
    <w:rsid w:val="0E983080"/>
    <w:rsid w:val="0E9D1BA9"/>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EB5787"/>
    <w:rsid w:val="0FF04837"/>
    <w:rsid w:val="0FF12F44"/>
    <w:rsid w:val="0FF3288D"/>
    <w:rsid w:val="0FFF7C9F"/>
    <w:rsid w:val="10010759"/>
    <w:rsid w:val="10022D54"/>
    <w:rsid w:val="10076E23"/>
    <w:rsid w:val="100C77CE"/>
    <w:rsid w:val="100F3816"/>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76201"/>
    <w:rsid w:val="109929F2"/>
    <w:rsid w:val="109971E7"/>
    <w:rsid w:val="109A1807"/>
    <w:rsid w:val="109C1BCB"/>
    <w:rsid w:val="109C5AF5"/>
    <w:rsid w:val="109E66F5"/>
    <w:rsid w:val="109E69E7"/>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82F80"/>
    <w:rsid w:val="112A1F76"/>
    <w:rsid w:val="11327AE3"/>
    <w:rsid w:val="113A1401"/>
    <w:rsid w:val="114723E8"/>
    <w:rsid w:val="115A0DDF"/>
    <w:rsid w:val="1164099A"/>
    <w:rsid w:val="1164141F"/>
    <w:rsid w:val="116A1C17"/>
    <w:rsid w:val="116E313B"/>
    <w:rsid w:val="117079B7"/>
    <w:rsid w:val="11733D65"/>
    <w:rsid w:val="117A0A1C"/>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248F1"/>
    <w:rsid w:val="11B474FF"/>
    <w:rsid w:val="11BA4E90"/>
    <w:rsid w:val="11BF541C"/>
    <w:rsid w:val="11C133E6"/>
    <w:rsid w:val="11DC3064"/>
    <w:rsid w:val="11E555E4"/>
    <w:rsid w:val="11E74C0F"/>
    <w:rsid w:val="11ED1B1E"/>
    <w:rsid w:val="11F367F6"/>
    <w:rsid w:val="11F77D54"/>
    <w:rsid w:val="11FB709A"/>
    <w:rsid w:val="11FD6F6D"/>
    <w:rsid w:val="11FF2C94"/>
    <w:rsid w:val="12002EE0"/>
    <w:rsid w:val="12043E75"/>
    <w:rsid w:val="1205712C"/>
    <w:rsid w:val="121A092D"/>
    <w:rsid w:val="121A74A0"/>
    <w:rsid w:val="12200542"/>
    <w:rsid w:val="122345BF"/>
    <w:rsid w:val="12342962"/>
    <w:rsid w:val="123511DC"/>
    <w:rsid w:val="123962D9"/>
    <w:rsid w:val="123D7CB4"/>
    <w:rsid w:val="12447690"/>
    <w:rsid w:val="12465F37"/>
    <w:rsid w:val="12474EEC"/>
    <w:rsid w:val="124F3D6A"/>
    <w:rsid w:val="125A1202"/>
    <w:rsid w:val="126153A9"/>
    <w:rsid w:val="12621B35"/>
    <w:rsid w:val="1264373A"/>
    <w:rsid w:val="127559BD"/>
    <w:rsid w:val="12767ED2"/>
    <w:rsid w:val="127717E9"/>
    <w:rsid w:val="127844D1"/>
    <w:rsid w:val="127B2F1C"/>
    <w:rsid w:val="127F5B3A"/>
    <w:rsid w:val="128119A8"/>
    <w:rsid w:val="12837389"/>
    <w:rsid w:val="12843C5A"/>
    <w:rsid w:val="12844A19"/>
    <w:rsid w:val="12846B63"/>
    <w:rsid w:val="12857CC4"/>
    <w:rsid w:val="128C07ED"/>
    <w:rsid w:val="128E7EA4"/>
    <w:rsid w:val="128F4AEF"/>
    <w:rsid w:val="129B2CA7"/>
    <w:rsid w:val="12A1017B"/>
    <w:rsid w:val="12A173AA"/>
    <w:rsid w:val="12BD69EA"/>
    <w:rsid w:val="12C10A5C"/>
    <w:rsid w:val="12C258B9"/>
    <w:rsid w:val="12C65934"/>
    <w:rsid w:val="12D1263F"/>
    <w:rsid w:val="12D34931"/>
    <w:rsid w:val="12DA1F2D"/>
    <w:rsid w:val="12E02936"/>
    <w:rsid w:val="12E43009"/>
    <w:rsid w:val="12E7195C"/>
    <w:rsid w:val="12EA42C0"/>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DD0"/>
    <w:rsid w:val="135C4761"/>
    <w:rsid w:val="13600267"/>
    <w:rsid w:val="136700DF"/>
    <w:rsid w:val="13743603"/>
    <w:rsid w:val="13774B97"/>
    <w:rsid w:val="137C0DE8"/>
    <w:rsid w:val="137C3849"/>
    <w:rsid w:val="13800070"/>
    <w:rsid w:val="13822977"/>
    <w:rsid w:val="13863C70"/>
    <w:rsid w:val="13867147"/>
    <w:rsid w:val="13880FE5"/>
    <w:rsid w:val="138A6F97"/>
    <w:rsid w:val="138E1AC0"/>
    <w:rsid w:val="139B31F8"/>
    <w:rsid w:val="13AA62A7"/>
    <w:rsid w:val="13AE2E8D"/>
    <w:rsid w:val="13AF1F18"/>
    <w:rsid w:val="13AF5266"/>
    <w:rsid w:val="13B638B0"/>
    <w:rsid w:val="13B64644"/>
    <w:rsid w:val="13B67D2A"/>
    <w:rsid w:val="13B72CBA"/>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84030"/>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87604"/>
    <w:rsid w:val="155C2C83"/>
    <w:rsid w:val="15676159"/>
    <w:rsid w:val="156D072A"/>
    <w:rsid w:val="1572500A"/>
    <w:rsid w:val="15764F39"/>
    <w:rsid w:val="157934AF"/>
    <w:rsid w:val="157B43F0"/>
    <w:rsid w:val="15893110"/>
    <w:rsid w:val="15960D8B"/>
    <w:rsid w:val="15961A62"/>
    <w:rsid w:val="15973CD3"/>
    <w:rsid w:val="159913E2"/>
    <w:rsid w:val="159D34F2"/>
    <w:rsid w:val="159F0758"/>
    <w:rsid w:val="15A11605"/>
    <w:rsid w:val="15A51684"/>
    <w:rsid w:val="15AE23A7"/>
    <w:rsid w:val="15AE5A2A"/>
    <w:rsid w:val="15B2391F"/>
    <w:rsid w:val="15B57024"/>
    <w:rsid w:val="15B8186D"/>
    <w:rsid w:val="15BD4BC7"/>
    <w:rsid w:val="15D01D2E"/>
    <w:rsid w:val="15D12EEA"/>
    <w:rsid w:val="15D53223"/>
    <w:rsid w:val="15D82E51"/>
    <w:rsid w:val="15D93973"/>
    <w:rsid w:val="15DB6BA7"/>
    <w:rsid w:val="15E64B1E"/>
    <w:rsid w:val="15E77A08"/>
    <w:rsid w:val="15E80D2A"/>
    <w:rsid w:val="15EC072E"/>
    <w:rsid w:val="15ED5A4B"/>
    <w:rsid w:val="15FC2C1D"/>
    <w:rsid w:val="160173A4"/>
    <w:rsid w:val="16023110"/>
    <w:rsid w:val="160231E4"/>
    <w:rsid w:val="16034249"/>
    <w:rsid w:val="16036B03"/>
    <w:rsid w:val="16043418"/>
    <w:rsid w:val="1607182E"/>
    <w:rsid w:val="160918FD"/>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A663EC"/>
    <w:rsid w:val="16A95CC6"/>
    <w:rsid w:val="16B76558"/>
    <w:rsid w:val="16BB623C"/>
    <w:rsid w:val="16BD0BEB"/>
    <w:rsid w:val="16C040BD"/>
    <w:rsid w:val="16C25222"/>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71721"/>
    <w:rsid w:val="173C3268"/>
    <w:rsid w:val="17413469"/>
    <w:rsid w:val="174719FA"/>
    <w:rsid w:val="1747470D"/>
    <w:rsid w:val="17496CE7"/>
    <w:rsid w:val="17513663"/>
    <w:rsid w:val="1754296F"/>
    <w:rsid w:val="175A0526"/>
    <w:rsid w:val="175B3221"/>
    <w:rsid w:val="175C6FCF"/>
    <w:rsid w:val="17621497"/>
    <w:rsid w:val="176A0009"/>
    <w:rsid w:val="176D7F28"/>
    <w:rsid w:val="17747661"/>
    <w:rsid w:val="177E656B"/>
    <w:rsid w:val="17810618"/>
    <w:rsid w:val="17852D5E"/>
    <w:rsid w:val="178A0D72"/>
    <w:rsid w:val="178D7B30"/>
    <w:rsid w:val="178F00B5"/>
    <w:rsid w:val="179B27E2"/>
    <w:rsid w:val="17A33720"/>
    <w:rsid w:val="17A44F3D"/>
    <w:rsid w:val="17A7396B"/>
    <w:rsid w:val="17AA44B3"/>
    <w:rsid w:val="17B10281"/>
    <w:rsid w:val="17B224BB"/>
    <w:rsid w:val="17BB6763"/>
    <w:rsid w:val="17C92CD3"/>
    <w:rsid w:val="17D463A1"/>
    <w:rsid w:val="17D92D6F"/>
    <w:rsid w:val="17DA2322"/>
    <w:rsid w:val="17E2320F"/>
    <w:rsid w:val="17E56FCB"/>
    <w:rsid w:val="17F035C1"/>
    <w:rsid w:val="17F3078A"/>
    <w:rsid w:val="17F30D69"/>
    <w:rsid w:val="17F31453"/>
    <w:rsid w:val="17F91B6A"/>
    <w:rsid w:val="1800360E"/>
    <w:rsid w:val="1801741B"/>
    <w:rsid w:val="180B5EB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5226A"/>
    <w:rsid w:val="18686458"/>
    <w:rsid w:val="1869295F"/>
    <w:rsid w:val="186C5590"/>
    <w:rsid w:val="18772B90"/>
    <w:rsid w:val="187757C3"/>
    <w:rsid w:val="187E6D43"/>
    <w:rsid w:val="188A61A6"/>
    <w:rsid w:val="188D2D4C"/>
    <w:rsid w:val="188F2A34"/>
    <w:rsid w:val="1891695B"/>
    <w:rsid w:val="189A11A7"/>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776F0"/>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A400D"/>
    <w:rsid w:val="19BB4A16"/>
    <w:rsid w:val="19C305FD"/>
    <w:rsid w:val="19C45ED3"/>
    <w:rsid w:val="19C5080C"/>
    <w:rsid w:val="19C67F5E"/>
    <w:rsid w:val="19CF3BF0"/>
    <w:rsid w:val="19D66D6A"/>
    <w:rsid w:val="19D90B53"/>
    <w:rsid w:val="19DF4B45"/>
    <w:rsid w:val="19E569C0"/>
    <w:rsid w:val="19EA6C77"/>
    <w:rsid w:val="19F66BED"/>
    <w:rsid w:val="19FA1659"/>
    <w:rsid w:val="19FD114C"/>
    <w:rsid w:val="19FD4AD2"/>
    <w:rsid w:val="19FE6544"/>
    <w:rsid w:val="1A007445"/>
    <w:rsid w:val="1A10460D"/>
    <w:rsid w:val="1A2417BC"/>
    <w:rsid w:val="1A2E1080"/>
    <w:rsid w:val="1A2E496A"/>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449A1"/>
    <w:rsid w:val="1A852F95"/>
    <w:rsid w:val="1A8D2305"/>
    <w:rsid w:val="1A8F121D"/>
    <w:rsid w:val="1A944281"/>
    <w:rsid w:val="1A9772D1"/>
    <w:rsid w:val="1AA53750"/>
    <w:rsid w:val="1AAB0107"/>
    <w:rsid w:val="1AB34EE9"/>
    <w:rsid w:val="1AB55270"/>
    <w:rsid w:val="1ABD4834"/>
    <w:rsid w:val="1ACA6D52"/>
    <w:rsid w:val="1AD06A20"/>
    <w:rsid w:val="1ADA1A31"/>
    <w:rsid w:val="1ADF09AD"/>
    <w:rsid w:val="1AE152DF"/>
    <w:rsid w:val="1AE23F35"/>
    <w:rsid w:val="1AEE322F"/>
    <w:rsid w:val="1AF17105"/>
    <w:rsid w:val="1AF24FA9"/>
    <w:rsid w:val="1AF26C51"/>
    <w:rsid w:val="1B026A6B"/>
    <w:rsid w:val="1B03074C"/>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837461"/>
    <w:rsid w:val="1B9263BB"/>
    <w:rsid w:val="1B942014"/>
    <w:rsid w:val="1BA263B5"/>
    <w:rsid w:val="1BA611B3"/>
    <w:rsid w:val="1BA63671"/>
    <w:rsid w:val="1BA63A99"/>
    <w:rsid w:val="1BAC2EB7"/>
    <w:rsid w:val="1BAE7405"/>
    <w:rsid w:val="1BB31012"/>
    <w:rsid w:val="1BB866E5"/>
    <w:rsid w:val="1BBE01B7"/>
    <w:rsid w:val="1BC20968"/>
    <w:rsid w:val="1BC81809"/>
    <w:rsid w:val="1BCC438B"/>
    <w:rsid w:val="1BCD3A0C"/>
    <w:rsid w:val="1BCF48AD"/>
    <w:rsid w:val="1BCF7509"/>
    <w:rsid w:val="1BD0068D"/>
    <w:rsid w:val="1BD04F6A"/>
    <w:rsid w:val="1BD37110"/>
    <w:rsid w:val="1BD43D6F"/>
    <w:rsid w:val="1BD640AB"/>
    <w:rsid w:val="1BD80767"/>
    <w:rsid w:val="1BDA6798"/>
    <w:rsid w:val="1BE10CC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D03270B"/>
    <w:rsid w:val="1D0702DD"/>
    <w:rsid w:val="1D0A1B9E"/>
    <w:rsid w:val="1D0B1F78"/>
    <w:rsid w:val="1D0D48FC"/>
    <w:rsid w:val="1D112AF3"/>
    <w:rsid w:val="1D1A06C8"/>
    <w:rsid w:val="1D1A579C"/>
    <w:rsid w:val="1D31174A"/>
    <w:rsid w:val="1D372040"/>
    <w:rsid w:val="1D3745A1"/>
    <w:rsid w:val="1D384BE7"/>
    <w:rsid w:val="1D3C792F"/>
    <w:rsid w:val="1D501ED4"/>
    <w:rsid w:val="1D525097"/>
    <w:rsid w:val="1D6209BA"/>
    <w:rsid w:val="1D670B11"/>
    <w:rsid w:val="1D674387"/>
    <w:rsid w:val="1D691F1B"/>
    <w:rsid w:val="1D6928C0"/>
    <w:rsid w:val="1D6B25A8"/>
    <w:rsid w:val="1D6C6DDD"/>
    <w:rsid w:val="1D7136CB"/>
    <w:rsid w:val="1D741834"/>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248F5"/>
    <w:rsid w:val="1E883C10"/>
    <w:rsid w:val="1E9033DB"/>
    <w:rsid w:val="1E9035AB"/>
    <w:rsid w:val="1E947935"/>
    <w:rsid w:val="1E9C6AF6"/>
    <w:rsid w:val="1EA05330"/>
    <w:rsid w:val="1EA21727"/>
    <w:rsid w:val="1EA71D10"/>
    <w:rsid w:val="1EB01A6C"/>
    <w:rsid w:val="1EB67F37"/>
    <w:rsid w:val="1EBE6D30"/>
    <w:rsid w:val="1ED008C9"/>
    <w:rsid w:val="1ED14F66"/>
    <w:rsid w:val="1ED25487"/>
    <w:rsid w:val="1ED76B7F"/>
    <w:rsid w:val="1EDF0126"/>
    <w:rsid w:val="1EEB4E7D"/>
    <w:rsid w:val="1EEC15D2"/>
    <w:rsid w:val="1EED0A2C"/>
    <w:rsid w:val="1EEF63AC"/>
    <w:rsid w:val="1EF05338"/>
    <w:rsid w:val="1EF20898"/>
    <w:rsid w:val="1EF56BBD"/>
    <w:rsid w:val="1F0472DF"/>
    <w:rsid w:val="1F082B91"/>
    <w:rsid w:val="1F0975C3"/>
    <w:rsid w:val="1F0A0660"/>
    <w:rsid w:val="1F1E5ADC"/>
    <w:rsid w:val="1F255F5A"/>
    <w:rsid w:val="1F3219DB"/>
    <w:rsid w:val="1F331A4B"/>
    <w:rsid w:val="1F3726CC"/>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D0609"/>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1FFC506F"/>
    <w:rsid w:val="200264B2"/>
    <w:rsid w:val="20040087"/>
    <w:rsid w:val="200B4911"/>
    <w:rsid w:val="200F5BE3"/>
    <w:rsid w:val="20103F6E"/>
    <w:rsid w:val="20133624"/>
    <w:rsid w:val="20134B4F"/>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1665CA"/>
    <w:rsid w:val="211929D2"/>
    <w:rsid w:val="211974E9"/>
    <w:rsid w:val="211C15B2"/>
    <w:rsid w:val="211E1FFD"/>
    <w:rsid w:val="21224076"/>
    <w:rsid w:val="212757D9"/>
    <w:rsid w:val="212A03E1"/>
    <w:rsid w:val="212A29BC"/>
    <w:rsid w:val="212D5300"/>
    <w:rsid w:val="212F0781"/>
    <w:rsid w:val="213610F7"/>
    <w:rsid w:val="213A22DB"/>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2135D"/>
    <w:rsid w:val="218477E9"/>
    <w:rsid w:val="219367DB"/>
    <w:rsid w:val="219945A5"/>
    <w:rsid w:val="219F60BB"/>
    <w:rsid w:val="21A200B5"/>
    <w:rsid w:val="21A53649"/>
    <w:rsid w:val="21A64EFE"/>
    <w:rsid w:val="21C82EFF"/>
    <w:rsid w:val="21C91D98"/>
    <w:rsid w:val="21D241C3"/>
    <w:rsid w:val="21D941D2"/>
    <w:rsid w:val="21DA5B3D"/>
    <w:rsid w:val="21E00C53"/>
    <w:rsid w:val="21E83F50"/>
    <w:rsid w:val="21EA4C68"/>
    <w:rsid w:val="21EC7A6A"/>
    <w:rsid w:val="21F23862"/>
    <w:rsid w:val="21F55F42"/>
    <w:rsid w:val="21F569C9"/>
    <w:rsid w:val="21FB4F40"/>
    <w:rsid w:val="21FE059F"/>
    <w:rsid w:val="21FE20DB"/>
    <w:rsid w:val="22034C35"/>
    <w:rsid w:val="220410CA"/>
    <w:rsid w:val="2204304E"/>
    <w:rsid w:val="22090841"/>
    <w:rsid w:val="220A5F40"/>
    <w:rsid w:val="220D0D94"/>
    <w:rsid w:val="220E0B12"/>
    <w:rsid w:val="22210861"/>
    <w:rsid w:val="222155FF"/>
    <w:rsid w:val="22234E00"/>
    <w:rsid w:val="22284E63"/>
    <w:rsid w:val="22293A5E"/>
    <w:rsid w:val="22330863"/>
    <w:rsid w:val="22371A51"/>
    <w:rsid w:val="22384994"/>
    <w:rsid w:val="224C1FC3"/>
    <w:rsid w:val="224D701B"/>
    <w:rsid w:val="225C00DC"/>
    <w:rsid w:val="2262204C"/>
    <w:rsid w:val="22627DAF"/>
    <w:rsid w:val="22670177"/>
    <w:rsid w:val="226A285B"/>
    <w:rsid w:val="227061CA"/>
    <w:rsid w:val="2270753A"/>
    <w:rsid w:val="22742085"/>
    <w:rsid w:val="227D71B5"/>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C06220"/>
    <w:rsid w:val="22C742FA"/>
    <w:rsid w:val="22CD203B"/>
    <w:rsid w:val="22D226CB"/>
    <w:rsid w:val="22D36A05"/>
    <w:rsid w:val="22D36C8C"/>
    <w:rsid w:val="22DB5FB9"/>
    <w:rsid w:val="22E87A62"/>
    <w:rsid w:val="22EA5C2F"/>
    <w:rsid w:val="22EC3EF5"/>
    <w:rsid w:val="22ED566F"/>
    <w:rsid w:val="22EE5643"/>
    <w:rsid w:val="22FA5834"/>
    <w:rsid w:val="230839FC"/>
    <w:rsid w:val="230B1A63"/>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F3EA9"/>
    <w:rsid w:val="2377256D"/>
    <w:rsid w:val="237E5CCB"/>
    <w:rsid w:val="238146A2"/>
    <w:rsid w:val="238767A9"/>
    <w:rsid w:val="23881703"/>
    <w:rsid w:val="23897406"/>
    <w:rsid w:val="238976EE"/>
    <w:rsid w:val="238E39AC"/>
    <w:rsid w:val="238E4E19"/>
    <w:rsid w:val="23900F76"/>
    <w:rsid w:val="2397141A"/>
    <w:rsid w:val="2398045C"/>
    <w:rsid w:val="239B14B7"/>
    <w:rsid w:val="23A3212E"/>
    <w:rsid w:val="23A32E0B"/>
    <w:rsid w:val="23A571D4"/>
    <w:rsid w:val="23AB5ACB"/>
    <w:rsid w:val="23AE2D05"/>
    <w:rsid w:val="23AE654C"/>
    <w:rsid w:val="23B77102"/>
    <w:rsid w:val="23B826C9"/>
    <w:rsid w:val="23B95DEA"/>
    <w:rsid w:val="23BE2FAF"/>
    <w:rsid w:val="23C34FD7"/>
    <w:rsid w:val="23C35F67"/>
    <w:rsid w:val="23C36E9D"/>
    <w:rsid w:val="23C93FD3"/>
    <w:rsid w:val="23D80D48"/>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F53"/>
    <w:rsid w:val="24517096"/>
    <w:rsid w:val="24536F1E"/>
    <w:rsid w:val="24573672"/>
    <w:rsid w:val="245D2A2B"/>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7639C"/>
    <w:rsid w:val="24CB0B41"/>
    <w:rsid w:val="24CE01BE"/>
    <w:rsid w:val="24D22B05"/>
    <w:rsid w:val="24D9543C"/>
    <w:rsid w:val="24DC5887"/>
    <w:rsid w:val="24DD5DAB"/>
    <w:rsid w:val="24DF0DEC"/>
    <w:rsid w:val="24E1259D"/>
    <w:rsid w:val="24E32E28"/>
    <w:rsid w:val="24E339D1"/>
    <w:rsid w:val="24EA1A78"/>
    <w:rsid w:val="24F42861"/>
    <w:rsid w:val="24F664A2"/>
    <w:rsid w:val="24FA3925"/>
    <w:rsid w:val="24FA4867"/>
    <w:rsid w:val="25031D09"/>
    <w:rsid w:val="25035893"/>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596937"/>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51DA"/>
    <w:rsid w:val="25E44B41"/>
    <w:rsid w:val="25E87AC2"/>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27AFD"/>
    <w:rsid w:val="26860B24"/>
    <w:rsid w:val="268A581F"/>
    <w:rsid w:val="268B3DB7"/>
    <w:rsid w:val="268B7B4B"/>
    <w:rsid w:val="268F635F"/>
    <w:rsid w:val="26925566"/>
    <w:rsid w:val="26981CD4"/>
    <w:rsid w:val="269A0703"/>
    <w:rsid w:val="26AA4B1F"/>
    <w:rsid w:val="26AC45F9"/>
    <w:rsid w:val="26AD7276"/>
    <w:rsid w:val="26B05128"/>
    <w:rsid w:val="26B67971"/>
    <w:rsid w:val="26C1259F"/>
    <w:rsid w:val="26C22BA0"/>
    <w:rsid w:val="26C321FB"/>
    <w:rsid w:val="26CA5CFF"/>
    <w:rsid w:val="26CE51F6"/>
    <w:rsid w:val="26CF159D"/>
    <w:rsid w:val="26CF4594"/>
    <w:rsid w:val="26D059D1"/>
    <w:rsid w:val="26D47EE9"/>
    <w:rsid w:val="26D75A2C"/>
    <w:rsid w:val="26DC5B62"/>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20839"/>
    <w:rsid w:val="27356DDE"/>
    <w:rsid w:val="27397C46"/>
    <w:rsid w:val="273A4C87"/>
    <w:rsid w:val="273B1603"/>
    <w:rsid w:val="273C1C98"/>
    <w:rsid w:val="273C1F99"/>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95C3A"/>
    <w:rsid w:val="28BF1DE4"/>
    <w:rsid w:val="28C17F6A"/>
    <w:rsid w:val="28C55DCF"/>
    <w:rsid w:val="28C710F6"/>
    <w:rsid w:val="28C94FA0"/>
    <w:rsid w:val="28CE6E5A"/>
    <w:rsid w:val="28D31580"/>
    <w:rsid w:val="28D3165D"/>
    <w:rsid w:val="28E271EC"/>
    <w:rsid w:val="28EA37A6"/>
    <w:rsid w:val="28F24FB3"/>
    <w:rsid w:val="28F4540B"/>
    <w:rsid w:val="28FA7D83"/>
    <w:rsid w:val="28FE3539"/>
    <w:rsid w:val="2905180D"/>
    <w:rsid w:val="290E1687"/>
    <w:rsid w:val="291C136C"/>
    <w:rsid w:val="292826EF"/>
    <w:rsid w:val="292934FA"/>
    <w:rsid w:val="292C1CD4"/>
    <w:rsid w:val="292F4820"/>
    <w:rsid w:val="29333843"/>
    <w:rsid w:val="29335A4F"/>
    <w:rsid w:val="293621BA"/>
    <w:rsid w:val="29393618"/>
    <w:rsid w:val="293C5494"/>
    <w:rsid w:val="293D2A5A"/>
    <w:rsid w:val="294A4ABE"/>
    <w:rsid w:val="294B12BB"/>
    <w:rsid w:val="2951089C"/>
    <w:rsid w:val="29555B55"/>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9D6242"/>
    <w:rsid w:val="29A109C4"/>
    <w:rsid w:val="29A1367C"/>
    <w:rsid w:val="29A32E1D"/>
    <w:rsid w:val="29A547C1"/>
    <w:rsid w:val="29AB3C78"/>
    <w:rsid w:val="29AE4D06"/>
    <w:rsid w:val="29B03C5D"/>
    <w:rsid w:val="29B71B5A"/>
    <w:rsid w:val="29B87040"/>
    <w:rsid w:val="29CA2668"/>
    <w:rsid w:val="29CA5FDB"/>
    <w:rsid w:val="29CB18C2"/>
    <w:rsid w:val="29CF4056"/>
    <w:rsid w:val="29D311D3"/>
    <w:rsid w:val="29D43773"/>
    <w:rsid w:val="29DD6402"/>
    <w:rsid w:val="29DF4377"/>
    <w:rsid w:val="29E45FD6"/>
    <w:rsid w:val="29EE05BB"/>
    <w:rsid w:val="29EE70F8"/>
    <w:rsid w:val="29F74B46"/>
    <w:rsid w:val="2A005A48"/>
    <w:rsid w:val="2A021FC7"/>
    <w:rsid w:val="2A0E014A"/>
    <w:rsid w:val="2A0F2DFE"/>
    <w:rsid w:val="2A156FE8"/>
    <w:rsid w:val="2A16045E"/>
    <w:rsid w:val="2A195E4F"/>
    <w:rsid w:val="2A246249"/>
    <w:rsid w:val="2A304C00"/>
    <w:rsid w:val="2A3232B1"/>
    <w:rsid w:val="2A425B29"/>
    <w:rsid w:val="2A4943DD"/>
    <w:rsid w:val="2A4E65A0"/>
    <w:rsid w:val="2A504798"/>
    <w:rsid w:val="2A506237"/>
    <w:rsid w:val="2A5617AE"/>
    <w:rsid w:val="2A5A1DC7"/>
    <w:rsid w:val="2A5C062F"/>
    <w:rsid w:val="2A5E01C0"/>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3071"/>
    <w:rsid w:val="2B2A0E1E"/>
    <w:rsid w:val="2B2B4F13"/>
    <w:rsid w:val="2B306BF3"/>
    <w:rsid w:val="2B31133C"/>
    <w:rsid w:val="2B3264AA"/>
    <w:rsid w:val="2B3348F1"/>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F30B9C"/>
    <w:rsid w:val="2BF479F3"/>
    <w:rsid w:val="2BF71CAB"/>
    <w:rsid w:val="2BFE115E"/>
    <w:rsid w:val="2C0836E0"/>
    <w:rsid w:val="2C0D54D3"/>
    <w:rsid w:val="2C101CA7"/>
    <w:rsid w:val="2C113D09"/>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5D2A"/>
    <w:rsid w:val="2C910C96"/>
    <w:rsid w:val="2C9379CB"/>
    <w:rsid w:val="2C9C70CF"/>
    <w:rsid w:val="2CA03FF0"/>
    <w:rsid w:val="2CA56D57"/>
    <w:rsid w:val="2CB02CB3"/>
    <w:rsid w:val="2CB642A8"/>
    <w:rsid w:val="2CBF6B88"/>
    <w:rsid w:val="2CC46A08"/>
    <w:rsid w:val="2CC94B65"/>
    <w:rsid w:val="2CCC74CF"/>
    <w:rsid w:val="2CD04D1D"/>
    <w:rsid w:val="2CD33C4C"/>
    <w:rsid w:val="2CDD6CFC"/>
    <w:rsid w:val="2CE13F91"/>
    <w:rsid w:val="2CE17699"/>
    <w:rsid w:val="2CE97112"/>
    <w:rsid w:val="2CEE5603"/>
    <w:rsid w:val="2CEF2C72"/>
    <w:rsid w:val="2CF8140B"/>
    <w:rsid w:val="2CF952A7"/>
    <w:rsid w:val="2CFA656E"/>
    <w:rsid w:val="2CFC5CA7"/>
    <w:rsid w:val="2CFF698D"/>
    <w:rsid w:val="2D050641"/>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614FAA"/>
    <w:rsid w:val="2D657CC1"/>
    <w:rsid w:val="2D66193E"/>
    <w:rsid w:val="2D6D2C39"/>
    <w:rsid w:val="2D7C2D5B"/>
    <w:rsid w:val="2D8141B5"/>
    <w:rsid w:val="2D893C01"/>
    <w:rsid w:val="2D897F30"/>
    <w:rsid w:val="2D8A262B"/>
    <w:rsid w:val="2D9D7454"/>
    <w:rsid w:val="2D9F229D"/>
    <w:rsid w:val="2DA3031E"/>
    <w:rsid w:val="2DA828C6"/>
    <w:rsid w:val="2DA8640F"/>
    <w:rsid w:val="2DB43D16"/>
    <w:rsid w:val="2DBF07D5"/>
    <w:rsid w:val="2DC13268"/>
    <w:rsid w:val="2DCD2C67"/>
    <w:rsid w:val="2DCE36AE"/>
    <w:rsid w:val="2DCE6885"/>
    <w:rsid w:val="2DD004DA"/>
    <w:rsid w:val="2DD03D29"/>
    <w:rsid w:val="2DD11FEE"/>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8219C"/>
    <w:rsid w:val="2E25285A"/>
    <w:rsid w:val="2E255D34"/>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9F62E3"/>
    <w:rsid w:val="2EA027A6"/>
    <w:rsid w:val="2EAE2D9B"/>
    <w:rsid w:val="2EAF67A6"/>
    <w:rsid w:val="2EB160F6"/>
    <w:rsid w:val="2EB4365B"/>
    <w:rsid w:val="2EBE73DB"/>
    <w:rsid w:val="2EC473E8"/>
    <w:rsid w:val="2EC4756D"/>
    <w:rsid w:val="2EC61893"/>
    <w:rsid w:val="2EC65DD7"/>
    <w:rsid w:val="2ECA5640"/>
    <w:rsid w:val="2ECD0396"/>
    <w:rsid w:val="2ECE5D33"/>
    <w:rsid w:val="2ECF6072"/>
    <w:rsid w:val="2ED11ACB"/>
    <w:rsid w:val="2EDC51C5"/>
    <w:rsid w:val="2EDD2136"/>
    <w:rsid w:val="2EDE41BD"/>
    <w:rsid w:val="2EE059B8"/>
    <w:rsid w:val="2EE7432C"/>
    <w:rsid w:val="2EEF16F3"/>
    <w:rsid w:val="2EF82A65"/>
    <w:rsid w:val="2EF83ED7"/>
    <w:rsid w:val="2EFA05C6"/>
    <w:rsid w:val="2EFA50C9"/>
    <w:rsid w:val="2EFB228D"/>
    <w:rsid w:val="2F023B01"/>
    <w:rsid w:val="2F0524BD"/>
    <w:rsid w:val="2F07678E"/>
    <w:rsid w:val="2F180520"/>
    <w:rsid w:val="2F1937A2"/>
    <w:rsid w:val="2F1C392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C0A12"/>
    <w:rsid w:val="2F6D7EB6"/>
    <w:rsid w:val="2F6E21FC"/>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FA0"/>
    <w:rsid w:val="302B18A7"/>
    <w:rsid w:val="302D076C"/>
    <w:rsid w:val="303109FF"/>
    <w:rsid w:val="30321923"/>
    <w:rsid w:val="303336F1"/>
    <w:rsid w:val="3034511B"/>
    <w:rsid w:val="30367754"/>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B31E2F"/>
    <w:rsid w:val="30BC166E"/>
    <w:rsid w:val="30C16271"/>
    <w:rsid w:val="30C2753C"/>
    <w:rsid w:val="30CF418F"/>
    <w:rsid w:val="30D82034"/>
    <w:rsid w:val="30E1692A"/>
    <w:rsid w:val="30E21302"/>
    <w:rsid w:val="30E52021"/>
    <w:rsid w:val="30E67B79"/>
    <w:rsid w:val="30E77F2D"/>
    <w:rsid w:val="30EE2C4E"/>
    <w:rsid w:val="30EE3768"/>
    <w:rsid w:val="30F00D60"/>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583180"/>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01EF7"/>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66504"/>
    <w:rsid w:val="320C736B"/>
    <w:rsid w:val="320D5F5E"/>
    <w:rsid w:val="3212799D"/>
    <w:rsid w:val="32173DD4"/>
    <w:rsid w:val="321A40FF"/>
    <w:rsid w:val="321C0BCB"/>
    <w:rsid w:val="322D0304"/>
    <w:rsid w:val="323079C0"/>
    <w:rsid w:val="3231368A"/>
    <w:rsid w:val="32364BD8"/>
    <w:rsid w:val="32385BB7"/>
    <w:rsid w:val="323C5EB7"/>
    <w:rsid w:val="3244009D"/>
    <w:rsid w:val="324444DB"/>
    <w:rsid w:val="324B7056"/>
    <w:rsid w:val="324F5600"/>
    <w:rsid w:val="325348A3"/>
    <w:rsid w:val="32550500"/>
    <w:rsid w:val="325761F6"/>
    <w:rsid w:val="32637F18"/>
    <w:rsid w:val="326D6D38"/>
    <w:rsid w:val="326E75A9"/>
    <w:rsid w:val="326E7F20"/>
    <w:rsid w:val="32880476"/>
    <w:rsid w:val="328829E7"/>
    <w:rsid w:val="32921DCF"/>
    <w:rsid w:val="32924A7A"/>
    <w:rsid w:val="32953C2B"/>
    <w:rsid w:val="329A24E6"/>
    <w:rsid w:val="329E66F4"/>
    <w:rsid w:val="329F3F4A"/>
    <w:rsid w:val="32A12B73"/>
    <w:rsid w:val="32A2197D"/>
    <w:rsid w:val="32B73344"/>
    <w:rsid w:val="32B85E47"/>
    <w:rsid w:val="32BB6FB8"/>
    <w:rsid w:val="32C20171"/>
    <w:rsid w:val="32C62B6A"/>
    <w:rsid w:val="32CD60F6"/>
    <w:rsid w:val="32D74F8B"/>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F6F80"/>
    <w:rsid w:val="33945A04"/>
    <w:rsid w:val="33991584"/>
    <w:rsid w:val="339930F4"/>
    <w:rsid w:val="339A583C"/>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66DE9"/>
    <w:rsid w:val="344A37A2"/>
    <w:rsid w:val="344B0981"/>
    <w:rsid w:val="344E1DF2"/>
    <w:rsid w:val="34565133"/>
    <w:rsid w:val="345B33AF"/>
    <w:rsid w:val="34660611"/>
    <w:rsid w:val="347327B9"/>
    <w:rsid w:val="34734A0C"/>
    <w:rsid w:val="3475460B"/>
    <w:rsid w:val="34774148"/>
    <w:rsid w:val="34782459"/>
    <w:rsid w:val="347B2621"/>
    <w:rsid w:val="347E0F64"/>
    <w:rsid w:val="348070E2"/>
    <w:rsid w:val="34826C70"/>
    <w:rsid w:val="3485116E"/>
    <w:rsid w:val="34862BBB"/>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96E0A"/>
    <w:rsid w:val="359F15F2"/>
    <w:rsid w:val="35A24C16"/>
    <w:rsid w:val="35AC14B8"/>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0B29CC"/>
    <w:rsid w:val="36173F07"/>
    <w:rsid w:val="361B40AD"/>
    <w:rsid w:val="361F29DA"/>
    <w:rsid w:val="362A21E9"/>
    <w:rsid w:val="362E4AFE"/>
    <w:rsid w:val="36304B9F"/>
    <w:rsid w:val="36334998"/>
    <w:rsid w:val="36365A53"/>
    <w:rsid w:val="36366ADC"/>
    <w:rsid w:val="36381D85"/>
    <w:rsid w:val="363B2CDE"/>
    <w:rsid w:val="3640049A"/>
    <w:rsid w:val="364968F7"/>
    <w:rsid w:val="36532F26"/>
    <w:rsid w:val="365427BD"/>
    <w:rsid w:val="36581FF2"/>
    <w:rsid w:val="36617B89"/>
    <w:rsid w:val="36643AD4"/>
    <w:rsid w:val="36644B96"/>
    <w:rsid w:val="36657FCF"/>
    <w:rsid w:val="36763CBD"/>
    <w:rsid w:val="367D39C1"/>
    <w:rsid w:val="36854599"/>
    <w:rsid w:val="36865CDA"/>
    <w:rsid w:val="3686617C"/>
    <w:rsid w:val="36873BAC"/>
    <w:rsid w:val="368C08B7"/>
    <w:rsid w:val="36924958"/>
    <w:rsid w:val="36991B41"/>
    <w:rsid w:val="369B16D6"/>
    <w:rsid w:val="369D6F18"/>
    <w:rsid w:val="369F1503"/>
    <w:rsid w:val="369F59E2"/>
    <w:rsid w:val="36A21741"/>
    <w:rsid w:val="36A31B5B"/>
    <w:rsid w:val="36AC3EBC"/>
    <w:rsid w:val="36AD1DE0"/>
    <w:rsid w:val="36B101C4"/>
    <w:rsid w:val="36B32A36"/>
    <w:rsid w:val="36B826F1"/>
    <w:rsid w:val="36BC68BF"/>
    <w:rsid w:val="36C25212"/>
    <w:rsid w:val="36CD56F9"/>
    <w:rsid w:val="36D14E3D"/>
    <w:rsid w:val="36D175D4"/>
    <w:rsid w:val="36DE0D50"/>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72341"/>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AA7B0D"/>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344ADD"/>
    <w:rsid w:val="383B0C89"/>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7B6F4A"/>
    <w:rsid w:val="38861A05"/>
    <w:rsid w:val="38876F62"/>
    <w:rsid w:val="38953871"/>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E7EB7"/>
    <w:rsid w:val="38CF7661"/>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86492"/>
    <w:rsid w:val="393C2422"/>
    <w:rsid w:val="39431B8C"/>
    <w:rsid w:val="39456F8E"/>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43E05"/>
    <w:rsid w:val="3A152706"/>
    <w:rsid w:val="3A203C52"/>
    <w:rsid w:val="3A206220"/>
    <w:rsid w:val="3A2E2E7A"/>
    <w:rsid w:val="3A3B4787"/>
    <w:rsid w:val="3A3C1552"/>
    <w:rsid w:val="3A3C2311"/>
    <w:rsid w:val="3A412B35"/>
    <w:rsid w:val="3A464DA2"/>
    <w:rsid w:val="3A474EE5"/>
    <w:rsid w:val="3A486B9E"/>
    <w:rsid w:val="3A5055E8"/>
    <w:rsid w:val="3A53517D"/>
    <w:rsid w:val="3A536E79"/>
    <w:rsid w:val="3A6125AC"/>
    <w:rsid w:val="3A65416C"/>
    <w:rsid w:val="3A6B0562"/>
    <w:rsid w:val="3A6D5F4A"/>
    <w:rsid w:val="3A6F2444"/>
    <w:rsid w:val="3A7201A6"/>
    <w:rsid w:val="3A7B65FA"/>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A7141"/>
    <w:rsid w:val="3B3B461C"/>
    <w:rsid w:val="3B4D19D8"/>
    <w:rsid w:val="3B5673AB"/>
    <w:rsid w:val="3B570CE4"/>
    <w:rsid w:val="3B6123C9"/>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A3708"/>
    <w:rsid w:val="3BAE6DA7"/>
    <w:rsid w:val="3BB91F30"/>
    <w:rsid w:val="3BBB26F7"/>
    <w:rsid w:val="3BBC1AA9"/>
    <w:rsid w:val="3BBE184E"/>
    <w:rsid w:val="3BC075C0"/>
    <w:rsid w:val="3BE56F8F"/>
    <w:rsid w:val="3BF078EE"/>
    <w:rsid w:val="3BF46798"/>
    <w:rsid w:val="3BF92556"/>
    <w:rsid w:val="3BFA4CB3"/>
    <w:rsid w:val="3C0D13E4"/>
    <w:rsid w:val="3C0E353E"/>
    <w:rsid w:val="3C0E5A8B"/>
    <w:rsid w:val="3C0F399B"/>
    <w:rsid w:val="3C11184D"/>
    <w:rsid w:val="3C2441B6"/>
    <w:rsid w:val="3C274289"/>
    <w:rsid w:val="3C294317"/>
    <w:rsid w:val="3C2C2A11"/>
    <w:rsid w:val="3C2E2341"/>
    <w:rsid w:val="3C2F1664"/>
    <w:rsid w:val="3C3A5AE6"/>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1111D"/>
    <w:rsid w:val="3CF138CB"/>
    <w:rsid w:val="3CF371EE"/>
    <w:rsid w:val="3CFE449C"/>
    <w:rsid w:val="3CFF4796"/>
    <w:rsid w:val="3CFF66B2"/>
    <w:rsid w:val="3D0774FE"/>
    <w:rsid w:val="3D096893"/>
    <w:rsid w:val="3D0F0E62"/>
    <w:rsid w:val="3D137575"/>
    <w:rsid w:val="3D154570"/>
    <w:rsid w:val="3D164912"/>
    <w:rsid w:val="3D197528"/>
    <w:rsid w:val="3D1B14CB"/>
    <w:rsid w:val="3D1D4DA6"/>
    <w:rsid w:val="3D1F6473"/>
    <w:rsid w:val="3D234EBA"/>
    <w:rsid w:val="3D25768A"/>
    <w:rsid w:val="3D2743BF"/>
    <w:rsid w:val="3D3B1276"/>
    <w:rsid w:val="3D3B262F"/>
    <w:rsid w:val="3D464ADF"/>
    <w:rsid w:val="3D490E8C"/>
    <w:rsid w:val="3D4B66C7"/>
    <w:rsid w:val="3D562006"/>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E46CE"/>
    <w:rsid w:val="3DD23BEF"/>
    <w:rsid w:val="3DD84322"/>
    <w:rsid w:val="3DE03DE1"/>
    <w:rsid w:val="3DE42D75"/>
    <w:rsid w:val="3DEA024F"/>
    <w:rsid w:val="3DF15B9E"/>
    <w:rsid w:val="3DF2697E"/>
    <w:rsid w:val="3DF45B36"/>
    <w:rsid w:val="3DF5116A"/>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70DC2"/>
    <w:rsid w:val="3E7A1D2B"/>
    <w:rsid w:val="3E7B2C6B"/>
    <w:rsid w:val="3E7D3F55"/>
    <w:rsid w:val="3E7E178B"/>
    <w:rsid w:val="3E820EEC"/>
    <w:rsid w:val="3E84445A"/>
    <w:rsid w:val="3E87553C"/>
    <w:rsid w:val="3E907666"/>
    <w:rsid w:val="3E9358D5"/>
    <w:rsid w:val="3E962A3C"/>
    <w:rsid w:val="3E9E31CD"/>
    <w:rsid w:val="3E9E4D17"/>
    <w:rsid w:val="3EBA1196"/>
    <w:rsid w:val="3EBB2EB1"/>
    <w:rsid w:val="3EC03908"/>
    <w:rsid w:val="3EC865DC"/>
    <w:rsid w:val="3EC92999"/>
    <w:rsid w:val="3ECA1FF9"/>
    <w:rsid w:val="3EDC6382"/>
    <w:rsid w:val="3EEB052C"/>
    <w:rsid w:val="3EEF6989"/>
    <w:rsid w:val="3EF57293"/>
    <w:rsid w:val="3EF60F41"/>
    <w:rsid w:val="3F072978"/>
    <w:rsid w:val="3F0E36DA"/>
    <w:rsid w:val="3F187707"/>
    <w:rsid w:val="3F1D5E18"/>
    <w:rsid w:val="3F1E26A7"/>
    <w:rsid w:val="3F231E9F"/>
    <w:rsid w:val="3F2D4041"/>
    <w:rsid w:val="3F33337A"/>
    <w:rsid w:val="3F396F56"/>
    <w:rsid w:val="3F3A49D1"/>
    <w:rsid w:val="3F3B1F4F"/>
    <w:rsid w:val="3F3C4649"/>
    <w:rsid w:val="3F46349C"/>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C2959"/>
    <w:rsid w:val="3FAF485D"/>
    <w:rsid w:val="3FB1517B"/>
    <w:rsid w:val="3FBA7699"/>
    <w:rsid w:val="3FBD4DD9"/>
    <w:rsid w:val="3FCA0999"/>
    <w:rsid w:val="3FD15E98"/>
    <w:rsid w:val="3FD258D7"/>
    <w:rsid w:val="3FD53A0B"/>
    <w:rsid w:val="3FD63CE2"/>
    <w:rsid w:val="3FDC15B5"/>
    <w:rsid w:val="3FE22BCE"/>
    <w:rsid w:val="3FEA1E74"/>
    <w:rsid w:val="3FEA4055"/>
    <w:rsid w:val="3FF13812"/>
    <w:rsid w:val="3FF77D02"/>
    <w:rsid w:val="3FF96230"/>
    <w:rsid w:val="3FFB7D65"/>
    <w:rsid w:val="4002719C"/>
    <w:rsid w:val="400E605C"/>
    <w:rsid w:val="40124602"/>
    <w:rsid w:val="401340C3"/>
    <w:rsid w:val="40140D7C"/>
    <w:rsid w:val="401531D7"/>
    <w:rsid w:val="401665E6"/>
    <w:rsid w:val="40172BA0"/>
    <w:rsid w:val="402661E4"/>
    <w:rsid w:val="40295C25"/>
    <w:rsid w:val="402B014D"/>
    <w:rsid w:val="40347C30"/>
    <w:rsid w:val="40414A80"/>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93D86"/>
    <w:rsid w:val="408C7AAF"/>
    <w:rsid w:val="40922089"/>
    <w:rsid w:val="409809E7"/>
    <w:rsid w:val="409C0254"/>
    <w:rsid w:val="40B01879"/>
    <w:rsid w:val="40B46FB0"/>
    <w:rsid w:val="40B60038"/>
    <w:rsid w:val="40BA44E5"/>
    <w:rsid w:val="40D40F2D"/>
    <w:rsid w:val="40D4444D"/>
    <w:rsid w:val="40D83289"/>
    <w:rsid w:val="40E16687"/>
    <w:rsid w:val="40E5362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411DB9"/>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07729"/>
    <w:rsid w:val="41B23164"/>
    <w:rsid w:val="41B36C44"/>
    <w:rsid w:val="41B81EDF"/>
    <w:rsid w:val="41B83F03"/>
    <w:rsid w:val="41C05F42"/>
    <w:rsid w:val="41C30648"/>
    <w:rsid w:val="41C43E6C"/>
    <w:rsid w:val="41C71076"/>
    <w:rsid w:val="41C9241A"/>
    <w:rsid w:val="41CC4D9B"/>
    <w:rsid w:val="41CF2491"/>
    <w:rsid w:val="41D40CE2"/>
    <w:rsid w:val="41D91A59"/>
    <w:rsid w:val="41D935C1"/>
    <w:rsid w:val="41E77BF5"/>
    <w:rsid w:val="41F61516"/>
    <w:rsid w:val="41F72FDC"/>
    <w:rsid w:val="41FC0454"/>
    <w:rsid w:val="41FE1C88"/>
    <w:rsid w:val="4201219D"/>
    <w:rsid w:val="420211AD"/>
    <w:rsid w:val="4203444F"/>
    <w:rsid w:val="42092259"/>
    <w:rsid w:val="42093287"/>
    <w:rsid w:val="420E3125"/>
    <w:rsid w:val="420F6DFD"/>
    <w:rsid w:val="42147D6E"/>
    <w:rsid w:val="421A2497"/>
    <w:rsid w:val="421F7186"/>
    <w:rsid w:val="42233E63"/>
    <w:rsid w:val="42251300"/>
    <w:rsid w:val="4227444D"/>
    <w:rsid w:val="42277EB2"/>
    <w:rsid w:val="4232345B"/>
    <w:rsid w:val="42357DC7"/>
    <w:rsid w:val="423B6E95"/>
    <w:rsid w:val="423C2495"/>
    <w:rsid w:val="423E69D7"/>
    <w:rsid w:val="42451AAC"/>
    <w:rsid w:val="42456560"/>
    <w:rsid w:val="42467EAF"/>
    <w:rsid w:val="424A7EFD"/>
    <w:rsid w:val="424B24A9"/>
    <w:rsid w:val="424C38D8"/>
    <w:rsid w:val="425210D4"/>
    <w:rsid w:val="42530267"/>
    <w:rsid w:val="425E70F3"/>
    <w:rsid w:val="42633802"/>
    <w:rsid w:val="426F4AAD"/>
    <w:rsid w:val="427730C7"/>
    <w:rsid w:val="427752E1"/>
    <w:rsid w:val="4278783A"/>
    <w:rsid w:val="427B1071"/>
    <w:rsid w:val="42A317AB"/>
    <w:rsid w:val="42A86B39"/>
    <w:rsid w:val="42AA0A51"/>
    <w:rsid w:val="42B51FA7"/>
    <w:rsid w:val="42B95AB6"/>
    <w:rsid w:val="42BA228C"/>
    <w:rsid w:val="42BA48A5"/>
    <w:rsid w:val="42BB47D3"/>
    <w:rsid w:val="42BB6928"/>
    <w:rsid w:val="42BF4034"/>
    <w:rsid w:val="42BF5F20"/>
    <w:rsid w:val="42BF7F14"/>
    <w:rsid w:val="42C67F37"/>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910AE"/>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6001C"/>
    <w:rsid w:val="446D40B0"/>
    <w:rsid w:val="447103B5"/>
    <w:rsid w:val="44763132"/>
    <w:rsid w:val="4477066C"/>
    <w:rsid w:val="447809C5"/>
    <w:rsid w:val="447F2C95"/>
    <w:rsid w:val="44824D59"/>
    <w:rsid w:val="44852E04"/>
    <w:rsid w:val="44856B62"/>
    <w:rsid w:val="44867920"/>
    <w:rsid w:val="448B5149"/>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B4E25"/>
    <w:rsid w:val="45731BFF"/>
    <w:rsid w:val="457F73BB"/>
    <w:rsid w:val="45855290"/>
    <w:rsid w:val="45856A09"/>
    <w:rsid w:val="4587101B"/>
    <w:rsid w:val="458B2213"/>
    <w:rsid w:val="458D630F"/>
    <w:rsid w:val="4595455C"/>
    <w:rsid w:val="45A46732"/>
    <w:rsid w:val="45A57BAB"/>
    <w:rsid w:val="45A731F4"/>
    <w:rsid w:val="45B0201C"/>
    <w:rsid w:val="45B2433A"/>
    <w:rsid w:val="45B7129A"/>
    <w:rsid w:val="45BF1EEC"/>
    <w:rsid w:val="45CF283C"/>
    <w:rsid w:val="45D621FA"/>
    <w:rsid w:val="45D63FA0"/>
    <w:rsid w:val="45EA57B3"/>
    <w:rsid w:val="45F7265C"/>
    <w:rsid w:val="45F926A5"/>
    <w:rsid w:val="45FA7EB6"/>
    <w:rsid w:val="46035131"/>
    <w:rsid w:val="460D54A1"/>
    <w:rsid w:val="461358D5"/>
    <w:rsid w:val="46175EB0"/>
    <w:rsid w:val="461A7943"/>
    <w:rsid w:val="46242CAB"/>
    <w:rsid w:val="46255316"/>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6D4531"/>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10D05"/>
    <w:rsid w:val="4724155A"/>
    <w:rsid w:val="472456F8"/>
    <w:rsid w:val="472B06F6"/>
    <w:rsid w:val="47375159"/>
    <w:rsid w:val="47404E68"/>
    <w:rsid w:val="47406056"/>
    <w:rsid w:val="474840D9"/>
    <w:rsid w:val="474A3043"/>
    <w:rsid w:val="474B2B10"/>
    <w:rsid w:val="47516D3C"/>
    <w:rsid w:val="47615CC0"/>
    <w:rsid w:val="47643C7B"/>
    <w:rsid w:val="476E021D"/>
    <w:rsid w:val="477171FC"/>
    <w:rsid w:val="47797541"/>
    <w:rsid w:val="477B5067"/>
    <w:rsid w:val="477E3F91"/>
    <w:rsid w:val="477F593E"/>
    <w:rsid w:val="478009BC"/>
    <w:rsid w:val="47837860"/>
    <w:rsid w:val="478F4BC9"/>
    <w:rsid w:val="479D7EF2"/>
    <w:rsid w:val="47A4503D"/>
    <w:rsid w:val="47A73234"/>
    <w:rsid w:val="47A8106C"/>
    <w:rsid w:val="47B37855"/>
    <w:rsid w:val="47BC2E73"/>
    <w:rsid w:val="47C0706B"/>
    <w:rsid w:val="47C100FD"/>
    <w:rsid w:val="47C260C9"/>
    <w:rsid w:val="47C94AE5"/>
    <w:rsid w:val="47CA3131"/>
    <w:rsid w:val="47CA3659"/>
    <w:rsid w:val="47CB2D84"/>
    <w:rsid w:val="47D74B84"/>
    <w:rsid w:val="47D9255F"/>
    <w:rsid w:val="47E95DB7"/>
    <w:rsid w:val="47F16AD9"/>
    <w:rsid w:val="47FA67F9"/>
    <w:rsid w:val="48012706"/>
    <w:rsid w:val="48024E07"/>
    <w:rsid w:val="480F0310"/>
    <w:rsid w:val="48121DFF"/>
    <w:rsid w:val="48161EDC"/>
    <w:rsid w:val="481B25AB"/>
    <w:rsid w:val="481B3475"/>
    <w:rsid w:val="4823270D"/>
    <w:rsid w:val="483511A1"/>
    <w:rsid w:val="48363C3F"/>
    <w:rsid w:val="483C6367"/>
    <w:rsid w:val="48413448"/>
    <w:rsid w:val="4841782D"/>
    <w:rsid w:val="48485366"/>
    <w:rsid w:val="484A67E7"/>
    <w:rsid w:val="4850171B"/>
    <w:rsid w:val="48584C5F"/>
    <w:rsid w:val="4858530D"/>
    <w:rsid w:val="485B6180"/>
    <w:rsid w:val="485E7EFD"/>
    <w:rsid w:val="4864539F"/>
    <w:rsid w:val="486811BE"/>
    <w:rsid w:val="48735D3E"/>
    <w:rsid w:val="487638F9"/>
    <w:rsid w:val="48767238"/>
    <w:rsid w:val="48783A9F"/>
    <w:rsid w:val="48792DA2"/>
    <w:rsid w:val="48797A3E"/>
    <w:rsid w:val="487F5590"/>
    <w:rsid w:val="48850C1B"/>
    <w:rsid w:val="488566D3"/>
    <w:rsid w:val="48865A1F"/>
    <w:rsid w:val="48883DE9"/>
    <w:rsid w:val="48887C60"/>
    <w:rsid w:val="48895534"/>
    <w:rsid w:val="488B0D53"/>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F211CD"/>
    <w:rsid w:val="49F42993"/>
    <w:rsid w:val="4A0D1F02"/>
    <w:rsid w:val="4A120643"/>
    <w:rsid w:val="4A1208D3"/>
    <w:rsid w:val="4A176168"/>
    <w:rsid w:val="4A186D29"/>
    <w:rsid w:val="4A2723A4"/>
    <w:rsid w:val="4A312A93"/>
    <w:rsid w:val="4A33515C"/>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820D49"/>
    <w:rsid w:val="4A850E79"/>
    <w:rsid w:val="4A8F53DC"/>
    <w:rsid w:val="4A91532F"/>
    <w:rsid w:val="4A996C49"/>
    <w:rsid w:val="4AA55460"/>
    <w:rsid w:val="4AA97A71"/>
    <w:rsid w:val="4AAA2137"/>
    <w:rsid w:val="4AAF7F03"/>
    <w:rsid w:val="4AB06AAE"/>
    <w:rsid w:val="4AB17471"/>
    <w:rsid w:val="4AB23706"/>
    <w:rsid w:val="4AB5568D"/>
    <w:rsid w:val="4AB663B6"/>
    <w:rsid w:val="4ABF5CA8"/>
    <w:rsid w:val="4AC24F24"/>
    <w:rsid w:val="4AC302E6"/>
    <w:rsid w:val="4AC373B7"/>
    <w:rsid w:val="4AD70179"/>
    <w:rsid w:val="4ADC6030"/>
    <w:rsid w:val="4AE1505B"/>
    <w:rsid w:val="4AE503CA"/>
    <w:rsid w:val="4AE8204F"/>
    <w:rsid w:val="4AE85B24"/>
    <w:rsid w:val="4AEC5530"/>
    <w:rsid w:val="4AF9326D"/>
    <w:rsid w:val="4AFA788A"/>
    <w:rsid w:val="4B0B565B"/>
    <w:rsid w:val="4B0D0AAD"/>
    <w:rsid w:val="4B0F33EF"/>
    <w:rsid w:val="4B0F4579"/>
    <w:rsid w:val="4B127A66"/>
    <w:rsid w:val="4B1B3604"/>
    <w:rsid w:val="4B1D1F9E"/>
    <w:rsid w:val="4B1E39C0"/>
    <w:rsid w:val="4B303F1C"/>
    <w:rsid w:val="4B321510"/>
    <w:rsid w:val="4B336757"/>
    <w:rsid w:val="4B345DCE"/>
    <w:rsid w:val="4B373DFD"/>
    <w:rsid w:val="4B3B43DA"/>
    <w:rsid w:val="4B3C1E06"/>
    <w:rsid w:val="4B3D7327"/>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F5F80"/>
    <w:rsid w:val="4C800ACB"/>
    <w:rsid w:val="4C872A0F"/>
    <w:rsid w:val="4C891ECB"/>
    <w:rsid w:val="4C8E59E1"/>
    <w:rsid w:val="4C8F1A7A"/>
    <w:rsid w:val="4C935431"/>
    <w:rsid w:val="4C947432"/>
    <w:rsid w:val="4C9956D3"/>
    <w:rsid w:val="4CA41E7C"/>
    <w:rsid w:val="4CA52414"/>
    <w:rsid w:val="4CA61A2B"/>
    <w:rsid w:val="4CA80F94"/>
    <w:rsid w:val="4CAE7F60"/>
    <w:rsid w:val="4CB20939"/>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12EE6"/>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72578"/>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67A08"/>
    <w:rsid w:val="4DD728CB"/>
    <w:rsid w:val="4DD926F3"/>
    <w:rsid w:val="4DE324E8"/>
    <w:rsid w:val="4DE96438"/>
    <w:rsid w:val="4DF06F02"/>
    <w:rsid w:val="4DFC6D77"/>
    <w:rsid w:val="4E05512F"/>
    <w:rsid w:val="4E080D37"/>
    <w:rsid w:val="4E116331"/>
    <w:rsid w:val="4E146DE5"/>
    <w:rsid w:val="4E1974AF"/>
    <w:rsid w:val="4E1D6FF9"/>
    <w:rsid w:val="4E217F74"/>
    <w:rsid w:val="4E2273F7"/>
    <w:rsid w:val="4E232710"/>
    <w:rsid w:val="4E244590"/>
    <w:rsid w:val="4E2803B1"/>
    <w:rsid w:val="4E315BCB"/>
    <w:rsid w:val="4E323E00"/>
    <w:rsid w:val="4E353A96"/>
    <w:rsid w:val="4E453822"/>
    <w:rsid w:val="4E46611C"/>
    <w:rsid w:val="4E4927F4"/>
    <w:rsid w:val="4E51033C"/>
    <w:rsid w:val="4E5718DD"/>
    <w:rsid w:val="4E5D76DE"/>
    <w:rsid w:val="4E645B44"/>
    <w:rsid w:val="4E653EFD"/>
    <w:rsid w:val="4E6557BF"/>
    <w:rsid w:val="4E7052BB"/>
    <w:rsid w:val="4E712D20"/>
    <w:rsid w:val="4E7328AB"/>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B0E0D"/>
    <w:rsid w:val="4F1F413E"/>
    <w:rsid w:val="4F2309CE"/>
    <w:rsid w:val="4F236021"/>
    <w:rsid w:val="4F2417F9"/>
    <w:rsid w:val="4F390391"/>
    <w:rsid w:val="4F4128B4"/>
    <w:rsid w:val="4F472DFA"/>
    <w:rsid w:val="4F476973"/>
    <w:rsid w:val="4F496B4A"/>
    <w:rsid w:val="4F4B45C9"/>
    <w:rsid w:val="4F516C90"/>
    <w:rsid w:val="4F5304FA"/>
    <w:rsid w:val="4F5847FB"/>
    <w:rsid w:val="4F675005"/>
    <w:rsid w:val="4F687C61"/>
    <w:rsid w:val="4F6B70F2"/>
    <w:rsid w:val="4F6D2D8A"/>
    <w:rsid w:val="4F7065D1"/>
    <w:rsid w:val="4F742121"/>
    <w:rsid w:val="4F7476FD"/>
    <w:rsid w:val="4F7A5351"/>
    <w:rsid w:val="4F7B7933"/>
    <w:rsid w:val="4F7E4952"/>
    <w:rsid w:val="4F837A29"/>
    <w:rsid w:val="4F86338A"/>
    <w:rsid w:val="4F8B5808"/>
    <w:rsid w:val="4F8E2544"/>
    <w:rsid w:val="4F8E4617"/>
    <w:rsid w:val="4F925571"/>
    <w:rsid w:val="4F936F2A"/>
    <w:rsid w:val="4F96364E"/>
    <w:rsid w:val="4F9A7781"/>
    <w:rsid w:val="4FA07208"/>
    <w:rsid w:val="4FA32FA9"/>
    <w:rsid w:val="4FA4526D"/>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342B46"/>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8253C"/>
    <w:rsid w:val="50B852D4"/>
    <w:rsid w:val="50B90894"/>
    <w:rsid w:val="50BA7486"/>
    <w:rsid w:val="50BD6A55"/>
    <w:rsid w:val="50BD73C3"/>
    <w:rsid w:val="50BE57FD"/>
    <w:rsid w:val="50C0101E"/>
    <w:rsid w:val="50C34300"/>
    <w:rsid w:val="50C861CA"/>
    <w:rsid w:val="50C93EAB"/>
    <w:rsid w:val="50CB2653"/>
    <w:rsid w:val="50CE6DFA"/>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21469F"/>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E2056"/>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5F49DB"/>
    <w:rsid w:val="526064B1"/>
    <w:rsid w:val="52690C86"/>
    <w:rsid w:val="526A5229"/>
    <w:rsid w:val="527339B9"/>
    <w:rsid w:val="527449D1"/>
    <w:rsid w:val="52750312"/>
    <w:rsid w:val="527E7FA7"/>
    <w:rsid w:val="52852628"/>
    <w:rsid w:val="528549ED"/>
    <w:rsid w:val="52931C51"/>
    <w:rsid w:val="5297682A"/>
    <w:rsid w:val="5299782E"/>
    <w:rsid w:val="529F7607"/>
    <w:rsid w:val="52A66E27"/>
    <w:rsid w:val="52A77DD3"/>
    <w:rsid w:val="52A866CD"/>
    <w:rsid w:val="52AC289B"/>
    <w:rsid w:val="52AD7835"/>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3016EAE"/>
    <w:rsid w:val="53022230"/>
    <w:rsid w:val="53037543"/>
    <w:rsid w:val="53040DD4"/>
    <w:rsid w:val="53092BE3"/>
    <w:rsid w:val="530D3EE7"/>
    <w:rsid w:val="530E50CD"/>
    <w:rsid w:val="53107CE9"/>
    <w:rsid w:val="53116663"/>
    <w:rsid w:val="53123854"/>
    <w:rsid w:val="531E2733"/>
    <w:rsid w:val="53200D63"/>
    <w:rsid w:val="53203EAE"/>
    <w:rsid w:val="5327111C"/>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35144"/>
    <w:rsid w:val="53BE4CA5"/>
    <w:rsid w:val="53C50BB1"/>
    <w:rsid w:val="53C82E5F"/>
    <w:rsid w:val="53C961D5"/>
    <w:rsid w:val="53CA00F2"/>
    <w:rsid w:val="53DB1FEF"/>
    <w:rsid w:val="53DC6321"/>
    <w:rsid w:val="53DE489B"/>
    <w:rsid w:val="53DF0E48"/>
    <w:rsid w:val="53E021B5"/>
    <w:rsid w:val="53E15EE4"/>
    <w:rsid w:val="53E504ED"/>
    <w:rsid w:val="53E623AE"/>
    <w:rsid w:val="53E62704"/>
    <w:rsid w:val="53ED1D5A"/>
    <w:rsid w:val="53EF222C"/>
    <w:rsid w:val="53FB6A99"/>
    <w:rsid w:val="54013248"/>
    <w:rsid w:val="54036357"/>
    <w:rsid w:val="540C7B26"/>
    <w:rsid w:val="540E2C5F"/>
    <w:rsid w:val="54226C53"/>
    <w:rsid w:val="54260313"/>
    <w:rsid w:val="542653F0"/>
    <w:rsid w:val="543207E9"/>
    <w:rsid w:val="54323B36"/>
    <w:rsid w:val="543B1979"/>
    <w:rsid w:val="544071FE"/>
    <w:rsid w:val="54474D8C"/>
    <w:rsid w:val="54475472"/>
    <w:rsid w:val="54481953"/>
    <w:rsid w:val="544C0723"/>
    <w:rsid w:val="544C3972"/>
    <w:rsid w:val="544E23A2"/>
    <w:rsid w:val="54646830"/>
    <w:rsid w:val="54652573"/>
    <w:rsid w:val="54694C0F"/>
    <w:rsid w:val="546E3DF1"/>
    <w:rsid w:val="547A3FE7"/>
    <w:rsid w:val="547B2953"/>
    <w:rsid w:val="547B296E"/>
    <w:rsid w:val="547C24E5"/>
    <w:rsid w:val="547D0D60"/>
    <w:rsid w:val="547F25F5"/>
    <w:rsid w:val="547F3870"/>
    <w:rsid w:val="548075C3"/>
    <w:rsid w:val="54833F1A"/>
    <w:rsid w:val="548F4C0D"/>
    <w:rsid w:val="549A005E"/>
    <w:rsid w:val="54A045BE"/>
    <w:rsid w:val="54A32323"/>
    <w:rsid w:val="54AB06B2"/>
    <w:rsid w:val="54AC5879"/>
    <w:rsid w:val="54B03060"/>
    <w:rsid w:val="54BB10DA"/>
    <w:rsid w:val="54BC61EF"/>
    <w:rsid w:val="54BD7666"/>
    <w:rsid w:val="54BE4673"/>
    <w:rsid w:val="54BF029A"/>
    <w:rsid w:val="54C31BDE"/>
    <w:rsid w:val="54C62E16"/>
    <w:rsid w:val="54C62FAC"/>
    <w:rsid w:val="54CA6334"/>
    <w:rsid w:val="54CB0818"/>
    <w:rsid w:val="54CB2961"/>
    <w:rsid w:val="54CD55DE"/>
    <w:rsid w:val="54D12B00"/>
    <w:rsid w:val="54D85F2F"/>
    <w:rsid w:val="54D94F04"/>
    <w:rsid w:val="54D96C5B"/>
    <w:rsid w:val="54D97F95"/>
    <w:rsid w:val="54E52FEA"/>
    <w:rsid w:val="54E71FBE"/>
    <w:rsid w:val="54E87E5F"/>
    <w:rsid w:val="54EC7B95"/>
    <w:rsid w:val="55014944"/>
    <w:rsid w:val="55037AD6"/>
    <w:rsid w:val="550415F3"/>
    <w:rsid w:val="55095F10"/>
    <w:rsid w:val="550B34E2"/>
    <w:rsid w:val="55125158"/>
    <w:rsid w:val="551F5F7D"/>
    <w:rsid w:val="552133AA"/>
    <w:rsid w:val="55296FE4"/>
    <w:rsid w:val="552F5F65"/>
    <w:rsid w:val="553B4499"/>
    <w:rsid w:val="553E3E60"/>
    <w:rsid w:val="5547595B"/>
    <w:rsid w:val="55583BF0"/>
    <w:rsid w:val="555A417E"/>
    <w:rsid w:val="55625588"/>
    <w:rsid w:val="55645A1D"/>
    <w:rsid w:val="55661EFE"/>
    <w:rsid w:val="556B2AF1"/>
    <w:rsid w:val="556C0EF2"/>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75C12"/>
    <w:rsid w:val="578849BA"/>
    <w:rsid w:val="57890230"/>
    <w:rsid w:val="578B45BC"/>
    <w:rsid w:val="579332C9"/>
    <w:rsid w:val="57984358"/>
    <w:rsid w:val="579C091F"/>
    <w:rsid w:val="579C553D"/>
    <w:rsid w:val="579E16D2"/>
    <w:rsid w:val="579E4B6F"/>
    <w:rsid w:val="57A8703D"/>
    <w:rsid w:val="57B140FD"/>
    <w:rsid w:val="57C23DC7"/>
    <w:rsid w:val="57DB51C2"/>
    <w:rsid w:val="57F00A5B"/>
    <w:rsid w:val="580524DD"/>
    <w:rsid w:val="580B47C9"/>
    <w:rsid w:val="581563DE"/>
    <w:rsid w:val="581B418A"/>
    <w:rsid w:val="581C1F42"/>
    <w:rsid w:val="582055EE"/>
    <w:rsid w:val="582334BB"/>
    <w:rsid w:val="582D2236"/>
    <w:rsid w:val="58344BA2"/>
    <w:rsid w:val="58422286"/>
    <w:rsid w:val="58435516"/>
    <w:rsid w:val="58446F11"/>
    <w:rsid w:val="5849643A"/>
    <w:rsid w:val="58496BB7"/>
    <w:rsid w:val="584D50B5"/>
    <w:rsid w:val="5856096A"/>
    <w:rsid w:val="5856761D"/>
    <w:rsid w:val="585749D4"/>
    <w:rsid w:val="585B70CE"/>
    <w:rsid w:val="58612DB0"/>
    <w:rsid w:val="58695CD4"/>
    <w:rsid w:val="586B5E7C"/>
    <w:rsid w:val="58746525"/>
    <w:rsid w:val="58755BEE"/>
    <w:rsid w:val="58793717"/>
    <w:rsid w:val="587F0A2C"/>
    <w:rsid w:val="58806871"/>
    <w:rsid w:val="5880712A"/>
    <w:rsid w:val="58890B0A"/>
    <w:rsid w:val="58893680"/>
    <w:rsid w:val="588B4B63"/>
    <w:rsid w:val="588E12E3"/>
    <w:rsid w:val="588E5385"/>
    <w:rsid w:val="589125BF"/>
    <w:rsid w:val="5893055D"/>
    <w:rsid w:val="58AA7A32"/>
    <w:rsid w:val="58AB1DC4"/>
    <w:rsid w:val="58AD6F29"/>
    <w:rsid w:val="58AE51B1"/>
    <w:rsid w:val="58B21363"/>
    <w:rsid w:val="58B9548E"/>
    <w:rsid w:val="58BB136D"/>
    <w:rsid w:val="58BE1257"/>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CA4573"/>
    <w:rsid w:val="59D36AA9"/>
    <w:rsid w:val="59D507D0"/>
    <w:rsid w:val="59E87057"/>
    <w:rsid w:val="59E8793A"/>
    <w:rsid w:val="59EA2AD4"/>
    <w:rsid w:val="59EC1016"/>
    <w:rsid w:val="59F172B4"/>
    <w:rsid w:val="59F30AF9"/>
    <w:rsid w:val="59F3413A"/>
    <w:rsid w:val="59F60FA8"/>
    <w:rsid w:val="59F86F12"/>
    <w:rsid w:val="5A04552A"/>
    <w:rsid w:val="5A0B4BBF"/>
    <w:rsid w:val="5A0D4DA0"/>
    <w:rsid w:val="5A102FC9"/>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F063F"/>
    <w:rsid w:val="5A910A68"/>
    <w:rsid w:val="5A93347D"/>
    <w:rsid w:val="5A942977"/>
    <w:rsid w:val="5AA92788"/>
    <w:rsid w:val="5AA927F1"/>
    <w:rsid w:val="5AAC1AAA"/>
    <w:rsid w:val="5AB50FD9"/>
    <w:rsid w:val="5AB97EAE"/>
    <w:rsid w:val="5ABD13D9"/>
    <w:rsid w:val="5ABE6B32"/>
    <w:rsid w:val="5AC2550F"/>
    <w:rsid w:val="5AC46254"/>
    <w:rsid w:val="5ACC124B"/>
    <w:rsid w:val="5ACD59C5"/>
    <w:rsid w:val="5AD22D0E"/>
    <w:rsid w:val="5AD25E29"/>
    <w:rsid w:val="5AD81EAB"/>
    <w:rsid w:val="5ADD6AED"/>
    <w:rsid w:val="5AE76BC1"/>
    <w:rsid w:val="5AE9306D"/>
    <w:rsid w:val="5AEC6AA2"/>
    <w:rsid w:val="5AED6EE6"/>
    <w:rsid w:val="5B054511"/>
    <w:rsid w:val="5B130536"/>
    <w:rsid w:val="5B1527A8"/>
    <w:rsid w:val="5B271DAF"/>
    <w:rsid w:val="5B2B7A81"/>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F381E"/>
    <w:rsid w:val="5C134D0A"/>
    <w:rsid w:val="5C2447C2"/>
    <w:rsid w:val="5C2C2C06"/>
    <w:rsid w:val="5C2E3D4E"/>
    <w:rsid w:val="5C302DB4"/>
    <w:rsid w:val="5C33495D"/>
    <w:rsid w:val="5C3573E8"/>
    <w:rsid w:val="5C38462F"/>
    <w:rsid w:val="5C391C9D"/>
    <w:rsid w:val="5C4A7029"/>
    <w:rsid w:val="5C524B49"/>
    <w:rsid w:val="5C567BAC"/>
    <w:rsid w:val="5C5C2559"/>
    <w:rsid w:val="5C5E06F3"/>
    <w:rsid w:val="5C606A7E"/>
    <w:rsid w:val="5C651375"/>
    <w:rsid w:val="5C651F1D"/>
    <w:rsid w:val="5C6D7D63"/>
    <w:rsid w:val="5C6F346E"/>
    <w:rsid w:val="5C7B58FA"/>
    <w:rsid w:val="5C7C18B9"/>
    <w:rsid w:val="5C811086"/>
    <w:rsid w:val="5C832EF9"/>
    <w:rsid w:val="5C847C07"/>
    <w:rsid w:val="5C8925AA"/>
    <w:rsid w:val="5C8C2E6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36A7"/>
    <w:rsid w:val="5CEA4F59"/>
    <w:rsid w:val="5CEC5C67"/>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A5FDD"/>
    <w:rsid w:val="5D310BBF"/>
    <w:rsid w:val="5D3216E3"/>
    <w:rsid w:val="5D334440"/>
    <w:rsid w:val="5D3540E7"/>
    <w:rsid w:val="5D3579D3"/>
    <w:rsid w:val="5D3F4512"/>
    <w:rsid w:val="5D4B03EC"/>
    <w:rsid w:val="5D4B3B72"/>
    <w:rsid w:val="5D4B7D01"/>
    <w:rsid w:val="5D5D366B"/>
    <w:rsid w:val="5D63417B"/>
    <w:rsid w:val="5D663874"/>
    <w:rsid w:val="5D6759B2"/>
    <w:rsid w:val="5D726960"/>
    <w:rsid w:val="5D8056CF"/>
    <w:rsid w:val="5D8167C6"/>
    <w:rsid w:val="5D827AE7"/>
    <w:rsid w:val="5D84626D"/>
    <w:rsid w:val="5D850F66"/>
    <w:rsid w:val="5D882498"/>
    <w:rsid w:val="5D88463C"/>
    <w:rsid w:val="5D8C0D5D"/>
    <w:rsid w:val="5D8C36CC"/>
    <w:rsid w:val="5D8D30BD"/>
    <w:rsid w:val="5D8E1670"/>
    <w:rsid w:val="5D8E4F86"/>
    <w:rsid w:val="5D8E5A81"/>
    <w:rsid w:val="5D916240"/>
    <w:rsid w:val="5DA03F1A"/>
    <w:rsid w:val="5DA34B77"/>
    <w:rsid w:val="5DA60259"/>
    <w:rsid w:val="5DA9695A"/>
    <w:rsid w:val="5DAC24BD"/>
    <w:rsid w:val="5DAD1AB9"/>
    <w:rsid w:val="5DB563E8"/>
    <w:rsid w:val="5DB91AE6"/>
    <w:rsid w:val="5DBC49B1"/>
    <w:rsid w:val="5DBF5D68"/>
    <w:rsid w:val="5DC1061A"/>
    <w:rsid w:val="5DC50736"/>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87D85"/>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5643C"/>
    <w:rsid w:val="5F3A0EC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9713B"/>
    <w:rsid w:val="5F9A0389"/>
    <w:rsid w:val="5F9F5EE3"/>
    <w:rsid w:val="5FA767D8"/>
    <w:rsid w:val="5FAB0D25"/>
    <w:rsid w:val="5FAE368B"/>
    <w:rsid w:val="5FAE4CCA"/>
    <w:rsid w:val="5FB51466"/>
    <w:rsid w:val="5FB6148F"/>
    <w:rsid w:val="5FC963C7"/>
    <w:rsid w:val="5FCB325D"/>
    <w:rsid w:val="5FCC6A31"/>
    <w:rsid w:val="5FCE47F2"/>
    <w:rsid w:val="5FDF212E"/>
    <w:rsid w:val="5FDF67B6"/>
    <w:rsid w:val="5FE10C8E"/>
    <w:rsid w:val="5FE34282"/>
    <w:rsid w:val="5FED06A9"/>
    <w:rsid w:val="5FF13CC0"/>
    <w:rsid w:val="5FF44DF9"/>
    <w:rsid w:val="5FFA456C"/>
    <w:rsid w:val="5FFA4853"/>
    <w:rsid w:val="6007576A"/>
    <w:rsid w:val="60143E86"/>
    <w:rsid w:val="60151BB8"/>
    <w:rsid w:val="60167164"/>
    <w:rsid w:val="601A587C"/>
    <w:rsid w:val="601B4091"/>
    <w:rsid w:val="602238F8"/>
    <w:rsid w:val="60244144"/>
    <w:rsid w:val="602C41B6"/>
    <w:rsid w:val="60311EBC"/>
    <w:rsid w:val="604017AE"/>
    <w:rsid w:val="60414EF0"/>
    <w:rsid w:val="6043648A"/>
    <w:rsid w:val="604654CE"/>
    <w:rsid w:val="604A57E6"/>
    <w:rsid w:val="604C521E"/>
    <w:rsid w:val="604F5EF6"/>
    <w:rsid w:val="60504041"/>
    <w:rsid w:val="6057558C"/>
    <w:rsid w:val="605E72F8"/>
    <w:rsid w:val="605F5AE3"/>
    <w:rsid w:val="606157F3"/>
    <w:rsid w:val="60627C46"/>
    <w:rsid w:val="606364CC"/>
    <w:rsid w:val="606429BD"/>
    <w:rsid w:val="60687CFB"/>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4555FE"/>
    <w:rsid w:val="614A3BE6"/>
    <w:rsid w:val="614A563B"/>
    <w:rsid w:val="614B3DCA"/>
    <w:rsid w:val="614C69C2"/>
    <w:rsid w:val="614D19CC"/>
    <w:rsid w:val="614F0D23"/>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713CC"/>
    <w:rsid w:val="617A3001"/>
    <w:rsid w:val="617D0928"/>
    <w:rsid w:val="61897126"/>
    <w:rsid w:val="61982206"/>
    <w:rsid w:val="619877AE"/>
    <w:rsid w:val="61A44839"/>
    <w:rsid w:val="61A464B4"/>
    <w:rsid w:val="61A524ED"/>
    <w:rsid w:val="61BE052F"/>
    <w:rsid w:val="61BE3173"/>
    <w:rsid w:val="61C52F7C"/>
    <w:rsid w:val="61C56B2B"/>
    <w:rsid w:val="61C65438"/>
    <w:rsid w:val="61C665BE"/>
    <w:rsid w:val="61CA523D"/>
    <w:rsid w:val="61D15BC1"/>
    <w:rsid w:val="61D874CA"/>
    <w:rsid w:val="61DA463A"/>
    <w:rsid w:val="61E145AD"/>
    <w:rsid w:val="61EB3425"/>
    <w:rsid w:val="61F52D89"/>
    <w:rsid w:val="61F76912"/>
    <w:rsid w:val="62025288"/>
    <w:rsid w:val="62067533"/>
    <w:rsid w:val="62071713"/>
    <w:rsid w:val="620971FF"/>
    <w:rsid w:val="620A7527"/>
    <w:rsid w:val="620B1CD1"/>
    <w:rsid w:val="620E43FD"/>
    <w:rsid w:val="62112067"/>
    <w:rsid w:val="62132F1F"/>
    <w:rsid w:val="62143D21"/>
    <w:rsid w:val="621D44D9"/>
    <w:rsid w:val="62256A19"/>
    <w:rsid w:val="622A55FC"/>
    <w:rsid w:val="622B2701"/>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A618C"/>
    <w:rsid w:val="63FC5706"/>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3469EA"/>
    <w:rsid w:val="6437387C"/>
    <w:rsid w:val="643E61A5"/>
    <w:rsid w:val="64412CB4"/>
    <w:rsid w:val="6441646E"/>
    <w:rsid w:val="64475BCD"/>
    <w:rsid w:val="6451379B"/>
    <w:rsid w:val="64530EC4"/>
    <w:rsid w:val="64546DA9"/>
    <w:rsid w:val="64630019"/>
    <w:rsid w:val="64644242"/>
    <w:rsid w:val="646A7333"/>
    <w:rsid w:val="646F7BBB"/>
    <w:rsid w:val="647A1DAD"/>
    <w:rsid w:val="647A760C"/>
    <w:rsid w:val="647E32AF"/>
    <w:rsid w:val="64856D00"/>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A18FD"/>
    <w:rsid w:val="64ED414E"/>
    <w:rsid w:val="64EF0130"/>
    <w:rsid w:val="64EF032E"/>
    <w:rsid w:val="64F102BF"/>
    <w:rsid w:val="64F96F89"/>
    <w:rsid w:val="64FC29FD"/>
    <w:rsid w:val="64FE3B47"/>
    <w:rsid w:val="64FF4955"/>
    <w:rsid w:val="6505779C"/>
    <w:rsid w:val="65140C27"/>
    <w:rsid w:val="65222B6E"/>
    <w:rsid w:val="652A2225"/>
    <w:rsid w:val="652A2C63"/>
    <w:rsid w:val="653B62B2"/>
    <w:rsid w:val="653C00CC"/>
    <w:rsid w:val="653D48C7"/>
    <w:rsid w:val="653E27F8"/>
    <w:rsid w:val="6544003B"/>
    <w:rsid w:val="65462AB2"/>
    <w:rsid w:val="65465C3A"/>
    <w:rsid w:val="655460FF"/>
    <w:rsid w:val="6559070A"/>
    <w:rsid w:val="655A5855"/>
    <w:rsid w:val="655B3AA1"/>
    <w:rsid w:val="655E6F44"/>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7C4535"/>
    <w:rsid w:val="6686636A"/>
    <w:rsid w:val="66866CB8"/>
    <w:rsid w:val="6688104A"/>
    <w:rsid w:val="66901922"/>
    <w:rsid w:val="66955DAD"/>
    <w:rsid w:val="66A20992"/>
    <w:rsid w:val="66B23A7E"/>
    <w:rsid w:val="66B51C12"/>
    <w:rsid w:val="66BC2B4E"/>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A14BD"/>
    <w:rsid w:val="671D7131"/>
    <w:rsid w:val="671F2063"/>
    <w:rsid w:val="67212488"/>
    <w:rsid w:val="67230E17"/>
    <w:rsid w:val="67243AE8"/>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83B40"/>
    <w:rsid w:val="67DC12E8"/>
    <w:rsid w:val="67DC5B84"/>
    <w:rsid w:val="67DE05B4"/>
    <w:rsid w:val="67DF2BE3"/>
    <w:rsid w:val="67E0222A"/>
    <w:rsid w:val="67E33DD6"/>
    <w:rsid w:val="67E401B7"/>
    <w:rsid w:val="67E5172D"/>
    <w:rsid w:val="67E555F1"/>
    <w:rsid w:val="67E94652"/>
    <w:rsid w:val="67ED40A4"/>
    <w:rsid w:val="67EE565E"/>
    <w:rsid w:val="67F2090D"/>
    <w:rsid w:val="67F20F7C"/>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161C0"/>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D018E9"/>
    <w:rsid w:val="68D9302B"/>
    <w:rsid w:val="68DC4A0D"/>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041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300070"/>
    <w:rsid w:val="6A304F08"/>
    <w:rsid w:val="6A4107BE"/>
    <w:rsid w:val="6A4A15E8"/>
    <w:rsid w:val="6A4C5A04"/>
    <w:rsid w:val="6A5110C5"/>
    <w:rsid w:val="6A58493C"/>
    <w:rsid w:val="6A5F7765"/>
    <w:rsid w:val="6A6373A0"/>
    <w:rsid w:val="6A687C25"/>
    <w:rsid w:val="6A6A33B7"/>
    <w:rsid w:val="6A6A49EF"/>
    <w:rsid w:val="6A6E7A18"/>
    <w:rsid w:val="6A7D3773"/>
    <w:rsid w:val="6A873080"/>
    <w:rsid w:val="6A883A57"/>
    <w:rsid w:val="6A894123"/>
    <w:rsid w:val="6A8B4A02"/>
    <w:rsid w:val="6A9A5A6C"/>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84EAE"/>
    <w:rsid w:val="6B2D67D1"/>
    <w:rsid w:val="6B2E4BDC"/>
    <w:rsid w:val="6B3230C2"/>
    <w:rsid w:val="6B3A0170"/>
    <w:rsid w:val="6B3B3477"/>
    <w:rsid w:val="6B3E31D3"/>
    <w:rsid w:val="6B444C91"/>
    <w:rsid w:val="6B453759"/>
    <w:rsid w:val="6B45608D"/>
    <w:rsid w:val="6B474C81"/>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50F30"/>
    <w:rsid w:val="6BD954FE"/>
    <w:rsid w:val="6BDA3731"/>
    <w:rsid w:val="6BDA5A31"/>
    <w:rsid w:val="6BDD6387"/>
    <w:rsid w:val="6BE0409F"/>
    <w:rsid w:val="6BE11226"/>
    <w:rsid w:val="6BE56596"/>
    <w:rsid w:val="6BE77CB5"/>
    <w:rsid w:val="6BEB2F73"/>
    <w:rsid w:val="6BF1529A"/>
    <w:rsid w:val="6BF329C9"/>
    <w:rsid w:val="6BF82039"/>
    <w:rsid w:val="6BFB6397"/>
    <w:rsid w:val="6C067490"/>
    <w:rsid w:val="6C0B5D3D"/>
    <w:rsid w:val="6C0F552A"/>
    <w:rsid w:val="6C132282"/>
    <w:rsid w:val="6C1E57A4"/>
    <w:rsid w:val="6C2052D7"/>
    <w:rsid w:val="6C2474AD"/>
    <w:rsid w:val="6C254DED"/>
    <w:rsid w:val="6C2A3C97"/>
    <w:rsid w:val="6C300842"/>
    <w:rsid w:val="6C441522"/>
    <w:rsid w:val="6C444E98"/>
    <w:rsid w:val="6C44652A"/>
    <w:rsid w:val="6C450DC2"/>
    <w:rsid w:val="6C4743EF"/>
    <w:rsid w:val="6C49464D"/>
    <w:rsid w:val="6C5630FD"/>
    <w:rsid w:val="6C580C23"/>
    <w:rsid w:val="6C5D2B83"/>
    <w:rsid w:val="6C5E310E"/>
    <w:rsid w:val="6C693101"/>
    <w:rsid w:val="6C6C65A8"/>
    <w:rsid w:val="6C6E654D"/>
    <w:rsid w:val="6C6F6D68"/>
    <w:rsid w:val="6C713EE6"/>
    <w:rsid w:val="6C7225C0"/>
    <w:rsid w:val="6C724086"/>
    <w:rsid w:val="6C7A0146"/>
    <w:rsid w:val="6C7D1EE1"/>
    <w:rsid w:val="6C83148E"/>
    <w:rsid w:val="6C847309"/>
    <w:rsid w:val="6C87483E"/>
    <w:rsid w:val="6C8A6023"/>
    <w:rsid w:val="6C932F62"/>
    <w:rsid w:val="6C970952"/>
    <w:rsid w:val="6C986CFB"/>
    <w:rsid w:val="6C993EDD"/>
    <w:rsid w:val="6CA16A6E"/>
    <w:rsid w:val="6CA35ACE"/>
    <w:rsid w:val="6CA36F99"/>
    <w:rsid w:val="6CA51F44"/>
    <w:rsid w:val="6CAC41D8"/>
    <w:rsid w:val="6CAD1DA8"/>
    <w:rsid w:val="6CC01FF7"/>
    <w:rsid w:val="6CC100DE"/>
    <w:rsid w:val="6CC172F0"/>
    <w:rsid w:val="6CC47E70"/>
    <w:rsid w:val="6CC83449"/>
    <w:rsid w:val="6CD4587A"/>
    <w:rsid w:val="6CD7368A"/>
    <w:rsid w:val="6CDE5384"/>
    <w:rsid w:val="6CE73495"/>
    <w:rsid w:val="6CE8549F"/>
    <w:rsid w:val="6CE94B3B"/>
    <w:rsid w:val="6CEC511B"/>
    <w:rsid w:val="6CF4007D"/>
    <w:rsid w:val="6CFC39F3"/>
    <w:rsid w:val="6CFF6600"/>
    <w:rsid w:val="6D010C12"/>
    <w:rsid w:val="6D063E81"/>
    <w:rsid w:val="6D076851"/>
    <w:rsid w:val="6D127028"/>
    <w:rsid w:val="6D1F46E9"/>
    <w:rsid w:val="6D203CD5"/>
    <w:rsid w:val="6D223A04"/>
    <w:rsid w:val="6D263AE7"/>
    <w:rsid w:val="6D280683"/>
    <w:rsid w:val="6D2945A7"/>
    <w:rsid w:val="6D2D6CE1"/>
    <w:rsid w:val="6D2E1113"/>
    <w:rsid w:val="6D325F0F"/>
    <w:rsid w:val="6D404A0F"/>
    <w:rsid w:val="6D420E52"/>
    <w:rsid w:val="6D4A0E9C"/>
    <w:rsid w:val="6D506365"/>
    <w:rsid w:val="6D5418EA"/>
    <w:rsid w:val="6D575E66"/>
    <w:rsid w:val="6D5821FC"/>
    <w:rsid w:val="6D5D1D1B"/>
    <w:rsid w:val="6D6634BF"/>
    <w:rsid w:val="6D674F00"/>
    <w:rsid w:val="6D6F789B"/>
    <w:rsid w:val="6D7A77E4"/>
    <w:rsid w:val="6D7F2DE1"/>
    <w:rsid w:val="6D80339C"/>
    <w:rsid w:val="6D825FB8"/>
    <w:rsid w:val="6D8F01E3"/>
    <w:rsid w:val="6D944001"/>
    <w:rsid w:val="6D9C799E"/>
    <w:rsid w:val="6DA20C00"/>
    <w:rsid w:val="6DA25EF4"/>
    <w:rsid w:val="6DA735E2"/>
    <w:rsid w:val="6DAD74FD"/>
    <w:rsid w:val="6DB26C1E"/>
    <w:rsid w:val="6DB50C66"/>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65765"/>
    <w:rsid w:val="6F27517A"/>
    <w:rsid w:val="6F283862"/>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A2D7A"/>
    <w:rsid w:val="6F7D5DCF"/>
    <w:rsid w:val="6F825AAD"/>
    <w:rsid w:val="6F8A2227"/>
    <w:rsid w:val="6F8A3EA1"/>
    <w:rsid w:val="6F8E4EE0"/>
    <w:rsid w:val="6F984219"/>
    <w:rsid w:val="6F990219"/>
    <w:rsid w:val="6F9D1A7C"/>
    <w:rsid w:val="6FA973F6"/>
    <w:rsid w:val="6FB07E8C"/>
    <w:rsid w:val="6FB34A5A"/>
    <w:rsid w:val="6FBC45CE"/>
    <w:rsid w:val="6FC1266F"/>
    <w:rsid w:val="6FC66B94"/>
    <w:rsid w:val="6FD51D6F"/>
    <w:rsid w:val="6FD62245"/>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214F90"/>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B2BFA"/>
    <w:rsid w:val="708C6267"/>
    <w:rsid w:val="708E48F3"/>
    <w:rsid w:val="70960F83"/>
    <w:rsid w:val="709928BB"/>
    <w:rsid w:val="709B11EE"/>
    <w:rsid w:val="709B37D5"/>
    <w:rsid w:val="709F3676"/>
    <w:rsid w:val="70A2038F"/>
    <w:rsid w:val="70A43BB3"/>
    <w:rsid w:val="70A46B6C"/>
    <w:rsid w:val="70A671FB"/>
    <w:rsid w:val="70AE15AA"/>
    <w:rsid w:val="70B351DF"/>
    <w:rsid w:val="70B3540A"/>
    <w:rsid w:val="70B924A1"/>
    <w:rsid w:val="70BA57A2"/>
    <w:rsid w:val="70C02226"/>
    <w:rsid w:val="70C21BD5"/>
    <w:rsid w:val="70CD5A0D"/>
    <w:rsid w:val="70DB1354"/>
    <w:rsid w:val="70E74387"/>
    <w:rsid w:val="70E95688"/>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E4BD5"/>
    <w:rsid w:val="71A94AE6"/>
    <w:rsid w:val="71AA1FB4"/>
    <w:rsid w:val="71AA5E03"/>
    <w:rsid w:val="71AD2519"/>
    <w:rsid w:val="71AE30CB"/>
    <w:rsid w:val="71B731AC"/>
    <w:rsid w:val="71BC586A"/>
    <w:rsid w:val="71BE020A"/>
    <w:rsid w:val="71C4348E"/>
    <w:rsid w:val="71C4594D"/>
    <w:rsid w:val="71C45F70"/>
    <w:rsid w:val="71C525A0"/>
    <w:rsid w:val="71C77FC3"/>
    <w:rsid w:val="71D67195"/>
    <w:rsid w:val="71D707E2"/>
    <w:rsid w:val="71D72B63"/>
    <w:rsid w:val="71D90995"/>
    <w:rsid w:val="71E0184C"/>
    <w:rsid w:val="71E34117"/>
    <w:rsid w:val="71E34506"/>
    <w:rsid w:val="71E70ECE"/>
    <w:rsid w:val="71E90DAD"/>
    <w:rsid w:val="71EE722C"/>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A1FD4"/>
    <w:rsid w:val="729A6670"/>
    <w:rsid w:val="729D63A2"/>
    <w:rsid w:val="72A279FF"/>
    <w:rsid w:val="72A74598"/>
    <w:rsid w:val="72A82B27"/>
    <w:rsid w:val="72A91888"/>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301337F"/>
    <w:rsid w:val="7304264C"/>
    <w:rsid w:val="73062B16"/>
    <w:rsid w:val="73070C7F"/>
    <w:rsid w:val="730832A4"/>
    <w:rsid w:val="73126134"/>
    <w:rsid w:val="73186301"/>
    <w:rsid w:val="73201849"/>
    <w:rsid w:val="732114F1"/>
    <w:rsid w:val="73296CA2"/>
    <w:rsid w:val="732B15F3"/>
    <w:rsid w:val="732F634D"/>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3ED69E0"/>
    <w:rsid w:val="73F90F3E"/>
    <w:rsid w:val="74060F68"/>
    <w:rsid w:val="740B08DB"/>
    <w:rsid w:val="740D3A81"/>
    <w:rsid w:val="741607EC"/>
    <w:rsid w:val="741A3D6E"/>
    <w:rsid w:val="741C0CAC"/>
    <w:rsid w:val="74341BE0"/>
    <w:rsid w:val="74343D24"/>
    <w:rsid w:val="743E7BC1"/>
    <w:rsid w:val="744B4084"/>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708A"/>
    <w:rsid w:val="74AE1FDF"/>
    <w:rsid w:val="74B52129"/>
    <w:rsid w:val="74B56CA0"/>
    <w:rsid w:val="74B75095"/>
    <w:rsid w:val="74BA06CD"/>
    <w:rsid w:val="74CD4F0A"/>
    <w:rsid w:val="74DA424F"/>
    <w:rsid w:val="74DB6400"/>
    <w:rsid w:val="74DF0652"/>
    <w:rsid w:val="74E13391"/>
    <w:rsid w:val="74E34A80"/>
    <w:rsid w:val="74F520CC"/>
    <w:rsid w:val="74F61ADC"/>
    <w:rsid w:val="74F657B4"/>
    <w:rsid w:val="74F70D4C"/>
    <w:rsid w:val="74F92DE1"/>
    <w:rsid w:val="74FB60AC"/>
    <w:rsid w:val="74FC4DAB"/>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25E4F"/>
    <w:rsid w:val="75C51FAF"/>
    <w:rsid w:val="75C7194F"/>
    <w:rsid w:val="75CC76D6"/>
    <w:rsid w:val="75CF0DC4"/>
    <w:rsid w:val="75D34DCF"/>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A29C3"/>
    <w:rsid w:val="76B10334"/>
    <w:rsid w:val="76BD10A6"/>
    <w:rsid w:val="76BD4467"/>
    <w:rsid w:val="76C33D66"/>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E3E0E"/>
    <w:rsid w:val="772F60CD"/>
    <w:rsid w:val="7730505A"/>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54F30"/>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716DC"/>
    <w:rsid w:val="78137A78"/>
    <w:rsid w:val="781936FE"/>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A616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3042AC"/>
    <w:rsid w:val="79344C2C"/>
    <w:rsid w:val="793A7125"/>
    <w:rsid w:val="793D4AEA"/>
    <w:rsid w:val="793D5A81"/>
    <w:rsid w:val="793E680D"/>
    <w:rsid w:val="7941099B"/>
    <w:rsid w:val="7942051C"/>
    <w:rsid w:val="79462B0D"/>
    <w:rsid w:val="794939AC"/>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475C0"/>
    <w:rsid w:val="79EA0F72"/>
    <w:rsid w:val="79EC4A90"/>
    <w:rsid w:val="79EF6A05"/>
    <w:rsid w:val="79F65171"/>
    <w:rsid w:val="79F74A94"/>
    <w:rsid w:val="79FC50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A6E7F"/>
    <w:rsid w:val="7A524148"/>
    <w:rsid w:val="7A557E70"/>
    <w:rsid w:val="7A655721"/>
    <w:rsid w:val="7A74248A"/>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55308"/>
    <w:rsid w:val="7AF6050D"/>
    <w:rsid w:val="7AF6119C"/>
    <w:rsid w:val="7AF635D2"/>
    <w:rsid w:val="7AF964E3"/>
    <w:rsid w:val="7B0F2394"/>
    <w:rsid w:val="7B110A0E"/>
    <w:rsid w:val="7B116E8C"/>
    <w:rsid w:val="7B133968"/>
    <w:rsid w:val="7B1A7272"/>
    <w:rsid w:val="7B1B2183"/>
    <w:rsid w:val="7B1B473D"/>
    <w:rsid w:val="7B286A29"/>
    <w:rsid w:val="7B2D13A8"/>
    <w:rsid w:val="7B3D5BF7"/>
    <w:rsid w:val="7B3F0F56"/>
    <w:rsid w:val="7B4069C5"/>
    <w:rsid w:val="7B436CCB"/>
    <w:rsid w:val="7B5E7CBA"/>
    <w:rsid w:val="7B654B35"/>
    <w:rsid w:val="7B6644F4"/>
    <w:rsid w:val="7B6B53A5"/>
    <w:rsid w:val="7B727E52"/>
    <w:rsid w:val="7B740C94"/>
    <w:rsid w:val="7B7C5EFE"/>
    <w:rsid w:val="7B7C7536"/>
    <w:rsid w:val="7B8245FA"/>
    <w:rsid w:val="7B8855C2"/>
    <w:rsid w:val="7B9211CD"/>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D6588"/>
    <w:rsid w:val="7BD15F6F"/>
    <w:rsid w:val="7BD36389"/>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A4633A"/>
    <w:rsid w:val="7CB50A51"/>
    <w:rsid w:val="7CB83599"/>
    <w:rsid w:val="7CBE76BA"/>
    <w:rsid w:val="7CC017D7"/>
    <w:rsid w:val="7CC23715"/>
    <w:rsid w:val="7CC552AF"/>
    <w:rsid w:val="7CC61597"/>
    <w:rsid w:val="7CC93A51"/>
    <w:rsid w:val="7CCC21B1"/>
    <w:rsid w:val="7CCF61C4"/>
    <w:rsid w:val="7CCF713F"/>
    <w:rsid w:val="7CD208B8"/>
    <w:rsid w:val="7CD410F5"/>
    <w:rsid w:val="7CD60893"/>
    <w:rsid w:val="7CD66948"/>
    <w:rsid w:val="7CD744FF"/>
    <w:rsid w:val="7CDA0DC1"/>
    <w:rsid w:val="7CE11653"/>
    <w:rsid w:val="7CE25575"/>
    <w:rsid w:val="7CE66ABB"/>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93660"/>
    <w:rsid w:val="7E095D6D"/>
    <w:rsid w:val="7E0A4764"/>
    <w:rsid w:val="7E0B4780"/>
    <w:rsid w:val="7E17418B"/>
    <w:rsid w:val="7E180560"/>
    <w:rsid w:val="7E18269D"/>
    <w:rsid w:val="7E1A6EE4"/>
    <w:rsid w:val="7E247F1B"/>
    <w:rsid w:val="7E344268"/>
    <w:rsid w:val="7E3A4040"/>
    <w:rsid w:val="7E3D7B2B"/>
    <w:rsid w:val="7E420F60"/>
    <w:rsid w:val="7E44743A"/>
    <w:rsid w:val="7E46292D"/>
    <w:rsid w:val="7E4E2C9C"/>
    <w:rsid w:val="7E4E7C73"/>
    <w:rsid w:val="7E5170FD"/>
    <w:rsid w:val="7E552B20"/>
    <w:rsid w:val="7E555601"/>
    <w:rsid w:val="7E582619"/>
    <w:rsid w:val="7E612947"/>
    <w:rsid w:val="7E6277FD"/>
    <w:rsid w:val="7E644253"/>
    <w:rsid w:val="7E662F64"/>
    <w:rsid w:val="7E67623E"/>
    <w:rsid w:val="7E677E4E"/>
    <w:rsid w:val="7E693C24"/>
    <w:rsid w:val="7E725B75"/>
    <w:rsid w:val="7E763BDD"/>
    <w:rsid w:val="7E7751E1"/>
    <w:rsid w:val="7E793FEF"/>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51C8E"/>
    <w:rsid w:val="7EC54C8D"/>
    <w:rsid w:val="7ECC6C3E"/>
    <w:rsid w:val="7ED32749"/>
    <w:rsid w:val="7ED503E2"/>
    <w:rsid w:val="7ED61B84"/>
    <w:rsid w:val="7ED7102F"/>
    <w:rsid w:val="7ED87F1F"/>
    <w:rsid w:val="7EDC7D3C"/>
    <w:rsid w:val="7EDF3F47"/>
    <w:rsid w:val="7EE63894"/>
    <w:rsid w:val="7EE91A22"/>
    <w:rsid w:val="7EEA17FC"/>
    <w:rsid w:val="7EEF0511"/>
    <w:rsid w:val="7EFC4DFE"/>
    <w:rsid w:val="7EFC69B8"/>
    <w:rsid w:val="7F0052E1"/>
    <w:rsid w:val="7F0448D7"/>
    <w:rsid w:val="7F056430"/>
    <w:rsid w:val="7F057305"/>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86"/>
    <w:qFormat/>
    <w:uiPriority w:val="0"/>
    <w:pPr>
      <w:pageBreakBefore/>
      <w:widowControl/>
      <w:tabs>
        <w:tab w:val="left" w:pos="478"/>
      </w:tabs>
      <w:autoSpaceDE w:val="0"/>
      <w:autoSpaceDN w:val="0"/>
      <w:spacing w:before="240" w:after="120"/>
      <w:ind w:left="478" w:hanging="960"/>
      <w:jc w:val="center"/>
      <w:outlineLvl w:val="0"/>
    </w:pPr>
    <w:rPr>
      <w:rFonts w:ascii="宋体"/>
      <w:color w:val="000000"/>
      <w:kern w:val="0"/>
      <w:sz w:val="36"/>
    </w:rPr>
  </w:style>
  <w:style w:type="paragraph" w:styleId="3">
    <w:name w:val="heading 2"/>
    <w:basedOn w:val="1"/>
    <w:next w:val="1"/>
    <w:link w:val="484"/>
    <w:qFormat/>
    <w:uiPriority w:val="0"/>
    <w:pPr>
      <w:keepNext/>
      <w:keepLines/>
      <w:tabs>
        <w:tab w:val="left" w:pos="358"/>
      </w:tabs>
      <w:spacing w:before="400" w:line="360" w:lineRule="auto"/>
      <w:ind w:left="358" w:hanging="420"/>
      <w:outlineLvl w:val="1"/>
    </w:pPr>
    <w:rPr>
      <w:b/>
      <w:sz w:val="32"/>
    </w:rPr>
  </w:style>
  <w:style w:type="paragraph" w:styleId="4">
    <w:name w:val="heading 3"/>
    <w:basedOn w:val="1"/>
    <w:next w:val="1"/>
    <w:link w:val="466"/>
    <w:qFormat/>
    <w:uiPriority w:val="0"/>
    <w:pPr>
      <w:keepNext/>
      <w:keepLines/>
      <w:tabs>
        <w:tab w:val="left" w:pos="778"/>
      </w:tabs>
      <w:spacing w:before="120" w:beforeLines="50" w:line="360" w:lineRule="auto"/>
      <w:outlineLvl w:val="2"/>
    </w:pPr>
    <w:rPr>
      <w:rFonts w:cs="仿宋" w:asciiTheme="majorEastAsia" w:hAnsiTheme="majorEastAsia" w:eastAsiaTheme="majorEastAsia"/>
      <w:b/>
      <w:szCs w:val="24"/>
    </w:rPr>
  </w:style>
  <w:style w:type="paragraph" w:styleId="5">
    <w:name w:val="heading 4"/>
    <w:basedOn w:val="1"/>
    <w:next w:val="1"/>
    <w:link w:val="532"/>
    <w:qFormat/>
    <w:uiPriority w:val="0"/>
    <w:pPr>
      <w:keepNext/>
      <w:keepLines/>
      <w:tabs>
        <w:tab w:val="left" w:pos="1198"/>
      </w:tabs>
      <w:spacing w:before="120" w:line="360" w:lineRule="auto"/>
      <w:ind w:left="1198" w:hanging="420"/>
      <w:outlineLvl w:val="3"/>
    </w:pPr>
    <w:rPr>
      <w:b/>
      <w:sz w:val="28"/>
    </w:rPr>
  </w:style>
  <w:style w:type="paragraph" w:styleId="6">
    <w:name w:val="heading 5"/>
    <w:basedOn w:val="1"/>
    <w:next w:val="7"/>
    <w:link w:val="533"/>
    <w:qFormat/>
    <w:uiPriority w:val="0"/>
    <w:pPr>
      <w:keepNext/>
      <w:keepLines/>
      <w:tabs>
        <w:tab w:val="left" w:pos="1618"/>
      </w:tabs>
      <w:spacing w:before="60" w:after="312" w:afterLines="100"/>
      <w:ind w:left="1618" w:hanging="420"/>
      <w:outlineLvl w:val="4"/>
    </w:pPr>
    <w:rPr>
      <w:b/>
    </w:rPr>
  </w:style>
  <w:style w:type="paragraph" w:styleId="8">
    <w:name w:val="heading 6"/>
    <w:basedOn w:val="1"/>
    <w:next w:val="7"/>
    <w:link w:val="527"/>
    <w:qFormat/>
    <w:uiPriority w:val="0"/>
    <w:pPr>
      <w:keepNext/>
      <w:keepLines/>
      <w:tabs>
        <w:tab w:val="left" w:pos="2038"/>
      </w:tabs>
      <w:spacing w:before="240" w:after="64" w:line="317" w:lineRule="auto"/>
      <w:ind w:left="2038" w:hanging="420"/>
      <w:outlineLvl w:val="5"/>
    </w:pPr>
    <w:rPr>
      <w:rFonts w:ascii="Arial" w:hAnsi="Arial" w:eastAsia="黑体"/>
    </w:rPr>
  </w:style>
  <w:style w:type="paragraph" w:styleId="9">
    <w:name w:val="heading 7"/>
    <w:basedOn w:val="1"/>
    <w:next w:val="1"/>
    <w:link w:val="522"/>
    <w:qFormat/>
    <w:uiPriority w:val="0"/>
    <w:pPr>
      <w:keepNext/>
      <w:keepLines/>
      <w:spacing w:before="240" w:after="64" w:line="317" w:lineRule="auto"/>
      <w:outlineLvl w:val="6"/>
    </w:pPr>
    <w:rPr>
      <w:b/>
    </w:rPr>
  </w:style>
  <w:style w:type="paragraph" w:styleId="10">
    <w:name w:val="heading 8"/>
    <w:basedOn w:val="1"/>
    <w:next w:val="1"/>
    <w:link w:val="526"/>
    <w:qFormat/>
    <w:uiPriority w:val="0"/>
    <w:pPr>
      <w:keepNext/>
      <w:keepLines/>
      <w:spacing w:before="240" w:after="64" w:line="317" w:lineRule="auto"/>
      <w:outlineLvl w:val="7"/>
    </w:pPr>
    <w:rPr>
      <w:rFonts w:ascii="Arial" w:hAnsi="Arial" w:eastAsia="黑体"/>
    </w:rPr>
  </w:style>
  <w:style w:type="paragraph" w:styleId="11">
    <w:name w:val="heading 9"/>
    <w:basedOn w:val="1"/>
    <w:next w:val="1"/>
    <w:link w:val="434"/>
    <w:qFormat/>
    <w:uiPriority w:val="0"/>
    <w:pPr>
      <w:keepNext/>
      <w:keepLines/>
      <w:spacing w:before="240" w:after="64" w:line="317" w:lineRule="auto"/>
      <w:outlineLvl w:val="8"/>
    </w:pPr>
    <w:rPr>
      <w:rFonts w:ascii="Arial" w:hAnsi="Arial" w:eastAsia="黑体"/>
      <w:sz w:val="21"/>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正文缩进2"/>
    <w:basedOn w:val="1"/>
    <w:qFormat/>
    <w:uiPriority w:val="0"/>
    <w:pPr>
      <w:spacing w:before="60"/>
      <w:ind w:firstLine="476"/>
    </w:pPr>
  </w:style>
  <w:style w:type="paragraph" w:styleId="12">
    <w:name w:val="List 3"/>
    <w:basedOn w:val="1"/>
    <w:qFormat/>
    <w:uiPriority w:val="0"/>
    <w:pPr>
      <w:ind w:left="100" w:leftChars="400" w:hanging="200" w:hangingChars="200"/>
    </w:pPr>
    <w:rPr>
      <w:sz w:val="21"/>
      <w:szCs w:val="24"/>
    </w:r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5">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6">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7">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18">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19">
    <w:name w:val="Normal Indent"/>
    <w:basedOn w:val="1"/>
    <w:next w:val="20"/>
    <w:link w:val="499"/>
    <w:qFormat/>
    <w:uiPriority w:val="0"/>
    <w:pPr>
      <w:ind w:firstLine="420"/>
    </w:pPr>
    <w:rPr>
      <w:sz w:val="21"/>
    </w:rPr>
  </w:style>
  <w:style w:type="paragraph" w:styleId="20">
    <w:name w:val="Body Text Indent"/>
    <w:basedOn w:val="1"/>
    <w:next w:val="1"/>
    <w:link w:val="431"/>
    <w:qFormat/>
    <w:uiPriority w:val="99"/>
    <w:pPr>
      <w:spacing w:before="120" w:after="120" w:line="360" w:lineRule="auto"/>
      <w:ind w:firstLine="525"/>
    </w:pPr>
    <w:rPr>
      <w:rFonts w:ascii="宋体"/>
    </w:rPr>
  </w:style>
  <w:style w:type="paragraph" w:styleId="21">
    <w:name w:val="caption"/>
    <w:basedOn w:val="1"/>
    <w:next w:val="1"/>
    <w:link w:val="530"/>
    <w:qFormat/>
    <w:uiPriority w:val="0"/>
    <w:pPr>
      <w:spacing w:before="152" w:after="160" w:line="360" w:lineRule="auto"/>
      <w:ind w:firstLine="476"/>
    </w:pPr>
    <w:rPr>
      <w:rFonts w:ascii="Arial" w:hAnsi="Arial" w:eastAsia="黑体"/>
      <w:spacing w:val="10"/>
      <w:sz w:val="20"/>
    </w:rPr>
  </w:style>
  <w:style w:type="paragraph" w:styleId="22">
    <w:name w:val="index 5"/>
    <w:basedOn w:val="1"/>
    <w:next w:val="1"/>
    <w:qFormat/>
    <w:uiPriority w:val="0"/>
    <w:pPr>
      <w:tabs>
        <w:tab w:val="left" w:pos="5760"/>
      </w:tabs>
      <w:ind w:left="1920" w:leftChars="800"/>
      <w:jc w:val="left"/>
    </w:pPr>
  </w:style>
  <w:style w:type="paragraph" w:styleId="23">
    <w:name w:val="List Bullet"/>
    <w:basedOn w:val="1"/>
    <w:qFormat/>
    <w:uiPriority w:val="0"/>
    <w:pPr>
      <w:tabs>
        <w:tab w:val="left" w:pos="748"/>
      </w:tabs>
      <w:spacing w:line="360" w:lineRule="auto"/>
      <w:ind w:left="748" w:hanging="374"/>
    </w:pPr>
    <w:rPr>
      <w:sz w:val="21"/>
    </w:rPr>
  </w:style>
  <w:style w:type="paragraph" w:styleId="24">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5">
    <w:name w:val="Document Map"/>
    <w:basedOn w:val="1"/>
    <w:link w:val="503"/>
    <w:qFormat/>
    <w:uiPriority w:val="0"/>
    <w:pPr>
      <w:shd w:val="clear" w:color="auto" w:fill="000080"/>
    </w:pPr>
    <w:rPr>
      <w:shd w:val="clear" w:color="auto" w:fill="000080"/>
    </w:rPr>
  </w:style>
  <w:style w:type="paragraph" w:styleId="2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 w:val="21"/>
    </w:rPr>
  </w:style>
  <w:style w:type="paragraph" w:styleId="27">
    <w:name w:val="annotation text"/>
    <w:basedOn w:val="1"/>
    <w:link w:val="534"/>
    <w:qFormat/>
    <w:uiPriority w:val="0"/>
    <w:pPr>
      <w:jc w:val="left"/>
    </w:pPr>
  </w:style>
  <w:style w:type="paragraph" w:styleId="28">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29">
    <w:name w:val="Body Text 3"/>
    <w:basedOn w:val="1"/>
    <w:qFormat/>
    <w:uiPriority w:val="0"/>
    <w:pPr>
      <w:spacing w:after="120"/>
    </w:pPr>
    <w:rPr>
      <w:sz w:val="16"/>
      <w:szCs w:val="16"/>
    </w:rPr>
  </w:style>
  <w:style w:type="paragraph" w:styleId="30">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1">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2">
    <w:name w:val="Body Text"/>
    <w:basedOn w:val="1"/>
    <w:next w:val="33"/>
    <w:link w:val="465"/>
    <w:qFormat/>
    <w:uiPriority w:val="0"/>
    <w:pPr>
      <w:autoSpaceDE w:val="0"/>
      <w:autoSpaceDN w:val="0"/>
      <w:adjustRightInd w:val="0"/>
      <w:spacing w:line="480" w:lineRule="auto"/>
      <w:jc w:val="left"/>
    </w:pPr>
    <w:rPr>
      <w:rFonts w:ascii="宋体"/>
      <w:color w:val="FF0000"/>
      <w:kern w:val="0"/>
    </w:rPr>
  </w:style>
  <w:style w:type="paragraph" w:styleId="33">
    <w:name w:val="Body Text First Indent"/>
    <w:basedOn w:val="32"/>
    <w:next w:val="34"/>
    <w:link w:val="531"/>
    <w:qFormat/>
    <w:uiPriority w:val="0"/>
    <w:pPr>
      <w:spacing w:line="300" w:lineRule="auto"/>
      <w:ind w:firstLine="476"/>
    </w:pPr>
  </w:style>
  <w:style w:type="paragraph" w:styleId="34">
    <w:name w:val="toc 6"/>
    <w:basedOn w:val="1"/>
    <w:next w:val="1"/>
    <w:qFormat/>
    <w:uiPriority w:val="0"/>
    <w:pPr>
      <w:ind w:left="2100" w:leftChars="1000"/>
    </w:pPr>
    <w:rPr>
      <w:sz w:val="21"/>
    </w:rPr>
  </w:style>
  <w:style w:type="paragraph" w:styleId="35">
    <w:name w:val="List Number 3"/>
    <w:basedOn w:val="1"/>
    <w:qFormat/>
    <w:uiPriority w:val="0"/>
    <w:pPr>
      <w:numPr>
        <w:ilvl w:val="0"/>
        <w:numId w:val="5"/>
      </w:numPr>
    </w:pPr>
    <w:rPr>
      <w:sz w:val="21"/>
      <w:szCs w:val="24"/>
    </w:rPr>
  </w:style>
  <w:style w:type="paragraph" w:styleId="36">
    <w:name w:val="List 2"/>
    <w:basedOn w:val="1"/>
    <w:qFormat/>
    <w:uiPriority w:val="0"/>
    <w:pPr>
      <w:ind w:left="100" w:leftChars="200" w:hanging="200" w:hangingChars="200"/>
    </w:pPr>
    <w:rPr>
      <w:sz w:val="21"/>
      <w:szCs w:val="24"/>
    </w:rPr>
  </w:style>
  <w:style w:type="paragraph" w:styleId="37">
    <w:name w:val="List Continue"/>
    <w:basedOn w:val="1"/>
    <w:qFormat/>
    <w:uiPriority w:val="0"/>
    <w:pPr>
      <w:spacing w:after="120"/>
      <w:ind w:left="420" w:leftChars="200"/>
    </w:pPr>
    <w:rPr>
      <w:sz w:val="21"/>
      <w:szCs w:val="24"/>
    </w:rPr>
  </w:style>
  <w:style w:type="paragraph" w:styleId="38">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9">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40">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1">
    <w:name w:val="toc 5"/>
    <w:basedOn w:val="1"/>
    <w:next w:val="1"/>
    <w:qFormat/>
    <w:uiPriority w:val="0"/>
    <w:pPr>
      <w:ind w:left="840"/>
      <w:jc w:val="left"/>
    </w:pPr>
    <w:rPr>
      <w:sz w:val="18"/>
    </w:rPr>
  </w:style>
  <w:style w:type="paragraph" w:styleId="42">
    <w:name w:val="toc 3"/>
    <w:basedOn w:val="1"/>
    <w:next w:val="1"/>
    <w:qFormat/>
    <w:uiPriority w:val="39"/>
    <w:pPr>
      <w:tabs>
        <w:tab w:val="left" w:pos="845"/>
        <w:tab w:val="right" w:leader="dot" w:pos="9316"/>
      </w:tabs>
      <w:ind w:left="420"/>
      <w:jc w:val="left"/>
    </w:pPr>
    <w:rPr>
      <w:sz w:val="20"/>
    </w:rPr>
  </w:style>
  <w:style w:type="paragraph" w:styleId="43">
    <w:name w:val="Plain Text"/>
    <w:basedOn w:val="1"/>
    <w:next w:val="1"/>
    <w:link w:val="456"/>
    <w:qFormat/>
    <w:uiPriority w:val="99"/>
    <w:rPr>
      <w:rFonts w:ascii="宋体" w:hAnsi="Courier New"/>
      <w:sz w:val="21"/>
    </w:rPr>
  </w:style>
  <w:style w:type="paragraph" w:styleId="44">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5">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6">
    <w:name w:val="toc 8"/>
    <w:basedOn w:val="1"/>
    <w:next w:val="1"/>
    <w:qFormat/>
    <w:uiPriority w:val="0"/>
    <w:pPr>
      <w:ind w:left="2940" w:leftChars="1400"/>
    </w:pPr>
    <w:rPr>
      <w:sz w:val="21"/>
    </w:rPr>
  </w:style>
  <w:style w:type="paragraph" w:styleId="47">
    <w:name w:val="Date"/>
    <w:basedOn w:val="1"/>
    <w:next w:val="1"/>
    <w:link w:val="519"/>
    <w:qFormat/>
    <w:uiPriority w:val="99"/>
    <w:pPr>
      <w:widowControl/>
    </w:pPr>
    <w:rPr>
      <w:rFonts w:ascii="楷体_GB2312" w:eastAsia="楷体_GB2312"/>
      <w:kern w:val="0"/>
      <w:sz w:val="32"/>
    </w:rPr>
  </w:style>
  <w:style w:type="paragraph" w:styleId="48">
    <w:name w:val="Body Text Indent 2"/>
    <w:basedOn w:val="1"/>
    <w:link w:val="528"/>
    <w:qFormat/>
    <w:uiPriority w:val="0"/>
    <w:pPr>
      <w:spacing w:line="360" w:lineRule="auto"/>
      <w:ind w:left="718" w:firstLine="480" w:firstLineChars="200"/>
    </w:pPr>
    <w:rPr>
      <w:rFonts w:ascii="Arial" w:hAnsi="Arial" w:eastAsia="LineDraw"/>
    </w:rPr>
  </w:style>
  <w:style w:type="paragraph" w:styleId="49">
    <w:name w:val="List Continue 5"/>
    <w:basedOn w:val="1"/>
    <w:qFormat/>
    <w:uiPriority w:val="0"/>
    <w:pPr>
      <w:spacing w:after="120" w:line="360" w:lineRule="auto"/>
      <w:ind w:left="2100" w:leftChars="1000" w:firstLine="200" w:firstLineChars="200"/>
      <w:jc w:val="left"/>
    </w:pPr>
    <w:rPr>
      <w:rFonts w:ascii="Arial" w:hAnsi="Arial" w:eastAsia="楷体_GB2312" w:cs="Arial"/>
      <w:sz w:val="28"/>
      <w:szCs w:val="24"/>
    </w:rPr>
  </w:style>
  <w:style w:type="paragraph" w:styleId="50">
    <w:name w:val="Balloon Text"/>
    <w:basedOn w:val="1"/>
    <w:link w:val="535"/>
    <w:qFormat/>
    <w:uiPriority w:val="99"/>
    <w:pPr>
      <w:adjustRightInd w:val="0"/>
      <w:spacing w:before="100" w:beforeAutospacing="1" w:after="100" w:afterAutospacing="1" w:line="400" w:lineRule="atLeast"/>
      <w:ind w:firstLine="454"/>
      <w:textAlignment w:val="baseline"/>
    </w:pPr>
    <w:rPr>
      <w:rFonts w:ascii="宋体"/>
      <w:color w:val="FF0000"/>
    </w:rPr>
  </w:style>
  <w:style w:type="paragraph" w:styleId="51">
    <w:name w:val="footer"/>
    <w:basedOn w:val="1"/>
    <w:link w:val="525"/>
    <w:qFormat/>
    <w:uiPriority w:val="99"/>
    <w:pPr>
      <w:tabs>
        <w:tab w:val="center" w:pos="4153"/>
        <w:tab w:val="right" w:pos="8306"/>
      </w:tabs>
      <w:snapToGrid w:val="0"/>
      <w:jc w:val="left"/>
    </w:pPr>
    <w:rPr>
      <w:sz w:val="18"/>
    </w:rPr>
  </w:style>
  <w:style w:type="paragraph" w:styleId="52">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53">
    <w:name w:val="header"/>
    <w:basedOn w:val="1"/>
    <w:link w:val="517"/>
    <w:qFormat/>
    <w:uiPriority w:val="99"/>
    <w:pPr>
      <w:widowControl/>
      <w:pBdr>
        <w:bottom w:val="single" w:color="auto" w:sz="6" w:space="1"/>
      </w:pBdr>
      <w:tabs>
        <w:tab w:val="center" w:pos="4153"/>
        <w:tab w:val="right" w:pos="8306"/>
      </w:tabs>
      <w:snapToGrid w:val="0"/>
      <w:jc w:val="center"/>
    </w:pPr>
    <w:rPr>
      <w:kern w:val="0"/>
      <w:sz w:val="18"/>
    </w:rPr>
  </w:style>
  <w:style w:type="paragraph" w:styleId="54">
    <w:name w:val="Signature"/>
    <w:basedOn w:val="1"/>
    <w:qFormat/>
    <w:uiPriority w:val="0"/>
    <w:pPr>
      <w:ind w:left="100" w:leftChars="2100"/>
    </w:pPr>
    <w:rPr>
      <w:sz w:val="21"/>
      <w:szCs w:val="24"/>
    </w:rPr>
  </w:style>
  <w:style w:type="paragraph" w:styleId="55">
    <w:name w:val="toc 1"/>
    <w:basedOn w:val="1"/>
    <w:next w:val="1"/>
    <w:qFormat/>
    <w:uiPriority w:val="39"/>
    <w:pPr>
      <w:spacing w:before="120" w:after="120"/>
      <w:jc w:val="left"/>
    </w:pPr>
    <w:rPr>
      <w:b/>
      <w:caps/>
      <w:sz w:val="20"/>
    </w:rPr>
  </w:style>
  <w:style w:type="paragraph" w:styleId="56">
    <w:name w:val="List Continue 4"/>
    <w:basedOn w:val="1"/>
    <w:qFormat/>
    <w:uiPriority w:val="0"/>
    <w:pPr>
      <w:spacing w:after="120"/>
      <w:ind w:left="1680" w:leftChars="800"/>
    </w:pPr>
    <w:rPr>
      <w:sz w:val="21"/>
      <w:szCs w:val="24"/>
    </w:rPr>
  </w:style>
  <w:style w:type="paragraph" w:styleId="57">
    <w:name w:val="toc 4"/>
    <w:basedOn w:val="1"/>
    <w:next w:val="1"/>
    <w:qFormat/>
    <w:uiPriority w:val="39"/>
    <w:pPr>
      <w:ind w:left="630"/>
      <w:jc w:val="left"/>
    </w:pPr>
    <w:rPr>
      <w:sz w:val="18"/>
    </w:rPr>
  </w:style>
  <w:style w:type="paragraph" w:styleId="58">
    <w:name w:val="index heading"/>
    <w:basedOn w:val="1"/>
    <w:next w:val="59"/>
    <w:qFormat/>
    <w:uiPriority w:val="0"/>
    <w:pPr>
      <w:spacing w:after="120" w:line="360" w:lineRule="exact"/>
    </w:pPr>
    <w:rPr>
      <w:sz w:val="21"/>
    </w:rPr>
  </w:style>
  <w:style w:type="paragraph" w:styleId="59">
    <w:name w:val="index 1"/>
    <w:basedOn w:val="1"/>
    <w:next w:val="1"/>
    <w:qFormat/>
    <w:uiPriority w:val="0"/>
  </w:style>
  <w:style w:type="paragraph" w:styleId="60">
    <w:name w:val="Subtitle"/>
    <w:basedOn w:val="1"/>
    <w:qFormat/>
    <w:uiPriority w:val="0"/>
    <w:pPr>
      <w:adjustRightInd w:val="0"/>
      <w:spacing w:after="60" w:line="360" w:lineRule="atLeast"/>
      <w:jc w:val="center"/>
      <w:textAlignment w:val="baseline"/>
    </w:pPr>
    <w:rPr>
      <w:rFonts w:ascii="Arial" w:hAnsi="Arial" w:eastAsia="黑体"/>
      <w:i/>
      <w:kern w:val="0"/>
    </w:rPr>
  </w:style>
  <w:style w:type="paragraph" w:styleId="61">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2">
    <w:name w:val="List"/>
    <w:basedOn w:val="1"/>
    <w:qFormat/>
    <w:uiPriority w:val="0"/>
    <w:pPr>
      <w:ind w:left="200" w:hanging="200" w:hangingChars="200"/>
    </w:pPr>
    <w:rPr>
      <w:sz w:val="21"/>
      <w:szCs w:val="24"/>
    </w:rPr>
  </w:style>
  <w:style w:type="paragraph" w:styleId="63">
    <w:name w:val="footnote text"/>
    <w:basedOn w:val="1"/>
    <w:semiHidden/>
    <w:qFormat/>
    <w:uiPriority w:val="0"/>
    <w:pPr>
      <w:snapToGrid w:val="0"/>
      <w:jc w:val="left"/>
    </w:pPr>
    <w:rPr>
      <w:rFonts w:eastAsia="仿宋_GB2312"/>
      <w:sz w:val="18"/>
    </w:rPr>
  </w:style>
  <w:style w:type="paragraph" w:styleId="64">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5">
    <w:name w:val="Body Text Indent 3"/>
    <w:basedOn w:val="1"/>
    <w:link w:val="472"/>
    <w:qFormat/>
    <w:uiPriority w:val="0"/>
    <w:pPr>
      <w:spacing w:line="360" w:lineRule="auto"/>
      <w:ind w:firstLine="480"/>
    </w:pPr>
    <w:rPr>
      <w:rFonts w:ascii="Arial" w:hAnsi="Arial"/>
      <w:color w:val="FF0000"/>
    </w:rPr>
  </w:style>
  <w:style w:type="paragraph" w:styleId="66">
    <w:name w:val="table of figures"/>
    <w:basedOn w:val="1"/>
    <w:next w:val="1"/>
    <w:qFormat/>
    <w:uiPriority w:val="0"/>
    <w:pPr>
      <w:ind w:left="420" w:hanging="420"/>
      <w:jc w:val="left"/>
    </w:pPr>
    <w:rPr>
      <w:smallCaps/>
      <w:sz w:val="20"/>
    </w:rPr>
  </w:style>
  <w:style w:type="paragraph" w:styleId="67">
    <w:name w:val="toc 2"/>
    <w:basedOn w:val="1"/>
    <w:next w:val="1"/>
    <w:qFormat/>
    <w:uiPriority w:val="39"/>
    <w:pPr>
      <w:tabs>
        <w:tab w:val="left" w:pos="600"/>
        <w:tab w:val="right" w:leader="dot" w:pos="9019"/>
      </w:tabs>
      <w:ind w:left="210"/>
      <w:jc w:val="left"/>
    </w:pPr>
    <w:rPr>
      <w:smallCaps/>
      <w:sz w:val="20"/>
    </w:rPr>
  </w:style>
  <w:style w:type="paragraph" w:styleId="68">
    <w:name w:val="toc 9"/>
    <w:basedOn w:val="32"/>
    <w:next w:val="1"/>
    <w:qFormat/>
    <w:uiPriority w:val="0"/>
    <w:pPr>
      <w:autoSpaceDE/>
      <w:autoSpaceDN/>
      <w:spacing w:before="100" w:beforeAutospacing="1" w:after="100" w:afterAutospacing="1" w:line="400" w:lineRule="atLeast"/>
      <w:ind w:left="1920" w:firstLine="454"/>
      <w:textAlignment w:val="baseline"/>
    </w:pPr>
    <w:rPr>
      <w:rFonts w:ascii="Times New Roman"/>
      <w:color w:val="auto"/>
      <w:sz w:val="18"/>
    </w:rPr>
  </w:style>
  <w:style w:type="paragraph" w:styleId="69">
    <w:name w:val="Body Text 2"/>
    <w:basedOn w:val="1"/>
    <w:qFormat/>
    <w:uiPriority w:val="0"/>
    <w:pPr>
      <w:spacing w:after="120" w:line="480" w:lineRule="auto"/>
    </w:pPr>
    <w:rPr>
      <w:sz w:val="21"/>
    </w:rPr>
  </w:style>
  <w:style w:type="paragraph" w:styleId="70">
    <w:name w:val="List 4"/>
    <w:basedOn w:val="1"/>
    <w:qFormat/>
    <w:uiPriority w:val="0"/>
    <w:pPr>
      <w:ind w:left="100" w:leftChars="600" w:hanging="200" w:hangingChars="200"/>
    </w:pPr>
    <w:rPr>
      <w:sz w:val="21"/>
      <w:szCs w:val="24"/>
    </w:rPr>
  </w:style>
  <w:style w:type="paragraph" w:styleId="71">
    <w:name w:val="List Continue 2"/>
    <w:basedOn w:val="1"/>
    <w:qFormat/>
    <w:uiPriority w:val="0"/>
    <w:pPr>
      <w:spacing w:after="120"/>
      <w:ind w:left="840" w:leftChars="400"/>
    </w:pPr>
    <w:rPr>
      <w:sz w:val="21"/>
      <w:szCs w:val="24"/>
    </w:rPr>
  </w:style>
  <w:style w:type="paragraph" w:styleId="7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3">
    <w:name w:val="HTML Preformatted"/>
    <w:basedOn w:val="1"/>
    <w:link w:val="452"/>
    <w:qFormat/>
    <w:uiPriority w:val="99"/>
    <w:pPr>
      <w:spacing w:line="360" w:lineRule="auto"/>
      <w:ind w:firstLine="200" w:firstLineChars="200"/>
      <w:jc w:val="left"/>
    </w:pPr>
    <w:rPr>
      <w:rFonts w:ascii="Courier New" w:hAnsi="Courier New" w:eastAsia="楷体_GB2312"/>
      <w:sz w:val="20"/>
    </w:rPr>
  </w:style>
  <w:style w:type="paragraph" w:styleId="74">
    <w:name w:val="Normal (Web)"/>
    <w:basedOn w:val="1"/>
    <w:link w:val="510"/>
    <w:qFormat/>
    <w:uiPriority w:val="0"/>
    <w:pPr>
      <w:widowControl/>
      <w:spacing w:before="100" w:beforeAutospacing="1" w:after="100" w:afterAutospacing="1"/>
      <w:jc w:val="left"/>
    </w:pPr>
    <w:rPr>
      <w:rFonts w:ascii="宋体" w:hAnsi="宋体"/>
      <w:kern w:val="0"/>
      <w:sz w:val="22"/>
    </w:rPr>
  </w:style>
  <w:style w:type="paragraph" w:styleId="75">
    <w:name w:val="List Continue 3"/>
    <w:basedOn w:val="1"/>
    <w:qFormat/>
    <w:uiPriority w:val="0"/>
    <w:pPr>
      <w:spacing w:after="120"/>
      <w:ind w:left="1260" w:leftChars="600"/>
    </w:pPr>
    <w:rPr>
      <w:sz w:val="21"/>
      <w:szCs w:val="24"/>
    </w:rPr>
  </w:style>
  <w:style w:type="paragraph" w:styleId="76">
    <w:name w:val="Title"/>
    <w:basedOn w:val="1"/>
    <w:next w:val="1"/>
    <w:link w:val="464"/>
    <w:qFormat/>
    <w:uiPriority w:val="0"/>
    <w:pPr>
      <w:spacing w:before="240" w:after="60" w:line="360" w:lineRule="auto"/>
      <w:ind w:firstLine="200" w:firstLineChars="200"/>
      <w:jc w:val="center"/>
      <w:outlineLvl w:val="0"/>
    </w:pPr>
    <w:rPr>
      <w:rFonts w:ascii="Arial" w:hAnsi="Arial" w:eastAsia="楷体_GB2312" w:cs="Arial"/>
      <w:b/>
      <w:bCs/>
      <w:sz w:val="32"/>
      <w:szCs w:val="32"/>
    </w:rPr>
  </w:style>
  <w:style w:type="paragraph" w:styleId="77">
    <w:name w:val="annotation subject"/>
    <w:basedOn w:val="27"/>
    <w:next w:val="27"/>
    <w:qFormat/>
    <w:uiPriority w:val="0"/>
    <w:rPr>
      <w:b/>
    </w:rPr>
  </w:style>
  <w:style w:type="paragraph" w:styleId="78">
    <w:name w:val="Body Text First Indent 2"/>
    <w:basedOn w:val="20"/>
    <w:next w:val="79"/>
    <w:qFormat/>
    <w:uiPriority w:val="0"/>
    <w:pPr>
      <w:spacing w:before="0" w:line="240" w:lineRule="auto"/>
      <w:ind w:left="420" w:leftChars="200" w:firstLine="420" w:firstLineChars="200"/>
    </w:pPr>
    <w:rPr>
      <w:rFonts w:ascii="Times New Roman"/>
    </w:rPr>
  </w:style>
  <w:style w:type="paragraph" w:customStyle="1" w:styleId="79">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3">
    <w:name w:val="Strong"/>
    <w:qFormat/>
    <w:uiPriority w:val="0"/>
    <w:rPr>
      <w:b/>
    </w:rPr>
  </w:style>
  <w:style w:type="character" w:styleId="84">
    <w:name w:val="page number"/>
    <w:basedOn w:val="82"/>
    <w:qFormat/>
    <w:uiPriority w:val="0"/>
  </w:style>
  <w:style w:type="character" w:styleId="85">
    <w:name w:val="FollowedHyperlink"/>
    <w:qFormat/>
    <w:uiPriority w:val="99"/>
    <w:rPr>
      <w:color w:val="800080"/>
      <w:u w:val="single"/>
    </w:rPr>
  </w:style>
  <w:style w:type="character" w:styleId="86">
    <w:name w:val="Emphasis"/>
    <w:qFormat/>
    <w:uiPriority w:val="0"/>
    <w:rPr>
      <w:color w:val="CC0033"/>
    </w:rPr>
  </w:style>
  <w:style w:type="character" w:styleId="87">
    <w:name w:val="line number"/>
    <w:basedOn w:val="82"/>
    <w:qFormat/>
    <w:uiPriority w:val="0"/>
  </w:style>
  <w:style w:type="character" w:styleId="88">
    <w:name w:val="Hyperlink"/>
    <w:qFormat/>
    <w:uiPriority w:val="99"/>
    <w:rPr>
      <w:color w:val="0000FF"/>
      <w:u w:val="single"/>
    </w:rPr>
  </w:style>
  <w:style w:type="character" w:styleId="89">
    <w:name w:val="annotation reference"/>
    <w:qFormat/>
    <w:uiPriority w:val="0"/>
    <w:rPr>
      <w:sz w:val="21"/>
    </w:rPr>
  </w:style>
  <w:style w:type="paragraph" w:customStyle="1" w:styleId="90">
    <w:name w:val="Default"/>
    <w:next w:val="91"/>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1">
    <w:name w:val="目录 71"/>
    <w:next w:val="1"/>
    <w:qFormat/>
    <w:uiPriority w:val="0"/>
    <w:pPr>
      <w:wordWrap w:val="0"/>
      <w:ind w:left="2550"/>
      <w:jc w:val="both"/>
    </w:pPr>
    <w:rPr>
      <w:rFonts w:ascii="宋体" w:hAnsi="宋体" w:eastAsia="Times New Roman" w:cs="Arial"/>
      <w:sz w:val="21"/>
      <w:lang w:val="en-US" w:eastAsia="zh-CN" w:bidi="ar-SA"/>
    </w:rPr>
  </w:style>
  <w:style w:type="paragraph" w:customStyle="1" w:styleId="9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3">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4">
    <w:name w:val="xl102"/>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95">
    <w:name w:val="样式 标题 4 + 小四"/>
    <w:basedOn w:val="5"/>
    <w:link w:val="437"/>
    <w:qFormat/>
    <w:uiPriority w:val="0"/>
    <w:pPr>
      <w:tabs>
        <w:tab w:val="left" w:pos="1919"/>
        <w:tab w:val="clear" w:pos="1198"/>
      </w:tabs>
      <w:spacing w:before="280" w:after="290" w:line="377" w:lineRule="auto"/>
      <w:ind w:left="1547" w:hanging="708"/>
      <w:jc w:val="left"/>
    </w:pPr>
    <w:rPr>
      <w:rFonts w:ascii="Arial" w:hAnsi="Arial" w:eastAsia="楷体_GB2312" w:cs="Arial"/>
      <w:bCs/>
      <w:sz w:val="24"/>
      <w:szCs w:val="28"/>
    </w:rPr>
  </w:style>
  <w:style w:type="paragraph" w:customStyle="1" w:styleId="96">
    <w:name w:val="Char Char Char1 Char Char Char Char"/>
    <w:basedOn w:val="1"/>
    <w:qFormat/>
    <w:uiPriority w:val="0"/>
    <w:rPr>
      <w:rFonts w:ascii="仿宋_GB2312" w:eastAsia="仿宋_GB2312"/>
      <w:b/>
      <w:sz w:val="32"/>
    </w:rPr>
  </w:style>
  <w:style w:type="paragraph" w:customStyle="1" w:styleId="9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rPr>
  </w:style>
  <w:style w:type="paragraph" w:customStyle="1" w:styleId="98">
    <w:name w:val="样式 行距: 1.5 倍行距 首行缩进:  2 字符"/>
    <w:basedOn w:val="1"/>
    <w:qFormat/>
    <w:uiPriority w:val="0"/>
    <w:pPr>
      <w:spacing w:line="360" w:lineRule="auto"/>
      <w:ind w:firstLine="480" w:firstLineChars="200"/>
    </w:pPr>
  </w:style>
  <w:style w:type="paragraph" w:customStyle="1" w:styleId="99">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100">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101">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2">
    <w:name w:val="框内说明"/>
    <w:basedOn w:val="1"/>
    <w:qFormat/>
    <w:uiPriority w:val="0"/>
    <w:pPr>
      <w:adjustRightInd w:val="0"/>
      <w:snapToGrid w:val="0"/>
    </w:pPr>
    <w:rPr>
      <w:kern w:val="0"/>
      <w:sz w:val="21"/>
    </w:rPr>
  </w:style>
  <w:style w:type="paragraph" w:customStyle="1" w:styleId="103">
    <w:name w:val="正文文本 21"/>
    <w:basedOn w:val="1"/>
    <w:qFormat/>
    <w:uiPriority w:val="0"/>
    <w:pPr>
      <w:adjustRightInd w:val="0"/>
      <w:spacing w:after="60" w:line="360" w:lineRule="atLeast"/>
      <w:ind w:left="57" w:right="57"/>
      <w:jc w:val="center"/>
      <w:textAlignment w:val="baseline"/>
    </w:pPr>
    <w:rPr>
      <w:rFonts w:ascii="Arial" w:hAnsi="Arial" w:eastAsia="黑体"/>
      <w:kern w:val="0"/>
      <w:sz w:val="21"/>
    </w:rPr>
  </w:style>
  <w:style w:type="paragraph" w:customStyle="1" w:styleId="104">
    <w:name w:val="正文文字2"/>
    <w:basedOn w:val="32"/>
    <w:qFormat/>
    <w:uiPriority w:val="0"/>
    <w:pPr>
      <w:autoSpaceDE/>
      <w:autoSpaceDN/>
      <w:spacing w:after="60" w:line="360" w:lineRule="atLeast"/>
      <w:ind w:left="72" w:right="72"/>
      <w:jc w:val="center"/>
      <w:textAlignment w:val="baseline"/>
    </w:pPr>
    <w:rPr>
      <w:rFonts w:ascii="Arial" w:eastAsia="黑体"/>
      <w:color w:val="auto"/>
      <w:sz w:val="21"/>
    </w:rPr>
  </w:style>
  <w:style w:type="paragraph" w:customStyle="1" w:styleId="105">
    <w:name w:val="Char Char Char Char"/>
    <w:basedOn w:val="1"/>
    <w:qFormat/>
    <w:uiPriority w:val="0"/>
    <w:rPr>
      <w:rFonts w:ascii="仿宋_GB2312" w:eastAsia="仿宋_GB2312"/>
      <w:b/>
      <w:sz w:val="32"/>
    </w:rPr>
  </w:style>
  <w:style w:type="paragraph" w:customStyle="1" w:styleId="106">
    <w:name w:val="正文1"/>
    <w:basedOn w:val="1"/>
    <w:qFormat/>
    <w:uiPriority w:val="0"/>
    <w:pPr>
      <w:spacing w:before="60" w:after="60" w:line="360" w:lineRule="auto"/>
      <w:ind w:left="1080"/>
      <w:outlineLvl w:val="6"/>
    </w:pPr>
  </w:style>
  <w:style w:type="paragraph" w:customStyle="1" w:styleId="107">
    <w:name w:val="正文段"/>
    <w:basedOn w:val="1"/>
    <w:link w:val="428"/>
    <w:qFormat/>
    <w:uiPriority w:val="0"/>
    <w:pPr>
      <w:widowControl/>
      <w:snapToGrid w:val="0"/>
      <w:spacing w:after="156" w:afterLines="50"/>
      <w:ind w:firstLine="200" w:firstLineChars="200"/>
    </w:pPr>
    <w:rPr>
      <w:kern w:val="0"/>
    </w:rPr>
  </w:style>
  <w:style w:type="paragraph" w:customStyle="1" w:styleId="108">
    <w:name w:val="xl11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9">
    <w:name w:val="Style Heading 3h3Heading 3 - oldLevel 3 HeadH3level_3PIM 3se..."/>
    <w:basedOn w:val="4"/>
    <w:qFormat/>
    <w:uiPriority w:val="0"/>
    <w:pPr>
      <w:tabs>
        <w:tab w:val="left" w:pos="1260"/>
        <w:tab w:val="clear" w:pos="778"/>
      </w:tabs>
      <w:spacing w:before="260" w:beforeLines="0" w:after="260" w:line="413" w:lineRule="auto"/>
      <w:ind w:left="1260"/>
    </w:pPr>
    <w:rPr>
      <w:rFonts w:ascii="Times New Roman" w:hAnsi="Times New Roman"/>
      <w:sz w:val="32"/>
    </w:rPr>
  </w:style>
  <w:style w:type="paragraph" w:customStyle="1" w:styleId="110">
    <w:name w:val="正文＋小四＋缩进2字符"/>
    <w:basedOn w:val="1"/>
    <w:qFormat/>
    <w:uiPriority w:val="0"/>
    <w:pPr>
      <w:spacing w:line="360" w:lineRule="auto"/>
      <w:ind w:firstLine="200" w:firstLineChars="200"/>
    </w:pPr>
  </w:style>
  <w:style w:type="paragraph" w:customStyle="1" w:styleId="111">
    <w:name w:val="普通(网站)1"/>
    <w:basedOn w:val="1"/>
    <w:next w:val="1"/>
    <w:qFormat/>
    <w:uiPriority w:val="0"/>
    <w:pPr>
      <w:widowControl/>
      <w:spacing w:before="100" w:after="100"/>
      <w:jc w:val="left"/>
    </w:pPr>
    <w:rPr>
      <w:rFonts w:ascii="宋体"/>
      <w:color w:val="000000"/>
      <w:kern w:val="0"/>
      <w:sz w:val="22"/>
    </w:rPr>
  </w:style>
  <w:style w:type="paragraph" w:customStyle="1" w:styleId="112">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3">
    <w:name w:val="列表编号 21"/>
    <w:basedOn w:val="1"/>
    <w:next w:val="1"/>
    <w:qFormat/>
    <w:uiPriority w:val="0"/>
    <w:pPr>
      <w:widowControl/>
      <w:tabs>
        <w:tab w:val="left" w:pos="420"/>
        <w:tab w:val="left" w:pos="1697"/>
      </w:tabs>
      <w:spacing w:after="50"/>
      <w:ind w:left="1697" w:hanging="420"/>
      <w:jc w:val="left"/>
    </w:pPr>
    <w:rPr>
      <w:color w:val="000000"/>
      <w:kern w:val="0"/>
    </w:rPr>
  </w:style>
  <w:style w:type="paragraph" w:customStyle="1" w:styleId="114">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5">
    <w:name w:val="章节标题2"/>
    <w:basedOn w:val="1"/>
    <w:next w:val="116"/>
    <w:qFormat/>
    <w:uiPriority w:val="0"/>
    <w:pPr>
      <w:keepNext/>
      <w:keepLines/>
      <w:numPr>
        <w:ilvl w:val="1"/>
        <w:numId w:val="3"/>
      </w:numPr>
      <w:spacing w:before="260" w:after="260" w:line="415" w:lineRule="auto"/>
      <w:outlineLvl w:val="1"/>
    </w:pPr>
    <w:rPr>
      <w:b/>
      <w:bCs/>
      <w:sz w:val="32"/>
      <w:szCs w:val="32"/>
    </w:rPr>
  </w:style>
  <w:style w:type="paragraph" w:customStyle="1" w:styleId="116">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7">
    <w:name w:val="xl11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8">
    <w:name w:val="样式 列表编号 + 段后: 0.5 行"/>
    <w:basedOn w:val="18"/>
    <w:qFormat/>
    <w:uiPriority w:val="99"/>
    <w:pPr>
      <w:tabs>
        <w:tab w:val="left" w:pos="720"/>
      </w:tabs>
      <w:ind w:left="720"/>
    </w:pPr>
  </w:style>
  <w:style w:type="paragraph" w:customStyle="1" w:styleId="119">
    <w:name w:val="xl81"/>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120">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xl106"/>
    <w:basedOn w:val="1"/>
    <w:qFormat/>
    <w:uiPriority w:val="0"/>
    <w:pPr>
      <w:widowControl/>
      <w:spacing w:before="100" w:beforeAutospacing="1" w:after="100" w:afterAutospacing="1"/>
      <w:jc w:val="center"/>
    </w:pPr>
    <w:rPr>
      <w:rFonts w:ascii="Arial" w:hAnsi="Arial" w:cs="Arial"/>
      <w:color w:val="000000"/>
      <w:kern w:val="0"/>
      <w:szCs w:val="24"/>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4">
    <w:name w:val="Char2"/>
    <w:basedOn w:val="1"/>
    <w:qFormat/>
    <w:uiPriority w:val="0"/>
    <w:rPr>
      <w:rFonts w:ascii="仿宋_GB2312" w:eastAsia="仿宋_GB2312"/>
      <w:b/>
      <w:sz w:val="32"/>
    </w:rPr>
  </w:style>
  <w:style w:type="paragraph" w:customStyle="1" w:styleId="125">
    <w:name w:val="xl100"/>
    <w:basedOn w:val="1"/>
    <w:qFormat/>
    <w:uiPriority w:val="0"/>
    <w:pPr>
      <w:widowControl/>
      <w:shd w:val="clear" w:color="auto" w:fill="99CCFF"/>
      <w:spacing w:before="100" w:beforeAutospacing="1" w:after="100" w:afterAutospacing="1"/>
      <w:jc w:val="left"/>
    </w:pPr>
    <w:rPr>
      <w:rFonts w:ascii="Arial" w:hAnsi="Arial" w:cs="Arial"/>
      <w:b/>
      <w:bCs/>
      <w:color w:val="000000"/>
      <w:kern w:val="0"/>
      <w:szCs w:val="24"/>
    </w:rPr>
  </w:style>
  <w:style w:type="paragraph" w:customStyle="1" w:styleId="126">
    <w:name w:val="列出段落1"/>
    <w:basedOn w:val="1"/>
    <w:qFormat/>
    <w:uiPriority w:val="0"/>
    <w:pPr>
      <w:ind w:firstLine="420" w:firstLineChars="200"/>
    </w:pPr>
    <w:rPr>
      <w:rFonts w:ascii="Calibri" w:hAnsi="Calibri"/>
      <w:sz w:val="21"/>
      <w:szCs w:val="22"/>
    </w:rPr>
  </w:style>
  <w:style w:type="paragraph" w:customStyle="1" w:styleId="12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8">
    <w:name w:val="表格"/>
    <w:basedOn w:val="1"/>
    <w:qFormat/>
    <w:uiPriority w:val="0"/>
    <w:pPr>
      <w:jc w:val="left"/>
    </w:pPr>
    <w:rPr>
      <w:sz w:val="18"/>
    </w:rPr>
  </w:style>
  <w:style w:type="paragraph" w:customStyle="1" w:styleId="129">
    <w:name w:val="彩色列表 - 强调文字颜色 11"/>
    <w:basedOn w:val="1"/>
    <w:qFormat/>
    <w:uiPriority w:val="0"/>
    <w:pPr>
      <w:ind w:firstLine="200" w:firstLineChars="200"/>
    </w:pPr>
    <w:rPr>
      <w:sz w:val="21"/>
      <w:szCs w:val="24"/>
    </w:rPr>
  </w:style>
  <w:style w:type="paragraph" w:customStyle="1" w:styleId="130">
    <w:name w:val="Unknown Style"/>
    <w:basedOn w:val="1"/>
    <w:next w:val="1"/>
    <w:qFormat/>
    <w:uiPriority w:val="0"/>
    <w:pPr>
      <w:widowControl/>
    </w:pPr>
    <w:rPr>
      <w:color w:val="000000"/>
      <w:sz w:val="21"/>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2">
    <w:name w:val="项目2"/>
    <w:basedOn w:val="1"/>
    <w:qFormat/>
    <w:uiPriority w:val="0"/>
    <w:pPr>
      <w:tabs>
        <w:tab w:val="left" w:pos="840"/>
      </w:tabs>
      <w:spacing w:line="360" w:lineRule="auto"/>
      <w:ind w:left="840" w:hanging="420"/>
    </w:pPr>
  </w:style>
  <w:style w:type="paragraph" w:customStyle="1" w:styleId="133">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_Style 129"/>
    <w:semiHidden/>
    <w:qFormat/>
    <w:uiPriority w:val="99"/>
    <w:rPr>
      <w:rFonts w:ascii="Times New Roman" w:hAnsi="Times New Roman" w:eastAsia="宋体" w:cs="Times New Roman"/>
      <w:kern w:val="2"/>
      <w:sz w:val="24"/>
      <w:lang w:val="en-US" w:eastAsia="zh-CN" w:bidi="ar-SA"/>
    </w:rPr>
  </w:style>
  <w:style w:type="paragraph" w:customStyle="1" w:styleId="135">
    <w:name w:val="样式 标题 2"/>
    <w:basedOn w:val="3"/>
    <w:next w:val="1"/>
    <w:qFormat/>
    <w:uiPriority w:val="0"/>
    <w:pPr>
      <w:keepLines w:val="0"/>
      <w:tabs>
        <w:tab w:val="clear" w:pos="358"/>
      </w:tabs>
      <w:spacing w:before="0" w:after="156" w:afterLines="50" w:line="480" w:lineRule="auto"/>
      <w:ind w:left="0" w:firstLine="0"/>
    </w:pPr>
    <w:rPr>
      <w:rFonts w:ascii="仿宋_GB2312" w:hAnsi="仿宋_GB2312" w:eastAsia="仿宋_GB2312" w:cs="Arial"/>
      <w:szCs w:val="24"/>
    </w:rPr>
  </w:style>
  <w:style w:type="paragraph" w:customStyle="1" w:styleId="136">
    <w:name w:val="xl90"/>
    <w:basedOn w:val="1"/>
    <w:qFormat/>
    <w:uiPriority w:val="0"/>
    <w:pPr>
      <w:widowControl/>
      <w:spacing w:before="100" w:beforeAutospacing="1" w:after="100" w:afterAutospacing="1"/>
      <w:jc w:val="center"/>
    </w:pPr>
    <w:rPr>
      <w:rFonts w:ascii="幼圆" w:hAnsi="宋体" w:eastAsia="幼圆" w:cs="宋体"/>
      <w:color w:val="000000"/>
      <w:kern w:val="0"/>
      <w:szCs w:val="24"/>
    </w:rPr>
  </w:style>
  <w:style w:type="paragraph" w:customStyle="1" w:styleId="137">
    <w:name w:val="xl83"/>
    <w:basedOn w:val="1"/>
    <w:qFormat/>
    <w:uiPriority w:val="0"/>
    <w:pPr>
      <w:widowControl/>
      <w:shd w:val="clear" w:color="auto" w:fill="CCFFCC"/>
      <w:spacing w:before="100" w:beforeAutospacing="1" w:after="100" w:afterAutospacing="1"/>
      <w:jc w:val="center"/>
    </w:pPr>
    <w:rPr>
      <w:rFonts w:ascii="Arial" w:hAnsi="Arial" w:cs="Arial"/>
      <w:color w:val="000000"/>
      <w:kern w:val="0"/>
      <w:szCs w:val="24"/>
    </w:rPr>
  </w:style>
  <w:style w:type="paragraph" w:customStyle="1" w:styleId="138">
    <w:name w:val="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39">
    <w:name w:val="列表项目符号 21"/>
    <w:basedOn w:val="1"/>
    <w:next w:val="1"/>
    <w:qFormat/>
    <w:uiPriority w:val="0"/>
    <w:pPr>
      <w:widowControl/>
      <w:tabs>
        <w:tab w:val="left" w:pos="420"/>
      </w:tabs>
      <w:ind w:left="420" w:hanging="420"/>
    </w:pPr>
    <w:rPr>
      <w:color w:val="000000"/>
      <w:sz w:val="21"/>
    </w:rPr>
  </w:style>
  <w:style w:type="paragraph" w:customStyle="1" w:styleId="140">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b/>
      <w:color w:val="000000"/>
      <w:kern w:val="0"/>
      <w:sz w:val="20"/>
    </w:rPr>
  </w:style>
  <w:style w:type="paragraph" w:customStyle="1" w:styleId="141">
    <w:name w:val="正文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2">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3">
    <w:name w:val="标准小四"/>
    <w:basedOn w:val="1"/>
    <w:qFormat/>
    <w:uiPriority w:val="0"/>
    <w:pPr>
      <w:spacing w:line="360" w:lineRule="auto"/>
      <w:ind w:firstLine="480" w:firstLineChars="200"/>
    </w:pPr>
    <w:rPr>
      <w:rFonts w:ascii="Arial" w:hAnsi="Arial"/>
      <w:szCs w:val="21"/>
    </w:rPr>
  </w:style>
  <w:style w:type="paragraph" w:customStyle="1" w:styleId="144">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5">
    <w:name w:val="文章标题 2"/>
    <w:basedOn w:val="3"/>
    <w:next w:val="1"/>
    <w:qFormat/>
    <w:uiPriority w:val="0"/>
    <w:pPr>
      <w:spacing w:before="260" w:after="260" w:line="413" w:lineRule="auto"/>
      <w:ind w:left="0" w:firstLine="0"/>
    </w:pPr>
    <w:rPr>
      <w:rFonts w:ascii="黑体" w:hAnsi="Arial" w:eastAsia="黑体"/>
      <w:b w:val="0"/>
    </w:rPr>
  </w:style>
  <w:style w:type="paragraph" w:customStyle="1" w:styleId="146">
    <w:name w:val="xl7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47">
    <w:name w:val="样式2"/>
    <w:basedOn w:val="2"/>
    <w:link w:val="445"/>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8">
    <w:name w:val="flType"/>
    <w:basedOn w:val="1"/>
    <w:qFormat/>
    <w:uiPriority w:val="0"/>
    <w:pPr>
      <w:adjustRightInd w:val="0"/>
      <w:spacing w:before="560" w:after="120" w:line="360" w:lineRule="auto"/>
      <w:jc w:val="center"/>
      <w:textAlignment w:val="baseline"/>
    </w:pPr>
    <w:rPr>
      <w:rFonts w:ascii="Arial" w:eastAsia="黑体"/>
      <w:kern w:val="0"/>
      <w:sz w:val="28"/>
    </w:rPr>
  </w:style>
  <w:style w:type="paragraph" w:customStyle="1" w:styleId="149">
    <w:name w:val="正文文本样式"/>
    <w:link w:val="524"/>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50">
    <w:name w:val="xl33"/>
    <w:basedOn w:val="1"/>
    <w:qFormat/>
    <w:uiPriority w:val="0"/>
    <w:pPr>
      <w:widowControl/>
      <w:spacing w:before="100" w:beforeAutospacing="1" w:after="100" w:afterAutospacing="1"/>
      <w:jc w:val="left"/>
    </w:pPr>
    <w:rPr>
      <w:rFonts w:ascii="宋体" w:hAnsi="宋体"/>
      <w:kern w:val="0"/>
      <w:szCs w:val="24"/>
    </w:rPr>
  </w:style>
  <w:style w:type="paragraph" w:customStyle="1" w:styleId="151">
    <w:name w:val="标题4——4"/>
    <w:basedOn w:val="5"/>
    <w:next w:val="1"/>
    <w:qFormat/>
    <w:uiPriority w:val="0"/>
    <w:pPr>
      <w:tabs>
        <w:tab w:val="clear" w:pos="1198"/>
      </w:tabs>
      <w:spacing w:beforeLines="50"/>
      <w:ind w:left="0" w:right="2" w:firstLine="0"/>
    </w:pPr>
    <w:rPr>
      <w:rFonts w:ascii="Arial" w:hAnsi="Arial" w:eastAsia="楷体_GB2312"/>
      <w:b w:val="0"/>
      <w:szCs w:val="30"/>
    </w:rPr>
  </w:style>
  <w:style w:type="paragraph" w:customStyle="1" w:styleId="152">
    <w:name w:val="标题6"/>
    <w:basedOn w:val="1"/>
    <w:next w:val="2"/>
    <w:qFormat/>
    <w:uiPriority w:val="0"/>
    <w:pPr>
      <w:widowControl/>
      <w:snapToGrid w:val="0"/>
      <w:spacing w:before="156" w:beforeLines="50" w:after="156" w:afterLines="50" w:line="520" w:lineRule="atLeast"/>
      <w:ind w:firstLine="200" w:firstLineChars="200"/>
    </w:pPr>
  </w:style>
  <w:style w:type="paragraph" w:customStyle="1" w:styleId="153">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b/>
      <w:color w:val="000000"/>
      <w:kern w:val="0"/>
      <w:sz w:val="20"/>
    </w:rPr>
  </w:style>
  <w:style w:type="paragraph" w:customStyle="1" w:styleId="154">
    <w:name w:val="此正文"/>
    <w:basedOn w:val="1"/>
    <w:next w:val="1"/>
    <w:qFormat/>
    <w:uiPriority w:val="0"/>
    <w:pPr>
      <w:widowControl/>
      <w:spacing w:line="360" w:lineRule="auto"/>
      <w:ind w:firstLine="480"/>
    </w:pPr>
    <w:rPr>
      <w:color w:val="000000"/>
    </w:rPr>
  </w:style>
  <w:style w:type="paragraph" w:customStyle="1" w:styleId="155">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6">
    <w:name w:val="标题 2-2"/>
    <w:basedOn w:val="3"/>
    <w:qFormat/>
    <w:uiPriority w:val="0"/>
    <w:pPr>
      <w:snapToGrid w:val="0"/>
      <w:spacing w:after="156" w:afterLines="50"/>
    </w:pPr>
    <w:rPr>
      <w:rFonts w:ascii="仿宋_GB2312" w:eastAsia="仿宋_GB2312" w:cs="宋体"/>
      <w:i/>
    </w:rPr>
  </w:style>
  <w:style w:type="paragraph" w:customStyle="1" w:styleId="157">
    <w:name w:val="font5"/>
    <w:basedOn w:val="1"/>
    <w:qFormat/>
    <w:uiPriority w:val="0"/>
    <w:pPr>
      <w:widowControl/>
      <w:adjustRightInd w:val="0"/>
      <w:spacing w:before="100" w:after="100"/>
      <w:jc w:val="left"/>
      <w:textAlignment w:val="baseline"/>
    </w:pPr>
    <w:rPr>
      <w:rFonts w:ascii="宋体" w:hAnsi="宋体"/>
      <w:color w:val="000000"/>
      <w:kern w:val="0"/>
      <w:sz w:val="21"/>
    </w:rPr>
  </w:style>
  <w:style w:type="paragraph" w:customStyle="1" w:styleId="158">
    <w:name w:val="IBM 正文"/>
    <w:basedOn w:val="1"/>
    <w:qFormat/>
    <w:uiPriority w:val="0"/>
    <w:pPr>
      <w:spacing w:line="400" w:lineRule="exact"/>
    </w:pPr>
    <w:rPr>
      <w:spacing w:val="20"/>
    </w:rPr>
  </w:style>
  <w:style w:type="paragraph" w:customStyle="1" w:styleId="159">
    <w:name w:val="xl80"/>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160">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1">
    <w:name w:val="xl78"/>
    <w:basedOn w:val="1"/>
    <w:qFormat/>
    <w:uiPriority w:val="0"/>
    <w:pPr>
      <w:widowControl/>
      <w:shd w:val="clear" w:color="auto" w:fill="99CCFF"/>
      <w:spacing w:before="100" w:beforeAutospacing="1" w:after="100" w:afterAutospacing="1"/>
      <w:jc w:val="center"/>
    </w:pPr>
    <w:rPr>
      <w:rFonts w:ascii="Arial" w:hAnsi="Arial" w:cs="Arial"/>
      <w:color w:val="000000"/>
      <w:kern w:val="0"/>
      <w:szCs w:val="24"/>
    </w:rPr>
  </w:style>
  <w:style w:type="paragraph" w:customStyle="1" w:styleId="162">
    <w:name w:val="标准正文"/>
    <w:basedOn w:val="1"/>
    <w:next w:val="1"/>
    <w:qFormat/>
    <w:uiPriority w:val="0"/>
    <w:pPr>
      <w:widowControl/>
      <w:spacing w:after="50"/>
      <w:ind w:firstLine="200"/>
    </w:pPr>
    <w:rPr>
      <w:color w:val="000000"/>
    </w:rPr>
  </w:style>
  <w:style w:type="paragraph" w:customStyle="1" w:styleId="163">
    <w:name w:val="超链接1"/>
    <w:basedOn w:val="1"/>
    <w:next w:val="1"/>
    <w:qFormat/>
    <w:uiPriority w:val="0"/>
    <w:pPr>
      <w:widowControl/>
    </w:pPr>
    <w:rPr>
      <w:color w:val="0000FF"/>
      <w:sz w:val="21"/>
      <w:u w:val="single" w:color="000000"/>
    </w:rPr>
  </w:style>
  <w:style w:type="paragraph" w:customStyle="1" w:styleId="16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5">
    <w:name w:val="font23"/>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6">
    <w:name w:val="正文11"/>
    <w:basedOn w:val="1"/>
    <w:qFormat/>
    <w:uiPriority w:val="0"/>
    <w:pPr>
      <w:adjustRightInd w:val="0"/>
      <w:spacing w:before="80" w:after="80" w:line="312" w:lineRule="atLeast"/>
      <w:ind w:firstLine="425"/>
    </w:pPr>
    <w:rPr>
      <w:kern w:val="0"/>
      <w:sz w:val="21"/>
    </w:rPr>
  </w:style>
  <w:style w:type="paragraph" w:customStyle="1" w:styleId="167">
    <w:name w:val="默认段落字体 Para Char Char Char Char Char Char Char Char Char1 Char Char Char Char"/>
    <w:basedOn w:val="1"/>
    <w:qFormat/>
    <w:uiPriority w:val="0"/>
    <w:rPr>
      <w:rFonts w:ascii="Tahoma" w:hAnsi="Tahoma"/>
    </w:rPr>
  </w:style>
  <w:style w:type="paragraph" w:customStyle="1" w:styleId="16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9">
    <w:name w:val="普通表格2"/>
    <w:basedOn w:val="1"/>
    <w:next w:val="1"/>
    <w:qFormat/>
    <w:uiPriority w:val="0"/>
    <w:pPr>
      <w:widowControl/>
      <w:jc w:val="left"/>
    </w:pPr>
    <w:rPr>
      <w:color w:val="000000"/>
      <w:kern w:val="0"/>
    </w:rPr>
  </w:style>
  <w:style w:type="paragraph" w:customStyle="1" w:styleId="170">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4">
    <w:name w:val="font18"/>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5">
    <w:name w:val="文字缩进 2"/>
    <w:basedOn w:val="32"/>
    <w:qFormat/>
    <w:uiPriority w:val="0"/>
    <w:pPr>
      <w:autoSpaceDE/>
      <w:autoSpaceDN/>
      <w:spacing w:before="100" w:beforeAutospacing="1" w:after="100" w:afterAutospacing="1" w:line="400" w:lineRule="atLeast"/>
      <w:ind w:left="851"/>
      <w:jc w:val="both"/>
      <w:textAlignment w:val="baseline"/>
    </w:pPr>
    <w:rPr>
      <w:rFonts w:ascii="Times New Roman"/>
      <w:color w:val="auto"/>
    </w:rPr>
  </w:style>
  <w:style w:type="paragraph" w:customStyle="1" w:styleId="176">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7">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8">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79">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80">
    <w:name w:val="投标文件3"/>
    <w:basedOn w:val="1"/>
    <w:qFormat/>
    <w:uiPriority w:val="0"/>
    <w:pPr>
      <w:widowControl/>
      <w:spacing w:line="360" w:lineRule="auto"/>
    </w:pPr>
    <w:rPr>
      <w:rFonts w:ascii="宋体" w:hAnsi="Courier New" w:eastAsia="黑体"/>
      <w:b/>
      <w:sz w:val="30"/>
    </w:rPr>
  </w:style>
  <w:style w:type="paragraph" w:customStyle="1" w:styleId="181">
    <w:name w:val="Char Char Char Char Char Char Char Char Char Char"/>
    <w:basedOn w:val="25"/>
    <w:qFormat/>
    <w:uiPriority w:val="0"/>
    <w:rPr>
      <w:rFonts w:ascii="Tahoma" w:hAnsi="Tahoma"/>
    </w:rPr>
  </w:style>
  <w:style w:type="paragraph" w:customStyle="1" w:styleId="182">
    <w:name w:val="xl112"/>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83">
    <w:name w:val="xl99"/>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184">
    <w:name w:val="_Style 179"/>
    <w:basedOn w:val="2"/>
    <w:next w:val="1"/>
    <w:qFormat/>
    <w:uiPriority w:val="0"/>
    <w:pPr>
      <w:keepNext/>
      <w:keepLines/>
      <w:pageBreakBefore w:val="0"/>
      <w:tabs>
        <w:tab w:val="clear" w:pos="478"/>
      </w:tabs>
      <w:autoSpaceDE/>
      <w:autoSpaceDN/>
      <w:spacing w:before="480" w:after="0" w:line="276" w:lineRule="auto"/>
      <w:ind w:left="0" w:firstLine="0"/>
      <w:jc w:val="left"/>
      <w:outlineLvl w:val="9"/>
    </w:pPr>
    <w:rPr>
      <w:rFonts w:ascii="Cambria" w:hAnsi="Cambria"/>
      <w:b/>
      <w:bCs/>
      <w:color w:val="365F91"/>
      <w:sz w:val="28"/>
      <w:szCs w:val="28"/>
    </w:rPr>
  </w:style>
  <w:style w:type="paragraph" w:customStyle="1" w:styleId="185">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6">
    <w:name w:val="2 Char Char Char Char Char Char Char"/>
    <w:basedOn w:val="1"/>
    <w:qFormat/>
    <w:uiPriority w:val="0"/>
    <w:rPr>
      <w:rFonts w:ascii="Tahoma" w:hAnsi="Tahoma"/>
    </w:rPr>
  </w:style>
  <w:style w:type="paragraph" w:customStyle="1" w:styleId="187">
    <w:name w:val="--规划正文"/>
    <w:basedOn w:val="1"/>
    <w:qFormat/>
    <w:uiPriority w:val="0"/>
    <w:pPr>
      <w:spacing w:line="360" w:lineRule="auto"/>
      <w:ind w:firstLine="200" w:firstLineChars="200"/>
    </w:pPr>
    <w:rPr>
      <w:sz w:val="21"/>
    </w:rPr>
  </w:style>
  <w:style w:type="paragraph" w:customStyle="1" w:styleId="18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方点"/>
    <w:basedOn w:val="1"/>
    <w:qFormat/>
    <w:uiPriority w:val="0"/>
    <w:pPr>
      <w:spacing w:before="156" w:beforeLines="50"/>
    </w:pPr>
    <w:rPr>
      <w:b/>
      <w:bCs/>
    </w:rPr>
  </w:style>
  <w:style w:type="paragraph" w:customStyle="1" w:styleId="190">
    <w:name w:val="xl91"/>
    <w:basedOn w:val="1"/>
    <w:qFormat/>
    <w:uiPriority w:val="0"/>
    <w:pPr>
      <w:widowControl/>
      <w:spacing w:before="100" w:beforeAutospacing="1" w:after="100" w:afterAutospacing="1"/>
      <w:jc w:val="center"/>
    </w:pPr>
    <w:rPr>
      <w:rFonts w:ascii="Arial" w:hAnsi="Arial" w:cs="Arial"/>
      <w:kern w:val="0"/>
      <w:szCs w:val="24"/>
    </w:rPr>
  </w:style>
  <w:style w:type="paragraph" w:customStyle="1" w:styleId="191">
    <w:name w:val="抬头"/>
    <w:basedOn w:val="1"/>
    <w:qFormat/>
    <w:uiPriority w:val="0"/>
    <w:pPr>
      <w:widowControl/>
      <w:topLinePunct/>
      <w:ind w:firstLine="600" w:firstLineChars="200"/>
      <w:jc w:val="center"/>
    </w:pPr>
    <w:rPr>
      <w:kern w:val="0"/>
      <w:sz w:val="30"/>
      <w:szCs w:val="30"/>
    </w:rPr>
  </w:style>
  <w:style w:type="paragraph" w:customStyle="1" w:styleId="192">
    <w:name w:val="desp"/>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3">
    <w:name w:val="默认段落字体 Para Char Char Char Char"/>
    <w:basedOn w:val="1"/>
    <w:qFormat/>
    <w:uiPriority w:val="0"/>
    <w:pPr>
      <w:spacing w:line="240" w:lineRule="atLeast"/>
      <w:ind w:left="420" w:firstLine="420"/>
    </w:pPr>
    <w:rPr>
      <w:kern w:val="0"/>
      <w:sz w:val="21"/>
      <w:szCs w:val="21"/>
    </w:rPr>
  </w:style>
  <w:style w:type="paragraph" w:customStyle="1" w:styleId="194">
    <w:name w:val="五级条标题"/>
    <w:basedOn w:val="195"/>
    <w:next w:val="121"/>
    <w:qFormat/>
    <w:uiPriority w:val="0"/>
    <w:pPr>
      <w:numPr>
        <w:ilvl w:val="6"/>
      </w:numPr>
      <w:outlineLvl w:val="6"/>
    </w:pPr>
  </w:style>
  <w:style w:type="paragraph" w:customStyle="1" w:styleId="195">
    <w:name w:val="四级条标题"/>
    <w:basedOn w:val="196"/>
    <w:next w:val="121"/>
    <w:qFormat/>
    <w:uiPriority w:val="0"/>
    <w:pPr>
      <w:numPr>
        <w:ilvl w:val="5"/>
      </w:numPr>
      <w:outlineLvl w:val="5"/>
    </w:pPr>
  </w:style>
  <w:style w:type="paragraph" w:customStyle="1" w:styleId="196">
    <w:name w:val="三级条标题"/>
    <w:basedOn w:val="197"/>
    <w:next w:val="121"/>
    <w:qFormat/>
    <w:uiPriority w:val="0"/>
    <w:pPr>
      <w:numPr>
        <w:ilvl w:val="4"/>
      </w:numPr>
      <w:outlineLvl w:val="4"/>
    </w:pPr>
  </w:style>
  <w:style w:type="paragraph" w:customStyle="1" w:styleId="197">
    <w:name w:val="二级条标题"/>
    <w:basedOn w:val="198"/>
    <w:next w:val="121"/>
    <w:qFormat/>
    <w:uiPriority w:val="0"/>
    <w:pPr>
      <w:numPr>
        <w:ilvl w:val="3"/>
      </w:numPr>
      <w:outlineLvl w:val="3"/>
    </w:pPr>
  </w:style>
  <w:style w:type="paragraph" w:customStyle="1" w:styleId="198">
    <w:name w:val="一级条标题"/>
    <w:next w:val="121"/>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19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00">
    <w:name w:val="标题3定义"/>
    <w:basedOn w:val="1"/>
    <w:qFormat/>
    <w:uiPriority w:val="0"/>
    <w:pPr>
      <w:tabs>
        <w:tab w:val="left" w:pos="360"/>
      </w:tabs>
      <w:ind w:left="360" w:hanging="360"/>
    </w:pPr>
    <w:rPr>
      <w:rFonts w:ascii="Calibri" w:hAnsi="Calibri"/>
      <w:sz w:val="21"/>
      <w:szCs w:val="22"/>
    </w:rPr>
  </w:style>
  <w:style w:type="paragraph" w:customStyle="1" w:styleId="201">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2">
    <w:name w:val="样式 标题 2 + 宋体 小四 段前: 5 磅 段后: 5 磅 行距: 单倍行距"/>
    <w:basedOn w:val="3"/>
    <w:qFormat/>
    <w:uiPriority w:val="0"/>
    <w:pPr>
      <w:tabs>
        <w:tab w:val="left" w:pos="720"/>
        <w:tab w:val="clear" w:pos="358"/>
      </w:tabs>
      <w:adjustRightInd w:val="0"/>
      <w:spacing w:before="100" w:beforeAutospacing="1" w:after="100" w:afterAutospacing="1" w:line="240" w:lineRule="auto"/>
      <w:ind w:left="0" w:firstLine="0"/>
      <w:jc w:val="left"/>
      <w:textAlignment w:val="baseline"/>
    </w:pPr>
    <w:rPr>
      <w:rFonts w:ascii="宋体" w:hAnsi="宋体"/>
      <w:b w:val="0"/>
      <w:kern w:val="0"/>
      <w:sz w:val="28"/>
    </w:rPr>
  </w:style>
  <w:style w:type="paragraph" w:customStyle="1" w:styleId="203">
    <w:name w:val="正文文本 22"/>
    <w:basedOn w:val="1"/>
    <w:qFormat/>
    <w:uiPriority w:val="0"/>
    <w:pPr>
      <w:adjustRightInd w:val="0"/>
      <w:spacing w:line="300" w:lineRule="auto"/>
      <w:jc w:val="center"/>
    </w:pPr>
    <w:rPr>
      <w:rFonts w:hint="eastAsia" w:ascii="宋体" w:hAnsi="宋体"/>
    </w:rPr>
  </w:style>
  <w:style w:type="paragraph" w:customStyle="1" w:styleId="204">
    <w:name w:val="List Paragraph2"/>
    <w:basedOn w:val="1"/>
    <w:qFormat/>
    <w:uiPriority w:val="0"/>
    <w:pPr>
      <w:ind w:firstLine="420" w:firstLineChars="200"/>
    </w:pPr>
    <w:rPr>
      <w:rFonts w:ascii="Calibri" w:hAnsi="Calibri"/>
      <w:sz w:val="21"/>
      <w:szCs w:val="22"/>
    </w:rPr>
  </w:style>
  <w:style w:type="paragraph" w:customStyle="1" w:styleId="205">
    <w:name w:val="xl109"/>
    <w:basedOn w:val="1"/>
    <w:qFormat/>
    <w:uiPriority w:val="0"/>
    <w:pPr>
      <w:widowControl/>
      <w:spacing w:before="100" w:beforeAutospacing="1" w:after="100" w:afterAutospacing="1"/>
      <w:jc w:val="center"/>
    </w:pPr>
    <w:rPr>
      <w:rFonts w:ascii="幼圆" w:hAnsi="宋体" w:eastAsia="幼圆" w:cs="宋体"/>
      <w:color w:val="000000"/>
      <w:kern w:val="0"/>
      <w:szCs w:val="24"/>
    </w:rPr>
  </w:style>
  <w:style w:type="paragraph" w:customStyle="1" w:styleId="206">
    <w:name w:val="xl79"/>
    <w:basedOn w:val="1"/>
    <w:qFormat/>
    <w:uiPriority w:val="0"/>
    <w:pPr>
      <w:widowControl/>
      <w:shd w:val="clear" w:color="auto" w:fill="CCFFCC"/>
      <w:spacing w:before="100" w:beforeAutospacing="1" w:after="100" w:afterAutospacing="1"/>
      <w:jc w:val="left"/>
    </w:pPr>
    <w:rPr>
      <w:rFonts w:ascii="华文细黑" w:hAnsi="华文细黑" w:eastAsia="华文细黑" w:cs="宋体"/>
      <w:b/>
      <w:bCs/>
      <w:color w:val="000000"/>
      <w:kern w:val="0"/>
      <w:szCs w:val="24"/>
    </w:rPr>
  </w:style>
  <w:style w:type="paragraph" w:customStyle="1" w:styleId="207">
    <w:name w:val="xl108"/>
    <w:basedOn w:val="1"/>
    <w:qFormat/>
    <w:uiPriority w:val="0"/>
    <w:pPr>
      <w:widowControl/>
      <w:spacing w:before="100" w:beforeAutospacing="1" w:after="100" w:afterAutospacing="1"/>
      <w:jc w:val="center"/>
    </w:pPr>
    <w:rPr>
      <w:rFonts w:ascii="Arial" w:hAnsi="Arial" w:cs="Arial"/>
      <w:kern w:val="0"/>
      <w:szCs w:val="24"/>
    </w:rPr>
  </w:style>
  <w:style w:type="paragraph" w:customStyle="1" w:styleId="208">
    <w:name w:val="Heading1"/>
    <w:basedOn w:val="1"/>
    <w:next w:val="1"/>
    <w:qFormat/>
    <w:uiPriority w:val="0"/>
    <w:pPr>
      <w:keepNext/>
      <w:keepLines/>
      <w:spacing w:before="340" w:after="330" w:line="578" w:lineRule="auto"/>
      <w:ind w:left="425" w:hanging="425"/>
    </w:pPr>
    <w:rPr>
      <w:rFonts w:eastAsia="仿宋_GB2312"/>
      <w:b/>
      <w:kern w:val="44"/>
      <w:sz w:val="44"/>
    </w:rPr>
  </w:style>
  <w:style w:type="paragraph" w:customStyle="1" w:styleId="209">
    <w:name w:val="章标题"/>
    <w:next w:val="121"/>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10">
    <w:name w:val="正文文字缩进3"/>
    <w:basedOn w:val="32"/>
    <w:qFormat/>
    <w:uiPriority w:val="0"/>
    <w:pPr>
      <w:autoSpaceDE/>
      <w:autoSpaceDN/>
      <w:spacing w:before="100" w:beforeAutospacing="1" w:after="100" w:afterAutospacing="1" w:line="400" w:lineRule="atLeast"/>
      <w:ind w:left="600" w:leftChars="600"/>
      <w:jc w:val="both"/>
      <w:textAlignment w:val="baseline"/>
    </w:pPr>
    <w:rPr>
      <w:rFonts w:ascii="Times New Roman"/>
      <w:color w:val="auto"/>
    </w:rPr>
  </w:style>
  <w:style w:type="paragraph" w:customStyle="1" w:styleId="211">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3">
    <w:name w:val="样式1"/>
    <w:basedOn w:val="1"/>
    <w:link w:val="508"/>
    <w:qFormat/>
    <w:uiPriority w:val="0"/>
    <w:pPr>
      <w:jc w:val="center"/>
    </w:pPr>
    <w:rPr>
      <w:rFonts w:ascii="宋体" w:hAnsi="宋体"/>
      <w:b/>
      <w:bCs/>
      <w:sz w:val="44"/>
      <w:szCs w:val="24"/>
    </w:rPr>
  </w:style>
  <w:style w:type="paragraph" w:customStyle="1" w:styleId="214">
    <w:name w:val="List2"/>
    <w:basedOn w:val="1"/>
    <w:qFormat/>
    <w:uiPriority w:val="0"/>
    <w:pPr>
      <w:tabs>
        <w:tab w:val="left" w:pos="643"/>
        <w:tab w:val="left" w:pos="840"/>
      </w:tabs>
      <w:spacing w:line="360" w:lineRule="auto"/>
      <w:ind w:left="643" w:hanging="420"/>
    </w:pPr>
  </w:style>
  <w:style w:type="paragraph" w:customStyle="1" w:styleId="2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6">
    <w:name w:val="正文两字缩进"/>
    <w:basedOn w:val="78"/>
    <w:qFormat/>
    <w:uiPriority w:val="0"/>
    <w:pPr>
      <w:tabs>
        <w:tab w:val="right" w:leader="dot" w:pos="8302"/>
      </w:tabs>
      <w:spacing w:before="156" w:beforeLines="50" w:after="156" w:afterLines="50" w:line="360" w:lineRule="auto"/>
      <w:ind w:left="0" w:leftChars="0" w:firstLine="480"/>
      <w:jc w:val="left"/>
    </w:pPr>
    <w:rPr>
      <w:rFonts w:ascii="宋体" w:hAnsi="宋体"/>
    </w:rPr>
  </w:style>
  <w:style w:type="paragraph" w:customStyle="1" w:styleId="217">
    <w:name w:val="font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8">
    <w:name w:val="文章标题 1"/>
    <w:basedOn w:val="2"/>
    <w:next w:val="1"/>
    <w:qFormat/>
    <w:uiPriority w:val="0"/>
    <w:pPr>
      <w:keepNext/>
      <w:keepLines/>
      <w:widowControl w:val="0"/>
      <w:autoSpaceDE/>
      <w:autoSpaceDN/>
      <w:spacing w:before="120" w:after="480" w:line="360" w:lineRule="auto"/>
      <w:ind w:left="0" w:firstLine="0"/>
      <w:textAlignment w:val="top"/>
    </w:pPr>
    <w:rPr>
      <w:rFonts w:ascii="Times New Roman" w:eastAsia="黑体"/>
      <w:color w:val="auto"/>
      <w:kern w:val="2"/>
      <w:sz w:val="44"/>
    </w:rPr>
  </w:style>
  <w:style w:type="paragraph" w:customStyle="1" w:styleId="219">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kern w:val="0"/>
      <w:sz w:val="21"/>
    </w:rPr>
  </w:style>
  <w:style w:type="paragraph" w:customStyle="1" w:styleId="220">
    <w:name w:val="Char Char Char Char1"/>
    <w:basedOn w:val="1"/>
    <w:qFormat/>
    <w:uiPriority w:val="0"/>
    <w:rPr>
      <w:rFonts w:ascii="Tahoma" w:hAnsi="Tahoma"/>
    </w:rPr>
  </w:style>
  <w:style w:type="paragraph" w:customStyle="1" w:styleId="221">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2">
    <w:name w:val="xl74"/>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223">
    <w:name w:val="样式29"/>
    <w:basedOn w:val="1"/>
    <w:qFormat/>
    <w:uiPriority w:val="0"/>
    <w:pPr>
      <w:widowControl/>
      <w:spacing w:line="440" w:lineRule="exact"/>
      <w:ind w:firstLine="200" w:firstLineChars="200"/>
      <w:jc w:val="left"/>
    </w:pPr>
    <w:rPr>
      <w:spacing w:val="6"/>
      <w:kern w:val="0"/>
    </w:rPr>
  </w:style>
  <w:style w:type="paragraph" w:customStyle="1" w:styleId="224">
    <w:name w:val="xl85"/>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225">
    <w:name w:val="标书正文:  0.74 厘米"/>
    <w:basedOn w:val="1"/>
    <w:link w:val="482"/>
    <w:qFormat/>
    <w:uiPriority w:val="0"/>
    <w:pPr>
      <w:snapToGrid w:val="0"/>
      <w:spacing w:line="360" w:lineRule="auto"/>
      <w:ind w:firstLine="420"/>
    </w:pPr>
  </w:style>
  <w:style w:type="paragraph" w:customStyle="1" w:styleId="226">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7">
    <w:name w:val="xl73"/>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228">
    <w:name w:val="TABLE3"/>
    <w:basedOn w:val="1"/>
    <w:next w:val="1"/>
    <w:qFormat/>
    <w:uiPriority w:val="0"/>
    <w:pPr>
      <w:jc w:val="center"/>
    </w:pPr>
    <w:rPr>
      <w:szCs w:val="24"/>
    </w:rPr>
  </w:style>
  <w:style w:type="paragraph" w:customStyle="1" w:styleId="229">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0">
    <w:name w:val="flName"/>
    <w:basedOn w:val="231"/>
    <w:qFormat/>
    <w:uiPriority w:val="0"/>
    <w:rPr>
      <w:sz w:val="32"/>
    </w:rPr>
  </w:style>
  <w:style w:type="paragraph" w:customStyle="1" w:styleId="231">
    <w:name w:val="flNote"/>
    <w:basedOn w:val="1"/>
    <w:qFormat/>
    <w:uiPriority w:val="0"/>
    <w:pPr>
      <w:adjustRightInd w:val="0"/>
      <w:spacing w:before="320" w:after="160" w:line="360" w:lineRule="auto"/>
      <w:jc w:val="center"/>
      <w:textAlignment w:val="baseline"/>
    </w:pPr>
    <w:rPr>
      <w:rFonts w:ascii="Arial" w:eastAsia="黑体"/>
      <w:kern w:val="0"/>
      <w:sz w:val="30"/>
    </w:rPr>
  </w:style>
  <w:style w:type="paragraph" w:customStyle="1" w:styleId="23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3">
    <w:name w:val="font12"/>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5">
    <w:name w:val="自定义正文"/>
    <w:basedOn w:val="1"/>
    <w:link w:val="468"/>
    <w:qFormat/>
    <w:uiPriority w:val="0"/>
    <w:pPr>
      <w:spacing w:before="120" w:after="120" w:line="480" w:lineRule="exact"/>
      <w:ind w:firstLine="200" w:firstLineChars="200"/>
      <w:jc w:val="left"/>
    </w:pPr>
    <w:rPr>
      <w:rFonts w:ascii="仿宋_GB2312" w:eastAsia="仿宋_GB2312"/>
      <w:kern w:val="0"/>
    </w:rPr>
  </w:style>
  <w:style w:type="paragraph" w:customStyle="1" w:styleId="23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8">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9">
    <w:name w:val="UserStyle_89"/>
    <w:basedOn w:val="1"/>
    <w:qFormat/>
    <w:uiPriority w:val="0"/>
    <w:pPr>
      <w:ind w:firstLine="420"/>
      <w:jc w:val="left"/>
    </w:pPr>
    <w:rPr>
      <w:kern w:val="0"/>
    </w:rPr>
  </w:style>
  <w:style w:type="paragraph" w:customStyle="1" w:styleId="240">
    <w:name w:val="Char3 Char Char Char"/>
    <w:basedOn w:val="1"/>
    <w:qFormat/>
    <w:uiPriority w:val="0"/>
    <w:pPr>
      <w:widowControl/>
      <w:spacing w:after="160" w:line="240" w:lineRule="exact"/>
      <w:ind w:firstLine="200" w:firstLineChars="200"/>
      <w:jc w:val="left"/>
    </w:pPr>
    <w:rPr>
      <w:szCs w:val="24"/>
    </w:rPr>
  </w:style>
  <w:style w:type="paragraph" w:customStyle="1" w:styleId="241">
    <w:name w:val="简单回函地址"/>
    <w:basedOn w:val="1"/>
    <w:qFormat/>
    <w:uiPriority w:val="0"/>
    <w:rPr>
      <w:sz w:val="21"/>
      <w:szCs w:val="24"/>
    </w:rPr>
  </w:style>
  <w:style w:type="paragraph" w:customStyle="1" w:styleId="242">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kern w:val="0"/>
    </w:rPr>
  </w:style>
  <w:style w:type="paragraph" w:customStyle="1" w:styleId="243">
    <w:name w:val="标准文本"/>
    <w:basedOn w:val="1"/>
    <w:link w:val="450"/>
    <w:qFormat/>
    <w:uiPriority w:val="0"/>
    <w:pPr>
      <w:spacing w:line="360" w:lineRule="auto"/>
      <w:ind w:firstLine="480" w:firstLineChars="200"/>
    </w:pPr>
    <w:rPr>
      <w:kern w:val="0"/>
    </w:rPr>
  </w:style>
  <w:style w:type="paragraph" w:customStyle="1" w:styleId="244">
    <w:name w:val="样式 样式 标题 1 + 黑体 三号 + 段前: 1 行 段后: 1 行"/>
    <w:basedOn w:val="1"/>
    <w:qFormat/>
    <w:uiPriority w:val="0"/>
    <w:pPr>
      <w:keepNext/>
      <w:keepLines/>
      <w:tabs>
        <w:tab w:val="left" w:pos="1021"/>
      </w:tabs>
      <w:spacing w:before="312" w:beforeLines="100" w:after="312" w:afterLines="100" w:line="360" w:lineRule="auto"/>
      <w:ind w:firstLine="482"/>
      <w:outlineLvl w:val="0"/>
    </w:pPr>
    <w:rPr>
      <w:rFonts w:ascii="Arial" w:hAnsi="Arial" w:eastAsia="黑体"/>
      <w:b/>
      <w:spacing w:val="10"/>
      <w:kern w:val="44"/>
      <w:sz w:val="32"/>
    </w:rPr>
  </w:style>
  <w:style w:type="paragraph" w:customStyle="1" w:styleId="245">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6">
    <w:name w:val="样式5"/>
    <w:basedOn w:val="1"/>
    <w:link w:val="494"/>
    <w:qFormat/>
    <w:uiPriority w:val="0"/>
    <w:pPr>
      <w:spacing w:before="50" w:after="75"/>
      <w:outlineLvl w:val="2"/>
    </w:pPr>
    <w:rPr>
      <w:rFonts w:ascii="宋体" w:hAnsi="宋体"/>
      <w:b/>
      <w:bCs/>
      <w:color w:val="000000"/>
      <w:kern w:val="44"/>
      <w:sz w:val="28"/>
      <w:szCs w:val="32"/>
    </w:rPr>
  </w:style>
  <w:style w:type="paragraph" w:customStyle="1" w:styleId="247">
    <w:name w:val="样式 首行缩进:  2 字符"/>
    <w:basedOn w:val="1"/>
    <w:qFormat/>
    <w:uiPriority w:val="0"/>
    <w:pPr>
      <w:spacing w:after="120" w:line="360" w:lineRule="auto"/>
      <w:ind w:firstLine="480" w:firstLineChars="200"/>
    </w:pPr>
  </w:style>
  <w:style w:type="paragraph" w:customStyle="1" w:styleId="248">
    <w:name w:val="首行缩进:  2 字符"/>
    <w:basedOn w:val="1"/>
    <w:next w:val="1"/>
    <w:link w:val="518"/>
    <w:qFormat/>
    <w:uiPriority w:val="0"/>
    <w:pPr>
      <w:widowControl/>
      <w:spacing w:line="440" w:lineRule="exact"/>
      <w:ind w:firstLine="480" w:firstLineChars="200"/>
      <w:jc w:val="left"/>
    </w:pPr>
    <w:rPr>
      <w:rFonts w:eastAsia="仿宋_GB2312" w:cs="宋体"/>
      <w:kern w:val="0"/>
    </w:rPr>
  </w:style>
  <w:style w:type="paragraph" w:customStyle="1" w:styleId="249">
    <w:name w:val="文章标题 3 Char"/>
    <w:basedOn w:val="4"/>
    <w:next w:val="1"/>
    <w:link w:val="474"/>
    <w:qFormat/>
    <w:uiPriority w:val="0"/>
    <w:pPr>
      <w:spacing w:before="260" w:beforeLines="0" w:after="260" w:line="413" w:lineRule="auto"/>
      <w:ind w:left="-7" w:firstLine="567"/>
    </w:pPr>
    <w:rPr>
      <w:rFonts w:hAnsi="Arial" w:eastAsia="黑体"/>
      <w:b w:val="0"/>
    </w:rPr>
  </w:style>
  <w:style w:type="paragraph" w:customStyle="1" w:styleId="250">
    <w:name w:val="样式 标题 3h33rd levelH3Level 3 Headsect1.2.3BOD 0l3CTHeadi..."/>
    <w:basedOn w:val="4"/>
    <w:qFormat/>
    <w:uiPriority w:val="0"/>
    <w:pPr>
      <w:tabs>
        <w:tab w:val="left" w:pos="420"/>
        <w:tab w:val="clear" w:pos="778"/>
      </w:tabs>
      <w:spacing w:before="200" w:beforeLines="0"/>
      <w:ind w:left="420" w:hanging="420"/>
    </w:pPr>
    <w:rPr>
      <w:rFonts w:ascii="宋体" w:eastAsia="楷体_GB2312"/>
    </w:rPr>
  </w:style>
  <w:style w:type="paragraph" w:customStyle="1" w:styleId="251">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2">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3">
    <w:name w:val="Char"/>
    <w:basedOn w:val="25"/>
    <w:link w:val="537"/>
    <w:qFormat/>
    <w:uiPriority w:val="0"/>
    <w:rPr>
      <w:rFonts w:ascii="宋体"/>
      <w:color w:val="FF0000"/>
      <w:kern w:val="0"/>
    </w:rPr>
  </w:style>
  <w:style w:type="paragraph" w:customStyle="1" w:styleId="254">
    <w:name w:val="p0"/>
    <w:basedOn w:val="1"/>
    <w:qFormat/>
    <w:uiPriority w:val="99"/>
    <w:pPr>
      <w:widowControl/>
      <w:spacing w:before="100" w:beforeAutospacing="1" w:after="100" w:afterAutospacing="1"/>
      <w:jc w:val="left"/>
    </w:pPr>
    <w:rPr>
      <w:rFonts w:ascii="宋体" w:hAnsi="宋体"/>
      <w:kern w:val="0"/>
    </w:rPr>
  </w:style>
  <w:style w:type="paragraph" w:customStyle="1" w:styleId="255">
    <w:name w:val="xl97"/>
    <w:basedOn w:val="1"/>
    <w:qFormat/>
    <w:uiPriority w:val="0"/>
    <w:pPr>
      <w:widowControl/>
      <w:spacing w:before="100" w:beforeAutospacing="1" w:after="100" w:afterAutospacing="1"/>
      <w:jc w:val="left"/>
    </w:pPr>
    <w:rPr>
      <w:rFonts w:ascii="幼圆" w:hAnsi="宋体" w:eastAsia="幼圆" w:cs="宋体"/>
      <w:kern w:val="0"/>
      <w:szCs w:val="24"/>
    </w:rPr>
  </w:style>
  <w:style w:type="paragraph" w:customStyle="1" w:styleId="256">
    <w:name w:val="xl72"/>
    <w:basedOn w:val="1"/>
    <w:qFormat/>
    <w:uiPriority w:val="0"/>
    <w:pPr>
      <w:widowControl/>
      <w:spacing w:before="100" w:beforeAutospacing="1" w:after="100" w:afterAutospacing="1"/>
      <w:jc w:val="center"/>
    </w:pPr>
    <w:rPr>
      <w:rFonts w:ascii="Arial" w:hAnsi="Arial" w:cs="Arial"/>
      <w:color w:val="000000"/>
      <w:kern w:val="0"/>
      <w:szCs w:val="24"/>
    </w:rPr>
  </w:style>
  <w:style w:type="paragraph" w:customStyle="1" w:styleId="257">
    <w:name w:val="indent"/>
    <w:basedOn w:val="1"/>
    <w:qFormat/>
    <w:uiPriority w:val="0"/>
    <w:pPr>
      <w:widowControl/>
      <w:spacing w:before="100" w:beforeAutospacing="1" w:after="10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8">
    <w:name w:val="文档结构图1"/>
    <w:basedOn w:val="1"/>
    <w:next w:val="1"/>
    <w:qFormat/>
    <w:uiPriority w:val="0"/>
    <w:pPr>
      <w:widowControl/>
      <w:shd w:val="clear" w:color="auto" w:fill="000080"/>
    </w:pPr>
    <w:rPr>
      <w:color w:val="000000"/>
      <w:sz w:val="21"/>
    </w:rPr>
  </w:style>
  <w:style w:type="paragraph" w:customStyle="1" w:styleId="25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260">
    <w:name w:val="纯文本2"/>
    <w:basedOn w:val="1"/>
    <w:next w:val="1"/>
    <w:qFormat/>
    <w:uiPriority w:val="0"/>
    <w:rPr>
      <w:rFonts w:ascii="宋体"/>
      <w:color w:val="000000"/>
      <w:sz w:val="21"/>
    </w:rPr>
  </w:style>
  <w:style w:type="paragraph" w:customStyle="1" w:styleId="26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2">
    <w:name w:val="font11"/>
    <w:basedOn w:val="1"/>
    <w:qFormat/>
    <w:uiPriority w:val="0"/>
    <w:pPr>
      <w:widowControl/>
      <w:spacing w:before="100" w:beforeAutospacing="1" w:after="100" w:afterAutospacing="1"/>
      <w:jc w:val="left"/>
    </w:pPr>
    <w:rPr>
      <w:kern w:val="0"/>
      <w:sz w:val="20"/>
    </w:rPr>
  </w:style>
  <w:style w:type="paragraph" w:customStyle="1" w:styleId="263">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5">
    <w:name w:val="正文 + 12 磅"/>
    <w:basedOn w:val="19"/>
    <w:qFormat/>
    <w:uiPriority w:val="0"/>
    <w:pPr>
      <w:spacing w:line="360" w:lineRule="auto"/>
      <w:ind w:firstLine="560"/>
    </w:pPr>
    <w:rPr>
      <w:rFonts w:ascii="宋体" w:hAnsi="宋体"/>
      <w:sz w:val="24"/>
    </w:rPr>
  </w:style>
  <w:style w:type="paragraph" w:customStyle="1" w:styleId="266">
    <w:name w:val="缺省文本"/>
    <w:basedOn w:val="1"/>
    <w:qFormat/>
    <w:uiPriority w:val="0"/>
    <w:pPr>
      <w:autoSpaceDE w:val="0"/>
      <w:autoSpaceDN w:val="0"/>
      <w:adjustRightInd w:val="0"/>
      <w:jc w:val="left"/>
    </w:pPr>
    <w:rPr>
      <w:kern w:val="0"/>
    </w:rPr>
  </w:style>
  <w:style w:type="paragraph" w:customStyle="1" w:styleId="267">
    <w:name w:val="font2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68">
    <w:name w:val="样式10"/>
    <w:basedOn w:val="1"/>
    <w:qFormat/>
    <w:uiPriority w:val="0"/>
    <w:pPr>
      <w:tabs>
        <w:tab w:val="left" w:pos="987"/>
      </w:tabs>
      <w:ind w:left="987" w:firstLine="199"/>
    </w:pPr>
    <w:rPr>
      <w:b/>
      <w:sz w:val="21"/>
    </w:rPr>
  </w:style>
  <w:style w:type="paragraph" w:customStyle="1" w:styleId="269">
    <w:name w:val="Char Char Char"/>
    <w:basedOn w:val="1"/>
    <w:qFormat/>
    <w:uiPriority w:val="0"/>
    <w:rPr>
      <w:rFonts w:ascii="Tahoma" w:hAnsi="Tahoma"/>
    </w:rPr>
  </w:style>
  <w:style w:type="paragraph" w:customStyle="1" w:styleId="270">
    <w:name w:val="xl94"/>
    <w:basedOn w:val="1"/>
    <w:qFormat/>
    <w:uiPriority w:val="0"/>
    <w:pPr>
      <w:widowControl/>
      <w:spacing w:before="100" w:beforeAutospacing="1" w:after="100" w:afterAutospacing="1"/>
      <w:jc w:val="left"/>
    </w:pPr>
    <w:rPr>
      <w:rFonts w:ascii="幼圆" w:hAnsi="宋体" w:eastAsia="幼圆" w:cs="宋体"/>
      <w:kern w:val="0"/>
      <w:szCs w:val="24"/>
    </w:rPr>
  </w:style>
  <w:style w:type="paragraph" w:customStyle="1" w:styleId="271">
    <w:name w:val="xl98"/>
    <w:basedOn w:val="1"/>
    <w:qFormat/>
    <w:uiPriority w:val="0"/>
    <w:pPr>
      <w:widowControl/>
      <w:spacing w:before="100" w:beforeAutospacing="1" w:after="100" w:afterAutospacing="1"/>
      <w:jc w:val="center"/>
    </w:pPr>
    <w:rPr>
      <w:rFonts w:ascii="幼圆" w:hAnsi="宋体" w:eastAsia="幼圆" w:cs="宋体"/>
      <w:kern w:val="0"/>
      <w:szCs w:val="24"/>
    </w:rPr>
  </w:style>
  <w:style w:type="paragraph" w:customStyle="1" w:styleId="272">
    <w:name w:val="My正文"/>
    <w:basedOn w:val="1"/>
    <w:qFormat/>
    <w:uiPriority w:val="0"/>
    <w:pPr>
      <w:adjustRightInd w:val="0"/>
      <w:spacing w:before="120" w:line="360" w:lineRule="auto"/>
      <w:ind w:firstLine="567"/>
    </w:pPr>
    <w:rPr>
      <w:rFonts w:ascii="Arial" w:hAnsi="Arial"/>
      <w:kern w:val="0"/>
    </w:rPr>
  </w:style>
  <w:style w:type="paragraph" w:customStyle="1" w:styleId="273">
    <w:name w:val="样式 标题 2 + 段前: 1 行 段后: 1 行"/>
    <w:basedOn w:val="3"/>
    <w:qFormat/>
    <w:uiPriority w:val="0"/>
    <w:pPr>
      <w:tabs>
        <w:tab w:val="left" w:pos="840"/>
        <w:tab w:val="clear" w:pos="358"/>
      </w:tabs>
      <w:spacing w:before="312" w:beforeLines="100" w:after="312" w:afterLines="100"/>
      <w:ind w:left="840"/>
    </w:pPr>
    <w:rPr>
      <w:rFonts w:ascii="Arial" w:hAnsi="Arial" w:eastAsia="黑体"/>
      <w:spacing w:val="10"/>
      <w:sz w:val="30"/>
    </w:rPr>
  </w:style>
  <w:style w:type="paragraph" w:customStyle="1" w:styleId="274">
    <w:name w:val="表格文字"/>
    <w:basedOn w:val="1"/>
    <w:next w:val="32"/>
    <w:qFormat/>
    <w:uiPriority w:val="0"/>
    <w:rPr>
      <w:rFonts w:ascii="Arial" w:hAnsi="Arial"/>
      <w:szCs w:val="21"/>
    </w:rPr>
  </w:style>
  <w:style w:type="paragraph" w:customStyle="1" w:styleId="275">
    <w:name w:val="font8"/>
    <w:basedOn w:val="1"/>
    <w:qFormat/>
    <w:uiPriority w:val="0"/>
    <w:pPr>
      <w:widowControl/>
      <w:adjustRightInd w:val="0"/>
      <w:spacing w:before="100" w:after="100"/>
      <w:jc w:val="left"/>
      <w:textAlignment w:val="baseline"/>
    </w:pPr>
    <w:rPr>
      <w:rFonts w:ascii="宋体" w:hAnsi="宋体"/>
      <w:b/>
      <w:color w:val="000000"/>
      <w:kern w:val="0"/>
      <w:sz w:val="20"/>
    </w:rPr>
  </w:style>
  <w:style w:type="paragraph" w:customStyle="1" w:styleId="276">
    <w:name w:val="正文文字4"/>
    <w:basedOn w:val="1"/>
    <w:qFormat/>
    <w:uiPriority w:val="0"/>
    <w:pPr>
      <w:spacing w:before="60" w:after="60" w:line="500" w:lineRule="exact"/>
      <w:ind w:left="1436" w:firstLine="592"/>
    </w:pPr>
    <w:rPr>
      <w:sz w:val="28"/>
    </w:rPr>
  </w:style>
  <w:style w:type="paragraph" w:customStyle="1" w:styleId="27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8">
    <w:name w:val="Char1"/>
    <w:basedOn w:val="1"/>
    <w:qFormat/>
    <w:uiPriority w:val="0"/>
    <w:rPr>
      <w:rFonts w:ascii="仿宋_GB2312" w:eastAsia="仿宋_GB2312"/>
      <w:b/>
      <w:sz w:val="32"/>
      <w:szCs w:val="32"/>
    </w:rPr>
  </w:style>
  <w:style w:type="paragraph" w:customStyle="1" w:styleId="279">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默认段落字体 Para Char Char Char Char Char Char Char"/>
    <w:basedOn w:val="1"/>
    <w:qFormat/>
    <w:uiPriority w:val="0"/>
    <w:rPr>
      <w:rFonts w:ascii="Tahoma" w:hAnsi="Tahoma"/>
      <w:b/>
    </w:rPr>
  </w:style>
  <w:style w:type="paragraph" w:customStyle="1" w:styleId="281">
    <w:name w:val="序号正文"/>
    <w:basedOn w:val="1"/>
    <w:qFormat/>
    <w:uiPriority w:val="0"/>
    <w:pPr>
      <w:numPr>
        <w:ilvl w:val="0"/>
        <w:numId w:val="8"/>
      </w:numPr>
      <w:spacing w:line="300" w:lineRule="auto"/>
    </w:pPr>
    <w:rPr>
      <w:rFonts w:ascii="宋体" w:hAnsi="宋体"/>
    </w:rPr>
  </w:style>
  <w:style w:type="paragraph" w:customStyle="1" w:styleId="282">
    <w:name w:val="My标题4"/>
    <w:basedOn w:val="4"/>
    <w:next w:val="1"/>
    <w:qFormat/>
    <w:uiPriority w:val="0"/>
    <w:pPr>
      <w:tabs>
        <w:tab w:val="left" w:pos="425"/>
        <w:tab w:val="clear" w:pos="778"/>
      </w:tabs>
      <w:spacing w:before="260" w:beforeLines="0" w:after="260" w:line="413" w:lineRule="auto"/>
      <w:ind w:left="425" w:hanging="425"/>
    </w:pPr>
    <w:rPr>
      <w:rFonts w:ascii="Times New Roman" w:hAnsi="Times New Roman"/>
      <w:b w:val="0"/>
    </w:rPr>
  </w:style>
  <w:style w:type="paragraph" w:customStyle="1" w:styleId="283">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4">
    <w:name w:val="_Style 3"/>
    <w:basedOn w:val="1"/>
    <w:qFormat/>
    <w:uiPriority w:val="0"/>
    <w:pPr>
      <w:spacing w:line="360" w:lineRule="auto"/>
      <w:ind w:firstLine="420" w:firstLineChars="200"/>
    </w:pPr>
    <w:rPr>
      <w:szCs w:val="24"/>
    </w:rPr>
  </w:style>
  <w:style w:type="paragraph" w:customStyle="1" w:styleId="285">
    <w:name w:val="Char Char Char Char Char"/>
    <w:basedOn w:val="1"/>
    <w:qFormat/>
    <w:uiPriority w:val="0"/>
    <w:pPr>
      <w:tabs>
        <w:tab w:val="left" w:pos="980"/>
      </w:tabs>
      <w:ind w:left="980" w:hanging="420"/>
    </w:pPr>
    <w:rPr>
      <w:rFonts w:ascii="Tahoma" w:hAnsi="Tahoma"/>
    </w:rPr>
  </w:style>
  <w:style w:type="paragraph" w:customStyle="1" w:styleId="286">
    <w:name w:val="PP 行"/>
    <w:basedOn w:val="54"/>
    <w:qFormat/>
    <w:uiPriority w:val="0"/>
  </w:style>
  <w:style w:type="paragraph" w:customStyle="1" w:styleId="28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8">
    <w:name w:val="My标题3"/>
    <w:basedOn w:val="4"/>
    <w:next w:val="1"/>
    <w:qFormat/>
    <w:uiPriority w:val="0"/>
    <w:pPr>
      <w:tabs>
        <w:tab w:val="left" w:pos="1080"/>
        <w:tab w:val="clear" w:pos="778"/>
      </w:tabs>
      <w:spacing w:before="260" w:beforeLines="0" w:after="260" w:line="413" w:lineRule="auto"/>
      <w:ind w:left="709" w:hanging="709"/>
    </w:pPr>
    <w:rPr>
      <w:rFonts w:hAnsi="Arial"/>
      <w:b w:val="0"/>
    </w:rPr>
  </w:style>
  <w:style w:type="paragraph" w:customStyle="1" w:styleId="289">
    <w:name w:val="正文21"/>
    <w:basedOn w:val="1"/>
    <w:link w:val="455"/>
    <w:qFormat/>
    <w:uiPriority w:val="99"/>
    <w:pPr>
      <w:spacing w:before="60" w:after="60" w:line="360" w:lineRule="auto"/>
      <w:outlineLvl w:val="7"/>
    </w:pPr>
  </w:style>
  <w:style w:type="paragraph" w:customStyle="1" w:styleId="290">
    <w:name w:val="正文缩进 2"/>
    <w:basedOn w:val="1"/>
    <w:qFormat/>
    <w:uiPriority w:val="0"/>
    <w:pPr>
      <w:adjustRightInd w:val="0"/>
      <w:spacing w:line="400" w:lineRule="atLeast"/>
      <w:ind w:left="400" w:leftChars="400" w:firstLine="454"/>
      <w:textAlignment w:val="baseline"/>
    </w:pPr>
    <w:rPr>
      <w:kern w:val="0"/>
    </w:rPr>
  </w:style>
  <w:style w:type="paragraph" w:customStyle="1" w:styleId="291">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2">
    <w:name w:val="character"/>
    <w:basedOn w:val="1"/>
    <w:qFormat/>
    <w:uiPriority w:val="0"/>
    <w:pPr>
      <w:ind w:firstLine="480" w:firstLineChars="200"/>
    </w:pPr>
    <w:rPr>
      <w:rFonts w:ascii="Arial" w:hAnsi="Arial"/>
      <w:szCs w:val="21"/>
    </w:rPr>
  </w:style>
  <w:style w:type="paragraph" w:customStyle="1" w:styleId="293">
    <w:name w:val="font26"/>
    <w:basedOn w:val="1"/>
    <w:qFormat/>
    <w:uiPriority w:val="0"/>
    <w:pPr>
      <w:widowControl/>
      <w:spacing w:before="100" w:beforeAutospacing="1" w:after="100" w:afterAutospacing="1"/>
      <w:jc w:val="left"/>
    </w:pPr>
    <w:rPr>
      <w:rFonts w:ascii="Courier New" w:hAnsi="Courier New" w:cs="Courier New"/>
      <w:kern w:val="0"/>
      <w:szCs w:val="24"/>
    </w:rPr>
  </w:style>
  <w:style w:type="paragraph" w:customStyle="1" w:styleId="294">
    <w:name w:val="样式 宋体"/>
    <w:basedOn w:val="1"/>
    <w:next w:val="1"/>
    <w:qFormat/>
    <w:uiPriority w:val="0"/>
    <w:pPr>
      <w:widowControl/>
    </w:pPr>
    <w:rPr>
      <w:rFonts w:ascii="宋体"/>
      <w:color w:val="000000"/>
    </w:rPr>
  </w:style>
  <w:style w:type="paragraph" w:customStyle="1" w:styleId="29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9">
    <w:name w:val="Char3"/>
    <w:basedOn w:val="25"/>
    <w:qFormat/>
    <w:uiPriority w:val="0"/>
    <w:rPr>
      <w:rFonts w:ascii="Tahoma" w:hAnsi="Tahoma"/>
    </w:rPr>
  </w:style>
  <w:style w:type="paragraph" w:customStyle="1" w:styleId="300">
    <w:name w:val="系统标题"/>
    <w:basedOn w:val="1"/>
    <w:qFormat/>
    <w:uiPriority w:val="0"/>
    <w:pPr>
      <w:tabs>
        <w:tab w:val="left" w:pos="780"/>
      </w:tabs>
      <w:ind w:left="780" w:hanging="360"/>
    </w:pPr>
    <w:rPr>
      <w:sz w:val="21"/>
      <w:szCs w:val="24"/>
    </w:rPr>
  </w:style>
  <w:style w:type="paragraph" w:customStyle="1" w:styleId="301">
    <w:name w:val="注"/>
    <w:basedOn w:val="1"/>
    <w:qFormat/>
    <w:uiPriority w:val="0"/>
    <w:pPr>
      <w:adjustRightInd w:val="0"/>
      <w:spacing w:line="360" w:lineRule="atLeast"/>
      <w:ind w:left="840" w:hanging="420"/>
      <w:textAlignment w:val="baseline"/>
    </w:pPr>
    <w:rPr>
      <w:kern w:val="0"/>
      <w:sz w:val="21"/>
    </w:rPr>
  </w:style>
  <w:style w:type="paragraph" w:customStyle="1" w:styleId="302">
    <w:name w:val="wtext"/>
    <w:basedOn w:val="1"/>
    <w:qFormat/>
    <w:uiPriority w:val="0"/>
    <w:pPr>
      <w:widowControl/>
      <w:spacing w:before="100" w:beforeAutospacing="1" w:after="100" w:afterAutospacing="1"/>
      <w:jc w:val="left"/>
    </w:pPr>
    <w:rPr>
      <w:rFonts w:ascii="宋体" w:hAnsi="宋体"/>
      <w:kern w:val="0"/>
    </w:rPr>
  </w:style>
  <w:style w:type="paragraph" w:customStyle="1" w:styleId="303">
    <w:name w:val="font1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04">
    <w:name w:val="heading"/>
    <w:basedOn w:val="1"/>
    <w:next w:val="1"/>
    <w:qFormat/>
    <w:uiPriority w:val="0"/>
    <w:pPr>
      <w:keepNext/>
      <w:keepLines/>
      <w:spacing w:before="260" w:after="260" w:line="413" w:lineRule="auto"/>
    </w:pPr>
    <w:rPr>
      <w:rFonts w:ascii="Arial" w:hAnsi="Arial" w:eastAsia="黑体"/>
      <w:b/>
      <w:sz w:val="32"/>
    </w:rPr>
  </w:style>
  <w:style w:type="paragraph" w:customStyle="1" w:styleId="305">
    <w:name w:val="正文文本缩进 31"/>
    <w:basedOn w:val="1"/>
    <w:next w:val="1"/>
    <w:qFormat/>
    <w:uiPriority w:val="0"/>
    <w:pPr>
      <w:widowControl/>
      <w:spacing w:line="360" w:lineRule="auto"/>
      <w:ind w:firstLine="420"/>
    </w:pPr>
    <w:rPr>
      <w:rFonts w:ascii="宋体"/>
      <w:color w:val="000000"/>
    </w:rPr>
  </w:style>
  <w:style w:type="paragraph" w:customStyle="1" w:styleId="306">
    <w:name w:val="样式 左 首行缩进:  0.74 厘米 段前: 5 磅 段后: 5 磅 行距: 1.5 倍行距"/>
    <w:basedOn w:val="1"/>
    <w:qFormat/>
    <w:uiPriority w:val="0"/>
    <w:pPr>
      <w:spacing w:before="100" w:after="100" w:line="360" w:lineRule="auto"/>
      <w:ind w:firstLine="420"/>
      <w:jc w:val="left"/>
    </w:pPr>
  </w:style>
  <w:style w:type="paragraph" w:customStyle="1" w:styleId="307">
    <w:name w:val="Char Char1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08">
    <w:name w:val="排列"/>
    <w:basedOn w:val="1"/>
    <w:qFormat/>
    <w:uiPriority w:val="0"/>
    <w:pPr>
      <w:jc w:val="center"/>
    </w:pPr>
    <w:rPr>
      <w:rFonts w:ascii="楷体_GB2312" w:hAnsi="Courier New" w:eastAsia="楷体_GB2312"/>
      <w:sz w:val="21"/>
    </w:rPr>
  </w:style>
  <w:style w:type="paragraph" w:customStyle="1" w:styleId="309">
    <w:name w:val="样式 标题 1H1 + 三号"/>
    <w:basedOn w:val="2"/>
    <w:qFormat/>
    <w:uiPriority w:val="0"/>
    <w:pPr>
      <w:keepNext/>
      <w:keepLines/>
      <w:widowControl w:val="0"/>
      <w:tabs>
        <w:tab w:val="left" w:pos="425"/>
        <w:tab w:val="clear" w:pos="478"/>
      </w:tabs>
      <w:autoSpaceDE/>
      <w:autoSpaceDN/>
      <w:spacing w:before="340" w:after="330" w:line="576" w:lineRule="auto"/>
      <w:ind w:left="425" w:hanging="425"/>
      <w:jc w:val="both"/>
    </w:pPr>
    <w:rPr>
      <w:rFonts w:ascii="Times New Roman"/>
      <w:b/>
      <w:color w:val="auto"/>
      <w:kern w:val="44"/>
      <w:sz w:val="32"/>
    </w:rPr>
  </w:style>
  <w:style w:type="paragraph" w:customStyle="1" w:styleId="310">
    <w:name w:val="默认段落字体1 Char Char"/>
    <w:basedOn w:val="1"/>
    <w:qFormat/>
    <w:uiPriority w:val="0"/>
    <w:rPr>
      <w:rFonts w:ascii="仿宋_GB2312" w:eastAsia="仿宋_GB2312"/>
      <w:b/>
      <w:sz w:val="32"/>
      <w:szCs w:val="32"/>
    </w:rPr>
  </w:style>
  <w:style w:type="paragraph" w:customStyle="1" w:styleId="311">
    <w:name w:val="font25"/>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312">
    <w:name w:val="Char11"/>
    <w:basedOn w:val="1"/>
    <w:qFormat/>
    <w:uiPriority w:val="0"/>
    <w:rPr>
      <w:rFonts w:ascii="仿宋_GB2312" w:eastAsia="仿宋_GB2312"/>
      <w:b/>
      <w:sz w:val="32"/>
    </w:rPr>
  </w:style>
  <w:style w:type="paragraph" w:customStyle="1" w:styleId="313">
    <w:name w:val="font2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14">
    <w:name w:val="font10"/>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6">
    <w:name w:val="font9"/>
    <w:basedOn w:val="1"/>
    <w:qFormat/>
    <w:uiPriority w:val="0"/>
    <w:pPr>
      <w:widowControl/>
      <w:adjustRightInd w:val="0"/>
      <w:spacing w:before="100" w:after="100"/>
      <w:jc w:val="left"/>
      <w:textAlignment w:val="baseline"/>
    </w:pPr>
    <w:rPr>
      <w:rFonts w:ascii="宋体" w:hAnsi="宋体"/>
      <w:kern w:val="0"/>
      <w:sz w:val="18"/>
    </w:rPr>
  </w:style>
  <w:style w:type="paragraph" w:customStyle="1" w:styleId="317">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8">
    <w:name w:val="正文编号4"/>
    <w:basedOn w:val="1"/>
    <w:qFormat/>
    <w:uiPriority w:val="0"/>
    <w:pPr>
      <w:spacing w:before="60" w:after="60" w:line="500" w:lineRule="exact"/>
      <w:ind w:left="1404" w:hanging="432"/>
    </w:pPr>
    <w:rPr>
      <w:sz w:val="28"/>
    </w:rPr>
  </w:style>
  <w:style w:type="paragraph" w:customStyle="1" w:styleId="319">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color w:val="000000"/>
      <w:kern w:val="0"/>
      <w:sz w:val="21"/>
    </w:rPr>
  </w:style>
  <w:style w:type="paragraph" w:customStyle="1" w:styleId="320">
    <w:name w:val="正文样式"/>
    <w:basedOn w:val="1"/>
    <w:link w:val="542"/>
    <w:qFormat/>
    <w:uiPriority w:val="0"/>
    <w:pPr>
      <w:spacing w:line="360" w:lineRule="auto"/>
      <w:ind w:firstLine="200" w:firstLineChars="200"/>
    </w:pPr>
    <w:rPr>
      <w:rFonts w:cs="宋体"/>
      <w:sz w:val="21"/>
    </w:rPr>
  </w:style>
  <w:style w:type="paragraph" w:customStyle="1" w:styleId="321">
    <w:name w:val="正文文字1"/>
    <w:basedOn w:val="32"/>
    <w:qFormat/>
    <w:uiPriority w:val="0"/>
    <w:pPr>
      <w:autoSpaceDE/>
      <w:autoSpaceDN/>
      <w:spacing w:line="360" w:lineRule="atLeast"/>
      <w:ind w:left="72" w:right="72"/>
      <w:jc w:val="both"/>
      <w:textAlignment w:val="baseline"/>
    </w:pPr>
    <w:rPr>
      <w:rFonts w:ascii="Times New Roman"/>
      <w:color w:val="auto"/>
      <w:sz w:val="21"/>
    </w:rPr>
  </w:style>
  <w:style w:type="paragraph" w:customStyle="1" w:styleId="322">
    <w:name w:val="功能列表"/>
    <w:basedOn w:val="1"/>
    <w:qFormat/>
    <w:uiPriority w:val="0"/>
    <w:pPr>
      <w:tabs>
        <w:tab w:val="left" w:pos="720"/>
        <w:tab w:val="left" w:pos="900"/>
      </w:tabs>
      <w:spacing w:line="360" w:lineRule="auto"/>
      <w:ind w:left="900" w:hanging="420"/>
    </w:pPr>
  </w:style>
  <w:style w:type="paragraph" w:customStyle="1" w:styleId="323">
    <w:name w:val="xl107"/>
    <w:basedOn w:val="1"/>
    <w:qFormat/>
    <w:uiPriority w:val="0"/>
    <w:pPr>
      <w:widowControl/>
      <w:spacing w:before="100" w:beforeAutospacing="1" w:after="100" w:afterAutospacing="1"/>
      <w:jc w:val="left"/>
    </w:pPr>
    <w:rPr>
      <w:rFonts w:ascii="幼圆" w:hAnsi="宋体" w:eastAsia="幼圆" w:cs="宋体"/>
      <w:color w:val="000000"/>
      <w:kern w:val="0"/>
      <w:szCs w:val="24"/>
    </w:rPr>
  </w:style>
  <w:style w:type="paragraph" w:customStyle="1" w:styleId="324">
    <w:name w:val="标题 8 +"/>
    <w:basedOn w:val="9"/>
    <w:qFormat/>
    <w:uiPriority w:val="0"/>
    <w:rPr>
      <w:kern w:val="0"/>
    </w:rPr>
  </w:style>
  <w:style w:type="paragraph" w:customStyle="1" w:styleId="325">
    <w:name w:val="xl96"/>
    <w:basedOn w:val="1"/>
    <w:qFormat/>
    <w:uiPriority w:val="0"/>
    <w:pPr>
      <w:widowControl/>
      <w:spacing w:before="100" w:beforeAutospacing="1" w:after="100" w:afterAutospacing="1"/>
      <w:jc w:val="center"/>
      <w:textAlignment w:val="bottom"/>
    </w:pPr>
    <w:rPr>
      <w:rFonts w:ascii="幼圆" w:hAnsi="宋体" w:eastAsia="幼圆" w:cs="宋体"/>
      <w:kern w:val="0"/>
      <w:szCs w:val="24"/>
    </w:rPr>
  </w:style>
  <w:style w:type="paragraph" w:customStyle="1" w:styleId="326">
    <w:name w:val="样式4"/>
    <w:basedOn w:val="20"/>
    <w:qFormat/>
    <w:uiPriority w:val="0"/>
    <w:pPr>
      <w:snapToGrid w:val="0"/>
      <w:spacing w:before="0" w:after="0"/>
      <w:ind w:firstLine="539"/>
    </w:pPr>
    <w:rPr>
      <w:rFonts w:ascii="Times New Roman"/>
    </w:rPr>
  </w:style>
  <w:style w:type="paragraph" w:customStyle="1" w:styleId="327">
    <w:name w:val="xl46"/>
    <w:basedOn w:val="1"/>
    <w:qFormat/>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328">
    <w:name w:val="font15"/>
    <w:basedOn w:val="1"/>
    <w:qFormat/>
    <w:uiPriority w:val="0"/>
    <w:pPr>
      <w:widowControl/>
      <w:spacing w:before="100" w:beforeAutospacing="1" w:after="100" w:afterAutospacing="1"/>
      <w:jc w:val="left"/>
    </w:pPr>
    <w:rPr>
      <w:rFonts w:ascii="华文细黑" w:hAnsi="华文细黑" w:eastAsia="华文细黑" w:cs="宋体"/>
      <w:b/>
      <w:bCs/>
      <w:color w:val="000000"/>
      <w:kern w:val="0"/>
      <w:szCs w:val="24"/>
    </w:rPr>
  </w:style>
  <w:style w:type="paragraph" w:customStyle="1" w:styleId="32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30">
    <w:name w:val="xl89"/>
    <w:basedOn w:val="1"/>
    <w:qFormat/>
    <w:uiPriority w:val="0"/>
    <w:pPr>
      <w:widowControl/>
      <w:spacing w:before="100" w:beforeAutospacing="1" w:after="100" w:afterAutospacing="1"/>
      <w:jc w:val="left"/>
    </w:pPr>
    <w:rPr>
      <w:rFonts w:ascii="幼圆" w:hAnsi="宋体" w:eastAsia="幼圆" w:cs="宋体"/>
      <w:color w:val="000000"/>
      <w:kern w:val="0"/>
      <w:szCs w:val="24"/>
    </w:rPr>
  </w:style>
  <w:style w:type="paragraph" w:customStyle="1" w:styleId="331">
    <w:name w:val="style1"/>
    <w:basedOn w:val="1"/>
    <w:qFormat/>
    <w:uiPriority w:val="0"/>
    <w:pPr>
      <w:widowControl/>
      <w:spacing w:before="100" w:beforeAutospacing="1" w:after="100" w:afterAutospacing="1" w:line="360" w:lineRule="auto"/>
      <w:ind w:firstLine="200" w:firstLineChars="200"/>
      <w:jc w:val="left"/>
    </w:pPr>
    <w:rPr>
      <w:rFonts w:ascii="宋体" w:hAnsi="宋体" w:cs="宋体"/>
      <w:color w:val="FFFFFF"/>
      <w:kern w:val="0"/>
      <w:sz w:val="28"/>
      <w:szCs w:val="24"/>
    </w:rPr>
  </w:style>
  <w:style w:type="paragraph" w:customStyle="1" w:styleId="332">
    <w:name w:val="样式 标题 2 + 段前: 自动 段后: 自动 行距: 1.5 倍行距"/>
    <w:basedOn w:val="3"/>
    <w:qFormat/>
    <w:uiPriority w:val="0"/>
    <w:pPr>
      <w:tabs>
        <w:tab w:val="left" w:pos="567"/>
        <w:tab w:val="clear" w:pos="358"/>
      </w:tabs>
      <w:adjustRightInd w:val="0"/>
      <w:spacing w:before="100" w:beforeAutospacing="1" w:after="100" w:afterAutospacing="1"/>
      <w:ind w:left="567" w:hanging="567"/>
      <w:jc w:val="left"/>
      <w:textAlignment w:val="baseline"/>
    </w:pPr>
    <w:rPr>
      <w:rFonts w:ascii="Arial" w:hAnsi="Arial"/>
      <w:b w:val="0"/>
      <w:kern w:val="0"/>
      <w:sz w:val="30"/>
    </w:rPr>
  </w:style>
  <w:style w:type="paragraph" w:customStyle="1" w:styleId="333">
    <w:name w:val="无列表1"/>
    <w:basedOn w:val="1"/>
    <w:next w:val="1"/>
    <w:qFormat/>
    <w:uiPriority w:val="0"/>
    <w:pPr>
      <w:widowControl/>
      <w:jc w:val="left"/>
    </w:pPr>
    <w:rPr>
      <w:color w:val="000000"/>
      <w:kern w:val="0"/>
    </w:rPr>
  </w:style>
  <w:style w:type="paragraph" w:customStyle="1" w:styleId="334">
    <w:name w:val="xl82"/>
    <w:basedOn w:val="1"/>
    <w:qFormat/>
    <w:uiPriority w:val="0"/>
    <w:pPr>
      <w:widowControl/>
      <w:shd w:val="clear" w:color="auto" w:fill="CCFFCC"/>
      <w:spacing w:before="100" w:beforeAutospacing="1" w:after="100" w:afterAutospacing="1"/>
      <w:jc w:val="center"/>
    </w:pPr>
    <w:rPr>
      <w:rFonts w:ascii="Arial" w:hAnsi="Arial" w:cs="Arial"/>
      <w:color w:val="000000"/>
      <w:kern w:val="0"/>
      <w:szCs w:val="24"/>
    </w:rPr>
  </w:style>
  <w:style w:type="paragraph" w:customStyle="1" w:styleId="335">
    <w:name w:val="Char Char1 Char Char Char Char Char Char Char Char"/>
    <w:basedOn w:val="1"/>
    <w:qFormat/>
    <w:uiPriority w:val="0"/>
    <w:pPr>
      <w:widowControl/>
      <w:spacing w:after="160" w:line="240" w:lineRule="exact"/>
      <w:jc w:val="left"/>
    </w:pPr>
    <w:rPr>
      <w:sz w:val="21"/>
      <w:szCs w:val="24"/>
    </w:rPr>
  </w:style>
  <w:style w:type="paragraph" w:customStyle="1" w:styleId="336">
    <w:name w:val="标题5"/>
    <w:basedOn w:val="5"/>
    <w:next w:val="1"/>
    <w:qFormat/>
    <w:uiPriority w:val="0"/>
    <w:pPr>
      <w:keepLines w:val="0"/>
      <w:tabs>
        <w:tab w:val="clear" w:pos="1198"/>
      </w:tabs>
      <w:spacing w:before="312" w:beforeLines="100"/>
      <w:ind w:left="0" w:firstLine="0"/>
    </w:pPr>
    <w:rPr>
      <w:rFonts w:ascii="宋体" w:hAnsi="宋体"/>
      <w:bCs/>
      <w:sz w:val="24"/>
      <w:szCs w:val="24"/>
    </w:rPr>
  </w:style>
  <w:style w:type="paragraph" w:customStyle="1" w:styleId="337">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PlainText"/>
    <w:basedOn w:val="1"/>
    <w:next w:val="1"/>
    <w:qFormat/>
    <w:uiPriority w:val="0"/>
    <w:rPr>
      <w:rFonts w:ascii="宋体" w:hAnsi="Courier New"/>
      <w:sz w:val="21"/>
    </w:rPr>
  </w:style>
  <w:style w:type="paragraph" w:customStyle="1" w:styleId="339">
    <w:name w:val="My标题1"/>
    <w:basedOn w:val="2"/>
    <w:next w:val="1"/>
    <w:qFormat/>
    <w:uiPriority w:val="0"/>
    <w:pPr>
      <w:keepNext/>
      <w:keepLines/>
      <w:pageBreakBefore w:val="0"/>
      <w:widowControl w:val="0"/>
      <w:tabs>
        <w:tab w:val="left" w:pos="425"/>
        <w:tab w:val="clear" w:pos="478"/>
      </w:tabs>
      <w:autoSpaceDE/>
      <w:autoSpaceDN/>
      <w:adjustRightInd w:val="0"/>
      <w:spacing w:before="120" w:after="360" w:line="360" w:lineRule="auto"/>
      <w:ind w:left="425" w:hanging="425"/>
      <w:jc w:val="left"/>
      <w:textAlignment w:val="baseline"/>
    </w:pPr>
    <w:rPr>
      <w:rFonts w:ascii="Arial" w:hAnsi="Arial"/>
      <w:b/>
      <w:color w:val="auto"/>
      <w:kern w:val="44"/>
      <w:sz w:val="32"/>
    </w:rPr>
  </w:style>
  <w:style w:type="paragraph" w:customStyle="1" w:styleId="340">
    <w:name w:val="纯文本1"/>
    <w:basedOn w:val="141"/>
    <w:qFormat/>
    <w:uiPriority w:val="0"/>
    <w:pPr>
      <w:numPr>
        <w:ilvl w:val="0"/>
        <w:numId w:val="9"/>
      </w:numPr>
      <w:autoSpaceDE w:val="0"/>
      <w:autoSpaceDN w:val="0"/>
      <w:adjustRightInd w:val="0"/>
      <w:ind w:left="0" w:firstLine="0"/>
      <w:textAlignment w:val="baseline"/>
    </w:pPr>
    <w:rPr>
      <w:rFonts w:ascii="宋体" w:hAnsi="Tms Rmn"/>
      <w:kern w:val="0"/>
    </w:rPr>
  </w:style>
  <w:style w:type="paragraph" w:customStyle="1" w:styleId="341">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left"/>
      <w:textAlignment w:val="center"/>
    </w:pPr>
    <w:rPr>
      <w:rFonts w:ascii="Arial Unicode MS" w:hAnsi="Arial Unicode MS"/>
      <w:color w:val="000000"/>
      <w:kern w:val="0"/>
      <w:sz w:val="21"/>
    </w:rPr>
  </w:style>
  <w:style w:type="paragraph" w:customStyle="1" w:styleId="342">
    <w:name w:val="正文文本缩进1"/>
    <w:basedOn w:val="1"/>
    <w:next w:val="1"/>
    <w:qFormat/>
    <w:uiPriority w:val="0"/>
    <w:pPr>
      <w:widowControl/>
      <w:spacing w:after="120"/>
      <w:ind w:left="420"/>
    </w:pPr>
    <w:rPr>
      <w:color w:val="000000"/>
      <w:sz w:val="21"/>
    </w:rPr>
  </w:style>
  <w:style w:type="paragraph" w:customStyle="1" w:styleId="343">
    <w:name w:val="my标题5"/>
    <w:basedOn w:val="1"/>
    <w:qFormat/>
    <w:uiPriority w:val="0"/>
    <w:pPr>
      <w:tabs>
        <w:tab w:val="left" w:pos="992"/>
      </w:tabs>
      <w:ind w:left="992" w:hanging="992"/>
    </w:pPr>
  </w:style>
  <w:style w:type="paragraph" w:customStyle="1" w:styleId="344">
    <w:name w:val="无缩进正文"/>
    <w:basedOn w:val="1"/>
    <w:qFormat/>
    <w:uiPriority w:val="0"/>
    <w:pPr>
      <w:adjustRightInd w:val="0"/>
      <w:textAlignment w:val="baseline"/>
    </w:pPr>
    <w:rPr>
      <w:kern w:val="0"/>
      <w:sz w:val="21"/>
    </w:rPr>
  </w:style>
  <w:style w:type="paragraph" w:customStyle="1" w:styleId="345">
    <w:name w:val="xl84"/>
    <w:basedOn w:val="1"/>
    <w:qFormat/>
    <w:uiPriority w:val="0"/>
    <w:pPr>
      <w:widowControl/>
      <w:shd w:val="clear" w:color="auto" w:fill="C0C0C0"/>
      <w:spacing w:before="100" w:beforeAutospacing="1" w:after="100" w:afterAutospacing="1"/>
      <w:jc w:val="left"/>
    </w:pPr>
    <w:rPr>
      <w:rFonts w:ascii="华文细黑" w:hAnsi="华文细黑" w:eastAsia="华文细黑" w:cs="宋体"/>
      <w:b/>
      <w:bCs/>
      <w:color w:val="000000"/>
      <w:kern w:val="0"/>
      <w:szCs w:val="24"/>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8">
    <w:name w:val="正文文字3"/>
    <w:basedOn w:val="1"/>
    <w:qFormat/>
    <w:uiPriority w:val="0"/>
    <w:pPr>
      <w:spacing w:before="60" w:after="60" w:line="500" w:lineRule="exact"/>
      <w:ind w:left="1020" w:firstLine="592"/>
    </w:pPr>
    <w:rPr>
      <w:sz w:val="28"/>
    </w:rPr>
  </w:style>
  <w:style w:type="paragraph" w:customStyle="1" w:styleId="349">
    <w:name w:val="List Paragraph1"/>
    <w:basedOn w:val="1"/>
    <w:qFormat/>
    <w:uiPriority w:val="99"/>
    <w:pPr>
      <w:ind w:firstLine="420" w:firstLineChars="200"/>
    </w:pPr>
    <w:rPr>
      <w:szCs w:val="21"/>
    </w:rPr>
  </w:style>
  <w:style w:type="paragraph" w:customStyle="1" w:styleId="350">
    <w:name w:val="正文3"/>
    <w:basedOn w:val="1"/>
    <w:qFormat/>
    <w:uiPriority w:val="0"/>
    <w:pPr>
      <w:spacing w:before="60" w:after="60" w:line="360" w:lineRule="auto"/>
      <w:outlineLvl w:val="8"/>
    </w:pPr>
  </w:style>
  <w:style w:type="paragraph" w:customStyle="1" w:styleId="3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2">
    <w:name w:val="无列表2"/>
    <w:basedOn w:val="1"/>
    <w:next w:val="1"/>
    <w:qFormat/>
    <w:uiPriority w:val="0"/>
    <w:pPr>
      <w:jc w:val="left"/>
    </w:pPr>
    <w:rPr>
      <w:color w:val="000000"/>
      <w:kern w:val="0"/>
    </w:rPr>
  </w:style>
  <w:style w:type="paragraph" w:customStyle="1" w:styleId="353">
    <w:name w:val="正文文字缩进2"/>
    <w:basedOn w:val="32"/>
    <w:qFormat/>
    <w:uiPriority w:val="0"/>
    <w:pPr>
      <w:autoSpaceDE/>
      <w:autoSpaceDN/>
      <w:spacing w:before="100" w:beforeAutospacing="1" w:after="100" w:afterAutospacing="1" w:line="400" w:lineRule="atLeast"/>
      <w:ind w:left="400" w:leftChars="400"/>
      <w:jc w:val="both"/>
      <w:textAlignment w:val="baseline"/>
    </w:pPr>
    <w:rPr>
      <w:rFonts w:ascii="Times New Roman"/>
      <w:color w:val="auto"/>
    </w:rPr>
  </w:style>
  <w:style w:type="paragraph" w:customStyle="1" w:styleId="3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5">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6">
    <w:name w:val="xl39"/>
    <w:basedOn w:val="1"/>
    <w:qFormat/>
    <w:uiPriority w:val="0"/>
    <w:pPr>
      <w:widowControl/>
      <w:spacing w:before="100" w:beforeAutospacing="1" w:after="100" w:afterAutospacing="1"/>
      <w:jc w:val="center"/>
    </w:pPr>
    <w:rPr>
      <w:rFonts w:hint="eastAsia" w:ascii="宋体" w:hAnsi="宋体"/>
      <w:kern w:val="0"/>
    </w:rPr>
  </w:style>
  <w:style w:type="paragraph" w:customStyle="1" w:styleId="357">
    <w:name w:val="xl93"/>
    <w:basedOn w:val="1"/>
    <w:qFormat/>
    <w:uiPriority w:val="0"/>
    <w:pPr>
      <w:widowControl/>
      <w:shd w:val="clear" w:color="auto" w:fill="99CCFF"/>
      <w:spacing w:before="100" w:beforeAutospacing="1" w:after="100" w:afterAutospacing="1"/>
      <w:jc w:val="left"/>
    </w:pPr>
    <w:rPr>
      <w:rFonts w:ascii="宋体" w:hAnsi="宋体" w:cs="宋体"/>
      <w:b/>
      <w:bCs/>
      <w:color w:val="000000"/>
      <w:kern w:val="0"/>
      <w:szCs w:val="24"/>
    </w:rPr>
  </w:style>
  <w:style w:type="paragraph" w:customStyle="1" w:styleId="358">
    <w:name w:val="Char Char Char Char Char Char Char"/>
    <w:basedOn w:val="1"/>
    <w:qFormat/>
    <w:uiPriority w:val="0"/>
    <w:pPr>
      <w:widowControl/>
      <w:spacing w:after="160" w:line="240" w:lineRule="exact"/>
      <w:jc w:val="left"/>
    </w:pPr>
    <w:rPr>
      <w:rFonts w:ascii="Arial" w:hAnsi="Arial" w:eastAsia="Times New Roman"/>
      <w:b/>
      <w:kern w:val="0"/>
      <w:lang w:eastAsia="en-US"/>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60">
    <w:name w:val="样式 仿宋_GB2312 行距: 1.5 倍行距"/>
    <w:basedOn w:val="1"/>
    <w:qFormat/>
    <w:uiPriority w:val="0"/>
    <w:pPr>
      <w:spacing w:line="360" w:lineRule="auto"/>
      <w:ind w:firstLine="480" w:firstLineChars="200"/>
    </w:pPr>
    <w:rPr>
      <w:rFonts w:ascii="宋体" w:hAnsi="宋体"/>
    </w:rPr>
  </w:style>
  <w:style w:type="paragraph" w:customStyle="1" w:styleId="361">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2">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63">
    <w:name w:val="页码1"/>
    <w:basedOn w:val="1"/>
    <w:next w:val="1"/>
    <w:qFormat/>
    <w:uiPriority w:val="0"/>
    <w:pPr>
      <w:widowControl/>
    </w:pPr>
    <w:rPr>
      <w:color w:val="000000"/>
      <w:sz w:val="21"/>
    </w:rPr>
  </w:style>
  <w:style w:type="paragraph" w:customStyle="1" w:styleId="364">
    <w:name w:val="xl75"/>
    <w:basedOn w:val="1"/>
    <w:qFormat/>
    <w:uiPriority w:val="0"/>
    <w:pPr>
      <w:widowControl/>
      <w:spacing w:before="100" w:beforeAutospacing="1" w:after="100" w:afterAutospacing="1"/>
      <w:jc w:val="center"/>
    </w:pPr>
    <w:rPr>
      <w:rFonts w:ascii="幼圆" w:hAnsi="宋体" w:eastAsia="幼圆" w:cs="宋体"/>
      <w:b/>
      <w:bCs/>
      <w:color w:val="000000"/>
      <w:kern w:val="0"/>
      <w:szCs w:val="24"/>
    </w:rPr>
  </w:style>
  <w:style w:type="paragraph" w:customStyle="1" w:styleId="365">
    <w:name w:val="My标题2"/>
    <w:basedOn w:val="3"/>
    <w:next w:val="1"/>
    <w:qFormat/>
    <w:uiPriority w:val="0"/>
    <w:pPr>
      <w:tabs>
        <w:tab w:val="left" w:pos="720"/>
        <w:tab w:val="clear" w:pos="358"/>
      </w:tabs>
      <w:adjustRightInd w:val="0"/>
      <w:spacing w:before="360" w:after="120"/>
      <w:ind w:left="567" w:hanging="567"/>
      <w:jc w:val="left"/>
      <w:textAlignment w:val="baseline"/>
    </w:pPr>
    <w:rPr>
      <w:rFonts w:ascii="Arial" w:hAnsi="Arial"/>
      <w:kern w:val="0"/>
      <w:sz w:val="24"/>
    </w:rPr>
  </w:style>
  <w:style w:type="paragraph" w:customStyle="1" w:styleId="366">
    <w:name w:val="xl76"/>
    <w:basedOn w:val="1"/>
    <w:qFormat/>
    <w:uiPriority w:val="0"/>
    <w:pPr>
      <w:widowControl/>
      <w:shd w:val="clear" w:color="auto" w:fill="99CCFF"/>
      <w:spacing w:before="100" w:beforeAutospacing="1" w:after="100" w:afterAutospacing="1"/>
      <w:jc w:val="left"/>
    </w:pPr>
    <w:rPr>
      <w:rFonts w:ascii="Arial" w:hAnsi="Arial" w:cs="Arial"/>
      <w:b/>
      <w:bCs/>
      <w:color w:val="000000"/>
      <w:kern w:val="0"/>
      <w:szCs w:val="24"/>
    </w:rPr>
  </w:style>
  <w:style w:type="paragraph" w:customStyle="1" w:styleId="367">
    <w:name w:val="standdate"/>
    <w:basedOn w:val="51"/>
    <w:qFormat/>
    <w:uiPriority w:val="0"/>
    <w:rPr>
      <w:szCs w:val="18"/>
    </w:rPr>
  </w:style>
  <w:style w:type="paragraph" w:customStyle="1" w:styleId="368">
    <w:name w:val="xl10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369">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70">
    <w:name w:val="font20"/>
    <w:basedOn w:val="1"/>
    <w:qFormat/>
    <w:uiPriority w:val="0"/>
    <w:pPr>
      <w:widowControl/>
      <w:spacing w:before="100" w:beforeAutospacing="1" w:after="100" w:afterAutospacing="1"/>
      <w:jc w:val="left"/>
    </w:pPr>
    <w:rPr>
      <w:rFonts w:ascii="宋体" w:hAnsi="宋体" w:cs="宋体"/>
      <w:kern w:val="0"/>
      <w:sz w:val="40"/>
      <w:szCs w:val="40"/>
    </w:rPr>
  </w:style>
  <w:style w:type="paragraph" w:customStyle="1" w:styleId="371">
    <w:name w:val="font6"/>
    <w:basedOn w:val="1"/>
    <w:qFormat/>
    <w:uiPriority w:val="0"/>
    <w:pPr>
      <w:widowControl/>
      <w:adjustRightInd w:val="0"/>
      <w:spacing w:before="100" w:after="100"/>
      <w:jc w:val="left"/>
      <w:textAlignment w:val="baseline"/>
    </w:pPr>
    <w:rPr>
      <w:color w:val="000000"/>
      <w:kern w:val="0"/>
      <w:sz w:val="21"/>
    </w:rPr>
  </w:style>
  <w:style w:type="paragraph" w:customStyle="1" w:styleId="372">
    <w:name w:val="Char Char Char Char Char Char Char Char Char Char1"/>
    <w:basedOn w:val="1"/>
    <w:qFormat/>
    <w:uiPriority w:val="0"/>
    <w:rPr>
      <w:sz w:val="21"/>
    </w:rPr>
  </w:style>
  <w:style w:type="paragraph" w:customStyle="1" w:styleId="373">
    <w:name w:val="图脚"/>
    <w:basedOn w:val="1"/>
    <w:qFormat/>
    <w:uiPriority w:val="0"/>
    <w:pPr>
      <w:tabs>
        <w:tab w:val="left" w:pos="900"/>
      </w:tabs>
      <w:ind w:left="900" w:hanging="420"/>
      <w:jc w:val="center"/>
    </w:pPr>
    <w:rPr>
      <w:rFonts w:eastAsia="黑体"/>
    </w:rPr>
  </w:style>
  <w:style w:type="paragraph" w:customStyle="1" w:styleId="374">
    <w:name w:val="Headings Font"/>
    <w:basedOn w:val="1"/>
    <w:next w:val="32"/>
    <w:qFormat/>
    <w:uiPriority w:val="0"/>
    <w:pPr>
      <w:keepNext/>
      <w:spacing w:line="280" w:lineRule="atLeast"/>
      <w:jc w:val="left"/>
    </w:pPr>
    <w:rPr>
      <w:rFonts w:ascii="Arial" w:hAnsi="Arial"/>
      <w:kern w:val="0"/>
      <w:sz w:val="22"/>
      <w:szCs w:val="24"/>
      <w:lang w:val="en-GB"/>
    </w:rPr>
  </w:style>
  <w:style w:type="paragraph" w:customStyle="1" w:styleId="375">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6">
    <w:name w:val="3 Char"/>
    <w:basedOn w:val="1"/>
    <w:qFormat/>
    <w:uiPriority w:val="0"/>
    <w:pPr>
      <w:widowControl/>
      <w:spacing w:line="400" w:lineRule="exact"/>
      <w:jc w:val="center"/>
    </w:pPr>
    <w:rPr>
      <w:rFonts w:ascii="Verdana" w:hAnsi="Verdana"/>
      <w:kern w:val="0"/>
      <w:sz w:val="21"/>
      <w:lang w:eastAsia="en-US"/>
    </w:rPr>
  </w:style>
  <w:style w:type="paragraph" w:customStyle="1" w:styleId="377">
    <w:name w:val="xl71"/>
    <w:basedOn w:val="1"/>
    <w:qFormat/>
    <w:uiPriority w:val="0"/>
    <w:pPr>
      <w:widowControl/>
      <w:spacing w:before="100" w:beforeAutospacing="1" w:after="100" w:afterAutospacing="1"/>
      <w:jc w:val="left"/>
    </w:pPr>
    <w:rPr>
      <w:rFonts w:ascii="Arial" w:hAnsi="Arial" w:cs="Arial"/>
      <w:color w:val="000000"/>
      <w:kern w:val="0"/>
      <w:szCs w:val="24"/>
    </w:rPr>
  </w:style>
  <w:style w:type="paragraph" w:customStyle="1" w:styleId="378">
    <w:name w:val="正文文本1"/>
    <w:basedOn w:val="1"/>
    <w:qFormat/>
    <w:uiPriority w:val="0"/>
    <w:pPr>
      <w:spacing w:after="120"/>
    </w:pPr>
    <w:rPr>
      <w:sz w:val="21"/>
    </w:rPr>
  </w:style>
  <w:style w:type="paragraph" w:customStyle="1" w:styleId="379">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after="100"/>
      <w:jc w:val="center"/>
      <w:textAlignment w:val="center"/>
    </w:pPr>
    <w:rPr>
      <w:rFonts w:ascii="Arial Unicode MS" w:hAnsi="Arial Unicode MS"/>
      <w:color w:val="000000"/>
      <w:kern w:val="0"/>
      <w:sz w:val="21"/>
    </w:rPr>
  </w:style>
  <w:style w:type="paragraph" w:customStyle="1" w:styleId="380">
    <w:name w:val="样式编号"/>
    <w:basedOn w:val="32"/>
    <w:qFormat/>
    <w:uiPriority w:val="0"/>
    <w:pPr>
      <w:widowControl/>
      <w:autoSpaceDE/>
      <w:autoSpaceDN/>
      <w:adjustRightInd/>
      <w:spacing w:after="156" w:afterLines="50" w:line="300" w:lineRule="auto"/>
      <w:jc w:val="both"/>
    </w:pPr>
    <w:rPr>
      <w:rFonts w:ascii="Times New Roman" w:eastAsia="仿宋_GB2312"/>
      <w:color w:val="auto"/>
      <w:spacing w:val="-10"/>
      <w:szCs w:val="24"/>
    </w:rPr>
  </w:style>
  <w:style w:type="paragraph" w:customStyle="1" w:styleId="381">
    <w:name w:val="xl101"/>
    <w:basedOn w:val="1"/>
    <w:qFormat/>
    <w:uiPriority w:val="0"/>
    <w:pPr>
      <w:widowControl/>
      <w:shd w:val="clear" w:color="auto" w:fill="CCFFCC"/>
      <w:spacing w:before="100" w:beforeAutospacing="1" w:after="100" w:afterAutospacing="1"/>
      <w:jc w:val="left"/>
    </w:pPr>
    <w:rPr>
      <w:rFonts w:ascii="Arial" w:hAnsi="Arial" w:cs="Arial"/>
      <w:color w:val="000000"/>
      <w:kern w:val="0"/>
      <w:szCs w:val="24"/>
    </w:rPr>
  </w:style>
  <w:style w:type="paragraph" w:customStyle="1" w:styleId="382">
    <w:name w:val="目录"/>
    <w:basedOn w:val="1"/>
    <w:qFormat/>
    <w:uiPriority w:val="0"/>
    <w:pPr>
      <w:widowControl/>
      <w:spacing w:line="480" w:lineRule="auto"/>
      <w:jc w:val="center"/>
    </w:pPr>
    <w:rPr>
      <w:rFonts w:ascii="宋体"/>
      <w:b/>
      <w:kern w:val="0"/>
    </w:rPr>
  </w:style>
  <w:style w:type="paragraph" w:customStyle="1" w:styleId="383">
    <w:name w:val="已访问的超链接1"/>
    <w:basedOn w:val="1"/>
    <w:next w:val="1"/>
    <w:qFormat/>
    <w:uiPriority w:val="0"/>
    <w:pPr>
      <w:widowControl/>
    </w:pPr>
    <w:rPr>
      <w:color w:val="800080"/>
      <w:sz w:val="21"/>
      <w:u w:val="single" w:color="000000"/>
    </w:rPr>
  </w:style>
  <w:style w:type="paragraph" w:customStyle="1" w:styleId="384">
    <w:name w:val="xl86"/>
    <w:basedOn w:val="1"/>
    <w:qFormat/>
    <w:uiPriority w:val="0"/>
    <w:pPr>
      <w:widowControl/>
      <w:shd w:val="clear" w:color="auto" w:fill="C0C0C0"/>
      <w:spacing w:before="100" w:beforeAutospacing="1" w:after="100" w:afterAutospacing="1"/>
      <w:jc w:val="left"/>
    </w:pPr>
    <w:rPr>
      <w:rFonts w:ascii="Arial" w:hAnsi="Arial" w:cs="Arial"/>
      <w:color w:val="000000"/>
      <w:kern w:val="0"/>
      <w:szCs w:val="24"/>
    </w:rPr>
  </w:style>
  <w:style w:type="paragraph" w:customStyle="1" w:styleId="385">
    <w:name w:val="font7"/>
    <w:basedOn w:val="1"/>
    <w:qFormat/>
    <w:uiPriority w:val="0"/>
    <w:pPr>
      <w:widowControl/>
      <w:adjustRightInd w:val="0"/>
      <w:spacing w:before="100" w:after="100"/>
      <w:jc w:val="left"/>
      <w:textAlignment w:val="baseline"/>
    </w:pPr>
    <w:rPr>
      <w:rFonts w:ascii="宋体" w:hAnsi="宋体"/>
      <w:b/>
      <w:color w:val="000000"/>
      <w:kern w:val="0"/>
      <w:sz w:val="20"/>
    </w:rPr>
  </w:style>
  <w:style w:type="paragraph" w:customStyle="1" w:styleId="386">
    <w:name w:val="文档正文（外部）"/>
    <w:basedOn w:val="1"/>
    <w:qFormat/>
    <w:uiPriority w:val="0"/>
    <w:pPr>
      <w:spacing w:line="360" w:lineRule="auto"/>
    </w:pPr>
    <w:rPr>
      <w:sz w:val="28"/>
    </w:rPr>
  </w:style>
  <w:style w:type="paragraph" w:customStyle="1" w:styleId="387">
    <w:name w:val="xl95"/>
    <w:basedOn w:val="1"/>
    <w:qFormat/>
    <w:uiPriority w:val="0"/>
    <w:pPr>
      <w:widowControl/>
      <w:spacing w:before="100" w:beforeAutospacing="1" w:after="100" w:afterAutospacing="1"/>
      <w:jc w:val="center"/>
    </w:pPr>
    <w:rPr>
      <w:rFonts w:ascii="幼圆" w:hAnsi="宋体" w:eastAsia="幼圆" w:cs="宋体"/>
      <w:kern w:val="0"/>
      <w:szCs w:val="24"/>
    </w:rPr>
  </w:style>
  <w:style w:type="paragraph" w:customStyle="1" w:styleId="388">
    <w:name w:val="样式 样式 正文首行缩进 2 + 首行缩进:  2 字符 + 首行缩进:  2 字符"/>
    <w:basedOn w:val="1"/>
    <w:qFormat/>
    <w:uiPriority w:val="0"/>
    <w:pPr>
      <w:spacing w:line="360" w:lineRule="auto"/>
      <w:ind w:firstLine="480" w:firstLineChars="200"/>
    </w:pPr>
  </w:style>
  <w:style w:type="paragraph" w:customStyle="1" w:styleId="389">
    <w:name w:val="xl10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90">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91">
    <w:name w:val="章节标题1"/>
    <w:basedOn w:val="1"/>
    <w:next w:val="115"/>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2">
    <w:name w:val="文本正文"/>
    <w:basedOn w:val="1"/>
    <w:qFormat/>
    <w:uiPriority w:val="0"/>
    <w:pPr>
      <w:spacing w:before="156" w:after="156" w:line="360" w:lineRule="auto"/>
      <w:ind w:firstLine="480"/>
    </w:pPr>
    <w:rPr>
      <w:color w:val="000000"/>
      <w:sz w:val="21"/>
    </w:rPr>
  </w:style>
  <w:style w:type="paragraph" w:customStyle="1" w:styleId="393">
    <w:name w:val="Char Char Char1"/>
    <w:basedOn w:val="1"/>
    <w:qFormat/>
    <w:uiPriority w:val="0"/>
    <w:rPr>
      <w:rFonts w:ascii="Tahoma" w:hAnsi="Tahoma"/>
    </w:rPr>
  </w:style>
  <w:style w:type="paragraph" w:customStyle="1" w:styleId="394">
    <w:name w:val="样式3"/>
    <w:basedOn w:val="1"/>
    <w:qFormat/>
    <w:uiPriority w:val="0"/>
    <w:pPr>
      <w:ind w:left="1980"/>
    </w:pPr>
    <w:rPr>
      <w:sz w:val="21"/>
    </w:rPr>
  </w:style>
  <w:style w:type="paragraph" w:customStyle="1" w:styleId="395">
    <w:name w:val="样式 首行缩进:  0.74 厘米"/>
    <w:basedOn w:val="1"/>
    <w:qFormat/>
    <w:uiPriority w:val="0"/>
    <w:pPr>
      <w:spacing w:line="360" w:lineRule="auto"/>
      <w:ind w:firstLine="420"/>
    </w:pPr>
    <w:rPr>
      <w:sz w:val="21"/>
    </w:rPr>
  </w:style>
  <w:style w:type="paragraph" w:customStyle="1" w:styleId="396">
    <w:name w:val="myp1111"/>
    <w:basedOn w:val="1"/>
    <w:next w:val="1"/>
    <w:qFormat/>
    <w:uiPriority w:val="0"/>
    <w:pPr>
      <w:widowControl/>
    </w:pPr>
    <w:rPr>
      <w:rFonts w:ascii="ˎ̥" w:hAnsi="ˎ̥"/>
      <w:color w:val="000000"/>
      <w:sz w:val="20"/>
    </w:rPr>
  </w:style>
  <w:style w:type="paragraph" w:customStyle="1" w:styleId="397">
    <w:name w:val="正文字缩2字"/>
    <w:basedOn w:val="1"/>
    <w:qFormat/>
    <w:uiPriority w:val="0"/>
    <w:pPr>
      <w:spacing w:before="60" w:after="60" w:line="360" w:lineRule="auto"/>
      <w:ind w:left="200" w:leftChars="200" w:firstLine="200" w:firstLineChars="200"/>
    </w:pPr>
  </w:style>
  <w:style w:type="paragraph" w:customStyle="1" w:styleId="398">
    <w:name w:val="文字缩进 3"/>
    <w:basedOn w:val="32"/>
    <w:qFormat/>
    <w:uiPriority w:val="0"/>
    <w:pPr>
      <w:autoSpaceDE/>
      <w:autoSpaceDN/>
      <w:spacing w:before="100" w:beforeAutospacing="1" w:after="100" w:afterAutospacing="1" w:line="400" w:lineRule="atLeast"/>
      <w:ind w:left="1276"/>
      <w:jc w:val="both"/>
      <w:textAlignment w:val="baseline"/>
    </w:pPr>
    <w:rPr>
      <w:rFonts w:ascii="Times New Roman"/>
      <w:color w:val="auto"/>
    </w:rPr>
  </w:style>
  <w:style w:type="paragraph" w:customStyle="1" w:styleId="399">
    <w:name w:val="xl92"/>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400">
    <w:name w:val="样式 首行缩进:  0.85 厘米"/>
    <w:basedOn w:val="1"/>
    <w:qFormat/>
    <w:uiPriority w:val="0"/>
    <w:pPr>
      <w:tabs>
        <w:tab w:val="left" w:pos="1080"/>
        <w:tab w:val="left" w:pos="1200"/>
      </w:tabs>
      <w:spacing w:before="156" w:beforeLines="50" w:after="156" w:afterLines="50" w:line="360" w:lineRule="auto"/>
      <w:ind w:left="420" w:firstLine="120"/>
      <w:jc w:val="left"/>
    </w:pPr>
    <w:rPr>
      <w:rFonts w:ascii="Arial"/>
    </w:rPr>
  </w:style>
  <w:style w:type="paragraph" w:customStyle="1" w:styleId="40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2">
    <w:name w:val="Char Char Char Char Char Char Char1"/>
    <w:basedOn w:val="1"/>
    <w:qFormat/>
    <w:uiPriority w:val="0"/>
    <w:rPr>
      <w:rFonts w:ascii="仿宋_GB2312" w:eastAsia="仿宋_GB2312"/>
      <w:b/>
      <w:sz w:val="32"/>
    </w:rPr>
  </w:style>
  <w:style w:type="paragraph" w:customStyle="1" w:styleId="403">
    <w:name w:val="xl88"/>
    <w:basedOn w:val="1"/>
    <w:qFormat/>
    <w:uiPriority w:val="0"/>
    <w:pPr>
      <w:widowControl/>
      <w:shd w:val="clear" w:color="auto" w:fill="C0C0C0"/>
      <w:spacing w:before="100" w:beforeAutospacing="1" w:after="100" w:afterAutospacing="1"/>
      <w:jc w:val="center"/>
    </w:pPr>
    <w:rPr>
      <w:rFonts w:ascii="Arial" w:hAnsi="Arial" w:cs="Arial"/>
      <w:color w:val="000000"/>
      <w:kern w:val="0"/>
      <w:szCs w:val="24"/>
    </w:rPr>
  </w:style>
  <w:style w:type="paragraph" w:customStyle="1" w:styleId="404">
    <w:name w:val="列表编号 31"/>
    <w:basedOn w:val="1"/>
    <w:next w:val="1"/>
    <w:qFormat/>
    <w:uiPriority w:val="0"/>
    <w:pPr>
      <w:widowControl/>
      <w:tabs>
        <w:tab w:val="left" w:pos="482"/>
        <w:tab w:val="left" w:pos="840"/>
      </w:tabs>
      <w:spacing w:after="50"/>
      <w:ind w:left="482" w:hanging="340"/>
      <w:jc w:val="left"/>
    </w:pPr>
    <w:rPr>
      <w:color w:val="000000"/>
      <w:kern w:val="0"/>
    </w:rPr>
  </w:style>
  <w:style w:type="paragraph" w:customStyle="1" w:styleId="405">
    <w:name w:val="font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406">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7">
    <w:name w:val="表正文"/>
    <w:basedOn w:val="1"/>
    <w:next w:val="43"/>
    <w:qFormat/>
    <w:uiPriority w:val="0"/>
    <w:rPr>
      <w:rFonts w:ascii="宋体" w:hAnsi="Courier New"/>
      <w:sz w:val="21"/>
    </w:rPr>
  </w:style>
  <w:style w:type="paragraph" w:customStyle="1" w:styleId="408">
    <w:name w:val="文字缩进"/>
    <w:basedOn w:val="32"/>
    <w:qFormat/>
    <w:uiPriority w:val="0"/>
    <w:pPr>
      <w:autoSpaceDE/>
      <w:autoSpaceDN/>
      <w:spacing w:before="100" w:beforeAutospacing="1" w:after="100" w:afterAutospacing="1" w:line="400" w:lineRule="atLeast"/>
      <w:ind w:left="425"/>
      <w:jc w:val="both"/>
      <w:textAlignment w:val="baseline"/>
    </w:pPr>
    <w:rPr>
      <w:rFonts w:ascii="Times New Roman"/>
      <w:color w:val="auto"/>
    </w:rPr>
  </w:style>
  <w:style w:type="paragraph" w:customStyle="1" w:styleId="409">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10">
    <w:name w:val="文本正文2"/>
    <w:basedOn w:val="1"/>
    <w:qFormat/>
    <w:uiPriority w:val="0"/>
    <w:pPr>
      <w:spacing w:before="156" w:after="156" w:line="360" w:lineRule="auto"/>
    </w:pPr>
    <w:rPr>
      <w:color w:val="000000"/>
      <w:sz w:val="21"/>
    </w:rPr>
  </w:style>
  <w:style w:type="paragraph" w:customStyle="1" w:styleId="411">
    <w:name w:val="My编号1"/>
    <w:basedOn w:val="1"/>
    <w:qFormat/>
    <w:uiPriority w:val="0"/>
    <w:pPr>
      <w:adjustRightInd w:val="0"/>
      <w:spacing w:before="120" w:line="360" w:lineRule="auto"/>
      <w:textAlignment w:val="baseline"/>
    </w:pPr>
    <w:rPr>
      <w:rFonts w:ascii="Arial" w:hAnsi="Arial"/>
      <w:kern w:val="0"/>
    </w:rPr>
  </w:style>
  <w:style w:type="paragraph" w:customStyle="1" w:styleId="412">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3">
    <w:name w:val="正文首行缩进 21"/>
    <w:basedOn w:val="1"/>
    <w:next w:val="1"/>
    <w:qFormat/>
    <w:uiPriority w:val="0"/>
    <w:pPr>
      <w:widowControl/>
      <w:spacing w:after="120"/>
      <w:ind w:firstLine="210"/>
    </w:pPr>
    <w:rPr>
      <w:color w:val="000000"/>
      <w:sz w:val="21"/>
    </w:rPr>
  </w:style>
  <w:style w:type="paragraph" w:customStyle="1" w:styleId="414">
    <w:name w:val="xl87"/>
    <w:basedOn w:val="1"/>
    <w:qFormat/>
    <w:uiPriority w:val="0"/>
    <w:pPr>
      <w:widowControl/>
      <w:shd w:val="clear" w:color="auto" w:fill="C0C0C0"/>
      <w:spacing w:before="100" w:beforeAutospacing="1" w:after="100" w:afterAutospacing="1"/>
      <w:jc w:val="center"/>
    </w:pPr>
    <w:rPr>
      <w:rFonts w:ascii="Arial" w:hAnsi="Arial" w:cs="Arial"/>
      <w:color w:val="000000"/>
      <w:kern w:val="0"/>
      <w:szCs w:val="24"/>
    </w:rPr>
  </w:style>
  <w:style w:type="paragraph" w:customStyle="1" w:styleId="415">
    <w:name w:val="正文图标题"/>
    <w:next w:val="121"/>
    <w:qFormat/>
    <w:uiPriority w:val="0"/>
    <w:pPr>
      <w:jc w:val="center"/>
    </w:pPr>
    <w:rPr>
      <w:rFonts w:ascii="黑体" w:hAnsi="Times New Roman" w:eastAsia="黑体" w:cs="Times New Roman"/>
      <w:sz w:val="21"/>
      <w:lang w:val="en-US" w:eastAsia="zh-CN" w:bidi="ar-SA"/>
    </w:rPr>
  </w:style>
  <w:style w:type="paragraph" w:customStyle="1" w:styleId="416">
    <w:name w:val="普通表格1"/>
    <w:basedOn w:val="1"/>
    <w:next w:val="1"/>
    <w:qFormat/>
    <w:uiPriority w:val="0"/>
    <w:pPr>
      <w:widowControl/>
      <w:jc w:val="left"/>
    </w:pPr>
    <w:rPr>
      <w:color w:val="000000"/>
      <w:kern w:val="0"/>
    </w:rPr>
  </w:style>
  <w:style w:type="paragraph" w:customStyle="1" w:styleId="417">
    <w:name w:val="Char Char Char Char Char Char Char Char Char Char Char Char Char Char Char Char"/>
    <w:basedOn w:val="1"/>
    <w:qFormat/>
    <w:uiPriority w:val="0"/>
    <w:rPr>
      <w:rFonts w:ascii="Tahoma" w:hAnsi="Tahoma"/>
    </w:rPr>
  </w:style>
  <w:style w:type="paragraph" w:customStyle="1" w:styleId="418">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9">
    <w:name w:val="List Paragraph"/>
    <w:basedOn w:val="1"/>
    <w:qFormat/>
    <w:uiPriority w:val="34"/>
    <w:pPr>
      <w:ind w:firstLine="420" w:firstLineChars="200"/>
    </w:pPr>
    <w:rPr>
      <w:rFonts w:ascii="Verdana" w:hAnsi="Verdana" w:eastAsia="微软雅黑"/>
      <w:sz w:val="21"/>
    </w:rPr>
  </w:style>
  <w:style w:type="paragraph" w:customStyle="1" w:styleId="420">
    <w:name w:val="样式 标题 22nd levelh22Header 2H2 + 四号 段前: 6 磅 段后: 6 磅 行距: 1..."/>
    <w:basedOn w:val="3"/>
    <w:qFormat/>
    <w:uiPriority w:val="0"/>
    <w:pPr>
      <w:tabs>
        <w:tab w:val="left" w:pos="425"/>
        <w:tab w:val="clear" w:pos="358"/>
      </w:tabs>
      <w:spacing w:before="120" w:after="120"/>
      <w:ind w:left="425" w:hanging="425"/>
    </w:pPr>
    <w:rPr>
      <w:rFonts w:ascii="Arial" w:hAnsi="Arial"/>
      <w:sz w:val="28"/>
    </w:rPr>
  </w:style>
  <w:style w:type="paragraph" w:customStyle="1" w:styleId="421">
    <w:name w:val="样式 标题 1H1章节1l0Section HeadHeader1h1Level 1 HeadPIM 1He..."/>
    <w:basedOn w:val="2"/>
    <w:qFormat/>
    <w:uiPriority w:val="0"/>
    <w:pPr>
      <w:keepNext/>
      <w:keepLines/>
      <w:pageBreakBefore w:val="0"/>
      <w:widowControl w:val="0"/>
      <w:autoSpaceDE/>
      <w:autoSpaceDN/>
      <w:spacing w:before="340" w:after="330" w:line="576" w:lineRule="auto"/>
      <w:ind w:left="0" w:firstLine="0"/>
      <w:jc w:val="both"/>
    </w:pPr>
    <w:rPr>
      <w:rFonts w:ascii="Times New Roman"/>
      <w:b/>
      <w:color w:val="auto"/>
      <w:kern w:val="44"/>
      <w:sz w:val="44"/>
    </w:rPr>
  </w:style>
  <w:style w:type="paragraph" w:customStyle="1" w:styleId="422">
    <w:name w:val="xl103"/>
    <w:basedOn w:val="1"/>
    <w:qFormat/>
    <w:uiPriority w:val="0"/>
    <w:pPr>
      <w:widowControl/>
      <w:spacing w:before="100" w:beforeAutospacing="1" w:after="100" w:afterAutospacing="1"/>
      <w:jc w:val="left"/>
    </w:pPr>
    <w:rPr>
      <w:rFonts w:ascii="Arial" w:hAnsi="Arial" w:cs="Arial"/>
      <w:kern w:val="0"/>
      <w:szCs w:val="24"/>
    </w:rPr>
  </w:style>
  <w:style w:type="paragraph" w:customStyle="1" w:styleId="423">
    <w:name w:val="纯文本11"/>
    <w:basedOn w:val="1"/>
    <w:qFormat/>
    <w:uiPriority w:val="0"/>
    <w:pPr>
      <w:widowControl/>
      <w:tabs>
        <w:tab w:val="left" w:pos="840"/>
      </w:tabs>
      <w:spacing w:line="360" w:lineRule="auto"/>
      <w:ind w:left="840" w:hanging="420"/>
    </w:pPr>
    <w:rPr>
      <w:rFonts w:ascii="宋体"/>
      <w:color w:val="000000"/>
    </w:rPr>
  </w:style>
  <w:style w:type="paragraph" w:customStyle="1" w:styleId="424">
    <w:name w:val="xl77"/>
    <w:basedOn w:val="1"/>
    <w:qFormat/>
    <w:uiPriority w:val="0"/>
    <w:pPr>
      <w:widowControl/>
      <w:shd w:val="clear" w:color="auto" w:fill="99CCFF"/>
      <w:spacing w:before="100" w:beforeAutospacing="1" w:after="100" w:afterAutospacing="1"/>
      <w:jc w:val="center"/>
    </w:pPr>
    <w:rPr>
      <w:rFonts w:ascii="Arial" w:hAnsi="Arial" w:cs="Arial"/>
      <w:color w:val="000000"/>
      <w:kern w:val="0"/>
      <w:szCs w:val="24"/>
    </w:rPr>
  </w:style>
  <w:style w:type="paragraph" w:customStyle="1" w:styleId="425">
    <w:name w:val="gb23121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426">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7">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8">
    <w:name w:val="正文段 Char"/>
    <w:link w:val="107"/>
    <w:qFormat/>
    <w:uiPriority w:val="0"/>
    <w:rPr>
      <w:sz w:val="24"/>
    </w:rPr>
  </w:style>
  <w:style w:type="character" w:customStyle="1" w:styleId="429">
    <w:name w:val="p121"/>
    <w:qFormat/>
    <w:uiPriority w:val="0"/>
    <w:rPr>
      <w:rFonts w:hint="default" w:ascii="_x000B__x000C_" w:hAnsi="_x000B__x000C_"/>
      <w:sz w:val="24"/>
      <w:szCs w:val="24"/>
    </w:rPr>
  </w:style>
  <w:style w:type="character" w:customStyle="1" w:styleId="430">
    <w:name w:val="highlight"/>
    <w:basedOn w:val="82"/>
    <w:qFormat/>
    <w:uiPriority w:val="0"/>
  </w:style>
  <w:style w:type="character" w:customStyle="1" w:styleId="431">
    <w:name w:val="正文文本缩进 字符"/>
    <w:link w:val="20"/>
    <w:qFormat/>
    <w:uiPriority w:val="99"/>
    <w:rPr>
      <w:rFonts w:ascii="宋体"/>
      <w:kern w:val="2"/>
      <w:sz w:val="24"/>
    </w:rPr>
  </w:style>
  <w:style w:type="character" w:customStyle="1" w:styleId="432">
    <w:name w:val="b1"/>
    <w:qFormat/>
    <w:uiPriority w:val="0"/>
    <w:rPr>
      <w:rFonts w:hint="default" w:ascii="Courier New" w:hAnsi="Courier New"/>
      <w:b/>
      <w:color w:val="FF0000"/>
      <w:u w:val="none"/>
    </w:rPr>
  </w:style>
  <w:style w:type="character" w:customStyle="1" w:styleId="433">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4">
    <w:name w:val="标题 9 字符"/>
    <w:link w:val="11"/>
    <w:qFormat/>
    <w:uiPriority w:val="0"/>
    <w:rPr>
      <w:rFonts w:ascii="Arial" w:hAnsi="Arial" w:eastAsia="黑体"/>
      <w:kern w:val="2"/>
      <w:sz w:val="21"/>
      <w:lang w:val="en-US" w:eastAsia="zh-CN" w:bidi="ar-SA"/>
    </w:rPr>
  </w:style>
  <w:style w:type="character" w:customStyle="1" w:styleId="435">
    <w:name w:val="Footer Char"/>
    <w:qFormat/>
    <w:locked/>
    <w:uiPriority w:val="0"/>
    <w:rPr>
      <w:rFonts w:cs="Times New Roman"/>
      <w:sz w:val="18"/>
      <w:szCs w:val="18"/>
    </w:rPr>
  </w:style>
  <w:style w:type="character" w:customStyle="1" w:styleId="436">
    <w:name w:val="mc2"/>
    <w:qFormat/>
    <w:uiPriority w:val="0"/>
    <w:rPr>
      <w:color w:val="0E2DCD"/>
      <w:sz w:val="21"/>
      <w:szCs w:val="21"/>
    </w:rPr>
  </w:style>
  <w:style w:type="character" w:customStyle="1" w:styleId="437">
    <w:name w:val="样式 标题 4 + 小四 Char Char"/>
    <w:link w:val="95"/>
    <w:qFormat/>
    <w:uiPriority w:val="0"/>
    <w:rPr>
      <w:rFonts w:ascii="Arial" w:hAnsi="Arial" w:eastAsia="楷体_GB2312" w:cs="Arial"/>
      <w:b/>
      <w:bCs/>
      <w:kern w:val="2"/>
      <w:sz w:val="24"/>
      <w:szCs w:val="28"/>
      <w:lang w:val="en-US" w:eastAsia="zh-CN" w:bidi="ar-SA"/>
    </w:rPr>
  </w:style>
  <w:style w:type="character" w:customStyle="1" w:styleId="438">
    <w:name w:val="Char Char3"/>
    <w:qFormat/>
    <w:uiPriority w:val="0"/>
    <w:rPr>
      <w:rFonts w:eastAsia="宋体"/>
      <w:kern w:val="2"/>
      <w:sz w:val="21"/>
      <w:szCs w:val="24"/>
      <w:lang w:val="en-US" w:eastAsia="zh-CN" w:bidi="ar-SA"/>
    </w:rPr>
  </w:style>
  <w:style w:type="character" w:customStyle="1" w:styleId="439">
    <w:name w:val="普通文字 Char Char"/>
    <w:qFormat/>
    <w:uiPriority w:val="0"/>
    <w:rPr>
      <w:rFonts w:ascii="宋体" w:hAnsi="Courier New" w:eastAsia="宋体"/>
      <w:kern w:val="2"/>
      <w:sz w:val="21"/>
      <w:lang w:val="en-US" w:eastAsia="zh-CN"/>
    </w:rPr>
  </w:style>
  <w:style w:type="character" w:customStyle="1" w:styleId="440">
    <w:name w:val="节 Char"/>
    <w:qFormat/>
    <w:uiPriority w:val="0"/>
    <w:rPr>
      <w:rFonts w:ascii="Arial" w:hAnsi="Arial" w:eastAsia="宋体"/>
      <w:b/>
      <w:spacing w:val="14"/>
      <w:kern w:val="24"/>
      <w:sz w:val="32"/>
      <w:lang w:val="en-US" w:eastAsia="zh-CN" w:bidi="ar-SA"/>
    </w:rPr>
  </w:style>
  <w:style w:type="character" w:customStyle="1" w:styleId="441">
    <w:name w:val="第三层条 Char"/>
    <w:qFormat/>
    <w:uiPriority w:val="0"/>
    <w:rPr>
      <w:rFonts w:ascii="Arial" w:hAnsi="Arial" w:eastAsia="黑体"/>
      <w:b/>
      <w:kern w:val="2"/>
      <w:sz w:val="28"/>
      <w:lang w:val="en-US" w:eastAsia="zh-CN" w:bidi="ar-SA"/>
    </w:rPr>
  </w:style>
  <w:style w:type="character" w:customStyle="1" w:styleId="442">
    <w:name w:val="font131"/>
    <w:basedOn w:val="82"/>
    <w:qFormat/>
    <w:uiPriority w:val="0"/>
    <w:rPr>
      <w:rFonts w:ascii="Calibri" w:hAnsi="Calibri" w:cs="Calibri"/>
      <w:color w:val="000000"/>
      <w:sz w:val="22"/>
      <w:szCs w:val="22"/>
      <w:u w:val="none"/>
    </w:rPr>
  </w:style>
  <w:style w:type="character" w:customStyle="1" w:styleId="443">
    <w:name w:val="point_normal1"/>
    <w:qFormat/>
    <w:uiPriority w:val="0"/>
    <w:rPr>
      <w:rFonts w:hint="default" w:ascii="Arial" w:hAnsi="Arial"/>
      <w:sz w:val="22"/>
    </w:rPr>
  </w:style>
  <w:style w:type="character" w:customStyle="1" w:styleId="444">
    <w:name w:val="styletemp1"/>
    <w:qFormat/>
    <w:uiPriority w:val="0"/>
    <w:rPr>
      <w:color w:val="282828"/>
      <w:spacing w:val="15"/>
      <w:sz w:val="18"/>
    </w:rPr>
  </w:style>
  <w:style w:type="character" w:customStyle="1" w:styleId="445">
    <w:name w:val="样式2 Char"/>
    <w:link w:val="147"/>
    <w:qFormat/>
    <w:uiPriority w:val="0"/>
    <w:rPr>
      <w:rFonts w:ascii="黑体" w:hAnsi="Calibri" w:eastAsia="黑体"/>
      <w:b/>
      <w:bCs/>
      <w:kern w:val="44"/>
      <w:sz w:val="32"/>
      <w:szCs w:val="32"/>
    </w:rPr>
  </w:style>
  <w:style w:type="character" w:customStyle="1" w:styleId="446">
    <w:name w:val="Body Text Indent Char"/>
    <w:qFormat/>
    <w:locked/>
    <w:uiPriority w:val="0"/>
    <w:rPr>
      <w:rFonts w:ascii="Times New Roman" w:hAnsi="Times New Roman"/>
      <w:sz w:val="24"/>
    </w:rPr>
  </w:style>
  <w:style w:type="character" w:customStyle="1" w:styleId="447">
    <w:name w:val="title-blue"/>
    <w:basedOn w:val="82"/>
    <w:qFormat/>
    <w:uiPriority w:val="0"/>
  </w:style>
  <w:style w:type="character" w:customStyle="1" w:styleId="448">
    <w:name w:val="标题 1 Char"/>
    <w:qFormat/>
    <w:uiPriority w:val="0"/>
    <w:rPr>
      <w:rFonts w:ascii="宋体" w:hAnsi="宋体"/>
      <w:b/>
      <w:bCs/>
      <w:kern w:val="44"/>
      <w:sz w:val="28"/>
      <w:szCs w:val="28"/>
    </w:rPr>
  </w:style>
  <w:style w:type="character" w:customStyle="1" w:styleId="449">
    <w:name w:val="font21"/>
    <w:basedOn w:val="82"/>
    <w:qFormat/>
    <w:uiPriority w:val="0"/>
    <w:rPr>
      <w:rFonts w:hint="default" w:ascii="Times New Roman" w:hAnsi="Times New Roman" w:cs="Times New Roman"/>
      <w:color w:val="000000"/>
      <w:sz w:val="22"/>
      <w:szCs w:val="22"/>
      <w:u w:val="none"/>
    </w:rPr>
  </w:style>
  <w:style w:type="character" w:customStyle="1" w:styleId="450">
    <w:name w:val="标准文本 Char Char"/>
    <w:link w:val="243"/>
    <w:qFormat/>
    <w:locked/>
    <w:uiPriority w:val="0"/>
    <w:rPr>
      <w:sz w:val="24"/>
      <w:lang w:bidi="ar-SA"/>
    </w:rPr>
  </w:style>
  <w:style w:type="character" w:customStyle="1" w:styleId="451">
    <w:name w:val="style91"/>
    <w:qFormat/>
    <w:uiPriority w:val="0"/>
    <w:rPr>
      <w:sz w:val="21"/>
      <w:szCs w:val="21"/>
    </w:rPr>
  </w:style>
  <w:style w:type="character" w:customStyle="1" w:styleId="452">
    <w:name w:val="HTML 预设格式 字符"/>
    <w:link w:val="73"/>
    <w:qFormat/>
    <w:uiPriority w:val="99"/>
    <w:rPr>
      <w:rFonts w:ascii="Courier New" w:hAnsi="Courier New" w:eastAsia="楷体_GB2312" w:cs="Courier New"/>
      <w:kern w:val="2"/>
    </w:rPr>
  </w:style>
  <w:style w:type="character" w:customStyle="1" w:styleId="453">
    <w:name w:val="HTML 预设格式 Char1"/>
    <w:semiHidden/>
    <w:qFormat/>
    <w:uiPriority w:val="99"/>
    <w:rPr>
      <w:rFonts w:ascii="Courier New" w:hAnsi="Courier New" w:cs="Courier New"/>
      <w:kern w:val="2"/>
    </w:rPr>
  </w:style>
  <w:style w:type="character" w:customStyle="1" w:styleId="454">
    <w:name w:val="标题 2字符"/>
    <w:qFormat/>
    <w:uiPriority w:val="0"/>
    <w:rPr>
      <w:b/>
      <w:kern w:val="2"/>
      <w:sz w:val="32"/>
    </w:rPr>
  </w:style>
  <w:style w:type="character" w:customStyle="1" w:styleId="455">
    <w:name w:val="正文2 Char"/>
    <w:link w:val="289"/>
    <w:qFormat/>
    <w:locked/>
    <w:uiPriority w:val="99"/>
    <w:rPr>
      <w:kern w:val="2"/>
      <w:sz w:val="24"/>
    </w:rPr>
  </w:style>
  <w:style w:type="character" w:customStyle="1" w:styleId="456">
    <w:name w:val="纯文本 字符"/>
    <w:link w:val="43"/>
    <w:qFormat/>
    <w:uiPriority w:val="99"/>
    <w:rPr>
      <w:rFonts w:ascii="宋体" w:hAnsi="Courier New"/>
      <w:kern w:val="2"/>
      <w:sz w:val="21"/>
    </w:rPr>
  </w:style>
  <w:style w:type="character" w:customStyle="1" w:styleId="457">
    <w:name w:val="main1"/>
    <w:qFormat/>
    <w:uiPriority w:val="0"/>
    <w:rPr>
      <w:rFonts w:hint="default" w:ascii="ˎ̥" w:hAnsi="ˎ̥"/>
      <w:sz w:val="21"/>
    </w:rPr>
  </w:style>
  <w:style w:type="character" w:customStyle="1" w:styleId="458">
    <w:name w:val="title14"/>
    <w:qFormat/>
    <w:uiPriority w:val="0"/>
  </w:style>
  <w:style w:type="character" w:customStyle="1" w:styleId="459">
    <w:name w:val="Heading 2 Char"/>
    <w:qFormat/>
    <w:locked/>
    <w:uiPriority w:val="0"/>
    <w:rPr>
      <w:rFonts w:ascii="Cambria" w:hAnsi="Cambria" w:eastAsia="黑体" w:cs="Times New Roman"/>
      <w:b/>
      <w:bCs/>
      <w:sz w:val="32"/>
      <w:szCs w:val="32"/>
    </w:rPr>
  </w:style>
  <w:style w:type="character" w:customStyle="1" w:styleId="460">
    <w:name w:val="title_sub_blue1"/>
    <w:qFormat/>
    <w:uiPriority w:val="0"/>
    <w:rPr>
      <w:rFonts w:hint="default" w:ascii="Arial" w:hAnsi="Arial" w:cs="Arial"/>
      <w:b/>
      <w:bCs/>
      <w:color w:val="16344F"/>
      <w:spacing w:val="0"/>
      <w:sz w:val="20"/>
      <w:szCs w:val="20"/>
      <w:u w:val="none"/>
    </w:rPr>
  </w:style>
  <w:style w:type="character" w:customStyle="1" w:styleId="461">
    <w:name w:val="ptb181"/>
    <w:qFormat/>
    <w:uiPriority w:val="0"/>
    <w:rPr>
      <w:rFonts w:ascii="Verdana" w:hAnsi="Verdana"/>
      <w:b/>
      <w:color w:val="000000"/>
      <w:sz w:val="27"/>
    </w:rPr>
  </w:style>
  <w:style w:type="character" w:customStyle="1" w:styleId="462">
    <w:name w:val="txt_cn_121"/>
    <w:qFormat/>
    <w:uiPriority w:val="0"/>
    <w:rPr>
      <w:rFonts w:hint="default" w:ascii="Arial" w:hAnsi="Arial" w:cs="Arial"/>
      <w:color w:val="666666"/>
      <w:sz w:val="18"/>
      <w:szCs w:val="18"/>
      <w:u w:val="none"/>
    </w:rPr>
  </w:style>
  <w:style w:type="character" w:customStyle="1" w:styleId="463">
    <w:name w:val="font31"/>
    <w:basedOn w:val="82"/>
    <w:qFormat/>
    <w:uiPriority w:val="0"/>
    <w:rPr>
      <w:rFonts w:hint="eastAsia" w:ascii="仿宋_GB2312" w:eastAsia="仿宋_GB2312"/>
      <w:color w:val="000000"/>
      <w:sz w:val="22"/>
      <w:szCs w:val="22"/>
      <w:u w:val="none"/>
    </w:rPr>
  </w:style>
  <w:style w:type="character" w:customStyle="1" w:styleId="464">
    <w:name w:val="标题 字符"/>
    <w:link w:val="76"/>
    <w:qFormat/>
    <w:uiPriority w:val="0"/>
    <w:rPr>
      <w:rFonts w:ascii="Arial" w:hAnsi="Arial" w:eastAsia="楷体_GB2312" w:cs="Arial"/>
      <w:b/>
      <w:bCs/>
      <w:kern w:val="2"/>
      <w:sz w:val="32"/>
      <w:szCs w:val="32"/>
      <w:lang w:val="en-US" w:eastAsia="zh-CN" w:bidi="ar-SA"/>
    </w:rPr>
  </w:style>
  <w:style w:type="character" w:customStyle="1" w:styleId="465">
    <w:name w:val="正文文本 字符"/>
    <w:link w:val="32"/>
    <w:qFormat/>
    <w:uiPriority w:val="0"/>
    <w:rPr>
      <w:rFonts w:ascii="宋体"/>
      <w:color w:val="FF0000"/>
      <w:sz w:val="24"/>
    </w:rPr>
  </w:style>
  <w:style w:type="character" w:customStyle="1" w:styleId="466">
    <w:name w:val="标题 3 字符"/>
    <w:link w:val="4"/>
    <w:qFormat/>
    <w:uiPriority w:val="0"/>
    <w:rPr>
      <w:rFonts w:cs="仿宋" w:asciiTheme="majorEastAsia" w:hAnsiTheme="majorEastAsia" w:eastAsiaTheme="majorEastAsia"/>
      <w:b/>
      <w:kern w:val="2"/>
      <w:sz w:val="24"/>
      <w:szCs w:val="24"/>
    </w:rPr>
  </w:style>
  <w:style w:type="character" w:customStyle="1" w:styleId="467">
    <w:name w:val="标题 4 Char Char Char"/>
    <w:qFormat/>
    <w:uiPriority w:val="0"/>
    <w:rPr>
      <w:rFonts w:ascii="Arial" w:hAnsi="Arial" w:eastAsia="黑体"/>
      <w:b/>
      <w:bCs/>
      <w:kern w:val="2"/>
      <w:sz w:val="28"/>
      <w:szCs w:val="28"/>
      <w:lang w:val="en-US" w:eastAsia="zh-CN" w:bidi="ar-SA"/>
    </w:rPr>
  </w:style>
  <w:style w:type="character" w:customStyle="1" w:styleId="468">
    <w:name w:val="自定义正文 Char"/>
    <w:link w:val="235"/>
    <w:qFormat/>
    <w:locked/>
    <w:uiPriority w:val="0"/>
    <w:rPr>
      <w:rFonts w:ascii="仿宋_GB2312" w:eastAsia="仿宋_GB2312"/>
      <w:sz w:val="24"/>
      <w:lang w:bidi="ar-SA"/>
    </w:rPr>
  </w:style>
  <w:style w:type="character" w:customStyle="1" w:styleId="469">
    <w:name w:val="Char Char7"/>
    <w:qFormat/>
    <w:uiPriority w:val="0"/>
    <w:rPr>
      <w:rFonts w:ascii="Times New Roman" w:hAnsi="Times New Roman"/>
      <w:kern w:val="2"/>
      <w:sz w:val="24"/>
      <w:szCs w:val="24"/>
    </w:rPr>
  </w:style>
  <w:style w:type="character" w:customStyle="1" w:styleId="470">
    <w:name w:val="正文缩进1 Char"/>
    <w:qFormat/>
    <w:uiPriority w:val="0"/>
    <w:rPr>
      <w:rFonts w:eastAsia="宋体"/>
      <w:kern w:val="2"/>
      <w:sz w:val="21"/>
      <w:lang w:val="en-US" w:eastAsia="zh-CN"/>
    </w:rPr>
  </w:style>
  <w:style w:type="character" w:customStyle="1" w:styleId="471">
    <w:name w:val="Char Char13"/>
    <w:qFormat/>
    <w:uiPriority w:val="0"/>
    <w:rPr>
      <w:rFonts w:ascii="Arial" w:hAnsi="Arial" w:eastAsia="仿宋_GB2312"/>
      <w:b/>
      <w:bCs/>
      <w:kern w:val="2"/>
      <w:sz w:val="28"/>
      <w:szCs w:val="32"/>
    </w:rPr>
  </w:style>
  <w:style w:type="character" w:customStyle="1" w:styleId="472">
    <w:name w:val="正文文本缩进 3 字符"/>
    <w:link w:val="65"/>
    <w:qFormat/>
    <w:uiPriority w:val="0"/>
    <w:rPr>
      <w:rFonts w:ascii="Arial" w:hAnsi="Arial"/>
      <w:color w:val="FF0000"/>
      <w:kern w:val="2"/>
      <w:sz w:val="24"/>
    </w:rPr>
  </w:style>
  <w:style w:type="character" w:customStyle="1" w:styleId="473">
    <w:name w:val="Char Char24"/>
    <w:qFormat/>
    <w:uiPriority w:val="0"/>
    <w:rPr>
      <w:rFonts w:ascii="Arial" w:hAnsi="宋体"/>
      <w:b/>
      <w:kern w:val="2"/>
      <w:sz w:val="28"/>
    </w:rPr>
  </w:style>
  <w:style w:type="character" w:customStyle="1" w:styleId="474">
    <w:name w:val="文章标题 3 Char Char Char"/>
    <w:link w:val="249"/>
    <w:qFormat/>
    <w:uiPriority w:val="0"/>
    <w:rPr>
      <w:rFonts w:ascii="Arial" w:hAnsi="Arial" w:eastAsia="黑体"/>
      <w:kern w:val="2"/>
      <w:sz w:val="28"/>
      <w:lang w:val="en-US" w:eastAsia="zh-CN"/>
    </w:rPr>
  </w:style>
  <w:style w:type="character" w:customStyle="1" w:styleId="475">
    <w:name w:val="font01"/>
    <w:basedOn w:val="82"/>
    <w:qFormat/>
    <w:uiPriority w:val="0"/>
    <w:rPr>
      <w:rFonts w:hint="default" w:ascii="Times New Roman" w:hAnsi="Times New Roman" w:cs="Times New Roman"/>
      <w:color w:val="000000"/>
      <w:sz w:val="21"/>
      <w:szCs w:val="21"/>
      <w:u w:val="none"/>
    </w:rPr>
  </w:style>
  <w:style w:type="character" w:customStyle="1" w:styleId="476">
    <w:name w:val="H5 Char"/>
    <w:qFormat/>
    <w:uiPriority w:val="0"/>
    <w:rPr>
      <w:rFonts w:ascii="宋体" w:eastAsia="宋体"/>
      <w:b/>
      <w:color w:val="FF0000"/>
      <w:kern w:val="2"/>
      <w:sz w:val="24"/>
      <w:lang w:val="en-US" w:eastAsia="zh-CN"/>
    </w:rPr>
  </w:style>
  <w:style w:type="character" w:customStyle="1" w:styleId="477">
    <w:name w:val="TITRE1 Char"/>
    <w:qFormat/>
    <w:uiPriority w:val="0"/>
    <w:rPr>
      <w:rFonts w:eastAsia="宋体"/>
      <w:b/>
      <w:bCs/>
      <w:kern w:val="44"/>
      <w:sz w:val="44"/>
      <w:szCs w:val="44"/>
      <w:lang w:val="en-US" w:eastAsia="zh-CN" w:bidi="ar-SA"/>
    </w:rPr>
  </w:style>
  <w:style w:type="character" w:customStyle="1" w:styleId="478">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9">
    <w:name w:val="font3"/>
    <w:basedOn w:val="82"/>
    <w:qFormat/>
    <w:uiPriority w:val="0"/>
  </w:style>
  <w:style w:type="character" w:customStyle="1" w:styleId="480">
    <w:name w:val="Heading 4 Char"/>
    <w:qFormat/>
    <w:locked/>
    <w:uiPriority w:val="0"/>
    <w:rPr>
      <w:rFonts w:ascii="Cambria" w:hAnsi="Cambria" w:eastAsia="黑体" w:cs="Times New Roman"/>
      <w:b/>
      <w:bCs/>
      <w:sz w:val="28"/>
      <w:szCs w:val="28"/>
    </w:rPr>
  </w:style>
  <w:style w:type="character" w:customStyle="1" w:styleId="481">
    <w:name w:val="tx1"/>
    <w:qFormat/>
    <w:uiPriority w:val="0"/>
    <w:rPr>
      <w:b/>
    </w:rPr>
  </w:style>
  <w:style w:type="character" w:customStyle="1" w:styleId="482">
    <w:name w:val="标书正文:  0.74 厘米 Char"/>
    <w:link w:val="225"/>
    <w:qFormat/>
    <w:uiPriority w:val="0"/>
    <w:rPr>
      <w:rFonts w:eastAsia="宋体"/>
      <w:kern w:val="2"/>
      <w:sz w:val="24"/>
      <w:lang w:val="en-US" w:eastAsia="zh-CN" w:bidi="ar-SA"/>
    </w:rPr>
  </w:style>
  <w:style w:type="character" w:customStyle="1" w:styleId="483">
    <w:name w:val="标题 1 Char Char"/>
    <w:qFormat/>
    <w:uiPriority w:val="0"/>
    <w:rPr>
      <w:rFonts w:eastAsia="宋体"/>
      <w:b/>
      <w:spacing w:val="-2"/>
      <w:sz w:val="24"/>
      <w:lang w:val="en-US" w:eastAsia="zh-CN" w:bidi="ar-SA"/>
    </w:rPr>
  </w:style>
  <w:style w:type="character" w:customStyle="1" w:styleId="484">
    <w:name w:val="标题 2 字符"/>
    <w:link w:val="3"/>
    <w:qFormat/>
    <w:uiPriority w:val="0"/>
    <w:rPr>
      <w:b/>
      <w:kern w:val="2"/>
      <w:sz w:val="32"/>
    </w:rPr>
  </w:style>
  <w:style w:type="character" w:customStyle="1" w:styleId="485">
    <w:name w:val="title_emph1"/>
    <w:qFormat/>
    <w:uiPriority w:val="0"/>
    <w:rPr>
      <w:rFonts w:hint="default" w:ascii="Arial" w:hAnsi="Arial"/>
      <w:b/>
      <w:sz w:val="18"/>
    </w:rPr>
  </w:style>
  <w:style w:type="character" w:customStyle="1" w:styleId="486">
    <w:name w:val="标题 1 字符"/>
    <w:link w:val="2"/>
    <w:qFormat/>
    <w:uiPriority w:val="0"/>
    <w:rPr>
      <w:rFonts w:ascii="宋体"/>
      <w:color w:val="000000"/>
      <w:sz w:val="36"/>
    </w:rPr>
  </w:style>
  <w:style w:type="character" w:customStyle="1" w:styleId="487">
    <w:name w:val="Heading 1 Char"/>
    <w:qFormat/>
    <w:locked/>
    <w:uiPriority w:val="0"/>
    <w:rPr>
      <w:rFonts w:ascii="Times New Roman" w:hAnsi="Times New Roman" w:eastAsia="宋体" w:cs="Times New Roman"/>
      <w:b/>
      <w:bCs/>
      <w:kern w:val="44"/>
      <w:sz w:val="44"/>
      <w:szCs w:val="44"/>
    </w:rPr>
  </w:style>
  <w:style w:type="character" w:customStyle="1" w:styleId="488">
    <w:name w:val="textfont1"/>
    <w:qFormat/>
    <w:uiPriority w:val="0"/>
    <w:rPr>
      <w:spacing w:val="31680"/>
      <w:sz w:val="26"/>
    </w:rPr>
  </w:style>
  <w:style w:type="character" w:customStyle="1" w:styleId="489">
    <w:name w:val="font101"/>
    <w:basedOn w:val="82"/>
    <w:qFormat/>
    <w:uiPriority w:val="0"/>
    <w:rPr>
      <w:rFonts w:hint="default" w:ascii="Arial" w:hAnsi="Arial" w:cs="Arial"/>
      <w:color w:val="000000"/>
      <w:sz w:val="22"/>
      <w:szCs w:val="22"/>
      <w:u w:val="none"/>
    </w:rPr>
  </w:style>
  <w:style w:type="character" w:customStyle="1" w:styleId="490">
    <w:name w:val="Normal Indent Char"/>
    <w:qFormat/>
    <w:locked/>
    <w:uiPriority w:val="0"/>
    <w:rPr>
      <w:rFonts w:ascii="Times New Roman" w:hAnsi="Times New Roman"/>
    </w:rPr>
  </w:style>
  <w:style w:type="character" w:customStyle="1" w:styleId="491">
    <w:name w:val="pi1"/>
    <w:qFormat/>
    <w:uiPriority w:val="0"/>
    <w:rPr>
      <w:color w:val="0000FF"/>
    </w:rPr>
  </w:style>
  <w:style w:type="character" w:customStyle="1" w:styleId="492">
    <w:name w:val="b titlename wangputoptitle"/>
    <w:qFormat/>
    <w:uiPriority w:val="0"/>
  </w:style>
  <w:style w:type="character" w:customStyle="1" w:styleId="493">
    <w:name w:val="正文缩进4"/>
    <w:qFormat/>
    <w:uiPriority w:val="0"/>
    <w:rPr>
      <w:rFonts w:eastAsia="宋体"/>
      <w:sz w:val="24"/>
      <w:lang w:val="en-US" w:eastAsia="zh-CN"/>
    </w:rPr>
  </w:style>
  <w:style w:type="character" w:customStyle="1" w:styleId="494">
    <w:name w:val="样式5 Char"/>
    <w:link w:val="246"/>
    <w:qFormat/>
    <w:uiPriority w:val="0"/>
    <w:rPr>
      <w:rFonts w:ascii="宋体" w:hAnsi="宋体" w:eastAsia="宋体"/>
      <w:b/>
      <w:bCs/>
      <w:color w:val="000000"/>
      <w:kern w:val="44"/>
      <w:sz w:val="28"/>
      <w:szCs w:val="32"/>
      <w:lang w:val="en-US" w:eastAsia="zh-CN" w:bidi="ar-SA"/>
    </w:rPr>
  </w:style>
  <w:style w:type="character" w:customStyle="1" w:styleId="495">
    <w:name w:val="Date Char"/>
    <w:qFormat/>
    <w:locked/>
    <w:uiPriority w:val="0"/>
    <w:rPr>
      <w:rFonts w:ascii="楷体_GB2312" w:eastAsia="楷体_GB2312" w:cs="Times New Roman"/>
      <w:sz w:val="32"/>
    </w:rPr>
  </w:style>
  <w:style w:type="character" w:customStyle="1" w:styleId="496">
    <w:name w:val="Header Char"/>
    <w:qFormat/>
    <w:locked/>
    <w:uiPriority w:val="0"/>
    <w:rPr>
      <w:rFonts w:cs="Times New Roman"/>
      <w:sz w:val="18"/>
      <w:szCs w:val="18"/>
    </w:rPr>
  </w:style>
  <w:style w:type="character" w:customStyle="1" w:styleId="497">
    <w:name w:val="unnamed51"/>
    <w:qFormat/>
    <w:uiPriority w:val="0"/>
    <w:rPr>
      <w:sz w:val="22"/>
      <w:szCs w:val="22"/>
    </w:rPr>
  </w:style>
  <w:style w:type="character" w:customStyle="1" w:styleId="498">
    <w:name w:val="H6 Char"/>
    <w:qFormat/>
    <w:uiPriority w:val="0"/>
    <w:rPr>
      <w:rFonts w:ascii="Arial" w:hAnsi="Arial" w:eastAsia="黑体"/>
      <w:b/>
      <w:kern w:val="2"/>
      <w:sz w:val="24"/>
      <w:lang w:val="en-US" w:eastAsia="zh-CN" w:bidi="ar-SA"/>
    </w:rPr>
  </w:style>
  <w:style w:type="character" w:customStyle="1" w:styleId="499">
    <w:name w:val="正文缩进 字符"/>
    <w:link w:val="19"/>
    <w:qFormat/>
    <w:uiPriority w:val="0"/>
    <w:rPr>
      <w:rFonts w:eastAsia="宋体"/>
      <w:kern w:val="2"/>
      <w:sz w:val="21"/>
      <w:lang w:val="en-US" w:eastAsia="zh-CN"/>
    </w:rPr>
  </w:style>
  <w:style w:type="character" w:customStyle="1" w:styleId="500">
    <w:name w:val="font122"/>
    <w:basedOn w:val="82"/>
    <w:qFormat/>
    <w:uiPriority w:val="0"/>
    <w:rPr>
      <w:rFonts w:hint="eastAsia" w:ascii="宋体" w:hAnsi="宋体" w:eastAsia="宋体" w:cs="宋体"/>
      <w:color w:val="000000"/>
      <w:sz w:val="22"/>
      <w:szCs w:val="22"/>
      <w:u w:val="none"/>
    </w:rPr>
  </w:style>
  <w:style w:type="character" w:customStyle="1" w:styleId="501">
    <w:name w:val="sony121"/>
    <w:qFormat/>
    <w:uiPriority w:val="0"/>
    <w:rPr>
      <w:rFonts w:hint="eastAsia" w:ascii="宋体" w:hAnsi="宋体" w:eastAsia="宋体"/>
      <w:sz w:val="18"/>
      <w:szCs w:val="18"/>
    </w:rPr>
  </w:style>
  <w:style w:type="character" w:customStyle="1" w:styleId="502">
    <w:name w:val="t1"/>
    <w:qFormat/>
    <w:uiPriority w:val="0"/>
    <w:rPr>
      <w:color w:val="990000"/>
    </w:rPr>
  </w:style>
  <w:style w:type="character" w:customStyle="1" w:styleId="503">
    <w:name w:val="文档结构图 字符"/>
    <w:link w:val="25"/>
    <w:qFormat/>
    <w:uiPriority w:val="0"/>
    <w:rPr>
      <w:kern w:val="2"/>
      <w:sz w:val="24"/>
      <w:shd w:val="clear" w:color="auto" w:fill="000080"/>
    </w:rPr>
  </w:style>
  <w:style w:type="character" w:customStyle="1" w:styleId="504">
    <w:name w:val="Char Char11"/>
    <w:qFormat/>
    <w:uiPriority w:val="0"/>
    <w:rPr>
      <w:sz w:val="18"/>
      <w:szCs w:val="18"/>
    </w:rPr>
  </w:style>
  <w:style w:type="character" w:customStyle="1" w:styleId="505">
    <w:name w:val="NormalCharacter"/>
    <w:semiHidden/>
    <w:qFormat/>
    <w:uiPriority w:val="0"/>
  </w:style>
  <w:style w:type="character" w:customStyle="1" w:styleId="506">
    <w:name w:val="highlight1"/>
    <w:qFormat/>
    <w:uiPriority w:val="0"/>
    <w:rPr>
      <w:sz w:val="21"/>
    </w:rPr>
  </w:style>
  <w:style w:type="character" w:customStyle="1" w:styleId="507">
    <w:name w:val="抬头 Char"/>
    <w:qFormat/>
    <w:uiPriority w:val="0"/>
    <w:rPr>
      <w:rFonts w:eastAsia="宋体"/>
      <w:sz w:val="30"/>
      <w:szCs w:val="30"/>
      <w:lang w:val="en-US" w:eastAsia="zh-CN" w:bidi="ar-SA"/>
    </w:rPr>
  </w:style>
  <w:style w:type="character" w:customStyle="1" w:styleId="508">
    <w:name w:val="样式1 Char"/>
    <w:link w:val="213"/>
    <w:qFormat/>
    <w:uiPriority w:val="0"/>
    <w:rPr>
      <w:rFonts w:ascii="宋体" w:hAnsi="宋体" w:eastAsia="宋体"/>
      <w:b/>
      <w:bCs/>
      <w:kern w:val="2"/>
      <w:sz w:val="44"/>
      <w:szCs w:val="24"/>
      <w:lang w:val="en-US" w:eastAsia="zh-CN" w:bidi="ar-SA"/>
    </w:rPr>
  </w:style>
  <w:style w:type="character" w:customStyle="1" w:styleId="509">
    <w:name w:val="标段 Char"/>
    <w:qFormat/>
    <w:uiPriority w:val="0"/>
    <w:rPr>
      <w:rFonts w:ascii="宋体" w:hAnsi="宋体" w:eastAsia="宋体"/>
      <w:sz w:val="24"/>
      <w:szCs w:val="21"/>
      <w:u w:val="thick"/>
      <w:lang w:val="en-US" w:eastAsia="zh-CN" w:bidi="ar-SA"/>
    </w:rPr>
  </w:style>
  <w:style w:type="character" w:customStyle="1" w:styleId="510">
    <w:name w:val="普通(网站) 字符"/>
    <w:link w:val="74"/>
    <w:qFormat/>
    <w:uiPriority w:val="0"/>
    <w:rPr>
      <w:rFonts w:ascii="宋体" w:hAnsi="宋体"/>
      <w:sz w:val="22"/>
    </w:rPr>
  </w:style>
  <w:style w:type="character" w:customStyle="1" w:styleId="511">
    <w:name w:val="正文文本缩进字符"/>
    <w:qFormat/>
    <w:uiPriority w:val="0"/>
    <w:rPr>
      <w:rFonts w:ascii="宋体"/>
      <w:kern w:val="2"/>
      <w:sz w:val="24"/>
    </w:rPr>
  </w:style>
  <w:style w:type="character" w:customStyle="1" w:styleId="512">
    <w:name w:val="标题 4 Char Char"/>
    <w:qFormat/>
    <w:uiPriority w:val="0"/>
    <w:rPr>
      <w:rFonts w:ascii="Arial" w:hAnsi="Arial" w:eastAsia="黑体"/>
      <w:b/>
      <w:kern w:val="2"/>
      <w:sz w:val="28"/>
      <w:lang w:val="en-US" w:eastAsia="zh-CN"/>
    </w:rPr>
  </w:style>
  <w:style w:type="character" w:customStyle="1" w:styleId="513">
    <w:name w:val="Char Char14"/>
    <w:qFormat/>
    <w:uiPriority w:val="0"/>
    <w:rPr>
      <w:rFonts w:ascii="Times New Roman" w:hAnsi="Times New Roman" w:eastAsia="仿宋_GB2312"/>
      <w:b/>
      <w:bCs/>
      <w:kern w:val="44"/>
      <w:sz w:val="30"/>
      <w:szCs w:val="44"/>
    </w:rPr>
  </w:style>
  <w:style w:type="character" w:customStyle="1" w:styleId="514">
    <w:name w:val="Char Char1"/>
    <w:qFormat/>
    <w:uiPriority w:val="0"/>
    <w:rPr>
      <w:kern w:val="2"/>
      <w:sz w:val="21"/>
      <w:szCs w:val="24"/>
    </w:rPr>
  </w:style>
  <w:style w:type="character" w:customStyle="1" w:styleId="515">
    <w:name w:val="font51"/>
    <w:basedOn w:val="82"/>
    <w:qFormat/>
    <w:uiPriority w:val="0"/>
    <w:rPr>
      <w:rFonts w:hint="eastAsia" w:ascii="宋体" w:hAnsi="宋体" w:eastAsia="宋体" w:cs="宋体"/>
      <w:b/>
      <w:color w:val="000000"/>
      <w:sz w:val="24"/>
      <w:szCs w:val="24"/>
      <w:u w:val="none"/>
    </w:rPr>
  </w:style>
  <w:style w:type="character" w:customStyle="1" w:styleId="516">
    <w:name w:val="ask-title2"/>
    <w:basedOn w:val="82"/>
    <w:qFormat/>
    <w:uiPriority w:val="0"/>
  </w:style>
  <w:style w:type="character" w:customStyle="1" w:styleId="517">
    <w:name w:val="页眉 字符"/>
    <w:link w:val="53"/>
    <w:qFormat/>
    <w:uiPriority w:val="99"/>
    <w:rPr>
      <w:sz w:val="18"/>
    </w:rPr>
  </w:style>
  <w:style w:type="character" w:customStyle="1" w:styleId="518">
    <w:name w:val="首行缩进:  2 字符 Char Char"/>
    <w:link w:val="248"/>
    <w:qFormat/>
    <w:uiPriority w:val="0"/>
    <w:rPr>
      <w:rFonts w:eastAsia="仿宋_GB2312" w:cs="宋体"/>
      <w:sz w:val="24"/>
      <w:lang w:val="en-US" w:eastAsia="zh-CN" w:bidi="ar-SA"/>
    </w:rPr>
  </w:style>
  <w:style w:type="character" w:customStyle="1" w:styleId="519">
    <w:name w:val="日期 字符"/>
    <w:link w:val="47"/>
    <w:qFormat/>
    <w:uiPriority w:val="99"/>
    <w:rPr>
      <w:rFonts w:ascii="楷体_GB2312" w:eastAsia="楷体_GB2312"/>
      <w:sz w:val="32"/>
    </w:rPr>
  </w:style>
  <w:style w:type="character" w:customStyle="1" w:styleId="520">
    <w:name w:val="ns1"/>
    <w:qFormat/>
    <w:uiPriority w:val="0"/>
    <w:rPr>
      <w:color w:val="FF0000"/>
    </w:rPr>
  </w:style>
  <w:style w:type="character" w:customStyle="1" w:styleId="521">
    <w:name w:val="m1"/>
    <w:qFormat/>
    <w:uiPriority w:val="0"/>
    <w:rPr>
      <w:color w:val="0000FF"/>
    </w:rPr>
  </w:style>
  <w:style w:type="character" w:customStyle="1" w:styleId="522">
    <w:name w:val="标题 7 字符"/>
    <w:link w:val="9"/>
    <w:qFormat/>
    <w:uiPriority w:val="0"/>
    <w:rPr>
      <w:rFonts w:eastAsia="宋体"/>
      <w:b/>
      <w:kern w:val="2"/>
      <w:sz w:val="24"/>
      <w:lang w:val="en-US" w:eastAsia="zh-CN" w:bidi="ar-SA"/>
    </w:rPr>
  </w:style>
  <w:style w:type="character" w:customStyle="1" w:styleId="523">
    <w:name w:val="Char Char8"/>
    <w:qFormat/>
    <w:uiPriority w:val="0"/>
    <w:rPr>
      <w:rFonts w:ascii="Times New Roman" w:hAnsi="Times New Roman"/>
      <w:kern w:val="2"/>
      <w:sz w:val="24"/>
      <w:szCs w:val="21"/>
    </w:rPr>
  </w:style>
  <w:style w:type="character" w:customStyle="1" w:styleId="524">
    <w:name w:val="正文文本样式 Char"/>
    <w:link w:val="149"/>
    <w:qFormat/>
    <w:uiPriority w:val="0"/>
    <w:rPr>
      <w:rFonts w:ascii="Arial" w:hAnsi="Arial"/>
      <w:kern w:val="2"/>
      <w:sz w:val="24"/>
      <w:szCs w:val="22"/>
      <w:lang w:val="en-US" w:eastAsia="zh-CN" w:bidi="ar-SA"/>
    </w:rPr>
  </w:style>
  <w:style w:type="character" w:customStyle="1" w:styleId="525">
    <w:name w:val="页脚 字符"/>
    <w:link w:val="51"/>
    <w:qFormat/>
    <w:uiPriority w:val="99"/>
    <w:rPr>
      <w:kern w:val="2"/>
      <w:sz w:val="18"/>
    </w:rPr>
  </w:style>
  <w:style w:type="character" w:customStyle="1" w:styleId="526">
    <w:name w:val="标题 8 字符"/>
    <w:link w:val="10"/>
    <w:qFormat/>
    <w:uiPriority w:val="0"/>
    <w:rPr>
      <w:rFonts w:ascii="Arial" w:hAnsi="Arial" w:eastAsia="黑体"/>
      <w:kern w:val="2"/>
      <w:sz w:val="24"/>
      <w:lang w:val="en-US" w:eastAsia="zh-CN" w:bidi="ar-SA"/>
    </w:rPr>
  </w:style>
  <w:style w:type="character" w:customStyle="1" w:styleId="527">
    <w:name w:val="标题 6 字符"/>
    <w:link w:val="8"/>
    <w:qFormat/>
    <w:uiPriority w:val="0"/>
    <w:rPr>
      <w:rFonts w:ascii="Arial" w:hAnsi="Arial" w:eastAsia="黑体"/>
      <w:kern w:val="2"/>
      <w:sz w:val="24"/>
    </w:rPr>
  </w:style>
  <w:style w:type="character" w:customStyle="1" w:styleId="528">
    <w:name w:val="正文文本缩进 2 字符"/>
    <w:link w:val="48"/>
    <w:qFormat/>
    <w:uiPriority w:val="0"/>
    <w:rPr>
      <w:rFonts w:ascii="Arial" w:hAnsi="Arial" w:eastAsia="LineDraw"/>
      <w:kern w:val="2"/>
      <w:sz w:val="24"/>
    </w:rPr>
  </w:style>
  <w:style w:type="character" w:customStyle="1" w:styleId="529">
    <w:name w:val="标题一 Char"/>
    <w:qFormat/>
    <w:uiPriority w:val="0"/>
    <w:rPr>
      <w:rFonts w:ascii="宋体" w:hAnsi="宋体" w:eastAsia="宋体"/>
      <w:b/>
      <w:sz w:val="28"/>
      <w:szCs w:val="21"/>
      <w:lang w:val="en-US" w:eastAsia="zh-CN" w:bidi="ar-SA"/>
    </w:rPr>
  </w:style>
  <w:style w:type="character" w:customStyle="1" w:styleId="530">
    <w:name w:val="题注 字符"/>
    <w:link w:val="21"/>
    <w:qFormat/>
    <w:uiPriority w:val="0"/>
    <w:rPr>
      <w:rFonts w:ascii="Arial" w:hAnsi="Arial" w:eastAsia="黑体"/>
      <w:spacing w:val="10"/>
      <w:kern w:val="2"/>
    </w:rPr>
  </w:style>
  <w:style w:type="character" w:customStyle="1" w:styleId="531">
    <w:name w:val="正文文本首行缩进 字符"/>
    <w:link w:val="33"/>
    <w:qFormat/>
    <w:uiPriority w:val="0"/>
    <w:rPr>
      <w:kern w:val="2"/>
      <w:sz w:val="24"/>
    </w:rPr>
  </w:style>
  <w:style w:type="character" w:customStyle="1" w:styleId="532">
    <w:name w:val="标题 4 字符"/>
    <w:link w:val="5"/>
    <w:qFormat/>
    <w:uiPriority w:val="0"/>
    <w:rPr>
      <w:b/>
      <w:kern w:val="2"/>
      <w:sz w:val="28"/>
    </w:rPr>
  </w:style>
  <w:style w:type="character" w:customStyle="1" w:styleId="533">
    <w:name w:val="标题 5 字符"/>
    <w:link w:val="6"/>
    <w:qFormat/>
    <w:uiPriority w:val="0"/>
    <w:rPr>
      <w:b/>
      <w:kern w:val="2"/>
      <w:sz w:val="24"/>
    </w:rPr>
  </w:style>
  <w:style w:type="character" w:customStyle="1" w:styleId="534">
    <w:name w:val="批注文字 字符"/>
    <w:link w:val="27"/>
    <w:qFormat/>
    <w:uiPriority w:val="0"/>
    <w:rPr>
      <w:kern w:val="2"/>
      <w:sz w:val="24"/>
    </w:rPr>
  </w:style>
  <w:style w:type="character" w:customStyle="1" w:styleId="535">
    <w:name w:val="批注框文本 字符"/>
    <w:link w:val="50"/>
    <w:semiHidden/>
    <w:qFormat/>
    <w:uiPriority w:val="99"/>
    <w:rPr>
      <w:rFonts w:ascii="宋体" w:eastAsia="宋体"/>
      <w:color w:val="FF0000"/>
      <w:kern w:val="2"/>
      <w:sz w:val="24"/>
      <w:lang w:val="en-US" w:eastAsia="zh-CN" w:bidi="ar-SA"/>
    </w:rPr>
  </w:style>
  <w:style w:type="character" w:customStyle="1" w:styleId="536">
    <w:name w:val="特点标题 Char"/>
    <w:qFormat/>
    <w:uiPriority w:val="0"/>
    <w:rPr>
      <w:rFonts w:ascii="宋体"/>
      <w:kern w:val="2"/>
      <w:sz w:val="24"/>
    </w:rPr>
  </w:style>
  <w:style w:type="character" w:customStyle="1" w:styleId="537">
    <w:name w:val="Char Char Char Char Char Char Char Char Char"/>
    <w:link w:val="253"/>
    <w:qFormat/>
    <w:uiPriority w:val="0"/>
    <w:rPr>
      <w:rFonts w:ascii="宋体" w:eastAsia="宋体"/>
      <w:color w:val="FF0000"/>
      <w:sz w:val="24"/>
      <w:lang w:val="en-US" w:eastAsia="zh-CN"/>
    </w:rPr>
  </w:style>
  <w:style w:type="character" w:customStyle="1" w:styleId="538">
    <w:name w:val="标题 3 Char"/>
    <w:qFormat/>
    <w:uiPriority w:val="0"/>
    <w:rPr>
      <w:rFonts w:hint="eastAsia" w:ascii="宋体" w:hAnsi="宋体" w:eastAsia="宋体"/>
      <w:b/>
      <w:bCs/>
      <w:kern w:val="2"/>
      <w:sz w:val="21"/>
      <w:szCs w:val="32"/>
      <w:lang w:val="en-US" w:eastAsia="zh-CN" w:bidi="ar-SA"/>
    </w:rPr>
  </w:style>
  <w:style w:type="character" w:customStyle="1" w:styleId="539">
    <w:name w:val="p12"/>
    <w:basedOn w:val="82"/>
    <w:qFormat/>
    <w:uiPriority w:val="0"/>
  </w:style>
  <w:style w:type="character" w:customStyle="1" w:styleId="540">
    <w:name w:val="Heading 3 Char"/>
    <w:qFormat/>
    <w:locked/>
    <w:uiPriority w:val="0"/>
    <w:rPr>
      <w:rFonts w:ascii="Times New Roman" w:hAnsi="Times New Roman" w:eastAsia="黑体" w:cs="Times New Roman"/>
      <w:b/>
      <w:bCs/>
      <w:sz w:val="32"/>
      <w:szCs w:val="32"/>
    </w:rPr>
  </w:style>
  <w:style w:type="character" w:customStyle="1" w:styleId="541">
    <w:name w:val="text_121"/>
    <w:qFormat/>
    <w:uiPriority w:val="0"/>
    <w:rPr>
      <w:rFonts w:hint="default" w:ascii="sө_x0002_" w:hAnsi="sө_x0002_"/>
      <w:color w:val="000000"/>
      <w:sz w:val="15"/>
      <w:szCs w:val="15"/>
    </w:rPr>
  </w:style>
  <w:style w:type="character" w:customStyle="1" w:styleId="542">
    <w:name w:val="正文样式 Char"/>
    <w:link w:val="320"/>
    <w:qFormat/>
    <w:uiPriority w:val="0"/>
    <w:rPr>
      <w:rFonts w:eastAsia="宋体" w:cs="宋体"/>
      <w:kern w:val="2"/>
      <w:sz w:val="21"/>
      <w:lang w:val="en-US" w:eastAsia="zh-CN" w:bidi="ar-SA"/>
    </w:rPr>
  </w:style>
  <w:style w:type="character" w:customStyle="1" w:styleId="543">
    <w:name w:val="Char Char12"/>
    <w:qFormat/>
    <w:uiPriority w:val="0"/>
    <w:rPr>
      <w:sz w:val="18"/>
      <w:szCs w:val="18"/>
    </w:rPr>
  </w:style>
  <w:style w:type="character" w:customStyle="1" w:styleId="544">
    <w:name w:val="font111"/>
    <w:basedOn w:val="82"/>
    <w:qFormat/>
    <w:uiPriority w:val="0"/>
    <w:rPr>
      <w:rFonts w:hint="eastAsia" w:ascii="黑体" w:hAnsi="宋体" w:eastAsia="黑体" w:cs="黑体"/>
      <w:color w:val="000000"/>
      <w:sz w:val="22"/>
      <w:szCs w:val="22"/>
      <w:u w:val="none"/>
    </w:rPr>
  </w:style>
  <w:style w:type="character" w:customStyle="1" w:styleId="545">
    <w:name w:val="font151"/>
    <w:basedOn w:val="82"/>
    <w:qFormat/>
    <w:uiPriority w:val="0"/>
    <w:rPr>
      <w:rFonts w:hint="default" w:ascii="Calibri" w:hAnsi="Calibri" w:cs="Calibri"/>
      <w:color w:val="000000"/>
      <w:sz w:val="22"/>
      <w:szCs w:val="22"/>
      <w:u w:val="none"/>
    </w:rPr>
  </w:style>
  <w:style w:type="character" w:customStyle="1" w:styleId="546">
    <w:name w:val="font141"/>
    <w:basedOn w:val="82"/>
    <w:qFormat/>
    <w:uiPriority w:val="0"/>
    <w:rPr>
      <w:rFonts w:hint="eastAsia" w:ascii="黑体" w:hAnsi="宋体" w:eastAsia="黑体" w:cs="黑体"/>
      <w:color w:val="000000"/>
      <w:sz w:val="22"/>
      <w:szCs w:val="22"/>
      <w:u w:val="none"/>
    </w:rPr>
  </w:style>
  <w:style w:type="character" w:customStyle="1" w:styleId="547">
    <w:name w:val="font91"/>
    <w:basedOn w:val="82"/>
    <w:qFormat/>
    <w:uiPriority w:val="0"/>
    <w:rPr>
      <w:rFonts w:ascii="Segoe UI Symbol" w:hAnsi="Segoe UI Symbol" w:eastAsia="Segoe UI Symbol" w:cs="Segoe UI Symbol"/>
      <w:color w:val="000000"/>
      <w:sz w:val="22"/>
      <w:szCs w:val="22"/>
      <w:u w:val="none"/>
    </w:rPr>
  </w:style>
  <w:style w:type="paragraph" w:customStyle="1" w:styleId="548">
    <w:name w:val="list number ＋left spaceing"/>
    <w:basedOn w:val="18"/>
    <w:qFormat/>
    <w:uiPriority w:val="0"/>
    <w:pPr>
      <w:widowControl/>
      <w:tabs>
        <w:tab w:val="left" w:pos="360"/>
      </w:tabs>
      <w:ind w:left="0"/>
    </w:pPr>
    <w:rPr>
      <w:rFonts w:ascii="Times New Roman" w:hAnsi="Times New Roman" w:eastAsia="宋体" w:cs="Times New Roman"/>
      <w:kern w:val="0"/>
    </w:rPr>
  </w:style>
  <w:style w:type="character" w:customStyle="1" w:styleId="549">
    <w:name w:val="font61"/>
    <w:basedOn w:val="82"/>
    <w:qFormat/>
    <w:uiPriority w:val="0"/>
    <w:rPr>
      <w:rFonts w:hint="eastAsia" w:ascii="宋体" w:hAnsi="宋体" w:eastAsia="宋体" w:cs="宋体"/>
      <w:color w:val="000000"/>
      <w:sz w:val="21"/>
      <w:szCs w:val="21"/>
      <w:u w:val="none"/>
    </w:rPr>
  </w:style>
  <w:style w:type="character" w:customStyle="1" w:styleId="550">
    <w:name w:val="font41"/>
    <w:basedOn w:val="82"/>
    <w:qFormat/>
    <w:uiPriority w:val="0"/>
    <w:rPr>
      <w:rFonts w:hint="eastAsia" w:ascii="宋体" w:hAnsi="宋体" w:eastAsia="宋体" w:cs="宋体"/>
      <w:bCs/>
      <w:color w:val="000000"/>
      <w:sz w:val="18"/>
      <w:szCs w:val="18"/>
      <w:u w:val="none"/>
    </w:rPr>
  </w:style>
  <w:style w:type="paragraph" w:customStyle="1" w:styleId="551">
    <w:name w:val="正文文本首行缩进 21"/>
    <w:basedOn w:val="552"/>
    <w:qFormat/>
    <w:uiPriority w:val="0"/>
    <w:pPr>
      <w:ind w:firstLine="420"/>
    </w:pPr>
    <w:rPr>
      <w:rFonts w:cs="宋体"/>
    </w:rPr>
  </w:style>
  <w:style w:type="paragraph" w:customStyle="1" w:styleId="552">
    <w:name w:val="Body Text Indent1"/>
    <w:basedOn w:val="1"/>
    <w:next w:val="1"/>
    <w:qFormat/>
    <w:uiPriority w:val="0"/>
    <w:pPr>
      <w:spacing w:after="120"/>
      <w:ind w:left="420" w:leftChars="200"/>
    </w:pPr>
    <w:rPr>
      <w:color w:val="000000"/>
      <w:sz w:val="21"/>
      <w:szCs w:val="21"/>
    </w:rPr>
  </w:style>
  <w:style w:type="paragraph" w:customStyle="1" w:styleId="553">
    <w:name w:val="正文缩进1"/>
    <w:basedOn w:val="1"/>
    <w:next w:val="20"/>
    <w:qFormat/>
    <w:uiPriority w:val="0"/>
    <w:pPr>
      <w:autoSpaceDE w:val="0"/>
      <w:autoSpaceDN w:val="0"/>
      <w:snapToGrid w:val="0"/>
      <w:spacing w:after="120" w:line="360" w:lineRule="auto"/>
      <w:ind w:left="420" w:leftChars="200" w:firstLine="480" w:firstLineChars="200"/>
    </w:pPr>
    <w:rPr>
      <w:szCs w:val="21"/>
    </w:rPr>
  </w:style>
  <w:style w:type="paragraph" w:customStyle="1" w:styleId="554">
    <w:name w:val="索引 11"/>
    <w:basedOn w:val="1"/>
    <w:next w:val="1"/>
    <w:qFormat/>
    <w:uiPriority w:val="99"/>
    <w:pPr>
      <w:spacing w:line="360" w:lineRule="auto"/>
    </w:pPr>
    <w:rPr>
      <w:rFonts w:ascii="仿宋_GB2312" w:eastAsia="仿宋_GB2312"/>
    </w:rPr>
  </w:style>
  <w:style w:type="paragraph" w:customStyle="1" w:styleId="555">
    <w:name w:val="text-tag"/>
    <w:basedOn w:val="1"/>
    <w:qFormat/>
    <w:uiPriority w:val="99"/>
    <w:pPr>
      <w:widowControl/>
      <w:spacing w:before="100" w:beforeAutospacing="1" w:after="100" w:afterAutospacing="1"/>
      <w:jc w:val="left"/>
    </w:pPr>
    <w:rPr>
      <w:rFonts w:ascii="宋体" w:hAnsi="宋体" w:cs="宋体"/>
      <w:kern w:val="0"/>
    </w:rPr>
  </w:style>
  <w:style w:type="character" w:customStyle="1" w:styleId="556">
    <w:name w:val="font81"/>
    <w:basedOn w:val="82"/>
    <w:qFormat/>
    <w:uiPriority w:val="0"/>
    <w:rPr>
      <w:rFonts w:ascii="Symbol" w:hAnsi="Symbol" w:cs="Symbol"/>
      <w:color w:val="000000"/>
      <w:sz w:val="22"/>
      <w:szCs w:val="22"/>
      <w:u w:val="none"/>
    </w:rPr>
  </w:style>
  <w:style w:type="paragraph" w:customStyle="1" w:styleId="557">
    <w:name w:val="Table Paragraph"/>
    <w:basedOn w:val="1"/>
    <w:qFormat/>
    <w:uiPriority w:val="1"/>
    <w:rPr>
      <w:rFonts w:ascii="华文中宋" w:hAnsi="华文中宋" w:eastAsia="华文中宋" w:cs="华文中宋"/>
    </w:rPr>
  </w:style>
  <w:style w:type="paragraph" w:customStyle="1" w:styleId="558">
    <w:name w:val="msonormal"/>
    <w:basedOn w:val="1"/>
    <w:qFormat/>
    <w:uiPriority w:val="0"/>
    <w:pPr>
      <w:widowControl/>
      <w:spacing w:before="100" w:beforeAutospacing="1" w:after="100" w:afterAutospacing="1"/>
      <w:jc w:val="left"/>
    </w:pPr>
    <w:rPr>
      <w:rFonts w:ascii="宋体" w:hAnsi="宋体" w:cs="宋体"/>
      <w:kern w:val="0"/>
      <w:szCs w:val="24"/>
    </w:rPr>
  </w:style>
  <w:style w:type="paragraph" w:customStyle="1" w:styleId="559">
    <w:name w:val="xl113"/>
    <w:basedOn w:val="1"/>
    <w:qFormat/>
    <w:uiPriority w:val="0"/>
    <w:pPr>
      <w:widowControl/>
      <w:shd w:val="clear" w:color="000000" w:fill="FFFFFF"/>
      <w:spacing w:before="100" w:beforeAutospacing="1" w:after="100" w:afterAutospacing="1"/>
      <w:jc w:val="left"/>
    </w:pPr>
    <w:rPr>
      <w:rFonts w:ascii="华文中宋" w:hAnsi="华文中宋" w:eastAsia="华文中宋" w:cs="宋体"/>
      <w:kern w:val="0"/>
      <w:sz w:val="20"/>
    </w:rPr>
  </w:style>
  <w:style w:type="paragraph" w:customStyle="1" w:styleId="560">
    <w:name w:val="xl114"/>
    <w:basedOn w:val="1"/>
    <w:qFormat/>
    <w:uiPriority w:val="0"/>
    <w:pPr>
      <w:widowControl/>
      <w:pBdr>
        <w:top w:val="single" w:color="auto" w:sz="8"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华文中宋" w:hAnsi="华文中宋" w:eastAsia="华文中宋" w:cs="宋体"/>
      <w:kern w:val="0"/>
      <w:sz w:val="20"/>
    </w:rPr>
  </w:style>
  <w:style w:type="paragraph" w:customStyle="1" w:styleId="561">
    <w:name w:val="xl115"/>
    <w:basedOn w:val="1"/>
    <w:qFormat/>
    <w:uiPriority w:val="0"/>
    <w:pPr>
      <w:widowControl/>
      <w:pBdr>
        <w:top w:val="single" w:color="auto" w:sz="8"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rPr>
  </w:style>
  <w:style w:type="paragraph" w:customStyle="1" w:styleId="562">
    <w:name w:val="xl116"/>
    <w:basedOn w:val="1"/>
    <w:qFormat/>
    <w:uiPriority w:val="0"/>
    <w:pPr>
      <w:widowControl/>
      <w:pBdr>
        <w:top w:val="single" w:color="auto" w:sz="8"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华文中宋" w:hAnsi="华文中宋" w:eastAsia="华文中宋" w:cs="宋体"/>
      <w:b/>
      <w:bCs/>
      <w:kern w:val="0"/>
      <w:szCs w:val="24"/>
    </w:rPr>
  </w:style>
  <w:style w:type="paragraph" w:customStyle="1" w:styleId="563">
    <w:name w:val="xl117"/>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华文中宋" w:hAnsi="华文中宋" w:eastAsia="华文中宋" w:cs="宋体"/>
      <w:kern w:val="0"/>
      <w:sz w:val="20"/>
    </w:rPr>
  </w:style>
  <w:style w:type="paragraph" w:customStyle="1" w:styleId="564">
    <w:name w:val="xl118"/>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华文中宋" w:hAnsi="华文中宋" w:eastAsia="华文中宋" w:cs="宋体"/>
      <w:kern w:val="0"/>
      <w:sz w:val="20"/>
    </w:rPr>
  </w:style>
  <w:style w:type="paragraph" w:customStyle="1" w:styleId="565">
    <w:name w:val="xl11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华文中宋" w:hAnsi="华文中宋" w:eastAsia="华文中宋" w:cs="宋体"/>
      <w:kern w:val="0"/>
      <w:szCs w:val="24"/>
    </w:rPr>
  </w:style>
  <w:style w:type="paragraph" w:customStyle="1" w:styleId="566">
    <w:name w:val="xl120"/>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华文中宋" w:hAnsi="华文中宋" w:eastAsia="华文中宋" w:cs="宋体"/>
      <w:kern w:val="0"/>
      <w:szCs w:val="24"/>
    </w:rPr>
  </w:style>
  <w:style w:type="paragraph" w:customStyle="1" w:styleId="567">
    <w:name w:val="xl12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中宋" w:hAnsi="华文中宋" w:eastAsia="华文中宋" w:cs="宋体"/>
      <w:kern w:val="0"/>
      <w:szCs w:val="24"/>
    </w:rPr>
  </w:style>
  <w:style w:type="paragraph" w:customStyle="1" w:styleId="568">
    <w:name w:val="Table Text"/>
    <w:basedOn w:val="1"/>
    <w:qFormat/>
    <w:uiPriority w:val="0"/>
    <w:pPr>
      <w:widowControl/>
      <w:spacing w:before="60" w:after="60"/>
      <w:jc w:val="left"/>
    </w:pPr>
    <w:rPr>
      <w:kern w:val="0"/>
      <w:sz w:val="24"/>
    </w:rPr>
  </w:style>
  <w:style w:type="table" w:customStyle="1" w:styleId="56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850</Words>
  <Characters>1019</Characters>
  <Lines>381</Lines>
  <Paragraphs>107</Paragraphs>
  <TotalTime>121</TotalTime>
  <ScaleCrop>false</ScaleCrop>
  <LinksUpToDate>false</LinksUpToDate>
  <CharactersWithSpaces>1060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2024-12-09T13:31:00Z</dcterms:created>
  <dc:creator>zlj</dc:creator>
  <cp:lastModifiedBy>Administrator</cp:lastModifiedBy>
  <cp:lastPrinted>2024-12-25T05:55:00Z</cp:lastPrinted>
  <dcterms:modified xsi:type="dcterms:W3CDTF">2025-01-24T07:49:27Z</dcterms:modified>
  <dc:title>sxwh</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1083E633C1FD4BB8B030E0620E33464E_13</vt:lpwstr>
  </property>
</Properties>
</file>