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outlineLvl w:val="0"/>
        <w:rPr>
          <w:rFonts w:ascii="宋体" w:hAnsi="宋体" w:cs="宋体"/>
          <w:b/>
          <w:bCs/>
          <w:sz w:val="40"/>
          <w:szCs w:val="40"/>
          <w:highlight w:val="none"/>
        </w:rPr>
      </w:pPr>
      <w:bookmarkStart w:id="0" w:name="_Toc28453"/>
      <w:bookmarkStart w:id="1" w:name="_Toc9354"/>
    </w:p>
    <w:p>
      <w:pPr>
        <w:spacing w:beforeLines="50" w:line="700" w:lineRule="exact"/>
        <w:jc w:val="center"/>
        <w:outlineLvl w:val="0"/>
        <w:rPr>
          <w:rFonts w:hint="eastAsia" w:ascii="宋体" w:hAnsi="宋体" w:cs="宋体"/>
          <w:b/>
          <w:kern w:val="0"/>
          <w:sz w:val="52"/>
          <w:szCs w:val="52"/>
          <w:lang w:eastAsia="zh-CN"/>
        </w:rPr>
      </w:pPr>
      <w:bookmarkStart w:id="2" w:name="OLE_LINK5"/>
      <w:r>
        <w:rPr>
          <w:rFonts w:hint="eastAsia" w:ascii="宋体" w:hAnsi="宋体" w:cs="宋体"/>
          <w:b/>
          <w:kern w:val="0"/>
          <w:sz w:val="52"/>
          <w:szCs w:val="52"/>
          <w:lang w:eastAsia="zh-CN"/>
        </w:rPr>
        <w:t>仙岩镇全域旅游及舜皇村核心区改造提升规划</w:t>
      </w:r>
      <w:bookmarkEnd w:id="2"/>
      <w:r>
        <w:rPr>
          <w:rFonts w:hint="eastAsia" w:ascii="宋体" w:hAnsi="宋体" w:cs="宋体"/>
          <w:b/>
          <w:kern w:val="0"/>
          <w:sz w:val="52"/>
          <w:szCs w:val="52"/>
          <w:lang w:eastAsia="zh-CN"/>
        </w:rPr>
        <w:t>项目</w:t>
      </w:r>
    </w:p>
    <w:p>
      <w:pPr>
        <w:spacing w:beforeLines="50" w:line="700" w:lineRule="exact"/>
        <w:jc w:val="center"/>
        <w:outlineLvl w:val="0"/>
        <w:rPr>
          <w:rFonts w:ascii="宋体" w:hAnsi="宋体" w:cs="宋体"/>
          <w:b/>
          <w:bCs/>
          <w:sz w:val="30"/>
          <w:szCs w:val="30"/>
          <w:highlight w:val="none"/>
        </w:rPr>
      </w:pPr>
      <w:r>
        <w:rPr>
          <w:rFonts w:hint="eastAsia" w:ascii="宋体" w:hAnsi="宋体" w:cs="宋体"/>
          <w:b/>
          <w:bCs/>
          <w:sz w:val="30"/>
          <w:szCs w:val="30"/>
          <w:highlight w:val="none"/>
        </w:rPr>
        <w:t>（编号：</w:t>
      </w:r>
      <w:bookmarkStart w:id="3" w:name="OLE_LINK8"/>
      <w:r>
        <w:rPr>
          <w:rFonts w:hint="eastAsia" w:ascii="宋体" w:hAnsi="宋体" w:cs="宋体"/>
          <w:b/>
          <w:bCs/>
          <w:sz w:val="30"/>
          <w:szCs w:val="30"/>
          <w:highlight w:val="none"/>
          <w:lang w:eastAsia="zh-CN"/>
        </w:rPr>
        <w:t>JQ-SZ20250116</w:t>
      </w:r>
      <w:bookmarkEnd w:id="3"/>
      <w:r>
        <w:rPr>
          <w:rFonts w:hint="eastAsia" w:ascii="宋体" w:hAnsi="宋体" w:cs="宋体"/>
          <w:b/>
          <w:bCs/>
          <w:sz w:val="30"/>
          <w:szCs w:val="30"/>
          <w:highlight w:val="none"/>
        </w:rPr>
        <w:t>）</w:t>
      </w:r>
      <w:bookmarkEnd w:id="0"/>
      <w:bookmarkEnd w:id="1"/>
    </w:p>
    <w:p>
      <w:pPr>
        <w:pStyle w:val="26"/>
        <w:rPr>
          <w:rFonts w:hAnsi="宋体"/>
          <w:b/>
          <w:bCs/>
          <w:highlight w:val="none"/>
        </w:rPr>
      </w:pPr>
    </w:p>
    <w:p>
      <w:pPr>
        <w:pStyle w:val="18"/>
        <w:rPr>
          <w:rFonts w:ascii="宋体" w:hAnsi="宋体" w:cs="宋体"/>
          <w:highlight w:val="none"/>
        </w:rPr>
      </w:pPr>
    </w:p>
    <w:p>
      <w:pPr>
        <w:pStyle w:val="18"/>
        <w:rPr>
          <w:rFonts w:ascii="宋体" w:hAnsi="宋体" w:cs="宋体"/>
          <w:highlight w:val="none"/>
        </w:rPr>
      </w:pPr>
    </w:p>
    <w:p>
      <w:pPr>
        <w:pStyle w:val="18"/>
        <w:rPr>
          <w:rFonts w:ascii="宋体" w:hAnsi="宋体" w:cs="宋体"/>
          <w:highlight w:val="none"/>
        </w:rPr>
      </w:pPr>
    </w:p>
    <w:p>
      <w:pPr>
        <w:pStyle w:val="18"/>
        <w:rPr>
          <w:rFonts w:ascii="宋体" w:hAnsi="宋体" w:cs="宋体"/>
          <w:highlight w:val="none"/>
        </w:rPr>
      </w:pPr>
    </w:p>
    <w:p>
      <w:pPr>
        <w:spacing w:beforeLines="50" w:line="360" w:lineRule="auto"/>
        <w:jc w:val="center"/>
        <w:outlineLvl w:val="0"/>
        <w:rPr>
          <w:rFonts w:ascii="宋体" w:hAnsi="宋体" w:cs="宋体"/>
          <w:sz w:val="30"/>
          <w:szCs w:val="30"/>
          <w:highlight w:val="none"/>
        </w:rPr>
      </w:pPr>
      <w:bookmarkStart w:id="4" w:name="_Toc32674"/>
      <w:bookmarkStart w:id="5" w:name="_Toc17047"/>
      <w:r>
        <w:rPr>
          <w:rFonts w:hint="eastAsia" w:ascii="宋体" w:hAnsi="宋体" w:cs="宋体"/>
          <w:sz w:val="72"/>
          <w:szCs w:val="72"/>
          <w:highlight w:val="none"/>
        </w:rPr>
        <w:t>公开招标文件</w:t>
      </w:r>
      <w:bookmarkEnd w:id="4"/>
      <w:bookmarkEnd w:id="5"/>
    </w:p>
    <w:p>
      <w:pPr>
        <w:pStyle w:val="17"/>
        <w:snapToGrid w:val="0"/>
        <w:spacing w:before="120" w:after="120" w:line="360" w:lineRule="auto"/>
        <w:jc w:val="center"/>
        <w:outlineLvl w:val="0"/>
        <w:rPr>
          <w:rFonts w:hAnsi="宋体"/>
          <w:b/>
          <w:bCs/>
          <w:sz w:val="36"/>
          <w:szCs w:val="36"/>
          <w:highlight w:val="none"/>
        </w:rPr>
      </w:pPr>
      <w:bookmarkStart w:id="6" w:name="_Toc4021"/>
      <w:bookmarkStart w:id="7" w:name="_Toc25846"/>
      <w:r>
        <w:rPr>
          <w:rFonts w:hint="eastAsia" w:hAnsi="宋体"/>
          <w:b/>
          <w:bCs/>
          <w:sz w:val="36"/>
          <w:szCs w:val="36"/>
          <w:highlight w:val="none"/>
        </w:rPr>
        <w:t>（国企采购项目电子标）</w:t>
      </w:r>
      <w:bookmarkEnd w:id="6"/>
      <w:bookmarkEnd w:id="7"/>
    </w:p>
    <w:p>
      <w:pPr>
        <w:pStyle w:val="17"/>
        <w:snapToGrid w:val="0"/>
        <w:spacing w:before="120" w:after="120" w:line="360" w:lineRule="auto"/>
        <w:ind w:firstLine="1343" w:firstLineChars="446"/>
        <w:rPr>
          <w:rFonts w:hAnsi="宋体"/>
          <w:b/>
          <w:bCs/>
          <w:sz w:val="30"/>
          <w:szCs w:val="30"/>
          <w:highlight w:val="none"/>
        </w:rPr>
      </w:pPr>
      <w:r>
        <w:rPr>
          <w:rFonts w:hint="eastAsia" w:hAnsi="宋体"/>
          <w:b/>
          <w:bCs/>
          <w:sz w:val="30"/>
          <w:szCs w:val="30"/>
          <w:highlight w:val="none"/>
        </w:rPr>
        <w:t xml:space="preserve"> </w:t>
      </w:r>
    </w:p>
    <w:p>
      <w:pPr>
        <w:pStyle w:val="4"/>
        <w:jc w:val="both"/>
        <w:rPr>
          <w:rFonts w:ascii="宋体" w:hAnsi="宋体" w:cs="宋体"/>
          <w:highlight w:val="none"/>
        </w:rPr>
      </w:pPr>
    </w:p>
    <w:p>
      <w:pPr>
        <w:adjustRightInd/>
        <w:spacing w:beforeLines="50" w:line="600" w:lineRule="exact"/>
        <w:ind w:firstLine="643" w:firstLineChars="200"/>
        <w:rPr>
          <w:rFonts w:ascii="宋体" w:hAnsi="宋体" w:cs="宋体"/>
          <w:b/>
          <w:bCs/>
          <w:sz w:val="32"/>
          <w:szCs w:val="32"/>
          <w:highlight w:val="none"/>
        </w:rPr>
      </w:pPr>
      <w:bookmarkStart w:id="8" w:name="_Toc18705"/>
    </w:p>
    <w:p>
      <w:pPr>
        <w:adjustRightInd/>
        <w:spacing w:beforeLines="50" w:line="700" w:lineRule="exact"/>
        <w:ind w:firstLine="1205" w:firstLineChars="400"/>
        <w:outlineLvl w:val="0"/>
        <w:rPr>
          <w:rFonts w:hint="eastAsia" w:ascii="宋体" w:hAnsi="宋体" w:cs="宋体"/>
          <w:b/>
          <w:bCs/>
          <w:sz w:val="30"/>
          <w:szCs w:val="30"/>
          <w:highlight w:val="none"/>
          <w:lang w:eastAsia="zh-CN"/>
        </w:rPr>
      </w:pPr>
      <w:bookmarkStart w:id="9" w:name="_Toc6700"/>
      <w:r>
        <w:rPr>
          <w:rFonts w:hint="eastAsia" w:ascii="宋体" w:hAnsi="宋体" w:cs="宋体"/>
          <w:b/>
          <w:bCs/>
          <w:sz w:val="30"/>
          <w:szCs w:val="30"/>
          <w:highlight w:val="none"/>
        </w:rPr>
        <w:t>采  购 单 位：</w:t>
      </w:r>
      <w:bookmarkEnd w:id="8"/>
      <w:bookmarkEnd w:id="9"/>
      <w:r>
        <w:rPr>
          <w:rFonts w:hint="eastAsia" w:ascii="宋体" w:hAnsi="宋体" w:cs="宋体"/>
          <w:b/>
          <w:bCs/>
          <w:sz w:val="30"/>
          <w:szCs w:val="30"/>
          <w:highlight w:val="none"/>
          <w:lang w:eastAsia="zh-CN"/>
        </w:rPr>
        <w:t>嵊州市山水文化旅游有限公司</w:t>
      </w:r>
    </w:p>
    <w:p>
      <w:pPr>
        <w:pStyle w:val="13"/>
        <w:ind w:firstLine="1205" w:firstLineChars="400"/>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实  施 单 位：嵊州市仙岩镇人民政府</w:t>
      </w:r>
    </w:p>
    <w:p>
      <w:pPr>
        <w:adjustRightInd/>
        <w:spacing w:beforeLines="50" w:line="700" w:lineRule="exact"/>
        <w:ind w:firstLine="1205" w:firstLineChars="400"/>
        <w:rPr>
          <w:rFonts w:ascii="宋体" w:hAnsi="宋体" w:cs="宋体"/>
          <w:b/>
          <w:bCs/>
          <w:sz w:val="30"/>
          <w:szCs w:val="30"/>
          <w:highlight w:val="none"/>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泾清项目管理有限公司</w:t>
      </w:r>
      <w:r>
        <w:rPr>
          <w:rFonts w:hint="eastAsia" w:ascii="宋体" w:hAnsi="宋体" w:cs="宋体"/>
          <w:b/>
          <w:bCs/>
          <w:sz w:val="30"/>
          <w:szCs w:val="30"/>
          <w:highlight w:val="none"/>
        </w:rPr>
        <w:t xml:space="preserve"> </w:t>
      </w:r>
    </w:p>
    <w:p>
      <w:pPr>
        <w:autoSpaceDE w:val="0"/>
        <w:adjustRightInd/>
        <w:snapToGrid w:val="0"/>
        <w:spacing w:line="700" w:lineRule="exact"/>
        <w:ind w:firstLine="1205" w:firstLineChars="400"/>
        <w:outlineLvl w:val="0"/>
        <w:rPr>
          <w:rFonts w:ascii="宋体" w:hAnsi="宋体" w:cs="宋体"/>
          <w:b/>
          <w:bCs/>
          <w:sz w:val="30"/>
          <w:szCs w:val="30"/>
          <w:highlight w:val="none"/>
        </w:rPr>
      </w:pPr>
      <w:bookmarkStart w:id="10" w:name="_Toc3262"/>
      <w:bookmarkStart w:id="11" w:name="_Toc14505"/>
      <w:r>
        <w:rPr>
          <w:rFonts w:hint="eastAsia" w:ascii="宋体" w:hAnsi="宋体" w:cs="宋体"/>
          <w:b/>
          <w:bCs/>
          <w:sz w:val="30"/>
          <w:szCs w:val="30"/>
          <w:highlight w:val="none"/>
        </w:rPr>
        <w:t>日        期：202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1</w:t>
      </w:r>
      <w:r>
        <w:rPr>
          <w:rFonts w:hint="eastAsia" w:ascii="宋体" w:hAnsi="宋体" w:cs="宋体"/>
          <w:b/>
          <w:bCs/>
          <w:sz w:val="30"/>
          <w:szCs w:val="30"/>
          <w:highlight w:val="none"/>
        </w:rPr>
        <w:t>月</w:t>
      </w:r>
      <w:bookmarkEnd w:id="10"/>
      <w:bookmarkEnd w:id="11"/>
      <w:r>
        <w:rPr>
          <w:rFonts w:hint="eastAsia" w:ascii="宋体" w:hAnsi="宋体" w:cs="宋体"/>
          <w:b/>
          <w:bCs/>
          <w:sz w:val="30"/>
          <w:szCs w:val="30"/>
          <w:highlight w:val="none"/>
        </w:rPr>
        <w:t xml:space="preserve"> </w:t>
      </w:r>
    </w:p>
    <w:p>
      <w:pPr>
        <w:jc w:val="center"/>
        <w:rPr>
          <w:rFonts w:hint="eastAsia" w:ascii="宋体" w:hAnsi="宋体" w:eastAsia="宋体" w:cs="宋体"/>
          <w:sz w:val="32"/>
          <w:szCs w:val="32"/>
          <w:highlight w:val="none"/>
          <w:lang w:val="en-US" w:eastAsia="zh-CN"/>
        </w:rPr>
        <w:sectPr>
          <w:headerReference r:id="rId4" w:type="first"/>
          <w:headerReference r:id="rId3" w:type="default"/>
          <w:footerReference r:id="rId5" w:type="even"/>
          <w:pgSz w:w="11906" w:h="16838"/>
          <w:pgMar w:top="1304" w:right="1418" w:bottom="1304" w:left="1418" w:header="851" w:footer="992" w:gutter="0"/>
          <w:cols w:space="720" w:num="1"/>
          <w:titlePg/>
          <w:docGrid w:linePitch="312" w:charSpace="0"/>
        </w:sectPr>
      </w:pPr>
      <w:r>
        <w:rPr>
          <w:rFonts w:hint="eastAsia" w:ascii="宋体" w:hAnsi="宋体" w:cs="宋体"/>
          <w:sz w:val="32"/>
          <w:szCs w:val="32"/>
          <w:highlight w:val="none"/>
          <w:lang w:val="en-US" w:eastAsia="zh-CN"/>
        </w:rPr>
        <w:t xml:space="preserve"> </w:t>
      </w:r>
    </w:p>
    <w:p>
      <w:pPr>
        <w:snapToGrid w:val="0"/>
        <w:spacing w:line="360" w:lineRule="auto"/>
        <w:ind w:firstLine="3373" w:firstLineChars="700"/>
        <w:jc w:val="left"/>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pStyle w:val="46"/>
        <w:tabs>
          <w:tab w:val="right" w:leader="dot" w:pos="9070"/>
        </w:tabs>
        <w:rPr>
          <w:rFonts w:ascii="宋体" w:hAnsi="宋体" w:eastAsia="宋体" w:cs="宋体"/>
          <w:highlight w:val="none"/>
        </w:rPr>
      </w:pP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TOC \o "1-1" \h \u </w:instrText>
      </w:r>
      <w:r>
        <w:rPr>
          <w:rFonts w:hint="eastAsia" w:ascii="宋体" w:hAnsi="宋体" w:eastAsia="宋体" w:cs="宋体"/>
          <w:b/>
          <w:sz w:val="32"/>
          <w:szCs w:val="32"/>
          <w:highlight w:val="none"/>
        </w:rPr>
        <w:fldChar w:fldCharType="separate"/>
      </w:r>
    </w:p>
    <w:p>
      <w:pPr>
        <w:adjustRightInd/>
        <w:spacing w:line="360" w:lineRule="auto"/>
        <w:jc w:val="center"/>
        <w:rPr>
          <w:rFonts w:hint="eastAsia" w:ascii="宋体" w:hAnsi="宋体" w:cs="宋体"/>
          <w:szCs w:val="32"/>
          <w:highlight w:val="none"/>
        </w:rPr>
      </w:pPr>
    </w:p>
    <w:p>
      <w:pPr>
        <w:snapToGrid w:val="0"/>
        <w:spacing w:line="360" w:lineRule="auto"/>
        <w:ind w:firstLine="1050" w:firstLineChars="500"/>
        <w:jc w:val="left"/>
        <w:rPr>
          <w:rFonts w:hint="eastAsia" w:ascii="宋体" w:hAnsi="宋体" w:eastAsia="宋体" w:cs="宋体"/>
          <w:b/>
          <w:color w:val="auto"/>
          <w:sz w:val="36"/>
          <w:szCs w:val="36"/>
        </w:rPr>
      </w:pPr>
      <w:r>
        <w:rPr>
          <w:rFonts w:hint="eastAsia" w:ascii="宋体" w:hAnsi="宋体" w:cs="宋体"/>
          <w:szCs w:val="32"/>
          <w:highlight w:val="none"/>
        </w:rPr>
        <w:fldChar w:fldCharType="end"/>
      </w:r>
      <w:r>
        <w:rPr>
          <w:rFonts w:hint="eastAsia" w:ascii="宋体" w:hAnsi="宋体" w:cs="宋体"/>
          <w:szCs w:val="32"/>
          <w:highlight w:val="none"/>
          <w:lang w:val="en-US" w:eastAsia="zh-CN"/>
        </w:rPr>
        <w:t xml:space="preserve">       </w:t>
      </w:r>
      <w:r>
        <w:rPr>
          <w:rFonts w:hint="eastAsia" w:ascii="宋体" w:hAnsi="宋体" w:eastAsia="宋体" w:cs="宋体"/>
          <w:b/>
          <w:color w:val="auto"/>
          <w:sz w:val="36"/>
          <w:szCs w:val="36"/>
        </w:rPr>
        <w:t>第一部分    招标公告</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第二部分    投标须知</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第三部分    招标项目范围及要求</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第四部分    合同的主要条款</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第五部分    评标方法及标准</w:t>
      </w:r>
    </w:p>
    <w:p>
      <w:pPr>
        <w:snapToGrid w:val="0"/>
        <w:spacing w:line="36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第六部分    投标文件及其附件格式</w:t>
      </w: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center"/>
        <w:rPr>
          <w:rFonts w:ascii="宋体" w:hAnsi="宋体" w:cs="宋体"/>
          <w:b/>
          <w:sz w:val="32"/>
          <w:szCs w:val="32"/>
          <w:highlight w:val="none"/>
        </w:rPr>
      </w:pPr>
    </w:p>
    <w:p>
      <w:pPr>
        <w:adjustRightInd/>
        <w:spacing w:line="360" w:lineRule="auto"/>
        <w:jc w:val="both"/>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sectPr>
          <w:footerReference r:id="rId7" w:type="first"/>
          <w:footerReference r:id="rId6" w:type="default"/>
          <w:pgSz w:w="11906" w:h="16838"/>
          <w:pgMar w:top="1134" w:right="1417" w:bottom="1134" w:left="1417" w:header="851" w:footer="992" w:gutter="0"/>
          <w:pgNumType w:start="1"/>
          <w:cols w:space="720" w:num="1"/>
          <w:docGrid w:linePitch="312" w:charSpace="0"/>
        </w:sectPr>
      </w:pPr>
      <w:bookmarkStart w:id="12" w:name="_Toc2260"/>
    </w:p>
    <w:p>
      <w:pPr>
        <w:adjustRightInd/>
        <w:spacing w:line="360" w:lineRule="auto"/>
        <w:jc w:val="center"/>
        <w:outlineLvl w:val="0"/>
        <w:rPr>
          <w:rFonts w:ascii="宋体" w:hAnsi="宋体" w:cs="宋体"/>
          <w:b/>
          <w:sz w:val="32"/>
          <w:szCs w:val="32"/>
          <w:highlight w:val="none"/>
        </w:rPr>
      </w:pPr>
    </w:p>
    <w:p>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第一章 招标公告</w:t>
      </w:r>
      <w:bookmarkEnd w:id="1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szCs w:val="24"/>
          <w:highlight w:val="none"/>
          <w:u w:val="none"/>
          <w:lang w:eastAsia="zh-CN"/>
        </w:rPr>
        <w:t>仙岩镇全域旅游及舜皇村核心区改造提升规划项目</w:t>
      </w:r>
      <w:r>
        <w:rPr>
          <w:rFonts w:hint="eastAsia" w:ascii="宋体" w:hAnsi="宋体" w:eastAsia="宋体" w:cs="宋体"/>
          <w:sz w:val="24"/>
          <w:szCs w:val="24"/>
          <w:highlight w:val="none"/>
          <w:u w:val="none"/>
        </w:rPr>
        <w:t>的</w:t>
      </w:r>
      <w:r>
        <w:rPr>
          <w:rFonts w:hint="eastAsia" w:ascii="宋体" w:hAnsi="宋体" w:eastAsia="宋体" w:cs="宋体"/>
          <w:sz w:val="24"/>
          <w:szCs w:val="24"/>
          <w:highlight w:val="none"/>
        </w:rPr>
        <w:t>潜在投标人应在乐采云平台（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"https://www.zcygov.cn/）获取（下载）招标文件，并于2021年" </w:instrText>
      </w:r>
      <w:r>
        <w:rPr>
          <w:rFonts w:hint="eastAsia" w:ascii="宋体" w:hAnsi="宋体" w:eastAsia="宋体" w:cs="宋体"/>
          <w:sz w:val="24"/>
          <w:szCs w:val="24"/>
          <w:highlight w:val="none"/>
        </w:rPr>
        <w:fldChar w:fldCharType="separate"/>
      </w:r>
      <w:r>
        <w:rPr>
          <w:rStyle w:val="33"/>
          <w:rFonts w:hint="eastAsia" w:ascii="宋体" w:hAnsi="宋体" w:eastAsia="宋体" w:cs="宋体"/>
          <w:snapToGrid/>
          <w:color w:val="auto"/>
          <w:kern w:val="2"/>
          <w:sz w:val="24"/>
          <w:szCs w:val="24"/>
          <w:highlight w:val="none"/>
        </w:rPr>
        <w:t>https://www.lecaiyun.com/）获取（下载）招标文件，并于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日09点</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0分00秒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u w:val="none"/>
          <w:lang w:eastAsia="zh-CN"/>
        </w:rPr>
      </w:pPr>
      <w:r>
        <w:rPr>
          <w:rFonts w:hint="eastAsia" w:ascii="宋体" w:hAnsi="宋体" w:cs="宋体"/>
          <w:b/>
          <w:bCs/>
          <w:sz w:val="24"/>
          <w:highlight w:val="none"/>
        </w:rPr>
        <w:t>1.</w:t>
      </w:r>
      <w:r>
        <w:rPr>
          <w:rFonts w:hint="eastAsia" w:ascii="宋体" w:hAnsi="宋体" w:cs="宋体"/>
          <w:b/>
          <w:sz w:val="24"/>
          <w:highlight w:val="none"/>
        </w:rPr>
        <w:t>项目编号：</w:t>
      </w:r>
      <w:r>
        <w:rPr>
          <w:rFonts w:hint="eastAsia" w:ascii="宋体" w:hAnsi="宋体" w:cs="宋体"/>
          <w:sz w:val="24"/>
          <w:highlight w:val="none"/>
          <w:u w:val="none"/>
          <w:lang w:eastAsia="zh-CN"/>
        </w:rPr>
        <w:t>JQ-SZ20250116</w:t>
      </w:r>
    </w:p>
    <w:p>
      <w:pPr>
        <w:spacing w:line="360" w:lineRule="auto"/>
        <w:rPr>
          <w:rFonts w:hint="eastAsia" w:ascii="宋体" w:hAnsi="宋体" w:cs="宋体"/>
          <w:sz w:val="24"/>
          <w:highlight w:val="none"/>
          <w:u w:val="none"/>
          <w:lang w:eastAsia="zh-CN"/>
        </w:rPr>
      </w:pPr>
      <w:r>
        <w:rPr>
          <w:rFonts w:hint="eastAsia" w:ascii="宋体" w:hAnsi="宋体" w:cs="宋体"/>
          <w:b/>
          <w:sz w:val="24"/>
          <w:highlight w:val="none"/>
        </w:rPr>
        <w:t>2.项目名称：</w:t>
      </w:r>
      <w:r>
        <w:rPr>
          <w:rFonts w:hint="eastAsia" w:ascii="宋体" w:hAnsi="宋体" w:cs="宋体"/>
          <w:sz w:val="24"/>
          <w:highlight w:val="none"/>
          <w:u w:val="none"/>
          <w:lang w:eastAsia="zh-CN"/>
        </w:rPr>
        <w:t>仙岩镇全域旅游及舜皇村核心区改造提升规划项目</w:t>
      </w:r>
    </w:p>
    <w:p>
      <w:pPr>
        <w:spacing w:line="360" w:lineRule="auto"/>
        <w:rPr>
          <w:rFonts w:ascii="宋体" w:hAnsi="宋体" w:cs="宋体"/>
          <w:b/>
          <w:sz w:val="24"/>
          <w:highlight w:val="yellow"/>
        </w:rPr>
      </w:pPr>
      <w:r>
        <w:rPr>
          <w:rFonts w:hint="eastAsia" w:ascii="宋体" w:hAnsi="宋体" w:cs="宋体"/>
          <w:b/>
          <w:sz w:val="24"/>
          <w:highlight w:val="none"/>
        </w:rPr>
        <w:t>3.预算金额（元）：</w:t>
      </w:r>
      <w:r>
        <w:rPr>
          <w:rFonts w:hint="eastAsia" w:ascii="宋体" w:hAnsi="宋体" w:cs="宋体"/>
          <w:b/>
          <w:sz w:val="24"/>
          <w:highlight w:val="none"/>
          <w:lang w:val="en-US" w:eastAsia="zh-CN"/>
        </w:rPr>
        <w:t>150万</w:t>
      </w:r>
      <w:r>
        <w:rPr>
          <w:rFonts w:hint="eastAsia" w:ascii="宋体" w:hAnsi="宋体" w:cs="宋体"/>
          <w:b/>
          <w:sz w:val="24"/>
          <w:highlight w:val="none"/>
        </w:rPr>
        <w:t>元</w:t>
      </w:r>
    </w:p>
    <w:p>
      <w:pPr>
        <w:spacing w:line="360" w:lineRule="auto"/>
        <w:rPr>
          <w:rFonts w:ascii="宋体" w:hAnsi="宋体" w:cs="宋体"/>
          <w:b/>
          <w:sz w:val="24"/>
          <w:highlight w:val="none"/>
        </w:rPr>
      </w:pPr>
      <w:r>
        <w:rPr>
          <w:rFonts w:hint="eastAsia" w:ascii="宋体" w:hAnsi="宋体" w:cs="宋体"/>
          <w:b/>
          <w:sz w:val="24"/>
          <w:highlight w:val="none"/>
        </w:rPr>
        <w:t>4.最高限价（元）：</w:t>
      </w:r>
      <w:r>
        <w:rPr>
          <w:rFonts w:hint="eastAsia" w:ascii="宋体" w:hAnsi="宋体" w:cs="宋体"/>
          <w:b/>
          <w:sz w:val="24"/>
          <w:highlight w:val="none"/>
          <w:lang w:val="en-US" w:eastAsia="zh-CN"/>
        </w:rPr>
        <w:t>150万</w:t>
      </w:r>
      <w:r>
        <w:rPr>
          <w:rFonts w:hint="eastAsia" w:ascii="宋体" w:hAnsi="宋体" w:cs="宋体"/>
          <w:b/>
          <w:sz w:val="24"/>
          <w:highlight w:val="none"/>
        </w:rPr>
        <w:t>元</w:t>
      </w:r>
    </w:p>
    <w:p>
      <w:pPr>
        <w:pStyle w:val="6"/>
        <w:spacing w:line="360" w:lineRule="auto"/>
        <w:ind w:firstLine="0"/>
        <w:rPr>
          <w:rFonts w:hAnsi="宋体" w:cs="宋体"/>
          <w:b/>
          <w:color w:val="auto"/>
          <w:sz w:val="24"/>
          <w:szCs w:val="24"/>
          <w:highlight w:val="none"/>
        </w:rPr>
      </w:pPr>
      <w:r>
        <w:rPr>
          <w:rFonts w:hint="eastAsia" w:hAnsi="宋体" w:cs="宋体"/>
          <w:b/>
          <w:color w:val="auto"/>
          <w:sz w:val="24"/>
          <w:szCs w:val="24"/>
          <w:highlight w:val="none"/>
        </w:rPr>
        <w:t>5.采购需求：</w:t>
      </w:r>
      <w:r>
        <w:rPr>
          <w:rFonts w:hint="eastAsia" w:hAnsi="宋体" w:cs="宋体"/>
          <w:snapToGrid/>
          <w:color w:val="auto"/>
          <w:kern w:val="2"/>
          <w:sz w:val="24"/>
          <w:szCs w:val="24"/>
          <w:highlight w:val="none"/>
        </w:rPr>
        <w:t>详见采购文件第三部分</w:t>
      </w:r>
    </w:p>
    <w:tbl>
      <w:tblPr>
        <w:tblStyle w:val="27"/>
        <w:tblW w:w="9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223"/>
        <w:gridCol w:w="1483"/>
        <w:gridCol w:w="207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43" w:type="dxa"/>
            <w:vAlign w:val="center"/>
          </w:tcPr>
          <w:p>
            <w:pPr>
              <w:pStyle w:val="13"/>
              <w:spacing w:after="0"/>
              <w:jc w:val="center"/>
              <w:rPr>
                <w:rFonts w:ascii="宋体" w:hAnsi="宋体" w:cs="宋体"/>
                <w:sz w:val="24"/>
                <w:szCs w:val="24"/>
                <w:highlight w:val="none"/>
              </w:rPr>
            </w:pPr>
            <w:r>
              <w:rPr>
                <w:rFonts w:hint="eastAsia" w:ascii="宋体" w:hAnsi="宋体" w:cs="宋体"/>
                <w:sz w:val="24"/>
                <w:szCs w:val="24"/>
                <w:highlight w:val="none"/>
              </w:rPr>
              <w:t>序号</w:t>
            </w:r>
          </w:p>
        </w:tc>
        <w:tc>
          <w:tcPr>
            <w:tcW w:w="3223" w:type="dxa"/>
            <w:vAlign w:val="center"/>
          </w:tcPr>
          <w:p>
            <w:pPr>
              <w:pStyle w:val="13"/>
              <w:spacing w:after="0"/>
              <w:jc w:val="center"/>
              <w:rPr>
                <w:rFonts w:ascii="宋体" w:hAnsi="宋体" w:cs="宋体"/>
                <w:sz w:val="24"/>
                <w:szCs w:val="24"/>
                <w:highlight w:val="none"/>
              </w:rPr>
            </w:pPr>
            <w:r>
              <w:rPr>
                <w:rFonts w:hint="eastAsia" w:ascii="宋体" w:hAnsi="宋体" w:cs="宋体"/>
                <w:sz w:val="24"/>
                <w:szCs w:val="24"/>
                <w:highlight w:val="none"/>
              </w:rPr>
              <w:t>采购内容</w:t>
            </w:r>
          </w:p>
        </w:tc>
        <w:tc>
          <w:tcPr>
            <w:tcW w:w="1483" w:type="dxa"/>
            <w:vAlign w:val="center"/>
          </w:tcPr>
          <w:p>
            <w:pPr>
              <w:pStyle w:val="13"/>
              <w:spacing w:after="0"/>
              <w:jc w:val="center"/>
              <w:rPr>
                <w:rFonts w:ascii="宋体" w:hAnsi="宋体" w:cs="宋体"/>
                <w:sz w:val="24"/>
                <w:szCs w:val="24"/>
                <w:highlight w:val="none"/>
              </w:rPr>
            </w:pPr>
            <w:r>
              <w:rPr>
                <w:rFonts w:hint="eastAsia" w:ascii="宋体" w:hAnsi="宋体" w:cs="宋体"/>
                <w:sz w:val="24"/>
                <w:szCs w:val="24"/>
                <w:highlight w:val="none"/>
              </w:rPr>
              <w:t>数量</w:t>
            </w:r>
          </w:p>
        </w:tc>
        <w:tc>
          <w:tcPr>
            <w:tcW w:w="2077" w:type="dxa"/>
            <w:vAlign w:val="center"/>
          </w:tcPr>
          <w:p>
            <w:pPr>
              <w:pStyle w:val="13"/>
              <w:spacing w:after="0"/>
              <w:jc w:val="center"/>
              <w:rPr>
                <w:rFonts w:ascii="宋体" w:hAnsi="宋体" w:cs="宋体"/>
                <w:sz w:val="24"/>
                <w:szCs w:val="24"/>
                <w:highlight w:val="none"/>
              </w:rPr>
            </w:pPr>
            <w:r>
              <w:rPr>
                <w:rFonts w:hint="eastAsia" w:ascii="宋体" w:hAnsi="宋体" w:cs="宋体"/>
                <w:sz w:val="24"/>
                <w:szCs w:val="24"/>
                <w:highlight w:val="none"/>
              </w:rPr>
              <w:t>预算价（</w:t>
            </w:r>
            <w:r>
              <w:rPr>
                <w:rFonts w:hint="eastAsia" w:ascii="宋体" w:hAnsi="宋体" w:cs="宋体"/>
                <w:sz w:val="24"/>
                <w:szCs w:val="24"/>
                <w:highlight w:val="none"/>
                <w:lang w:eastAsia="zh-CN"/>
              </w:rPr>
              <w:t>万</w:t>
            </w:r>
            <w:r>
              <w:rPr>
                <w:rFonts w:hint="eastAsia" w:ascii="宋体" w:hAnsi="宋体" w:cs="宋体"/>
                <w:sz w:val="24"/>
                <w:szCs w:val="24"/>
                <w:highlight w:val="none"/>
              </w:rPr>
              <w:t>元）</w:t>
            </w:r>
          </w:p>
        </w:tc>
        <w:tc>
          <w:tcPr>
            <w:tcW w:w="1922" w:type="dxa"/>
            <w:vAlign w:val="center"/>
          </w:tcPr>
          <w:p>
            <w:pPr>
              <w:pStyle w:val="13"/>
              <w:spacing w:after="0"/>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743" w:type="dxa"/>
            <w:vAlign w:val="center"/>
          </w:tcPr>
          <w:p>
            <w:pPr>
              <w:pStyle w:val="13"/>
              <w:spacing w:after="0"/>
              <w:jc w:val="center"/>
              <w:rPr>
                <w:rFonts w:ascii="宋体" w:hAnsi="宋体" w:cs="宋体"/>
                <w:sz w:val="24"/>
                <w:szCs w:val="24"/>
                <w:highlight w:val="none"/>
              </w:rPr>
            </w:pPr>
            <w:r>
              <w:rPr>
                <w:rFonts w:hint="eastAsia" w:ascii="宋体" w:hAnsi="宋体" w:cs="宋体"/>
                <w:sz w:val="24"/>
                <w:szCs w:val="24"/>
                <w:highlight w:val="none"/>
              </w:rPr>
              <w:t>1</w:t>
            </w:r>
          </w:p>
        </w:tc>
        <w:tc>
          <w:tcPr>
            <w:tcW w:w="3223" w:type="dxa"/>
            <w:vAlign w:val="center"/>
          </w:tcPr>
          <w:p>
            <w:pPr>
              <w:spacing w:line="360" w:lineRule="auto"/>
              <w:rPr>
                <w:rFonts w:ascii="宋体" w:hAnsi="宋体" w:cs="宋体"/>
                <w:sz w:val="24"/>
                <w:szCs w:val="24"/>
                <w:highlight w:val="none"/>
              </w:rPr>
            </w:pPr>
            <w:r>
              <w:rPr>
                <w:rFonts w:hint="eastAsia" w:ascii="宋体" w:cs="宋体"/>
                <w:b w:val="0"/>
                <w:color w:val="auto"/>
                <w:sz w:val="24"/>
                <w:szCs w:val="24"/>
                <w:lang w:val="en-US" w:eastAsia="zh-CN"/>
              </w:rPr>
              <w:t>仙岩镇全域旅游及舜皇村核心区改造提升规划项目</w:t>
            </w:r>
          </w:p>
        </w:tc>
        <w:tc>
          <w:tcPr>
            <w:tcW w:w="1483" w:type="dxa"/>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项</w:t>
            </w:r>
          </w:p>
        </w:tc>
        <w:tc>
          <w:tcPr>
            <w:tcW w:w="2077"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150</w:t>
            </w:r>
          </w:p>
        </w:tc>
        <w:tc>
          <w:tcPr>
            <w:tcW w:w="1922" w:type="dxa"/>
            <w:vAlign w:val="center"/>
          </w:tcPr>
          <w:p>
            <w:pPr>
              <w:jc w:val="center"/>
              <w:rPr>
                <w:rFonts w:ascii="宋体" w:hAnsi="宋体" w:cs="宋体"/>
                <w:sz w:val="24"/>
                <w:szCs w:val="24"/>
                <w:highlight w:val="none"/>
              </w:rPr>
            </w:pPr>
            <w:r>
              <w:rPr>
                <w:rFonts w:hint="eastAsia" w:ascii="宋体" w:cs="宋体"/>
                <w:b w:val="0"/>
                <w:color w:val="auto"/>
                <w:sz w:val="24"/>
                <w:szCs w:val="24"/>
                <w:lang w:val="en-US" w:eastAsia="zh-CN"/>
              </w:rPr>
              <w:t>详见招标文件</w:t>
            </w:r>
          </w:p>
        </w:tc>
      </w:tr>
    </w:tbl>
    <w:p>
      <w:pPr>
        <w:spacing w:line="500" w:lineRule="exact"/>
        <w:rPr>
          <w:rFonts w:ascii="宋体" w:hAnsi="宋体" w:cs="宋体"/>
          <w:b/>
          <w:sz w:val="24"/>
          <w:highlight w:val="none"/>
        </w:rPr>
      </w:pPr>
      <w:r>
        <w:rPr>
          <w:rFonts w:hint="eastAsia" w:ascii="宋体" w:hAnsi="宋体" w:cs="宋体"/>
          <w:b/>
          <w:sz w:val="24"/>
          <w:highlight w:val="none"/>
        </w:rPr>
        <w:t>二、申请人的资格要求：</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 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2.未被列入失信被执行人名单、重大税收违法案件当事人名单、政府采购严重违法失信行为记录名单，信息以信用中国网站（www.creditchina.gov.cn）、中国政府采购网（www.ccgp.gov.cn）公布和查询为准。</w:t>
      </w:r>
    </w:p>
    <w:p>
      <w:pPr>
        <w:spacing w:line="500" w:lineRule="exact"/>
        <w:ind w:left="479" w:leftChars="228"/>
        <w:rPr>
          <w:rFonts w:hint="eastAsia" w:ascii="宋体" w:hAnsi="宋体" w:cs="宋体"/>
          <w:sz w:val="24"/>
          <w:highlight w:val="none"/>
          <w:lang w:eastAsia="zh-CN"/>
        </w:rPr>
      </w:pPr>
      <w:r>
        <w:rPr>
          <w:rFonts w:hint="eastAsia" w:ascii="宋体" w:hAnsi="宋体" w:cs="宋体"/>
          <w:sz w:val="24"/>
          <w:highlight w:val="none"/>
        </w:rPr>
        <w:t>3.本项目的特定资格要求：</w:t>
      </w:r>
      <w:r>
        <w:rPr>
          <w:rFonts w:hint="eastAsia" w:ascii="宋体" w:hAnsi="宋体" w:cs="宋体"/>
          <w:sz w:val="24"/>
          <w:highlight w:val="none"/>
          <w:lang w:eastAsia="zh-CN"/>
        </w:rPr>
        <w:t>具有国家行政主管部门颁发的城乡规划编制乙级及以上资质或工程设计建筑行业乙级及以上资质。</w:t>
      </w:r>
    </w:p>
    <w:p>
      <w:pPr>
        <w:spacing w:line="500" w:lineRule="exact"/>
        <w:ind w:left="479" w:leftChars="228"/>
        <w:rPr>
          <w:rFonts w:ascii="宋体" w:hAnsi="宋体" w:cs="宋体"/>
          <w:sz w:val="24"/>
          <w:highlight w:val="none"/>
        </w:rPr>
      </w:pPr>
      <w:r>
        <w:rPr>
          <w:rFonts w:hint="eastAsia" w:ascii="宋体" w:hAnsi="宋体" w:cs="宋体"/>
          <w:sz w:val="24"/>
          <w:highlight w:val="none"/>
        </w:rPr>
        <w:t>4.本项目不接受联合体投标。</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shd w:val="clear" w:color="auto" w:fill="FFFFFF"/>
        </w:rPr>
        <w:t>单位负责人为同一人或者存在直接控股、管理关系的不同投标人，不得参加同一合同项下的采购活动；为采购项目提供整体设计、规范编制或者项目管理、监理、检测等服务后不得再参加该采购项目的其他采购活动。</w:t>
      </w:r>
    </w:p>
    <w:p>
      <w:pPr>
        <w:spacing w:line="500" w:lineRule="exact"/>
        <w:rPr>
          <w:rFonts w:ascii="宋体" w:hAnsi="宋体" w:cs="宋体"/>
          <w:b/>
          <w:sz w:val="24"/>
          <w:highlight w:val="none"/>
        </w:rPr>
      </w:pPr>
      <w:r>
        <w:rPr>
          <w:rFonts w:hint="eastAsia" w:ascii="宋体" w:hAnsi="宋体" w:cs="宋体"/>
          <w:b/>
          <w:sz w:val="24"/>
          <w:highlight w:val="none"/>
        </w:rPr>
        <w:t xml:space="preserve">三、获取招标文件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1.时间：</w:t>
      </w:r>
      <w:r>
        <w:rPr>
          <w:rFonts w:hint="eastAsia" w:ascii="宋体" w:hAnsi="宋体" w:cs="宋体"/>
          <w:sz w:val="24"/>
          <w:highlight w:val="none"/>
        </w:rPr>
        <w:t>至</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2</w:t>
      </w:r>
      <w:r>
        <w:rPr>
          <w:rFonts w:hint="eastAsia" w:ascii="宋体" w:hAnsi="宋体" w:cs="宋体"/>
          <w:sz w:val="24"/>
          <w:highlight w:val="none"/>
          <w:u w:val="none"/>
        </w:rPr>
        <w:t>月</w:t>
      </w:r>
      <w:r>
        <w:rPr>
          <w:rFonts w:hint="eastAsia" w:ascii="宋体" w:hAnsi="宋体" w:cs="宋体"/>
          <w:sz w:val="24"/>
          <w:highlight w:val="none"/>
          <w:u w:val="none"/>
          <w:lang w:val="en-US" w:eastAsia="zh-CN"/>
        </w:rPr>
        <w:t>21</w:t>
      </w:r>
      <w:r>
        <w:rPr>
          <w:rFonts w:hint="eastAsia" w:ascii="宋体" w:hAnsi="宋体" w:cs="宋体"/>
          <w:sz w:val="24"/>
          <w:highlight w:val="none"/>
          <w:u w:val="none"/>
        </w:rPr>
        <w:t>日</w:t>
      </w:r>
      <w:r>
        <w:rPr>
          <w:rFonts w:hint="eastAsia" w:ascii="宋体" w:hAnsi="宋体" w:cs="宋体"/>
          <w:sz w:val="24"/>
          <w:highlight w:val="none"/>
        </w:rPr>
        <w:t>，每天上午00:00至12:00 ，下午12:00至23:59（北京时间，线上获取法定节假日均可）。</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2.地点（网址）：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3.方式：</w:t>
      </w:r>
      <w:bookmarkStart w:id="13" w:name="OLE_LINK9"/>
      <w:r>
        <w:rPr>
          <w:rFonts w:hint="eastAsia" w:ascii="宋体" w:hAnsi="宋体" w:cs="宋体"/>
          <w:sz w:val="24"/>
          <w:highlight w:val="none"/>
        </w:rPr>
        <w:t>投标人登录乐采云平台https://www.lecaiyun.com/在线申请获取采购文件（进入“项目采购”应用，在获取采购文件菜单中选择项目，申请获取采购文件）。</w:t>
      </w:r>
      <w:bookmarkEnd w:id="13"/>
      <w:r>
        <w:rPr>
          <w:rFonts w:hint="eastAsia" w:ascii="宋体" w:hAnsi="宋体" w:cs="宋体"/>
          <w:sz w:val="24"/>
          <w:highlight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4.售价（元）：</w:t>
      </w:r>
      <w:r>
        <w:rPr>
          <w:rFonts w:hint="eastAsia" w:ascii="宋体" w:hAnsi="宋体" w:cs="宋体"/>
          <w:sz w:val="24"/>
          <w:highlight w:val="none"/>
        </w:rPr>
        <w:t xml:space="preserve">0 </w:t>
      </w:r>
      <w:r>
        <w:rPr>
          <w:rFonts w:hint="eastAsia" w:ascii="宋体" w:hAnsi="宋体" w:cs="宋体"/>
          <w:sz w:val="24"/>
          <w:highlight w:val="none"/>
          <w:lang w:eastAsia="zh-CN"/>
        </w:rPr>
        <w:t>元。</w:t>
      </w:r>
      <w:r>
        <w:rPr>
          <w:rFonts w:hint="eastAsia" w:ascii="宋体" w:hAnsi="宋体" w:cs="宋体"/>
          <w:sz w:val="24"/>
          <w:highlight w:val="none"/>
        </w:rPr>
        <w:tab/>
      </w:r>
    </w:p>
    <w:p>
      <w:pPr>
        <w:spacing w:line="500" w:lineRule="exact"/>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1.提交投标文件截止时间：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2</w:t>
      </w:r>
      <w:r>
        <w:rPr>
          <w:rFonts w:hint="eastAsia" w:ascii="宋体" w:hAnsi="宋体" w:cs="宋体"/>
          <w:sz w:val="24"/>
          <w:highlight w:val="none"/>
          <w:u w:val="none"/>
        </w:rPr>
        <w:t>月</w:t>
      </w:r>
      <w:r>
        <w:rPr>
          <w:rFonts w:hint="eastAsia" w:ascii="宋体" w:hAnsi="宋体" w:cs="宋体"/>
          <w:sz w:val="24"/>
          <w:highlight w:val="none"/>
          <w:u w:val="none"/>
          <w:lang w:val="en-US" w:eastAsia="zh-CN"/>
        </w:rPr>
        <w:t>21</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0</w:t>
      </w:r>
      <w:r>
        <w:rPr>
          <w:rFonts w:hint="eastAsia" w:ascii="宋体" w:hAnsi="宋体" w:cs="宋体"/>
          <w:sz w:val="24"/>
          <w:highlight w:val="none"/>
          <w:u w:val="none"/>
        </w:rPr>
        <w:t>0分</w:t>
      </w:r>
      <w:r>
        <w:rPr>
          <w:rFonts w:hint="eastAsia" w:ascii="宋体" w:hAnsi="宋体" w:cs="宋体"/>
          <w:bCs/>
          <w:sz w:val="24"/>
          <w:highlight w:val="none"/>
          <w:u w:val="none"/>
        </w:rPr>
        <w:t xml:space="preserve"> </w:t>
      </w:r>
      <w:r>
        <w:rPr>
          <w:rFonts w:hint="eastAsia" w:ascii="宋体" w:hAnsi="宋体" w:cs="宋体"/>
          <w:sz w:val="24"/>
          <w:highlight w:val="none"/>
        </w:rPr>
        <w:t>（北京时间）</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2.投标地点（网址）：</w:t>
      </w:r>
      <w:r>
        <w:rPr>
          <w:rFonts w:hint="eastAsia" w:ascii="宋体" w:hAnsi="宋体" w:cs="宋体"/>
          <w:sz w:val="24"/>
          <w:highlight w:val="none"/>
        </w:rPr>
        <w:t xml:space="preserve">乐采云平台（https://www.lecaiyun.com/） </w:t>
      </w:r>
    </w:p>
    <w:p>
      <w:pPr>
        <w:spacing w:line="500" w:lineRule="exact"/>
        <w:ind w:firstLine="482" w:firstLineChars="200"/>
        <w:rPr>
          <w:rFonts w:ascii="宋体" w:hAnsi="宋体" w:cs="宋体"/>
          <w:bCs/>
          <w:sz w:val="24"/>
          <w:highlight w:val="none"/>
          <w:u w:val="none"/>
        </w:rPr>
      </w:pPr>
      <w:r>
        <w:rPr>
          <w:rFonts w:hint="eastAsia" w:ascii="宋体" w:hAnsi="宋体" w:cs="宋体"/>
          <w:b/>
          <w:sz w:val="24"/>
          <w:highlight w:val="none"/>
        </w:rPr>
        <w:t>3.开标时间：</w:t>
      </w:r>
      <w:r>
        <w:rPr>
          <w:rFonts w:hint="eastAsia" w:ascii="宋体" w:hAnsi="宋体" w:cs="宋体"/>
          <w:sz w:val="24"/>
          <w:highlight w:val="none"/>
          <w:u w:val="none"/>
        </w:rPr>
        <w:t>202</w:t>
      </w:r>
      <w:r>
        <w:rPr>
          <w:rFonts w:hint="eastAsia" w:ascii="宋体" w:hAnsi="宋体" w:cs="宋体"/>
          <w:sz w:val="24"/>
          <w:highlight w:val="none"/>
          <w:u w:val="none"/>
          <w:lang w:val="en-US" w:eastAsia="zh-CN"/>
        </w:rPr>
        <w:t>5</w:t>
      </w:r>
      <w:r>
        <w:rPr>
          <w:rFonts w:hint="eastAsia" w:ascii="宋体" w:hAnsi="宋体" w:cs="宋体"/>
          <w:sz w:val="24"/>
          <w:highlight w:val="none"/>
          <w:u w:val="none"/>
        </w:rPr>
        <w:t>年</w:t>
      </w:r>
      <w:r>
        <w:rPr>
          <w:rFonts w:hint="eastAsia" w:ascii="宋体" w:hAnsi="宋体" w:cs="宋体"/>
          <w:sz w:val="24"/>
          <w:highlight w:val="none"/>
          <w:u w:val="none"/>
          <w:lang w:val="en-US" w:eastAsia="zh-CN"/>
        </w:rPr>
        <w:t>2</w:t>
      </w:r>
      <w:r>
        <w:rPr>
          <w:rFonts w:hint="eastAsia" w:ascii="宋体" w:hAnsi="宋体" w:cs="宋体"/>
          <w:sz w:val="24"/>
          <w:highlight w:val="none"/>
          <w:u w:val="none"/>
        </w:rPr>
        <w:t>月</w:t>
      </w:r>
      <w:r>
        <w:rPr>
          <w:rFonts w:hint="eastAsia" w:ascii="宋体" w:hAnsi="宋体" w:cs="宋体"/>
          <w:sz w:val="24"/>
          <w:highlight w:val="none"/>
          <w:u w:val="none"/>
          <w:lang w:val="en-US" w:eastAsia="zh-CN"/>
        </w:rPr>
        <w:t>21</w:t>
      </w:r>
      <w:r>
        <w:rPr>
          <w:rFonts w:hint="eastAsia" w:ascii="宋体" w:hAnsi="宋体" w:cs="宋体"/>
          <w:sz w:val="24"/>
          <w:highlight w:val="none"/>
          <w:u w:val="none"/>
        </w:rPr>
        <w:t>日09点</w:t>
      </w:r>
      <w:r>
        <w:rPr>
          <w:rFonts w:hint="eastAsia" w:ascii="宋体" w:hAnsi="宋体" w:cs="宋体"/>
          <w:sz w:val="24"/>
          <w:highlight w:val="none"/>
          <w:u w:val="none"/>
          <w:lang w:val="en-US" w:eastAsia="zh-CN"/>
        </w:rPr>
        <w:t>0</w:t>
      </w:r>
      <w:r>
        <w:rPr>
          <w:rFonts w:hint="eastAsia" w:ascii="宋体" w:hAnsi="宋体" w:cs="宋体"/>
          <w:sz w:val="24"/>
          <w:highlight w:val="none"/>
          <w:u w:val="none"/>
        </w:rPr>
        <w:t>0分</w:t>
      </w:r>
      <w:r>
        <w:rPr>
          <w:rFonts w:hint="eastAsia" w:ascii="宋体" w:hAnsi="宋体" w:cs="宋体"/>
          <w:bCs/>
          <w:sz w:val="24"/>
          <w:highlight w:val="none"/>
          <w:u w:val="none"/>
        </w:rPr>
        <w:t xml:space="preserve"> </w:t>
      </w:r>
    </w:p>
    <w:p>
      <w:pPr>
        <w:spacing w:line="500" w:lineRule="exact"/>
        <w:ind w:firstLine="482" w:firstLineChars="200"/>
        <w:rPr>
          <w:rFonts w:ascii="宋体" w:hAnsi="宋体" w:cs="宋体"/>
          <w:sz w:val="24"/>
          <w:highlight w:val="none"/>
        </w:rPr>
      </w:pPr>
      <w:r>
        <w:rPr>
          <w:rFonts w:hint="eastAsia" w:ascii="宋体" w:hAnsi="宋体" w:cs="宋体"/>
          <w:b/>
          <w:sz w:val="24"/>
          <w:highlight w:val="none"/>
        </w:rPr>
        <w:t>4.开标地点（网址）：</w:t>
      </w:r>
      <w:r>
        <w:rPr>
          <w:rFonts w:hint="eastAsia" w:ascii="宋体" w:hAnsi="宋体" w:cs="宋体"/>
          <w:sz w:val="24"/>
          <w:highlight w:val="none"/>
        </w:rPr>
        <w:t>乐采云平台（https://www.lecaiyun.com/）</w:t>
      </w:r>
    </w:p>
    <w:p>
      <w:pPr>
        <w:spacing w:line="500" w:lineRule="exact"/>
        <w:rPr>
          <w:rFonts w:ascii="宋体" w:hAnsi="宋体" w:cs="宋体"/>
          <w:sz w:val="24"/>
          <w:highlight w:val="none"/>
        </w:rPr>
      </w:pPr>
      <w:r>
        <w:rPr>
          <w:rFonts w:hint="eastAsia" w:ascii="宋体" w:hAnsi="宋体" w:cs="宋体"/>
          <w:b/>
          <w:sz w:val="24"/>
          <w:highlight w:val="none"/>
        </w:rPr>
        <w:t xml:space="preserve">五、公告期限 </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500" w:lineRule="exact"/>
        <w:rPr>
          <w:rFonts w:ascii="宋体" w:hAnsi="宋体" w:cs="宋体"/>
          <w:b/>
          <w:sz w:val="24"/>
          <w:highlight w:val="none"/>
        </w:rPr>
      </w:pPr>
      <w:r>
        <w:rPr>
          <w:rFonts w:hint="eastAsia" w:ascii="宋体" w:hAnsi="宋体" w:cs="宋体"/>
          <w:b/>
          <w:sz w:val="24"/>
          <w:highlight w:val="none"/>
        </w:rPr>
        <w:t>六、其他补充事宜</w:t>
      </w:r>
    </w:p>
    <w:p>
      <w:pPr>
        <w:pStyle w:val="24"/>
        <w:numPr>
          <w:ilvl w:val="0"/>
          <w:numId w:val="4"/>
        </w:numPr>
        <w:adjustRightInd/>
        <w:spacing w:before="0" w:beforeAutospacing="0" w:after="0" w:afterAutospacing="0" w:line="500" w:lineRule="exact"/>
        <w:ind w:firstLine="482"/>
        <w:rPr>
          <w:bCs/>
          <w:kern w:val="2"/>
          <w:highlight w:val="none"/>
        </w:rPr>
      </w:pPr>
      <w:r>
        <w:rPr>
          <w:rFonts w:hint="eastAsia"/>
          <w:b/>
          <w:kern w:val="2"/>
          <w:highlight w:val="none"/>
        </w:rPr>
        <w:t xml:space="preserve">投诉与质疑 </w:t>
      </w:r>
      <w:r>
        <w:rPr>
          <w:rFonts w:hint="eastAsia"/>
          <w:bCs/>
          <w:kern w:val="2"/>
          <w:highlight w:val="none"/>
        </w:rPr>
        <w:t xml:space="preserve">  </w:t>
      </w:r>
    </w:p>
    <w:p>
      <w:pPr>
        <w:pStyle w:val="24"/>
        <w:numPr>
          <w:ilvl w:val="0"/>
          <w:numId w:val="5"/>
        </w:numPr>
        <w:adjustRightInd/>
        <w:spacing w:before="0" w:beforeAutospacing="0" w:after="0" w:afterAutospacing="0" w:line="500" w:lineRule="exact"/>
        <w:ind w:firstLine="48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代理机构提出质疑。质疑投标人对采购代理机构的答复不满意或者采购代理机构未在规定的时间内作出答复的，可以在答复期满后十五个工作日内向同级监督管理机构投诉。质疑函范本、投诉书范本请到浙江政府采购网下载专区下载。</w:t>
      </w:r>
    </w:p>
    <w:p>
      <w:pPr>
        <w:pStyle w:val="24"/>
        <w:numPr>
          <w:ilvl w:val="0"/>
          <w:numId w:val="5"/>
        </w:numPr>
        <w:adjustRightInd/>
        <w:spacing w:before="0" w:beforeAutospacing="0" w:after="0" w:afterAutospacing="0"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针对同一采购程序环节的质疑，投标人应在法定期限内一次性提出（即针对同一采购程序环节的质疑采购人或采购代理机构仅受理一次），逾期提出或针对同一采购程序环节多次提出的质疑将不予受理、答复。</w:t>
      </w:r>
    </w:p>
    <w:p>
      <w:pPr>
        <w:pStyle w:val="24"/>
        <w:numPr>
          <w:ilvl w:val="0"/>
          <w:numId w:val="4"/>
        </w:numPr>
        <w:adjustRightInd/>
        <w:spacing w:before="0" w:beforeAutospacing="0" w:after="0" w:afterAutospacing="0" w:line="500" w:lineRule="exact"/>
        <w:ind w:firstLine="482"/>
        <w:rPr>
          <w:bCs/>
          <w:kern w:val="2"/>
          <w:highlight w:val="none"/>
        </w:rPr>
      </w:pPr>
      <w:r>
        <w:rPr>
          <w:rStyle w:val="30"/>
          <w:rFonts w:hint="eastAsia"/>
          <w:highlight w:val="none"/>
        </w:rPr>
        <w:t>在线投标响应（电子投标）说明</w:t>
      </w:r>
      <w:r>
        <w:rPr>
          <w:rFonts w:hint="eastAsia"/>
          <w:bCs/>
          <w:kern w:val="2"/>
          <w:highlight w:val="none"/>
        </w:rPr>
        <w:t xml:space="preserve"> </w:t>
      </w:r>
    </w:p>
    <w:p>
      <w:pPr>
        <w:spacing w:line="500" w:lineRule="exact"/>
        <w:ind w:firstLine="480" w:firstLineChars="200"/>
        <w:rPr>
          <w:rFonts w:ascii="宋体" w:hAnsi="宋体" w:cs="宋体"/>
          <w:sz w:val="24"/>
          <w:highlight w:val="none"/>
        </w:rPr>
      </w:pPr>
      <w:bookmarkStart w:id="14" w:name="OLE_LINK10"/>
      <w:r>
        <w:rPr>
          <w:rFonts w:hint="eastAsia" w:ascii="宋体" w:hAnsi="宋体" w:cs="宋体"/>
          <w:sz w:val="24"/>
          <w:highlight w:val="none"/>
        </w:rPr>
        <w:t>电子招投标的说明：①电子招投标：本项目以数据电文形式，依托“采购云平台（www.lecaiyun.com）”进行招投标活动，不接受纸质投标文件；②投标准备：注册账号--点击“商家入驻”，进行采购投标人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30分钟内完成在线解密。通过“采购云平台”上传递交的投标文件无法按时解密，投标人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投标人”。</w:t>
      </w:r>
      <w:bookmarkEnd w:id="14"/>
    </w:p>
    <w:p>
      <w:pPr>
        <w:spacing w:line="500" w:lineRule="exact"/>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500" w:lineRule="exact"/>
        <w:rPr>
          <w:rFonts w:ascii="宋体" w:hAnsi="宋体" w:cs="宋体"/>
          <w:sz w:val="24"/>
          <w:highlight w:val="none"/>
        </w:rPr>
      </w:pPr>
      <w:r>
        <w:rPr>
          <w:rFonts w:hint="eastAsia" w:ascii="宋体" w:hAnsi="宋体" w:cs="宋体"/>
          <w:sz w:val="24"/>
          <w:highlight w:val="none"/>
        </w:rPr>
        <w:t xml:space="preserve">    1.采购人信息</w:t>
      </w:r>
    </w:p>
    <w:p>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嵊州市山水文化旅游有限公司</w:t>
      </w:r>
    </w:p>
    <w:p>
      <w:pPr>
        <w:spacing w:line="500" w:lineRule="exact"/>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嵊州市</w:t>
      </w:r>
      <w:r>
        <w:rPr>
          <w:rFonts w:hint="eastAsia" w:ascii="宋体" w:hAnsi="宋体" w:cs="宋体"/>
          <w:sz w:val="24"/>
          <w:highlight w:val="none"/>
        </w:rPr>
        <w:t xml:space="preserve">  </w:t>
      </w:r>
    </w:p>
    <w:p>
      <w:pPr>
        <w:spacing w:line="500" w:lineRule="exact"/>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项目联系人（询问）：</w:t>
      </w:r>
      <w:bookmarkStart w:id="15" w:name="OLE_LINK6"/>
      <w:r>
        <w:rPr>
          <w:rFonts w:hint="eastAsia" w:ascii="宋体" w:hAnsi="宋体" w:cs="宋体"/>
          <w:sz w:val="24"/>
          <w:highlight w:val="none"/>
          <w:lang w:eastAsia="zh-CN"/>
        </w:rPr>
        <w:t>王女士</w:t>
      </w:r>
      <w:bookmarkEnd w:id="15"/>
    </w:p>
    <w:p>
      <w:pPr>
        <w:spacing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bookmarkStart w:id="16" w:name="OLE_LINK2"/>
      <w:r>
        <w:rPr>
          <w:rFonts w:hint="eastAsia" w:ascii="宋体" w:hAnsi="宋体" w:cs="宋体"/>
          <w:sz w:val="24"/>
          <w:highlight w:val="none"/>
          <w:lang w:val="en-US" w:eastAsia="zh-CN"/>
        </w:rPr>
        <w:t>0575-</w:t>
      </w:r>
      <w:r>
        <w:rPr>
          <w:rFonts w:hint="eastAsia" w:ascii="宋体" w:hAnsi="宋体" w:cs="宋体"/>
          <w:sz w:val="24"/>
          <w:highlight w:val="none"/>
        </w:rPr>
        <w:t>83015369</w:t>
      </w:r>
      <w:bookmarkEnd w:id="16"/>
    </w:p>
    <w:p>
      <w:pPr>
        <w:pStyle w:val="2"/>
        <w:rPr>
          <w:rFonts w:hint="eastAsia"/>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eastAsia="zh-CN"/>
        </w:rPr>
        <w:t>实施单位</w:t>
      </w:r>
      <w:r>
        <w:rPr>
          <w:rFonts w:hint="eastAsia" w:ascii="宋体" w:hAnsi="宋体" w:cs="宋体"/>
          <w:sz w:val="24"/>
          <w:highlight w:val="none"/>
        </w:rPr>
        <w:t>信息</w:t>
      </w:r>
    </w:p>
    <w:p>
      <w:pPr>
        <w:spacing w:line="500" w:lineRule="exact"/>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嵊州市仙岩镇人民政府</w:t>
      </w:r>
    </w:p>
    <w:p>
      <w:pPr>
        <w:spacing w:line="500" w:lineRule="exact"/>
        <w:rPr>
          <w:rFonts w:ascii="宋体" w:hAnsi="宋体" w:cs="宋体"/>
          <w:sz w:val="24"/>
          <w:highlight w:val="none"/>
        </w:rPr>
      </w:pPr>
      <w:r>
        <w:rPr>
          <w:rFonts w:hint="eastAsia" w:ascii="宋体" w:hAnsi="宋体" w:cs="宋体"/>
          <w:sz w:val="24"/>
          <w:highlight w:val="none"/>
        </w:rPr>
        <w:t xml:space="preserve">    地    址：</w:t>
      </w:r>
      <w:bookmarkStart w:id="17" w:name="OLE_LINK7"/>
      <w:r>
        <w:rPr>
          <w:rFonts w:hint="eastAsia" w:ascii="宋体" w:hAnsi="宋体" w:cs="宋体"/>
          <w:sz w:val="24"/>
          <w:highlight w:val="none"/>
          <w:lang w:eastAsia="zh-CN"/>
        </w:rPr>
        <w:t>嵊州市仙岩镇化工路68号</w:t>
      </w:r>
      <w:bookmarkEnd w:id="17"/>
      <w:r>
        <w:rPr>
          <w:rFonts w:hint="eastAsia" w:ascii="宋体" w:hAnsi="宋体" w:cs="宋体"/>
          <w:sz w:val="24"/>
          <w:highlight w:val="none"/>
        </w:rPr>
        <w:t xml:space="preserve">    </w:t>
      </w:r>
    </w:p>
    <w:p>
      <w:pPr>
        <w:spacing w:line="500" w:lineRule="exact"/>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徐先生</w:t>
      </w:r>
    </w:p>
    <w:p>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0575-</w:t>
      </w:r>
      <w:r>
        <w:rPr>
          <w:rFonts w:hint="eastAsia" w:ascii="宋体" w:hAnsi="宋体" w:cs="宋体"/>
          <w:sz w:val="24"/>
          <w:highlight w:val="none"/>
          <w:lang w:eastAsia="zh-CN"/>
        </w:rPr>
        <w:t>83150034</w:t>
      </w:r>
      <w:r>
        <w:rPr>
          <w:rFonts w:hint="eastAsia" w:ascii="宋体" w:hAnsi="宋体" w:cs="宋体"/>
          <w:sz w:val="24"/>
          <w:highlight w:val="none"/>
        </w:rPr>
        <w:t> </w:t>
      </w:r>
    </w:p>
    <w:p>
      <w:pPr>
        <w:pStyle w:val="2"/>
        <w:rPr>
          <w:rFonts w:hint="default"/>
          <w:lang w:val="en-US" w:eastAsia="zh-CN"/>
        </w:rPr>
      </w:pPr>
    </w:p>
    <w:p>
      <w:pPr>
        <w:spacing w:line="500" w:lineRule="exac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3</w:t>
      </w:r>
      <w:r>
        <w:rPr>
          <w:rFonts w:hint="eastAsia" w:ascii="宋体" w:hAnsi="宋体" w:cs="宋体"/>
          <w:sz w:val="24"/>
          <w:highlight w:val="none"/>
        </w:rPr>
        <w:t xml:space="preserve">.采购代理机构信息            </w:t>
      </w:r>
    </w:p>
    <w:p>
      <w:pPr>
        <w:spacing w:line="500" w:lineRule="exact"/>
        <w:ind w:firstLine="48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泾清项目管理有限公司</w:t>
      </w:r>
      <w:r>
        <w:rPr>
          <w:rFonts w:hint="eastAsia" w:ascii="宋体" w:hAnsi="宋体" w:cs="宋体"/>
          <w:sz w:val="24"/>
          <w:highlight w:val="none"/>
        </w:rPr>
        <w:t xml:space="preserve"> </w:t>
      </w:r>
    </w:p>
    <w:p>
      <w:pPr>
        <w:spacing w:line="500" w:lineRule="exact"/>
        <w:ind w:firstLine="480"/>
        <w:rPr>
          <w:rFonts w:ascii="宋体" w:hAnsi="宋体" w:cs="宋体"/>
          <w:sz w:val="24"/>
          <w:highlight w:val="none"/>
        </w:rPr>
      </w:pPr>
      <w:r>
        <w:rPr>
          <w:rFonts w:hint="eastAsia" w:ascii="宋体" w:hAnsi="宋体" w:cs="宋体"/>
          <w:sz w:val="24"/>
          <w:highlight w:val="none"/>
        </w:rPr>
        <w:t>地    址：嵊州市三江街道领带园二路和创园2号楼4楼2415</w:t>
      </w:r>
    </w:p>
    <w:p>
      <w:pPr>
        <w:spacing w:line="500" w:lineRule="exact"/>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张女士</w:t>
      </w:r>
      <w:r>
        <w:rPr>
          <w:rFonts w:hint="eastAsia" w:ascii="宋体" w:hAnsi="宋体" w:cs="宋体"/>
          <w:sz w:val="24"/>
          <w:highlight w:val="none"/>
        </w:rPr>
        <w:t xml:space="preserve">      </w:t>
      </w:r>
    </w:p>
    <w:p>
      <w:pPr>
        <w:keepNext w:val="0"/>
        <w:keepLines w:val="0"/>
        <w:pageBreakBefore w:val="0"/>
        <w:kinsoku/>
        <w:wordWrap/>
        <w:overflowPunct/>
        <w:topLinePunct w:val="0"/>
        <w:autoSpaceDE/>
        <w:autoSpaceDN/>
        <w:bidi w:val="0"/>
        <w:adjustRightInd w:val="0"/>
        <w:snapToGrid w:val="0"/>
        <w:spacing w:line="500" w:lineRule="exact"/>
        <w:ind w:firstLine="482"/>
        <w:jc w:val="left"/>
        <w:textAlignment w:val="auto"/>
        <w:rPr>
          <w:rFonts w:hint="default" w:ascii="宋体" w:hAnsi="宋体" w:eastAsia="宋体" w:cs="宋体"/>
          <w:color w:val="auto"/>
          <w:kern w:val="1"/>
          <w:sz w:val="24"/>
          <w:szCs w:val="24"/>
          <w:highlight w:val="none"/>
          <w:lang w:val="en-US" w:eastAsia="zh-CN"/>
        </w:rPr>
      </w:pPr>
      <w:r>
        <w:rPr>
          <w:rFonts w:hint="eastAsia" w:ascii="宋体" w:hAnsi="宋体" w:cs="宋体"/>
          <w:sz w:val="24"/>
          <w:highlight w:val="none"/>
        </w:rPr>
        <w:t>项目联系方式（询问）：</w:t>
      </w:r>
      <w:bookmarkStart w:id="18" w:name="OLE_LINK11"/>
      <w:r>
        <w:rPr>
          <w:rFonts w:hint="eastAsia" w:ascii="宋体" w:hAnsi="宋体" w:cs="宋体"/>
          <w:sz w:val="24"/>
          <w:highlight w:val="none"/>
        </w:rPr>
        <w:t>0575-89300689</w:t>
      </w:r>
      <w:bookmarkEnd w:id="18"/>
      <w:r>
        <w:rPr>
          <w:rFonts w:hint="eastAsia" w:ascii="宋体" w:hAnsi="宋体" w:eastAsia="宋体" w:cs="宋体"/>
          <w:color w:val="auto"/>
          <w:kern w:val="1"/>
          <w:sz w:val="24"/>
          <w:szCs w:val="24"/>
          <w:highlight w:val="none"/>
          <w:lang w:val="en-US" w:eastAsia="zh-CN"/>
        </w:rPr>
        <w:t xml:space="preserve"> </w:t>
      </w:r>
    </w:p>
    <w:p>
      <w:pPr>
        <w:spacing w:line="500" w:lineRule="exact"/>
        <w:rPr>
          <w:rFonts w:ascii="宋体" w:hAnsi="宋体" w:cs="宋体"/>
          <w:sz w:val="24"/>
          <w:highlight w:val="none"/>
        </w:rPr>
      </w:pPr>
    </w:p>
    <w:p>
      <w:pPr>
        <w:spacing w:line="500" w:lineRule="exact"/>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若对项目采购电子交易系统操作有疑问，可登录乐采云（https://www.lecaiyun.com/），点击右侧咨询小采，获取采小蜜智能服务管家帮助，或拨打乐采云服务热线95763获取热线服务帮助。</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4"/>
        <w:jc w:val="both"/>
        <w:rPr>
          <w:rFonts w:ascii="宋体" w:hAnsi="宋体" w:cs="宋体"/>
          <w:b w:val="0"/>
          <w:bCs w:val="0"/>
          <w:sz w:val="28"/>
          <w:szCs w:val="28"/>
          <w:highlight w:val="none"/>
        </w:rPr>
      </w:pPr>
    </w:p>
    <w:p>
      <w:pPr>
        <w:rPr>
          <w:rFonts w:ascii="宋体" w:hAnsi="宋体" w:cs="宋体"/>
          <w:highlight w:val="none"/>
        </w:rPr>
      </w:pPr>
    </w:p>
    <w:p>
      <w:pPr>
        <w:pStyle w:val="4"/>
        <w:rPr>
          <w:rFonts w:ascii="宋体" w:hAnsi="宋体" w:cs="宋体"/>
          <w:highlight w:val="none"/>
        </w:rPr>
      </w:pPr>
    </w:p>
    <w:p>
      <w:pPr>
        <w:rPr>
          <w:rFonts w:ascii="宋体" w:hAnsi="宋体" w:cs="宋体"/>
          <w:highlight w:val="none"/>
        </w:rPr>
      </w:pPr>
    </w:p>
    <w:p>
      <w:pPr>
        <w:pStyle w:val="4"/>
        <w:rPr>
          <w:rFonts w:ascii="宋体" w:hAnsi="宋体" w:cs="宋体"/>
          <w:highlight w:val="none"/>
        </w:rPr>
      </w:pPr>
    </w:p>
    <w:p>
      <w:pPr>
        <w:rPr>
          <w:rFonts w:ascii="宋体" w:hAnsi="宋体" w:cs="宋体"/>
          <w:highlight w:val="none"/>
        </w:rPr>
      </w:pPr>
    </w:p>
    <w:p>
      <w:pPr>
        <w:pStyle w:val="26"/>
        <w:rPr>
          <w:rFonts w:ascii="宋体" w:hAnsi="宋体" w:cs="宋体"/>
          <w:highlight w:val="none"/>
        </w:rPr>
      </w:pPr>
    </w:p>
    <w:p>
      <w:pPr>
        <w:rPr>
          <w:rFonts w:ascii="宋体" w:hAnsi="宋体" w:cs="宋体"/>
          <w:highlight w:val="none"/>
        </w:rPr>
      </w:pPr>
    </w:p>
    <w:p>
      <w:pPr>
        <w:pStyle w:val="26"/>
        <w:rPr>
          <w:rFonts w:ascii="宋体" w:hAnsi="宋体" w:cs="宋体"/>
          <w:highlight w:val="none"/>
        </w:rPr>
      </w:pPr>
    </w:p>
    <w:p>
      <w:pPr>
        <w:rPr>
          <w:rFonts w:ascii="宋体" w:hAnsi="宋体" w:cs="宋体"/>
          <w:highlight w:val="none"/>
        </w:rPr>
      </w:pPr>
    </w:p>
    <w:p>
      <w:pPr>
        <w:pStyle w:val="26"/>
        <w:rPr>
          <w:rFonts w:ascii="宋体" w:hAnsi="宋体" w:cs="宋体"/>
          <w:highlight w:val="none"/>
        </w:rPr>
      </w:pPr>
    </w:p>
    <w:p>
      <w:pPr>
        <w:rPr>
          <w:rFonts w:ascii="宋体" w:hAnsi="宋体" w:cs="宋体"/>
          <w:highlight w:val="none"/>
        </w:rPr>
      </w:pPr>
    </w:p>
    <w:p>
      <w:pPr>
        <w:pStyle w:val="26"/>
        <w:rPr>
          <w:rFonts w:ascii="宋体" w:hAnsi="宋体" w:cs="宋体"/>
          <w:highlight w:val="none"/>
        </w:rPr>
      </w:pPr>
    </w:p>
    <w:p>
      <w:pPr>
        <w:rPr>
          <w:rFonts w:ascii="宋体" w:hAnsi="宋体" w:cs="宋体"/>
          <w:highlight w:val="none"/>
        </w:rPr>
      </w:pPr>
    </w:p>
    <w:p>
      <w:pPr>
        <w:pStyle w:val="26"/>
      </w:pPr>
    </w:p>
    <w:p>
      <w:pPr>
        <w:pStyle w:val="4"/>
        <w:jc w:val="both"/>
        <w:rPr>
          <w:rFonts w:ascii="宋体" w:hAnsi="宋体" w:cs="宋体"/>
          <w:highlight w:val="none"/>
        </w:rPr>
      </w:pPr>
    </w:p>
    <w:p>
      <w:pPr>
        <w:pStyle w:val="26"/>
        <w:ind w:left="0" w:leftChars="0" w:firstLine="0" w:firstLineChars="0"/>
        <w:rPr>
          <w:rFonts w:hint="eastAsia"/>
          <w:lang w:eastAsia="zh-CN"/>
        </w:rPr>
      </w:pPr>
    </w:p>
    <w:p>
      <w:pPr>
        <w:pStyle w:val="26"/>
        <w:rPr>
          <w:rFonts w:hint="eastAsia"/>
          <w:lang w:eastAsia="zh-CN"/>
        </w:rPr>
      </w:pPr>
    </w:p>
    <w:p>
      <w:pPr>
        <w:rPr>
          <w:rFonts w:ascii="宋体" w:hAnsi="宋体" w:cs="宋体"/>
          <w:b/>
          <w:sz w:val="32"/>
          <w:szCs w:val="32"/>
          <w:highlight w:val="none"/>
        </w:rPr>
      </w:pPr>
      <w:bookmarkStart w:id="19" w:name="_Toc15391"/>
      <w:bookmarkStart w:id="20" w:name="_Toc32071"/>
    </w:p>
    <w:p>
      <w:pPr>
        <w:numPr>
          <w:ilvl w:val="0"/>
          <w:numId w:val="6"/>
        </w:numPr>
        <w:adjustRightInd/>
        <w:jc w:val="center"/>
        <w:outlineLvl w:val="0"/>
        <w:rPr>
          <w:rFonts w:ascii="宋体" w:hAnsi="宋体" w:cs="宋体"/>
          <w:b/>
          <w:sz w:val="32"/>
          <w:szCs w:val="32"/>
          <w:highlight w:val="none"/>
        </w:rPr>
      </w:pPr>
      <w:r>
        <w:rPr>
          <w:rFonts w:hint="eastAsia" w:ascii="宋体" w:hAnsi="宋体" w:cs="宋体"/>
          <w:b/>
          <w:sz w:val="32"/>
          <w:szCs w:val="32"/>
          <w:highlight w:val="none"/>
        </w:rPr>
        <w:t>投标人须知</w:t>
      </w:r>
      <w:bookmarkEnd w:id="19"/>
      <w:bookmarkEnd w:id="20"/>
    </w:p>
    <w:p>
      <w:pPr>
        <w:adjustRightInd/>
        <w:jc w:val="center"/>
        <w:outlineLvl w:val="0"/>
        <w:rPr>
          <w:rFonts w:ascii="宋体" w:hAnsi="宋体" w:cs="宋体"/>
          <w:b/>
          <w:sz w:val="32"/>
          <w:szCs w:val="32"/>
          <w:highlight w:val="none"/>
        </w:rPr>
      </w:pPr>
      <w:r>
        <w:rPr>
          <w:rFonts w:hint="eastAsia" w:ascii="宋体" w:hAnsi="宋体" w:cs="宋体"/>
          <w:b/>
          <w:sz w:val="32"/>
          <w:szCs w:val="20"/>
          <w:highlight w:val="none"/>
        </w:rPr>
        <w:t>前附表</w:t>
      </w:r>
    </w:p>
    <w:tbl>
      <w:tblPr>
        <w:tblStyle w:val="27"/>
        <w:tblW w:w="10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88"/>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646" w:type="dxa"/>
            <w:vAlign w:val="center"/>
          </w:tcPr>
          <w:p>
            <w:pPr>
              <w:autoSpaceDE w:val="0"/>
              <w:autoSpaceDN w:val="0"/>
              <w:snapToGrid w:val="0"/>
              <w:spacing w:line="360" w:lineRule="exact"/>
              <w:jc w:val="center"/>
              <w:textAlignment w:val="bottom"/>
              <w:rPr>
                <w:rFonts w:ascii="宋体" w:hAnsi="宋体" w:cs="宋体"/>
                <w:szCs w:val="21"/>
                <w:highlight w:val="none"/>
              </w:rPr>
            </w:pPr>
            <w:bookmarkStart w:id="21" w:name="_Toc5554"/>
            <w:bookmarkStart w:id="22" w:name="_Toc712"/>
            <w:bookmarkStart w:id="23" w:name="第三部分"/>
            <w:bookmarkStart w:id="24" w:name="_Toc164416483"/>
            <w:r>
              <w:rPr>
                <w:rFonts w:hint="eastAsia" w:ascii="宋体" w:hAnsi="宋体" w:cs="宋体"/>
                <w:szCs w:val="21"/>
                <w:highlight w:val="none"/>
              </w:rPr>
              <w:t>序号</w:t>
            </w:r>
          </w:p>
        </w:tc>
        <w:tc>
          <w:tcPr>
            <w:tcW w:w="178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事项</w:t>
            </w:r>
          </w:p>
        </w:tc>
        <w:tc>
          <w:tcPr>
            <w:tcW w:w="7608" w:type="dxa"/>
            <w:vAlign w:val="center"/>
          </w:tcPr>
          <w:p>
            <w:pPr>
              <w:autoSpaceDE w:val="0"/>
              <w:autoSpaceDN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exac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项目名称</w:t>
            </w:r>
          </w:p>
        </w:tc>
        <w:tc>
          <w:tcPr>
            <w:tcW w:w="7608" w:type="dxa"/>
            <w:vAlign w:val="center"/>
          </w:tcPr>
          <w:p>
            <w:pPr>
              <w:autoSpaceDE w:val="0"/>
              <w:autoSpaceDN w:val="0"/>
              <w:snapToGrid w:val="0"/>
              <w:spacing w:line="360" w:lineRule="exact"/>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仙岩镇全域旅游及舜皇村核心区改造提升规划项目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2</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开标前答疑会或现场考察</w:t>
            </w:r>
          </w:p>
        </w:tc>
        <w:tc>
          <w:tcPr>
            <w:tcW w:w="7608"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3</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项目属性</w:t>
            </w:r>
          </w:p>
        </w:tc>
        <w:tc>
          <w:tcPr>
            <w:tcW w:w="7608" w:type="dxa"/>
            <w:vAlign w:val="center"/>
          </w:tcPr>
          <w:p>
            <w:pPr>
              <w:autoSpaceDE w:val="0"/>
              <w:autoSpaceDN w:val="0"/>
              <w:snapToGrid w:val="0"/>
              <w:spacing w:line="360" w:lineRule="exact"/>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788" w:type="dxa"/>
            <w:vAlign w:val="center"/>
          </w:tcPr>
          <w:p>
            <w:pPr>
              <w:autoSpaceDE w:val="0"/>
              <w:autoSpaceDN w:val="0"/>
              <w:snapToGrid w:val="0"/>
              <w:spacing w:line="360" w:lineRule="exact"/>
              <w:jc w:val="center"/>
              <w:textAlignment w:val="bottom"/>
              <w:rPr>
                <w:rFonts w:ascii="宋体" w:hAnsi="宋体" w:cs="宋体"/>
                <w:bCs/>
                <w:sz w:val="24"/>
                <w:szCs w:val="24"/>
                <w:highlight w:val="none"/>
              </w:rPr>
            </w:pPr>
            <w:r>
              <w:rPr>
                <w:rFonts w:hint="eastAsia" w:ascii="宋体" w:hAnsi="宋体" w:cs="宋体"/>
                <w:bCs/>
                <w:sz w:val="24"/>
                <w:szCs w:val="24"/>
                <w:highlight w:val="none"/>
              </w:rPr>
              <w:t>分包</w:t>
            </w:r>
          </w:p>
        </w:tc>
        <w:tc>
          <w:tcPr>
            <w:tcW w:w="7608" w:type="dxa"/>
            <w:vAlign w:val="center"/>
          </w:tcPr>
          <w:p>
            <w:pPr>
              <w:autoSpaceDE w:val="0"/>
              <w:autoSpaceDN w:val="0"/>
              <w:snapToGrid w:val="0"/>
              <w:spacing w:line="360" w:lineRule="exact"/>
              <w:textAlignment w:val="bottom"/>
              <w:rPr>
                <w:rFonts w:ascii="MS Mincho" w:hAnsi="MS Mincho" w:eastAsia="MS Mincho" w:cs="MS Mincho"/>
                <w:kern w:val="0"/>
                <w:sz w:val="24"/>
                <w:szCs w:val="24"/>
                <w:highlight w:val="none"/>
              </w:rPr>
            </w:pPr>
            <w:r>
              <w:rPr>
                <w:rFonts w:hint="eastAsia" w:ascii="宋体" w:hAnsi="宋体" w:cs="宋体"/>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质疑</w:t>
            </w:r>
          </w:p>
        </w:tc>
        <w:tc>
          <w:tcPr>
            <w:tcW w:w="7608" w:type="dxa"/>
            <w:vAlign w:val="center"/>
          </w:tcPr>
          <w:p>
            <w:pPr>
              <w:autoSpaceDE w:val="0"/>
              <w:autoSpaceDN w:val="0"/>
              <w:snapToGrid w:val="0"/>
              <w:spacing w:line="360" w:lineRule="exact"/>
              <w:textAlignment w:val="bottom"/>
              <w:rPr>
                <w:rFonts w:ascii="宋体" w:hAnsi="宋体" w:cs="宋体"/>
                <w:sz w:val="24"/>
                <w:szCs w:val="24"/>
                <w:highlight w:val="none"/>
              </w:rPr>
            </w:pPr>
            <w:r>
              <w:rPr>
                <w:rFonts w:hint="eastAsia" w:ascii="宋体" w:hAnsi="宋体" w:cs="宋体"/>
                <w:sz w:val="24"/>
                <w:szCs w:val="24"/>
                <w:highlight w:val="none"/>
              </w:rPr>
              <w:t>投标人如对招标文件有异议，应当于招标文件要求提交招标文件截止时间七日前，以书面形式向招标采购人提出，逾期不予受理。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方案讲解演示</w:t>
            </w:r>
          </w:p>
        </w:tc>
        <w:tc>
          <w:tcPr>
            <w:tcW w:w="7608" w:type="dxa"/>
            <w:vAlign w:val="center"/>
          </w:tcPr>
          <w:p>
            <w:pPr>
              <w:spacing w:line="360" w:lineRule="auto"/>
              <w:rPr>
                <w:rFonts w:ascii="宋体" w:hAnsi="宋体" w:cs="宋体"/>
                <w:b/>
                <w:bCs/>
                <w:sz w:val="24"/>
                <w:szCs w:val="24"/>
                <w:highlight w:val="none"/>
              </w:rPr>
            </w:pPr>
            <w:r>
              <w:rPr>
                <w:rFonts w:hint="eastAsia" w:ascii="宋体"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8</w:t>
            </w:r>
          </w:p>
        </w:tc>
        <w:tc>
          <w:tcPr>
            <w:tcW w:w="1788"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b w:val="0"/>
                <w:bCs/>
                <w:sz w:val="24"/>
                <w:szCs w:val="24"/>
                <w:highlight w:val="none"/>
              </w:rPr>
              <w:t>投标人应当提供的资格、资信证明文件</w:t>
            </w:r>
          </w:p>
        </w:tc>
        <w:tc>
          <w:tcPr>
            <w:tcW w:w="7608" w:type="dxa"/>
            <w:vAlign w:val="center"/>
          </w:tcPr>
          <w:p>
            <w:pPr>
              <w:autoSpaceDE w:val="0"/>
              <w:autoSpaceDN w:val="0"/>
              <w:adjustRightInd/>
              <w:snapToGrid w:val="0"/>
              <w:spacing w:line="360" w:lineRule="exact"/>
              <w:textAlignment w:val="bottom"/>
              <w:rPr>
                <w:rFonts w:ascii="宋体" w:hAnsi="宋体" w:cs="宋体"/>
                <w:sz w:val="24"/>
                <w:szCs w:val="24"/>
                <w:highlight w:val="none"/>
              </w:rPr>
            </w:pPr>
            <w:r>
              <w:rPr>
                <w:rFonts w:hint="eastAsia" w:ascii="宋体" w:hAnsi="宋体" w:cs="宋体"/>
                <w:kern w:val="0"/>
                <w:sz w:val="24"/>
                <w:szCs w:val="24"/>
                <w:highlight w:val="none"/>
                <w:lang w:val="zh-CN"/>
              </w:rPr>
              <w:t>投标人按照项目要求提供资格、资信证明文件。投标人未提供有效的资格证明文件的，视为投标人不具备采购文件中规定的资格要求，投标无效。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46" w:type="dxa"/>
            <w:vAlign w:val="center"/>
          </w:tcPr>
          <w:p>
            <w:pPr>
              <w:autoSpaceDE w:val="0"/>
              <w:autoSpaceDN w:val="0"/>
              <w:snapToGrid w:val="0"/>
              <w:spacing w:line="360" w:lineRule="exact"/>
              <w:jc w:val="center"/>
              <w:textAlignment w:val="bottom"/>
              <w:rPr>
                <w:sz w:val="24"/>
                <w:szCs w:val="24"/>
                <w:highlight w:val="none"/>
              </w:rPr>
            </w:pPr>
            <w:r>
              <w:rPr>
                <w:rFonts w:hint="eastAsia" w:ascii="宋体" w:hAnsi="宋体" w:cs="宋体"/>
                <w:sz w:val="24"/>
                <w:szCs w:val="24"/>
                <w:highlight w:val="none"/>
              </w:rPr>
              <w:t>10</w:t>
            </w:r>
          </w:p>
        </w:tc>
        <w:tc>
          <w:tcPr>
            <w:tcW w:w="1788" w:type="dxa"/>
            <w:vAlign w:val="center"/>
          </w:tcPr>
          <w:p>
            <w:pPr>
              <w:autoSpaceDE w:val="0"/>
              <w:autoSpaceDN w:val="0"/>
              <w:snapToGrid w:val="0"/>
              <w:spacing w:line="400" w:lineRule="exact"/>
              <w:jc w:val="center"/>
              <w:textAlignment w:val="bottom"/>
              <w:rPr>
                <w:rFonts w:ascii="宋体" w:hAnsi="宋体" w:cs="宋体"/>
                <w:b/>
                <w:sz w:val="24"/>
                <w:szCs w:val="24"/>
                <w:highlight w:val="none"/>
              </w:rPr>
            </w:pPr>
            <w:r>
              <w:rPr>
                <w:rFonts w:hint="eastAsia" w:ascii="宋体" w:hAnsi="宋体" w:cs="宋体"/>
                <w:sz w:val="24"/>
                <w:szCs w:val="24"/>
                <w:highlight w:val="none"/>
              </w:rPr>
              <w:t>投标文件编制</w:t>
            </w:r>
          </w:p>
        </w:tc>
        <w:tc>
          <w:tcPr>
            <w:tcW w:w="7608" w:type="dxa"/>
            <w:vAlign w:val="center"/>
          </w:tcPr>
          <w:p>
            <w:pPr>
              <w:autoSpaceDE w:val="0"/>
              <w:autoSpaceDN w:val="0"/>
              <w:snapToGrid w:val="0"/>
              <w:spacing w:line="400" w:lineRule="exact"/>
              <w:textAlignment w:val="bottom"/>
              <w:rPr>
                <w:rFonts w:ascii="宋体" w:hAnsi="宋体" w:cs="宋体"/>
                <w:kern w:val="0"/>
                <w:sz w:val="24"/>
                <w:szCs w:val="24"/>
                <w:highlight w:val="none"/>
              </w:rPr>
            </w:pPr>
            <w:r>
              <w:rPr>
                <w:rFonts w:hint="eastAsia" w:ascii="宋体" w:hAnsi="宋体" w:cs="宋体"/>
                <w:sz w:val="24"/>
                <w:szCs w:val="24"/>
                <w:highlight w:val="none"/>
              </w:rPr>
              <w:t>投标人应先安装“乐采云电子交易客户端”，并按照本采购文件和“采购云平台”的要求，通过“乐采云电子交易客户端”编制并加密投标文件。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11</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签字或盖章要求</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（1）电子投标文件必须有电子签章；</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（2）开标后，相关信息记录确认、澄清说明、回复等内容，电子签章、或者签章后上传相关文件，均认可；</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（3）乐采云系统平台有新的操作流程的，按其规定。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46" w:type="dxa"/>
            <w:vAlign w:val="center"/>
          </w:tcPr>
          <w:p>
            <w:pPr>
              <w:autoSpaceDE w:val="0"/>
              <w:autoSpaceDN w:val="0"/>
              <w:snapToGrid w:val="0"/>
              <w:spacing w:line="360" w:lineRule="exact"/>
              <w:jc w:val="center"/>
              <w:textAlignment w:val="bottom"/>
              <w:rPr>
                <w:rFonts w:ascii="宋体" w:hAnsi="宋体" w:cs="宋体"/>
                <w:sz w:val="24"/>
                <w:szCs w:val="24"/>
                <w:highlight w:val="none"/>
              </w:rPr>
            </w:pPr>
            <w:r>
              <w:rPr>
                <w:rFonts w:hint="eastAsia" w:ascii="宋体" w:hAnsi="宋体" w:cs="宋体"/>
                <w:sz w:val="24"/>
                <w:szCs w:val="24"/>
                <w:highlight w:val="none"/>
              </w:rPr>
              <w:t>12</w:t>
            </w:r>
          </w:p>
        </w:tc>
        <w:tc>
          <w:tcPr>
            <w:tcW w:w="1788" w:type="dxa"/>
            <w:vAlign w:val="center"/>
          </w:tcPr>
          <w:p>
            <w:pPr>
              <w:autoSpaceDE w:val="0"/>
              <w:autoSpaceDN w:val="0"/>
              <w:snapToGrid w:val="0"/>
              <w:spacing w:line="400" w:lineRule="exact"/>
              <w:jc w:val="center"/>
              <w:textAlignment w:val="bottom"/>
              <w:rPr>
                <w:rFonts w:ascii="宋体" w:hAnsi="宋体" w:cs="宋体"/>
                <w:sz w:val="24"/>
                <w:szCs w:val="24"/>
                <w:highlight w:val="none"/>
              </w:rPr>
            </w:pPr>
            <w:r>
              <w:rPr>
                <w:rFonts w:hint="eastAsia" w:ascii="宋体" w:hAnsi="宋体" w:cs="宋体"/>
                <w:sz w:val="24"/>
                <w:szCs w:val="24"/>
                <w:highlight w:val="none"/>
              </w:rPr>
              <w:t>投标文件的形式</w:t>
            </w:r>
          </w:p>
        </w:tc>
        <w:tc>
          <w:tcPr>
            <w:tcW w:w="7608" w:type="dxa"/>
            <w:vAlign w:val="center"/>
          </w:tcPr>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电子投标文件（包括“电子加密投标文件”和“备份投标文件”，在投标文件编制完成后同时生成）；</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（1）“电子加密投标文件”是指通过“乐采云电子交易客户端”完成投标文件编制后生成并加密的数据电文形式的投标文件。</w:t>
            </w:r>
          </w:p>
          <w:p>
            <w:pPr>
              <w:autoSpaceDE w:val="0"/>
              <w:autoSpaceDN w:val="0"/>
              <w:snapToGrid w:val="0"/>
              <w:spacing w:line="400" w:lineRule="exact"/>
              <w:textAlignment w:val="bottom"/>
              <w:rPr>
                <w:rFonts w:ascii="宋体" w:hAnsi="宋体" w:cs="宋体"/>
                <w:sz w:val="24"/>
                <w:szCs w:val="24"/>
                <w:highlight w:val="none"/>
              </w:rPr>
            </w:pPr>
            <w:r>
              <w:rPr>
                <w:rFonts w:hint="eastAsia" w:ascii="宋体" w:hAnsi="宋体" w:cs="宋体"/>
                <w:sz w:val="24"/>
                <w:szCs w:val="24"/>
                <w:highlight w:val="none"/>
              </w:rPr>
              <w:t>（2）“备份投标文件”是指与“电子加密投标文件”同时生成的以介质（U盘）存储的数据电文形式的电子文件（备份标书），其他方式编制的备份投标文件视为无效备份投标文件。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（1）一份电子加密标书（后缀格式为.jmbs），一份备份标书文件（后缀格式为.bfbs）。</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每份电子投标文件应包括资格证明文件、资信技术文件及报价文件三部分内容。</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（2）如中标，中标人需根据采购人要求提供纸质投标文件至少一份。采购人有权要求中标人提供原版技术资料。</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（3）“备份投标文件”：密封包装后（邮寄形式）投标截止时间前递交一份（邮寄地址：嵊州市三江街道领带园二路和创园2号楼4楼2415-2，张女士收）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电子加密投标文件的上传、递交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（1）投标人应在投标截止时间前将“电子加密投标文件”成功上传递交至“采购云平台”，否则投标无效。</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（2）“电子加密投标文件”成功上传递交后，投标人可自行打印投标文件接收回执。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备份投标文件的密封包装、递交</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（1）投标人在“采购云平台”完成“电子加密投标文件”的上传递交后，还可以（邮寄形式）在投标截止时间前递交以介质（U盘）存储的“备份投标文件”（一份）；</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备份响应文件送达地点： 嵊州市三江街道领带园二路和创园2号楼4楼2415 ；备份响应文件签收人员：</w:t>
            </w:r>
            <w:r>
              <w:rPr>
                <w:rFonts w:hint="eastAsia" w:ascii="宋体" w:hAnsi="宋体" w:eastAsia="宋体" w:cs="宋体"/>
                <w:sz w:val="24"/>
                <w:szCs w:val="24"/>
                <w:highlight w:val="none"/>
                <w:lang w:val="en-US"/>
              </w:rPr>
              <w:t>张</w:t>
            </w:r>
            <w:r>
              <w:rPr>
                <w:rFonts w:hint="eastAsia" w:ascii="宋体" w:hAnsi="宋体" w:cs="宋体"/>
                <w:sz w:val="24"/>
                <w:szCs w:val="24"/>
                <w:highlight w:val="none"/>
                <w:lang w:val="en-US" w:eastAsia="zh-CN"/>
              </w:rPr>
              <w:t>女士</w:t>
            </w:r>
            <w:r>
              <w:rPr>
                <w:rFonts w:hint="eastAsia" w:ascii="宋体" w:hAnsi="宋体" w:eastAsia="宋体" w:cs="宋体"/>
                <w:sz w:val="24"/>
                <w:szCs w:val="24"/>
                <w:highlight w:val="none"/>
                <w:lang w:val="en-US"/>
              </w:rPr>
              <w:t>，电话：</w:t>
            </w:r>
            <w:r>
              <w:rPr>
                <w:rFonts w:hint="eastAsia" w:ascii="宋体" w:hAnsi="宋体" w:eastAsia="宋体" w:cs="宋体"/>
                <w:sz w:val="24"/>
                <w:szCs w:val="24"/>
                <w:highlight w:val="none"/>
              </w:rPr>
              <w:t>0575-89300689。采购人、采购机构不强制或变相强制供应商提交备份响应文件。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电子加密投标文件的解密和异常情况处理</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（1）开标后，采购组织机构将向各投标人发出“电子加密投标文件”的解密通知，各投标人代表应当在接到解密通知后30分钟内自行完成“电子加密投标文件”的在线解密。</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通过“采购云平台”成功上传递交的“电子加密投标文件”无法按时解密，投标人如按规定递交了“备份投标文件”的，以“备份投标文件”为依据（由采购组织机构按“采购云平台”操作规范将“备份投标文件”上传至“采购云平台”，上传成功后，“电子加密投标文件”自动失效），否则视为投标文件撤回。</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（3）投标截止时间前，投标人仅递交了“备份投标文件”而未将电子加密投标文件上传至“采购云平台”的，投标无效。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样品</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kern w:val="0"/>
                <w:sz w:val="24"/>
                <w:szCs w:val="24"/>
              </w:rPr>
              <w:sym w:font="Wingdings" w:char="F0FE"/>
            </w:r>
            <w:r>
              <w:rPr>
                <w:rFonts w:hint="eastAsia" w:ascii="宋体" w:hAnsi="宋体" w:eastAsia="宋体" w:cs="宋体"/>
                <w:kern w:val="0"/>
                <w:sz w:val="24"/>
                <w:szCs w:val="24"/>
              </w:rPr>
              <w:t>A</w:t>
            </w:r>
            <w:r>
              <w:rPr>
                <w:rFonts w:hint="eastAsia" w:ascii="宋体" w:hAnsi="宋体" w:eastAsia="宋体" w:cs="宋体"/>
                <w:sz w:val="24"/>
                <w:szCs w:val="24"/>
              </w:rPr>
              <w:t>不要求提供。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☐B要求提供，</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（4）是否需要随样品提交检测报告：☐否；☐是，检测机构的要求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（6）采购活动结束后，对于未</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提供的样品，采购人、采购机构将通知未</w:t>
            </w:r>
            <w:r>
              <w:rPr>
                <w:rFonts w:hint="eastAsia" w:ascii="宋体" w:hAnsi="宋体" w:eastAsia="宋体" w:cs="宋体"/>
                <w:sz w:val="24"/>
                <w:szCs w:val="24"/>
                <w:lang w:eastAsia="zh-CN"/>
              </w:rPr>
              <w:t>中标供应商</w:t>
            </w:r>
            <w:r>
              <w:rPr>
                <w:rFonts w:hint="eastAsia" w:ascii="宋体" w:hAnsi="宋体" w:eastAsia="宋体" w:cs="宋体"/>
                <w:sz w:val="24"/>
                <w:szCs w:val="24"/>
              </w:rPr>
              <w:t>在规定的时间内取回，逾期未取回的，采购人、采购机构不负保管义务；对于</w:t>
            </w:r>
            <w:r>
              <w:rPr>
                <w:rFonts w:hint="eastAsia" w:ascii="宋体" w:hAnsi="宋体" w:eastAsia="宋体" w:cs="宋体"/>
                <w:sz w:val="24"/>
                <w:szCs w:val="24"/>
                <w:lang w:eastAsia="zh-CN"/>
              </w:rPr>
              <w:t>中标供应商</w:t>
            </w:r>
            <w:r>
              <w:rPr>
                <w:rFonts w:hint="eastAsia" w:ascii="宋体" w:hAnsi="宋体" w:eastAsia="宋体" w:cs="宋体"/>
                <w:sz w:val="24"/>
                <w:szCs w:val="24"/>
              </w:rPr>
              <w:t>提供的样品，采购人将进行保管、封存，并作为履约验收的参考。</w:t>
            </w:r>
          </w:p>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7608" w:type="dxa"/>
            <w:vAlign w:val="center"/>
          </w:tcPr>
          <w:p>
            <w:pPr>
              <w:snapToGrid w:val="0"/>
              <w:spacing w:line="360" w:lineRule="auto"/>
              <w:contextualSpacing/>
              <w:jc w:val="both"/>
              <w:rPr>
                <w:rFonts w:hint="eastAsia" w:ascii="宋体" w:hAnsi="宋体" w:eastAsia="宋体" w:cs="宋体"/>
                <w:sz w:val="24"/>
                <w:szCs w:val="24"/>
              </w:rPr>
            </w:pPr>
            <w:r>
              <w:rPr>
                <w:rFonts w:hint="eastAsia" w:ascii="宋体" w:hAnsi="宋体" w:eastAsia="宋体" w:cs="宋体"/>
                <w:sz w:val="24"/>
                <w:szCs w:val="24"/>
              </w:rPr>
              <w:t>投标保证金：</w:t>
            </w:r>
            <w:r>
              <w:rPr>
                <w:rFonts w:hint="eastAsia" w:ascii="宋体" w:hAnsi="宋体" w:cs="宋体"/>
                <w:sz w:val="24"/>
                <w:szCs w:val="24"/>
                <w:lang w:val="en-US" w:eastAsia="zh-CN"/>
              </w:rPr>
              <w:t>10000</w:t>
            </w:r>
            <w:r>
              <w:rPr>
                <w:rFonts w:hint="eastAsia" w:ascii="宋体" w:hAnsi="宋体" w:eastAsia="宋体" w:cs="宋体"/>
                <w:sz w:val="24"/>
                <w:szCs w:val="24"/>
              </w:rPr>
              <w:t>元(大写：</w:t>
            </w:r>
            <w:r>
              <w:rPr>
                <w:rFonts w:hint="eastAsia" w:ascii="宋体" w:hAnsi="宋体" w:cs="宋体"/>
                <w:sz w:val="24"/>
                <w:szCs w:val="24"/>
                <w:lang w:eastAsia="zh-CN"/>
              </w:rPr>
              <w:t>壹万</w:t>
            </w:r>
            <w:r>
              <w:rPr>
                <w:rFonts w:hint="eastAsia" w:ascii="宋体" w:hAnsi="宋体" w:eastAsia="宋体" w:cs="宋体"/>
                <w:sz w:val="24"/>
                <w:szCs w:val="24"/>
              </w:rPr>
              <w:t>元整)。转账(电汇)或网银支付,由投标人自行选择。提交时间：投标保证金在开标前到账。如因投标人自身原因，造成投标单位保证金未及时到账，一律视为不响应招标文件，其投标文件不予接受。</w:t>
            </w:r>
          </w:p>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公司名称：泾清项目管理有限公司</w:t>
            </w:r>
            <w:r>
              <w:rPr>
                <w:rFonts w:hint="eastAsia" w:ascii="宋体" w:hAnsi="宋体" w:eastAsia="宋体" w:cs="宋体"/>
                <w:color w:val="000000"/>
                <w:sz w:val="24"/>
                <w:szCs w:val="24"/>
                <w:lang w:eastAsia="zh-CN"/>
              </w:rPr>
              <w:t>嵊州分公司</w:t>
            </w:r>
          </w:p>
          <w:p>
            <w:pPr>
              <w:keepNext w:val="0"/>
              <w:keepLines w:val="0"/>
              <w:pageBreakBefore w:val="0"/>
              <w:widowControl w:val="0"/>
              <w:kinsoku/>
              <w:wordWrap/>
              <w:overflowPunct/>
              <w:topLinePunct w:val="0"/>
              <w:bidi w:val="0"/>
              <w:adjustRightInd/>
              <w:spacing w:after="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开户行：中国工商银行嵊州市支行</w:t>
            </w:r>
          </w:p>
          <w:p>
            <w:pPr>
              <w:keepNext w:val="0"/>
              <w:keepLines w:val="0"/>
              <w:pageBreakBefore w:val="0"/>
              <w:widowControl w:val="0"/>
              <w:kinsoku/>
              <w:wordWrap/>
              <w:overflowPunct/>
              <w:topLinePunct w:val="0"/>
              <w:bidi w:val="0"/>
              <w:adjustRightInd/>
              <w:spacing w:after="0" w:line="360" w:lineRule="auto"/>
              <w:jc w:val="both"/>
              <w:rPr>
                <w:rFonts w:hint="default"/>
                <w:lang w:val="en-US" w:eastAsia="zh-CN"/>
              </w:rPr>
            </w:pPr>
            <w:r>
              <w:rPr>
                <w:rFonts w:hint="eastAsia" w:ascii="宋体" w:hAnsi="宋体" w:eastAsia="宋体" w:cs="宋体"/>
                <w:color w:val="000000"/>
                <w:sz w:val="24"/>
                <w:szCs w:val="24"/>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b/>
                <w:bCs/>
                <w:sz w:val="24"/>
                <w:szCs w:val="24"/>
                <w:highlight w:val="none"/>
              </w:rPr>
            </w:pPr>
            <w:r>
              <w:rPr>
                <w:rFonts w:hint="eastAsia" w:ascii="宋体" w:hAnsi="宋体" w:eastAsia="宋体" w:cs="宋体"/>
                <w:sz w:val="24"/>
                <w:szCs w:val="24"/>
                <w:highlight w:val="none"/>
              </w:rPr>
              <w:t>19</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608" w:type="dxa"/>
            <w:vAlign w:val="center"/>
          </w:tcPr>
          <w:p>
            <w:pPr>
              <w:autoSpaceDE w:val="0"/>
              <w:autoSpaceDN w:val="0"/>
              <w:snapToGrid w:val="0"/>
              <w:spacing w:line="400" w:lineRule="exac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中标金额的 1 %；收到中标通知书之日起5个工作日内缴纳履约保证金，项目验收合格并经采购人认可后30日内无息退还履约保证金。履约保证金支付方式：转账形式。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608" w:type="dxa"/>
            <w:vAlign w:val="center"/>
          </w:tcPr>
          <w:p>
            <w:pPr>
              <w:spacing w:line="460" w:lineRule="exact"/>
              <w:rPr>
                <w:rFonts w:hint="eastAsia" w:ascii="宋体" w:hAnsi="宋体" w:eastAsia="宋体" w:cs="宋体"/>
                <w:sz w:val="24"/>
                <w:szCs w:val="24"/>
                <w:lang w:val="zh-TW" w:eastAsia="zh-TW"/>
              </w:rPr>
            </w:pPr>
            <w:bookmarkStart w:id="25" w:name="OLE_LINK1"/>
            <w:r>
              <w:rPr>
                <w:rFonts w:hint="eastAsia" w:ascii="宋体" w:hAnsi="宋体" w:eastAsia="宋体" w:cs="宋体"/>
                <w:sz w:val="24"/>
                <w:szCs w:val="24"/>
                <w:lang w:val="zh-TW" w:eastAsia="zh-TW"/>
              </w:rPr>
              <w:t>（1）合同签订后7个工作日内，甲方支付给乙方合同金额的</w:t>
            </w:r>
            <w:r>
              <w:rPr>
                <w:rFonts w:hint="eastAsia" w:ascii="宋体" w:hAnsi="宋体" w:cs="宋体"/>
                <w:sz w:val="24"/>
                <w:szCs w:val="24"/>
                <w:lang w:val="en-US" w:eastAsia="zh-CN"/>
              </w:rPr>
              <w:t>1</w:t>
            </w:r>
            <w:r>
              <w:rPr>
                <w:rFonts w:hint="eastAsia" w:ascii="宋体" w:hAnsi="宋体" w:eastAsia="宋体" w:cs="宋体"/>
                <w:sz w:val="24"/>
                <w:szCs w:val="24"/>
                <w:lang w:val="zh-TW" w:eastAsia="zh-TW"/>
              </w:rPr>
              <w:t>0％。</w:t>
            </w:r>
          </w:p>
          <w:p>
            <w:pPr>
              <w:spacing w:line="460" w:lineRule="exac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（2）项目成果方案通过甲方部门审查通过后7个工作日内，甲方支付给乙方合同金额的</w:t>
            </w:r>
            <w:r>
              <w:rPr>
                <w:rFonts w:hint="eastAsia" w:ascii="宋体" w:hAnsi="宋体" w:cs="宋体"/>
                <w:sz w:val="24"/>
                <w:szCs w:val="24"/>
                <w:lang w:val="en-US" w:eastAsia="zh-CN"/>
              </w:rPr>
              <w:t>50</w:t>
            </w:r>
            <w:r>
              <w:rPr>
                <w:rFonts w:hint="eastAsia" w:ascii="宋体" w:hAnsi="宋体" w:eastAsia="宋体" w:cs="宋体"/>
                <w:sz w:val="24"/>
                <w:szCs w:val="24"/>
                <w:lang w:val="zh-TW" w:eastAsia="zh-TW"/>
              </w:rPr>
              <w:t>％。</w:t>
            </w:r>
          </w:p>
          <w:p>
            <w:pPr>
              <w:spacing w:line="460" w:lineRule="exac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（3）项目根据甲方意见修改后，提供最终成果</w:t>
            </w:r>
            <w:r>
              <w:rPr>
                <w:rFonts w:hint="eastAsia" w:ascii="宋体" w:hAnsi="宋体" w:cs="宋体"/>
                <w:sz w:val="24"/>
                <w:szCs w:val="24"/>
                <w:lang w:val="zh-TW" w:eastAsia="zh-CN"/>
              </w:rPr>
              <w:t>。项目完成招标</w:t>
            </w:r>
            <w:r>
              <w:rPr>
                <w:rFonts w:hint="eastAsia" w:ascii="宋体" w:hAnsi="宋体" w:eastAsia="宋体" w:cs="宋体"/>
                <w:sz w:val="24"/>
                <w:szCs w:val="24"/>
                <w:lang w:val="zh-TW" w:eastAsia="zh-TW"/>
              </w:rPr>
              <w:t>后7个工作日内，甲方支付给乙方合同金额的</w:t>
            </w:r>
            <w:r>
              <w:rPr>
                <w:rFonts w:hint="eastAsia" w:ascii="宋体" w:hAnsi="宋体" w:cs="宋体"/>
                <w:sz w:val="24"/>
                <w:szCs w:val="24"/>
                <w:lang w:val="en-US" w:eastAsia="zh-CN"/>
              </w:rPr>
              <w:t>3</w:t>
            </w:r>
            <w:r>
              <w:rPr>
                <w:rFonts w:hint="eastAsia" w:ascii="宋体" w:hAnsi="宋体" w:eastAsia="宋体" w:cs="宋体"/>
                <w:sz w:val="24"/>
                <w:szCs w:val="24"/>
                <w:lang w:val="zh-TW" w:eastAsia="zh-TW"/>
              </w:rPr>
              <w:t>0％。</w:t>
            </w:r>
          </w:p>
          <w:p>
            <w:pPr>
              <w:pStyle w:val="2"/>
              <w:rPr>
                <w:rFonts w:hint="default" w:eastAsia="宋体"/>
                <w:lang w:val="en-US" w:eastAsia="zh-CN"/>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）无任何问题一年后支付剩余</w:t>
            </w:r>
            <w:r>
              <w:rPr>
                <w:rFonts w:hint="eastAsia" w:ascii="宋体" w:hAnsi="宋体" w:eastAsia="宋体" w:cs="宋体"/>
                <w:sz w:val="24"/>
                <w:szCs w:val="24"/>
                <w:lang w:val="en-US" w:eastAsia="zh-CN"/>
              </w:rPr>
              <w:t>10%。</w:t>
            </w:r>
          </w:p>
          <w:p>
            <w:pPr>
              <w:numPr>
                <w:ilvl w:val="0"/>
                <w:numId w:val="0"/>
              </w:numPr>
              <w:spacing w:line="500" w:lineRule="exact"/>
              <w:jc w:val="left"/>
              <w:rPr>
                <w:rFonts w:hint="eastAsia" w:ascii="宋体" w:hAnsi="宋体" w:eastAsia="宋体" w:cs="宋体"/>
                <w:sz w:val="24"/>
                <w:szCs w:val="24"/>
                <w:highlight w:val="none"/>
              </w:rPr>
            </w:pPr>
            <w:r>
              <w:rPr>
                <w:rFonts w:hint="eastAsia" w:ascii="宋体" w:hAnsi="宋体" w:cs="宋体"/>
                <w:sz w:val="24"/>
                <w:highlight w:val="none"/>
              </w:rPr>
              <w:t>甲乙双方可根据项目的进度情况，分别办理付款申请、款项支付事项。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646"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788" w:type="dxa"/>
            <w:vAlign w:val="center"/>
          </w:tcPr>
          <w:p>
            <w:pPr>
              <w:autoSpaceDE w:val="0"/>
              <w:autoSpaceDN w:val="0"/>
              <w:snapToGrid w:val="0"/>
              <w:spacing w:line="40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投标人信用信息事项</w:t>
            </w:r>
          </w:p>
        </w:tc>
        <w:tc>
          <w:tcPr>
            <w:tcW w:w="7608" w:type="dxa"/>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信用信息查询渠道及截止时间：</w:t>
            </w:r>
            <w:r>
              <w:rPr>
                <w:rFonts w:hint="eastAsia" w:ascii="宋体" w:hAnsi="宋体" w:eastAsia="宋体" w:cs="宋体"/>
                <w:sz w:val="24"/>
                <w:szCs w:val="24"/>
                <w:highlight w:val="none"/>
              </w:rPr>
              <w:t>项目评审组织人员将通过“信用中国”网站(www.creditchina.gov.cn)、中国政府采购网(www.ccgp.gov.cn)渠道查询投标人</w:t>
            </w:r>
            <w:r>
              <w:rPr>
                <w:rFonts w:hint="eastAsia" w:ascii="宋体" w:hAnsi="宋体" w:eastAsia="宋体" w:cs="宋体"/>
                <w:b/>
                <w:sz w:val="24"/>
                <w:szCs w:val="24"/>
                <w:highlight w:val="none"/>
              </w:rPr>
              <w:t>投标截止时间前</w:t>
            </w:r>
            <w:r>
              <w:rPr>
                <w:rFonts w:hint="eastAsia" w:ascii="宋体" w:hAnsi="宋体" w:eastAsia="宋体" w:cs="宋体"/>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64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23</w:t>
            </w:r>
          </w:p>
        </w:tc>
        <w:tc>
          <w:tcPr>
            <w:tcW w:w="1788"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特别说明</w:t>
            </w:r>
          </w:p>
        </w:tc>
        <w:tc>
          <w:tcPr>
            <w:tcW w:w="7608" w:type="dxa"/>
            <w:vAlign w:val="center"/>
          </w:tcPr>
          <w:p>
            <w:pPr>
              <w:pStyle w:val="53"/>
              <w:widowControl w:val="0"/>
              <w:autoSpaceDE w:val="0"/>
              <w:autoSpaceDN w:val="0"/>
              <w:snapToGrid w:val="0"/>
              <w:spacing w:line="36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24</w:t>
            </w:r>
          </w:p>
        </w:tc>
        <w:tc>
          <w:tcPr>
            <w:tcW w:w="1788" w:type="dxa"/>
            <w:vAlign w:val="center"/>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608" w:type="dxa"/>
            <w:vAlign w:val="center"/>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采购人须向采购代理机构按如下标准和规定交纳成交服务费：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采购代理服务费：以标项中标金额为计算基数，采用差额定率累进计费方式，按以下标准费率计算值的 100%收取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费率标准如下：</w:t>
            </w:r>
          </w:p>
          <w:tbl>
            <w:tblPr>
              <w:tblStyle w:val="28"/>
              <w:tblW w:w="5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金额（万元）</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100（含）及以下部分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100～500 之间部分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 之间部分</w:t>
                  </w:r>
                </w:p>
              </w:tc>
              <w:tc>
                <w:tcPr>
                  <w:tcW w:w="2838" w:type="dxa"/>
                  <w:noWrap w:val="0"/>
                  <w:vAlign w:val="top"/>
                </w:tcPr>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0.8%</w:t>
                  </w:r>
                </w:p>
              </w:tc>
            </w:tr>
          </w:tbl>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②用银行支票、电汇、现金等付款方式直接交纳代理服务费。</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公司名称：泾清项目管理有限公司</w:t>
            </w:r>
            <w:r>
              <w:rPr>
                <w:rFonts w:hint="eastAsia" w:ascii="宋体" w:hAnsi="宋体" w:eastAsia="宋体" w:cs="宋体"/>
                <w:color w:val="auto"/>
                <w:sz w:val="24"/>
                <w:szCs w:val="24"/>
                <w:lang w:eastAsia="zh-CN"/>
              </w:rPr>
              <w:t>嵊州分公司</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开户行：中国工商银行嵊州市支行</w:t>
            </w:r>
          </w:p>
          <w:p>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646"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25</w:t>
            </w:r>
          </w:p>
        </w:tc>
        <w:tc>
          <w:tcPr>
            <w:tcW w:w="1788" w:type="dxa"/>
            <w:vAlign w:val="center"/>
          </w:tcPr>
          <w:p>
            <w:pPr>
              <w:spacing w:line="360" w:lineRule="auto"/>
              <w:jc w:val="center"/>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解释</w:t>
            </w:r>
          </w:p>
        </w:tc>
        <w:tc>
          <w:tcPr>
            <w:tcW w:w="7608" w:type="dxa"/>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凡涉及本文件的解释权属于采购人和采购代理机构。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0042" w:type="dxa"/>
            <w:gridSpan w:val="3"/>
            <w:vAlign w:val="center"/>
          </w:tcPr>
          <w:p>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注：排名第一的预中标候选人放弃中标资格或因质疑、投诉被取消预中标资格或不能履行合同的，重新组织招标。</w:t>
            </w:r>
          </w:p>
        </w:tc>
      </w:tr>
    </w:tbl>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一、总则</w:t>
      </w:r>
      <w:bookmarkEnd w:id="21"/>
      <w:bookmarkEnd w:id="22"/>
    </w:p>
    <w:p>
      <w:pPr>
        <w:snapToGrid w:val="0"/>
        <w:spacing w:line="500" w:lineRule="exact"/>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本招标文件适用于该项目的招标、投标、开标、资格审查及信用信息查询、评标、合同、验收等行为（法律、法规另有规定的，从其规定）。</w:t>
      </w:r>
    </w:p>
    <w:p>
      <w:pPr>
        <w:adjustRightInd/>
        <w:spacing w:line="500" w:lineRule="exact"/>
        <w:outlineLvl w:val="0"/>
        <w:rPr>
          <w:rFonts w:ascii="宋体" w:hAnsi="宋体" w:cs="宋体"/>
          <w:b/>
          <w:sz w:val="24"/>
          <w:highlight w:val="none"/>
        </w:rPr>
      </w:pPr>
      <w:bookmarkStart w:id="26" w:name="_Toc15695"/>
      <w:bookmarkStart w:id="27" w:name="_Toc18330"/>
      <w:r>
        <w:rPr>
          <w:rFonts w:hint="eastAsia" w:ascii="宋体" w:hAnsi="宋体" w:cs="宋体"/>
          <w:b/>
          <w:sz w:val="24"/>
          <w:highlight w:val="none"/>
        </w:rPr>
        <w:t>2.定义</w:t>
      </w:r>
      <w:bookmarkEnd w:id="26"/>
      <w:bookmarkEnd w:id="27"/>
    </w:p>
    <w:p>
      <w:pPr>
        <w:spacing w:line="500" w:lineRule="exact"/>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2.6“电子交易平台”是指本项目国企采购活动所依托的采购云平台（https://www.lecaiyun.com/）。</w:t>
      </w:r>
    </w:p>
    <w:p>
      <w:pPr>
        <w:spacing w:line="500" w:lineRule="exact"/>
        <w:ind w:firstLine="480" w:firstLineChars="200"/>
        <w:rPr>
          <w:rFonts w:ascii="宋体" w:hAnsi="宋体" w:cs="宋体"/>
          <w:b/>
          <w:sz w:val="24"/>
          <w:highlight w:val="none"/>
        </w:rPr>
      </w:pPr>
      <w:r>
        <w:rPr>
          <w:rFonts w:hint="eastAsia" w:ascii="宋体" w:hAnsi="宋体" w:cs="宋体"/>
          <w:sz w:val="24"/>
          <w:highlight w:val="none"/>
        </w:rPr>
        <w:t>2.7 “</w:t>
      </w:r>
      <w:r>
        <w:rPr>
          <w:rFonts w:hint="eastAsia" w:ascii="宋体" w:hAnsi="宋体" w:cs="宋体"/>
          <w:b/>
          <w:sz w:val="24"/>
          <w:highlight w:val="none"/>
        </w:rPr>
        <w:t>▲</w:t>
      </w:r>
      <w:r>
        <w:rPr>
          <w:rFonts w:hint="eastAsia" w:ascii="宋体" w:hAnsi="宋体" w:cs="宋体"/>
          <w:sz w:val="24"/>
          <w:highlight w:val="none"/>
        </w:rPr>
        <w:t>” 系指实质性要求条款。</w:t>
      </w:r>
      <w:r>
        <w:rPr>
          <w:rFonts w:hint="eastAsia" w:ascii="宋体" w:hAnsi="宋体" w:cs="宋体"/>
          <w:kern w:val="0"/>
          <w:sz w:val="24"/>
          <w:highlight w:val="none"/>
        </w:rPr>
        <w:t>★为重要性指标。</w:t>
      </w:r>
    </w:p>
    <w:p>
      <w:pPr>
        <w:spacing w:line="500" w:lineRule="exact"/>
        <w:rPr>
          <w:rFonts w:ascii="宋体" w:hAnsi="宋体" w:cs="宋体"/>
          <w:b/>
          <w:sz w:val="24"/>
          <w:highlight w:val="none"/>
        </w:rPr>
      </w:pPr>
      <w:r>
        <w:rPr>
          <w:rFonts w:hint="eastAsia" w:ascii="宋体" w:hAnsi="宋体" w:cs="宋体"/>
          <w:b/>
          <w:sz w:val="24"/>
          <w:highlight w:val="none"/>
        </w:rPr>
        <w:t>3. 询问、质疑、投诉</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.1投标人询问</w:t>
      </w:r>
    </w:p>
    <w:p>
      <w:pPr>
        <w:autoSpaceDE w:val="0"/>
        <w:autoSpaceDN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投标人对</w:t>
      </w:r>
      <w:r>
        <w:rPr>
          <w:rFonts w:hint="eastAsia" w:ascii="宋体" w:hAnsi="宋体" w:cs="宋体"/>
          <w:kern w:val="0"/>
          <w:sz w:val="24"/>
          <w:highlight w:val="none"/>
        </w:rPr>
        <w:t>国企</w:t>
      </w:r>
      <w:r>
        <w:rPr>
          <w:rFonts w:hint="eastAsia" w:ascii="宋体" w:hAnsi="宋体" w:cs="宋体"/>
          <w:kern w:val="0"/>
          <w:sz w:val="24"/>
          <w:highlight w:val="none"/>
          <w:lang w:val="zh-CN"/>
        </w:rPr>
        <w:t>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50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rPr>
        <w:t>3</w:t>
      </w:r>
      <w:r>
        <w:rPr>
          <w:rFonts w:hint="eastAsia" w:ascii="宋体" w:hAnsi="宋体" w:cs="宋体"/>
          <w:kern w:val="0"/>
          <w:sz w:val="24"/>
          <w:highlight w:val="none"/>
          <w:lang w:val="zh-CN"/>
        </w:rPr>
        <w:t>.2投标人质疑</w:t>
      </w:r>
    </w:p>
    <w:p>
      <w:pPr>
        <w:pStyle w:val="17"/>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.1提出质疑的投标人应当是参与所质疑项目采购活动的投标人。潜在投标人已依法获取其可质疑的招标文件的，可以对该文件提出质疑。</w:t>
      </w:r>
    </w:p>
    <w:p>
      <w:pPr>
        <w:pStyle w:val="17"/>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w:t>
      </w:r>
      <w:r>
        <w:rPr>
          <w:rFonts w:hint="eastAsia" w:hAnsi="宋体"/>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500" w:lineRule="exact"/>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3.2.2.1对招标文件提出质疑的，质疑期限为投标人获得招标文件之日或者招标文件公告期限届满之日起计算。</w:t>
      </w:r>
    </w:p>
    <w:p>
      <w:pPr>
        <w:pStyle w:val="17"/>
        <w:spacing w:before="120" w:after="120" w:line="500" w:lineRule="exact"/>
        <w:ind w:firstLine="480" w:firstLineChars="200"/>
        <w:rPr>
          <w:rFonts w:hAnsi="宋体"/>
          <w:highlight w:val="none"/>
        </w:rPr>
      </w:pPr>
      <w:r>
        <w:rPr>
          <w:rFonts w:hint="eastAsia" w:hAnsi="宋体"/>
          <w:highlight w:val="none"/>
        </w:rPr>
        <w:t>3.2.2.2对采购过程提出质疑的，质疑期限为各采购程序环节结束之日起计算。对同一采购程序环节的质疑，投标人须一次性提出。</w:t>
      </w:r>
    </w:p>
    <w:p>
      <w:pPr>
        <w:pStyle w:val="17"/>
        <w:spacing w:before="120" w:after="120" w:line="500" w:lineRule="exact"/>
        <w:ind w:firstLine="480" w:firstLineChars="200"/>
        <w:rPr>
          <w:rFonts w:hAnsi="宋体"/>
          <w:highlight w:val="none"/>
        </w:rPr>
      </w:pPr>
      <w:r>
        <w:rPr>
          <w:rFonts w:hint="eastAsia" w:hAnsi="宋体"/>
          <w:highlight w:val="none"/>
        </w:rPr>
        <w:t>3.2.2.3对采购结果提出质疑的，质疑期限自采购结果公告期限届满之日起计算。</w:t>
      </w:r>
    </w:p>
    <w:p>
      <w:pPr>
        <w:pStyle w:val="17"/>
        <w:spacing w:before="120" w:after="120" w:line="500" w:lineRule="exact"/>
        <w:ind w:firstLine="480" w:firstLineChars="200"/>
        <w:rPr>
          <w:rFonts w:hAnsi="宋体"/>
          <w:highlight w:val="none"/>
        </w:rPr>
      </w:pPr>
      <w:r>
        <w:rPr>
          <w:rFonts w:hint="eastAsia" w:hAnsi="宋体"/>
          <w:kern w:val="0"/>
          <w:highlight w:val="none"/>
        </w:rPr>
        <w:t>3</w:t>
      </w:r>
      <w:r>
        <w:rPr>
          <w:rFonts w:hint="eastAsia" w:hAnsi="宋体"/>
          <w:kern w:val="0"/>
          <w:highlight w:val="none"/>
          <w:lang w:val="zh-CN"/>
        </w:rPr>
        <w:t>.2.3</w:t>
      </w:r>
      <w:r>
        <w:rPr>
          <w:rFonts w:hint="eastAsia" w:hAnsi="宋体"/>
          <w:highlight w:val="none"/>
        </w:rPr>
        <w:t>投标人提出质疑应当提交质疑函和必要的证明材料。质疑函应当包括下列内容：</w:t>
      </w:r>
    </w:p>
    <w:p>
      <w:pPr>
        <w:pStyle w:val="17"/>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投标人的姓名或者名称、地址、邮编、联系人及联系电话；质疑项目的名称、编号；</w:t>
      </w:r>
    </w:p>
    <w:p>
      <w:pPr>
        <w:pStyle w:val="17"/>
        <w:numPr>
          <w:ilvl w:val="0"/>
          <w:numId w:val="7"/>
        </w:numPr>
        <w:spacing w:before="120" w:after="120" w:line="500" w:lineRule="exact"/>
        <w:ind w:firstLine="480" w:firstLineChars="200"/>
        <w:rPr>
          <w:rFonts w:hAnsi="宋体"/>
          <w:kern w:val="0"/>
          <w:highlight w:val="none"/>
          <w:lang w:val="zh-CN"/>
        </w:rPr>
      </w:pPr>
      <w:r>
        <w:rPr>
          <w:rFonts w:hint="eastAsia" w:hAnsi="宋体"/>
          <w:kern w:val="0"/>
          <w:highlight w:val="none"/>
          <w:lang w:val="zh-CN"/>
        </w:rPr>
        <w:t>具体、明确的质疑事项和与质疑事项相关的请求；</w:t>
      </w:r>
    </w:p>
    <w:p>
      <w:pPr>
        <w:pStyle w:val="17"/>
        <w:spacing w:before="120" w:after="120" w:line="500" w:lineRule="exact"/>
        <w:ind w:firstLine="480" w:firstLineChars="200"/>
        <w:rPr>
          <w:rFonts w:hAnsi="宋体"/>
          <w:kern w:val="0"/>
          <w:highlight w:val="none"/>
          <w:lang w:val="zh-CN"/>
        </w:rPr>
      </w:pPr>
      <w:r>
        <w:rPr>
          <w:rFonts w:hint="eastAsia" w:hAnsi="宋体"/>
          <w:kern w:val="0"/>
          <w:highlight w:val="none"/>
        </w:rPr>
        <w:t>（3）</w:t>
      </w:r>
      <w:r>
        <w:rPr>
          <w:rFonts w:hint="eastAsia" w:hAnsi="宋体"/>
          <w:kern w:val="0"/>
          <w:highlight w:val="none"/>
          <w:lang w:val="zh-CN"/>
        </w:rPr>
        <w:t>事实依据；</w:t>
      </w:r>
    </w:p>
    <w:p>
      <w:pPr>
        <w:pStyle w:val="17"/>
        <w:spacing w:before="120" w:after="120" w:line="500" w:lineRule="exact"/>
        <w:ind w:firstLine="480" w:firstLineChars="200"/>
        <w:rPr>
          <w:rFonts w:hAnsi="宋体"/>
          <w:kern w:val="0"/>
          <w:highlight w:val="none"/>
          <w:lang w:val="zh-CN"/>
        </w:rPr>
      </w:pPr>
      <w:r>
        <w:rPr>
          <w:rFonts w:hint="eastAsia" w:hAnsi="宋体"/>
          <w:kern w:val="0"/>
          <w:highlight w:val="none"/>
        </w:rPr>
        <w:t>（4）</w:t>
      </w:r>
      <w:r>
        <w:rPr>
          <w:rFonts w:hint="eastAsia" w:hAnsi="宋体"/>
          <w:kern w:val="0"/>
          <w:highlight w:val="none"/>
          <w:lang w:val="zh-CN"/>
        </w:rPr>
        <w:t>必要的法律依据；</w:t>
      </w:r>
    </w:p>
    <w:p>
      <w:pPr>
        <w:pStyle w:val="17"/>
        <w:spacing w:before="120" w:after="120" w:line="500" w:lineRule="exact"/>
        <w:ind w:firstLine="480" w:firstLineChars="200"/>
        <w:rPr>
          <w:rFonts w:hAnsi="宋体"/>
          <w:highlight w:val="none"/>
        </w:rPr>
      </w:pPr>
      <w:r>
        <w:rPr>
          <w:rFonts w:hint="eastAsia" w:hAnsi="宋体"/>
          <w:highlight w:val="none"/>
        </w:rPr>
        <w:t>投标人为自然人的，应当由本人签字；投标人为法人或者其他组织的，应当由法定代表人、主要负责人，或者其授权代表签字或者盖章，并加盖公章。</w:t>
      </w:r>
    </w:p>
    <w:p>
      <w:pPr>
        <w:pStyle w:val="17"/>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.4采购人或者采购代理机构应当在收到投标人的书面质疑后七个工作日内作出答复，并以书面形式通知质疑投标人和其他与质疑处理结果有利害关系的国企采购当事人，但答复的内容不得涉及商业秘密。</w:t>
      </w:r>
    </w:p>
    <w:p>
      <w:pPr>
        <w:pStyle w:val="17"/>
        <w:spacing w:before="120" w:after="120" w:line="500" w:lineRule="exact"/>
        <w:ind w:firstLine="480" w:firstLineChars="200"/>
        <w:rPr>
          <w:rFonts w:hAnsi="宋体"/>
          <w:highlight w:val="none"/>
        </w:rPr>
      </w:pPr>
      <w:r>
        <w:rPr>
          <w:rFonts w:hint="eastAsia" w:hAnsi="宋体"/>
          <w:highlight w:val="none"/>
        </w:rPr>
        <w:t>3</w:t>
      </w:r>
      <w:r>
        <w:rPr>
          <w:rFonts w:hint="eastAsia" w:hAnsi="宋体"/>
          <w:highlight w:val="none"/>
          <w:lang w:val="zh-CN"/>
        </w:rPr>
        <w:t>.2</w:t>
      </w:r>
      <w:r>
        <w:rPr>
          <w:rFonts w:hint="eastAsia" w:hAnsi="宋体"/>
          <w:highlight w:val="none"/>
        </w:rPr>
        <w:t>.5询问或者质疑事项可能影响采购结果的，采购人应当暂停签订合同，已经签订合同的，应当中止履行合同。</w:t>
      </w:r>
    </w:p>
    <w:p>
      <w:pPr>
        <w:pStyle w:val="17"/>
        <w:spacing w:before="120" w:after="120" w:line="500" w:lineRule="exact"/>
        <w:ind w:firstLine="480" w:firstLineChars="200"/>
        <w:rPr>
          <w:rFonts w:hAnsi="宋体"/>
          <w:highlight w:val="none"/>
          <w:lang w:val="zh-CN"/>
        </w:rPr>
      </w:pPr>
      <w:r>
        <w:rPr>
          <w:rFonts w:hint="eastAsia" w:hAnsi="宋体"/>
          <w:highlight w:val="none"/>
        </w:rPr>
        <w:t>3</w:t>
      </w:r>
      <w:r>
        <w:rPr>
          <w:rFonts w:hint="eastAsia" w:hAnsi="宋体"/>
          <w:highlight w:val="none"/>
          <w:lang w:val="zh-CN"/>
        </w:rPr>
        <w:t>.3投标人投诉</w:t>
      </w:r>
    </w:p>
    <w:p>
      <w:pPr>
        <w:pStyle w:val="38"/>
        <w:snapToGrid w:val="0"/>
        <w:spacing w:after="240" w:afterAutospacing="0" w:line="500" w:lineRule="exact"/>
        <w:ind w:firstLine="400"/>
        <w:contextualSpacing/>
        <w:rPr>
          <w:highlight w:val="none"/>
        </w:rPr>
      </w:pPr>
      <w:r>
        <w:rPr>
          <w:rFonts w:hint="eastAsia"/>
          <w:highlight w:val="none"/>
        </w:rPr>
        <w:t>3.3.1质疑投标人对采购人、采购代理机构的答复不满意或者采购人、采购代理机构未在规定的时间内作出答复的，可以在收到答复之日或答复期满后15个工作日内向依法向采购人监督管理机构投诉。</w:t>
      </w:r>
    </w:p>
    <w:p>
      <w:pPr>
        <w:pStyle w:val="38"/>
        <w:snapToGrid w:val="0"/>
        <w:spacing w:after="240" w:afterAutospacing="0" w:line="500" w:lineRule="exact"/>
        <w:ind w:firstLine="400"/>
        <w:contextualSpacing/>
        <w:rPr>
          <w:highlight w:val="none"/>
        </w:rPr>
      </w:pPr>
      <w:r>
        <w:rPr>
          <w:rFonts w:hint="eastAsia"/>
          <w:highlight w:val="none"/>
        </w:rPr>
        <w:t>3.3.</w:t>
      </w:r>
      <w:r>
        <w:rPr>
          <w:rFonts w:hint="eastAsia"/>
          <w:highlight w:val="none"/>
          <w:lang w:val="zh-CN"/>
        </w:rPr>
        <w:t>2</w:t>
      </w:r>
      <w:r>
        <w:rPr>
          <w:rFonts w:hint="eastAsia"/>
          <w:highlight w:val="none"/>
        </w:rPr>
        <w:t>投标人投诉的事项不得超出已质疑事项的范围，基于质疑答复内容提出的投诉事项除外。</w:t>
      </w:r>
    </w:p>
    <w:p>
      <w:pPr>
        <w:pStyle w:val="38"/>
        <w:shd w:val="clear" w:color="auto" w:fill="FFFFFF"/>
        <w:snapToGrid w:val="0"/>
        <w:spacing w:after="240" w:afterAutospacing="0" w:line="500" w:lineRule="exact"/>
        <w:ind w:firstLine="400"/>
        <w:contextualSpacing/>
        <w:rPr>
          <w:highlight w:val="none"/>
        </w:rPr>
      </w:pPr>
      <w:r>
        <w:rPr>
          <w:rFonts w:hint="eastAsia"/>
          <w:highlight w:val="none"/>
        </w:rPr>
        <w:t>3.3.3投标人投诉应当有明确的请求和必要的证明材料。</w:t>
      </w:r>
    </w:p>
    <w:p>
      <w:pPr>
        <w:pStyle w:val="38"/>
        <w:shd w:val="clear" w:color="auto" w:fill="FFFFFF"/>
        <w:snapToGrid w:val="0"/>
        <w:spacing w:after="240" w:afterAutospacing="0" w:line="500" w:lineRule="exact"/>
        <w:ind w:firstLine="400"/>
        <w:contextualSpacing/>
        <w:rPr>
          <w:highlight w:val="none"/>
        </w:rPr>
      </w:pPr>
      <w:r>
        <w:rPr>
          <w:rFonts w:hint="eastAsia"/>
          <w:highlight w:val="none"/>
        </w:rPr>
        <w:t>3.3.4 以联合体形式参加国企采购活动的，其投诉应当由组成联合体的所有投标人共同提出。</w:t>
      </w:r>
      <w:bookmarkStart w:id="28" w:name="_Toc32329"/>
      <w:bookmarkStart w:id="29" w:name="_Toc16241"/>
    </w:p>
    <w:p>
      <w:pPr>
        <w:pStyle w:val="38"/>
        <w:shd w:val="clear" w:color="auto" w:fill="FFFFFF"/>
        <w:snapToGrid w:val="0"/>
        <w:spacing w:after="240" w:afterAutospacing="0" w:line="500" w:lineRule="exact"/>
        <w:ind w:firstLine="400"/>
        <w:contextualSpacing/>
        <w:rPr>
          <w:highlight w:val="none"/>
        </w:rPr>
      </w:pPr>
      <w:r>
        <w:rPr>
          <w:rFonts w:hint="eastAsia"/>
          <w:highlight w:val="none"/>
          <w:shd w:val="clear" w:color="auto" w:fill="FFFFFF"/>
        </w:rPr>
        <w:t>3.4.质疑函范本、投诉书范本可到浙江政府采购网下载专区下载。</w:t>
      </w:r>
    </w:p>
    <w:p>
      <w:pPr>
        <w:adjustRightInd/>
        <w:spacing w:line="500" w:lineRule="exact"/>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二、招标文件的构成、澄清、修改</w:t>
      </w:r>
      <w:bookmarkEnd w:id="28"/>
      <w:bookmarkEnd w:id="29"/>
    </w:p>
    <w:p>
      <w:pPr>
        <w:pStyle w:val="17"/>
        <w:spacing w:before="120" w:after="120" w:line="500" w:lineRule="exact"/>
        <w:rPr>
          <w:rFonts w:hAnsi="宋体"/>
          <w:b/>
          <w:highlight w:val="none"/>
        </w:rPr>
      </w:pPr>
      <w:r>
        <w:rPr>
          <w:rFonts w:hint="eastAsia" w:hAnsi="宋体"/>
          <w:b/>
          <w:highlight w:val="none"/>
        </w:rPr>
        <w:t>4．招标文件的构成</w:t>
      </w:r>
    </w:p>
    <w:p>
      <w:pPr>
        <w:pStyle w:val="17"/>
        <w:spacing w:before="120" w:after="120" w:line="500" w:lineRule="exact"/>
        <w:ind w:firstLine="480" w:firstLineChars="200"/>
        <w:rPr>
          <w:rFonts w:hAnsi="宋体"/>
          <w:highlight w:val="none"/>
        </w:rPr>
      </w:pPr>
      <w:r>
        <w:rPr>
          <w:rFonts w:hint="eastAsia" w:hAnsi="宋体"/>
          <w:highlight w:val="none"/>
        </w:rPr>
        <w:t>4.1 招标文件包括下列文件及附件：</w:t>
      </w:r>
    </w:p>
    <w:p>
      <w:pPr>
        <w:pStyle w:val="17"/>
        <w:tabs>
          <w:tab w:val="left" w:pos="840"/>
        </w:tabs>
        <w:spacing w:before="120" w:after="120" w:line="500" w:lineRule="exact"/>
        <w:ind w:firstLine="480" w:firstLineChars="200"/>
        <w:rPr>
          <w:rFonts w:hAnsi="宋体"/>
          <w:highlight w:val="none"/>
        </w:rPr>
      </w:pPr>
      <w:r>
        <w:rPr>
          <w:rFonts w:hint="eastAsia" w:hAnsi="宋体"/>
          <w:highlight w:val="none"/>
        </w:rPr>
        <w:t>4.1.1招标公告；</w:t>
      </w:r>
    </w:p>
    <w:p>
      <w:pPr>
        <w:pStyle w:val="17"/>
        <w:tabs>
          <w:tab w:val="left" w:pos="840"/>
        </w:tabs>
        <w:spacing w:before="120" w:after="120" w:line="500" w:lineRule="exact"/>
        <w:ind w:firstLine="480" w:firstLineChars="200"/>
        <w:rPr>
          <w:rFonts w:hAnsi="宋体"/>
          <w:highlight w:val="none"/>
        </w:rPr>
      </w:pPr>
      <w:r>
        <w:rPr>
          <w:rFonts w:hint="eastAsia" w:hAnsi="宋体"/>
          <w:highlight w:val="none"/>
        </w:rPr>
        <w:t>4.1.2投标人须知；</w:t>
      </w:r>
    </w:p>
    <w:p>
      <w:pPr>
        <w:pStyle w:val="17"/>
        <w:tabs>
          <w:tab w:val="left" w:pos="840"/>
        </w:tabs>
        <w:spacing w:before="120" w:after="120" w:line="500" w:lineRule="exact"/>
        <w:ind w:firstLine="480" w:firstLineChars="200"/>
        <w:rPr>
          <w:rFonts w:hAnsi="宋体"/>
          <w:highlight w:val="none"/>
        </w:rPr>
      </w:pPr>
      <w:r>
        <w:rPr>
          <w:rFonts w:hint="eastAsia" w:hAnsi="宋体"/>
          <w:highlight w:val="none"/>
        </w:rPr>
        <w:t>4.1.3采购需求；</w:t>
      </w:r>
    </w:p>
    <w:p>
      <w:pPr>
        <w:pStyle w:val="17"/>
        <w:tabs>
          <w:tab w:val="left" w:pos="840"/>
        </w:tabs>
        <w:spacing w:before="120" w:after="120" w:line="500" w:lineRule="exact"/>
        <w:ind w:firstLine="480" w:firstLineChars="200"/>
        <w:rPr>
          <w:rFonts w:hint="eastAsia" w:hAnsi="宋体"/>
          <w:highlight w:val="none"/>
        </w:rPr>
      </w:pPr>
      <w:r>
        <w:rPr>
          <w:rFonts w:hint="eastAsia" w:hAnsi="宋体"/>
          <w:highlight w:val="none"/>
        </w:rPr>
        <w:t>4.1.4评标办法；</w:t>
      </w:r>
    </w:p>
    <w:p>
      <w:pPr>
        <w:pStyle w:val="17"/>
        <w:tabs>
          <w:tab w:val="left" w:pos="840"/>
        </w:tabs>
        <w:spacing w:before="120" w:after="120" w:line="500" w:lineRule="exact"/>
        <w:ind w:firstLine="480" w:firstLineChars="200"/>
        <w:rPr>
          <w:rFonts w:hAnsi="宋体"/>
          <w:highlight w:val="none"/>
        </w:rPr>
      </w:pPr>
      <w:r>
        <w:rPr>
          <w:rFonts w:hint="eastAsia" w:hAnsi="宋体"/>
          <w:highlight w:val="none"/>
        </w:rPr>
        <w:t>4.1.5合同主要条款；</w:t>
      </w:r>
    </w:p>
    <w:p>
      <w:pPr>
        <w:pStyle w:val="17"/>
        <w:tabs>
          <w:tab w:val="left" w:pos="840"/>
        </w:tabs>
        <w:spacing w:before="120" w:after="120" w:line="500" w:lineRule="exact"/>
        <w:ind w:firstLine="480" w:firstLineChars="200"/>
        <w:rPr>
          <w:rFonts w:hAnsi="宋体"/>
          <w:highlight w:val="none"/>
        </w:rPr>
      </w:pPr>
      <w:r>
        <w:rPr>
          <w:rFonts w:hint="eastAsia" w:hAnsi="宋体"/>
          <w:highlight w:val="none"/>
        </w:rPr>
        <w:t>4.1.6投标文件格式。</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4.2与本项目有关的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17"/>
        <w:spacing w:before="120" w:after="120" w:line="500" w:lineRule="exact"/>
        <w:rPr>
          <w:rFonts w:hAnsi="宋体"/>
          <w:b/>
          <w:highlight w:val="none"/>
        </w:rPr>
      </w:pPr>
      <w:r>
        <w:rPr>
          <w:rFonts w:hint="eastAsia" w:hAnsi="宋体"/>
          <w:b/>
          <w:highlight w:val="none"/>
        </w:rPr>
        <w:t>5. 招标文件的澄清、修改</w:t>
      </w:r>
    </w:p>
    <w:p>
      <w:pPr>
        <w:pStyle w:val="36"/>
        <w:snapToGrid w:val="0"/>
        <w:spacing w:before="0" w:line="500" w:lineRule="exact"/>
        <w:ind w:firstLine="480"/>
        <w:rPr>
          <w:rFonts w:ascii="宋体" w:hAnsi="宋体" w:cs="宋体"/>
          <w:highlight w:val="none"/>
        </w:rPr>
      </w:pPr>
      <w:r>
        <w:rPr>
          <w:rFonts w:hint="eastAsia" w:ascii="宋体" w:hAnsi="宋体" w:cs="宋体"/>
          <w:highlight w:val="none"/>
        </w:rPr>
        <w:t>5.1已获取招标文件的潜在投标人，若有问题需要澄清，应于投标截止时间前，以书面形式向采购代理机构提出。</w:t>
      </w:r>
    </w:p>
    <w:p>
      <w:pPr>
        <w:pStyle w:val="36"/>
        <w:snapToGrid w:val="0"/>
        <w:spacing w:before="0" w:line="500" w:lineRule="exact"/>
        <w:ind w:firstLine="480"/>
        <w:rPr>
          <w:rFonts w:ascii="宋体" w:hAnsi="宋体" w:cs="宋体"/>
          <w:sz w:val="18"/>
          <w:szCs w:val="18"/>
          <w:highlight w:val="none"/>
        </w:rPr>
      </w:pPr>
      <w:r>
        <w:rPr>
          <w:rFonts w:hint="eastAsia" w:ascii="宋体" w:hAnsi="宋体" w:cs="宋体"/>
          <w:highlight w:val="none"/>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500" w:lineRule="exact"/>
        <w:jc w:val="left"/>
        <w:outlineLvl w:val="0"/>
        <w:rPr>
          <w:rFonts w:ascii="宋体" w:hAnsi="宋体" w:cs="宋体"/>
          <w:b/>
          <w:sz w:val="28"/>
          <w:szCs w:val="28"/>
          <w:highlight w:val="none"/>
        </w:rPr>
      </w:pPr>
      <w:bookmarkStart w:id="30" w:name="_Toc13467"/>
      <w:bookmarkStart w:id="31" w:name="_Toc4859"/>
      <w:r>
        <w:rPr>
          <w:rFonts w:hint="eastAsia" w:ascii="宋体" w:hAnsi="宋体" w:cs="宋体"/>
          <w:b/>
          <w:sz w:val="28"/>
          <w:szCs w:val="28"/>
          <w:highlight w:val="none"/>
        </w:rPr>
        <w:t xml:space="preserve">   </w:t>
      </w:r>
      <w:r>
        <w:rPr>
          <w:rFonts w:hint="eastAsia" w:ascii="宋体" w:hAnsi="宋体" w:cs="宋体"/>
          <w:b/>
          <w:sz w:val="24"/>
          <w:highlight w:val="none"/>
        </w:rPr>
        <w:t>★响应文件未按文件的澄清、修改的内容编制，又不符合实质性要求的，响应无效。</w:t>
      </w:r>
    </w:p>
    <w:p>
      <w:pPr>
        <w:adjustRightInd/>
        <w:spacing w:line="500" w:lineRule="exact"/>
        <w:jc w:val="center"/>
        <w:outlineLvl w:val="0"/>
        <w:rPr>
          <w:rFonts w:ascii="宋体" w:hAnsi="宋体" w:cs="宋体"/>
          <w:b/>
          <w:sz w:val="28"/>
          <w:szCs w:val="28"/>
          <w:highlight w:val="none"/>
        </w:rPr>
      </w:pPr>
    </w:p>
    <w:p>
      <w:pPr>
        <w:adjustRightInd/>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三、投标</w:t>
      </w:r>
      <w:bookmarkEnd w:id="30"/>
      <w:bookmarkEnd w:id="31"/>
    </w:p>
    <w:p>
      <w:pPr>
        <w:pStyle w:val="17"/>
        <w:spacing w:before="120" w:after="120" w:line="500" w:lineRule="exact"/>
        <w:rPr>
          <w:rFonts w:hAnsi="宋体"/>
          <w:b/>
          <w:highlight w:val="none"/>
        </w:rPr>
      </w:pPr>
      <w:r>
        <w:rPr>
          <w:rFonts w:hint="eastAsia" w:hAnsi="宋体"/>
          <w:b/>
          <w:highlight w:val="none"/>
        </w:rPr>
        <w:t>6. 招标文件的获取</w:t>
      </w:r>
    </w:p>
    <w:p>
      <w:pPr>
        <w:spacing w:line="50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w:t>
      </w:r>
    </w:p>
    <w:p>
      <w:pPr>
        <w:pStyle w:val="17"/>
        <w:spacing w:before="120" w:after="120" w:line="500" w:lineRule="exact"/>
        <w:rPr>
          <w:rFonts w:hAnsi="宋体"/>
          <w:b/>
          <w:highlight w:val="none"/>
        </w:rPr>
      </w:pPr>
      <w:r>
        <w:rPr>
          <w:rFonts w:hint="eastAsia" w:hAnsi="宋体"/>
          <w:b/>
          <w:highlight w:val="none"/>
        </w:rPr>
        <w:t>7.开标前答疑会或现场考察</w:t>
      </w:r>
    </w:p>
    <w:p>
      <w:pPr>
        <w:pStyle w:val="17"/>
        <w:spacing w:before="120" w:after="120" w:line="500" w:lineRule="exact"/>
        <w:ind w:firstLine="480" w:firstLineChars="200"/>
        <w:rPr>
          <w:rFonts w:hAnsi="宋体"/>
          <w:highlight w:val="none"/>
        </w:rPr>
      </w:pPr>
      <w:r>
        <w:rPr>
          <w:rFonts w:hint="eastAsia" w:hAnsi="宋体"/>
          <w:highlight w:val="none"/>
        </w:rPr>
        <w:t>不组织</w:t>
      </w:r>
    </w:p>
    <w:p>
      <w:pPr>
        <w:pStyle w:val="17"/>
        <w:spacing w:before="120" w:after="120" w:line="500" w:lineRule="exact"/>
        <w:rPr>
          <w:rFonts w:hAnsi="宋体"/>
          <w:b/>
          <w:highlight w:val="none"/>
        </w:rPr>
      </w:pPr>
      <w:r>
        <w:rPr>
          <w:rFonts w:hint="eastAsia" w:hAnsi="宋体"/>
          <w:b/>
          <w:kern w:val="28"/>
          <w:highlight w:val="none"/>
        </w:rPr>
        <w:t>8.投标保证金</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8.1 投标人应在开标前按规定的金额交纳投标保证金，并作为其投标文件的组成部分。并应符合投标须知前附表的规定。</w:t>
      </w:r>
    </w:p>
    <w:p>
      <w:pPr>
        <w:autoSpaceDE w:val="0"/>
        <w:autoSpaceDN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投标保证金形式：投标保证金：</w:t>
      </w:r>
      <w:r>
        <w:rPr>
          <w:rFonts w:hint="eastAsia" w:ascii="宋体" w:hAnsi="宋体" w:cs="宋体"/>
          <w:sz w:val="24"/>
          <w:highlight w:val="none"/>
          <w:lang w:val="en-US" w:eastAsia="zh-CN"/>
        </w:rPr>
        <w:t>10</w:t>
      </w:r>
      <w:r>
        <w:rPr>
          <w:rFonts w:hint="eastAsia" w:ascii="宋体" w:hAnsi="宋体" w:cs="宋体"/>
          <w:sz w:val="24"/>
          <w:highlight w:val="none"/>
        </w:rPr>
        <w:t>000元(大写：</w:t>
      </w:r>
      <w:r>
        <w:rPr>
          <w:rFonts w:hint="eastAsia" w:ascii="宋体" w:hAnsi="宋体" w:cs="宋体"/>
          <w:sz w:val="24"/>
          <w:highlight w:val="none"/>
          <w:lang w:eastAsia="zh-CN"/>
        </w:rPr>
        <w:t>壹万</w:t>
      </w:r>
      <w:r>
        <w:rPr>
          <w:rFonts w:hint="eastAsia" w:ascii="宋体" w:hAnsi="宋体" w:cs="宋体"/>
          <w:sz w:val="24"/>
          <w:highlight w:val="none"/>
        </w:rPr>
        <w:t>元整)。转账 (电汇) 或网银支付,由投标人自行选择。提交时间：投标保证金在开标前到账。如因投标人自身原因，造成投标单位保证金未及时到账，一律视为不响应招标文件，其投标文件不予接受。</w:t>
      </w:r>
    </w:p>
    <w:p>
      <w:pPr>
        <w:autoSpaceDE w:val="0"/>
        <w:autoSpaceDN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公司名称：泾清项目管理有限公司嵊州分公司</w:t>
      </w:r>
    </w:p>
    <w:p>
      <w:pPr>
        <w:autoSpaceDE w:val="0"/>
        <w:autoSpaceDN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开户行：中国工商银行嵊州市支行</w:t>
      </w:r>
    </w:p>
    <w:p>
      <w:pPr>
        <w:autoSpaceDE w:val="0"/>
        <w:autoSpaceDN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账  号：1211026009200295337</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8.2 未中标的投标人的投标保证金将在中标通知书发出之日起 3 个工作日内退还，中标人的投标保证金在中标人与招标人签订合同后 5 个工作日内退还（无息）。</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8.3 有下列情形之一的，投标保证金将不予退还：</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(1) 投标人在规定的投标有效期内撤销或修改其投标文件；</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(2) 中标人在收到中标通知书后，无正当理由拒签合同协议书或未按招标文件规定提交履约担保；</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(3)投标人存在串标情况；</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(4)投标人在投标过程中弄虚作假，提供虚假材料的；</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(5)将中标项目转让给他人或者在投标文件中未说明且未经招标人同意，将中标项目分包给他人的；</w:t>
      </w:r>
    </w:p>
    <w:p>
      <w:pPr>
        <w:autoSpaceDE w:val="0"/>
        <w:autoSpaceDN w:val="0"/>
        <w:spacing w:line="500" w:lineRule="exact"/>
        <w:ind w:firstLine="480" w:firstLineChars="200"/>
        <w:rPr>
          <w:rFonts w:ascii="宋体" w:hAnsi="宋体" w:cs="宋体"/>
          <w:sz w:val="24"/>
          <w:highlight w:val="none"/>
        </w:rPr>
      </w:pPr>
      <w:r>
        <w:rPr>
          <w:rFonts w:hint="eastAsia" w:ascii="宋体" w:hAnsi="宋体" w:cs="宋体"/>
          <w:sz w:val="24"/>
          <w:highlight w:val="none"/>
        </w:rPr>
        <w:t>(6)其他严重扰乱招投标程序的。</w:t>
      </w:r>
    </w:p>
    <w:p>
      <w:pPr>
        <w:pStyle w:val="17"/>
        <w:spacing w:before="120" w:after="120" w:line="500" w:lineRule="exact"/>
        <w:rPr>
          <w:rFonts w:hAnsi="宋体"/>
          <w:b/>
          <w:highlight w:val="none"/>
        </w:rPr>
      </w:pPr>
      <w:r>
        <w:rPr>
          <w:rFonts w:hint="eastAsia" w:hAnsi="宋体"/>
          <w:b/>
          <w:highlight w:val="none"/>
        </w:rPr>
        <w:t>9. 投标文件的语言</w:t>
      </w:r>
    </w:p>
    <w:p>
      <w:pPr>
        <w:autoSpaceDE w:val="0"/>
        <w:autoSpaceDN w:val="0"/>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17"/>
        <w:spacing w:before="120" w:after="120" w:line="500" w:lineRule="exact"/>
        <w:rPr>
          <w:rFonts w:hAnsi="宋体"/>
          <w:b/>
          <w:highlight w:val="none"/>
        </w:rPr>
      </w:pPr>
      <w:r>
        <w:rPr>
          <w:rFonts w:hint="eastAsia" w:hAnsi="宋体"/>
          <w:b/>
          <w:highlight w:val="none"/>
        </w:rPr>
        <w:t>10. 投标文件的组成</w:t>
      </w:r>
    </w:p>
    <w:p>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投标文件由“资格文件”、“资信技术文件”、“报价文件”三部分组成，其中</w:t>
      </w:r>
      <w:r>
        <w:rPr>
          <w:rFonts w:hint="eastAsia" w:ascii="宋体" w:hAnsi="宋体" w:cs="宋体"/>
          <w:b/>
          <w:sz w:val="24"/>
          <w:highlight w:val="none"/>
        </w:rPr>
        <w:t>电子投标文件中所须加盖公章部分均应采用电子CA公章。</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10.1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以上资料均需加盖CA公章。</w:t>
      </w:r>
    </w:p>
    <w:p>
      <w:pPr>
        <w:snapToGrid w:val="0"/>
        <w:spacing w:line="500" w:lineRule="exact"/>
        <w:ind w:firstLine="480" w:firstLineChars="200"/>
        <w:rPr>
          <w:rFonts w:ascii="宋体" w:hAnsi="宋体" w:cs="宋体"/>
          <w:b/>
          <w:bCs/>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0</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资信技术</w:t>
      </w:r>
      <w:r>
        <w:rPr>
          <w:rFonts w:hint="eastAsia" w:ascii="宋体" w:hAnsi="宋体" w:cs="宋体"/>
          <w:b/>
          <w:bCs/>
          <w:sz w:val="24"/>
          <w:highlight w:val="none"/>
          <w:lang w:val="zh-CN"/>
        </w:rPr>
        <w:t>文件：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（8）投标人廉洁自律承诺书；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r>
        <w:rPr>
          <w:rFonts w:hint="eastAsia" w:ascii="宋体" w:hAnsi="宋体" w:cs="宋体"/>
          <w:sz w:val="24"/>
          <w:highlight w:val="none"/>
          <w:lang w:eastAsia="zh-CN"/>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snapToGrid w:val="0"/>
        <w:spacing w:line="500" w:lineRule="exact"/>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0</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spacing w:line="500" w:lineRule="exact"/>
        <w:ind w:firstLine="632" w:firstLineChars="300"/>
        <w:rPr>
          <w:rFonts w:ascii="宋体" w:hAnsi="宋体" w:cs="宋体"/>
          <w:b/>
          <w:sz w:val="24"/>
          <w:highlight w:val="none"/>
        </w:rPr>
      </w:pPr>
      <w:r>
        <w:rPr>
          <w:rFonts w:hint="eastAsia" w:ascii="宋体" w:hAnsi="宋体" w:cs="宋体"/>
          <w:b/>
          <w:highlight w:val="none"/>
        </w:rPr>
        <w:t>▲</w:t>
      </w:r>
      <w:r>
        <w:rPr>
          <w:rFonts w:hint="eastAsia" w:ascii="宋体" w:hAnsi="宋体" w:cs="宋体"/>
          <w:b/>
          <w:sz w:val="24"/>
          <w:highlight w:val="none"/>
        </w:rPr>
        <w:t>投标文件含有采购人不能接受的附加条件的，投标无效；</w:t>
      </w:r>
    </w:p>
    <w:p>
      <w:pPr>
        <w:spacing w:line="500" w:lineRule="exact"/>
        <w:ind w:firstLine="632" w:firstLineChars="300"/>
        <w:rPr>
          <w:rFonts w:ascii="宋体" w:hAnsi="宋体" w:cs="宋体"/>
          <w:b/>
          <w:sz w:val="24"/>
          <w:highlight w:val="none"/>
        </w:rPr>
      </w:pPr>
      <w:r>
        <w:rPr>
          <w:rFonts w:hint="eastAsia" w:ascii="宋体" w:hAnsi="宋体" w:cs="宋体"/>
          <w:b/>
          <w:highlight w:val="none"/>
        </w:rPr>
        <w:t>▲</w:t>
      </w:r>
      <w:r>
        <w:rPr>
          <w:rFonts w:hint="eastAsia" w:ascii="宋体" w:hAnsi="宋体" w:cs="宋体"/>
          <w:b/>
          <w:sz w:val="24"/>
          <w:highlight w:val="none"/>
        </w:rPr>
        <w:t>投标人提供虚假材料投标的，投标无效。</w:t>
      </w:r>
    </w:p>
    <w:p>
      <w:pPr>
        <w:pStyle w:val="14"/>
        <w:widowControl w:val="0"/>
        <w:snapToGrid w:val="0"/>
        <w:spacing w:line="440" w:lineRule="exact"/>
        <w:ind w:firstLine="720" w:firstLineChars="300"/>
        <w:rPr>
          <w:rFonts w:ascii="宋体" w:hAnsi="宋体" w:cs="宋体"/>
          <w:color w:val="auto"/>
          <w:highlight w:val="none"/>
        </w:rPr>
      </w:pPr>
      <w:r>
        <w:rPr>
          <w:rFonts w:hint="eastAsia" w:ascii="宋体" w:hAnsi="宋体" w:cs="宋体"/>
          <w:color w:val="auto"/>
          <w:sz w:val="24"/>
          <w:highlight w:val="none"/>
          <w:u w:val="single"/>
          <w:lang w:val="zh-CN"/>
        </w:rPr>
        <w:t>投标文件结束解密后，投标人通过邮件形式将经授权代表签署的《采购活动现场确认声明书》（格式见采购文件最后一页内容）扫描件发至代理机构经办人邮箱（邮箱地址：</w:t>
      </w:r>
      <w:r>
        <w:rPr>
          <w:highlight w:val="none"/>
        </w:rPr>
        <w:fldChar w:fldCharType="begin"/>
      </w:r>
      <w:r>
        <w:rPr>
          <w:highlight w:val="none"/>
        </w:rPr>
        <w:instrText xml:space="preserve"> HYPERLINK "mailto:360745117@qq.com" \h </w:instrText>
      </w:r>
      <w:r>
        <w:rPr>
          <w:highlight w:val="none"/>
        </w:rPr>
        <w:fldChar w:fldCharType="separate"/>
      </w:r>
      <w:r>
        <w:rPr>
          <w:rFonts w:hint="eastAsia" w:ascii="宋体" w:hAnsi="宋体" w:cs="宋体"/>
          <w:color w:val="auto"/>
          <w:sz w:val="24"/>
          <w:highlight w:val="none"/>
          <w:u w:val="single"/>
          <w:lang w:val="zh-CN"/>
        </w:rPr>
        <w:t>963306557@qq.com</w:t>
      </w:r>
      <w:r>
        <w:rPr>
          <w:rFonts w:hint="eastAsia" w:ascii="宋体" w:hAnsi="宋体" w:cs="宋体"/>
          <w:color w:val="auto"/>
          <w:sz w:val="24"/>
          <w:highlight w:val="none"/>
          <w:u w:val="single"/>
          <w:lang w:val="zh-CN"/>
        </w:rPr>
        <w:fldChar w:fldCharType="end"/>
      </w:r>
      <w:r>
        <w:rPr>
          <w:rFonts w:hint="eastAsia" w:ascii="宋体" w:hAnsi="宋体" w:cs="宋体"/>
          <w:color w:val="auto"/>
          <w:sz w:val="24"/>
          <w:highlight w:val="none"/>
          <w:u w:val="single"/>
          <w:lang w:val="zh-CN"/>
        </w:rPr>
        <w:t>，联系人：张女士，电话：0575-89300689）。</w:t>
      </w:r>
    </w:p>
    <w:p>
      <w:pPr>
        <w:pStyle w:val="36"/>
        <w:snapToGrid w:val="0"/>
        <w:spacing w:before="0" w:line="500" w:lineRule="exact"/>
        <w:ind w:firstLine="0" w:firstLineChars="0"/>
        <w:outlineLvl w:val="0"/>
        <w:rPr>
          <w:rFonts w:ascii="宋体" w:hAnsi="宋体" w:cs="宋体"/>
          <w:b/>
          <w:szCs w:val="24"/>
          <w:highlight w:val="none"/>
        </w:rPr>
      </w:pPr>
      <w:bookmarkStart w:id="32" w:name="_Toc32092"/>
      <w:bookmarkStart w:id="33" w:name="_Toc983"/>
      <w:r>
        <w:rPr>
          <w:rFonts w:hint="eastAsia" w:ascii="宋体" w:hAnsi="宋体" w:cs="宋体"/>
          <w:b/>
          <w:szCs w:val="24"/>
          <w:highlight w:val="none"/>
        </w:rPr>
        <w:t>11</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32"/>
      <w:bookmarkEnd w:id="33"/>
    </w:p>
    <w:p>
      <w:pPr>
        <w:spacing w:line="50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.1投标文件分为</w:t>
      </w:r>
      <w:r>
        <w:rPr>
          <w:rFonts w:hint="eastAsia" w:ascii="宋体" w:hAnsi="宋体" w:cs="宋体"/>
          <w:b/>
          <w:bCs/>
          <w:kern w:val="0"/>
          <w:sz w:val="24"/>
          <w:highlight w:val="none"/>
          <w:lang w:val="zh-CN"/>
        </w:rPr>
        <w:t>资格文件、资信技术文件、报价文件三部分</w:t>
      </w:r>
      <w:r>
        <w:rPr>
          <w:rFonts w:hint="eastAsia" w:ascii="宋体" w:hAnsi="宋体" w:cs="宋体"/>
          <w:kern w:val="0"/>
          <w:sz w:val="24"/>
          <w:highlight w:val="none"/>
          <w:lang w:val="zh-CN"/>
        </w:rPr>
        <w:t>。各投标人在编制投标文件时请按照招标文件第六</w:t>
      </w:r>
      <w:r>
        <w:rPr>
          <w:rFonts w:hint="eastAsia" w:ascii="宋体" w:hAnsi="宋体" w:cs="宋体"/>
          <w:kern w:val="0"/>
          <w:sz w:val="24"/>
          <w:highlight w:val="none"/>
        </w:rPr>
        <w:t>章</w:t>
      </w:r>
      <w:r>
        <w:rPr>
          <w:rFonts w:hint="eastAsia" w:ascii="宋体" w:hAnsi="宋体" w:cs="宋体"/>
          <w:kern w:val="0"/>
          <w:sz w:val="24"/>
          <w:highlight w:val="none"/>
          <w:lang w:val="zh-CN"/>
        </w:rPr>
        <w:t>规定的格式进行，混乱的编排导致投标文件被误读或评标委员会查找不到有效文件是投标人的风险。</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.2投标人进行电子投标应安装客户端软件—“</w:t>
      </w:r>
      <w:r>
        <w:rPr>
          <w:rFonts w:hint="eastAsia" w:ascii="宋体" w:hAnsi="宋体" w:cs="宋体"/>
          <w:kern w:val="0"/>
          <w:sz w:val="24"/>
          <w:highlight w:val="none"/>
        </w:rPr>
        <w:t>乐</w:t>
      </w:r>
      <w:r>
        <w:rPr>
          <w:rFonts w:hint="eastAsia" w:ascii="宋体" w:hAnsi="宋体" w:cs="宋体"/>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5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1</w:t>
      </w:r>
      <w:r>
        <w:rPr>
          <w:rFonts w:hint="eastAsia" w:ascii="宋体" w:hAnsi="宋体" w:cs="宋体"/>
          <w:kern w:val="0"/>
          <w:sz w:val="24"/>
          <w:highlight w:val="none"/>
          <w:lang w:val="zh-CN"/>
        </w:rPr>
        <w:t>.3使用“</w:t>
      </w:r>
      <w:r>
        <w:rPr>
          <w:rFonts w:hint="eastAsia" w:ascii="宋体" w:hAnsi="宋体" w:cs="宋体"/>
          <w:kern w:val="0"/>
          <w:sz w:val="24"/>
          <w:highlight w:val="none"/>
        </w:rPr>
        <w:t>乐采云电子交易客户端</w:t>
      </w:r>
      <w:r>
        <w:rPr>
          <w:rFonts w:hint="eastAsia" w:ascii="宋体" w:hAnsi="宋体" w:cs="宋体"/>
          <w:kern w:val="0"/>
          <w:sz w:val="24"/>
          <w:highlight w:val="none"/>
          <w:lang w:val="zh-CN"/>
        </w:rPr>
        <w:t>”需要提前申领CA数字证书，申领流程请自行前往“浙江政府采购网-下载专区-电子交易客户端-CA驱动和申领流程”进行查阅。</w:t>
      </w:r>
    </w:p>
    <w:p>
      <w:pPr>
        <w:snapToGrid w:val="0"/>
        <w:spacing w:line="500" w:lineRule="exact"/>
        <w:rPr>
          <w:rFonts w:ascii="宋体" w:hAnsi="宋体" w:cs="宋体"/>
          <w:b/>
          <w:sz w:val="24"/>
          <w:highlight w:val="none"/>
        </w:rPr>
      </w:pPr>
      <w:r>
        <w:rPr>
          <w:rFonts w:hint="eastAsia" w:ascii="宋体" w:hAnsi="宋体" w:cs="宋体"/>
          <w:b/>
          <w:sz w:val="24"/>
          <w:highlight w:val="none"/>
        </w:rPr>
        <w:t>12.投标文件的签署、盖章</w:t>
      </w:r>
    </w:p>
    <w:p>
      <w:pPr>
        <w:pStyle w:val="36"/>
        <w:snapToGrid w:val="0"/>
        <w:spacing w:before="0" w:line="500" w:lineRule="exact"/>
        <w:ind w:firstLine="480"/>
        <w:rPr>
          <w:rFonts w:ascii="宋体" w:hAnsi="宋体" w:cs="宋体"/>
          <w:b/>
          <w:highlight w:val="none"/>
        </w:rPr>
      </w:pPr>
      <w:r>
        <w:rPr>
          <w:rFonts w:hint="eastAsia" w:ascii="宋体" w:hAnsi="宋体" w:cs="宋体"/>
          <w:szCs w:val="24"/>
          <w:highlight w:val="none"/>
        </w:rPr>
        <w:t>12.1投标文件按照招标文件第六章格式要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36"/>
        <w:snapToGrid w:val="0"/>
        <w:spacing w:before="0" w:line="500" w:lineRule="exact"/>
        <w:ind w:firstLine="480"/>
        <w:rPr>
          <w:rFonts w:ascii="宋体" w:hAnsi="宋体" w:cs="宋体"/>
          <w:highlight w:val="none"/>
        </w:rPr>
      </w:pPr>
      <w:r>
        <w:rPr>
          <w:rFonts w:hint="eastAsia" w:ascii="宋体" w:hAnsi="宋体" w:cs="宋体"/>
          <w:highlight w:val="none"/>
        </w:rPr>
        <w:t>12.2为确保网上操作合法、有效和安全，投标人应当在投标截止时间前完成在“采购云平台”的身份认证，确保在电子投标过程中能够对相关数据电文进行加密和使用电子签名。</w:t>
      </w:r>
    </w:p>
    <w:p>
      <w:pPr>
        <w:pStyle w:val="36"/>
        <w:snapToGrid w:val="0"/>
        <w:spacing w:before="0" w:line="500" w:lineRule="exact"/>
        <w:ind w:firstLine="482"/>
        <w:rPr>
          <w:rFonts w:ascii="宋体" w:hAnsi="宋体" w:cs="宋体"/>
          <w:b/>
          <w:bCs/>
          <w:szCs w:val="24"/>
          <w:highlight w:val="none"/>
        </w:rPr>
      </w:pPr>
      <w:r>
        <w:rPr>
          <w:rFonts w:hint="eastAsia" w:ascii="宋体" w:hAnsi="宋体" w:cs="宋体"/>
          <w:b/>
          <w:bCs/>
          <w:highlight w:val="none"/>
        </w:rPr>
        <w:t>12.3招标文件对投标文件签署、盖章的要求适用于电子签名。</w:t>
      </w:r>
    </w:p>
    <w:p>
      <w:pPr>
        <w:pStyle w:val="36"/>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13.投标文件的提交、补充、修改、撤回</w:t>
      </w:r>
    </w:p>
    <w:p>
      <w:pPr>
        <w:pStyle w:val="36"/>
        <w:spacing w:line="500" w:lineRule="exact"/>
        <w:ind w:firstLine="480"/>
        <w:rPr>
          <w:rFonts w:ascii="宋体" w:hAnsi="宋体" w:cs="宋体"/>
          <w:szCs w:val="24"/>
          <w:highlight w:val="none"/>
        </w:rPr>
      </w:pPr>
      <w:r>
        <w:rPr>
          <w:rFonts w:hint="eastAsia" w:ascii="宋体" w:hAnsi="宋体" w:cs="宋体"/>
          <w:szCs w:val="24"/>
          <w:highlight w:val="none"/>
        </w:rPr>
        <w:t>13.1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6"/>
        <w:spacing w:before="0" w:line="500" w:lineRule="exact"/>
        <w:ind w:firstLine="480"/>
        <w:rPr>
          <w:rFonts w:ascii="宋体" w:hAnsi="宋体" w:cs="宋体"/>
          <w:szCs w:val="24"/>
          <w:highlight w:val="none"/>
        </w:rPr>
      </w:pPr>
      <w:r>
        <w:rPr>
          <w:rFonts w:hint="eastAsia" w:ascii="宋体" w:hAnsi="宋体" w:cs="宋体"/>
          <w:szCs w:val="24"/>
          <w:highlight w:val="none"/>
        </w:rPr>
        <w:t>13.2电子交易平台收到投标文件，将妥善保存并即时向投标人发出确认回执通知。在投标截止时间前，除投标人补充、修改或者撤回投标文件外，任何单位和个人不得解密或提取投标文件。</w:t>
      </w:r>
    </w:p>
    <w:p>
      <w:pPr>
        <w:pStyle w:val="36"/>
        <w:spacing w:before="0" w:line="500" w:lineRule="exact"/>
        <w:ind w:firstLine="480"/>
        <w:rPr>
          <w:rFonts w:ascii="宋体" w:hAnsi="宋体" w:cs="宋体"/>
          <w:szCs w:val="24"/>
          <w:highlight w:val="none"/>
        </w:rPr>
      </w:pPr>
      <w:r>
        <w:rPr>
          <w:rFonts w:hint="eastAsia" w:ascii="宋体" w:hAnsi="宋体" w:cs="宋体"/>
          <w:szCs w:val="24"/>
          <w:highlight w:val="none"/>
        </w:rPr>
        <w:t>13.3采购人、采购代理机构可以视情况延长投标文件提交的截止时间。在上述情况下，采购代理机构与投标人以前在投标截止期方面的全部权利、责任和义务，将适用于延长至新的投标截止期。</w:t>
      </w:r>
    </w:p>
    <w:p>
      <w:pPr>
        <w:pStyle w:val="17"/>
        <w:spacing w:before="120" w:after="120" w:line="500" w:lineRule="exact"/>
        <w:rPr>
          <w:rFonts w:hAnsi="宋体"/>
          <w:b/>
          <w:highlight w:val="none"/>
        </w:rPr>
      </w:pPr>
      <w:r>
        <w:rPr>
          <w:rFonts w:hint="eastAsia" w:hAnsi="宋体"/>
          <w:b/>
          <w:highlight w:val="none"/>
        </w:rPr>
        <w:t>14.备份投标文件</w:t>
      </w:r>
    </w:p>
    <w:p>
      <w:pPr>
        <w:pStyle w:val="17"/>
        <w:spacing w:before="120" w:after="120" w:line="500" w:lineRule="exact"/>
        <w:ind w:firstLine="360" w:firstLineChars="150"/>
        <w:rPr>
          <w:rFonts w:hAnsi="宋体"/>
          <w:b/>
          <w:highlight w:val="none"/>
        </w:rPr>
      </w:pPr>
      <w:r>
        <w:rPr>
          <w:rFonts w:hint="eastAsia" w:hAnsi="宋体"/>
          <w:highlight w:val="none"/>
        </w:rPr>
        <w:t xml:space="preserve"> 14.1投标人在电子交易平台传输递交投标文件后，还可以在投标截止时间前直接提交或者以顺丰快递（建议）方式递交备份投标文件1份，</w:t>
      </w:r>
      <w:r>
        <w:rPr>
          <w:rFonts w:hint="eastAsia" w:hAnsi="宋体"/>
          <w:b/>
          <w:highlight w:val="none"/>
        </w:rPr>
        <w:t>但采购人、采购代理机构不强制或变相强制投标人提交备份投标文件。</w:t>
      </w:r>
    </w:p>
    <w:p>
      <w:pPr>
        <w:pStyle w:val="17"/>
        <w:spacing w:before="120" w:after="120" w:line="500" w:lineRule="exact"/>
        <w:ind w:firstLine="480" w:firstLineChars="200"/>
        <w:rPr>
          <w:rFonts w:hAnsi="宋体"/>
          <w:b/>
          <w:highlight w:val="none"/>
        </w:rPr>
      </w:pPr>
      <w:r>
        <w:rPr>
          <w:rFonts w:hint="eastAsia" w:hAnsi="宋体"/>
          <w:highlight w:val="none"/>
        </w:rPr>
        <w:t>14.2备份投标文件须在“乐采云投标客户端”制作生成，并储存在U盘中。备份投标文件应当密封包装并在包装上加盖公章并注明投标项目名称。</w:t>
      </w:r>
      <w:r>
        <w:rPr>
          <w:rFonts w:hint="eastAsia" w:hAnsi="宋体"/>
          <w:b/>
          <w:highlight w:val="none"/>
        </w:rPr>
        <w:t>不符合上述制作、存储、密封规定的备份投标文件将被视为无效或者被拒绝接收。</w:t>
      </w:r>
    </w:p>
    <w:p>
      <w:pPr>
        <w:pStyle w:val="17"/>
        <w:spacing w:before="120" w:after="120" w:line="500" w:lineRule="exact"/>
        <w:ind w:firstLine="480" w:firstLineChars="200"/>
        <w:rPr>
          <w:rFonts w:hAnsi="宋体"/>
          <w:highlight w:val="none"/>
        </w:rPr>
      </w:pPr>
      <w:r>
        <w:rPr>
          <w:rFonts w:hint="eastAsia" w:hAnsi="宋体"/>
          <w:highlight w:val="none"/>
        </w:rPr>
        <w:t>14.3直接提交备份投标文件的，投标人应于投标截止时间前在招标公告中载明的开标地点将备份投标文件提交给采购代理机构，采购代理机构将拒绝接受逾期送达的备份投标文件。</w:t>
      </w:r>
    </w:p>
    <w:p>
      <w:pPr>
        <w:pStyle w:val="17"/>
        <w:spacing w:before="120" w:after="120" w:line="500" w:lineRule="exact"/>
        <w:ind w:firstLine="480" w:firstLineChars="200"/>
        <w:rPr>
          <w:rFonts w:hAnsi="宋体"/>
          <w:highlight w:val="none"/>
        </w:rPr>
      </w:pPr>
      <w:r>
        <w:rPr>
          <w:rFonts w:hint="eastAsia" w:hAnsi="宋体"/>
          <w:highlight w:val="none"/>
        </w:rPr>
        <w:t>14.4以顺丰快递（建议）方式递交备份投标文件的，投标人应先将备份投标文件按要求密封和标记，再进行顺丰快递（建议）包装后邮寄。备份投标文件须在投标截止时间之前送达招标文件第二章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7"/>
        <w:spacing w:before="120" w:after="120" w:line="500" w:lineRule="exact"/>
        <w:ind w:firstLine="479" w:firstLineChars="199"/>
        <w:rPr>
          <w:rFonts w:hAnsi="宋体"/>
          <w:b/>
          <w:highlight w:val="none"/>
        </w:rPr>
      </w:pPr>
      <w:r>
        <w:rPr>
          <w:rFonts w:hint="eastAsia" w:hAnsi="宋体"/>
          <w:b/>
          <w:highlight w:val="none"/>
        </w:rPr>
        <w:t>14.5投标人仅提交备份投标文件，没有在电子交易平台传输递交投标文件的，投标无效。</w:t>
      </w:r>
    </w:p>
    <w:p>
      <w:pPr>
        <w:pStyle w:val="36"/>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15.投标文件的无效处理</w:t>
      </w:r>
    </w:p>
    <w:p>
      <w:pPr>
        <w:pStyle w:val="7"/>
        <w:spacing w:line="500" w:lineRule="exact"/>
        <w:ind w:firstLine="348" w:firstLineChars="150"/>
        <w:rPr>
          <w:rFonts w:hAnsi="宋体"/>
          <w:sz w:val="24"/>
          <w:szCs w:val="24"/>
          <w:highlight w:val="none"/>
        </w:rPr>
      </w:pPr>
      <w:r>
        <w:rPr>
          <w:rFonts w:hint="eastAsia" w:hAnsi="宋体"/>
          <w:sz w:val="24"/>
          <w:szCs w:val="24"/>
          <w:highlight w:val="none"/>
        </w:rPr>
        <w:t>有招标文件本章第21.2项规定的情形之一的，投标无效</w:t>
      </w:r>
      <w:r>
        <w:rPr>
          <w:rFonts w:hint="eastAsia" w:hAnsi="宋体"/>
          <w:sz w:val="24"/>
          <w:szCs w:val="20"/>
          <w:highlight w:val="none"/>
        </w:rPr>
        <w:t>。</w:t>
      </w:r>
    </w:p>
    <w:p>
      <w:pPr>
        <w:pStyle w:val="36"/>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16.投标有效期</w:t>
      </w:r>
    </w:p>
    <w:p>
      <w:pPr>
        <w:spacing w:line="500" w:lineRule="exact"/>
        <w:ind w:firstLine="480" w:firstLineChars="200"/>
        <w:rPr>
          <w:rFonts w:ascii="宋体" w:hAnsi="宋体" w:cs="宋体"/>
          <w:b/>
          <w:sz w:val="24"/>
          <w:szCs w:val="21"/>
          <w:highlight w:val="none"/>
        </w:rPr>
      </w:pPr>
      <w:r>
        <w:rPr>
          <w:rFonts w:hint="eastAsia" w:ascii="宋体" w:hAnsi="宋体" w:cs="宋体"/>
          <w:sz w:val="24"/>
          <w:szCs w:val="20"/>
          <w:highlight w:val="none"/>
        </w:rPr>
        <w:t>16.1投标有效期为从提交投标文件的截止之日起90天。▲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36"/>
        <w:spacing w:before="0" w:line="500" w:lineRule="exact"/>
        <w:ind w:firstLine="480"/>
        <w:rPr>
          <w:rFonts w:ascii="宋体" w:hAnsi="宋体" w:cs="宋体"/>
          <w:highlight w:val="none"/>
        </w:rPr>
      </w:pPr>
      <w:r>
        <w:rPr>
          <w:rFonts w:hint="eastAsia" w:ascii="宋体" w:hAnsi="宋体" w:cs="宋体"/>
          <w:highlight w:val="none"/>
        </w:rPr>
        <w:t>16.2投标文件合格投递后，自投标截止日期起，在投标有效期内有效。</w:t>
      </w:r>
    </w:p>
    <w:p>
      <w:pPr>
        <w:pStyle w:val="36"/>
        <w:spacing w:before="0" w:line="500" w:lineRule="exact"/>
        <w:ind w:firstLine="480"/>
        <w:rPr>
          <w:rFonts w:ascii="宋体" w:hAnsi="宋体" w:cs="宋体"/>
          <w:highlight w:val="none"/>
        </w:rPr>
      </w:pPr>
      <w:r>
        <w:rPr>
          <w:rFonts w:hint="eastAsia" w:ascii="宋体" w:hAnsi="宋体" w:cs="宋体"/>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36"/>
        <w:spacing w:before="0" w:line="500" w:lineRule="exact"/>
        <w:ind w:firstLine="643"/>
        <w:rPr>
          <w:rFonts w:ascii="宋体" w:hAnsi="宋体" w:cs="宋体"/>
          <w:b/>
          <w:sz w:val="32"/>
          <w:highlight w:val="none"/>
        </w:rPr>
      </w:pPr>
    </w:p>
    <w:p>
      <w:pPr>
        <w:pStyle w:val="36"/>
        <w:spacing w:before="0" w:line="500" w:lineRule="exact"/>
        <w:ind w:firstLine="0" w:firstLineChars="0"/>
        <w:jc w:val="center"/>
        <w:rPr>
          <w:rFonts w:ascii="宋体" w:hAnsi="宋体" w:cs="宋体"/>
          <w:b/>
          <w:sz w:val="28"/>
          <w:szCs w:val="28"/>
          <w:highlight w:val="none"/>
        </w:rPr>
      </w:pPr>
      <w:r>
        <w:rPr>
          <w:rFonts w:hint="eastAsia" w:ascii="宋体" w:hAnsi="宋体" w:cs="宋体"/>
          <w:b/>
          <w:sz w:val="28"/>
          <w:szCs w:val="28"/>
          <w:highlight w:val="none"/>
        </w:rPr>
        <w:t>四、开标、资格审查与信用信息查询</w:t>
      </w:r>
    </w:p>
    <w:p>
      <w:pPr>
        <w:pStyle w:val="39"/>
        <w:spacing w:before="0" w:line="500" w:lineRule="exact"/>
        <w:ind w:left="0" w:firstLine="0"/>
        <w:contextualSpacing/>
        <w:rPr>
          <w:rFonts w:ascii="宋体" w:hAnsi="宋体" w:cs="宋体"/>
          <w:sz w:val="24"/>
          <w:highlight w:val="none"/>
        </w:rPr>
      </w:pPr>
      <w:r>
        <w:rPr>
          <w:rFonts w:hint="eastAsia" w:ascii="宋体" w:hAnsi="宋体" w:cs="宋体"/>
          <w:b/>
          <w:sz w:val="24"/>
          <w:szCs w:val="24"/>
          <w:highlight w:val="none"/>
        </w:rPr>
        <w:t>17.开标</w:t>
      </w:r>
      <w:r>
        <w:rPr>
          <w:rFonts w:hint="eastAsia" w:ascii="宋体" w:hAnsi="宋体" w:cs="宋体"/>
          <w:sz w:val="24"/>
          <w:highlight w:val="none"/>
        </w:rPr>
        <w:t xml:space="preserve"> </w:t>
      </w:r>
    </w:p>
    <w:p>
      <w:pPr>
        <w:pStyle w:val="39"/>
        <w:spacing w:before="0" w:line="500" w:lineRule="exact"/>
        <w:ind w:left="0" w:firstLine="480" w:firstLineChars="200"/>
        <w:contextualSpacing/>
        <w:rPr>
          <w:rFonts w:ascii="宋体" w:hAnsi="宋体" w:cs="宋体"/>
          <w:sz w:val="24"/>
          <w:highlight w:val="none"/>
        </w:rPr>
      </w:pPr>
      <w:r>
        <w:rPr>
          <w:rFonts w:hint="eastAsia" w:ascii="宋体" w:hAnsi="宋体" w:cs="宋体"/>
          <w:sz w:val="24"/>
          <w:highlight w:val="none"/>
        </w:rPr>
        <w:t>17.1采购代理机构按照招标文件规定的时间通过电子交易平台组织开标，所有投标人均应当准时在线参加。投标人不足3家的，不得开标。</w:t>
      </w:r>
    </w:p>
    <w:p>
      <w:pPr>
        <w:pStyle w:val="39"/>
        <w:spacing w:before="0" w:line="500" w:lineRule="exact"/>
        <w:ind w:left="0" w:firstLine="240" w:firstLineChars="100"/>
        <w:contextualSpacing/>
        <w:rPr>
          <w:rFonts w:ascii="宋体" w:hAnsi="宋体" w:cs="宋体"/>
          <w:sz w:val="24"/>
          <w:highlight w:val="none"/>
        </w:rPr>
      </w:pPr>
      <w:r>
        <w:rPr>
          <w:rFonts w:hint="eastAsia" w:ascii="宋体" w:hAnsi="宋体" w:cs="宋体"/>
          <w:sz w:val="24"/>
          <w:highlight w:val="none"/>
        </w:rPr>
        <w:t>　17.2开标时，电子交易平台按开标时间自动提取所有投标文件。采购代理机构依托电子交易平台发起开始解密指令，投标人按照平台提示和招标文件的规定在半小时内完成在线解密。</w:t>
      </w:r>
    </w:p>
    <w:p>
      <w:pPr>
        <w:pStyle w:val="39"/>
        <w:spacing w:before="0" w:line="500" w:lineRule="exact"/>
        <w:ind w:left="0" w:firstLine="240" w:firstLineChars="100"/>
        <w:contextualSpacing/>
        <w:rPr>
          <w:rFonts w:ascii="宋体" w:hAnsi="宋体" w:cs="宋体"/>
          <w:b/>
          <w:sz w:val="24"/>
          <w:highlight w:val="none"/>
        </w:rPr>
      </w:pPr>
      <w:r>
        <w:rPr>
          <w:rFonts w:hint="eastAsia" w:ascii="宋体" w:hAnsi="宋体" w:cs="宋体"/>
          <w:sz w:val="24"/>
          <w:highlight w:val="none"/>
        </w:rPr>
        <w:t>　17.3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500" w:lineRule="exact"/>
        <w:jc w:val="left"/>
        <w:rPr>
          <w:rFonts w:ascii="宋体" w:hAnsi="宋体" w:cs="宋体"/>
          <w:b/>
          <w:sz w:val="24"/>
          <w:szCs w:val="20"/>
          <w:highlight w:val="none"/>
        </w:rPr>
      </w:pPr>
      <w:r>
        <w:rPr>
          <w:rFonts w:hint="eastAsia" w:ascii="宋体" w:hAnsi="宋体" w:cs="宋体"/>
          <w:b/>
          <w:sz w:val="24"/>
          <w:szCs w:val="20"/>
          <w:highlight w:val="none"/>
        </w:rPr>
        <w:t>18.资格审查</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18.1开标后，采购人或采购代理机构将依法对投标人的资格进行审查。</w:t>
      </w:r>
    </w:p>
    <w:p>
      <w:pPr>
        <w:snapToGrid w:val="0"/>
        <w:spacing w:line="500" w:lineRule="exact"/>
        <w:ind w:firstLine="480" w:firstLineChars="200"/>
        <w:rPr>
          <w:rFonts w:ascii="宋体" w:hAnsi="宋体" w:cs="宋体"/>
          <w:sz w:val="24"/>
          <w:highlight w:val="none"/>
        </w:rPr>
      </w:pPr>
      <w:r>
        <w:rPr>
          <w:rFonts w:hint="eastAsia" w:ascii="宋体" w:hAnsi="宋体" w:cs="宋体"/>
          <w:kern w:val="0"/>
          <w:sz w:val="24"/>
          <w:highlight w:val="none"/>
        </w:rPr>
        <w:t>18.2</w:t>
      </w:r>
      <w:r>
        <w:rPr>
          <w:rFonts w:hint="eastAsia" w:ascii="宋体" w:hAnsi="宋体" w:cs="宋体"/>
          <w:sz w:val="24"/>
          <w:highlight w:val="none"/>
        </w:rPr>
        <w:t>采购人或采购代理机构依据法律法规和招标文件的规定，对投标人的基本资格条件、特定资格条件进行审查。</w:t>
      </w:r>
    </w:p>
    <w:p>
      <w:pPr>
        <w:pStyle w:val="36"/>
        <w:spacing w:before="0" w:line="500" w:lineRule="exact"/>
        <w:ind w:firstLine="480"/>
        <w:rPr>
          <w:rFonts w:ascii="宋体" w:hAnsi="宋体" w:cs="宋体"/>
          <w:highlight w:val="none"/>
        </w:rPr>
      </w:pPr>
      <w:r>
        <w:rPr>
          <w:rFonts w:hint="eastAsia" w:ascii="宋体" w:hAnsi="宋体" w:cs="宋体"/>
          <w:kern w:val="0"/>
          <w:szCs w:val="24"/>
          <w:highlight w:val="none"/>
        </w:rPr>
        <w:t>18.3投标人未按照招标文件要求提供与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36"/>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4对未通过资格审查的投标人，采购人或采购代理机构告知其未通过的原因。</w:t>
      </w:r>
    </w:p>
    <w:p>
      <w:pPr>
        <w:pStyle w:val="36"/>
        <w:spacing w:before="0" w:line="500" w:lineRule="exact"/>
        <w:ind w:firstLine="480"/>
        <w:rPr>
          <w:rFonts w:ascii="宋体" w:hAnsi="宋体" w:cs="宋体"/>
          <w:highlight w:val="none"/>
        </w:rPr>
      </w:pPr>
      <w:r>
        <w:rPr>
          <w:rFonts w:hint="eastAsia" w:ascii="宋体" w:hAnsi="宋体" w:cs="宋体"/>
          <w:kern w:val="0"/>
          <w:szCs w:val="24"/>
          <w:highlight w:val="none"/>
        </w:rPr>
        <w:t>18.</w:t>
      </w:r>
      <w:r>
        <w:rPr>
          <w:rFonts w:hint="eastAsia" w:ascii="宋体" w:hAnsi="宋体" w:cs="宋体"/>
          <w:highlight w:val="none"/>
        </w:rPr>
        <w:t>5合格投标人不足3家的，不再评标。</w:t>
      </w:r>
    </w:p>
    <w:p>
      <w:pPr>
        <w:pStyle w:val="36"/>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19.信用信息查询</w:t>
      </w:r>
    </w:p>
    <w:p>
      <w:pPr>
        <w:pStyle w:val="36"/>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19.1信用信息查询渠道及截止时间：采购代理机构将通过“信用中国”网站(www.creditchina.gov.cn)、中国政府采购网(www.ccgp.gov.cn)渠道查询投标人投标截止时间当天的信用记录。</w:t>
      </w:r>
    </w:p>
    <w:p>
      <w:pPr>
        <w:pStyle w:val="36"/>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19.2信用信息查询记录和证据留存的具体方式：现场查询的投标人的信用记录、查询结果经确认后将与采购文件一起存档。</w:t>
      </w:r>
    </w:p>
    <w:p>
      <w:pPr>
        <w:pStyle w:val="36"/>
        <w:spacing w:before="0" w:line="500" w:lineRule="exact"/>
        <w:ind w:firstLine="495" w:firstLineChars="0"/>
        <w:rPr>
          <w:rFonts w:ascii="宋体" w:hAnsi="宋体" w:cs="宋体"/>
          <w:kern w:val="0"/>
          <w:szCs w:val="24"/>
          <w:highlight w:val="none"/>
        </w:rPr>
      </w:pPr>
      <w:r>
        <w:rPr>
          <w:rFonts w:hint="eastAsia" w:ascii="宋体" w:hAnsi="宋体" w:cs="宋体"/>
          <w:kern w:val="0"/>
          <w:szCs w:val="24"/>
          <w:highlight w:val="none"/>
        </w:rPr>
        <w:t>19.3信用信息的使用规则：经查询列入失信被执行人名单、重大税收违法案件当事人名单、政府采购严重违法失信行为记录名单的投标人将被拒绝参与政府采购活动。</w:t>
      </w:r>
    </w:p>
    <w:p>
      <w:pPr>
        <w:pStyle w:val="36"/>
        <w:spacing w:before="0" w:line="500" w:lineRule="exact"/>
        <w:ind w:firstLine="480"/>
        <w:rPr>
          <w:rFonts w:ascii="宋体" w:hAnsi="宋体" w:cs="宋体"/>
          <w:highlight w:val="none"/>
        </w:rPr>
      </w:pPr>
      <w:r>
        <w:rPr>
          <w:rFonts w:hint="eastAsia" w:ascii="宋体" w:hAnsi="宋体" w:cs="宋体"/>
          <w:kern w:val="0"/>
          <w:szCs w:val="24"/>
          <w:highlight w:val="none"/>
        </w:rPr>
        <w:t>19.4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snapToGrid w:val="0"/>
        <w:spacing w:line="500" w:lineRule="exact"/>
        <w:outlineLvl w:val="0"/>
        <w:rPr>
          <w:rFonts w:ascii="宋体" w:hAnsi="宋体" w:cs="宋体"/>
          <w:b/>
          <w:sz w:val="28"/>
          <w:szCs w:val="28"/>
          <w:highlight w:val="none"/>
        </w:rPr>
      </w:pPr>
      <w:bookmarkStart w:id="34" w:name="_Toc26039"/>
      <w:bookmarkStart w:id="35" w:name="_Toc3240"/>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五、评标</w:t>
      </w:r>
      <w:bookmarkEnd w:id="34"/>
      <w:bookmarkEnd w:id="35"/>
    </w:p>
    <w:p>
      <w:pPr>
        <w:spacing w:line="500" w:lineRule="exact"/>
        <w:ind w:firstLine="480" w:firstLineChars="200"/>
        <w:rPr>
          <w:rFonts w:ascii="宋体" w:hAnsi="宋体" w:cs="宋体"/>
          <w:b/>
          <w:sz w:val="24"/>
          <w:highlight w:val="none"/>
        </w:rPr>
      </w:pPr>
      <w:bookmarkStart w:id="36" w:name="_Toc91899903"/>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500" w:lineRule="exact"/>
        <w:outlineLvl w:val="0"/>
        <w:rPr>
          <w:rFonts w:ascii="宋体" w:hAnsi="宋体" w:cs="宋体"/>
          <w:b/>
          <w:bCs/>
          <w:sz w:val="24"/>
          <w:highlight w:val="none"/>
        </w:rPr>
      </w:pPr>
      <w:bookmarkStart w:id="37" w:name="_Toc15144"/>
      <w:bookmarkStart w:id="38" w:name="_Toc7882"/>
      <w:r>
        <w:rPr>
          <w:rFonts w:hint="eastAsia" w:ascii="宋体" w:hAnsi="宋体" w:cs="宋体"/>
          <w:b/>
          <w:bCs/>
          <w:sz w:val="24"/>
          <w:highlight w:val="none"/>
        </w:rPr>
        <w:t>20.评标程序</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20.1符合性审查。</w:t>
      </w:r>
      <w:r>
        <w:rPr>
          <w:rFonts w:hint="eastAsia" w:ascii="宋体" w:hAnsi="宋体" w:cs="宋体"/>
          <w:kern w:val="0"/>
          <w:sz w:val="24"/>
          <w:highlight w:val="none"/>
        </w:rPr>
        <w:t>评标委员会应当对通过资格审查的投标人的投标文件进行符合性审查，以确定其是否满足招标文件的实质性要求。不满足招标文件的实质性要求的，投标无效。</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20.2 比较与评价。</w:t>
      </w:r>
      <w:r>
        <w:rPr>
          <w:rFonts w:hint="eastAsia" w:ascii="宋体" w:hAnsi="宋体" w:cs="宋体"/>
          <w:kern w:val="0"/>
          <w:sz w:val="24"/>
          <w:highlight w:val="none"/>
        </w:rPr>
        <w:t>评标委员会应当按照招标文件中规定的评标方法和标准，对符合性审查合格的投标文件进行资信技术评估，综合比较与评价。</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20.3汇总资信技术得分。</w:t>
      </w:r>
      <w:r>
        <w:rPr>
          <w:rFonts w:hint="eastAsia" w:ascii="宋体" w:hAnsi="宋体" w:cs="宋体"/>
          <w:kern w:val="0"/>
          <w:sz w:val="24"/>
          <w:highlight w:val="none"/>
        </w:rPr>
        <w:t>评标委员会各成员应当独立对每个投标人的资信技术文件进行评价，并汇总资信技术得分情况。</w:t>
      </w:r>
    </w:p>
    <w:p>
      <w:pPr>
        <w:spacing w:line="500" w:lineRule="exact"/>
        <w:ind w:firstLine="472" w:firstLineChars="196"/>
        <w:rPr>
          <w:rFonts w:ascii="宋体" w:hAnsi="宋体" w:cs="宋体"/>
          <w:b/>
          <w:kern w:val="0"/>
          <w:sz w:val="24"/>
          <w:highlight w:val="none"/>
        </w:rPr>
      </w:pPr>
      <w:r>
        <w:rPr>
          <w:rFonts w:hint="eastAsia" w:ascii="宋体" w:hAnsi="宋体" w:cs="宋体"/>
          <w:b/>
          <w:kern w:val="0"/>
          <w:sz w:val="24"/>
          <w:highlight w:val="none"/>
        </w:rPr>
        <w:t>20.4报价评审。</w:t>
      </w:r>
    </w:p>
    <w:p>
      <w:pPr>
        <w:pStyle w:val="36"/>
        <w:spacing w:before="0" w:line="500" w:lineRule="exact"/>
        <w:ind w:firstLine="508" w:firstLineChars="212"/>
        <w:rPr>
          <w:rFonts w:ascii="宋体" w:hAnsi="宋体" w:cs="宋体"/>
          <w:kern w:val="0"/>
          <w:szCs w:val="24"/>
          <w:highlight w:val="none"/>
        </w:rPr>
      </w:pPr>
      <w:r>
        <w:rPr>
          <w:rFonts w:hint="eastAsia" w:ascii="宋体" w:hAnsi="宋体" w:cs="宋体"/>
          <w:kern w:val="0"/>
          <w:szCs w:val="24"/>
          <w:highlight w:val="none"/>
        </w:rPr>
        <w:t>20.4.1投标文件报价出现前后不一致的，按照下列规定修正：</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20.4.1.1投标文件中开标一览表(报价表)内容与投标文件中相应内容不一致的，以开标一览表(报价表)为准;</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20.4.1.2大写金额和小写金额不一致的，以大写金额为准;</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20.4.1.3单价金额小数点或者百分比有明显错位的，以开标一览表的总价为准，并修改单价;</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20.4.1.4总价金额与按单价汇总金额不一致的，以单价金额计算结果为准。</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20.4.1.5同时出现两种以上不一致的，按照20.4.1规定的顺序修正。投标人的澄清说明或者补正应当采用书面形式，并加盖公章，或者由法定代表人或其法定授权的代表签字。投标人的说明或者补正不得超出投标文件的范围或者改变投标文件实质性内容。</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20.4.2投标文件出现不是唯一的、有选择性投标报价的，投标无效。</w:t>
      </w:r>
    </w:p>
    <w:p>
      <w:pPr>
        <w:snapToGrid w:val="0"/>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20.4.3投标报价超过招标文件中规定的预算金额的，投标无效。</w:t>
      </w:r>
    </w:p>
    <w:p>
      <w:pPr>
        <w:pStyle w:val="36"/>
        <w:spacing w:before="0" w:line="500" w:lineRule="exact"/>
        <w:ind w:firstLine="480"/>
        <w:rPr>
          <w:rFonts w:ascii="宋体" w:hAnsi="宋体" w:cs="宋体"/>
          <w:kern w:val="0"/>
          <w:szCs w:val="24"/>
          <w:highlight w:val="none"/>
        </w:rPr>
      </w:pPr>
      <w:r>
        <w:rPr>
          <w:rFonts w:hint="eastAsia" w:ascii="宋体" w:hAnsi="宋体" w:cs="宋体"/>
          <w:kern w:val="0"/>
          <w:szCs w:val="24"/>
          <w:highlight w:val="none"/>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500" w:lineRule="exact"/>
        <w:ind w:firstLine="482" w:firstLineChars="200"/>
        <w:rPr>
          <w:rFonts w:ascii="宋体" w:hAnsi="宋体" w:cs="宋体"/>
          <w:b/>
          <w:kern w:val="0"/>
          <w:sz w:val="24"/>
          <w:highlight w:val="none"/>
        </w:rPr>
      </w:pPr>
      <w:r>
        <w:rPr>
          <w:rFonts w:hint="eastAsia" w:ascii="宋体" w:hAnsi="宋体" w:cs="宋体"/>
          <w:b/>
          <w:bCs/>
          <w:kern w:val="0"/>
          <w:sz w:val="24"/>
          <w:highlight w:val="none"/>
        </w:rPr>
        <w:t>20.5评</w:t>
      </w:r>
      <w:r>
        <w:rPr>
          <w:rFonts w:hint="eastAsia" w:ascii="宋体" w:hAnsi="宋体" w:cs="宋体"/>
          <w:b/>
          <w:kern w:val="0"/>
          <w:sz w:val="24"/>
          <w:highlight w:val="none"/>
        </w:rPr>
        <w:t>标。</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20.5.1评标委员会由招标采购单位依法组建，负责评标活动。评标委员会遵循公平、公正、科学合理、竞争择优的原则。</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20.5.2评标委员会由采购人或采购代理机构依法组建，成员包括采购人代表和评审专家，成员人数为</w:t>
      </w:r>
      <w:r>
        <w:rPr>
          <w:rFonts w:hint="eastAsia" w:ascii="宋体" w:hAnsi="宋体" w:cs="宋体"/>
          <w:sz w:val="24"/>
          <w:highlight w:val="none"/>
          <w:lang w:val="en-US" w:eastAsia="zh-CN"/>
        </w:rPr>
        <w:t>5</w:t>
      </w:r>
      <w:r>
        <w:rPr>
          <w:rFonts w:hint="eastAsia" w:ascii="宋体" w:hAnsi="宋体" w:cs="宋体"/>
          <w:sz w:val="24"/>
          <w:highlight w:val="none"/>
        </w:rPr>
        <w:t>人，其中采购人代表1人。</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20.5.3评标委员会可以要求投标人对其投标文件中含义不明确的内容作必要的澄清或者说明，但澄清或者说明不得超过投标文件的范围或者改变投标文件的实质性内容。</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评审中需要投标人对投标、响应文件作出澄清、说明或者补正的，评标委员会和投标人应当通过乐采云平台交换数据电文。给予投标人提交澄清说明或补正的时间不少于半小时，投标人已经明确表示澄清说明或补正完毕的除外。</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投标人通过乐采云平台交换的数据电文必须进行电子签章。</w:t>
      </w:r>
    </w:p>
    <w:p>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20.5.4评审小组组长组织评审人员独立评审。评审小组对拟认定为采购响应文件无效、投标人资格不符合的，应组织相关投标人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snapToGrid w:val="0"/>
        <w:spacing w:line="440" w:lineRule="exact"/>
        <w:ind w:firstLine="480" w:firstLineChars="200"/>
        <w:jc w:val="left"/>
        <w:rPr>
          <w:rFonts w:ascii="宋体" w:hAnsi="宋体" w:cs="宋体"/>
          <w:b/>
          <w:kern w:val="0"/>
          <w:sz w:val="24"/>
          <w:highlight w:val="none"/>
        </w:rPr>
      </w:pPr>
      <w:r>
        <w:rPr>
          <w:rFonts w:hint="eastAsia" w:ascii="宋体" w:hAnsi="宋体" w:cs="宋体"/>
          <w:sz w:val="24"/>
          <w:highlight w:val="none"/>
        </w:rPr>
        <w:t>20.5.5评标委员会对投标文件的判定，只依据投标文件和招标文件内容本身，不依据任何外来证明。</w:t>
      </w:r>
    </w:p>
    <w:p>
      <w:pPr>
        <w:spacing w:line="500" w:lineRule="exact"/>
        <w:ind w:firstLine="472" w:firstLineChars="196"/>
        <w:rPr>
          <w:rFonts w:ascii="宋体" w:hAnsi="宋体" w:cs="宋体"/>
          <w:kern w:val="0"/>
          <w:sz w:val="24"/>
          <w:highlight w:val="none"/>
        </w:rPr>
      </w:pPr>
      <w:r>
        <w:rPr>
          <w:rFonts w:hint="eastAsia" w:ascii="宋体" w:hAnsi="宋体" w:cs="宋体"/>
          <w:b/>
          <w:kern w:val="0"/>
          <w:sz w:val="24"/>
          <w:highlight w:val="none"/>
        </w:rPr>
        <w:t>20.6评标报告由乐采云自动生成。</w:t>
      </w:r>
      <w:r>
        <w:rPr>
          <w:rFonts w:hint="eastAsia" w:ascii="宋体" w:hAnsi="宋体" w:cs="宋体"/>
          <w:kern w:val="0"/>
          <w:sz w:val="24"/>
          <w:highlight w:val="none"/>
        </w:rPr>
        <w:t>评标委员会成员在评标报告上签字。</w:t>
      </w:r>
    </w:p>
    <w:p>
      <w:pPr>
        <w:widowControl/>
        <w:adjustRightInd/>
        <w:spacing w:line="500" w:lineRule="exact"/>
        <w:jc w:val="left"/>
        <w:rPr>
          <w:rFonts w:ascii="宋体" w:hAnsi="宋体" w:cs="宋体"/>
          <w:b/>
          <w:sz w:val="24"/>
          <w:highlight w:val="none"/>
        </w:rPr>
      </w:pPr>
      <w:r>
        <w:rPr>
          <w:rFonts w:hint="eastAsia" w:ascii="宋体" w:hAnsi="宋体" w:cs="宋体"/>
          <w:b/>
          <w:sz w:val="24"/>
          <w:highlight w:val="none"/>
        </w:rPr>
        <w:t>21、评标中的其他事项</w:t>
      </w:r>
    </w:p>
    <w:p>
      <w:pPr>
        <w:pStyle w:val="36"/>
        <w:spacing w:before="0" w:line="500" w:lineRule="exact"/>
        <w:ind w:firstLine="472" w:firstLineChars="196"/>
        <w:rPr>
          <w:rFonts w:ascii="宋体" w:hAnsi="宋体" w:cs="宋体"/>
          <w:kern w:val="0"/>
          <w:szCs w:val="24"/>
          <w:highlight w:val="none"/>
        </w:rPr>
      </w:pPr>
      <w:r>
        <w:rPr>
          <w:rFonts w:hint="eastAsia" w:ascii="宋体" w:hAnsi="宋体" w:cs="宋体"/>
          <w:b/>
          <w:kern w:val="0"/>
          <w:szCs w:val="24"/>
          <w:highlight w:val="none"/>
        </w:rPr>
        <w:t>21.1投标人澄清、说明或者补正。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500" w:lineRule="exact"/>
        <w:ind w:left="542" w:leftChars="228" w:hanging="63" w:hangingChars="27"/>
        <w:rPr>
          <w:rFonts w:hAnsi="宋体"/>
          <w:b/>
          <w:kern w:val="0"/>
          <w:sz w:val="24"/>
          <w:szCs w:val="24"/>
          <w:highlight w:val="none"/>
        </w:rPr>
      </w:pPr>
      <w:r>
        <w:rPr>
          <w:rFonts w:hint="eastAsia" w:hAnsi="宋体"/>
          <w:b/>
          <w:kern w:val="0"/>
          <w:sz w:val="24"/>
          <w:szCs w:val="24"/>
          <w:highlight w:val="none"/>
        </w:rPr>
        <w:t>21.2投标无效。</w:t>
      </w:r>
    </w:p>
    <w:p>
      <w:pPr>
        <w:pStyle w:val="7"/>
        <w:spacing w:line="500" w:lineRule="exact"/>
        <w:ind w:left="542" w:leftChars="228" w:hanging="63" w:hangingChars="27"/>
        <w:rPr>
          <w:rFonts w:hAnsi="宋体"/>
          <w:b/>
          <w:bCs/>
          <w:sz w:val="24"/>
          <w:szCs w:val="24"/>
          <w:highlight w:val="none"/>
        </w:rPr>
      </w:pPr>
      <w:r>
        <w:rPr>
          <w:rFonts w:hint="eastAsia" w:hAnsi="宋体"/>
          <w:b/>
          <w:bCs/>
          <w:sz w:val="24"/>
          <w:szCs w:val="24"/>
          <w:highlight w:val="none"/>
        </w:rPr>
        <w:t>有下列情况之一的，投标无效：</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21.2.1投标人不具备招标文件中规定的资格要求的（投标人未提供有效的资格文件的，视为投标人不具备招标文件中规定的资格要求）；</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21.2.2投标文件未按照招标文件要求签署、盖章的；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21.2.4投标文件含有采购人不能接受的附加条件的；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21.2.5投标文件中承诺的投标有效期少于招标文件中载明的投标有效期的；</w:t>
      </w:r>
    </w:p>
    <w:p>
      <w:pPr>
        <w:snapToGrid w:val="0"/>
        <w:spacing w:line="500" w:lineRule="exact"/>
        <w:ind w:firstLine="120" w:firstLineChars="50"/>
        <w:jc w:val="left"/>
        <w:rPr>
          <w:rFonts w:ascii="宋体" w:hAnsi="宋体" w:cs="宋体"/>
          <w:b/>
          <w:bCs/>
          <w:kern w:val="0"/>
          <w:sz w:val="24"/>
          <w:highlight w:val="none"/>
        </w:rPr>
      </w:pPr>
      <w:r>
        <w:rPr>
          <w:rFonts w:hint="eastAsia" w:ascii="宋体" w:hAnsi="宋体" w:cs="宋体"/>
          <w:b/>
          <w:bCs/>
          <w:kern w:val="0"/>
          <w:sz w:val="24"/>
          <w:highlight w:val="none"/>
        </w:rPr>
        <w:t xml:space="preserve">   21.2.6投标文件出现不是唯一的、有选择性投标报价的；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21.2.7投标报价超过招标文件中规定的预算金额的；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21.2.8报价明显低于其他通过符合性审查投标人的报价，有可能影响产品质量或者不能诚信履约的，未能按要求提供书面说明或者提交相关证明材料，不能证明其报价合理性的;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21.2.9投标人对根据修正原则修正后的报价不确认的；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21.2.10投标人提供虚假材料投标的；</w:t>
      </w:r>
    </w:p>
    <w:p>
      <w:pPr>
        <w:spacing w:line="500" w:lineRule="exact"/>
        <w:ind w:firstLine="241" w:firstLineChars="100"/>
        <w:rPr>
          <w:rFonts w:ascii="宋体" w:hAnsi="宋体" w:cs="宋体"/>
          <w:b/>
          <w:bCs/>
          <w:kern w:val="0"/>
          <w:sz w:val="24"/>
          <w:highlight w:val="none"/>
        </w:rPr>
      </w:pPr>
      <w:r>
        <w:rPr>
          <w:rFonts w:hint="eastAsia" w:ascii="宋体" w:hAnsi="宋体" w:cs="宋体"/>
          <w:b/>
          <w:bCs/>
          <w:kern w:val="0"/>
          <w:sz w:val="24"/>
          <w:highlight w:val="none"/>
        </w:rPr>
        <w:t xml:space="preserve">  21.2.11投标人有恶意串通、妨碍其他投标人的竞争行为、损害采购人或者其他投标人的合法权益情形的；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21.2.12投标人仅提交备份投标文件，没有在电子交易平台传输递交投标文件的，投标无效；</w:t>
      </w:r>
    </w:p>
    <w:p>
      <w:pPr>
        <w:pStyle w:val="5"/>
        <w:spacing w:line="500" w:lineRule="exact"/>
        <w:ind w:left="489" w:leftChars="228" w:hanging="10" w:hangingChars="4"/>
        <w:rPr>
          <w:rFonts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21.2.13 投标文件不满足招标文件的标注</w:t>
      </w:r>
      <w:r>
        <w:rPr>
          <w:rFonts w:hint="eastAsia" w:ascii="宋体" w:hAnsi="宋体" w:eastAsia="宋体" w:cs="宋体"/>
          <w:sz w:val="24"/>
          <w:highlight w:val="none"/>
        </w:rPr>
        <w:t xml:space="preserve">“▲” </w:t>
      </w:r>
      <w:r>
        <w:rPr>
          <w:rFonts w:hint="eastAsia" w:ascii="宋体" w:hAnsi="宋体" w:eastAsia="宋体" w:cs="宋体"/>
          <w:kern w:val="0"/>
          <w:sz w:val="24"/>
          <w:szCs w:val="24"/>
          <w:highlight w:val="none"/>
          <w:lang w:val="en-US"/>
        </w:rPr>
        <w:t>实质性条款要求的；</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21.2.14法律、法规、规章（适用本市的）及省级以上规范性文件（适用本市的）规定的其他无效情形。</w:t>
      </w:r>
    </w:p>
    <w:p>
      <w:pPr>
        <w:pStyle w:val="7"/>
        <w:snapToGrid w:val="0"/>
        <w:spacing w:line="500" w:lineRule="exact"/>
        <w:ind w:left="420" w:firstLine="0"/>
        <w:rPr>
          <w:rFonts w:hAnsi="宋体"/>
          <w:b/>
          <w:sz w:val="24"/>
          <w:szCs w:val="24"/>
          <w:highlight w:val="none"/>
        </w:rPr>
      </w:pPr>
      <w:r>
        <w:rPr>
          <w:rFonts w:hint="eastAsia" w:hAnsi="宋体"/>
          <w:b/>
          <w:sz w:val="24"/>
          <w:szCs w:val="24"/>
          <w:highlight w:val="none"/>
        </w:rPr>
        <w:t>22.终止采购程序或废标。</w:t>
      </w:r>
    </w:p>
    <w:p>
      <w:pPr>
        <w:pStyle w:val="7"/>
        <w:snapToGrid w:val="0"/>
        <w:spacing w:line="500" w:lineRule="exact"/>
        <w:ind w:left="412" w:leftChars="196" w:firstLine="0"/>
        <w:rPr>
          <w:rFonts w:hAnsi="宋体"/>
          <w:sz w:val="24"/>
          <w:szCs w:val="24"/>
          <w:highlight w:val="none"/>
        </w:rPr>
      </w:pPr>
      <w:r>
        <w:rPr>
          <w:rFonts w:hint="eastAsia" w:hAnsi="宋体"/>
          <w:sz w:val="24"/>
          <w:szCs w:val="24"/>
          <w:highlight w:val="none"/>
        </w:rPr>
        <w:t>在采购中，出现下列情形之一的，应予终止采购程序或废标：</w:t>
      </w:r>
    </w:p>
    <w:p>
      <w:pPr>
        <w:pStyle w:val="7"/>
        <w:snapToGrid w:val="0"/>
        <w:spacing w:line="500" w:lineRule="exact"/>
        <w:rPr>
          <w:rFonts w:hAnsi="宋体"/>
          <w:sz w:val="24"/>
          <w:szCs w:val="24"/>
          <w:highlight w:val="none"/>
        </w:rPr>
      </w:pPr>
      <w:r>
        <w:rPr>
          <w:rFonts w:hint="eastAsia" w:hAnsi="宋体"/>
          <w:sz w:val="24"/>
          <w:szCs w:val="24"/>
          <w:highlight w:val="none"/>
        </w:rPr>
        <w:t>22.1符合专业条件的投标人或者对招标文件作实质响应的投标人不足3家的；</w:t>
      </w:r>
    </w:p>
    <w:p>
      <w:pPr>
        <w:pStyle w:val="7"/>
        <w:snapToGrid w:val="0"/>
        <w:spacing w:line="500" w:lineRule="exact"/>
        <w:rPr>
          <w:rFonts w:hAnsi="宋体"/>
          <w:sz w:val="24"/>
          <w:szCs w:val="24"/>
          <w:highlight w:val="none"/>
        </w:rPr>
      </w:pPr>
      <w:r>
        <w:rPr>
          <w:rFonts w:hint="eastAsia" w:hAnsi="宋体"/>
          <w:sz w:val="24"/>
          <w:szCs w:val="24"/>
          <w:highlight w:val="none"/>
        </w:rPr>
        <w:t>22.2出现影响采购公正的违法、违规行为的；</w:t>
      </w:r>
    </w:p>
    <w:p>
      <w:pPr>
        <w:pStyle w:val="7"/>
        <w:snapToGrid w:val="0"/>
        <w:spacing w:line="500" w:lineRule="exact"/>
        <w:rPr>
          <w:rFonts w:hAnsi="宋体"/>
          <w:sz w:val="24"/>
          <w:szCs w:val="24"/>
          <w:highlight w:val="none"/>
        </w:rPr>
      </w:pPr>
      <w:r>
        <w:rPr>
          <w:rFonts w:hint="eastAsia" w:hAnsi="宋体"/>
          <w:sz w:val="24"/>
          <w:szCs w:val="24"/>
          <w:highlight w:val="none"/>
        </w:rPr>
        <w:t>22.3投标人的报价均超过了采购预算；</w:t>
      </w:r>
    </w:p>
    <w:p>
      <w:pPr>
        <w:pStyle w:val="7"/>
        <w:snapToGrid w:val="0"/>
        <w:spacing w:line="500" w:lineRule="exact"/>
        <w:rPr>
          <w:rFonts w:hAnsi="宋体"/>
          <w:sz w:val="24"/>
          <w:szCs w:val="24"/>
          <w:highlight w:val="none"/>
        </w:rPr>
      </w:pPr>
      <w:r>
        <w:rPr>
          <w:rFonts w:hint="eastAsia" w:hAnsi="宋体"/>
          <w:sz w:val="24"/>
          <w:szCs w:val="24"/>
          <w:highlight w:val="none"/>
        </w:rPr>
        <w:t>22.4因重大变故，采购任务取消的。</w:t>
      </w:r>
    </w:p>
    <w:p>
      <w:pPr>
        <w:pStyle w:val="7"/>
        <w:snapToGrid w:val="0"/>
        <w:spacing w:line="500" w:lineRule="exact"/>
        <w:rPr>
          <w:rFonts w:hAnsi="宋体"/>
          <w:sz w:val="24"/>
          <w:szCs w:val="24"/>
          <w:highlight w:val="none"/>
        </w:rPr>
      </w:pPr>
      <w:r>
        <w:rPr>
          <w:rFonts w:hint="eastAsia" w:hAnsi="宋体"/>
          <w:sz w:val="24"/>
          <w:szCs w:val="24"/>
          <w:highlight w:val="none"/>
        </w:rPr>
        <w:t>终止采购程序或废标后，采购代理机构应当将决定及相关理由通知所有投标人；评审现场废标决定由采购人根据评标委员会提出的废标意见作出；非评审现场废标决定原则上采购人主管部门作出，另有约定的除外。除采购任务取消情形外，应当重新组织招标。</w:t>
      </w:r>
    </w:p>
    <w:p>
      <w:pPr>
        <w:pStyle w:val="7"/>
        <w:snapToGrid w:val="0"/>
        <w:spacing w:line="600" w:lineRule="exact"/>
        <w:ind w:firstLine="571" w:firstLineChars="245"/>
        <w:rPr>
          <w:rFonts w:hAnsi="宋体"/>
          <w:sz w:val="24"/>
          <w:szCs w:val="24"/>
          <w:highlight w:val="none"/>
        </w:rPr>
      </w:pPr>
      <w:r>
        <w:rPr>
          <w:rFonts w:hint="eastAsia" w:hAnsi="宋体"/>
          <w:b/>
          <w:sz w:val="24"/>
          <w:szCs w:val="24"/>
          <w:highlight w:val="none"/>
        </w:rPr>
        <w:t>23.修改招标文件，重新组织采购活动。</w:t>
      </w:r>
      <w:r>
        <w:rPr>
          <w:rFonts w:hint="eastAsia" w:hAnsi="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600" w:lineRule="exact"/>
        <w:ind w:firstLine="563" w:firstLineChars="243"/>
        <w:rPr>
          <w:rFonts w:hAnsi="宋体"/>
          <w:bCs/>
          <w:kern w:val="0"/>
          <w:sz w:val="24"/>
          <w:szCs w:val="24"/>
          <w:highlight w:val="none"/>
        </w:rPr>
      </w:pPr>
      <w:r>
        <w:rPr>
          <w:rFonts w:hint="eastAsia" w:hAnsi="宋体"/>
          <w:bCs/>
          <w:kern w:val="0"/>
          <w:sz w:val="24"/>
          <w:szCs w:val="24"/>
          <w:highlight w:val="none"/>
        </w:rPr>
        <w:t>24.出现影响采购公正的违法、违规行为影响中标、成交结果或者可能影响中标、成交结果的，按下列情况分别处理：</w:t>
      </w:r>
    </w:p>
    <w:p>
      <w:pPr>
        <w:pStyle w:val="7"/>
        <w:snapToGrid w:val="0"/>
        <w:spacing w:line="600" w:lineRule="exact"/>
        <w:rPr>
          <w:rFonts w:hAnsi="宋体"/>
          <w:sz w:val="24"/>
          <w:szCs w:val="24"/>
          <w:highlight w:val="none"/>
        </w:rPr>
      </w:pPr>
      <w:r>
        <w:rPr>
          <w:rFonts w:hint="eastAsia" w:hAnsi="宋体"/>
          <w:sz w:val="24"/>
          <w:szCs w:val="24"/>
          <w:highlight w:val="none"/>
        </w:rPr>
        <w:t>24.1未确定中标、成交投标人的，终止采购活动；</w:t>
      </w:r>
    </w:p>
    <w:p>
      <w:pPr>
        <w:pStyle w:val="7"/>
        <w:snapToGrid w:val="0"/>
        <w:spacing w:line="600" w:lineRule="exact"/>
        <w:rPr>
          <w:rFonts w:hAnsi="宋体"/>
          <w:sz w:val="24"/>
          <w:szCs w:val="24"/>
          <w:highlight w:val="none"/>
        </w:rPr>
      </w:pPr>
      <w:r>
        <w:rPr>
          <w:rFonts w:hint="eastAsia" w:hAnsi="宋体"/>
          <w:sz w:val="24"/>
          <w:szCs w:val="24"/>
          <w:highlight w:val="none"/>
        </w:rPr>
        <w:t>24.2中标、成交投标人已经确定但采购合同尚未履约的，撤销合同，重新组织采购；</w:t>
      </w:r>
    </w:p>
    <w:p>
      <w:pPr>
        <w:pStyle w:val="7"/>
        <w:snapToGrid w:val="0"/>
        <w:spacing w:line="600" w:lineRule="exact"/>
        <w:rPr>
          <w:rFonts w:hAnsi="宋体"/>
          <w:sz w:val="24"/>
          <w:szCs w:val="24"/>
          <w:highlight w:val="none"/>
        </w:rPr>
      </w:pPr>
      <w:r>
        <w:rPr>
          <w:rFonts w:hint="eastAsia" w:hAnsi="宋体"/>
          <w:sz w:val="24"/>
          <w:szCs w:val="24"/>
          <w:highlight w:val="none"/>
        </w:rPr>
        <w:t>24.3采购合同已经履行的，给采购人、投标人造成损失的，由责任人承担赔偿责任。</w:t>
      </w:r>
    </w:p>
    <w:p>
      <w:pPr>
        <w:pStyle w:val="7"/>
        <w:snapToGrid w:val="0"/>
        <w:spacing w:line="600" w:lineRule="exact"/>
        <w:ind w:firstLine="568" w:firstLineChars="245"/>
        <w:rPr>
          <w:rFonts w:hAnsi="宋体"/>
          <w:sz w:val="24"/>
          <w:szCs w:val="24"/>
          <w:highlight w:val="none"/>
        </w:rPr>
      </w:pPr>
    </w:p>
    <w:p>
      <w:pPr>
        <w:snapToGrid w:val="0"/>
        <w:spacing w:line="500" w:lineRule="exact"/>
        <w:jc w:val="center"/>
        <w:outlineLvl w:val="0"/>
        <w:rPr>
          <w:rFonts w:ascii="宋体" w:hAnsi="宋体" w:cs="宋体"/>
          <w:b/>
          <w:sz w:val="28"/>
          <w:szCs w:val="28"/>
          <w:highlight w:val="none"/>
        </w:rPr>
      </w:pPr>
      <w:r>
        <w:rPr>
          <w:rFonts w:hint="eastAsia" w:ascii="宋体" w:hAnsi="宋体" w:cs="宋体"/>
          <w:b/>
          <w:sz w:val="28"/>
          <w:szCs w:val="28"/>
          <w:highlight w:val="none"/>
        </w:rPr>
        <w:t>六、定 标</w:t>
      </w:r>
      <w:bookmarkEnd w:id="37"/>
      <w:bookmarkEnd w:id="38"/>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25.确定中标人</w:t>
      </w:r>
    </w:p>
    <w:p>
      <w:pPr>
        <w:pStyle w:val="36"/>
        <w:snapToGrid w:val="0"/>
        <w:spacing w:before="0" w:line="500" w:lineRule="exact"/>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采购人将自收到评审报告之日起5个工作日内通过电子交易平台在评审报告推荐的中标候选人中按顺序确定中标人。</w:t>
      </w:r>
    </w:p>
    <w:p>
      <w:pPr>
        <w:pStyle w:val="36"/>
        <w:snapToGrid w:val="0"/>
        <w:spacing w:before="0" w:line="500" w:lineRule="exact"/>
        <w:ind w:firstLine="0" w:firstLineChars="0"/>
        <w:rPr>
          <w:rFonts w:ascii="宋体" w:hAnsi="宋体" w:cs="宋体"/>
          <w:b/>
          <w:szCs w:val="24"/>
          <w:highlight w:val="none"/>
        </w:rPr>
      </w:pPr>
      <w:r>
        <w:rPr>
          <w:rFonts w:hint="eastAsia" w:ascii="宋体" w:hAnsi="宋体" w:cs="宋体"/>
          <w:b/>
          <w:szCs w:val="24"/>
          <w:highlight w:val="none"/>
        </w:rPr>
        <w:t>26.中标通知与中标结果公告</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26.1自中标人确定之日起2个工作日内，采购代理机构编制发布采购结果公告，同时通过电子交易平台或纸质形式向中标人发出中标通知书。</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26.2中标结果公告内容包括但不限于招标项目名称、招标人、招标代理机构、招标公告日期、中标人、中标内容及价格等基本要素。招标公告、招标文件及中标结果在同一渠道公开。</w:t>
      </w:r>
    </w:p>
    <w:p>
      <w:pPr>
        <w:widowControl/>
        <w:shd w:val="clear" w:color="auto" w:fill="FFFFFF"/>
        <w:spacing w:line="500" w:lineRule="exact"/>
        <w:ind w:firstLine="480"/>
        <w:jc w:val="left"/>
        <w:rPr>
          <w:rFonts w:ascii="宋体" w:hAnsi="宋体" w:cs="宋体"/>
          <w:sz w:val="24"/>
          <w:highlight w:val="none"/>
        </w:rPr>
      </w:pPr>
      <w:r>
        <w:rPr>
          <w:rFonts w:hint="eastAsia" w:ascii="宋体" w:hAnsi="宋体" w:cs="宋体"/>
          <w:sz w:val="24"/>
          <w:highlight w:val="none"/>
        </w:rPr>
        <w:t>26.3公告期限为1个工作日。</w:t>
      </w:r>
    </w:p>
    <w:p>
      <w:pPr>
        <w:snapToGrid w:val="0"/>
        <w:spacing w:line="500" w:lineRule="exact"/>
        <w:jc w:val="both"/>
        <w:rPr>
          <w:rFonts w:ascii="宋体" w:hAnsi="宋体" w:cs="宋体"/>
          <w:b/>
          <w:sz w:val="28"/>
          <w:szCs w:val="28"/>
          <w:highlight w:val="none"/>
        </w:rPr>
      </w:pPr>
    </w:p>
    <w:p>
      <w:pPr>
        <w:snapToGrid w:val="0"/>
        <w:spacing w:line="500" w:lineRule="exact"/>
        <w:jc w:val="center"/>
        <w:rPr>
          <w:rFonts w:ascii="宋体" w:hAnsi="宋体" w:cs="宋体"/>
          <w:b/>
          <w:sz w:val="28"/>
          <w:szCs w:val="28"/>
          <w:highlight w:val="none"/>
        </w:rPr>
      </w:pPr>
      <w:r>
        <w:rPr>
          <w:rFonts w:hint="eastAsia" w:ascii="宋体" w:hAnsi="宋体" w:cs="宋体"/>
          <w:b/>
          <w:sz w:val="28"/>
          <w:szCs w:val="28"/>
          <w:highlight w:val="none"/>
        </w:rPr>
        <w:t>七、合同授予</w:t>
      </w:r>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27.</w:t>
      </w:r>
      <w:r>
        <w:rPr>
          <w:rFonts w:hint="eastAsia" w:hAnsi="宋体"/>
          <w:sz w:val="24"/>
          <w:szCs w:val="24"/>
          <w:highlight w:val="none"/>
        </w:rPr>
        <w:t>合同主要条款详见第五章合同主要条款。</w:t>
      </w:r>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28.合同的签订</w:t>
      </w:r>
    </w:p>
    <w:p>
      <w:pPr>
        <w:widowControl/>
        <w:shd w:val="clear" w:color="auto" w:fill="FFFFFF"/>
        <w:spacing w:line="500" w:lineRule="exact"/>
        <w:ind w:firstLine="480"/>
        <w:jc w:val="left"/>
        <w:rPr>
          <w:rFonts w:ascii="宋体" w:hAnsi="宋体" w:cs="宋体"/>
          <w:kern w:val="0"/>
          <w:sz w:val="24"/>
          <w:highlight w:val="none"/>
        </w:rPr>
      </w:pPr>
      <w:r>
        <w:rPr>
          <w:rFonts w:hint="eastAsia" w:ascii="宋体" w:hAnsi="宋体" w:cs="宋体"/>
          <w:sz w:val="24"/>
          <w:highlight w:val="none"/>
        </w:rPr>
        <w:t>28.1</w:t>
      </w:r>
      <w:r>
        <w:rPr>
          <w:rFonts w:hint="eastAsia" w:ascii="宋体" w:hAnsi="宋体" w:cs="宋体"/>
          <w:kern w:val="0"/>
          <w:sz w:val="24"/>
          <w:highlight w:val="none"/>
        </w:rPr>
        <w:t xml:space="preserve"> 采购人与中标人应当通过电子交易平台在中标通知书发出之日起三十日内，按照招标文件确定的事项签订国企采购合同，并在合同签订之日起2个工作日内依法发布合同公告。</w:t>
      </w:r>
    </w:p>
    <w:p>
      <w:pPr>
        <w:pStyle w:val="36"/>
        <w:snapToGrid w:val="0"/>
        <w:spacing w:before="0" w:line="500" w:lineRule="exact"/>
        <w:ind w:firstLine="480"/>
        <w:rPr>
          <w:rFonts w:ascii="宋体" w:hAnsi="宋体" w:cs="宋体"/>
          <w:kern w:val="0"/>
          <w:szCs w:val="24"/>
          <w:highlight w:val="none"/>
        </w:rPr>
      </w:pPr>
      <w:r>
        <w:rPr>
          <w:rFonts w:hint="eastAsia" w:ascii="宋体" w:hAnsi="宋体" w:cs="宋体"/>
          <w:kern w:val="0"/>
          <w:szCs w:val="24"/>
          <w:highlight w:val="none"/>
          <w:lang w:val="zh-CN"/>
        </w:rPr>
        <w:t>2</w:t>
      </w:r>
      <w:r>
        <w:rPr>
          <w:rFonts w:hint="eastAsia" w:ascii="宋体" w:hAnsi="宋体" w:cs="宋体"/>
          <w:kern w:val="0"/>
          <w:szCs w:val="24"/>
          <w:highlight w:val="none"/>
        </w:rPr>
        <w:t>8</w:t>
      </w:r>
      <w:r>
        <w:rPr>
          <w:rFonts w:hint="eastAsia" w:ascii="宋体" w:hAnsi="宋体" w:cs="宋体"/>
          <w:kern w:val="0"/>
          <w:szCs w:val="24"/>
          <w:highlight w:val="none"/>
          <w:lang w:val="zh-CN"/>
        </w:rPr>
        <w:t>.2中标人按规定的日期、时间、地点，由法定代表人或其授权代表与采购人代表签订合同。</w:t>
      </w:r>
    </w:p>
    <w:p>
      <w:pPr>
        <w:pStyle w:val="36"/>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28.3如签订合同并生效后，投标人无故拒绝或延期，除按照合同条款处理外，列入不良行为记录一次，并给予通报。</w:t>
      </w:r>
    </w:p>
    <w:p>
      <w:pPr>
        <w:pStyle w:val="36"/>
        <w:snapToGrid w:val="0"/>
        <w:spacing w:before="0" w:line="500" w:lineRule="exact"/>
        <w:ind w:firstLine="480"/>
        <w:rPr>
          <w:rFonts w:ascii="宋体" w:hAnsi="宋体" w:cs="宋体"/>
          <w:szCs w:val="24"/>
          <w:highlight w:val="none"/>
        </w:rPr>
      </w:pPr>
      <w:r>
        <w:rPr>
          <w:rFonts w:hint="eastAsia" w:ascii="宋体" w:hAnsi="宋体" w:cs="宋体"/>
          <w:szCs w:val="24"/>
          <w:highlight w:val="none"/>
        </w:rPr>
        <w:t>28.4</w:t>
      </w:r>
      <w:r>
        <w:rPr>
          <w:rFonts w:hint="eastAsia" w:ascii="宋体" w:hAnsi="宋体" w:cs="宋体"/>
          <w:b/>
          <w:szCs w:val="24"/>
          <w:highlight w:val="none"/>
        </w:rPr>
        <w:t>中标人放弃中标资格或因质疑、投诉被取消中标资格或不能履行合同的，本项目重新组织采购。</w:t>
      </w:r>
    </w:p>
    <w:p>
      <w:pPr>
        <w:pStyle w:val="36"/>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28.5采购合同由采购人与中标人根据招标文件、投标文件等内容的约定进行合同签订，并提交（代理机构或采购人）进行备案。</w:t>
      </w:r>
    </w:p>
    <w:p>
      <w:pPr>
        <w:pStyle w:val="7"/>
        <w:spacing w:line="500" w:lineRule="exact"/>
        <w:ind w:left="464" w:hanging="464" w:hangingChars="199"/>
        <w:rPr>
          <w:rFonts w:hAnsi="宋体"/>
          <w:b/>
          <w:sz w:val="24"/>
          <w:szCs w:val="24"/>
          <w:highlight w:val="none"/>
        </w:rPr>
      </w:pPr>
      <w:r>
        <w:rPr>
          <w:rFonts w:hint="eastAsia" w:hAnsi="宋体"/>
          <w:b/>
          <w:sz w:val="24"/>
          <w:szCs w:val="24"/>
          <w:highlight w:val="none"/>
        </w:rPr>
        <w:t>29.履约保证金</w:t>
      </w:r>
    </w:p>
    <w:p>
      <w:pPr>
        <w:pStyle w:val="36"/>
        <w:snapToGrid w:val="0"/>
        <w:spacing w:before="0" w:after="120" w:line="500" w:lineRule="exact"/>
        <w:ind w:firstLine="480"/>
        <w:rPr>
          <w:rFonts w:ascii="宋体" w:hAnsi="宋体" w:cs="宋体"/>
          <w:szCs w:val="24"/>
          <w:highlight w:val="none"/>
        </w:rPr>
      </w:pPr>
      <w:r>
        <w:rPr>
          <w:rFonts w:hint="eastAsia" w:ascii="宋体" w:hAnsi="宋体" w:cs="宋体"/>
          <w:szCs w:val="24"/>
          <w:highlight w:val="none"/>
        </w:rPr>
        <w:t>中标金额的1%；收到中标通知书之日起5个工作日内缴纳履约保证金，项目验收合格并经采购人认可后30日内无息退还履约保证金。履约保证金支付方式：转账形式。</w:t>
      </w:r>
    </w:p>
    <w:p>
      <w:pPr>
        <w:snapToGrid w:val="0"/>
        <w:spacing w:line="500" w:lineRule="exact"/>
        <w:ind w:firstLine="2937" w:firstLineChars="1045"/>
        <w:rPr>
          <w:rFonts w:ascii="宋体" w:hAnsi="宋体" w:cs="宋体"/>
          <w:b/>
          <w:sz w:val="28"/>
          <w:szCs w:val="28"/>
          <w:highlight w:val="none"/>
        </w:rPr>
      </w:pPr>
      <w:r>
        <w:rPr>
          <w:rFonts w:hint="eastAsia" w:ascii="宋体" w:hAnsi="宋体" w:cs="宋体"/>
          <w:b/>
          <w:sz w:val="28"/>
          <w:szCs w:val="28"/>
          <w:highlight w:val="none"/>
        </w:rPr>
        <w:t>八、电子交易活动的中止</w:t>
      </w:r>
    </w:p>
    <w:p>
      <w:pPr>
        <w:pStyle w:val="36"/>
        <w:snapToGrid w:val="0"/>
        <w:spacing w:before="0" w:line="500" w:lineRule="exact"/>
        <w:ind w:firstLine="0" w:firstLineChars="0"/>
        <w:rPr>
          <w:rFonts w:ascii="宋体" w:hAnsi="宋体" w:cs="宋体"/>
          <w:b/>
          <w:szCs w:val="24"/>
          <w:highlight w:val="none"/>
        </w:rPr>
      </w:pPr>
      <w:r>
        <w:rPr>
          <w:rFonts w:hint="eastAsia" w:ascii="宋体" w:hAnsi="宋体" w:cs="宋体"/>
          <w:b/>
          <w:bCs/>
          <w:szCs w:val="24"/>
          <w:highlight w:val="none"/>
        </w:rPr>
        <w:t>30</w:t>
      </w:r>
      <w:r>
        <w:rPr>
          <w:rFonts w:hint="eastAsia" w:ascii="宋体" w:hAnsi="宋体" w:cs="宋体"/>
          <w:b/>
          <w:szCs w:val="24"/>
          <w:highlight w:val="none"/>
        </w:rPr>
        <w:t>. 电子交易活动的中止。</w:t>
      </w:r>
    </w:p>
    <w:p>
      <w:pPr>
        <w:pStyle w:val="36"/>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pPr>
        <w:pStyle w:val="36"/>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30.1电子交易平台发生故障而无法登录访问的； </w:t>
      </w:r>
    </w:p>
    <w:p>
      <w:pPr>
        <w:pStyle w:val="36"/>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30.2电子交易平台应用或数据库出现错误，不能进行正常操作的；</w:t>
      </w:r>
    </w:p>
    <w:p>
      <w:pPr>
        <w:pStyle w:val="36"/>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30.3电子交易平台发现严重安全漏洞，有潜在泄密危险的；</w:t>
      </w:r>
    </w:p>
    <w:p>
      <w:pPr>
        <w:pStyle w:val="36"/>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 xml:space="preserve">30.4病毒发作导致不能进行正常操作的； </w:t>
      </w:r>
    </w:p>
    <w:p>
      <w:pPr>
        <w:pStyle w:val="36"/>
        <w:snapToGrid w:val="0"/>
        <w:spacing w:before="0" w:line="500" w:lineRule="exact"/>
        <w:ind w:firstLine="480"/>
        <w:rPr>
          <w:rFonts w:ascii="宋体" w:hAnsi="宋体" w:cs="宋体"/>
          <w:sz w:val="24"/>
          <w:szCs w:val="24"/>
          <w:highlight w:val="none"/>
        </w:rPr>
      </w:pPr>
      <w:r>
        <w:rPr>
          <w:rFonts w:hint="eastAsia" w:ascii="宋体" w:hAnsi="宋体" w:cs="宋体"/>
          <w:sz w:val="24"/>
          <w:szCs w:val="24"/>
          <w:highlight w:val="none"/>
        </w:rPr>
        <w:t>30.5其他无法保证电子交易的公平、公正和安全的情况。</w:t>
      </w:r>
    </w:p>
    <w:p>
      <w:pPr>
        <w:pStyle w:val="36"/>
        <w:snapToGrid w:val="0"/>
        <w:spacing w:before="0" w:line="500" w:lineRule="exact"/>
        <w:ind w:firstLine="480"/>
        <w:rPr>
          <w:rFonts w:hint="eastAsia" w:ascii="宋体" w:hAnsi="宋体" w:cs="宋体"/>
          <w:b/>
          <w:bCs/>
          <w:sz w:val="32"/>
          <w:szCs w:val="32"/>
          <w:highlight w:val="none"/>
        </w:rPr>
      </w:pPr>
      <w:r>
        <w:rPr>
          <w:rFonts w:hint="eastAsia" w:ascii="宋体" w:hAnsi="宋体" w:cs="宋体"/>
          <w:sz w:val="24"/>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bookmarkEnd w:id="23"/>
      <w:bookmarkEnd w:id="24"/>
      <w:bookmarkEnd w:id="36"/>
      <w:bookmarkStart w:id="39" w:name="_Toc10076"/>
      <w:bookmarkStart w:id="40" w:name="_Toc872"/>
      <w:bookmarkStart w:id="41" w:name="_Toc31687"/>
      <w:bookmarkStart w:id="42" w:name="_Toc12075"/>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p>
    <w:p>
      <w:pPr>
        <w:snapToGrid w:val="0"/>
        <w:spacing w:line="360" w:lineRule="auto"/>
        <w:jc w:val="center"/>
        <w:outlineLvl w:val="0"/>
        <w:rPr>
          <w:rFonts w:hint="eastAsia" w:ascii="宋体" w:hAnsi="宋体" w:cs="宋体"/>
          <w:b/>
          <w:bCs/>
          <w:sz w:val="32"/>
          <w:szCs w:val="32"/>
          <w:highlight w:val="none"/>
        </w:rPr>
      </w:pPr>
      <w:r>
        <w:rPr>
          <w:rFonts w:hint="eastAsia" w:ascii="宋体" w:hAnsi="宋体" w:cs="宋体"/>
          <w:b/>
          <w:bCs/>
          <w:sz w:val="32"/>
          <w:szCs w:val="32"/>
          <w:highlight w:val="none"/>
        </w:rPr>
        <w:br w:type="textWrapping"/>
      </w:r>
      <w:r>
        <w:rPr>
          <w:rFonts w:hint="eastAsia" w:ascii="宋体" w:hAnsi="宋体" w:cs="宋体"/>
          <w:b/>
          <w:bCs/>
          <w:sz w:val="32"/>
          <w:szCs w:val="32"/>
          <w:highlight w:val="none"/>
        </w:rPr>
        <w:br w:type="textWrapping"/>
      </w:r>
    </w:p>
    <w:p>
      <w:pPr>
        <w:snapToGrid w:val="0"/>
        <w:spacing w:line="360" w:lineRule="auto"/>
        <w:jc w:val="both"/>
        <w:outlineLvl w:val="0"/>
        <w:rPr>
          <w:rFonts w:hint="eastAsia" w:ascii="宋体" w:hAnsi="宋体" w:cs="宋体"/>
          <w:b/>
          <w:bCs/>
          <w:sz w:val="32"/>
          <w:szCs w:val="32"/>
          <w:highlight w:val="none"/>
        </w:rPr>
      </w:pPr>
    </w:p>
    <w:p>
      <w:pPr>
        <w:snapToGrid w:val="0"/>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 xml:space="preserve">第三章 </w:t>
      </w:r>
      <w:bookmarkEnd w:id="39"/>
      <w:r>
        <w:rPr>
          <w:rFonts w:hint="eastAsia" w:ascii="宋体" w:hAnsi="宋体" w:cs="宋体"/>
          <w:b/>
          <w:bCs/>
          <w:sz w:val="32"/>
          <w:szCs w:val="32"/>
          <w:highlight w:val="none"/>
        </w:rPr>
        <w:t>采购需求</w:t>
      </w:r>
      <w:bookmarkEnd w:id="40"/>
      <w:bookmarkEnd w:id="41"/>
      <w:bookmarkEnd w:id="42"/>
    </w:p>
    <w:p>
      <w:pPr>
        <w:spacing w:line="360" w:lineRule="auto"/>
        <w:ind w:firstLine="482" w:firstLineChars="200"/>
        <w:rPr>
          <w:rFonts w:ascii="宋体" w:hAnsi="宋体" w:eastAsia="宋体" w:cs="微软雅黑"/>
          <w:b/>
          <w:sz w:val="24"/>
          <w:szCs w:val="24"/>
        </w:rPr>
      </w:pPr>
      <w:bookmarkStart w:id="43" w:name="_Toc1067"/>
      <w:bookmarkStart w:id="44" w:name="_Toc13216"/>
      <w:r>
        <w:rPr>
          <w:rFonts w:hint="eastAsia" w:ascii="宋体" w:hAnsi="宋体" w:eastAsia="宋体" w:cs="微软雅黑"/>
          <w:b/>
          <w:sz w:val="24"/>
          <w:szCs w:val="24"/>
        </w:rPr>
        <w:t>一、项目概况</w:t>
      </w:r>
    </w:p>
    <w:p>
      <w:pPr>
        <w:spacing w:line="360" w:lineRule="auto"/>
        <w:ind w:firstLine="482" w:firstLineChars="200"/>
        <w:rPr>
          <w:rFonts w:ascii="宋体" w:hAnsi="宋体" w:eastAsia="宋体" w:cs="微软雅黑"/>
          <w:b/>
          <w:sz w:val="24"/>
          <w:szCs w:val="24"/>
        </w:rPr>
      </w:pPr>
      <w:r>
        <w:rPr>
          <w:rFonts w:ascii="宋体" w:hAnsi="宋体" w:eastAsia="宋体" w:cs="微软雅黑"/>
          <w:b/>
          <w:sz w:val="24"/>
          <w:szCs w:val="24"/>
        </w:rPr>
        <w:t>1</w:t>
      </w:r>
      <w:r>
        <w:rPr>
          <w:rFonts w:hint="eastAsia" w:ascii="宋体" w:hAnsi="宋体" w:eastAsia="宋体" w:cs="微软雅黑"/>
          <w:b/>
          <w:sz w:val="24"/>
          <w:szCs w:val="24"/>
        </w:rPr>
        <w:t>、项目名称：仙岩镇全域旅游及舜皇村核心区改造提升规划项目</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rPr>
        <w:t>2、项目地点：</w:t>
      </w:r>
      <w:r>
        <w:rPr>
          <w:rFonts w:hint="eastAsia" w:ascii="宋体" w:hAnsi="宋体" w:eastAsia="宋体" w:cs="微软雅黑"/>
          <w:sz w:val="24"/>
          <w:szCs w:val="24"/>
        </w:rPr>
        <w:t>嵊州市仙岩镇</w:t>
      </w:r>
    </w:p>
    <w:p>
      <w:pPr>
        <w:spacing w:line="360" w:lineRule="auto"/>
        <w:ind w:firstLine="482" w:firstLineChars="200"/>
        <w:rPr>
          <w:rFonts w:ascii="宋体" w:hAnsi="宋体" w:eastAsia="宋体" w:cs="微软雅黑"/>
          <w:b/>
          <w:sz w:val="24"/>
          <w:szCs w:val="24"/>
        </w:rPr>
      </w:pPr>
      <w:r>
        <w:rPr>
          <w:rFonts w:ascii="宋体" w:hAnsi="宋体" w:eastAsia="宋体" w:cs="微软雅黑"/>
          <w:b/>
          <w:bCs/>
          <w:sz w:val="24"/>
          <w:szCs w:val="24"/>
        </w:rPr>
        <w:t>3</w:t>
      </w:r>
      <w:r>
        <w:rPr>
          <w:rFonts w:hint="eastAsia" w:ascii="宋体" w:hAnsi="宋体" w:eastAsia="宋体" w:cs="微软雅黑"/>
          <w:b/>
          <w:bCs/>
          <w:sz w:val="24"/>
          <w:szCs w:val="24"/>
        </w:rPr>
        <w:t>、设计范围</w:t>
      </w:r>
      <w:r>
        <w:rPr>
          <w:rFonts w:hint="eastAsia" w:ascii="宋体" w:hAnsi="宋体" w:eastAsia="宋体" w:cs="微软雅黑"/>
          <w:b/>
          <w:sz w:val="24"/>
          <w:szCs w:val="24"/>
        </w:rPr>
        <w:t>：</w:t>
      </w:r>
    </w:p>
    <w:p>
      <w:pPr>
        <w:spacing w:line="360" w:lineRule="auto"/>
        <w:ind w:firstLine="480" w:firstLineChars="200"/>
        <w:rPr>
          <w:rFonts w:ascii="宋体" w:hAnsi="宋体" w:eastAsia="宋体" w:cs="微软雅黑"/>
          <w:bCs/>
          <w:sz w:val="24"/>
          <w:szCs w:val="24"/>
        </w:rPr>
      </w:pPr>
      <w:r>
        <w:rPr>
          <w:rFonts w:hint="eastAsia" w:ascii="宋体" w:hAnsi="宋体" w:eastAsia="宋体" w:cs="微软雅黑"/>
          <w:bCs/>
          <w:sz w:val="24"/>
          <w:szCs w:val="24"/>
        </w:rPr>
        <w:t>本项目研究范围包含三个层面</w:t>
      </w:r>
    </w:p>
    <w:p>
      <w:pPr>
        <w:spacing w:line="360" w:lineRule="auto"/>
        <w:ind w:firstLine="480" w:firstLineChars="200"/>
        <w:rPr>
          <w:rFonts w:ascii="宋体" w:hAnsi="宋体" w:eastAsia="宋体" w:cs="微软雅黑"/>
          <w:bCs/>
          <w:sz w:val="24"/>
          <w:szCs w:val="24"/>
        </w:rPr>
      </w:pPr>
      <w:r>
        <w:rPr>
          <w:rFonts w:hint="eastAsia" w:ascii="宋体" w:hAnsi="宋体" w:eastAsia="宋体" w:cs="微软雅黑"/>
          <w:bCs/>
          <w:sz w:val="24"/>
          <w:szCs w:val="24"/>
        </w:rPr>
        <w:t>（1）仙岩镇全域旅游体系范围：74.53平方公里，覆盖仙岩镇全域9个行政村。</w:t>
      </w:r>
    </w:p>
    <w:p>
      <w:pPr>
        <w:spacing w:line="360" w:lineRule="auto"/>
        <w:ind w:firstLine="480" w:firstLineChars="200"/>
        <w:rPr>
          <w:rFonts w:ascii="宋体" w:hAnsi="宋体" w:eastAsia="宋体" w:cs="微软雅黑"/>
          <w:bCs/>
          <w:sz w:val="24"/>
          <w:szCs w:val="24"/>
        </w:rPr>
      </w:pPr>
      <w:r>
        <w:rPr>
          <w:rFonts w:hint="eastAsia" w:ascii="宋体" w:hAnsi="宋体" w:eastAsia="宋体" w:cs="微软雅黑"/>
          <w:bCs/>
          <w:sz w:val="24"/>
          <w:szCs w:val="24"/>
        </w:rPr>
        <w:t>（</w:t>
      </w:r>
      <w:r>
        <w:rPr>
          <w:rFonts w:ascii="宋体" w:hAnsi="宋体" w:eastAsia="宋体" w:cs="微软雅黑"/>
          <w:bCs/>
          <w:sz w:val="24"/>
          <w:szCs w:val="24"/>
        </w:rPr>
        <w:t>2</w:t>
      </w:r>
      <w:r>
        <w:rPr>
          <w:rFonts w:hint="eastAsia" w:ascii="宋体" w:hAnsi="宋体" w:eastAsia="宋体" w:cs="微软雅黑"/>
          <w:bCs/>
          <w:sz w:val="24"/>
          <w:szCs w:val="24"/>
        </w:rPr>
        <w:t>）舜皇村周边范围区域提升总体研究范围（以下简称研究范围）：396.52公顷，涵盖舜皇山自然村其周边重要山水林田环境、梓树村和下王舍村及其周边可开展旅游服务的山水林田环境。</w:t>
      </w:r>
    </w:p>
    <w:p>
      <w:pPr>
        <w:spacing w:line="360" w:lineRule="auto"/>
        <w:ind w:firstLine="480" w:firstLineChars="200"/>
        <w:rPr>
          <w:rFonts w:hint="eastAsia" w:ascii="宋体" w:hAnsi="宋体" w:eastAsia="宋体" w:cs="微软雅黑"/>
          <w:bCs/>
          <w:sz w:val="24"/>
          <w:szCs w:val="24"/>
        </w:rPr>
      </w:pPr>
      <w:r>
        <w:rPr>
          <w:rFonts w:hint="eastAsia" w:ascii="宋体" w:hAnsi="宋体" w:eastAsia="宋体" w:cs="微软雅黑"/>
          <w:bCs/>
          <w:sz w:val="24"/>
          <w:szCs w:val="24"/>
        </w:rPr>
        <w:t>（</w:t>
      </w:r>
      <w:r>
        <w:rPr>
          <w:rFonts w:ascii="宋体" w:hAnsi="宋体" w:eastAsia="宋体" w:cs="微软雅黑"/>
          <w:bCs/>
          <w:sz w:val="24"/>
          <w:szCs w:val="24"/>
        </w:rPr>
        <w:t>3</w:t>
      </w:r>
      <w:r>
        <w:rPr>
          <w:rFonts w:hint="eastAsia" w:ascii="宋体" w:hAnsi="宋体" w:eastAsia="宋体" w:cs="微软雅黑"/>
          <w:bCs/>
          <w:sz w:val="24"/>
          <w:szCs w:val="24"/>
        </w:rPr>
        <w:t>）舜皇村核心区改造提升规划范围（以下简称核心范围）：32.33公顷，重点围绕舜皇山村居民聚集区、清风船闸项目部及其周边可开展旅游服务的山水林田环境。</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rPr>
        <w:t>二、规划依据</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1</w:t>
      </w:r>
      <w:r>
        <w:rPr>
          <w:rFonts w:hint="eastAsia" w:ascii="宋体" w:hAnsi="宋体" w:eastAsia="宋体" w:cs="微软雅黑"/>
          <w:sz w:val="24"/>
          <w:szCs w:val="24"/>
        </w:rPr>
        <w:t>、《中华人民共和国城乡规划法》（</w:t>
      </w:r>
      <w:r>
        <w:rPr>
          <w:rFonts w:ascii="宋体" w:hAnsi="宋体" w:eastAsia="宋体" w:cs="微软雅黑"/>
          <w:sz w:val="24"/>
          <w:szCs w:val="24"/>
        </w:rPr>
        <w:t>2019</w:t>
      </w:r>
      <w:r>
        <w:rPr>
          <w:rFonts w:hint="eastAsia" w:ascii="宋体" w:hAnsi="宋体" w:eastAsia="宋体" w:cs="微软雅黑"/>
          <w:sz w:val="24"/>
          <w:szCs w:val="24"/>
        </w:rPr>
        <w:t>年修订）</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2</w:t>
      </w:r>
      <w:r>
        <w:rPr>
          <w:rFonts w:hint="eastAsia" w:ascii="宋体" w:hAnsi="宋体" w:eastAsia="宋体" w:cs="微软雅黑"/>
          <w:sz w:val="24"/>
          <w:szCs w:val="24"/>
        </w:rPr>
        <w:t>、《国土空间规划城市设计指南》（TD/T 1065-2021）</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3</w:t>
      </w:r>
      <w:r>
        <w:rPr>
          <w:rFonts w:hint="eastAsia" w:ascii="宋体" w:hAnsi="宋体" w:eastAsia="宋体" w:cs="微软雅黑"/>
          <w:sz w:val="24"/>
          <w:szCs w:val="24"/>
        </w:rPr>
        <w:t>、《国土空间调查、规划、用途管制用地用海分类指南》（202</w:t>
      </w:r>
      <w:r>
        <w:rPr>
          <w:rFonts w:ascii="宋体" w:hAnsi="宋体" w:eastAsia="宋体" w:cs="微软雅黑"/>
          <w:sz w:val="24"/>
          <w:szCs w:val="24"/>
        </w:rPr>
        <w:t>3-11</w:t>
      </w:r>
      <w:r>
        <w:rPr>
          <w:rFonts w:hint="eastAsia" w:ascii="宋体" w:hAnsi="宋体" w:eastAsia="宋体" w:cs="微软雅黑"/>
          <w:sz w:val="24"/>
          <w:szCs w:val="24"/>
        </w:rPr>
        <w:t>）</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4</w:t>
      </w:r>
      <w:r>
        <w:rPr>
          <w:rFonts w:hint="eastAsia" w:ascii="宋体" w:hAnsi="宋体" w:eastAsia="宋体" w:cs="微软雅黑"/>
          <w:sz w:val="24"/>
          <w:szCs w:val="24"/>
        </w:rPr>
        <w:t>、《嵊州市国土空间规划管理技术规定》(嵊自然资规〔2022〕115号)</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5</w:t>
      </w:r>
      <w:r>
        <w:rPr>
          <w:rFonts w:hint="eastAsia" w:ascii="宋体" w:hAnsi="宋体" w:eastAsia="宋体" w:cs="微软雅黑"/>
          <w:sz w:val="24"/>
          <w:szCs w:val="24"/>
        </w:rPr>
        <w:t>、其他国家及地方相关政策、法律、规范、标准相应要求。</w:t>
      </w:r>
    </w:p>
    <w:p>
      <w:pPr>
        <w:spacing w:line="360" w:lineRule="auto"/>
        <w:ind w:firstLine="482" w:firstLineChars="200"/>
        <w:rPr>
          <w:rFonts w:ascii="宋体" w:hAnsi="宋体" w:eastAsia="宋体" w:cs="微软雅黑"/>
          <w:sz w:val="24"/>
          <w:szCs w:val="24"/>
        </w:rPr>
      </w:pPr>
      <w:r>
        <w:rPr>
          <w:rFonts w:hint="eastAsia" w:ascii="宋体" w:hAnsi="宋体" w:eastAsia="宋体" w:cs="微软雅黑"/>
          <w:b/>
          <w:sz w:val="24"/>
          <w:szCs w:val="24"/>
        </w:rPr>
        <w:t>三、项目内容</w:t>
      </w:r>
    </w:p>
    <w:p>
      <w:pPr>
        <w:spacing w:line="360" w:lineRule="auto"/>
        <w:ind w:firstLine="480" w:firstLineChars="200"/>
        <w:rPr>
          <w:rFonts w:ascii="宋体" w:hAnsi="Times New Roman" w:eastAsia="宋体" w:cs="微软雅黑"/>
          <w:sz w:val="24"/>
          <w:szCs w:val="24"/>
        </w:rPr>
      </w:pPr>
      <w:r>
        <w:rPr>
          <w:rFonts w:hint="eastAsia" w:ascii="宋体" w:hAnsi="Times New Roman" w:eastAsia="宋体" w:cs="微软雅黑"/>
          <w:sz w:val="24"/>
          <w:szCs w:val="24"/>
        </w:rPr>
        <w:t>1、在全域旅游体系层面，依据上位规划整体统筹，理清全域发展与资源情况，结合乡村振兴、全域旅游的发展目标，提出符合趋势与现状的全域提升策略，提供具有可操作性的实施路径。</w:t>
      </w:r>
    </w:p>
    <w:p>
      <w:pPr>
        <w:spacing w:line="360" w:lineRule="auto"/>
        <w:ind w:firstLine="480" w:firstLineChars="200"/>
        <w:rPr>
          <w:rFonts w:ascii="宋体" w:hAnsi="Times New Roman" w:eastAsia="宋体" w:cs="微软雅黑"/>
          <w:sz w:val="24"/>
          <w:szCs w:val="24"/>
        </w:rPr>
      </w:pPr>
      <w:r>
        <w:rPr>
          <w:rFonts w:hint="eastAsia" w:ascii="宋体" w:hAnsi="Times New Roman" w:eastAsia="宋体" w:cs="微软雅黑"/>
          <w:sz w:val="24"/>
          <w:szCs w:val="24"/>
        </w:rPr>
        <w:t>2、在舜皇村周边范围区域提升总体研究层面，首先明确各分区特色，梳理总体结构，对功能业态、公共配套、交通设施、生态景观、文旅服务、功能业态等方面开展系统化的规划设计。</w:t>
      </w:r>
    </w:p>
    <w:p>
      <w:pPr>
        <w:spacing w:line="360" w:lineRule="auto"/>
        <w:ind w:firstLine="480" w:firstLineChars="200"/>
        <w:rPr>
          <w:rFonts w:ascii="宋体" w:hAnsi="Times New Roman" w:eastAsia="宋体" w:cs="微软雅黑"/>
          <w:sz w:val="24"/>
          <w:szCs w:val="24"/>
        </w:rPr>
      </w:pPr>
      <w:r>
        <w:rPr>
          <w:rFonts w:hint="eastAsia" w:ascii="宋体" w:hAnsi="Times New Roman" w:eastAsia="宋体" w:cs="微软雅黑"/>
          <w:sz w:val="24"/>
          <w:szCs w:val="24"/>
        </w:rPr>
        <w:t>3、在舜皇村核心区改造提升规划层面，进一步梳理功能、交通、景观和风貌体系，对建筑风貌改造提升、重要空间节点打造等提供改造提升方案。</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rPr>
        <w:t>四、成果要求</w:t>
      </w:r>
      <w:r>
        <w:rPr>
          <w:rFonts w:ascii="宋体" w:hAnsi="宋体" w:eastAsia="宋体" w:cs="微软雅黑"/>
          <w:b/>
          <w:sz w:val="24"/>
          <w:szCs w:val="24"/>
        </w:rPr>
        <w:t xml:space="preserve"> </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rPr>
        <w:t>4</w:t>
      </w:r>
      <w:r>
        <w:rPr>
          <w:rFonts w:ascii="宋体" w:hAnsi="宋体" w:eastAsia="宋体" w:cs="微软雅黑"/>
          <w:b/>
          <w:sz w:val="24"/>
          <w:szCs w:val="24"/>
        </w:rPr>
        <w:t xml:space="preserve">.1 </w:t>
      </w:r>
      <w:r>
        <w:rPr>
          <w:rFonts w:hint="eastAsia" w:ascii="宋体" w:hAnsi="宋体" w:eastAsia="宋体" w:cs="微软雅黑"/>
          <w:b/>
          <w:sz w:val="24"/>
          <w:szCs w:val="24"/>
        </w:rPr>
        <w:t>成果内容</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主要设计图纸至少包括以下内容，可根据实际情况增加相应图纸。</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第一部分：规划背景</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1、项目缘起</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2、规划编制的必要性</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3、难点解读</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第二部分：定位研究</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1、政策指引</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2、上位规划</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3、片区特征识别</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4、目标定位总结</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第三部分：全域旅游</w:t>
      </w:r>
    </w:p>
    <w:p>
      <w:pPr>
        <w:spacing w:line="360" w:lineRule="auto"/>
        <w:ind w:left="580" w:leftChars="202" w:hanging="156" w:hangingChars="65"/>
        <w:rPr>
          <w:rFonts w:ascii="宋体" w:hAnsi="宋体" w:eastAsia="宋体" w:cs="微软雅黑"/>
          <w:sz w:val="24"/>
          <w:szCs w:val="24"/>
        </w:rPr>
      </w:pPr>
      <w:r>
        <w:rPr>
          <w:rFonts w:ascii="宋体" w:hAnsi="宋体" w:eastAsia="宋体" w:cs="微软雅黑"/>
          <w:sz w:val="24"/>
          <w:szCs w:val="24"/>
        </w:rPr>
        <w:t>1</w:t>
      </w:r>
      <w:r>
        <w:rPr>
          <w:rFonts w:hint="eastAsia" w:ascii="宋体" w:hAnsi="宋体" w:eastAsia="宋体" w:cs="微软雅黑"/>
          <w:sz w:val="24"/>
          <w:szCs w:val="24"/>
        </w:rPr>
        <w:t>、客源市场分析</w:t>
      </w:r>
    </w:p>
    <w:p>
      <w:pPr>
        <w:spacing w:line="360" w:lineRule="auto"/>
        <w:ind w:left="580" w:leftChars="202" w:hanging="156" w:hangingChars="65"/>
        <w:rPr>
          <w:rFonts w:ascii="宋体" w:hAnsi="宋体" w:eastAsia="宋体" w:cs="微软雅黑"/>
          <w:sz w:val="24"/>
          <w:szCs w:val="24"/>
        </w:rPr>
      </w:pPr>
      <w:r>
        <w:rPr>
          <w:rFonts w:ascii="宋体" w:hAnsi="宋体" w:eastAsia="宋体" w:cs="微软雅黑"/>
          <w:sz w:val="24"/>
          <w:szCs w:val="24"/>
        </w:rPr>
        <w:t>2</w:t>
      </w:r>
      <w:r>
        <w:rPr>
          <w:rFonts w:hint="eastAsia" w:ascii="宋体" w:hAnsi="宋体" w:eastAsia="宋体" w:cs="微软雅黑"/>
          <w:sz w:val="24"/>
          <w:szCs w:val="24"/>
        </w:rPr>
        <w:t>、策划理念与愿景</w:t>
      </w:r>
    </w:p>
    <w:p>
      <w:pPr>
        <w:spacing w:line="360" w:lineRule="auto"/>
        <w:ind w:left="580" w:leftChars="202" w:hanging="156" w:hangingChars="65"/>
        <w:rPr>
          <w:rFonts w:ascii="宋体" w:hAnsi="宋体" w:eastAsia="宋体" w:cs="微软雅黑"/>
          <w:sz w:val="24"/>
          <w:szCs w:val="24"/>
        </w:rPr>
      </w:pPr>
      <w:r>
        <w:rPr>
          <w:rFonts w:ascii="宋体" w:hAnsi="宋体" w:eastAsia="宋体" w:cs="微软雅黑"/>
          <w:sz w:val="24"/>
          <w:szCs w:val="24"/>
        </w:rPr>
        <w:t>3</w:t>
      </w:r>
      <w:r>
        <w:rPr>
          <w:rFonts w:hint="eastAsia" w:ascii="宋体" w:hAnsi="宋体" w:eastAsia="宋体" w:cs="微软雅黑"/>
          <w:sz w:val="24"/>
          <w:szCs w:val="24"/>
        </w:rPr>
        <w:t>、全域旅游体系规划（全域旅游交通、文旅、服务、产业等）</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4、舜皇村及周边区域提升（分区策划、功能业态体系、道路交通体系、生态景观体系、文化游线体系等</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第四部分：</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核心改造提升设计</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1、设计构思</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2、功能布局</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3、总平面图</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4、亮点策略</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5、板块设计</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6、风貌形象引导</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7、游线组织规划</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8、交通体系梳理</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9、慢行体系梳理</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10、重要节点设计</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第六部分：运营与投资</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1、投资运营模式</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2、分期策略</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3、项目清单</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4、投资估算</w:t>
      </w:r>
    </w:p>
    <w:p>
      <w:pPr>
        <w:spacing w:line="360" w:lineRule="auto"/>
        <w:ind w:left="580" w:leftChars="202" w:hanging="156" w:hangingChars="65"/>
        <w:rPr>
          <w:rFonts w:ascii="宋体" w:hAnsi="宋体" w:eastAsia="宋体" w:cs="微软雅黑"/>
          <w:sz w:val="24"/>
          <w:szCs w:val="24"/>
        </w:rPr>
      </w:pPr>
      <w:r>
        <w:rPr>
          <w:rFonts w:hint="eastAsia" w:ascii="宋体" w:hAnsi="宋体" w:eastAsia="宋体" w:cs="微软雅黑"/>
          <w:sz w:val="24"/>
          <w:szCs w:val="24"/>
        </w:rPr>
        <w:t>三维鸟瞰效果图和重要节点效果表现图</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rPr>
        <w:t>4</w:t>
      </w:r>
      <w:r>
        <w:rPr>
          <w:rFonts w:ascii="宋体" w:hAnsi="宋体" w:eastAsia="宋体" w:cs="微软雅黑"/>
          <w:b/>
          <w:sz w:val="24"/>
          <w:szCs w:val="24"/>
        </w:rPr>
        <w:t xml:space="preserve">.2 </w:t>
      </w:r>
      <w:r>
        <w:rPr>
          <w:rFonts w:hint="eastAsia" w:ascii="宋体" w:hAnsi="宋体" w:eastAsia="宋体" w:cs="微软雅黑"/>
          <w:b/>
          <w:sz w:val="24"/>
          <w:szCs w:val="24"/>
        </w:rPr>
        <w:t>成果规格与数量</w:t>
      </w:r>
    </w:p>
    <w:p>
      <w:pPr>
        <w:spacing w:line="360" w:lineRule="auto"/>
        <w:ind w:firstLine="480" w:firstLineChars="200"/>
        <w:rPr>
          <w:rFonts w:ascii="宋体" w:hAnsi="宋体" w:eastAsia="宋体" w:cs="微软雅黑"/>
          <w:sz w:val="24"/>
          <w:szCs w:val="24"/>
        </w:rPr>
      </w:pPr>
      <w:bookmarkStart w:id="45" w:name="OLE_LINK3"/>
      <w:bookmarkStart w:id="46" w:name="OLE_LINK4"/>
      <w:r>
        <w:rPr>
          <w:rFonts w:hint="eastAsia" w:ascii="宋体" w:hAnsi="宋体" w:eastAsia="宋体" w:cs="微软雅黑"/>
          <w:sz w:val="24"/>
          <w:szCs w:val="24"/>
        </w:rPr>
        <w:t>（1）</w:t>
      </w:r>
      <w:bookmarkEnd w:id="45"/>
      <w:bookmarkEnd w:id="46"/>
      <w:r>
        <w:rPr>
          <w:rFonts w:hint="eastAsia" w:ascii="宋体" w:hAnsi="宋体" w:eastAsia="宋体" w:cs="微软雅黑"/>
          <w:sz w:val="24"/>
          <w:szCs w:val="24"/>
        </w:rPr>
        <w:t>成果的构成</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成果包括综合报告（包括一切招标人认为需要提供的本项目成果内容）。内容必须清晰完整，符合规划设计要求。规划成果应完整、准确地阐述规划意图和内容，并得到相关部门的认可与批准。</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w:t>
      </w:r>
      <w:r>
        <w:rPr>
          <w:rFonts w:ascii="宋体" w:hAnsi="宋体" w:eastAsia="宋体" w:cs="微软雅黑"/>
          <w:sz w:val="24"/>
          <w:szCs w:val="24"/>
        </w:rPr>
        <w:t>2</w:t>
      </w:r>
      <w:r>
        <w:rPr>
          <w:rFonts w:hint="eastAsia" w:ascii="宋体" w:hAnsi="宋体" w:eastAsia="宋体" w:cs="微软雅黑"/>
          <w:sz w:val="24"/>
          <w:szCs w:val="24"/>
        </w:rPr>
        <w:t>）成果的形成</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1）研究报告：A3规格（297mm×420mm），不少于8本，无篇幅限制要求，采用双面精装；</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2）电子文件：以光盘形式提交，1份，含规划文本（PPT、DOC文件或可编辑的PDF文件）、CAD图纸（DWG文件）等。</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3）中间交流成果及评审材料数量根据招标人要求确定。</w:t>
      </w:r>
    </w:p>
    <w:p>
      <w:pPr>
        <w:pStyle w:val="63"/>
        <w:numPr>
          <w:ilvl w:val="255"/>
          <w:numId w:val="0"/>
        </w:numPr>
        <w:spacing w:line="360" w:lineRule="auto"/>
        <w:ind w:firstLine="241" w:firstLineChars="100"/>
        <w:rPr>
          <w:rFonts w:hint="eastAsia" w:ascii="宋体" w:hAnsi="宋体" w:cs="宋体"/>
          <w:b/>
          <w:kern w:val="0"/>
          <w:sz w:val="24"/>
          <w:szCs w:val="24"/>
        </w:rPr>
      </w:pPr>
      <w:r>
        <w:rPr>
          <w:rFonts w:hint="eastAsia" w:ascii="宋体" w:hAnsi="宋体" w:cs="宋体"/>
          <w:b/>
          <w:kern w:val="0"/>
          <w:sz w:val="24"/>
          <w:szCs w:val="24"/>
        </w:rPr>
        <w:t>五、项目实施期限要求</w:t>
      </w:r>
    </w:p>
    <w:p>
      <w:pPr>
        <w:spacing w:line="460" w:lineRule="exact"/>
        <w:ind w:firstLine="42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（1）第一阶段：初稿阶段，合同生效后20个工作日内，进行现场初步踏勘并完成规划设计初步方案，进行方案汇报。</w:t>
      </w:r>
    </w:p>
    <w:p>
      <w:pPr>
        <w:spacing w:line="460" w:lineRule="exact"/>
        <w:ind w:firstLine="42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（2）第二阶段：修改阶段，根据甲方修改意见，乙方于40个工作日内完成深化修改成果并提交甲方。</w:t>
      </w:r>
    </w:p>
    <w:p>
      <w:pPr>
        <w:spacing w:line="460" w:lineRule="exact"/>
        <w:ind w:firstLine="42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（3）第三阶段：成果阶段，根据甲方最终意见，乙方于40个工作日内完成规划设计最终成果并提交甲方。</w:t>
      </w:r>
    </w:p>
    <w:p>
      <w:pPr>
        <w:spacing w:line="460" w:lineRule="exact"/>
        <w:ind w:firstLine="42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以上时间安排不包括甲乙双方方案的讨论、评议会议及等待甲方回复意见的时间，具体时间以甲方要求为准。</w:t>
      </w:r>
    </w:p>
    <w:p>
      <w:pPr>
        <w:keepNext/>
        <w:keepLines/>
        <w:tabs>
          <w:tab w:val="left" w:pos="432"/>
        </w:tabs>
        <w:spacing w:before="80" w:after="80" w:line="460" w:lineRule="exact"/>
        <w:ind w:left="438" w:leftChars="88" w:hanging="253" w:hangingChars="105"/>
        <w:outlineLvl w:val="1"/>
        <w:rPr>
          <w:rFonts w:ascii="宋体" w:hAnsi="Times New Roman" w:eastAsia="宋体" w:cs="宋体"/>
          <w:b/>
          <w:kern w:val="0"/>
          <w:sz w:val="24"/>
          <w:szCs w:val="24"/>
        </w:rPr>
      </w:pPr>
      <w:r>
        <w:rPr>
          <w:rFonts w:hint="eastAsia" w:ascii="宋体" w:hAnsi="宋体" w:eastAsia="宋体" w:cs="宋体"/>
          <w:b/>
          <w:kern w:val="0"/>
          <w:sz w:val="24"/>
          <w:szCs w:val="24"/>
        </w:rPr>
        <w:t>六、实施单位要求</w:t>
      </w:r>
    </w:p>
    <w:p>
      <w:pPr>
        <w:spacing w:line="460" w:lineRule="exact"/>
        <w:ind w:firstLine="420"/>
        <w:rPr>
          <w:rFonts w:ascii="宋体" w:hAnsi="Times New Roman" w:eastAsia="宋体" w:cs="宋体"/>
          <w:sz w:val="24"/>
          <w:szCs w:val="24"/>
          <w:lang w:val="zh-TW" w:eastAsia="zh-TW"/>
        </w:rPr>
      </w:pPr>
      <w:bookmarkStart w:id="47" w:name="bookmark15"/>
      <w:r>
        <w:rPr>
          <w:rFonts w:ascii="宋体" w:hAnsi="宋体" w:eastAsia="宋体" w:cs="宋体"/>
          <w:sz w:val="24"/>
          <w:szCs w:val="24"/>
          <w:lang w:val="zh-TW" w:eastAsia="zh-TW"/>
        </w:rPr>
        <w:t>1</w:t>
      </w:r>
      <w:bookmarkEnd w:id="47"/>
      <w:r>
        <w:rPr>
          <w:rFonts w:hint="eastAsia" w:ascii="宋体" w:hAnsi="宋体" w:eastAsia="宋体" w:cs="宋体"/>
          <w:sz w:val="24"/>
          <w:szCs w:val="24"/>
          <w:lang w:val="zh-TW" w:eastAsia="zh-TW"/>
        </w:rPr>
        <w:t>、</w:t>
      </w:r>
      <w:r>
        <w:rPr>
          <w:rFonts w:ascii="宋体" w:hAnsi="Times New Roman" w:eastAsia="宋体" w:cs="宋体"/>
          <w:sz w:val="24"/>
          <w:szCs w:val="24"/>
          <w:lang w:val="zh-TW" w:eastAsia="zh-TW"/>
        </w:rPr>
        <w:tab/>
      </w:r>
      <w:r>
        <w:rPr>
          <w:rFonts w:hint="eastAsia" w:ascii="宋体" w:hAnsi="宋体" w:eastAsia="宋体" w:cs="宋体"/>
          <w:sz w:val="24"/>
          <w:szCs w:val="24"/>
          <w:lang w:val="zh-TW" w:eastAsia="zh-TW"/>
        </w:rPr>
        <w:t>项目团队：项目负责人须经验丰富，项目组成员具备较高的专业素质。</w:t>
      </w:r>
    </w:p>
    <w:p>
      <w:pPr>
        <w:spacing w:line="460" w:lineRule="exact"/>
        <w:ind w:firstLine="420"/>
        <w:rPr>
          <w:rFonts w:ascii="宋体" w:hAnsi="Times New Roman" w:eastAsia="宋体" w:cs="宋体"/>
          <w:sz w:val="24"/>
          <w:szCs w:val="24"/>
          <w:lang w:val="zh-TW" w:eastAsia="zh-TW"/>
        </w:rPr>
      </w:pPr>
      <w:bookmarkStart w:id="48" w:name="bookmark16"/>
      <w:r>
        <w:rPr>
          <w:rFonts w:ascii="宋体" w:hAnsi="宋体" w:eastAsia="宋体" w:cs="宋体"/>
          <w:sz w:val="24"/>
          <w:szCs w:val="24"/>
          <w:lang w:val="zh-TW" w:eastAsia="zh-TW"/>
        </w:rPr>
        <w:t>2</w:t>
      </w:r>
      <w:bookmarkEnd w:id="48"/>
      <w:r>
        <w:rPr>
          <w:rFonts w:hint="eastAsia" w:ascii="宋体" w:hAnsi="宋体" w:eastAsia="宋体" w:cs="宋体"/>
          <w:sz w:val="24"/>
          <w:szCs w:val="24"/>
          <w:lang w:val="zh-TW" w:eastAsia="zh-TW"/>
        </w:rPr>
        <w:t>、</w:t>
      </w:r>
      <w:r>
        <w:rPr>
          <w:rFonts w:ascii="宋体" w:hAnsi="Times New Roman" w:eastAsia="宋体" w:cs="宋体"/>
          <w:sz w:val="24"/>
          <w:szCs w:val="24"/>
          <w:lang w:val="zh-TW" w:eastAsia="zh-TW"/>
        </w:rPr>
        <w:tab/>
      </w:r>
      <w:r>
        <w:rPr>
          <w:rFonts w:hint="eastAsia" w:ascii="宋体" w:hAnsi="宋体" w:eastAsia="宋体" w:cs="宋体"/>
          <w:sz w:val="24"/>
          <w:szCs w:val="24"/>
          <w:lang w:val="zh-TW" w:eastAsia="zh-TW"/>
        </w:rPr>
        <w:t>实施单位：</w:t>
      </w:r>
      <w:r>
        <w:rPr>
          <w:rFonts w:hint="eastAsia" w:ascii="宋体" w:hAnsi="宋体" w:eastAsia="宋体" w:cs="宋体"/>
          <w:sz w:val="24"/>
          <w:szCs w:val="24"/>
        </w:rPr>
        <w:t>有</w:t>
      </w:r>
      <w:r>
        <w:rPr>
          <w:rFonts w:hint="eastAsia" w:ascii="宋体" w:hAnsi="宋体" w:eastAsia="宋体" w:cs="宋体"/>
          <w:sz w:val="24"/>
          <w:szCs w:val="24"/>
          <w:lang w:val="zh-TW" w:eastAsia="zh-TW"/>
        </w:rPr>
        <w:t>类似项目实施经验，工作成果优秀</w:t>
      </w:r>
      <w:r>
        <w:rPr>
          <w:rFonts w:hint="eastAsia" w:ascii="宋体" w:hAnsi="宋体" w:eastAsia="宋体" w:cs="宋体"/>
          <w:sz w:val="24"/>
          <w:szCs w:val="24"/>
          <w:lang w:val="zh-TW"/>
        </w:rPr>
        <w:t>、</w:t>
      </w:r>
      <w:r>
        <w:rPr>
          <w:rFonts w:hint="eastAsia" w:ascii="宋体" w:hAnsi="宋体" w:eastAsia="宋体" w:cs="宋体"/>
          <w:sz w:val="24"/>
          <w:szCs w:val="24"/>
        </w:rPr>
        <w:t>具有相关资质</w:t>
      </w:r>
      <w:r>
        <w:rPr>
          <w:rFonts w:hint="eastAsia" w:ascii="宋体" w:hAnsi="宋体" w:eastAsia="宋体" w:cs="宋体"/>
          <w:sz w:val="24"/>
          <w:szCs w:val="24"/>
          <w:lang w:val="zh-TW" w:eastAsia="zh-TW"/>
        </w:rPr>
        <w:t>。</w:t>
      </w:r>
    </w:p>
    <w:p>
      <w:pPr>
        <w:keepNext/>
        <w:keepLines/>
        <w:tabs>
          <w:tab w:val="left" w:pos="432"/>
        </w:tabs>
        <w:spacing w:before="80" w:after="80" w:line="460" w:lineRule="exact"/>
        <w:ind w:left="438" w:leftChars="88" w:hanging="253" w:hangingChars="105"/>
        <w:outlineLvl w:val="1"/>
        <w:rPr>
          <w:rFonts w:ascii="宋体" w:hAnsi="Times New Roman" w:eastAsia="宋体" w:cs="宋体"/>
          <w:b/>
          <w:kern w:val="0"/>
          <w:sz w:val="24"/>
          <w:szCs w:val="24"/>
        </w:rPr>
      </w:pPr>
      <w:r>
        <w:rPr>
          <w:rFonts w:hint="eastAsia" w:ascii="宋体" w:hAnsi="宋体" w:eastAsia="宋体" w:cs="宋体"/>
          <w:b/>
          <w:kern w:val="0"/>
          <w:sz w:val="24"/>
          <w:szCs w:val="24"/>
        </w:rPr>
        <w:t>七、服务要求</w:t>
      </w:r>
    </w:p>
    <w:p>
      <w:pPr>
        <w:spacing w:line="460" w:lineRule="exact"/>
        <w:ind w:firstLine="420"/>
        <w:rPr>
          <w:rFonts w:ascii="宋体" w:hAnsi="Times New Roman" w:eastAsia="宋体" w:cs="宋体"/>
          <w:sz w:val="24"/>
          <w:szCs w:val="24"/>
          <w:lang w:val="zh-TW" w:eastAsia="zh-TW"/>
        </w:rPr>
      </w:pPr>
      <w:bookmarkStart w:id="49" w:name="bookmark18"/>
      <w:r>
        <w:rPr>
          <w:rFonts w:ascii="宋体" w:hAnsi="宋体" w:eastAsia="宋体" w:cs="宋体"/>
          <w:sz w:val="24"/>
          <w:szCs w:val="24"/>
          <w:lang w:val="zh-TW" w:eastAsia="zh-TW"/>
        </w:rPr>
        <w:t>1</w:t>
      </w:r>
      <w:bookmarkEnd w:id="49"/>
      <w:r>
        <w:rPr>
          <w:rFonts w:hint="eastAsia" w:ascii="宋体" w:hAnsi="宋体" w:eastAsia="宋体" w:cs="宋体"/>
          <w:sz w:val="24"/>
          <w:szCs w:val="24"/>
          <w:lang w:val="zh-TW" w:eastAsia="zh-TW"/>
        </w:rPr>
        <w:t>、</w:t>
      </w:r>
      <w:r>
        <w:rPr>
          <w:rFonts w:ascii="宋体" w:hAnsi="Times New Roman" w:eastAsia="宋体" w:cs="宋体"/>
          <w:sz w:val="24"/>
          <w:szCs w:val="24"/>
          <w:lang w:val="zh-TW" w:eastAsia="zh-TW"/>
        </w:rPr>
        <w:tab/>
      </w:r>
      <w:r>
        <w:rPr>
          <w:rFonts w:hint="eastAsia" w:ascii="宋体" w:hAnsi="宋体" w:eastAsia="宋体" w:cs="宋体"/>
          <w:sz w:val="24"/>
          <w:szCs w:val="24"/>
          <w:lang w:val="zh-TW" w:eastAsia="zh-TW"/>
        </w:rPr>
        <w:t>对项目背景、现状、目标、任务、内容进行全面理解分析，拟定科学的研究技术路线，分析研究重点、难点并提出解决对策和建议。</w:t>
      </w:r>
    </w:p>
    <w:p>
      <w:pPr>
        <w:spacing w:line="460" w:lineRule="exact"/>
        <w:ind w:firstLine="420"/>
        <w:rPr>
          <w:rFonts w:ascii="宋体" w:hAnsi="Times New Roman" w:eastAsia="宋体" w:cs="宋体"/>
          <w:sz w:val="24"/>
          <w:szCs w:val="24"/>
          <w:lang w:val="zh-TW" w:eastAsia="zh-TW"/>
        </w:rPr>
      </w:pPr>
      <w:bookmarkStart w:id="50" w:name="bookmark19"/>
      <w:r>
        <w:rPr>
          <w:rFonts w:ascii="宋体" w:hAnsi="宋体" w:eastAsia="宋体" w:cs="宋体"/>
          <w:sz w:val="24"/>
          <w:szCs w:val="24"/>
          <w:lang w:val="zh-TW" w:eastAsia="zh-TW"/>
        </w:rPr>
        <w:t>2</w:t>
      </w:r>
      <w:bookmarkEnd w:id="50"/>
      <w:r>
        <w:rPr>
          <w:rFonts w:hint="eastAsia" w:ascii="宋体" w:hAnsi="宋体" w:eastAsia="宋体" w:cs="宋体"/>
          <w:sz w:val="24"/>
          <w:szCs w:val="24"/>
          <w:lang w:val="zh-TW" w:eastAsia="zh-TW"/>
        </w:rPr>
        <w:t>、</w:t>
      </w:r>
      <w:r>
        <w:rPr>
          <w:rFonts w:ascii="宋体" w:hAnsi="Times New Roman" w:eastAsia="宋体" w:cs="宋体"/>
          <w:sz w:val="24"/>
          <w:szCs w:val="24"/>
          <w:lang w:val="zh-TW" w:eastAsia="zh-TW"/>
        </w:rPr>
        <w:tab/>
      </w:r>
      <w:r>
        <w:rPr>
          <w:rFonts w:hint="eastAsia" w:ascii="宋体" w:hAnsi="宋体" w:eastAsia="宋体" w:cs="宋体"/>
          <w:sz w:val="24"/>
          <w:szCs w:val="24"/>
          <w:lang w:val="zh-TW" w:eastAsia="zh-TW"/>
        </w:rPr>
        <w:t>提供优质的质量保证服务及后期服务。</w:t>
      </w:r>
    </w:p>
    <w:p>
      <w:pPr>
        <w:spacing w:line="460" w:lineRule="exact"/>
        <w:ind w:firstLine="420"/>
        <w:rPr>
          <w:rFonts w:ascii="宋体" w:hAnsi="Times New Roman" w:eastAsia="宋体" w:cs="宋体"/>
          <w:sz w:val="24"/>
          <w:szCs w:val="24"/>
          <w:lang w:val="zh-TW" w:eastAsia="zh-TW"/>
        </w:rPr>
      </w:pPr>
      <w:bookmarkStart w:id="51" w:name="bookmark20"/>
      <w:r>
        <w:rPr>
          <w:rFonts w:ascii="宋体" w:hAnsi="宋体" w:eastAsia="宋体" w:cs="宋体"/>
          <w:sz w:val="24"/>
          <w:szCs w:val="24"/>
          <w:lang w:val="zh-TW" w:eastAsia="zh-TW"/>
        </w:rPr>
        <w:t>3</w:t>
      </w:r>
      <w:bookmarkEnd w:id="51"/>
      <w:r>
        <w:rPr>
          <w:rFonts w:hint="eastAsia" w:ascii="宋体" w:hAnsi="宋体" w:eastAsia="宋体" w:cs="宋体"/>
          <w:sz w:val="24"/>
          <w:szCs w:val="24"/>
          <w:lang w:val="zh-TW" w:eastAsia="zh-TW"/>
        </w:rPr>
        <w:t>、</w:t>
      </w:r>
      <w:r>
        <w:rPr>
          <w:rFonts w:ascii="宋体" w:hAnsi="Times New Roman" w:eastAsia="宋体" w:cs="宋体"/>
          <w:sz w:val="24"/>
          <w:szCs w:val="24"/>
          <w:lang w:val="zh-TW" w:eastAsia="zh-TW"/>
        </w:rPr>
        <w:tab/>
      </w:r>
      <w:r>
        <w:rPr>
          <w:rFonts w:hint="eastAsia" w:ascii="宋体" w:hAnsi="宋体" w:eastAsia="宋体" w:cs="宋体"/>
          <w:sz w:val="24"/>
          <w:szCs w:val="24"/>
          <w:lang w:val="zh-TW" w:eastAsia="zh-TW"/>
        </w:rPr>
        <w:t>工作计划安排科学合理。</w:t>
      </w:r>
    </w:p>
    <w:p>
      <w:pPr>
        <w:keepNext/>
        <w:keepLines/>
        <w:tabs>
          <w:tab w:val="left" w:pos="432"/>
        </w:tabs>
        <w:spacing w:before="80" w:after="80" w:line="460" w:lineRule="exact"/>
        <w:ind w:left="438" w:leftChars="88" w:hanging="253" w:hangingChars="105"/>
        <w:outlineLvl w:val="1"/>
        <w:rPr>
          <w:rFonts w:hint="eastAsia" w:ascii="宋体" w:hAnsi="宋体" w:eastAsia="宋体" w:cs="宋体"/>
          <w:b/>
          <w:kern w:val="0"/>
          <w:sz w:val="24"/>
          <w:szCs w:val="24"/>
        </w:rPr>
      </w:pPr>
      <w:r>
        <w:rPr>
          <w:rFonts w:hint="eastAsia" w:ascii="宋体" w:hAnsi="宋体" w:eastAsia="宋体" w:cs="宋体"/>
          <w:b/>
          <w:kern w:val="0"/>
          <w:sz w:val="24"/>
          <w:szCs w:val="24"/>
        </w:rPr>
        <w:t>八、支付方式</w:t>
      </w:r>
    </w:p>
    <w:p>
      <w:pPr>
        <w:spacing w:line="460" w:lineRule="exact"/>
        <w:ind w:firstLine="480" w:firstLineChars="200"/>
        <w:rPr>
          <w:rFonts w:hint="eastAsia" w:ascii="宋体" w:hAnsi="宋体" w:eastAsia="宋体" w:cs="宋体"/>
          <w:sz w:val="24"/>
          <w:szCs w:val="24"/>
          <w:lang w:val="zh-TW" w:eastAsia="zh-TW"/>
        </w:rPr>
      </w:pPr>
      <w:r>
        <w:rPr>
          <w:rFonts w:hint="eastAsia" w:ascii="宋体" w:hAnsi="宋体" w:cs="宋体"/>
          <w:sz w:val="24"/>
          <w:szCs w:val="24"/>
          <w:lang w:val="en-US" w:eastAsia="zh-CN"/>
        </w:rPr>
        <w:t>1、</w:t>
      </w:r>
      <w:r>
        <w:rPr>
          <w:rFonts w:hint="eastAsia" w:ascii="宋体" w:hAnsi="宋体" w:eastAsia="宋体" w:cs="宋体"/>
          <w:sz w:val="24"/>
          <w:szCs w:val="24"/>
          <w:lang w:val="zh-TW" w:eastAsia="zh-TW"/>
        </w:rPr>
        <w:t>合同签订后7个工作日内，甲方支付给乙方合同金额的</w:t>
      </w:r>
      <w:r>
        <w:rPr>
          <w:rFonts w:hint="eastAsia" w:ascii="宋体" w:hAnsi="宋体" w:cs="宋体"/>
          <w:sz w:val="24"/>
          <w:szCs w:val="24"/>
          <w:lang w:val="en-US" w:eastAsia="zh-CN"/>
        </w:rPr>
        <w:t>1</w:t>
      </w:r>
      <w:r>
        <w:rPr>
          <w:rFonts w:hint="eastAsia" w:ascii="宋体" w:hAnsi="宋体" w:eastAsia="宋体" w:cs="宋体"/>
          <w:sz w:val="24"/>
          <w:szCs w:val="24"/>
          <w:lang w:val="zh-TW" w:eastAsia="zh-TW"/>
        </w:rPr>
        <w:t>0％。</w:t>
      </w:r>
    </w:p>
    <w:p>
      <w:pPr>
        <w:spacing w:line="460" w:lineRule="exact"/>
        <w:ind w:firstLine="480" w:firstLineChars="200"/>
        <w:rPr>
          <w:rFonts w:hint="eastAsia" w:ascii="宋体" w:hAnsi="宋体" w:eastAsia="宋体" w:cs="宋体"/>
          <w:sz w:val="24"/>
          <w:szCs w:val="24"/>
          <w:lang w:val="zh-TW" w:eastAsia="zh-TW"/>
        </w:rPr>
      </w:pPr>
      <w:r>
        <w:rPr>
          <w:rFonts w:hint="eastAsia" w:ascii="宋体" w:hAnsi="宋体" w:cs="宋体"/>
          <w:sz w:val="24"/>
          <w:szCs w:val="24"/>
          <w:lang w:val="en-US" w:eastAsia="zh-CN"/>
        </w:rPr>
        <w:t>2、</w:t>
      </w:r>
      <w:r>
        <w:rPr>
          <w:rFonts w:hint="eastAsia" w:ascii="宋体" w:hAnsi="宋体" w:eastAsia="宋体" w:cs="宋体"/>
          <w:sz w:val="24"/>
          <w:szCs w:val="24"/>
          <w:lang w:val="zh-TW" w:eastAsia="zh-TW"/>
        </w:rPr>
        <w:t>项目成果方案通过甲方部门审查通过后7个工作日内，甲方支付给乙方合同金额的</w:t>
      </w:r>
      <w:r>
        <w:rPr>
          <w:rFonts w:hint="eastAsia" w:ascii="宋体" w:hAnsi="宋体" w:cs="宋体"/>
          <w:sz w:val="24"/>
          <w:szCs w:val="24"/>
          <w:lang w:val="en-US" w:eastAsia="zh-CN"/>
        </w:rPr>
        <w:t>50</w:t>
      </w:r>
      <w:r>
        <w:rPr>
          <w:rFonts w:hint="eastAsia" w:ascii="宋体" w:hAnsi="宋体" w:eastAsia="宋体" w:cs="宋体"/>
          <w:sz w:val="24"/>
          <w:szCs w:val="24"/>
          <w:lang w:val="zh-TW" w:eastAsia="zh-TW"/>
        </w:rPr>
        <w:t>％。</w:t>
      </w:r>
    </w:p>
    <w:p>
      <w:pPr>
        <w:spacing w:line="460" w:lineRule="exact"/>
        <w:ind w:firstLine="480" w:firstLineChars="200"/>
        <w:rPr>
          <w:rFonts w:hint="eastAsia" w:ascii="宋体" w:hAnsi="宋体" w:eastAsia="宋体" w:cs="宋体"/>
          <w:sz w:val="24"/>
          <w:szCs w:val="24"/>
          <w:lang w:val="zh-TW" w:eastAsia="zh-TW"/>
        </w:rPr>
      </w:pPr>
      <w:r>
        <w:rPr>
          <w:rFonts w:hint="eastAsia" w:ascii="宋体" w:hAnsi="宋体" w:cs="宋体"/>
          <w:sz w:val="24"/>
          <w:szCs w:val="24"/>
          <w:lang w:val="en-US" w:eastAsia="zh-CN"/>
        </w:rPr>
        <w:t>3、</w:t>
      </w:r>
      <w:r>
        <w:rPr>
          <w:rFonts w:hint="eastAsia" w:ascii="宋体" w:hAnsi="宋体" w:eastAsia="宋体" w:cs="宋体"/>
          <w:sz w:val="24"/>
          <w:szCs w:val="24"/>
          <w:lang w:val="zh-TW" w:eastAsia="zh-TW"/>
        </w:rPr>
        <w:t>项目根据甲方意见修改后，提供最终成果</w:t>
      </w:r>
      <w:r>
        <w:rPr>
          <w:rFonts w:hint="eastAsia" w:ascii="宋体" w:hAnsi="宋体" w:cs="宋体"/>
          <w:sz w:val="24"/>
          <w:szCs w:val="24"/>
          <w:lang w:val="zh-TW" w:eastAsia="zh-CN"/>
        </w:rPr>
        <w:t>。项目完成招标</w:t>
      </w:r>
      <w:r>
        <w:rPr>
          <w:rFonts w:hint="eastAsia" w:ascii="宋体" w:hAnsi="宋体" w:eastAsia="宋体" w:cs="宋体"/>
          <w:sz w:val="24"/>
          <w:szCs w:val="24"/>
          <w:lang w:val="zh-TW" w:eastAsia="zh-TW"/>
        </w:rPr>
        <w:t>后7个工作日内，甲方支付给乙方合同金额的</w:t>
      </w:r>
      <w:r>
        <w:rPr>
          <w:rFonts w:hint="eastAsia" w:ascii="宋体" w:hAnsi="宋体" w:cs="宋体"/>
          <w:sz w:val="24"/>
          <w:szCs w:val="24"/>
          <w:lang w:val="en-US" w:eastAsia="zh-CN"/>
        </w:rPr>
        <w:t>3</w:t>
      </w:r>
      <w:r>
        <w:rPr>
          <w:rFonts w:hint="eastAsia" w:ascii="宋体" w:hAnsi="宋体" w:eastAsia="宋体" w:cs="宋体"/>
          <w:sz w:val="24"/>
          <w:szCs w:val="24"/>
          <w:lang w:val="zh-TW" w:eastAsia="zh-TW"/>
        </w:rPr>
        <w:t>0％。</w:t>
      </w:r>
    </w:p>
    <w:p>
      <w:pPr>
        <w:pStyle w:val="2"/>
        <w:ind w:firstLine="480" w:firstLineChars="200"/>
        <w:rPr>
          <w:rFonts w:hint="default" w:eastAsia="宋体"/>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无任何问题一年后支付剩余</w:t>
      </w:r>
      <w:r>
        <w:rPr>
          <w:rFonts w:hint="eastAsia" w:ascii="宋体" w:hAnsi="宋体" w:eastAsia="宋体" w:cs="宋体"/>
          <w:sz w:val="24"/>
          <w:szCs w:val="24"/>
          <w:lang w:val="en-US" w:eastAsia="zh-CN"/>
        </w:rPr>
        <w:t>10%。</w:t>
      </w:r>
    </w:p>
    <w:p>
      <w:pPr>
        <w:numPr>
          <w:ilvl w:val="0"/>
          <w:numId w:val="0"/>
        </w:numPr>
        <w:spacing w:line="500" w:lineRule="exact"/>
        <w:ind w:firstLine="480" w:firstLineChars="200"/>
        <w:jc w:val="left"/>
      </w:pPr>
      <w:r>
        <w:rPr>
          <w:rFonts w:hint="eastAsia" w:ascii="宋体" w:hAnsi="宋体" w:cs="宋体"/>
          <w:sz w:val="24"/>
          <w:highlight w:val="none"/>
        </w:rPr>
        <w:t>甲乙双方可根据项目的进度情况，分别办理付款申请、款项支付事项。</w:t>
      </w:r>
    </w:p>
    <w:p>
      <w:pPr>
        <w:keepNext/>
        <w:keepLines/>
        <w:tabs>
          <w:tab w:val="left" w:pos="432"/>
        </w:tabs>
        <w:spacing w:before="80" w:after="80" w:line="460" w:lineRule="exact"/>
        <w:ind w:left="438" w:leftChars="88" w:hanging="253" w:hangingChars="105"/>
        <w:outlineLvl w:val="1"/>
        <w:rPr>
          <w:rFonts w:ascii="宋体" w:hAnsi="Times New Roman" w:eastAsia="宋体" w:cs="宋体"/>
          <w:b/>
          <w:kern w:val="0"/>
          <w:sz w:val="24"/>
          <w:szCs w:val="24"/>
        </w:rPr>
      </w:pPr>
      <w:bookmarkStart w:id="52" w:name="bookmark22"/>
      <w:r>
        <w:rPr>
          <w:rFonts w:hint="eastAsia" w:ascii="宋体" w:hAnsi="宋体" w:cs="宋体"/>
          <w:b/>
          <w:kern w:val="0"/>
          <w:sz w:val="24"/>
          <w:szCs w:val="24"/>
          <w:lang w:eastAsia="zh-CN"/>
        </w:rPr>
        <w:t>九</w:t>
      </w:r>
      <w:r>
        <w:rPr>
          <w:rFonts w:hint="eastAsia" w:ascii="宋体" w:hAnsi="宋体" w:eastAsia="宋体" w:cs="宋体"/>
          <w:b/>
          <w:kern w:val="0"/>
          <w:sz w:val="24"/>
          <w:szCs w:val="24"/>
        </w:rPr>
        <w:t>、验收标准</w:t>
      </w:r>
    </w:p>
    <w:bookmarkEnd w:id="52"/>
    <w:p>
      <w:pPr>
        <w:spacing w:line="460" w:lineRule="exact"/>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中间成果和最终成果经甲方或者甲方组织的会议审查验收通过。</w:t>
      </w:r>
    </w:p>
    <w:p>
      <w:pPr>
        <w:pStyle w:val="2"/>
        <w:rPr>
          <w:rFonts w:hint="eastAsia" w:ascii="宋体" w:hAnsi="宋体" w:cs="宋体"/>
          <w:b/>
          <w:kern w:val="1"/>
          <w:sz w:val="32"/>
          <w:szCs w:val="32"/>
          <w:highlight w:val="none"/>
        </w:rPr>
      </w:pPr>
      <w:r>
        <w:rPr>
          <w:rFonts w:ascii="宋体" w:hAnsi="宋体" w:eastAsia="宋体" w:cs="微软雅黑"/>
          <w:bCs/>
          <w:sz w:val="24"/>
          <w:szCs w:val="24"/>
        </w:rPr>
        <w:drawing>
          <wp:inline distT="0" distB="0" distL="0" distR="0">
            <wp:extent cx="3341370" cy="3933825"/>
            <wp:effectExtent l="0" t="0" r="11430" b="9525"/>
            <wp:docPr id="2" name="图片 2" descr="C:\Users\Administrator\Documents\Tencent Files\278642649\FileRecv\仙岩范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78642649\FileRecv\仙岩范围.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41370" cy="3933825"/>
                    </a:xfrm>
                    <a:prstGeom prst="rect">
                      <a:avLst/>
                    </a:prstGeom>
                    <a:noFill/>
                    <a:ln>
                      <a:noFill/>
                    </a:ln>
                  </pic:spPr>
                </pic:pic>
              </a:graphicData>
            </a:graphic>
          </wp:inline>
        </w:drawing>
      </w:r>
    </w:p>
    <w:p>
      <w:pPr>
        <w:spacing w:line="360" w:lineRule="auto"/>
        <w:jc w:val="both"/>
        <w:outlineLvl w:val="0"/>
        <w:rPr>
          <w:rFonts w:hint="eastAsia" w:ascii="宋体" w:hAnsi="宋体" w:cs="宋体"/>
          <w:b/>
          <w:kern w:val="1"/>
          <w:sz w:val="32"/>
          <w:szCs w:val="32"/>
          <w:highlight w:val="none"/>
        </w:rPr>
      </w:pPr>
    </w:p>
    <w:p>
      <w:pPr>
        <w:spacing w:line="360" w:lineRule="auto"/>
        <w:ind w:firstLine="3213" w:firstLineChars="1000"/>
        <w:jc w:val="both"/>
        <w:outlineLvl w:val="0"/>
        <w:rPr>
          <w:rFonts w:ascii="宋体" w:hAnsi="宋体" w:cs="宋体"/>
          <w:b/>
          <w:kern w:val="1"/>
          <w:sz w:val="24"/>
          <w:highlight w:val="none"/>
        </w:rPr>
      </w:pPr>
      <w:r>
        <w:rPr>
          <w:rFonts w:hint="eastAsia" w:ascii="宋体" w:hAnsi="宋体" w:cs="宋体"/>
          <w:b/>
          <w:kern w:val="1"/>
          <w:sz w:val="32"/>
          <w:szCs w:val="32"/>
          <w:highlight w:val="none"/>
        </w:rPr>
        <w:t>第四章 评标办法</w:t>
      </w:r>
      <w:bookmarkEnd w:id="43"/>
      <w:bookmarkEnd w:id="44"/>
    </w:p>
    <w:p>
      <w:pPr>
        <w:spacing w:line="360" w:lineRule="auto"/>
        <w:outlineLvl w:val="1"/>
        <w:rPr>
          <w:rFonts w:ascii="宋体" w:hAnsi="宋体" w:cs="宋体"/>
          <w:b/>
          <w:sz w:val="24"/>
          <w:highlight w:val="none"/>
        </w:rPr>
      </w:pPr>
      <w:bookmarkStart w:id="53" w:name="_Toc24743"/>
      <w:r>
        <w:rPr>
          <w:rFonts w:hint="eastAsia" w:ascii="宋体" w:hAnsi="宋体" w:cs="宋体"/>
          <w:b/>
          <w:sz w:val="24"/>
          <w:highlight w:val="none"/>
        </w:rPr>
        <w:t>一、评标办法及标准</w:t>
      </w:r>
    </w:p>
    <w:p>
      <w:pPr>
        <w:spacing w:line="440" w:lineRule="exact"/>
        <w:jc w:val="left"/>
        <w:rPr>
          <w:rFonts w:ascii="宋体" w:hAnsi="宋体" w:cs="宋体"/>
          <w:b/>
          <w:sz w:val="24"/>
          <w:highlight w:val="none"/>
        </w:rPr>
      </w:pPr>
      <w:r>
        <w:rPr>
          <w:rFonts w:hint="eastAsia" w:ascii="宋体" w:hAnsi="宋体" w:cs="宋体"/>
          <w:b/>
          <w:sz w:val="24"/>
          <w:highlight w:val="none"/>
        </w:rPr>
        <w:t>1、评标方法：</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numPr>
          <w:ilvl w:val="0"/>
          <w:numId w:val="0"/>
        </w:numPr>
        <w:spacing w:line="440" w:lineRule="exact"/>
        <w:jc w:val="left"/>
      </w:pPr>
      <w:r>
        <w:rPr>
          <w:rFonts w:hint="eastAsia" w:ascii="宋体" w:hAnsi="宋体" w:cs="宋体"/>
          <w:b/>
          <w:sz w:val="24"/>
          <w:szCs w:val="24"/>
          <w:highlight w:val="none"/>
          <w:lang w:val="en-US" w:eastAsia="zh-CN"/>
        </w:rPr>
        <w:t>2</w:t>
      </w:r>
      <w:r>
        <w:rPr>
          <w:rFonts w:hint="eastAsia" w:ascii="宋体" w:hAnsi="宋体" w:cs="宋体"/>
          <w:b/>
          <w:sz w:val="24"/>
          <w:highlight w:val="none"/>
        </w:rPr>
        <w:t>、</w:t>
      </w:r>
      <w:r>
        <w:rPr>
          <w:rFonts w:hint="eastAsia" w:ascii="宋体" w:hAnsi="宋体" w:cs="宋体"/>
          <w:b/>
          <w:sz w:val="24"/>
          <w:szCs w:val="24"/>
          <w:highlight w:val="none"/>
        </w:rPr>
        <w:t>评分标准：</w:t>
      </w:r>
      <w:r>
        <w:rPr>
          <w:rFonts w:hint="eastAsia" w:ascii="宋体" w:hAnsi="宋体" w:eastAsia="宋体" w:cs="宋体"/>
          <w:bCs/>
          <w:sz w:val="24"/>
          <w:szCs w:val="24"/>
          <w:highlight w:val="none"/>
        </w:rPr>
        <w:t>共100分，其中资信技术分</w:t>
      </w:r>
      <w:r>
        <w:rPr>
          <w:rFonts w:hint="eastAsia" w:ascii="宋体" w:hAnsi="宋体" w:cs="宋体"/>
          <w:bCs/>
          <w:sz w:val="24"/>
          <w:szCs w:val="24"/>
          <w:highlight w:val="none"/>
          <w:lang w:val="en-US" w:eastAsia="zh-CN"/>
        </w:rPr>
        <w:t>80</w:t>
      </w:r>
      <w:r>
        <w:rPr>
          <w:rFonts w:hint="eastAsia" w:ascii="宋体" w:hAnsi="宋体" w:eastAsia="宋体" w:cs="宋体"/>
          <w:bCs/>
          <w:sz w:val="24"/>
          <w:szCs w:val="24"/>
          <w:highlight w:val="none"/>
        </w:rPr>
        <w:t>分，价格分</w:t>
      </w:r>
      <w:r>
        <w:rPr>
          <w:rFonts w:hint="eastAsia" w:ascii="宋体" w:hAnsi="宋体" w:cs="宋体"/>
          <w:bCs/>
          <w:sz w:val="24"/>
          <w:szCs w:val="24"/>
          <w:highlight w:val="none"/>
          <w:lang w:val="en-US" w:eastAsia="zh-CN"/>
        </w:rPr>
        <w:t>20</w:t>
      </w:r>
      <w:r>
        <w:rPr>
          <w:rFonts w:hint="eastAsia" w:ascii="宋体" w:hAnsi="宋体" w:eastAsia="宋体" w:cs="宋体"/>
          <w:bCs/>
          <w:sz w:val="24"/>
          <w:szCs w:val="24"/>
          <w:highlight w:val="none"/>
        </w:rPr>
        <w:t>分。评分依下述所列为评标评分依据，分值如下（计算分值时，按其算术平均值保留小数2位）。</w:t>
      </w:r>
    </w:p>
    <w:p>
      <w:pPr>
        <w:numPr>
          <w:ilvl w:val="0"/>
          <w:numId w:val="8"/>
        </w:numPr>
        <w:spacing w:line="440" w:lineRule="exact"/>
        <w:ind w:left="420" w:leftChars="0" w:firstLineChars="0"/>
        <w:rPr>
          <w:rFonts w:hint="eastAsia" w:ascii="宋体" w:hAnsi="宋体" w:eastAsia="宋体" w:cs="宋体"/>
          <w:b/>
          <w:sz w:val="24"/>
          <w:highlight w:val="none"/>
          <w:lang w:val="en-US" w:eastAsia="zh-CN"/>
        </w:rPr>
      </w:pPr>
      <w:r>
        <w:rPr>
          <w:rFonts w:hint="eastAsia" w:ascii="宋体" w:hAnsi="宋体" w:eastAsia="宋体" w:cs="宋体"/>
          <w:b/>
          <w:sz w:val="24"/>
          <w:highlight w:val="none"/>
        </w:rPr>
        <w:t>评分细则</w:t>
      </w:r>
      <w:bookmarkEnd w:id="53"/>
      <w:r>
        <w:rPr>
          <w:rFonts w:hint="eastAsia" w:ascii="宋体" w:hAnsi="宋体" w:eastAsia="宋体" w:cs="宋体"/>
          <w:b/>
          <w:sz w:val="24"/>
          <w:highlight w:val="none"/>
          <w:lang w:val="en-US" w:eastAsia="zh-CN"/>
        </w:rPr>
        <w:t xml:space="preserve">  </w:t>
      </w:r>
    </w:p>
    <w:p>
      <w:pPr>
        <w:numPr>
          <w:ilvl w:val="0"/>
          <w:numId w:val="0"/>
        </w:numPr>
        <w:spacing w:line="440" w:lineRule="exact"/>
        <w:jc w:val="left"/>
        <w:rPr>
          <w:rFonts w:hint="default" w:ascii="宋体" w:hAnsi="宋体" w:eastAsia="宋体" w:cs="宋体"/>
          <w:bCs w:val="0"/>
          <w:kern w:val="1"/>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技术</w:t>
      </w:r>
      <w:r>
        <w:rPr>
          <w:rFonts w:hint="eastAsia" w:ascii="宋体" w:hAnsi="宋体" w:eastAsia="宋体" w:cs="宋体"/>
          <w:bCs/>
          <w:sz w:val="24"/>
          <w:szCs w:val="24"/>
          <w:highlight w:val="none"/>
          <w:lang w:eastAsia="zh-CN"/>
        </w:rPr>
        <w:t>及</w:t>
      </w:r>
      <w:r>
        <w:rPr>
          <w:rFonts w:hint="eastAsia" w:ascii="宋体" w:hAnsi="宋体" w:eastAsia="宋体" w:cs="宋体"/>
          <w:bCs/>
          <w:sz w:val="24"/>
          <w:szCs w:val="24"/>
          <w:highlight w:val="none"/>
        </w:rPr>
        <w:t>资信分</w:t>
      </w:r>
      <w:r>
        <w:rPr>
          <w:rFonts w:hint="eastAsia" w:ascii="宋体" w:hAnsi="宋体" w:cs="宋体"/>
          <w:bCs/>
          <w:sz w:val="24"/>
          <w:szCs w:val="24"/>
          <w:highlight w:val="none"/>
          <w:lang w:val="en-US" w:eastAsia="zh-CN"/>
        </w:rPr>
        <w:t>80</w:t>
      </w:r>
      <w:r>
        <w:rPr>
          <w:rFonts w:hint="eastAsia" w:ascii="宋体" w:hAnsi="宋体" w:eastAsia="宋体" w:cs="宋体"/>
          <w:bCs/>
          <w:sz w:val="24"/>
          <w:szCs w:val="24"/>
          <w:highlight w:val="none"/>
        </w:rPr>
        <w:t>分。</w:t>
      </w:r>
    </w:p>
    <w:p>
      <w:pPr>
        <w:spacing w:line="440" w:lineRule="exact"/>
        <w:rPr>
          <w:rFonts w:hint="eastAsia" w:ascii="宋体" w:hAnsi="宋体" w:cs="宋体"/>
          <w:b/>
          <w:bCs/>
          <w:iCs/>
          <w:sz w:val="24"/>
          <w:highlight w:val="none"/>
          <w:lang w:val="en-US" w:eastAsia="zh-CN"/>
        </w:rPr>
      </w:pPr>
      <w:bookmarkStart w:id="54" w:name="_Toc2033"/>
      <w:bookmarkStart w:id="55" w:name="_Toc3938"/>
    </w:p>
    <w:tbl>
      <w:tblPr>
        <w:tblStyle w:val="27"/>
        <w:tblW w:w="979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03"/>
        <w:gridCol w:w="1070"/>
        <w:gridCol w:w="7095"/>
        <w:gridCol w:w="10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86" w:hRule="atLeast"/>
          <w:jc w:val="center"/>
        </w:trPr>
        <w:tc>
          <w:tcPr>
            <w:tcW w:w="603" w:type="dxa"/>
            <w:vAlign w:val="center"/>
          </w:tcPr>
          <w:p>
            <w:pPr>
              <w:spacing w:line="500" w:lineRule="exact"/>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序号</w:t>
            </w:r>
          </w:p>
        </w:tc>
        <w:tc>
          <w:tcPr>
            <w:tcW w:w="1070"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评分项目</w:t>
            </w:r>
          </w:p>
        </w:tc>
        <w:tc>
          <w:tcPr>
            <w:tcW w:w="7095" w:type="dxa"/>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评审内容</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234" w:hRule="atLeast"/>
          <w:jc w:val="center"/>
        </w:trPr>
        <w:tc>
          <w:tcPr>
            <w:tcW w:w="603" w:type="dxa"/>
            <w:tcBorders>
              <w:top w:val="single" w:color="auto" w:sz="4" w:space="0"/>
              <w:bottom w:val="single" w:color="auto" w:sz="4" w:space="0"/>
            </w:tcBorders>
            <w:vAlign w:val="center"/>
          </w:tcPr>
          <w:p>
            <w:pPr>
              <w:spacing w:line="50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1070" w:type="dxa"/>
            <w:tcBorders>
              <w:top w:val="single" w:color="auto" w:sz="4" w:space="0"/>
              <w:bottom w:val="single" w:color="auto" w:sz="4" w:space="0"/>
            </w:tcBorders>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人员配置</w:t>
            </w:r>
          </w:p>
        </w:tc>
        <w:tc>
          <w:tcPr>
            <w:tcW w:w="7095" w:type="dxa"/>
            <w:tcBorders>
              <w:top w:val="single" w:color="auto" w:sz="4" w:space="0"/>
              <w:bottom w:val="single" w:color="auto" w:sz="4" w:space="0"/>
            </w:tcBorders>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1.项目负责人：具有注册城乡规划师执业资格证书或者国家一级注册建筑师证书的得2分；</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2.项目组成人员：项目组中除项目负责人外，其他成员中具有国家注册城乡规划师或城市规划专业高级工程师职称的，每人得1分，最高得 3 分。</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注：须提供相关项目负责人和组成人员证书6个月内为其缴纳社保证明材料的复印件并加盖CA章。以上人员证书不重复计分；</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03" w:type="dxa"/>
            <w:tcBorders>
              <w:top w:val="single" w:color="auto" w:sz="4" w:space="0"/>
            </w:tcBorders>
            <w:vAlign w:val="center"/>
          </w:tcPr>
          <w:p>
            <w:pPr>
              <w:spacing w:line="50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p>
        </w:tc>
        <w:tc>
          <w:tcPr>
            <w:tcW w:w="1070" w:type="dxa"/>
            <w:tcBorders>
              <w:top w:val="single" w:color="auto" w:sz="4" w:space="0"/>
            </w:tcBorders>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业绩</w:t>
            </w:r>
          </w:p>
        </w:tc>
        <w:tc>
          <w:tcPr>
            <w:tcW w:w="7095" w:type="dxa"/>
            <w:tcBorders>
              <w:top w:val="single" w:color="auto" w:sz="4" w:space="0"/>
            </w:tcBorders>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供应商提供自202</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年1月1日以来（以合同签订时间为准）的同类业绩，每提供1份得1分，最多得2分。</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注：须提供合同扫描件、中标通知书扫描件加盖CA章，缺一不可。</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03" w:type="dxa"/>
            <w:tcBorders>
              <w:top w:val="single" w:color="auto" w:sz="4" w:space="0"/>
            </w:tcBorders>
            <w:vAlign w:val="center"/>
          </w:tcPr>
          <w:p>
            <w:pPr>
              <w:spacing w:line="500" w:lineRule="exact"/>
              <w:jc w:val="center"/>
              <w:rPr>
                <w:rFonts w:hint="eastAsia" w:ascii="宋体" w:hAnsi="宋体" w:eastAsia="宋体" w:cs="宋体"/>
                <w:bCs/>
                <w:kern w:val="2"/>
                <w:sz w:val="24"/>
                <w:szCs w:val="24"/>
                <w:highlight w:val="none"/>
                <w:lang w:val="en-US" w:eastAsia="zh-CN" w:bidi="ar-SA"/>
              </w:rPr>
            </w:pPr>
            <w:r>
              <w:rPr>
                <w:rFonts w:hint="eastAsia" w:ascii="宋体" w:hAnsi="宋体" w:cs="宋体"/>
                <w:bCs/>
                <w:sz w:val="24"/>
                <w:szCs w:val="24"/>
                <w:highlight w:val="none"/>
                <w:lang w:val="en-US" w:eastAsia="zh-CN"/>
              </w:rPr>
              <w:t>3</w:t>
            </w:r>
          </w:p>
        </w:tc>
        <w:tc>
          <w:tcPr>
            <w:tcW w:w="1070" w:type="dxa"/>
            <w:tcBorders>
              <w:top w:val="single" w:color="auto" w:sz="4" w:space="0"/>
            </w:tcBorders>
            <w:vAlign w:val="center"/>
          </w:tcPr>
          <w:p>
            <w:pPr>
              <w:spacing w:line="500" w:lineRule="exact"/>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企业实力</w:t>
            </w:r>
          </w:p>
        </w:tc>
        <w:tc>
          <w:tcPr>
            <w:tcW w:w="7095" w:type="dxa"/>
            <w:tcBorders>
              <w:top w:val="single" w:color="auto" w:sz="4" w:space="0"/>
            </w:tcBorders>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根据投标供应商的企业信誉、技术力量、用户认可度等进行综合打分。</w:t>
            </w:r>
          </w:p>
        </w:tc>
        <w:tc>
          <w:tcPr>
            <w:tcW w:w="1024" w:type="dxa"/>
            <w:vAlign w:val="center"/>
          </w:tcPr>
          <w:p>
            <w:pPr>
              <w:spacing w:line="500" w:lineRule="exact"/>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552" w:hRule="atLeast"/>
          <w:jc w:val="center"/>
        </w:trPr>
        <w:tc>
          <w:tcPr>
            <w:tcW w:w="603" w:type="dxa"/>
            <w:vMerge w:val="restart"/>
            <w:vAlign w:val="center"/>
          </w:tcPr>
          <w:p>
            <w:pPr>
              <w:spacing w:line="50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w:t>
            </w:r>
          </w:p>
        </w:tc>
        <w:tc>
          <w:tcPr>
            <w:tcW w:w="1070" w:type="dxa"/>
            <w:vMerge w:val="restart"/>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实施方案</w:t>
            </w:r>
          </w:p>
        </w:tc>
        <w:tc>
          <w:tcPr>
            <w:tcW w:w="7095" w:type="dxa"/>
            <w:tcBorders>
              <w:bottom w:val="single" w:color="auto" w:sz="4" w:space="0"/>
            </w:tcBorders>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根据供应商提供的分析研究判断，项目总体、项目特点等产业研究定位，项目特点</w:t>
            </w:r>
            <w:r>
              <w:rPr>
                <w:rFonts w:hint="eastAsia" w:ascii="宋体" w:hAnsi="宋体" w:cs="宋体"/>
                <w:bCs/>
                <w:sz w:val="24"/>
                <w:szCs w:val="24"/>
                <w:highlight w:val="none"/>
                <w:lang w:eastAsia="zh-CN"/>
              </w:rPr>
              <w:t>是否</w:t>
            </w:r>
            <w:r>
              <w:rPr>
                <w:rFonts w:hint="eastAsia" w:ascii="宋体" w:hAnsi="宋体" w:eastAsia="宋体" w:cs="宋体"/>
                <w:bCs/>
                <w:sz w:val="24"/>
                <w:szCs w:val="24"/>
                <w:highlight w:val="none"/>
              </w:rPr>
              <w:t>分析深入情，</w:t>
            </w:r>
            <w:r>
              <w:rPr>
                <w:rFonts w:hint="eastAsia" w:ascii="宋体" w:hAnsi="宋体" w:cs="宋体"/>
                <w:bCs/>
                <w:sz w:val="24"/>
                <w:szCs w:val="24"/>
                <w:highlight w:val="none"/>
                <w:lang w:eastAsia="zh-CN"/>
              </w:rPr>
              <w:t>是否</w:t>
            </w:r>
            <w:r>
              <w:rPr>
                <w:rFonts w:hint="eastAsia" w:ascii="宋体" w:hAnsi="宋体" w:eastAsia="宋体" w:cs="宋体"/>
                <w:bCs/>
                <w:sz w:val="24"/>
                <w:szCs w:val="24"/>
                <w:highlight w:val="none"/>
              </w:rPr>
              <w:t>分析准确进行综合打分。</w:t>
            </w:r>
          </w:p>
        </w:tc>
        <w:tc>
          <w:tcPr>
            <w:tcW w:w="1024" w:type="dxa"/>
            <w:tcBorders>
              <w:bottom w:val="single" w:color="auto" w:sz="4" w:space="0"/>
            </w:tcBorders>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533" w:hRule="atLeast"/>
          <w:jc w:val="center"/>
        </w:trPr>
        <w:tc>
          <w:tcPr>
            <w:tcW w:w="603" w:type="dxa"/>
            <w:vMerge w:val="continue"/>
            <w:tcBorders/>
            <w:vAlign w:val="center"/>
          </w:tcPr>
          <w:p>
            <w:pPr>
              <w:spacing w:line="500" w:lineRule="exact"/>
              <w:jc w:val="center"/>
              <w:rPr>
                <w:rFonts w:hint="eastAsia" w:ascii="宋体" w:hAnsi="宋体" w:eastAsia="宋体" w:cs="宋体"/>
                <w:bCs/>
                <w:sz w:val="24"/>
                <w:szCs w:val="24"/>
                <w:highlight w:val="none"/>
                <w:lang w:val="en-US" w:eastAsia="zh-CN"/>
              </w:rPr>
            </w:pPr>
          </w:p>
        </w:tc>
        <w:tc>
          <w:tcPr>
            <w:tcW w:w="1070" w:type="dxa"/>
            <w:vMerge w:val="continue"/>
            <w:vAlign w:val="center"/>
          </w:tcPr>
          <w:p>
            <w:pPr>
              <w:spacing w:line="500" w:lineRule="exact"/>
              <w:ind w:firstLine="480" w:firstLineChars="200"/>
              <w:jc w:val="center"/>
              <w:rPr>
                <w:rFonts w:hint="eastAsia" w:ascii="宋体" w:hAnsi="宋体" w:eastAsia="宋体" w:cs="宋体"/>
                <w:bCs/>
                <w:sz w:val="24"/>
                <w:szCs w:val="24"/>
                <w:highlight w:val="none"/>
              </w:rPr>
            </w:pPr>
          </w:p>
        </w:tc>
        <w:tc>
          <w:tcPr>
            <w:tcW w:w="7095" w:type="dxa"/>
            <w:tcBorders>
              <w:top w:val="single" w:color="auto" w:sz="4" w:space="0"/>
            </w:tcBorders>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根据本项目概况，结合嵊州市仙岩镇舜皇村的发展背景分析、建设条件理解程度进行综合打分。</w:t>
            </w:r>
          </w:p>
        </w:tc>
        <w:tc>
          <w:tcPr>
            <w:tcW w:w="1024" w:type="dxa"/>
            <w:tcBorders>
              <w:top w:val="single" w:color="auto" w:sz="4" w:space="0"/>
            </w:tcBorders>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646" w:hRule="atLeast"/>
          <w:jc w:val="center"/>
        </w:trPr>
        <w:tc>
          <w:tcPr>
            <w:tcW w:w="603" w:type="dxa"/>
            <w:vMerge w:val="continue"/>
            <w:tcBorders/>
            <w:vAlign w:val="center"/>
          </w:tcPr>
          <w:p>
            <w:pPr>
              <w:spacing w:line="500" w:lineRule="exact"/>
              <w:jc w:val="center"/>
              <w:rPr>
                <w:rFonts w:hint="eastAsia" w:ascii="宋体" w:hAnsi="宋体" w:eastAsia="宋体" w:cs="宋体"/>
                <w:bCs/>
                <w:sz w:val="24"/>
                <w:szCs w:val="24"/>
                <w:highlight w:val="none"/>
                <w:lang w:val="en-US" w:eastAsia="zh-CN"/>
              </w:rPr>
            </w:pPr>
          </w:p>
        </w:tc>
        <w:tc>
          <w:tcPr>
            <w:tcW w:w="1070" w:type="dxa"/>
            <w:vMerge w:val="continue"/>
            <w:vAlign w:val="center"/>
          </w:tcPr>
          <w:p>
            <w:pPr>
              <w:spacing w:line="500" w:lineRule="exact"/>
              <w:ind w:firstLine="480" w:firstLineChars="200"/>
              <w:jc w:val="center"/>
              <w:rPr>
                <w:rFonts w:hint="eastAsia" w:ascii="宋体" w:hAnsi="宋体" w:eastAsia="宋体" w:cs="宋体"/>
                <w:bCs/>
                <w:sz w:val="24"/>
                <w:szCs w:val="24"/>
                <w:highlight w:val="none"/>
              </w:rPr>
            </w:pPr>
          </w:p>
        </w:tc>
        <w:tc>
          <w:tcPr>
            <w:tcW w:w="7095" w:type="dxa"/>
            <w:tcBorders>
              <w:top w:val="single" w:color="auto" w:sz="4" w:space="0"/>
            </w:tcBorders>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根据供应商的设计思路、设计理念</w:t>
            </w:r>
            <w:r>
              <w:rPr>
                <w:rFonts w:hint="eastAsia" w:ascii="宋体" w:hAnsi="宋体" w:cs="宋体"/>
                <w:bCs/>
                <w:sz w:val="24"/>
                <w:szCs w:val="24"/>
                <w:highlight w:val="none"/>
                <w:lang w:eastAsia="zh-CN"/>
              </w:rPr>
              <w:t>是否</w:t>
            </w:r>
            <w:r>
              <w:rPr>
                <w:rFonts w:hint="eastAsia" w:ascii="宋体" w:hAnsi="宋体" w:eastAsia="宋体" w:cs="宋体"/>
                <w:bCs/>
                <w:sz w:val="24"/>
                <w:szCs w:val="24"/>
                <w:highlight w:val="none"/>
              </w:rPr>
              <w:t>符合嵊州市仙岩镇舜皇村特色、理解度的深刻性、有效且符合本项目</w:t>
            </w:r>
            <w:r>
              <w:rPr>
                <w:rFonts w:hint="eastAsia" w:ascii="宋体" w:hAnsi="宋体" w:cs="宋体"/>
                <w:bCs/>
                <w:sz w:val="24"/>
                <w:szCs w:val="24"/>
                <w:highlight w:val="none"/>
                <w:lang w:eastAsia="zh-CN"/>
              </w:rPr>
              <w:t>的</w:t>
            </w:r>
            <w:r>
              <w:rPr>
                <w:rFonts w:hint="eastAsia" w:ascii="宋体" w:hAnsi="宋体" w:eastAsia="宋体" w:cs="宋体"/>
                <w:bCs/>
                <w:sz w:val="24"/>
                <w:szCs w:val="24"/>
                <w:highlight w:val="none"/>
              </w:rPr>
              <w:t>特征进行综合打分。</w:t>
            </w:r>
          </w:p>
        </w:tc>
        <w:tc>
          <w:tcPr>
            <w:tcW w:w="1024" w:type="dxa"/>
            <w:tcBorders>
              <w:top w:val="single" w:color="auto" w:sz="4" w:space="0"/>
            </w:tcBorders>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03" w:type="dxa"/>
            <w:vMerge w:val="continue"/>
            <w:tcBorders/>
            <w:vAlign w:val="center"/>
          </w:tcPr>
          <w:p>
            <w:pPr>
              <w:spacing w:line="500" w:lineRule="exact"/>
              <w:jc w:val="center"/>
              <w:rPr>
                <w:rFonts w:hint="eastAsia" w:ascii="宋体" w:hAnsi="宋体" w:eastAsia="宋体" w:cs="宋体"/>
                <w:bCs/>
                <w:sz w:val="24"/>
                <w:szCs w:val="24"/>
                <w:highlight w:val="none"/>
                <w:lang w:val="en-US" w:eastAsia="zh-CN"/>
              </w:rPr>
            </w:pPr>
          </w:p>
        </w:tc>
        <w:tc>
          <w:tcPr>
            <w:tcW w:w="1070" w:type="dxa"/>
            <w:vMerge w:val="continue"/>
            <w:vAlign w:val="center"/>
          </w:tcPr>
          <w:p>
            <w:pPr>
              <w:spacing w:line="500" w:lineRule="exact"/>
              <w:ind w:firstLine="480" w:firstLineChars="200"/>
              <w:jc w:val="center"/>
              <w:rPr>
                <w:rFonts w:hint="eastAsia" w:ascii="宋体" w:hAnsi="宋体" w:eastAsia="宋体" w:cs="宋体"/>
                <w:bCs/>
                <w:sz w:val="24"/>
                <w:szCs w:val="24"/>
                <w:highlight w:val="none"/>
              </w:rPr>
            </w:pPr>
          </w:p>
        </w:tc>
        <w:tc>
          <w:tcPr>
            <w:tcW w:w="7095" w:type="dxa"/>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根据</w:t>
            </w:r>
            <w:r>
              <w:rPr>
                <w:rFonts w:hint="eastAsia" w:ascii="宋体" w:hAnsi="宋体" w:eastAsia="宋体" w:cs="宋体"/>
                <w:bCs/>
                <w:sz w:val="24"/>
                <w:szCs w:val="24"/>
                <w:highlight w:val="none"/>
              </w:rPr>
              <w:t>供应商本项目提出重要节点建筑空间打造意向，</w:t>
            </w:r>
            <w:r>
              <w:rPr>
                <w:rFonts w:hint="eastAsia" w:ascii="宋体" w:hAnsi="宋体" w:cs="宋体"/>
                <w:bCs/>
                <w:sz w:val="24"/>
                <w:szCs w:val="24"/>
                <w:highlight w:val="none"/>
                <w:lang w:eastAsia="zh-CN"/>
              </w:rPr>
              <w:t>符合</w:t>
            </w:r>
            <w:r>
              <w:rPr>
                <w:rFonts w:hint="eastAsia" w:ascii="宋体" w:hAnsi="宋体" w:eastAsia="宋体" w:cs="宋体"/>
                <w:bCs/>
                <w:sz w:val="24"/>
                <w:szCs w:val="24"/>
                <w:highlight w:val="none"/>
              </w:rPr>
              <w:t>嵊州市仙岩镇舜皇村特色，对关键技术问题的措施具有针对性、可行性，针对本项目特点，在规划中的关键节点、难点提出相应解决方案。</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03" w:type="dxa"/>
            <w:vMerge w:val="continue"/>
            <w:tcBorders/>
            <w:vAlign w:val="center"/>
          </w:tcPr>
          <w:p>
            <w:pPr>
              <w:spacing w:line="500" w:lineRule="exact"/>
              <w:jc w:val="center"/>
              <w:rPr>
                <w:rFonts w:hint="eastAsia" w:ascii="宋体" w:hAnsi="宋体" w:eastAsia="宋体" w:cs="宋体"/>
                <w:bCs/>
                <w:sz w:val="24"/>
                <w:szCs w:val="24"/>
                <w:highlight w:val="none"/>
                <w:lang w:val="en-US" w:eastAsia="zh-CN"/>
              </w:rPr>
            </w:pPr>
          </w:p>
        </w:tc>
        <w:tc>
          <w:tcPr>
            <w:tcW w:w="1070" w:type="dxa"/>
            <w:vMerge w:val="continue"/>
            <w:vAlign w:val="center"/>
          </w:tcPr>
          <w:p>
            <w:pPr>
              <w:spacing w:line="500" w:lineRule="exact"/>
              <w:ind w:firstLine="480" w:firstLineChars="200"/>
              <w:jc w:val="center"/>
              <w:rPr>
                <w:rFonts w:hint="eastAsia" w:ascii="宋体" w:hAnsi="宋体" w:eastAsia="宋体" w:cs="宋体"/>
                <w:bCs/>
                <w:sz w:val="24"/>
                <w:szCs w:val="24"/>
                <w:highlight w:val="none"/>
              </w:rPr>
            </w:pPr>
          </w:p>
        </w:tc>
        <w:tc>
          <w:tcPr>
            <w:tcW w:w="7095" w:type="dxa"/>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根据供应商提供的方案设计及综合说明（含服务理念、工作模板、整体设想和产业研究），</w:t>
            </w:r>
            <w:r>
              <w:rPr>
                <w:rFonts w:hint="eastAsia" w:ascii="宋体" w:hAnsi="宋体" w:cs="宋体"/>
                <w:bCs/>
                <w:sz w:val="24"/>
                <w:szCs w:val="24"/>
                <w:highlight w:val="none"/>
                <w:lang w:eastAsia="zh-CN"/>
              </w:rPr>
              <w:t>内容</w:t>
            </w:r>
            <w:r>
              <w:rPr>
                <w:rFonts w:hint="eastAsia" w:ascii="宋体" w:hAnsi="宋体" w:eastAsia="宋体" w:cs="宋体"/>
                <w:bCs/>
                <w:sz w:val="24"/>
                <w:szCs w:val="24"/>
                <w:highlight w:val="none"/>
              </w:rPr>
              <w:t>是否符合本项目</w:t>
            </w:r>
            <w:r>
              <w:rPr>
                <w:rFonts w:hint="eastAsia" w:ascii="宋体" w:hAnsi="宋体" w:cs="宋体"/>
                <w:bCs/>
                <w:sz w:val="24"/>
                <w:szCs w:val="24"/>
                <w:highlight w:val="none"/>
                <w:lang w:eastAsia="zh-CN"/>
              </w:rPr>
              <w:t>需求</w:t>
            </w:r>
            <w:r>
              <w:rPr>
                <w:rFonts w:hint="eastAsia" w:ascii="宋体" w:hAnsi="宋体" w:eastAsia="宋体" w:cs="宋体"/>
                <w:bCs/>
                <w:sz w:val="24"/>
                <w:szCs w:val="24"/>
                <w:highlight w:val="none"/>
              </w:rPr>
              <w:t>进行综合打分</w:t>
            </w:r>
            <w:r>
              <w:rPr>
                <w:rFonts w:hint="eastAsia" w:ascii="宋体" w:hAnsi="宋体" w:cs="宋体"/>
                <w:bCs/>
                <w:sz w:val="24"/>
                <w:szCs w:val="24"/>
                <w:highlight w:val="none"/>
                <w:lang w:eastAsia="zh-CN"/>
              </w:rPr>
              <w:t>。</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346" w:hRule="atLeast"/>
          <w:jc w:val="center"/>
        </w:trPr>
        <w:tc>
          <w:tcPr>
            <w:tcW w:w="603" w:type="dxa"/>
            <w:vMerge w:val="continue"/>
            <w:tcBorders/>
            <w:vAlign w:val="center"/>
          </w:tcPr>
          <w:p>
            <w:pPr>
              <w:spacing w:line="500" w:lineRule="exact"/>
              <w:jc w:val="center"/>
              <w:rPr>
                <w:rFonts w:hint="eastAsia" w:ascii="宋体" w:hAnsi="宋体" w:eastAsia="宋体" w:cs="宋体"/>
                <w:bCs/>
                <w:sz w:val="24"/>
                <w:szCs w:val="24"/>
                <w:highlight w:val="none"/>
                <w:lang w:val="en-US" w:eastAsia="zh-CN"/>
              </w:rPr>
            </w:pPr>
          </w:p>
        </w:tc>
        <w:tc>
          <w:tcPr>
            <w:tcW w:w="1070" w:type="dxa"/>
            <w:vMerge w:val="continue"/>
            <w:vAlign w:val="center"/>
          </w:tcPr>
          <w:p>
            <w:pPr>
              <w:spacing w:line="500" w:lineRule="exact"/>
              <w:ind w:firstLine="480" w:firstLineChars="200"/>
              <w:jc w:val="center"/>
              <w:rPr>
                <w:rFonts w:hint="eastAsia" w:ascii="宋体" w:hAnsi="宋体" w:eastAsia="宋体" w:cs="宋体"/>
                <w:bCs/>
                <w:sz w:val="24"/>
                <w:szCs w:val="24"/>
                <w:highlight w:val="none"/>
              </w:rPr>
            </w:pPr>
          </w:p>
        </w:tc>
        <w:tc>
          <w:tcPr>
            <w:tcW w:w="7095" w:type="dxa"/>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根据供应商针对本项目的质量内控制度和质量控制措施</w:t>
            </w:r>
            <w:r>
              <w:rPr>
                <w:rFonts w:hint="eastAsia" w:ascii="宋体" w:hAnsi="宋体" w:cs="宋体"/>
                <w:bCs/>
                <w:sz w:val="24"/>
                <w:szCs w:val="24"/>
                <w:highlight w:val="none"/>
                <w:lang w:eastAsia="zh-CN"/>
              </w:rPr>
              <w:t>是否</w:t>
            </w:r>
            <w:r>
              <w:rPr>
                <w:rFonts w:hint="eastAsia" w:ascii="宋体" w:hAnsi="宋体" w:eastAsia="宋体" w:cs="宋体"/>
                <w:bCs/>
                <w:sz w:val="24"/>
                <w:szCs w:val="24"/>
                <w:highlight w:val="none"/>
              </w:rPr>
              <w:t>合理、可行有效且符合本项目特征进行综合打分。</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25" w:hRule="atLeast"/>
          <w:jc w:val="center"/>
        </w:trPr>
        <w:tc>
          <w:tcPr>
            <w:tcW w:w="603" w:type="dxa"/>
            <w:vAlign w:val="center"/>
          </w:tcPr>
          <w:p>
            <w:pPr>
              <w:spacing w:line="50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1070"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效果图</w:t>
            </w:r>
          </w:p>
        </w:tc>
        <w:tc>
          <w:tcPr>
            <w:tcW w:w="7095" w:type="dxa"/>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根据供应商提供的项目总体规划效果图（不少于2张）①契合项目主题0-2分；②功能布局清晰0-2分； ③前后区域衔接流畅 0-2分； ④具有创新性 0-2分。</w:t>
            </w:r>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03" w:type="dxa"/>
            <w:vAlign w:val="center"/>
          </w:tcPr>
          <w:p>
            <w:pPr>
              <w:spacing w:line="50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6</w:t>
            </w:r>
          </w:p>
        </w:tc>
        <w:tc>
          <w:tcPr>
            <w:tcW w:w="1070"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服务承诺</w:t>
            </w:r>
          </w:p>
        </w:tc>
        <w:tc>
          <w:tcPr>
            <w:tcW w:w="7095" w:type="dxa"/>
            <w:tcMar>
              <w:top w:w="0" w:type="dxa"/>
              <w:left w:w="108" w:type="dxa"/>
              <w:bottom w:w="0" w:type="dxa"/>
              <w:right w:w="108" w:type="dxa"/>
            </w:tcMar>
            <w:vAlign w:val="center"/>
          </w:tcPr>
          <w:p>
            <w:pPr>
              <w:spacing w:line="500" w:lineRule="exact"/>
              <w:ind w:firstLine="480" w:firstLineChars="200"/>
              <w:rPr>
                <w:rFonts w:hint="eastAsia" w:ascii="宋体" w:hAnsi="宋体" w:eastAsia="宋体" w:cs="宋体"/>
                <w:bCs/>
                <w:sz w:val="24"/>
                <w:szCs w:val="24"/>
                <w:highlight w:val="none"/>
              </w:rPr>
            </w:pPr>
            <w:bookmarkStart w:id="76" w:name="_GoBack"/>
            <w:r>
              <w:rPr>
                <w:rFonts w:hint="eastAsia" w:ascii="宋体" w:hAnsi="宋体" w:eastAsia="宋体" w:cs="宋体"/>
                <w:bCs/>
                <w:sz w:val="24"/>
                <w:szCs w:val="24"/>
                <w:highlight w:val="none"/>
              </w:rPr>
              <w:t>为保障规划设计服务质量，规划设计人向招标人提供的各项服务承诺</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0-4分</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w:t>
            </w:r>
            <w:bookmarkEnd w:id="76"/>
          </w:p>
        </w:tc>
        <w:tc>
          <w:tcPr>
            <w:tcW w:w="1024" w:type="dxa"/>
            <w:vAlign w:val="center"/>
          </w:tcPr>
          <w:p>
            <w:pPr>
              <w:spacing w:line="500" w:lineRule="exact"/>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0</w:t>
            </w:r>
            <w:r>
              <w:rPr>
                <w:rFonts w:hint="eastAsia" w:ascii="宋体" w:hAnsi="宋体" w:eastAsia="宋体" w:cs="宋体"/>
                <w:bCs/>
                <w:sz w:val="24"/>
                <w:szCs w:val="24"/>
                <w:highlight w:val="none"/>
              </w:rPr>
              <w:t>-4分</w:t>
            </w:r>
          </w:p>
        </w:tc>
      </w:tr>
    </w:tbl>
    <w:p>
      <w:pPr>
        <w:pStyle w:val="2"/>
        <w:rPr>
          <w:rFonts w:hint="eastAsia" w:ascii="宋体" w:hAnsi="宋体" w:cs="宋体"/>
          <w:b/>
          <w:bCs/>
          <w:iCs/>
          <w:sz w:val="24"/>
          <w:highlight w:val="none"/>
          <w:lang w:val="en-US" w:eastAsia="zh-CN"/>
        </w:rPr>
      </w:pPr>
    </w:p>
    <w:p>
      <w:pPr>
        <w:pStyle w:val="3"/>
        <w:ind w:left="0" w:leftChars="0" w:firstLine="0" w:firstLineChars="0"/>
        <w:rPr>
          <w:rFonts w:hint="eastAsia"/>
          <w:lang w:val="en-US" w:eastAsia="zh-CN"/>
        </w:rPr>
      </w:pPr>
    </w:p>
    <w:p>
      <w:pPr>
        <w:spacing w:line="440" w:lineRule="exact"/>
        <w:rPr>
          <w:rFonts w:ascii="宋体" w:hAnsi="宋体" w:cs="宋体"/>
          <w:b/>
          <w:bCs/>
          <w:iCs/>
          <w:sz w:val="24"/>
          <w:highlight w:val="none"/>
        </w:rPr>
      </w:pPr>
      <w:r>
        <w:rPr>
          <w:rFonts w:hint="eastAsia" w:ascii="宋体" w:hAnsi="宋体" w:cs="宋体"/>
          <w:b/>
          <w:bCs/>
          <w:iCs/>
          <w:sz w:val="24"/>
          <w:highlight w:val="none"/>
        </w:rPr>
        <w:t>2、价格分（</w:t>
      </w:r>
      <w:r>
        <w:rPr>
          <w:rFonts w:hint="eastAsia" w:ascii="宋体" w:hAnsi="宋体" w:cs="宋体"/>
          <w:b/>
          <w:bCs/>
          <w:iCs/>
          <w:sz w:val="24"/>
          <w:highlight w:val="none"/>
          <w:u w:val="single"/>
          <w:lang w:val="en-US" w:eastAsia="zh-CN"/>
        </w:rPr>
        <w:t>20</w:t>
      </w:r>
      <w:r>
        <w:rPr>
          <w:rFonts w:hint="eastAsia" w:ascii="宋体" w:hAnsi="宋体" w:cs="宋体"/>
          <w:b/>
          <w:bCs/>
          <w:iCs/>
          <w:sz w:val="24"/>
          <w:highlight w:val="none"/>
        </w:rPr>
        <w:t>分）</w:t>
      </w:r>
    </w:p>
    <w:p>
      <w:pPr>
        <w:spacing w:line="440" w:lineRule="exact"/>
        <w:rPr>
          <w:rFonts w:ascii="宋体" w:hAnsi="宋体" w:cs="宋体"/>
          <w:bCs/>
          <w:iCs/>
          <w:sz w:val="24"/>
          <w:highlight w:val="none"/>
        </w:rPr>
      </w:pPr>
      <w:r>
        <w:rPr>
          <w:rFonts w:hint="eastAsia" w:ascii="宋体" w:hAnsi="宋体" w:cs="宋体"/>
          <w:bCs/>
          <w:iCs/>
          <w:sz w:val="24"/>
          <w:highlight w:val="none"/>
        </w:rPr>
        <w:t>2.1评标基准价：即满足招标文件要求且投标价格最低的投标报价为评标基准价，其价格分为满分。</w:t>
      </w:r>
    </w:p>
    <w:p>
      <w:pPr>
        <w:spacing w:line="440" w:lineRule="exact"/>
        <w:rPr>
          <w:rFonts w:ascii="宋体" w:hAnsi="宋体" w:cs="宋体"/>
          <w:bCs/>
          <w:iCs/>
          <w:sz w:val="24"/>
          <w:highlight w:val="none"/>
        </w:rPr>
      </w:pPr>
      <w:r>
        <w:rPr>
          <w:rFonts w:hint="eastAsia" w:ascii="宋体" w:hAnsi="宋体" w:cs="宋体"/>
          <w:bCs/>
          <w:iCs/>
          <w:sz w:val="24"/>
          <w:highlight w:val="none"/>
        </w:rPr>
        <w:t>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 w:val="24"/>
          <w:highlight w:val="none"/>
        </w:rPr>
      </w:pPr>
      <w:r>
        <w:rPr>
          <w:rFonts w:hint="eastAsia" w:ascii="宋体" w:hAnsi="宋体" w:cs="宋体"/>
          <w:bCs/>
          <w:iCs/>
          <w:sz w:val="24"/>
          <w:highlight w:val="none"/>
        </w:rPr>
        <w:t>即：投标报价得分=(评标基准价／投标报价)×</w:t>
      </w:r>
      <w:r>
        <w:rPr>
          <w:rFonts w:hint="eastAsia" w:ascii="宋体" w:hAnsi="宋体" w:cs="宋体"/>
          <w:bCs/>
          <w:iCs/>
          <w:sz w:val="24"/>
          <w:highlight w:val="none"/>
          <w:u w:val="single"/>
          <w:lang w:val="en-US" w:eastAsia="zh-CN"/>
        </w:rPr>
        <w:t>2</w:t>
      </w:r>
      <w:r>
        <w:rPr>
          <w:rFonts w:hint="eastAsia" w:ascii="宋体" w:hAnsi="宋体" w:cs="宋体"/>
          <w:bCs/>
          <w:iCs/>
          <w:sz w:val="24"/>
          <w:highlight w:val="none"/>
          <w:u w:val="single"/>
        </w:rPr>
        <w:t>0%</w:t>
      </w:r>
      <w:r>
        <w:rPr>
          <w:rFonts w:hint="eastAsia" w:ascii="宋体" w:hAnsi="宋体" w:cs="宋体"/>
          <w:bCs/>
          <w:iCs/>
          <w:sz w:val="24"/>
          <w:highlight w:val="none"/>
        </w:rPr>
        <w:t>×100</w:t>
      </w:r>
    </w:p>
    <w:p>
      <w:pPr>
        <w:pStyle w:val="17"/>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投标人必须对本项目的全部内容进行报价，如有缺漏，其响应文件作无效处理。</w:t>
      </w:r>
    </w:p>
    <w:p>
      <w:pPr>
        <w:pStyle w:val="17"/>
        <w:snapToGrid w:val="0"/>
        <w:spacing w:beforeLines="0" w:afterLines="0" w:line="500" w:lineRule="exact"/>
        <w:ind w:firstLine="480" w:firstLineChars="200"/>
        <w:jc w:val="left"/>
        <w:rPr>
          <w:rFonts w:hAnsi="宋体"/>
          <w:snapToGrid w:val="0"/>
          <w:kern w:val="0"/>
          <w:highlight w:val="none"/>
        </w:rPr>
      </w:pPr>
      <w:r>
        <w:rPr>
          <w:rFonts w:hint="eastAsia" w:hAnsi="宋体"/>
          <w:snapToGrid w:val="0"/>
          <w:kern w:val="0"/>
          <w:highlight w:val="none"/>
        </w:rPr>
        <w:t>报价应为人民币含税全包价，包括设计图纸和采购所需产生的所有费用、利润、规费、税金、预留金、招标代理费、评审费以及合同包含的所有风险、责任等各项应有费用。</w:t>
      </w:r>
    </w:p>
    <w:p>
      <w:pPr>
        <w:pStyle w:val="17"/>
        <w:snapToGrid w:val="0"/>
        <w:spacing w:beforeLines="0" w:afterLines="0" w:line="500" w:lineRule="exact"/>
        <w:ind w:firstLine="482" w:firstLineChars="200"/>
        <w:jc w:val="left"/>
        <w:rPr>
          <w:rFonts w:hAnsi="宋体"/>
          <w:b/>
          <w:bCs/>
          <w:highlight w:val="none"/>
        </w:rPr>
      </w:pPr>
      <w:r>
        <w:rPr>
          <w:rFonts w:hint="eastAsia" w:hAnsi="宋体"/>
          <w:b/>
          <w:bCs/>
          <w:highlight w:val="none"/>
        </w:rPr>
        <w:t>本项目最高限价为</w:t>
      </w:r>
      <w:r>
        <w:rPr>
          <w:rFonts w:hint="eastAsia" w:hAnsi="宋体"/>
          <w:b/>
          <w:bCs/>
          <w:highlight w:val="none"/>
          <w:lang w:val="en-US" w:eastAsia="zh-CN"/>
        </w:rPr>
        <w:t>150万</w:t>
      </w:r>
      <w:r>
        <w:rPr>
          <w:rFonts w:hint="eastAsia" w:hAnsi="宋体"/>
          <w:b/>
          <w:bCs/>
          <w:highlight w:val="none"/>
        </w:rPr>
        <w:t>元</w:t>
      </w:r>
      <w:r>
        <w:rPr>
          <w:rFonts w:hint="eastAsia" w:hAnsi="宋体"/>
          <w:b/>
          <w:bCs/>
          <w:highlight w:val="none"/>
          <w:lang w:val="en-US" w:eastAsia="zh-CN"/>
        </w:rPr>
        <w:t>,</w:t>
      </w:r>
      <w:r>
        <w:rPr>
          <w:rFonts w:hint="eastAsia" w:hAnsi="宋体"/>
          <w:b/>
          <w:bCs/>
          <w:highlight w:val="none"/>
        </w:rPr>
        <w:t>设风险控制价为</w:t>
      </w:r>
      <w:r>
        <w:rPr>
          <w:rFonts w:hint="eastAsia" w:hAnsi="宋体"/>
          <w:b/>
          <w:bCs/>
          <w:highlight w:val="none"/>
          <w:lang w:val="en-US" w:eastAsia="zh-CN"/>
        </w:rPr>
        <w:t>120万</w:t>
      </w:r>
      <w:r>
        <w:rPr>
          <w:rFonts w:hint="eastAsia" w:hAnsi="宋体"/>
          <w:b/>
          <w:bCs/>
          <w:highlight w:val="none"/>
        </w:rPr>
        <w:t>元（最高限价的80%）,若中标单位低于风险控制价的，中标人应在提缴履约保证金的同时必须额外补交中标总价与风险控制价之差额（保证金支付方式：转帐形式），中标人不提缴的视为放弃中标。差额保证金在项目验收合格并经采购人认可后30日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hint="eastAsia" w:ascii="宋体" w:hAnsi="宋体" w:cs="宋体"/>
          <w:b/>
          <w:bCs/>
          <w:sz w:val="24"/>
          <w:highlight w:val="none"/>
        </w:rPr>
      </w:pPr>
      <w:r>
        <w:rPr>
          <w:rFonts w:hint="eastAsia" w:ascii="宋体" w:hAnsi="宋体" w:cs="宋体"/>
          <w:b/>
          <w:bCs/>
          <w:sz w:val="24"/>
          <w:highlight w:val="none"/>
        </w:rPr>
        <w:t>评标委员会认为投标人的报价明显低于其他通过符合性审查投标人的报价，有可能影响</w:t>
      </w:r>
      <w:r>
        <w:rPr>
          <w:rFonts w:hint="eastAsia" w:ascii="宋体" w:hAnsi="宋体" w:cs="宋体"/>
          <w:b/>
          <w:bCs/>
          <w:sz w:val="24"/>
          <w:highlight w:val="none"/>
          <w:lang w:eastAsia="zh-CN"/>
        </w:rPr>
        <w:t>服务</w:t>
      </w:r>
      <w:r>
        <w:rPr>
          <w:rFonts w:hint="eastAsia" w:ascii="宋体" w:hAnsi="宋体" w:cs="宋体"/>
          <w:b/>
          <w:bCs/>
          <w:sz w:val="24"/>
          <w:highlight w:val="none"/>
        </w:rPr>
        <w:t>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bookmarkEnd w:id="54"/>
      <w:bookmarkEnd w:id="55"/>
      <w:bookmarkStart w:id="56" w:name="_Toc29887"/>
      <w:bookmarkStart w:id="57" w:name="_Toc8096"/>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pPr>
    </w:p>
    <w:p>
      <w:pPr>
        <w:jc w:val="center"/>
        <w:outlineLvl w:val="0"/>
        <w:rPr>
          <w:rFonts w:ascii="宋体" w:hAnsi="宋体" w:cs="宋体"/>
          <w:b/>
          <w:bCs/>
          <w:sz w:val="32"/>
          <w:szCs w:val="32"/>
          <w:highlight w:val="none"/>
        </w:rPr>
      </w:pPr>
    </w:p>
    <w:p>
      <w:pPr>
        <w:pStyle w:val="2"/>
        <w:rPr>
          <w:rFonts w:ascii="宋体" w:hAnsi="宋体" w:cs="宋体"/>
          <w:b/>
          <w:bCs/>
          <w:sz w:val="32"/>
          <w:szCs w:val="32"/>
          <w:highlight w:val="none"/>
        </w:rPr>
      </w:pPr>
    </w:p>
    <w:p>
      <w:pPr>
        <w:pStyle w:val="3"/>
        <w:rPr>
          <w:rFonts w:ascii="宋体" w:hAnsi="宋体" w:cs="宋体"/>
          <w:b/>
          <w:bCs/>
          <w:sz w:val="32"/>
          <w:szCs w:val="32"/>
          <w:highlight w:val="none"/>
        </w:rPr>
      </w:pPr>
    </w:p>
    <w:p>
      <w:pPr>
        <w:rPr>
          <w:rFonts w:ascii="宋体" w:hAnsi="宋体" w:cs="宋体"/>
          <w:b/>
          <w:bCs/>
          <w:sz w:val="32"/>
          <w:szCs w:val="32"/>
          <w:highlight w:val="none"/>
        </w:rPr>
      </w:pPr>
    </w:p>
    <w:p>
      <w:pPr>
        <w:pStyle w:val="2"/>
        <w:rPr>
          <w:rFonts w:ascii="宋体" w:hAnsi="宋体" w:cs="宋体"/>
          <w:b/>
          <w:bCs/>
          <w:sz w:val="32"/>
          <w:szCs w:val="32"/>
          <w:highlight w:val="none"/>
        </w:rPr>
      </w:pPr>
    </w:p>
    <w:p>
      <w:pPr>
        <w:pStyle w:val="3"/>
        <w:rPr>
          <w:rFonts w:ascii="宋体" w:hAnsi="宋体" w:cs="宋体"/>
          <w:b/>
          <w:bCs/>
          <w:sz w:val="32"/>
          <w:szCs w:val="32"/>
          <w:highlight w:val="none"/>
        </w:rPr>
      </w:pPr>
    </w:p>
    <w:p/>
    <w:p>
      <w:pPr>
        <w:pStyle w:val="26"/>
      </w:pPr>
    </w:p>
    <w:p/>
    <w:p>
      <w:pPr>
        <w:pStyle w:val="26"/>
        <w:rPr>
          <w:rFonts w:ascii="宋体" w:hAnsi="宋体" w:cs="宋体"/>
          <w:b/>
          <w:bCs/>
          <w:sz w:val="32"/>
          <w:szCs w:val="32"/>
          <w:highlight w:val="none"/>
        </w:rPr>
      </w:pPr>
    </w:p>
    <w:p>
      <w:pPr>
        <w:jc w:val="center"/>
        <w:rPr>
          <w:rFonts w:hint="eastAsia" w:ascii="宋体" w:hAnsi="宋体" w:eastAsia="宋体" w:cs="宋体"/>
          <w:b/>
          <w:bCs/>
          <w:sz w:val="32"/>
          <w:szCs w:val="32"/>
          <w:highlight w:val="none"/>
          <w:lang w:eastAsia="zh-CN"/>
        </w:rPr>
      </w:pPr>
    </w:p>
    <w:p>
      <w:pPr>
        <w:jc w:val="both"/>
        <w:rPr>
          <w:rFonts w:hint="eastAsia" w:ascii="宋体" w:hAnsi="宋体" w:cs="宋体"/>
          <w:b/>
          <w:bCs/>
          <w:sz w:val="32"/>
          <w:szCs w:val="32"/>
          <w:highlight w:val="none"/>
        </w:rPr>
      </w:pPr>
    </w:p>
    <w:p>
      <w:pPr>
        <w:ind w:firstLine="2891" w:firstLineChars="900"/>
        <w:jc w:val="both"/>
        <w:rPr>
          <w:rFonts w:hint="eastAsia" w:ascii="宋体" w:hAnsi="宋体" w:cs="宋体"/>
          <w:b/>
          <w:bCs/>
          <w:sz w:val="32"/>
          <w:szCs w:val="32"/>
          <w:highlight w:val="none"/>
        </w:rPr>
      </w:pPr>
    </w:p>
    <w:p>
      <w:pPr>
        <w:jc w:val="both"/>
        <w:rPr>
          <w:rFonts w:hint="eastAsia" w:ascii="宋体" w:hAnsi="宋体" w:cs="宋体"/>
          <w:b/>
          <w:bCs/>
          <w:sz w:val="32"/>
          <w:szCs w:val="32"/>
          <w:highlight w:val="none"/>
        </w:rPr>
      </w:pPr>
    </w:p>
    <w:p>
      <w:pPr>
        <w:ind w:firstLine="2891" w:firstLineChars="900"/>
        <w:jc w:val="both"/>
        <w:rPr>
          <w:rFonts w:ascii="宋体" w:hAnsi="宋体" w:cs="宋体"/>
          <w:b/>
          <w:bCs/>
          <w:sz w:val="32"/>
          <w:szCs w:val="32"/>
          <w:highlight w:val="none"/>
        </w:rPr>
      </w:pPr>
      <w:r>
        <w:rPr>
          <w:rFonts w:hint="eastAsia" w:ascii="宋体" w:hAnsi="宋体" w:cs="宋体"/>
          <w:b/>
          <w:bCs/>
          <w:sz w:val="32"/>
          <w:szCs w:val="32"/>
          <w:highlight w:val="none"/>
        </w:rPr>
        <w:t>第五章  合同主要条款</w:t>
      </w:r>
      <w:bookmarkEnd w:id="56"/>
      <w:bookmarkEnd w:id="57"/>
    </w:p>
    <w:p>
      <w:pPr>
        <w:pStyle w:val="17"/>
        <w:spacing w:before="120" w:after="120"/>
        <w:jc w:val="center"/>
        <w:rPr>
          <w:rFonts w:hAnsi="宋体"/>
          <w:b/>
          <w:bCs/>
          <w:highlight w:val="none"/>
        </w:rPr>
      </w:pPr>
      <w:r>
        <w:rPr>
          <w:rFonts w:hint="eastAsia" w:hAnsi="宋体"/>
          <w:b/>
          <w:bCs/>
          <w:sz w:val="21"/>
          <w:szCs w:val="21"/>
          <w:highlight w:val="none"/>
        </w:rPr>
        <w:t>（</w:t>
      </w:r>
      <w:r>
        <w:rPr>
          <w:rFonts w:hint="eastAsia" w:hAnsi="宋体"/>
          <w:b/>
          <w:bCs/>
          <w:highlight w:val="none"/>
        </w:rPr>
        <w:t>本合同为合同样稿，最终稿由双方协商后确定）</w:t>
      </w:r>
    </w:p>
    <w:p>
      <w:pPr>
        <w:spacing w:line="380" w:lineRule="exact"/>
        <w:ind w:firstLine="480" w:firstLineChars="200"/>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lang w:eastAsia="zh-CN"/>
        </w:rPr>
        <w:t>采购</w:t>
      </w:r>
      <w:r>
        <w:rPr>
          <w:rFonts w:hint="eastAsia" w:ascii="宋体" w:hAnsi="宋体" w:cs="宋体"/>
          <w:sz w:val="24"/>
          <w:highlight w:val="none"/>
        </w:rPr>
        <w:t>方）：</w:t>
      </w:r>
    </w:p>
    <w:p>
      <w:pPr>
        <w:spacing w:line="380" w:lineRule="exact"/>
        <w:ind w:firstLine="480" w:firstLineChars="200"/>
        <w:jc w:val="left"/>
        <w:rPr>
          <w:rFonts w:ascii="宋体" w:hAnsi="宋体" w:cs="宋体"/>
          <w:sz w:val="24"/>
          <w:highlight w:val="none"/>
        </w:rPr>
      </w:pPr>
      <w:r>
        <w:rPr>
          <w:rFonts w:hint="eastAsia" w:ascii="宋体" w:hAnsi="宋体" w:cs="宋体"/>
          <w:sz w:val="24"/>
          <w:highlight w:val="none"/>
        </w:rPr>
        <w:t>乙方（中标方）：</w:t>
      </w:r>
    </w:p>
    <w:p>
      <w:pPr>
        <w:spacing w:line="500" w:lineRule="exact"/>
        <w:ind w:firstLine="480" w:firstLineChars="200"/>
        <w:jc w:val="left"/>
        <w:rPr>
          <w:rFonts w:ascii="宋体" w:hAnsi="宋体" w:cs="宋体"/>
          <w:sz w:val="24"/>
          <w:highlight w:val="none"/>
        </w:rPr>
      </w:pPr>
      <w:bookmarkStart w:id="58" w:name="_Toc269217275"/>
      <w:bookmarkStart w:id="59" w:name="_Toc339302133"/>
      <w:bookmarkStart w:id="60" w:name="_Toc480884136"/>
      <w:bookmarkStart w:id="61" w:name="_Toc340322172"/>
      <w:bookmarkStart w:id="62" w:name="_Toc19146"/>
      <w:bookmarkStart w:id="63" w:name="_Toc340321917"/>
      <w:r>
        <w:rPr>
          <w:rFonts w:hint="eastAsia" w:ascii="宋体" w:hAnsi="宋体" w:cs="宋体"/>
          <w:sz w:val="24"/>
          <w:highlight w:val="none"/>
        </w:rPr>
        <w:t>参照《中华人民共和国民法典》等有关法律法规精神，甲方经过公开招标采购方式确定乙方为</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仙岩镇全域旅游及舜皇村核心区改造提升规划项目</w:t>
      </w:r>
      <w:r>
        <w:rPr>
          <w:rFonts w:hint="eastAsia" w:ascii="宋体" w:hAnsi="宋体" w:cs="宋体"/>
          <w:sz w:val="24"/>
          <w:highlight w:val="none"/>
          <w:u w:val="single"/>
        </w:rPr>
        <w:t xml:space="preserve"> </w:t>
      </w:r>
      <w:r>
        <w:rPr>
          <w:rFonts w:hint="eastAsia" w:ascii="宋体" w:hAnsi="宋体" w:cs="宋体"/>
          <w:sz w:val="24"/>
          <w:highlight w:val="none"/>
        </w:rPr>
        <w:t>的中标人，双方经协商达成以下条款：</w:t>
      </w:r>
    </w:p>
    <w:bookmarkEnd w:id="58"/>
    <w:bookmarkEnd w:id="59"/>
    <w:bookmarkEnd w:id="60"/>
    <w:bookmarkEnd w:id="61"/>
    <w:bookmarkEnd w:id="62"/>
    <w:bookmarkEnd w:id="63"/>
    <w:p>
      <w:pPr>
        <w:numPr>
          <w:ilvl w:val="0"/>
          <w:numId w:val="9"/>
        </w:numPr>
        <w:spacing w:line="500" w:lineRule="exact"/>
        <w:jc w:val="left"/>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设计项目地点：</w:t>
      </w:r>
      <w:r>
        <w:rPr>
          <w:rFonts w:hint="eastAsia" w:ascii="宋体" w:hAnsi="宋体" w:cs="宋体"/>
          <w:sz w:val="24"/>
          <w:highlight w:val="none"/>
          <w:u w:val="none"/>
          <w:lang w:eastAsia="zh-CN"/>
        </w:rPr>
        <w:t>嵊州市仙岩镇</w:t>
      </w:r>
    </w:p>
    <w:p>
      <w:pPr>
        <w:numPr>
          <w:ilvl w:val="0"/>
          <w:numId w:val="0"/>
        </w:numPr>
        <w:spacing w:line="500" w:lineRule="exact"/>
        <w:jc w:val="left"/>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二</w:t>
      </w:r>
      <w:r>
        <w:rPr>
          <w:rFonts w:hint="eastAsia" w:ascii="宋体" w:hAnsi="宋体" w:cs="宋体"/>
          <w:b/>
          <w:bCs/>
          <w:sz w:val="24"/>
          <w:highlight w:val="none"/>
        </w:rPr>
        <w:t>、</w:t>
      </w:r>
      <w:r>
        <w:rPr>
          <w:rFonts w:hint="eastAsia" w:ascii="宋体" w:hAnsi="宋体" w:cs="宋体"/>
          <w:b/>
          <w:bCs/>
          <w:sz w:val="24"/>
          <w:highlight w:val="none"/>
          <w:lang w:eastAsia="zh-CN"/>
        </w:rPr>
        <w:t>设计范围</w:t>
      </w:r>
    </w:p>
    <w:p>
      <w:pPr>
        <w:numPr>
          <w:ilvl w:val="0"/>
          <w:numId w:val="0"/>
        </w:numPr>
        <w:snapToGrid w:val="0"/>
        <w:spacing w:line="700" w:lineRule="exact"/>
        <w:ind w:firstLine="240" w:firstLineChars="100"/>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本项目研究范围包含三个层面</w:t>
      </w:r>
    </w:p>
    <w:p>
      <w:pPr>
        <w:numPr>
          <w:ilvl w:val="0"/>
          <w:numId w:val="0"/>
        </w:numPr>
        <w:snapToGrid w:val="0"/>
        <w:spacing w:line="700" w:lineRule="exact"/>
        <w:ind w:firstLine="240" w:firstLineChars="100"/>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（1）仙岩镇全域旅游体系范围：74.53平方公里，覆盖仙岩镇全域9个行政村。</w:t>
      </w:r>
    </w:p>
    <w:p>
      <w:pPr>
        <w:numPr>
          <w:ilvl w:val="0"/>
          <w:numId w:val="0"/>
        </w:numPr>
        <w:snapToGrid w:val="0"/>
        <w:spacing w:line="700" w:lineRule="exact"/>
        <w:ind w:firstLine="240" w:firstLineChars="100"/>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（2）舜皇村周边范围区域提升总体研究范围（以下简称研究范围）：396.52公顷，涵盖舜皇山自然村其周边重要山水林田环境、梓树村和下王舍村及其周边可开展旅游服务的山水林田环境。</w:t>
      </w:r>
    </w:p>
    <w:p>
      <w:pPr>
        <w:numPr>
          <w:ilvl w:val="0"/>
          <w:numId w:val="0"/>
        </w:numPr>
        <w:snapToGrid w:val="0"/>
        <w:spacing w:line="700" w:lineRule="exact"/>
        <w:ind w:firstLine="240" w:firstLineChars="100"/>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（3）舜皇村核心区改造提升规划范围（以下简称核心范围）：32.33公顷，重点围绕舜皇山村居民聚集区、清风船闸项目部及其周边可开展旅游服务的山水林田环境。</w:t>
      </w:r>
    </w:p>
    <w:p>
      <w:pPr>
        <w:numPr>
          <w:ilvl w:val="0"/>
          <w:numId w:val="0"/>
        </w:numPr>
        <w:snapToGrid w:val="0"/>
        <w:spacing w:line="700" w:lineRule="exact"/>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三、规划依据</w:t>
      </w:r>
    </w:p>
    <w:p>
      <w:pPr>
        <w:spacing w:line="500" w:lineRule="exact"/>
        <w:ind w:firstLine="240" w:firstLineChars="100"/>
        <w:jc w:val="left"/>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1、《中华人民共和国城乡规划法》（2019年修订）</w:t>
      </w:r>
    </w:p>
    <w:p>
      <w:pPr>
        <w:spacing w:line="500" w:lineRule="exact"/>
        <w:ind w:firstLine="240" w:firstLineChars="100"/>
        <w:jc w:val="left"/>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2、《国土空间规划城市设计指南》（TD/T 1065-2021）</w:t>
      </w:r>
    </w:p>
    <w:p>
      <w:pPr>
        <w:spacing w:line="500" w:lineRule="exact"/>
        <w:ind w:firstLine="240" w:firstLineChars="100"/>
        <w:jc w:val="left"/>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3、《国土空间调查、规划、用途管制用地用海分类指南》（2023-11）</w:t>
      </w:r>
    </w:p>
    <w:p>
      <w:pPr>
        <w:spacing w:line="500" w:lineRule="exact"/>
        <w:ind w:firstLine="240" w:firstLineChars="100"/>
        <w:jc w:val="left"/>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4、《嵊州市国土空间规划管理技术规定》(嵊自然资规〔2022〕115号)</w:t>
      </w:r>
    </w:p>
    <w:p>
      <w:pPr>
        <w:spacing w:line="500" w:lineRule="exact"/>
        <w:ind w:firstLine="240" w:firstLineChars="100"/>
        <w:jc w:val="left"/>
        <w:rPr>
          <w:rFonts w:hint="eastAsia" w:ascii="宋体" w:hAnsi="宋体" w:eastAsia="宋体" w:cs="宋体"/>
          <w:snapToGrid w:val="0"/>
          <w:kern w:val="0"/>
          <w:sz w:val="24"/>
          <w:szCs w:val="24"/>
          <w:highlight w:val="none"/>
          <w:lang w:val="en-US"/>
        </w:rPr>
      </w:pPr>
      <w:r>
        <w:rPr>
          <w:rFonts w:hint="eastAsia" w:ascii="宋体" w:hAnsi="宋体" w:eastAsia="宋体" w:cs="宋体"/>
          <w:snapToGrid w:val="0"/>
          <w:kern w:val="0"/>
          <w:sz w:val="24"/>
          <w:szCs w:val="24"/>
          <w:highlight w:val="none"/>
          <w:lang w:val="en-US"/>
        </w:rPr>
        <w:t>5、其他国家及地方相关政策、法律、规范、标准相应要求。</w:t>
      </w:r>
    </w:p>
    <w:p>
      <w:pPr>
        <w:numPr>
          <w:ilvl w:val="0"/>
          <w:numId w:val="0"/>
        </w:numPr>
        <w:snapToGrid w:val="0"/>
        <w:spacing w:line="700" w:lineRule="exact"/>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四、项目内容</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1、在全域旅游体系层面，依据上位规划整体统筹，理清全域发展与资源情况，结合乡村振兴、全域旅游的发展目标，提出符合趋势与现状的全域提升策略，提供具有可操作性的实施路径。</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2、在舜皇村周边范围区域提升总体研究层面，首先明确各分区特色，梳理总体结构，对功能业态、公共配套、交通设施、生态景观、文旅服务、功能业态等方面开展系统化的规划设计。</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3、在舜皇村核心区改造提升规划层面，进一步梳理功能、交通、景观和风貌体系，对建筑风貌改造提升、重要空间节点打造等提供改造提升方案。</w:t>
      </w:r>
    </w:p>
    <w:p>
      <w:pPr>
        <w:pStyle w:val="2"/>
        <w:rPr>
          <w:rFonts w:hint="eastAsia"/>
          <w:lang w:val="en-US"/>
        </w:rPr>
      </w:pPr>
    </w:p>
    <w:p>
      <w:pPr>
        <w:pStyle w:val="17"/>
        <w:snapToGrid w:val="0"/>
        <w:spacing w:beforeLines="0" w:afterLines="0" w:line="500" w:lineRule="exact"/>
        <w:jc w:val="left"/>
        <w:rPr>
          <w:rFonts w:hint="eastAsia" w:ascii="宋体" w:hAnsi="宋体" w:eastAsia="宋体" w:cs="宋体"/>
          <w:b/>
          <w:bCs/>
          <w:snapToGrid w:val="0"/>
          <w:kern w:val="0"/>
          <w:sz w:val="24"/>
          <w:szCs w:val="24"/>
          <w:highlight w:val="none"/>
          <w:lang w:val="en-US"/>
        </w:rPr>
      </w:pPr>
      <w:r>
        <w:rPr>
          <w:rFonts w:hint="eastAsia" w:hAnsi="宋体" w:cs="宋体"/>
          <w:b/>
          <w:bCs/>
          <w:kern w:val="2"/>
          <w:sz w:val="24"/>
          <w:szCs w:val="24"/>
          <w:highlight w:val="none"/>
          <w:lang w:val="en-US" w:eastAsia="zh-CN" w:bidi="ar-SA"/>
        </w:rPr>
        <w:t>五</w:t>
      </w:r>
      <w:r>
        <w:rPr>
          <w:rFonts w:hint="eastAsia" w:ascii="宋体" w:hAnsi="宋体" w:eastAsia="宋体" w:cs="宋体"/>
          <w:b/>
          <w:bCs/>
          <w:kern w:val="2"/>
          <w:sz w:val="24"/>
          <w:szCs w:val="24"/>
          <w:highlight w:val="none"/>
          <w:lang w:val="en-US" w:eastAsia="zh-CN" w:bidi="ar-SA"/>
        </w:rPr>
        <w:t>、成果</w:t>
      </w:r>
      <w:r>
        <w:rPr>
          <w:rFonts w:hint="eastAsia" w:ascii="宋体" w:hAnsi="宋体" w:eastAsia="宋体" w:cs="宋体"/>
          <w:b/>
          <w:bCs/>
          <w:snapToGrid w:val="0"/>
          <w:kern w:val="0"/>
          <w:sz w:val="24"/>
          <w:szCs w:val="24"/>
          <w:highlight w:val="none"/>
          <w:lang w:val="en-US"/>
        </w:rPr>
        <w:t>要求</w:t>
      </w:r>
      <w:r>
        <w:rPr>
          <w:rFonts w:hint="eastAsia" w:hAnsi="宋体" w:cs="宋体"/>
          <w:b/>
          <w:bCs/>
          <w:snapToGrid w:val="0"/>
          <w:kern w:val="0"/>
          <w:sz w:val="24"/>
          <w:szCs w:val="24"/>
          <w:highlight w:val="none"/>
          <w:lang w:val="en-US" w:eastAsia="zh-CN"/>
        </w:rPr>
        <w:t>与规格</w:t>
      </w:r>
      <w:r>
        <w:rPr>
          <w:rFonts w:hint="eastAsia" w:ascii="宋体" w:hAnsi="宋体" w:eastAsia="宋体" w:cs="宋体"/>
          <w:b/>
          <w:bCs/>
          <w:snapToGrid w:val="0"/>
          <w:kern w:val="0"/>
          <w:sz w:val="24"/>
          <w:szCs w:val="24"/>
          <w:highlight w:val="none"/>
          <w:lang w:val="en-US" w:eastAsia="zh-CN"/>
        </w:rPr>
        <w:t>（含但不仅限）</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成果内容</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主要设计图纸至少包括以下内容，可根据实际情况增加相应图纸。</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第一部分：规划背景</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1、项目缘起</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2、规划编制的必要性</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3、难点解读</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第二部分：定位研究</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1、政策指引</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2、上位规划</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3、片区特征识别</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4、目标定位总结</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第三部分：全域旅游</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1、客源市场分析</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2、策划理念与愿景</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3、全域旅游体系规划（全域旅游交通、文旅、服务、产业等）</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4、舜皇村及周边区域提升（分区策划、功能业态体系、道路交通体系、生态景观体系、文化游线体系等</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第四部分：</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核心改造提升设计</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1、设计构思</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2、功能布局</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3、总平面图</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4、亮点策略</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5、板块设计</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6、风貌形象引导</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7、游线组织规划</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8、交通体系梳理</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9、慢行体系梳理</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10、重要节点设计</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第六部分：运营与投资</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1、投资运营模式</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2、分期策略</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3、项目清单</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4、投资估算</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三维鸟瞰效果图和重要节点效果表现图</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en-US" w:eastAsia="zh-CN"/>
        </w:rPr>
        <w:t>成果规格与数量</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（1）成果的构成</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成果包括综合报告（包括一切招标人认为需要提供的本项目成果内容）。内容必须清晰完整，符合规划设计要求。规划成果应完整、准确地阐述规划意图和内容，并得到相关部门的认可与批准。</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（2）成果的形成</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1）研究报告：A3规格（297mm×420mm），不少于8本，无篇幅限制要求，采用双面精装；</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2）电子文件：以光盘形式提交，1份，含规划文本（PPT、DOC文件或可编辑的PDF文件）、CAD图纸（DWG文件）等。</w:t>
      </w:r>
    </w:p>
    <w:p>
      <w:pPr>
        <w:pStyle w:val="36"/>
        <w:snapToGrid w:val="0"/>
        <w:spacing w:before="0" w:line="50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3）中间交流成果及评审材料数量根据招标人要求确定。</w:t>
      </w:r>
    </w:p>
    <w:p>
      <w:pPr>
        <w:numPr>
          <w:ilvl w:val="0"/>
          <w:numId w:val="0"/>
        </w:numPr>
        <w:spacing w:line="500" w:lineRule="exact"/>
        <w:rPr>
          <w:rFonts w:hint="eastAsia" w:ascii="宋体" w:hAnsi="宋体" w:cs="宋体"/>
          <w:b/>
          <w:bCs/>
          <w:sz w:val="24"/>
          <w:highlight w:val="none"/>
          <w:lang w:eastAsia="zh-CN"/>
        </w:rPr>
      </w:pPr>
      <w:r>
        <w:rPr>
          <w:rFonts w:hint="eastAsia" w:ascii="宋体" w:hAnsi="宋体" w:cs="宋体"/>
          <w:b/>
          <w:bCs/>
          <w:sz w:val="24"/>
          <w:highlight w:val="none"/>
          <w:lang w:eastAsia="zh-CN"/>
        </w:rPr>
        <w:t>六、项目实施期限要求</w:t>
      </w:r>
    </w:p>
    <w:p>
      <w:pPr>
        <w:spacing w:line="500" w:lineRule="exact"/>
        <w:ind w:firstLine="240" w:firstLineChars="100"/>
        <w:jc w:val="left"/>
        <w:rPr>
          <w:rFonts w:hint="eastAsia" w:ascii="宋体" w:hAnsi="宋体" w:cs="宋体"/>
          <w:bCs/>
          <w:sz w:val="24"/>
          <w:highlight w:val="none"/>
          <w:lang w:eastAsia="zh-CN"/>
        </w:rPr>
      </w:pPr>
      <w:r>
        <w:rPr>
          <w:rFonts w:hint="eastAsia" w:ascii="宋体" w:hAnsi="宋体" w:cs="宋体"/>
          <w:bCs/>
          <w:sz w:val="24"/>
          <w:highlight w:val="none"/>
          <w:lang w:eastAsia="zh-CN"/>
        </w:rPr>
        <w:t>（1）第一阶段：初稿阶段，合同生效后20个工作日内，进行现场初步踏勘并完成规划设计初步方案，进行方案汇报。</w:t>
      </w:r>
    </w:p>
    <w:p>
      <w:pPr>
        <w:spacing w:line="500" w:lineRule="exact"/>
        <w:ind w:firstLine="240" w:firstLineChars="100"/>
        <w:jc w:val="left"/>
        <w:rPr>
          <w:rFonts w:hint="eastAsia" w:ascii="宋体" w:hAnsi="宋体" w:cs="宋体"/>
          <w:bCs/>
          <w:sz w:val="24"/>
          <w:highlight w:val="none"/>
          <w:lang w:eastAsia="zh-CN"/>
        </w:rPr>
      </w:pPr>
      <w:r>
        <w:rPr>
          <w:rFonts w:hint="eastAsia" w:ascii="宋体" w:hAnsi="宋体" w:cs="宋体"/>
          <w:bCs/>
          <w:sz w:val="24"/>
          <w:highlight w:val="none"/>
          <w:lang w:eastAsia="zh-CN"/>
        </w:rPr>
        <w:t>（2）第二阶段：修改阶段，根据甲方修改意见，乙方于40个工作日内完成深化修改成果并提交甲方。</w:t>
      </w:r>
    </w:p>
    <w:p>
      <w:pPr>
        <w:spacing w:line="500" w:lineRule="exact"/>
        <w:ind w:firstLine="240" w:firstLineChars="100"/>
        <w:jc w:val="left"/>
        <w:rPr>
          <w:rFonts w:hint="eastAsia" w:ascii="宋体" w:hAnsi="宋体" w:cs="宋体"/>
          <w:bCs/>
          <w:sz w:val="24"/>
          <w:highlight w:val="none"/>
          <w:lang w:eastAsia="zh-CN"/>
        </w:rPr>
      </w:pPr>
      <w:r>
        <w:rPr>
          <w:rFonts w:hint="eastAsia" w:ascii="宋体" w:hAnsi="宋体" w:cs="宋体"/>
          <w:bCs/>
          <w:sz w:val="24"/>
          <w:highlight w:val="none"/>
          <w:lang w:eastAsia="zh-CN"/>
        </w:rPr>
        <w:t>（3）第三阶段：成果阶段，根据甲方最终意见，乙方于40个工作日内完成规划设计最终成果并提交甲方。</w:t>
      </w:r>
    </w:p>
    <w:p>
      <w:pPr>
        <w:spacing w:line="500" w:lineRule="exact"/>
        <w:ind w:firstLine="480" w:firstLineChars="200"/>
        <w:jc w:val="left"/>
        <w:rPr>
          <w:rFonts w:hint="eastAsia" w:ascii="宋体" w:hAnsi="宋体" w:cs="宋体"/>
          <w:b/>
          <w:bCs/>
          <w:sz w:val="24"/>
          <w:highlight w:val="none"/>
          <w:lang w:eastAsia="zh-CN"/>
        </w:rPr>
      </w:pPr>
      <w:r>
        <w:rPr>
          <w:rFonts w:hint="eastAsia" w:ascii="宋体" w:hAnsi="宋体" w:cs="宋体"/>
          <w:bCs/>
          <w:sz w:val="24"/>
          <w:highlight w:val="none"/>
          <w:lang w:eastAsia="zh-CN"/>
        </w:rPr>
        <w:t>以上时间安排不包括甲乙双方方案的讨论、评议会议及等待甲方回复意见的时间，具体时间以甲方要求为准。</w:t>
      </w:r>
    </w:p>
    <w:p>
      <w:pPr>
        <w:numPr>
          <w:ilvl w:val="0"/>
          <w:numId w:val="0"/>
        </w:numPr>
        <w:adjustRightInd w:val="0"/>
        <w:snapToGrid w:val="0"/>
        <w:rPr>
          <w:rFonts w:hint="eastAsia" w:ascii="宋体" w:hAnsi="宋体" w:cs="宋体"/>
          <w:b/>
          <w:bCs/>
          <w:sz w:val="24"/>
          <w:highlight w:val="none"/>
          <w:lang w:eastAsia="zh-CN"/>
        </w:rPr>
      </w:pPr>
      <w:bookmarkStart w:id="64" w:name="_Toc269217281"/>
      <w:bookmarkStart w:id="65" w:name="_Toc28139"/>
      <w:bookmarkStart w:id="66" w:name="_Toc340321922"/>
      <w:bookmarkStart w:id="67" w:name="_Toc340322177"/>
      <w:bookmarkStart w:id="68" w:name="_Toc339302138"/>
      <w:r>
        <w:rPr>
          <w:rFonts w:hint="eastAsia" w:ascii="宋体" w:hAnsi="宋体" w:cs="宋体"/>
          <w:b/>
          <w:bCs/>
          <w:sz w:val="24"/>
          <w:highlight w:val="none"/>
          <w:lang w:eastAsia="zh-CN"/>
        </w:rPr>
        <w:t>七、验收标准</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val="en-US" w:eastAsia="zh-CN"/>
        </w:rPr>
        <w:t>中间成果和最终成果经甲方或者甲方组织的会议审查验收通过。</w:t>
      </w:r>
    </w:p>
    <w:bookmarkEnd w:id="64"/>
    <w:bookmarkEnd w:id="65"/>
    <w:bookmarkEnd w:id="66"/>
    <w:bookmarkEnd w:id="67"/>
    <w:bookmarkEnd w:id="68"/>
    <w:p>
      <w:pPr>
        <w:spacing w:line="500" w:lineRule="exact"/>
        <w:jc w:val="left"/>
        <w:rPr>
          <w:rFonts w:hint="eastAsia" w:ascii="宋体" w:hAnsi="宋体" w:cs="宋体"/>
          <w:b/>
          <w:bCs/>
          <w:sz w:val="24"/>
          <w:highlight w:val="none"/>
          <w:lang w:eastAsia="zh-CN"/>
        </w:rPr>
      </w:pPr>
      <w:r>
        <w:rPr>
          <w:rFonts w:hint="eastAsia" w:ascii="宋体" w:hAnsi="宋体" w:cs="宋体"/>
          <w:b/>
          <w:bCs/>
          <w:sz w:val="24"/>
          <w:highlight w:val="none"/>
          <w:lang w:eastAsia="zh-CN"/>
        </w:rPr>
        <w:t>八、设计费</w:t>
      </w:r>
    </w:p>
    <w:p>
      <w:pPr>
        <w:spacing w:line="500" w:lineRule="exact"/>
        <w:ind w:firstLine="480"/>
        <w:rPr>
          <w:rFonts w:hint="eastAsia" w:ascii="宋体" w:hAnsi="宋体" w:cs="宋体"/>
          <w:bCs/>
          <w:sz w:val="24"/>
          <w:highlight w:val="none"/>
          <w:lang w:eastAsia="zh-CN"/>
        </w:rPr>
      </w:pPr>
      <w:r>
        <w:rPr>
          <w:rFonts w:hint="eastAsia" w:ascii="宋体" w:hAnsi="宋体" w:cs="宋体"/>
          <w:bCs/>
          <w:sz w:val="24"/>
          <w:highlight w:val="none"/>
          <w:lang w:eastAsia="zh-CN"/>
        </w:rPr>
        <w:t>设计费含税总额人民币（大写）</w:t>
      </w:r>
      <w:r>
        <w:rPr>
          <w:rFonts w:hint="eastAsia" w:ascii="宋体" w:hAnsi="宋体" w:cs="宋体"/>
          <w:bCs/>
          <w:sz w:val="24"/>
          <w:highlight w:val="none"/>
          <w:u w:val="single"/>
          <w:lang w:eastAsia="zh-CN"/>
        </w:rPr>
        <w:t xml:space="preserve">     </w:t>
      </w:r>
      <w:r>
        <w:rPr>
          <w:rFonts w:hint="eastAsia" w:ascii="宋体" w:hAnsi="宋体" w:cs="宋体"/>
          <w:bCs/>
          <w:sz w:val="24"/>
          <w:highlight w:val="none"/>
          <w:lang w:eastAsia="zh-CN"/>
        </w:rPr>
        <w:t>。</w:t>
      </w:r>
    </w:p>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九</w:t>
      </w:r>
      <w:r>
        <w:rPr>
          <w:rFonts w:hint="eastAsia" w:ascii="宋体" w:hAnsi="宋体" w:cs="宋体"/>
          <w:b/>
          <w:bCs/>
          <w:sz w:val="24"/>
          <w:highlight w:val="none"/>
        </w:rPr>
        <w:t>、履约保证金</w:t>
      </w:r>
    </w:p>
    <w:p>
      <w:pPr>
        <w:spacing w:line="500" w:lineRule="exact"/>
        <w:ind w:firstLine="480" w:firstLineChars="200"/>
        <w:jc w:val="left"/>
        <w:rPr>
          <w:rFonts w:ascii="宋体" w:hAnsi="宋体" w:cs="宋体"/>
          <w:sz w:val="24"/>
          <w:highlight w:val="none"/>
        </w:rPr>
      </w:pPr>
      <w:bookmarkStart w:id="69" w:name="_Toc339302140"/>
      <w:bookmarkStart w:id="70" w:name="_Toc340321924"/>
      <w:bookmarkStart w:id="71" w:name="_Toc340322179"/>
      <w:r>
        <w:rPr>
          <w:rFonts w:hint="eastAsia" w:ascii="宋体" w:hAnsi="宋体" w:cs="宋体"/>
          <w:sz w:val="24"/>
          <w:highlight w:val="none"/>
        </w:rPr>
        <w:t>中标金额的 1 %；收到中标通知书之日起5个工作日内缴纳履约保证金，项目验收合格并经采购人认可后30日内无息退还履约保证金。履约保证金支付方式：转账形式。</w:t>
      </w:r>
    </w:p>
    <w:bookmarkEnd w:id="69"/>
    <w:bookmarkEnd w:id="70"/>
    <w:bookmarkEnd w:id="71"/>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十</w:t>
      </w:r>
      <w:r>
        <w:rPr>
          <w:rFonts w:hint="eastAsia" w:ascii="宋体" w:hAnsi="宋体" w:cs="宋体"/>
          <w:b/>
          <w:bCs/>
          <w:sz w:val="24"/>
          <w:highlight w:val="none"/>
        </w:rPr>
        <w:t>、付款方式</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（1）合同签订后7个工作日内，甲方支付给乙方合同金额的</w:t>
      </w:r>
      <w:r>
        <w:rPr>
          <w:rFonts w:hint="eastAsia" w:ascii="宋体" w:hAnsi="宋体" w:cs="宋体"/>
          <w:sz w:val="24"/>
          <w:highlight w:val="none"/>
          <w:lang w:val="en-US" w:eastAsia="zh-CN"/>
        </w:rPr>
        <w:t>1</w:t>
      </w:r>
      <w:r>
        <w:rPr>
          <w:rFonts w:hint="eastAsia" w:ascii="宋体" w:hAnsi="宋体" w:cs="宋体"/>
          <w:sz w:val="24"/>
          <w:highlight w:val="none"/>
          <w:lang w:val="zh-TW" w:eastAsia="zh-TW"/>
        </w:rPr>
        <w:t>0％。</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（2）项目成果方案通过甲方部门审查通过后7个工作日内，甲方支付给乙方合同金额的</w:t>
      </w:r>
      <w:r>
        <w:rPr>
          <w:rFonts w:hint="eastAsia" w:ascii="宋体" w:hAnsi="宋体" w:cs="宋体"/>
          <w:sz w:val="24"/>
          <w:highlight w:val="none"/>
          <w:lang w:val="en-US" w:eastAsia="zh-CN"/>
        </w:rPr>
        <w:t>50</w:t>
      </w:r>
      <w:r>
        <w:rPr>
          <w:rFonts w:hint="eastAsia" w:ascii="宋体" w:hAnsi="宋体" w:cs="宋体"/>
          <w:sz w:val="24"/>
          <w:highlight w:val="none"/>
          <w:lang w:val="zh-TW" w:eastAsia="zh-TW"/>
        </w:rPr>
        <w:t>％。</w:t>
      </w:r>
    </w:p>
    <w:p>
      <w:pPr>
        <w:numPr>
          <w:ilvl w:val="0"/>
          <w:numId w:val="0"/>
        </w:numPr>
        <w:spacing w:line="500" w:lineRule="exact"/>
        <w:ind w:firstLine="480" w:firstLineChars="200"/>
        <w:jc w:val="left"/>
        <w:rPr>
          <w:rFonts w:hint="eastAsia" w:ascii="宋体" w:hAnsi="宋体" w:cs="宋体"/>
          <w:sz w:val="24"/>
          <w:highlight w:val="none"/>
          <w:lang w:val="zh-TW" w:eastAsia="zh-TW"/>
        </w:rPr>
      </w:pPr>
      <w:r>
        <w:rPr>
          <w:rFonts w:hint="eastAsia" w:ascii="宋体" w:hAnsi="宋体" w:cs="宋体"/>
          <w:sz w:val="24"/>
          <w:highlight w:val="none"/>
          <w:lang w:val="zh-TW" w:eastAsia="zh-TW"/>
        </w:rPr>
        <w:t>（3）项目根据甲方意见修改后，提供最终成果</w:t>
      </w:r>
      <w:r>
        <w:rPr>
          <w:rFonts w:hint="eastAsia" w:ascii="宋体" w:hAnsi="宋体" w:cs="宋体"/>
          <w:sz w:val="24"/>
          <w:highlight w:val="none"/>
          <w:lang w:val="zh-TW" w:eastAsia="zh-CN"/>
        </w:rPr>
        <w:t>。项目完成招标</w:t>
      </w:r>
      <w:r>
        <w:rPr>
          <w:rFonts w:hint="eastAsia" w:ascii="宋体" w:hAnsi="宋体" w:cs="宋体"/>
          <w:sz w:val="24"/>
          <w:highlight w:val="none"/>
          <w:lang w:val="zh-TW" w:eastAsia="zh-TW"/>
        </w:rPr>
        <w:t>后7个工作日内，甲方支付给乙方合同金额的</w:t>
      </w:r>
      <w:r>
        <w:rPr>
          <w:rFonts w:hint="eastAsia" w:ascii="宋体" w:hAnsi="宋体" w:cs="宋体"/>
          <w:sz w:val="24"/>
          <w:highlight w:val="none"/>
          <w:lang w:val="en-US" w:eastAsia="zh-CN"/>
        </w:rPr>
        <w:t>3</w:t>
      </w:r>
      <w:r>
        <w:rPr>
          <w:rFonts w:hint="eastAsia" w:ascii="宋体" w:hAnsi="宋体" w:cs="宋体"/>
          <w:sz w:val="24"/>
          <w:highlight w:val="none"/>
          <w:lang w:val="zh-TW" w:eastAsia="zh-TW"/>
        </w:rPr>
        <w:t>0％。</w:t>
      </w:r>
    </w:p>
    <w:p>
      <w:pPr>
        <w:numPr>
          <w:ilvl w:val="0"/>
          <w:numId w:val="0"/>
        </w:numPr>
        <w:spacing w:line="500" w:lineRule="exact"/>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zh-TW" w:eastAsia="zh-CN"/>
        </w:rPr>
        <w:t>（</w:t>
      </w:r>
      <w:r>
        <w:rPr>
          <w:rFonts w:hint="eastAsia" w:ascii="宋体" w:hAnsi="宋体" w:cs="宋体"/>
          <w:sz w:val="24"/>
          <w:highlight w:val="none"/>
          <w:lang w:val="en-US" w:eastAsia="zh-CN"/>
        </w:rPr>
        <w:t>4</w:t>
      </w:r>
      <w:r>
        <w:rPr>
          <w:rFonts w:hint="eastAsia" w:ascii="宋体" w:hAnsi="宋体" w:cs="宋体"/>
          <w:sz w:val="24"/>
          <w:highlight w:val="none"/>
          <w:lang w:val="zh-TW" w:eastAsia="zh-CN"/>
        </w:rPr>
        <w:t>）无任何问题一年后支付剩余</w:t>
      </w:r>
      <w:r>
        <w:rPr>
          <w:rFonts w:hint="eastAsia" w:ascii="宋体" w:hAnsi="宋体" w:cs="宋体"/>
          <w:sz w:val="24"/>
          <w:highlight w:val="none"/>
          <w:lang w:val="en-US" w:eastAsia="zh-CN"/>
        </w:rPr>
        <w:t>10%。</w:t>
      </w:r>
    </w:p>
    <w:p>
      <w:pPr>
        <w:numPr>
          <w:ilvl w:val="0"/>
          <w:numId w:val="0"/>
        </w:num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甲乙双方可根据项目的进度情况，分别办理付款申请、款项支付事项。</w:t>
      </w:r>
    </w:p>
    <w:p>
      <w:pPr>
        <w:numPr>
          <w:ilvl w:val="0"/>
          <w:numId w:val="0"/>
        </w:numPr>
        <w:spacing w:line="500" w:lineRule="exact"/>
        <w:jc w:val="left"/>
        <w:rPr>
          <w:rFonts w:hint="eastAsia" w:ascii="宋体" w:hAnsi="宋体" w:cs="宋体"/>
          <w:b/>
          <w:bCs/>
          <w:sz w:val="24"/>
          <w:highlight w:val="none"/>
        </w:rPr>
      </w:pPr>
      <w:r>
        <w:rPr>
          <w:rFonts w:hint="eastAsia" w:ascii="宋体" w:hAnsi="宋体" w:cs="宋体"/>
          <w:b/>
          <w:bCs/>
          <w:sz w:val="24"/>
          <w:highlight w:val="none"/>
          <w:lang w:eastAsia="zh-CN"/>
        </w:rPr>
        <w:t>十一、</w:t>
      </w:r>
      <w:r>
        <w:rPr>
          <w:rFonts w:hint="eastAsia" w:ascii="宋体" w:hAnsi="宋体" w:cs="宋体"/>
          <w:b/>
          <w:bCs/>
          <w:sz w:val="24"/>
          <w:highlight w:val="none"/>
        </w:rPr>
        <w:t>违约责任</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在合同生效七个工作日以后，甲方或乙方要求终止或解除合同，双方应协商处理，并就终止或解除合同达成一致。</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甲方应按本合同规定的时间和金额向乙方支付设计费。因甲方原因,造成项目延期或中止,甲方应出具书面说明,责任由甲方承担，并与乙方协商处理办法。</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乙方应按本合同约定的时间提交合格的设计图纸、文件。因乙方原因,造成项目延期或中止,乙方应出具书面说明,责任由乙方承担，并与甲方协商处理办法。</w:t>
      </w:r>
    </w:p>
    <w:p>
      <w:pPr>
        <w:spacing w:line="500" w:lineRule="exact"/>
        <w:jc w:val="left"/>
        <w:rPr>
          <w:rFonts w:ascii="宋体" w:hAnsi="宋体" w:cs="宋体"/>
          <w:b/>
          <w:bCs/>
          <w:sz w:val="24"/>
          <w:highlight w:val="none"/>
        </w:rPr>
      </w:pPr>
      <w:r>
        <w:rPr>
          <w:rFonts w:hint="eastAsia" w:ascii="宋体" w:hAnsi="宋体" w:cs="宋体"/>
          <w:b/>
          <w:bCs/>
          <w:sz w:val="24"/>
          <w:highlight w:val="none"/>
          <w:lang w:eastAsia="zh-CN"/>
        </w:rPr>
        <w:t>十二</w:t>
      </w:r>
      <w:r>
        <w:rPr>
          <w:rFonts w:hint="eastAsia" w:ascii="宋体" w:hAnsi="宋体" w:cs="宋体"/>
          <w:b/>
          <w:bCs/>
          <w:sz w:val="24"/>
          <w:highlight w:val="none"/>
        </w:rPr>
        <w:t>、争议解决</w:t>
      </w:r>
    </w:p>
    <w:p>
      <w:pPr>
        <w:spacing w:line="500" w:lineRule="exact"/>
        <w:ind w:firstLine="480" w:firstLineChars="200"/>
        <w:jc w:val="left"/>
        <w:rPr>
          <w:rFonts w:ascii="宋体" w:hAnsi="宋体" w:cs="宋体"/>
          <w:sz w:val="24"/>
          <w:highlight w:val="none"/>
          <w:lang w:val="zh-CN"/>
        </w:rPr>
      </w:pPr>
      <w:r>
        <w:rPr>
          <w:rFonts w:hint="eastAsia" w:ascii="宋体" w:hAnsi="宋体" w:cs="宋体"/>
          <w:sz w:val="24"/>
          <w:highlight w:val="none"/>
          <w:lang w:val="zh-CN"/>
        </w:rPr>
        <w:t>本合同在履行中若发生争议，</w:t>
      </w:r>
      <w:r>
        <w:rPr>
          <w:rFonts w:hint="eastAsia" w:ascii="宋体" w:hAnsi="宋体" w:cs="宋体"/>
          <w:sz w:val="24"/>
          <w:highlight w:val="none"/>
        </w:rPr>
        <w:t>双方</w:t>
      </w:r>
      <w:r>
        <w:rPr>
          <w:rFonts w:hint="eastAsia" w:ascii="宋体" w:hAnsi="宋体" w:cs="宋体"/>
          <w:sz w:val="24"/>
          <w:highlight w:val="none"/>
          <w:lang w:val="zh-CN"/>
        </w:rPr>
        <w:t>应协商解决。协商不成时，按下列方式</w:t>
      </w:r>
      <w:r>
        <w:rPr>
          <w:rFonts w:hint="eastAsia" w:ascii="宋体" w:hAnsi="宋体" w:cs="宋体"/>
          <w:sz w:val="24"/>
          <w:highlight w:val="none"/>
          <w:u w:val="single"/>
        </w:rPr>
        <w:t xml:space="preserve">（2） </w:t>
      </w:r>
      <w:r>
        <w:rPr>
          <w:rFonts w:hint="eastAsia" w:ascii="宋体" w:hAnsi="宋体" w:cs="宋体"/>
          <w:sz w:val="24"/>
          <w:highlight w:val="none"/>
          <w:lang w:val="zh-CN"/>
        </w:rPr>
        <w:t>处理：</w:t>
      </w:r>
    </w:p>
    <w:p>
      <w:pPr>
        <w:spacing w:line="500" w:lineRule="exact"/>
        <w:ind w:firstLine="480" w:firstLineChars="200"/>
        <w:jc w:val="left"/>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 xml:space="preserve">提交绍兴市仲裁委员会仲裁。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依法向嵊州市人民法院起诉</w:t>
      </w:r>
      <w:r>
        <w:rPr>
          <w:rFonts w:hint="eastAsia" w:ascii="宋体" w:hAnsi="宋体" w:cs="宋体"/>
          <w:sz w:val="24"/>
          <w:highlight w:val="none"/>
        </w:rPr>
        <w:t>。</w:t>
      </w:r>
    </w:p>
    <w:p>
      <w:pPr>
        <w:spacing w:line="500" w:lineRule="exact"/>
        <w:jc w:val="left"/>
        <w:rPr>
          <w:rFonts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eastAsia="zh-CN"/>
        </w:rPr>
        <w:t>三</w:t>
      </w:r>
      <w:r>
        <w:rPr>
          <w:rFonts w:hint="eastAsia" w:ascii="宋体" w:hAnsi="宋体" w:cs="宋体"/>
          <w:b/>
          <w:bCs/>
          <w:sz w:val="24"/>
          <w:highlight w:val="none"/>
        </w:rPr>
        <w:t>、免责条款</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因自然灾害和不可抗力因素导致甲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spacing w:line="500" w:lineRule="exact"/>
        <w:jc w:val="left"/>
        <w:rPr>
          <w:rFonts w:ascii="宋体" w:hAnsi="宋体" w:cs="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eastAsia="zh-CN"/>
        </w:rPr>
        <w:t>四</w:t>
      </w:r>
      <w:r>
        <w:rPr>
          <w:rFonts w:hint="eastAsia" w:ascii="宋体" w:hAnsi="宋体" w:cs="宋体"/>
          <w:b/>
          <w:bCs/>
          <w:sz w:val="24"/>
          <w:highlight w:val="none"/>
        </w:rPr>
        <w:t>、合同生效及其它</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1.招标文件、投标文件、更正公告、中标通知书、承诺函等均作为本合同组成部分，具有同等效力</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2.未经甲方书面确认，任何一方不得自行变更或修改本协议。</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3..本协议及所含附件自签署之日起有效。</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4.在仲裁和诉讼期间，除正在进行裁定的部分外，本合同其他部分应继续执行。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5.合同应在双方签字盖章，后开始生效。</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6.本合同未尽事宜，遵照《民法典》有关条文执行。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7.本合同正本一式</w:t>
      </w:r>
      <w:r>
        <w:rPr>
          <w:rFonts w:hint="eastAsia" w:ascii="宋体" w:hAnsi="宋体" w:cs="宋体"/>
          <w:sz w:val="24"/>
          <w:highlight w:val="none"/>
          <w:u w:val="single"/>
          <w:lang w:eastAsia="zh-CN"/>
        </w:rPr>
        <w:t>陆</w:t>
      </w:r>
      <w:r>
        <w:rPr>
          <w:rFonts w:hint="eastAsia" w:ascii="宋体" w:hAnsi="宋体" w:cs="宋体"/>
          <w:sz w:val="24"/>
          <w:highlight w:val="none"/>
        </w:rPr>
        <w:t>份，具有同等法律效力，甲乙</w:t>
      </w:r>
      <w:r>
        <w:rPr>
          <w:rFonts w:hint="eastAsia" w:ascii="宋体" w:hAnsi="宋体" w:cs="宋体"/>
          <w:sz w:val="24"/>
          <w:highlight w:val="none"/>
          <w:lang w:eastAsia="zh-CN"/>
        </w:rPr>
        <w:t>三</w:t>
      </w:r>
      <w:r>
        <w:rPr>
          <w:rFonts w:hint="eastAsia" w:ascii="宋体" w:hAnsi="宋体" w:cs="宋体"/>
          <w:sz w:val="24"/>
          <w:highlight w:val="none"/>
        </w:rPr>
        <w:t>方各执</w:t>
      </w:r>
      <w:r>
        <w:rPr>
          <w:rFonts w:hint="eastAsia" w:ascii="宋体" w:hAnsi="宋体" w:cs="宋体"/>
          <w:sz w:val="24"/>
          <w:highlight w:val="none"/>
          <w:u w:val="single"/>
          <w:lang w:eastAsia="zh-CN"/>
        </w:rPr>
        <w:t>贰</w:t>
      </w:r>
      <w:r>
        <w:rPr>
          <w:rFonts w:hint="eastAsia" w:ascii="宋体" w:hAnsi="宋体" w:cs="宋体"/>
          <w:sz w:val="24"/>
          <w:highlight w:val="none"/>
          <w:u w:val="single"/>
        </w:rPr>
        <w:t xml:space="preserve"> </w:t>
      </w:r>
      <w:r>
        <w:rPr>
          <w:rFonts w:hint="eastAsia" w:ascii="宋体" w:hAnsi="宋体" w:cs="宋体"/>
          <w:sz w:val="24"/>
          <w:highlight w:val="none"/>
        </w:rPr>
        <w:t>份。</w:t>
      </w:r>
    </w:p>
    <w:p>
      <w:pPr>
        <w:spacing w:line="50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本协议自双方法定代表或授权委托人签字并加盖公章之日起生效</w:t>
      </w:r>
      <w:r>
        <w:rPr>
          <w:rFonts w:hint="eastAsia" w:ascii="宋体" w:hAnsi="宋体" w:cs="宋体"/>
          <w:sz w:val="24"/>
          <w:highlight w:val="none"/>
          <w:lang w:eastAsia="zh-CN"/>
        </w:rPr>
        <w:t>。</w:t>
      </w:r>
    </w:p>
    <w:p>
      <w:pPr>
        <w:pStyle w:val="2"/>
      </w:pP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lang w:eastAsia="zh-CN"/>
        </w:rPr>
        <w:t>采购单位</w:t>
      </w:r>
      <w:r>
        <w:rPr>
          <w:rFonts w:hint="eastAsia" w:ascii="宋体" w:hAnsi="宋体" w:cs="宋体"/>
          <w:sz w:val="24"/>
          <w:highlight w:val="none"/>
        </w:rPr>
        <w:t>（盖章）：                  甲方</w:t>
      </w:r>
      <w:r>
        <w:rPr>
          <w:rFonts w:hint="eastAsia" w:ascii="宋体" w:hAnsi="宋体" w:cs="宋体"/>
          <w:sz w:val="24"/>
          <w:highlight w:val="none"/>
          <w:lang w:eastAsia="zh-CN"/>
        </w:rPr>
        <w:t>实施单位</w:t>
      </w:r>
      <w:r>
        <w:rPr>
          <w:rFonts w:hint="eastAsia" w:ascii="宋体" w:hAnsi="宋体" w:cs="宋体"/>
          <w:sz w:val="24"/>
          <w:highlight w:val="none"/>
        </w:rPr>
        <w:t>（盖章）：</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联系地址：                              联系地址：   </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法定（授权）代表人：                    法定（授权）代表人：</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开户银行：                              开户银行：  </w:t>
      </w:r>
    </w:p>
    <w:p>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账  号：                                账  号：       </w:t>
      </w: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hint="eastAsia" w:ascii="宋体" w:hAnsi="宋体" w:cs="宋体"/>
          <w:sz w:val="24"/>
          <w:highlight w:val="none"/>
        </w:rPr>
      </w:pP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lang w:eastAsia="zh-CN"/>
        </w:rPr>
        <w:t>乙方</w:t>
      </w:r>
      <w:r>
        <w:rPr>
          <w:rFonts w:hint="eastAsia" w:ascii="宋体" w:hAnsi="宋体" w:cs="宋体"/>
          <w:sz w:val="24"/>
          <w:highlight w:val="none"/>
        </w:rPr>
        <w:t>（盖章）：</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联系地址：</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法定（授权）代表人：</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开户银行：</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账  号：   </w:t>
      </w:r>
    </w:p>
    <w:p>
      <w:pPr>
        <w:spacing w:line="500" w:lineRule="exact"/>
        <w:jc w:val="left"/>
        <w:rPr>
          <w:rFonts w:ascii="宋体" w:hAnsi="宋体" w:cs="宋体"/>
          <w:sz w:val="24"/>
          <w:highlight w:val="none"/>
        </w:rPr>
      </w:pPr>
    </w:p>
    <w:p>
      <w:pPr>
        <w:spacing w:line="500" w:lineRule="exact"/>
        <w:ind w:firstLine="480" w:firstLineChars="200"/>
        <w:jc w:val="left"/>
        <w:rPr>
          <w:rFonts w:ascii="宋体" w:hAnsi="宋体" w:cs="宋体"/>
          <w:sz w:val="24"/>
          <w:highlight w:val="none"/>
        </w:rPr>
      </w:pPr>
    </w:p>
    <w:p>
      <w:pPr>
        <w:spacing w:line="500" w:lineRule="exact"/>
        <w:ind w:firstLine="480" w:firstLineChars="200"/>
        <w:jc w:val="left"/>
        <w:rPr>
          <w:rFonts w:ascii="宋体" w:hAnsi="宋体" w:cs="宋体"/>
          <w:b/>
          <w:sz w:val="24"/>
          <w:highlight w:val="none"/>
        </w:rPr>
      </w:pPr>
      <w:r>
        <w:rPr>
          <w:rFonts w:hint="eastAsia" w:ascii="宋体" w:hAnsi="宋体" w:cs="宋体"/>
          <w:sz w:val="24"/>
          <w:highlight w:val="none"/>
        </w:rPr>
        <w:t xml:space="preserve">                                        签订日期：    年    月    日</w:t>
      </w:r>
    </w:p>
    <w:p>
      <w:pPr>
        <w:pStyle w:val="26"/>
        <w:spacing w:line="480" w:lineRule="exact"/>
        <w:rPr>
          <w:rFonts w:hAnsi="宋体"/>
          <w:kern w:val="0"/>
          <w:sz w:val="24"/>
          <w:szCs w:val="24"/>
          <w:highlight w:val="none"/>
        </w:rPr>
      </w:pPr>
    </w:p>
    <w:p>
      <w:pPr>
        <w:rPr>
          <w:rFonts w:ascii="宋体" w:hAnsi="宋体" w:cs="宋体"/>
          <w:highlight w:val="none"/>
        </w:rPr>
      </w:pPr>
      <w:bookmarkStart w:id="72" w:name="_Toc1188"/>
      <w:bookmarkStart w:id="73" w:name="_Toc8187"/>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rPr>
          <w:rFonts w:hint="eastAsia"/>
        </w:rPr>
      </w:pPr>
    </w:p>
    <w:p>
      <w:pPr>
        <w:ind w:firstLine="3200" w:firstLineChars="1000"/>
        <w:jc w:val="both"/>
        <w:rPr>
          <w:rFonts w:hint="eastAsia" w:ascii="宋体" w:hAnsi="宋体" w:cs="宋体"/>
          <w:sz w:val="32"/>
          <w:szCs w:val="32"/>
          <w:highlight w:val="none"/>
        </w:rPr>
      </w:pPr>
    </w:p>
    <w:p>
      <w:pPr>
        <w:ind w:firstLine="3200" w:firstLineChars="1000"/>
        <w:jc w:val="both"/>
        <w:rPr>
          <w:rFonts w:hint="eastAsia" w:ascii="宋体" w:hAnsi="宋体" w:cs="宋体"/>
          <w:sz w:val="32"/>
          <w:szCs w:val="32"/>
          <w:highlight w:val="none"/>
        </w:rPr>
      </w:pPr>
    </w:p>
    <w:p>
      <w:pPr>
        <w:spacing w:line="500" w:lineRule="exact"/>
        <w:ind w:firstLine="720" w:firstLineChars="200"/>
        <w:jc w:val="center"/>
        <w:rPr>
          <w:rFonts w:hint="eastAsia" w:ascii="宋体" w:hAnsi="宋体" w:cs="宋体"/>
          <w:sz w:val="36"/>
          <w:szCs w:val="36"/>
          <w:highlight w:val="none"/>
        </w:rPr>
      </w:pPr>
      <w:r>
        <w:rPr>
          <w:rFonts w:hint="eastAsia" w:ascii="宋体" w:hAnsi="宋体" w:cs="宋体"/>
          <w:sz w:val="36"/>
          <w:szCs w:val="36"/>
          <w:highlight w:val="none"/>
        </w:rPr>
        <w:t>第六章 投标文件格式</w:t>
      </w:r>
      <w:bookmarkEnd w:id="72"/>
      <w:bookmarkEnd w:id="73"/>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本附件所有格式仅供制作投标文件时参考，投标人应根据行业特点，结合本项目的相关要求，对有关内容、表格可进行补充或修改，但不得对实质性内容做出变动。</w:t>
      </w:r>
    </w:p>
    <w:p>
      <w:pPr>
        <w:snapToGrid w:val="0"/>
        <w:spacing w:beforeLines="50" w:after="50" w:line="360" w:lineRule="auto"/>
        <w:rPr>
          <w:rFonts w:ascii="宋体" w:hAnsi="宋体" w:cs="宋体"/>
          <w:b/>
          <w:bCs/>
          <w:sz w:val="24"/>
          <w:highlight w:val="none"/>
        </w:rPr>
      </w:pPr>
      <w:r>
        <w:rPr>
          <w:rFonts w:hint="eastAsia" w:ascii="宋体" w:hAnsi="宋体" w:cs="宋体"/>
          <w:b/>
          <w:bCs/>
          <w:sz w:val="24"/>
          <w:highlight w:val="none"/>
        </w:rPr>
        <w:t xml:space="preserve">封面格式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jc w:val="right"/>
        <w:rPr>
          <w:rFonts w:ascii="宋体" w:hAnsi="宋体" w:cs="宋体"/>
          <w:b/>
          <w:bCs/>
          <w:sz w:val="52"/>
          <w:szCs w:val="52"/>
          <w:highlight w:val="none"/>
        </w:rPr>
      </w:pPr>
      <w:r>
        <w:rPr>
          <w:rFonts w:hint="eastAsia" w:ascii="宋体" w:hAnsi="宋体" w:cs="宋体"/>
          <w:sz w:val="32"/>
          <w:szCs w:val="32"/>
          <w:highlight w:val="none"/>
        </w:rPr>
        <w:t>正本或副本</w:t>
      </w:r>
      <w:r>
        <w:rPr>
          <w:rFonts w:hint="eastAsia" w:ascii="宋体" w:hAnsi="宋体" w:cs="宋体"/>
          <w:b/>
          <w:bCs/>
          <w:sz w:val="52"/>
          <w:szCs w:val="52"/>
          <w:highlight w:val="none"/>
        </w:rPr>
        <w:t xml:space="preserve"> </w:t>
      </w:r>
    </w:p>
    <w:p>
      <w:pPr>
        <w:snapToGrid w:val="0"/>
        <w:spacing w:beforeLines="50" w:after="50" w:line="360" w:lineRule="auto"/>
        <w:jc w:val="center"/>
        <w:rPr>
          <w:rFonts w:ascii="宋体" w:hAnsi="宋体" w:cs="宋体"/>
          <w:b/>
          <w:bCs/>
          <w:sz w:val="52"/>
          <w:szCs w:val="52"/>
          <w:highlight w:val="none"/>
        </w:rPr>
      </w:pPr>
    </w:p>
    <w:p>
      <w:pPr>
        <w:snapToGrid w:val="0"/>
        <w:spacing w:beforeLines="50" w:after="50" w:line="360" w:lineRule="auto"/>
        <w:jc w:val="center"/>
        <w:rPr>
          <w:rFonts w:ascii="宋体" w:hAnsi="宋体" w:cs="宋体"/>
          <w:b/>
          <w:bCs/>
          <w:sz w:val="52"/>
          <w:szCs w:val="52"/>
          <w:highlight w:val="none"/>
        </w:rPr>
      </w:pPr>
      <w:r>
        <w:rPr>
          <w:rFonts w:hint="eastAsia" w:ascii="宋体" w:hAnsi="宋体" w:cs="宋体"/>
          <w:b/>
          <w:bCs/>
          <w:sz w:val="52"/>
          <w:szCs w:val="52"/>
          <w:highlight w:val="none"/>
        </w:rPr>
        <w:t>资格文件/资信技术文件/报价文件</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beforeLines="50" w:after="50" w:line="360" w:lineRule="auto"/>
        <w:rPr>
          <w:rFonts w:ascii="宋体" w:hAnsi="宋体" w:cs="宋体"/>
          <w:sz w:val="24"/>
          <w:highlight w:val="none"/>
        </w:rPr>
      </w:pPr>
      <w:r>
        <w:rPr>
          <w:rFonts w:hint="eastAsia" w:ascii="宋体" w:hAnsi="宋体" w:cs="宋体"/>
          <w:sz w:val="24"/>
          <w:highlight w:val="none"/>
        </w:rPr>
        <w:t xml:space="preserve"> </w:t>
      </w:r>
    </w:p>
    <w:p>
      <w:pPr>
        <w:pStyle w:val="16"/>
        <w:ind w:left="0" w:right="-252"/>
        <w:rPr>
          <w:rFonts w:hint="default" w:cs="宋体"/>
          <w:szCs w:val="28"/>
          <w:highlight w:val="none"/>
        </w:rPr>
      </w:pPr>
    </w:p>
    <w:p>
      <w:pPr>
        <w:snapToGrid w:val="0"/>
        <w:spacing w:beforeLines="50" w:after="50" w:line="360" w:lineRule="auto"/>
        <w:ind w:firstLine="2520" w:firstLineChars="900"/>
        <w:jc w:val="left"/>
        <w:rPr>
          <w:rFonts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pPr>
        <w:snapToGrid w:val="0"/>
        <w:spacing w:beforeLines="50" w:after="50" w:line="360" w:lineRule="auto"/>
        <w:ind w:firstLine="2520" w:firstLineChars="900"/>
        <w:jc w:val="left"/>
        <w:rPr>
          <w:rFonts w:ascii="宋体" w:hAnsi="宋体" w:cs="宋体"/>
          <w:highlight w:val="none"/>
        </w:rPr>
      </w:pPr>
      <w:r>
        <w:rPr>
          <w:rFonts w:hint="eastAsia" w:ascii="宋体" w:hAnsi="宋体" w:cs="宋体"/>
          <w:sz w:val="28"/>
          <w:szCs w:val="28"/>
          <w:highlight w:val="none"/>
        </w:rPr>
        <w:t>项目编号：</w:t>
      </w:r>
      <w:r>
        <w:rPr>
          <w:rFonts w:hint="eastAsia" w:ascii="宋体" w:hAnsi="宋体" w:cs="宋体"/>
          <w:highlight w:val="none"/>
          <w:u w:val="single"/>
        </w:rPr>
        <w:t xml:space="preserve">                          </w:t>
      </w:r>
    </w:p>
    <w:p>
      <w:pPr>
        <w:snapToGrid w:val="0"/>
        <w:spacing w:beforeLines="50" w:after="50" w:line="360" w:lineRule="auto"/>
        <w:ind w:firstLine="2520" w:firstLineChars="900"/>
        <w:jc w:val="left"/>
        <w:rPr>
          <w:rFonts w:ascii="宋体" w:hAnsi="宋体" w:cs="宋体"/>
          <w:sz w:val="28"/>
          <w:szCs w:val="28"/>
          <w:highlight w:val="none"/>
        </w:rPr>
      </w:pPr>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（全称）（加盖公章） </w:t>
      </w:r>
    </w:p>
    <w:p>
      <w:pPr>
        <w:pStyle w:val="6"/>
        <w:spacing w:before="50" w:after="50" w:line="360" w:lineRule="auto"/>
        <w:ind w:firstLine="2520" w:firstLineChars="900"/>
        <w:jc w:val="left"/>
        <w:rPr>
          <w:rFonts w:hAnsi="宋体" w:cs="宋体"/>
          <w:color w:val="auto"/>
          <w:szCs w:val="28"/>
          <w:highlight w:val="none"/>
        </w:rPr>
      </w:pPr>
      <w:r>
        <w:rPr>
          <w:rFonts w:hint="eastAsia" w:hAnsi="宋体" w:cs="宋体"/>
          <w:color w:val="auto"/>
          <w:szCs w:val="28"/>
          <w:highlight w:val="none"/>
        </w:rPr>
        <w:t>投标人地址：</w:t>
      </w:r>
      <w:r>
        <w:rPr>
          <w:rFonts w:hint="eastAsia" w:hAnsi="宋体" w:cs="宋体"/>
          <w:color w:val="auto"/>
          <w:szCs w:val="28"/>
          <w:highlight w:val="none"/>
          <w:u w:val="single"/>
        </w:rPr>
        <w:t xml:space="preserve">                  </w:t>
      </w:r>
    </w:p>
    <w:p>
      <w:pPr>
        <w:pStyle w:val="6"/>
        <w:spacing w:before="50" w:after="50" w:line="360" w:lineRule="auto"/>
        <w:ind w:firstLine="3920" w:firstLineChars="1400"/>
        <w:jc w:val="left"/>
        <w:rPr>
          <w:rFonts w:hAnsi="宋体" w:cs="宋体"/>
          <w:color w:val="auto"/>
          <w:sz w:val="24"/>
          <w:szCs w:val="24"/>
          <w:highlight w:val="none"/>
        </w:rPr>
      </w:pPr>
      <w:r>
        <w:rPr>
          <w:rFonts w:hint="eastAsia" w:hAnsi="宋体" w:cs="宋体"/>
          <w:color w:val="auto"/>
          <w:szCs w:val="28"/>
          <w:highlight w:val="none"/>
        </w:rPr>
        <w:t>年  月  日</w:t>
      </w:r>
    </w:p>
    <w:p>
      <w:pPr>
        <w:jc w:val="left"/>
        <w:rPr>
          <w:rFonts w:ascii="宋体" w:hAnsi="宋体" w:cs="宋体"/>
          <w:highlight w:val="none"/>
        </w:rPr>
      </w:pPr>
      <w:r>
        <w:rPr>
          <w:rFonts w:hint="eastAsia" w:ascii="宋体" w:hAnsi="宋体" w:cs="宋体"/>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rPr>
        <w:t>资格文件目录</w:t>
      </w:r>
    </w:p>
    <w:p>
      <w:pPr>
        <w:jc w:val="left"/>
        <w:rPr>
          <w:rFonts w:ascii="宋体" w:hAnsi="宋体" w:cs="宋体"/>
          <w:highlight w:val="none"/>
        </w:rPr>
      </w:pP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（1）营业执照扫描件；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（2）符合参加国企采购活动应当具备的一般条件的承诺函；</w:t>
      </w:r>
    </w:p>
    <w:p>
      <w:pPr>
        <w:snapToGrid w:val="0"/>
        <w:spacing w:line="500" w:lineRule="exact"/>
        <w:ind w:firstLine="480" w:firstLineChars="200"/>
        <w:rPr>
          <w:rFonts w:hint="eastAsia" w:ascii="宋体" w:hAnsi="宋体" w:cs="宋体"/>
          <w:sz w:val="24"/>
          <w:highlight w:val="none"/>
          <w:u w:val="none"/>
        </w:rPr>
      </w:pPr>
      <w:r>
        <w:rPr>
          <w:rFonts w:hint="eastAsia" w:ascii="宋体" w:hAnsi="宋体" w:cs="宋体"/>
          <w:sz w:val="24"/>
          <w:highlight w:val="none"/>
          <w:u w:val="none"/>
        </w:rPr>
        <w:t>以上资料均需加盖CA公章。</w:t>
      </w: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pStyle w:val="35"/>
        <w:spacing w:before="120"/>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lang w:eastAsia="zh-CN"/>
        </w:rPr>
        <w:t>一、</w:t>
      </w:r>
      <w:r>
        <w:rPr>
          <w:rFonts w:hint="eastAsia" w:ascii="宋体" w:hAnsi="宋体" w:cs="宋体"/>
          <w:b/>
          <w:sz w:val="28"/>
          <w:szCs w:val="28"/>
          <w:highlight w:val="none"/>
        </w:rPr>
        <w:t>营业执照扫描件</w:t>
      </w: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highlight w:val="none"/>
        </w:rPr>
      </w:pPr>
    </w:p>
    <w:p>
      <w:pPr>
        <w:jc w:val="left"/>
        <w:rPr>
          <w:rFonts w:ascii="宋体" w:hAnsi="宋体" w:cs="宋体"/>
          <w:b/>
          <w:bCs/>
          <w:sz w:val="24"/>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lang w:eastAsia="zh-CN"/>
        </w:rPr>
        <w:t>二、</w:t>
      </w:r>
      <w:r>
        <w:rPr>
          <w:rFonts w:hint="eastAsia" w:ascii="宋体" w:hAnsi="宋体" w:cs="宋体"/>
          <w:b/>
          <w:sz w:val="28"/>
          <w:szCs w:val="28"/>
          <w:highlight w:val="none"/>
        </w:rPr>
        <w:t>符合参加国企采购活动应当具备的一般条件的承诺函</w:t>
      </w:r>
    </w:p>
    <w:p>
      <w:pPr>
        <w:snapToGrid w:val="0"/>
        <w:spacing w:line="360" w:lineRule="auto"/>
        <w:rPr>
          <w:rFonts w:ascii="宋体" w:hAnsi="宋体" w:cs="宋体"/>
          <w:b/>
          <w:bCs/>
          <w:sz w:val="24"/>
          <w:highlight w:val="none"/>
        </w:rPr>
      </w:pPr>
    </w:p>
    <w:p>
      <w:pPr>
        <w:snapToGrid w:val="0"/>
        <w:spacing w:line="500" w:lineRule="exact"/>
        <w:rPr>
          <w:rFonts w:ascii="宋体" w:hAnsi="宋体" w:cs="宋体"/>
          <w:sz w:val="24"/>
          <w:highlight w:val="none"/>
          <w:u w:val="single"/>
        </w:rPr>
      </w:pPr>
      <w:r>
        <w:rPr>
          <w:rFonts w:hint="eastAsia" w:ascii="宋体" w:hAnsi="宋体" w:cs="宋体"/>
          <w:sz w:val="24"/>
          <w:highlight w:val="none"/>
          <w:u w:val="single"/>
        </w:rPr>
        <w:t>（采购人）、（采购代理机构）：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 xml:space="preserve">                              </w:t>
      </w:r>
      <w:r>
        <w:rPr>
          <w:rFonts w:hint="eastAsia" w:ascii="宋体" w:hAnsi="宋体" w:cs="宋体"/>
          <w:sz w:val="24"/>
          <w:highlight w:val="none"/>
        </w:rPr>
        <w:t>（项目名称）【项目编号：</w:t>
      </w:r>
      <w:r>
        <w:rPr>
          <w:rFonts w:hint="eastAsia" w:ascii="宋体" w:hAnsi="宋体" w:cs="宋体"/>
          <w:sz w:val="24"/>
          <w:highlight w:val="none"/>
          <w:u w:val="single"/>
        </w:rPr>
        <w:t xml:space="preserve">         </w:t>
      </w:r>
      <w:r>
        <w:rPr>
          <w:rFonts w:hint="eastAsia" w:ascii="宋体" w:hAnsi="宋体" w:cs="宋体"/>
          <w:sz w:val="24"/>
          <w:highlight w:val="none"/>
        </w:rPr>
        <w:t>】采购活动，郑重承诺：</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1.具有独立承担民事责任的能力；</w:t>
      </w:r>
    </w:p>
    <w:p>
      <w:pPr>
        <w:adjustRightInd/>
        <w:spacing w:line="500" w:lineRule="exact"/>
        <w:ind w:firstLine="480" w:firstLineChars="200"/>
        <w:rPr>
          <w:rFonts w:ascii="宋体" w:hAnsi="宋体" w:cs="宋体"/>
          <w:highlight w:val="none"/>
        </w:rPr>
      </w:pPr>
      <w:r>
        <w:rPr>
          <w:rFonts w:hint="eastAsia" w:ascii="宋体" w:hAnsi="宋体" w:cs="宋体"/>
          <w:kern w:val="0"/>
          <w:sz w:val="24"/>
          <w:highlight w:val="none"/>
        </w:rPr>
        <w:t>2.具有良好的商业信誉；</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3.具有履行合同所必需的设备和专业技术、售后保障等能力；</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4.有依法缴纳税收和社会保障资金的良好记录；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5.参加采购活动前三年内，没有重大违法记录、严重失信行为和行贿记录；</w:t>
      </w:r>
    </w:p>
    <w:p>
      <w:pPr>
        <w:adjustRightInd/>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6.法律、行政法规规定的其他条件；</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1.单位负责人为同一人或者存在直接控股、管理关系的不同投标人参加同一合同项下的国企采购活动的；</w:t>
      </w:r>
    </w:p>
    <w:p>
      <w:pPr>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sz w:val="24"/>
          <w:highlight w:val="none"/>
        </w:rPr>
      </w:pPr>
    </w:p>
    <w:p>
      <w:pPr>
        <w:snapToGrid w:val="0"/>
        <w:spacing w:line="360" w:lineRule="auto"/>
        <w:ind w:firstLine="480" w:firstLineChars="20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snapToGrid w:val="0"/>
        <w:spacing w:beforeLines="50" w:after="50" w:line="360" w:lineRule="auto"/>
        <w:rPr>
          <w:rFonts w:ascii="宋体" w:hAnsi="宋体" w:cs="宋体"/>
          <w:b/>
          <w:bCs/>
          <w:sz w:val="24"/>
          <w:highlight w:val="none"/>
        </w:rPr>
      </w:pPr>
    </w:p>
    <w:p>
      <w:pPr>
        <w:jc w:val="left"/>
        <w:rPr>
          <w:rFonts w:ascii="宋体" w:hAnsi="宋体" w:cs="宋体"/>
          <w:b/>
          <w:bCs/>
          <w:sz w:val="24"/>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资信技术文件目录</w:t>
      </w:r>
    </w:p>
    <w:p>
      <w:pPr>
        <w:adjustRightInd/>
        <w:snapToGrid w:val="0"/>
        <w:spacing w:line="600" w:lineRule="exact"/>
        <w:ind w:firstLine="470" w:firstLineChars="196"/>
        <w:jc w:val="left"/>
        <w:rPr>
          <w:rFonts w:ascii="宋体" w:hAnsi="宋体" w:cs="宋体"/>
          <w:sz w:val="24"/>
          <w:highlight w:val="none"/>
        </w:rPr>
      </w:pP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（1）评分索引表；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（2）投标函；</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（3）法定代表人授权书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（4）法定代表人及其授权代表身份证复印件（复印件）</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（5）法定代表人身份证明书；</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（6）商务资信响应表；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（7）技术偏离表；</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lang w:eastAsia="zh-CN"/>
        </w:rPr>
        <w:t>投标人</w:t>
      </w:r>
      <w:r>
        <w:rPr>
          <w:rFonts w:hint="eastAsia" w:ascii="宋体" w:hAnsi="宋体" w:cs="宋体"/>
          <w:sz w:val="24"/>
          <w:highlight w:val="none"/>
          <w:lang w:val="zh-CN"/>
        </w:rPr>
        <w:t>廉洁自律承诺书</w:t>
      </w:r>
      <w:r>
        <w:rPr>
          <w:rFonts w:hint="eastAsia" w:ascii="宋体" w:hAnsi="宋体" w:cs="宋体"/>
          <w:sz w:val="24"/>
          <w:highlight w:val="none"/>
        </w:rPr>
        <w:t>；</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（9）同类业绩；</w:t>
      </w:r>
    </w:p>
    <w:p>
      <w:pPr>
        <w:adjustRightInd/>
        <w:snapToGrid w:val="0"/>
        <w:spacing w:line="500" w:lineRule="exact"/>
        <w:ind w:firstLine="470" w:firstLineChars="196"/>
        <w:jc w:val="left"/>
        <w:rPr>
          <w:rFonts w:ascii="宋体" w:hAnsi="宋体" w:cs="宋体"/>
          <w:highlight w:val="none"/>
        </w:rPr>
      </w:pPr>
      <w:r>
        <w:rPr>
          <w:rFonts w:hint="eastAsia" w:ascii="宋体" w:hAnsi="宋体" w:cs="宋体"/>
          <w:sz w:val="24"/>
          <w:highlight w:val="none"/>
        </w:rPr>
        <w:t>（10）项目实施方案；</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）未尽事宜请各投标单位按评分标准和相对应标项相关要求制作</w:t>
      </w:r>
    </w:p>
    <w:p>
      <w:pPr>
        <w:adjustRightInd/>
        <w:snapToGrid w:val="0"/>
        <w:spacing w:line="500" w:lineRule="exact"/>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）投标人认为需要提供的其他资料（如有）。</w:t>
      </w:r>
    </w:p>
    <w:p>
      <w:pPr>
        <w:jc w:val="left"/>
        <w:rPr>
          <w:rFonts w:ascii="宋体" w:hAnsi="宋体" w:cs="宋体"/>
          <w:b/>
          <w:bCs/>
          <w:sz w:val="24"/>
          <w:highlight w:val="none"/>
        </w:rPr>
      </w:pPr>
    </w:p>
    <w:p>
      <w:pPr>
        <w:jc w:val="left"/>
        <w:rPr>
          <w:rFonts w:ascii="宋体" w:hAnsi="宋体" w:cs="宋体"/>
          <w:b/>
          <w:bCs/>
          <w:sz w:val="24"/>
          <w:highlight w:val="none"/>
        </w:rPr>
      </w:pPr>
      <w:r>
        <w:rPr>
          <w:rFonts w:hint="eastAsia" w:ascii="宋体" w:hAnsi="宋体" w:cs="宋体"/>
          <w:b/>
          <w:bCs/>
          <w:sz w:val="24"/>
          <w:highlight w:val="none"/>
        </w:rPr>
        <w:t>注：无格式的投标人可自拟。</w:t>
      </w: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pStyle w:val="35"/>
        <w:spacing w:before="120"/>
        <w:rPr>
          <w:rFonts w:ascii="宋体" w:hAnsi="宋体" w:cs="宋体"/>
          <w:highlight w:val="none"/>
        </w:rPr>
      </w:pPr>
    </w:p>
    <w:p>
      <w:pPr>
        <w:pStyle w:val="35"/>
        <w:spacing w:before="120"/>
        <w:rPr>
          <w:rFonts w:ascii="宋体" w:hAnsi="宋体" w:cs="宋体"/>
          <w:highlight w:val="none"/>
        </w:rPr>
      </w:pPr>
    </w:p>
    <w:p>
      <w:pPr>
        <w:pStyle w:val="35"/>
        <w:spacing w:before="120"/>
        <w:rPr>
          <w:rFonts w:ascii="宋体" w:hAnsi="宋体" w:cs="宋体"/>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rPr>
          <w:rFonts w:ascii="宋体" w:hAnsi="宋体" w:cs="宋体"/>
          <w:b/>
          <w:bCs/>
          <w:sz w:val="32"/>
          <w:szCs w:val="32"/>
          <w:highlight w:val="none"/>
        </w:rPr>
      </w:pPr>
      <w:r>
        <w:rPr>
          <w:rFonts w:hint="eastAsia" w:ascii="宋体" w:hAnsi="宋体" w:cs="宋体"/>
          <w:b/>
          <w:bCs/>
          <w:sz w:val="32"/>
          <w:szCs w:val="32"/>
          <w:highlight w:val="none"/>
        </w:rPr>
        <w:br w:type="page"/>
      </w:r>
    </w:p>
    <w:p>
      <w:pPr>
        <w:jc w:val="center"/>
        <w:rPr>
          <w:rFonts w:ascii="宋体" w:hAnsi="宋体" w:cs="宋体"/>
          <w:b/>
          <w:bCs/>
          <w:sz w:val="32"/>
          <w:szCs w:val="32"/>
          <w:highlight w:val="none"/>
        </w:rPr>
      </w:pP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评分索引表</w:t>
      </w:r>
    </w:p>
    <w:p>
      <w:pPr>
        <w:jc w:val="left"/>
        <w:rPr>
          <w:rFonts w:ascii="宋体" w:hAnsi="宋体" w:cs="宋体"/>
          <w:b/>
          <w:bCs/>
          <w:sz w:val="24"/>
          <w:highlight w:val="none"/>
        </w:rPr>
      </w:pPr>
    </w:p>
    <w:tbl>
      <w:tblPr>
        <w:tblStyle w:val="27"/>
        <w:tblW w:w="8674"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3"/>
        <w:gridCol w:w="4254"/>
        <w:gridCol w:w="103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评分项目</w:t>
            </w:r>
          </w:p>
        </w:tc>
        <w:tc>
          <w:tcPr>
            <w:tcW w:w="42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评标标准及说明</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分值</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highlight w:val="none"/>
              </w:rPr>
            </w:pPr>
            <w:r>
              <w:rPr>
                <w:rFonts w:hint="eastAsia" w:ascii="宋体" w:hAnsi="宋体" w:cs="宋体"/>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1</w:t>
            </w:r>
          </w:p>
        </w:tc>
        <w:tc>
          <w:tcPr>
            <w:tcW w:w="1283" w:type="dxa"/>
            <w:tcBorders>
              <w:top w:val="single" w:color="auto" w:sz="4" w:space="0"/>
              <w:left w:val="single" w:color="auto" w:sz="4" w:space="0"/>
              <w:right w:val="single" w:color="auto" w:sz="4" w:space="0"/>
            </w:tcBorders>
            <w:vAlign w:val="center"/>
          </w:tcPr>
          <w:p>
            <w:pPr>
              <w:spacing w:line="300" w:lineRule="exact"/>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2</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lang w:val="zh-CN"/>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3</w:t>
            </w:r>
          </w:p>
        </w:tc>
        <w:tc>
          <w:tcPr>
            <w:tcW w:w="1283"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0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4</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spacing w:line="320" w:lineRule="exact"/>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adjustRightInd/>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5</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6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r>
              <w:rPr>
                <w:rFonts w:hint="eastAsia" w:ascii="宋体" w:hAnsi="宋体" w:cs="宋体"/>
                <w:sz w:val="24"/>
                <w:highlight w:val="none"/>
              </w:rPr>
              <w:t>....</w:t>
            </w:r>
          </w:p>
        </w:tc>
        <w:tc>
          <w:tcPr>
            <w:tcW w:w="1283" w:type="dxa"/>
            <w:tcBorders>
              <w:left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4254" w:type="dxa"/>
            <w:tcBorders>
              <w:top w:val="single" w:color="auto" w:sz="4" w:space="0"/>
              <w:left w:val="single" w:color="auto" w:sz="4" w:space="0"/>
              <w:right w:val="single" w:color="auto" w:sz="4" w:space="0"/>
            </w:tcBorders>
            <w:vAlign w:val="center"/>
          </w:tcPr>
          <w:p>
            <w:pPr>
              <w:adjustRightInd/>
              <w:ind w:firstLine="240" w:firstLineChars="100"/>
              <w:jc w:val="left"/>
              <w:rPr>
                <w:rFonts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highlight w:val="none"/>
              </w:rPr>
            </w:pPr>
          </w:p>
        </w:tc>
      </w:tr>
    </w:tbl>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sz w:val="24"/>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、投标</w:t>
      </w:r>
      <w:r>
        <w:rPr>
          <w:rFonts w:hint="eastAsia" w:ascii="宋体" w:hAnsi="宋体" w:cs="宋体"/>
          <w:b/>
          <w:sz w:val="32"/>
          <w:szCs w:val="32"/>
          <w:highlight w:val="none"/>
        </w:rPr>
        <w:t>函</w:t>
      </w:r>
    </w:p>
    <w:p>
      <w:pPr>
        <w:pStyle w:val="64"/>
        <w:spacing w:after="120" w:line="312" w:lineRule="auto"/>
        <w:ind w:firstLine="0" w:firstLineChars="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xml:space="preserve">              </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根据贵方招标文件（</w:t>
      </w:r>
      <w:r>
        <w:rPr>
          <w:rFonts w:hint="eastAsia" w:ascii="宋体" w:hAnsi="宋体" w:cs="宋体"/>
          <w:b/>
          <w:szCs w:val="24"/>
          <w:highlight w:val="none"/>
          <w:u w:val="single"/>
        </w:rPr>
        <w:t>填写招标编号：</w:t>
      </w:r>
      <w:r>
        <w:rPr>
          <w:rFonts w:hint="eastAsia" w:ascii="宋体" w:hAnsi="宋体" w:cs="宋体"/>
          <w:szCs w:val="24"/>
          <w:highlight w:val="none"/>
        </w:rPr>
        <w:t>）的要求，正式授权</w:t>
      </w:r>
      <w:r>
        <w:rPr>
          <w:rFonts w:hint="eastAsia" w:ascii="宋体" w:hAnsi="宋体" w:cs="宋体"/>
          <w:b/>
          <w:szCs w:val="24"/>
          <w:highlight w:val="none"/>
          <w:u w:val="single"/>
        </w:rPr>
        <w:t>（全权代表姓名    、单位    、职务   ）</w:t>
      </w:r>
      <w:r>
        <w:rPr>
          <w:rFonts w:hint="eastAsia" w:ascii="宋体" w:hAnsi="宋体" w:cs="宋体"/>
          <w:szCs w:val="24"/>
          <w:highlight w:val="none"/>
        </w:rPr>
        <w:t>代表投标人</w:t>
      </w:r>
      <w:r>
        <w:rPr>
          <w:rFonts w:hint="eastAsia" w:ascii="宋体" w:hAnsi="宋体" w:cs="宋体"/>
          <w:szCs w:val="24"/>
          <w:highlight w:val="none"/>
          <w:u w:val="single"/>
        </w:rPr>
        <w:t>（</w:t>
      </w:r>
      <w:r>
        <w:rPr>
          <w:rFonts w:hint="eastAsia" w:ascii="宋体" w:hAnsi="宋体" w:cs="宋体"/>
          <w:b/>
          <w:szCs w:val="24"/>
          <w:highlight w:val="none"/>
          <w:u w:val="single"/>
        </w:rPr>
        <w:t xml:space="preserve">填写单位    、地址   </w:t>
      </w:r>
      <w:r>
        <w:rPr>
          <w:rFonts w:hint="eastAsia" w:ascii="宋体" w:hAnsi="宋体" w:cs="宋体"/>
          <w:szCs w:val="24"/>
          <w:highlight w:val="none"/>
          <w:u w:val="single"/>
        </w:rPr>
        <w:t>）</w:t>
      </w:r>
      <w:r>
        <w:rPr>
          <w:rFonts w:hint="eastAsia" w:ascii="宋体" w:hAnsi="宋体" w:cs="宋体"/>
          <w:szCs w:val="24"/>
          <w:highlight w:val="none"/>
        </w:rPr>
        <w:t>提交投标文件。</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我方已完全明白招标文件的所有条款要求，兹声明同意如下：</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1.我方已详细审查全部招标文件，同意招标文件的各项要求。</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2.我方投标文件中填列的技术参数、配置、服务、数量等相关内容都是真实、准确的。</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3.若中标，我方将按照招标文件规定履行合同责任和义务。</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4.我方不是采购人的附属机构；在获知本项目采购信息后，与采购人聘请的为此项目提供咨询服务的公司及其附属机构没有任何联系。</w:t>
      </w:r>
    </w:p>
    <w:p>
      <w:pPr>
        <w:pStyle w:val="64"/>
        <w:spacing w:after="120" w:line="312" w:lineRule="auto"/>
        <w:ind w:firstLine="480"/>
        <w:rPr>
          <w:rFonts w:ascii="宋体" w:hAnsi="宋体" w:cs="宋体"/>
          <w:szCs w:val="24"/>
          <w:highlight w:val="none"/>
        </w:rPr>
      </w:pPr>
      <w:r>
        <w:rPr>
          <w:rFonts w:hint="eastAsia" w:ascii="宋体" w:hAnsi="宋体" w:cs="宋体"/>
          <w:szCs w:val="24"/>
          <w:highlight w:val="none"/>
        </w:rPr>
        <w:t>5.本投标自开标之日（投标截止之日）起90天内有效。</w:t>
      </w:r>
    </w:p>
    <w:p>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64"/>
        <w:spacing w:after="120" w:line="312" w:lineRule="auto"/>
        <w:ind w:firstLine="480"/>
        <w:rPr>
          <w:rFonts w:ascii="宋体" w:hAnsi="宋体" w:cs="宋体"/>
          <w:szCs w:val="24"/>
          <w:highlight w:val="none"/>
        </w:rPr>
      </w:pPr>
    </w:p>
    <w:p>
      <w:pPr>
        <w:pStyle w:val="64"/>
        <w:spacing w:after="120" w:line="312" w:lineRule="auto"/>
        <w:ind w:firstLine="480"/>
        <w:rPr>
          <w:rFonts w:ascii="宋体" w:hAnsi="宋体" w:cs="宋体"/>
          <w:szCs w:val="24"/>
          <w:highlight w:val="none"/>
        </w:rPr>
      </w:pPr>
    </w:p>
    <w:p>
      <w:pPr>
        <w:pStyle w:val="64"/>
        <w:spacing w:after="120" w:line="312" w:lineRule="auto"/>
        <w:ind w:firstLine="480"/>
        <w:rPr>
          <w:rFonts w:ascii="宋体" w:hAnsi="宋体" w:cs="宋体"/>
          <w:szCs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snapToGrid w:val="0"/>
        <w:spacing w:line="312" w:lineRule="auto"/>
        <w:ind w:firstLine="480" w:firstLineChars="200"/>
        <w:jc w:val="right"/>
        <w:rPr>
          <w:rFonts w:ascii="宋体" w:hAnsi="宋体" w:cs="宋体"/>
          <w:sz w:val="24"/>
          <w:highlight w:val="none"/>
        </w:rPr>
      </w:pPr>
      <w:r>
        <w:rPr>
          <w:rFonts w:hint="eastAsia" w:ascii="宋体" w:hAnsi="宋体" w:cs="宋体"/>
          <w:sz w:val="24"/>
          <w:highlight w:val="none"/>
        </w:rPr>
        <w:t>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wordWrap w:val="0"/>
        <w:snapToGrid w:val="0"/>
        <w:spacing w:line="312" w:lineRule="auto"/>
        <w:ind w:firstLine="480" w:firstLineChars="200"/>
        <w:jc w:val="center"/>
        <w:rPr>
          <w:rFonts w:ascii="宋体" w:hAnsi="宋体" w:cs="宋体"/>
          <w:b/>
          <w:kern w:val="0"/>
          <w:sz w:val="32"/>
          <w:szCs w:val="32"/>
          <w:highlight w:val="none"/>
        </w:rPr>
      </w:pPr>
      <w:r>
        <w:rPr>
          <w:rFonts w:hint="eastAsia" w:ascii="宋体" w:hAnsi="宋体" w:cs="宋体"/>
          <w:sz w:val="24"/>
          <w:highlight w:val="none"/>
        </w:rPr>
        <w:t xml:space="preserve">            </w:t>
      </w:r>
    </w:p>
    <w:p>
      <w:pPr>
        <w:pageBreakBefore/>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三</w:t>
      </w:r>
      <w:r>
        <w:rPr>
          <w:rFonts w:hint="eastAsia" w:ascii="宋体" w:hAnsi="宋体" w:cs="宋体"/>
          <w:b/>
          <w:sz w:val="30"/>
          <w:szCs w:val="30"/>
          <w:highlight w:val="none"/>
        </w:rPr>
        <w:t xml:space="preserve">、法定代表人授权委托书（格式） </w:t>
      </w:r>
    </w:p>
    <w:p>
      <w:pPr>
        <w:jc w:val="center"/>
        <w:rPr>
          <w:rFonts w:ascii="宋体" w:hAnsi="宋体" w:cs="宋体"/>
          <w:b/>
          <w:sz w:val="24"/>
          <w:highlight w:val="none"/>
        </w:rPr>
      </w:pP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(填写姓名)</w:t>
      </w:r>
      <w:r>
        <w:rPr>
          <w:rFonts w:hint="eastAsia" w:ascii="宋体" w:hAnsi="宋体" w:cs="宋体"/>
          <w:sz w:val="24"/>
          <w:highlight w:val="none"/>
        </w:rPr>
        <w:t>系</w:t>
      </w:r>
      <w:r>
        <w:rPr>
          <w:rFonts w:hint="eastAsia" w:ascii="宋体" w:hAnsi="宋体" w:cs="宋体"/>
          <w:sz w:val="24"/>
          <w:highlight w:val="none"/>
          <w:u w:val="single"/>
        </w:rPr>
        <w:t xml:space="preserve">                   （填写投标人单位全称）</w:t>
      </w:r>
      <w:r>
        <w:rPr>
          <w:rFonts w:hint="eastAsia" w:ascii="宋体" w:hAnsi="宋体" w:cs="宋体"/>
          <w:sz w:val="24"/>
          <w:highlight w:val="none"/>
        </w:rPr>
        <w:t>的法定代表人，现授权委托</w:t>
      </w:r>
      <w:r>
        <w:rPr>
          <w:rFonts w:hint="eastAsia" w:ascii="宋体" w:hAnsi="宋体" w:cs="宋体"/>
          <w:sz w:val="24"/>
          <w:highlight w:val="none"/>
          <w:u w:val="single"/>
        </w:rPr>
        <w:t xml:space="preserve">                  （填写单位全称）</w:t>
      </w:r>
      <w:r>
        <w:rPr>
          <w:rFonts w:hint="eastAsia" w:ascii="宋体" w:hAnsi="宋体" w:cs="宋体"/>
          <w:sz w:val="24"/>
          <w:highlight w:val="none"/>
        </w:rPr>
        <w:t>的（填写姓名）为我公司授权代表，</w:t>
      </w:r>
      <w:r>
        <w:rPr>
          <w:rFonts w:hint="eastAsia" w:ascii="宋体" w:hAnsi="宋体" w:cs="宋体"/>
          <w:sz w:val="24"/>
          <w:highlight w:val="none"/>
          <w:u w:val="single"/>
        </w:rPr>
        <w:t>（填写身份证号码：                       ）</w:t>
      </w:r>
      <w:r>
        <w:rPr>
          <w:rFonts w:hint="eastAsia" w:ascii="宋体" w:hAnsi="宋体" w:cs="宋体"/>
          <w:sz w:val="24"/>
          <w:highlight w:val="none"/>
        </w:rPr>
        <w:t>。以本公司的名义参加</w:t>
      </w:r>
      <w:r>
        <w:rPr>
          <w:rFonts w:hint="eastAsia" w:ascii="宋体" w:hAnsi="宋体" w:cs="宋体"/>
          <w:sz w:val="24"/>
          <w:highlight w:val="none"/>
          <w:u w:val="single"/>
        </w:rPr>
        <w:t xml:space="preserve">               </w:t>
      </w:r>
      <w:r>
        <w:rPr>
          <w:rFonts w:hint="eastAsia" w:ascii="宋体" w:hAnsi="宋体" w:cs="宋体"/>
          <w:sz w:val="24"/>
          <w:highlight w:val="none"/>
        </w:rPr>
        <w:t>组织的</w:t>
      </w:r>
      <w:r>
        <w:rPr>
          <w:rFonts w:hint="eastAsia" w:ascii="宋体" w:hAnsi="宋体" w:cs="宋体"/>
          <w:sz w:val="24"/>
          <w:highlight w:val="none"/>
          <w:u w:val="single"/>
        </w:rPr>
        <w:t xml:space="preserve">                     </w:t>
      </w:r>
      <w:r>
        <w:rPr>
          <w:rFonts w:hint="eastAsia" w:ascii="宋体" w:hAnsi="宋体" w:cs="宋体"/>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pPr>
        <w:snapToGrid w:val="0"/>
        <w:spacing w:line="600" w:lineRule="exact"/>
        <w:jc w:val="lef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授权代表姓名：              性别：               年龄：</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单位：                      部门：               职务：</w:t>
      </w:r>
    </w:p>
    <w:p>
      <w:pPr>
        <w:spacing w:line="360" w:lineRule="exact"/>
        <w:rPr>
          <w:rFonts w:ascii="宋体" w:hAnsi="宋体" w:cs="宋体"/>
          <w:sz w:val="24"/>
          <w:highlight w:val="none"/>
        </w:rPr>
      </w:pPr>
    </w:p>
    <w:p>
      <w:pPr>
        <w:widowControl/>
        <w:snapToGrid w:val="0"/>
        <w:spacing w:line="440" w:lineRule="exact"/>
        <w:rPr>
          <w:rFonts w:ascii="宋体" w:hAnsi="宋体" w:cs="宋体"/>
          <w:sz w:val="24"/>
          <w:highlight w:val="none"/>
        </w:rPr>
      </w:pPr>
      <w:r>
        <w:rPr>
          <w:rFonts w:hint="eastAsia" w:ascii="宋体" w:hAnsi="宋体" w:cs="宋体"/>
          <w:kern w:val="0"/>
          <w:sz w:val="24"/>
          <w:highlight w:val="none"/>
        </w:rPr>
        <w:t>办公地址：                  联系电话：           传真：</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投标人(电子签章)：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法定代表人（签字或盖章）：</w:t>
      </w: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jc w:val="left"/>
        <w:rPr>
          <w:rFonts w:ascii="仿宋" w:hAnsi="仿宋" w:eastAsia="仿宋" w:cs="仿宋"/>
          <w:sz w:val="24"/>
          <w:highlight w:val="none"/>
        </w:rPr>
      </w:pPr>
      <w:r>
        <w:rPr>
          <w:rFonts w:hint="eastAsia" w:ascii="宋体" w:hAnsi="宋体" w:cs="宋体"/>
          <w:sz w:val="24"/>
          <w:highlight w:val="none"/>
        </w:rPr>
        <w:t xml:space="preserve"> </w:t>
      </w: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jc w:val="left"/>
        <w:rPr>
          <w:rFonts w:ascii="宋体" w:hAnsi="宋体" w:cs="宋体"/>
          <w:sz w:val="24"/>
          <w:highlight w:val="none"/>
        </w:rPr>
      </w:pPr>
    </w:p>
    <w:p>
      <w:pPr>
        <w:spacing w:line="800" w:lineRule="exact"/>
        <w:jc w:val="center"/>
        <w:rPr>
          <w:rFonts w:ascii="宋体" w:hAnsi="宋体" w:cs="宋体"/>
          <w:b/>
          <w:sz w:val="30"/>
          <w:szCs w:val="30"/>
          <w:highlight w:val="none"/>
        </w:rPr>
      </w:pPr>
      <w:r>
        <w:rPr>
          <w:rFonts w:hint="eastAsia" w:ascii="宋体" w:hAnsi="宋体" w:cs="宋体"/>
          <w:b/>
          <w:sz w:val="30"/>
          <w:szCs w:val="30"/>
          <w:highlight w:val="none"/>
          <w:lang w:eastAsia="zh-CN"/>
        </w:rPr>
        <w:t>四</w:t>
      </w:r>
      <w:r>
        <w:rPr>
          <w:rFonts w:hint="eastAsia" w:ascii="宋体" w:hAnsi="宋体" w:cs="宋体"/>
          <w:b/>
          <w:sz w:val="30"/>
          <w:szCs w:val="30"/>
          <w:highlight w:val="none"/>
        </w:rPr>
        <w:t>、法定代表人及其授权代表身份证复印件（正反面）</w:t>
      </w:r>
    </w:p>
    <w:p>
      <w:pPr>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 xml:space="preserve"> </w:t>
      </w:r>
    </w:p>
    <w:p>
      <w:pPr>
        <w:spacing w:line="800" w:lineRule="exact"/>
        <w:jc w:val="center"/>
        <w:rPr>
          <w:rFonts w:ascii="宋体" w:hAnsi="宋体" w:cs="宋体"/>
          <w:b/>
          <w:sz w:val="30"/>
          <w:szCs w:val="30"/>
          <w:highlight w:val="none"/>
        </w:rPr>
      </w:pPr>
    </w:p>
    <w:p>
      <w:pPr>
        <w:spacing w:line="800" w:lineRule="exact"/>
        <w:jc w:val="center"/>
        <w:rPr>
          <w:rFonts w:ascii="宋体" w:hAnsi="宋体" w:cs="宋体"/>
          <w:b/>
          <w:sz w:val="30"/>
          <w:szCs w:val="30"/>
          <w:highlight w:val="none"/>
        </w:rPr>
      </w:pPr>
    </w:p>
    <w:p>
      <w:pPr>
        <w:spacing w:line="800" w:lineRule="exact"/>
        <w:jc w:val="center"/>
        <w:rPr>
          <w:rFonts w:ascii="宋体" w:hAnsi="宋体" w:cs="宋体"/>
          <w:b/>
          <w:sz w:val="30"/>
          <w:szCs w:val="30"/>
          <w:highlight w:val="none"/>
        </w:rPr>
      </w:pPr>
    </w:p>
    <w:p>
      <w:pPr>
        <w:spacing w:line="800" w:lineRule="exact"/>
        <w:jc w:val="center"/>
        <w:rPr>
          <w:rFonts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center"/>
        <w:rPr>
          <w:rFonts w:hint="eastAsia" w:ascii="宋体" w:hAnsi="宋体" w:cs="宋体"/>
          <w:b/>
          <w:sz w:val="30"/>
          <w:szCs w:val="30"/>
          <w:highlight w:val="none"/>
        </w:rPr>
      </w:pPr>
    </w:p>
    <w:p>
      <w:pPr>
        <w:spacing w:line="800" w:lineRule="exact"/>
        <w:jc w:val="both"/>
        <w:rPr>
          <w:rFonts w:hint="eastAsia" w:ascii="宋体" w:hAnsi="宋体" w:cs="宋体"/>
          <w:b/>
          <w:sz w:val="30"/>
          <w:szCs w:val="30"/>
          <w:highlight w:val="none"/>
        </w:rPr>
      </w:pPr>
    </w:p>
    <w:p>
      <w:pPr>
        <w:numPr>
          <w:ilvl w:val="0"/>
          <w:numId w:val="0"/>
        </w:numPr>
        <w:spacing w:line="800" w:lineRule="exact"/>
        <w:jc w:val="center"/>
        <w:rPr>
          <w:rFonts w:hint="eastAsia" w:ascii="宋体" w:hAnsi="宋体" w:cs="宋体"/>
          <w:b/>
          <w:sz w:val="30"/>
          <w:szCs w:val="30"/>
          <w:highlight w:val="none"/>
        </w:rPr>
      </w:pPr>
      <w:r>
        <w:rPr>
          <w:rFonts w:hint="eastAsia" w:ascii="宋体" w:hAnsi="宋体" w:cs="宋体"/>
          <w:b/>
          <w:sz w:val="30"/>
          <w:szCs w:val="30"/>
          <w:highlight w:val="none"/>
          <w:lang w:eastAsia="zh-CN"/>
        </w:rPr>
        <w:t>五、</w:t>
      </w:r>
      <w:r>
        <w:rPr>
          <w:rFonts w:hint="eastAsia" w:ascii="宋体" w:hAnsi="宋体" w:cs="宋体"/>
          <w:b/>
          <w:sz w:val="30"/>
          <w:szCs w:val="30"/>
          <w:highlight w:val="none"/>
        </w:rPr>
        <w:t>法定代表人身份证明书(格式)</w:t>
      </w:r>
    </w:p>
    <w:p>
      <w:pPr>
        <w:pStyle w:val="5"/>
        <w:numPr>
          <w:ilvl w:val="0"/>
          <w:numId w:val="0"/>
        </w:numPr>
        <w:ind w:leftChars="0"/>
      </w:pPr>
    </w:p>
    <w:p>
      <w:pPr>
        <w:spacing w:line="440" w:lineRule="exact"/>
        <w:rPr>
          <w:rFonts w:ascii="宋体" w:hAnsi="宋体" w:cs="宋体"/>
          <w:sz w:val="24"/>
          <w:highlight w:val="none"/>
        </w:rPr>
      </w:pPr>
      <w:r>
        <w:rPr>
          <w:rFonts w:hint="eastAsia" w:ascii="宋体" w:hAnsi="宋体" w:cs="宋体"/>
          <w:sz w:val="24"/>
          <w:highlight w:val="none"/>
        </w:rPr>
        <w:t>投 标 单 位：</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40" w:lineRule="exact"/>
        <w:ind w:right="281" w:rightChars="134"/>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（填写投标人名称）</w:t>
      </w:r>
      <w:r>
        <w:rPr>
          <w:rFonts w:hint="eastAsia" w:ascii="宋体" w:hAnsi="宋体" w:cs="宋体"/>
          <w:sz w:val="24"/>
          <w:highlight w:val="none"/>
        </w:rPr>
        <w:t>的法定代表人。</w:t>
      </w:r>
    </w:p>
    <w:p>
      <w:pPr>
        <w:spacing w:line="440" w:lineRule="exact"/>
        <w:rPr>
          <w:rFonts w:ascii="宋体" w:hAnsi="宋体" w:cs="宋体"/>
          <w:sz w:val="24"/>
          <w:highlight w:val="none"/>
        </w:rPr>
      </w:pPr>
      <w:r>
        <w:rPr>
          <w:rFonts w:hint="eastAsia" w:ascii="宋体" w:hAnsi="宋体" w:cs="宋体"/>
          <w:sz w:val="24"/>
          <w:highlight w:val="none"/>
        </w:rPr>
        <w:t>特此证明。</w:t>
      </w:r>
    </w:p>
    <w:p>
      <w:pPr>
        <w:spacing w:line="440" w:lineRule="exact"/>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spacing w:line="440" w:lineRule="exact"/>
        <w:ind w:right="48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440" w:lineRule="exact"/>
        <w:ind w:right="720"/>
        <w:jc w:val="center"/>
        <w:rPr>
          <w:rFonts w:ascii="宋体" w:hAnsi="宋体" w:cs="宋体"/>
          <w:sz w:val="24"/>
          <w:highlight w:val="none"/>
        </w:rPr>
      </w:pPr>
    </w:p>
    <w:p>
      <w:pPr>
        <w:spacing w:beforeLines="50" w:afterLines="50" w:line="440" w:lineRule="exact"/>
        <w:rPr>
          <w:rFonts w:ascii="宋体" w:hAnsi="宋体" w:cs="宋体"/>
          <w:b/>
          <w:bCs/>
          <w:sz w:val="24"/>
          <w:highlight w:val="none"/>
        </w:rPr>
      </w:pPr>
      <w:r>
        <w:rPr>
          <w:rFonts w:hint="eastAsia" w:ascii="宋体" w:hAnsi="宋体" w:cs="宋体"/>
          <w:b/>
          <w:bCs/>
          <w:sz w:val="24"/>
          <w:highlight w:val="none"/>
        </w:rPr>
        <w:t xml:space="preserve"> </w:t>
      </w:r>
    </w:p>
    <w:p>
      <w:pPr>
        <w:spacing w:beforeLines="50" w:afterLines="50" w:line="440" w:lineRule="exact"/>
        <w:jc w:val="center"/>
        <w:rPr>
          <w:rFonts w:ascii="宋体" w:hAnsi="宋体" w:cs="宋体"/>
          <w:b/>
          <w:bCs/>
          <w:sz w:val="24"/>
          <w:highlight w:val="none"/>
        </w:rPr>
      </w:pPr>
      <w:r>
        <w:rPr>
          <w:rFonts w:hint="eastAsia" w:ascii="宋体" w:hAnsi="宋体" w:cs="宋体"/>
          <w:b/>
          <w:bCs/>
          <w:sz w:val="24"/>
          <w:highlight w:val="none"/>
        </w:rPr>
        <w:t xml:space="preserve"> </w:t>
      </w:r>
    </w:p>
    <w:p>
      <w:pPr>
        <w:jc w:val="center"/>
        <w:rPr>
          <w:rFonts w:ascii="宋体" w:hAnsi="宋体" w:cs="宋体"/>
          <w:b/>
          <w:sz w:val="30"/>
          <w:szCs w:val="30"/>
          <w:highlight w:val="none"/>
          <w:lang w:val="zh-CN"/>
        </w:rPr>
      </w:pPr>
      <w:r>
        <w:rPr>
          <w:rFonts w:hint="eastAsia" w:ascii="宋体" w:hAnsi="宋体" w:cs="宋体"/>
          <w:b/>
          <w:bCs/>
          <w:highlight w:val="none"/>
        </w:rPr>
        <w:br w:type="page"/>
      </w:r>
      <w:bookmarkStart w:id="74" w:name="_Toc452965651"/>
      <w:bookmarkEnd w:id="74"/>
      <w:r>
        <w:rPr>
          <w:rFonts w:hint="eastAsia" w:ascii="宋体" w:hAnsi="宋体" w:cs="宋体"/>
          <w:b/>
          <w:sz w:val="30"/>
          <w:szCs w:val="30"/>
          <w:highlight w:val="none"/>
          <w:lang w:val="zh-CN"/>
        </w:rPr>
        <w:t>六、商务资信响应表</w:t>
      </w:r>
    </w:p>
    <w:p>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（由投标人根据采购需求及采购文件要求编制）</w:t>
      </w:r>
    </w:p>
    <w:tbl>
      <w:tblPr>
        <w:tblStyle w:val="27"/>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40" w:lineRule="exact"/>
              <w:jc w:val="center"/>
              <w:rPr>
                <w:rFonts w:ascii="宋体" w:hAnsi="宋体" w:cs="宋体"/>
                <w:b/>
                <w:bCs/>
                <w:szCs w:val="21"/>
                <w:highlight w:val="none"/>
              </w:rPr>
            </w:pPr>
            <w:r>
              <w:rPr>
                <w:rFonts w:hint="eastAsia" w:ascii="宋体" w:hAnsi="宋体" w:cs="宋体"/>
                <w:b/>
                <w:bCs/>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r>
              <w:rPr>
                <w:rFonts w:hint="eastAsia" w:ascii="宋体" w:hAnsi="宋体" w:cs="宋体"/>
                <w:szCs w:val="21"/>
                <w:highlight w:val="none"/>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szCs w:val="21"/>
                <w:highlight w:val="none"/>
              </w:rPr>
            </w:pPr>
          </w:p>
        </w:tc>
      </w:tr>
    </w:tbl>
    <w:p>
      <w:pPr>
        <w:snapToGrid w:val="0"/>
        <w:spacing w:line="360" w:lineRule="auto"/>
        <w:ind w:left="5880" w:leftChars="2300" w:hanging="1050" w:hangingChars="5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仿宋_GB2312"/>
          <w:kern w:val="0"/>
          <w:sz w:val="24"/>
          <w:highlight w:val="none"/>
        </w:rPr>
        <w:t xml:space="preserve">                     </w:t>
      </w:r>
      <w:r>
        <w:rPr>
          <w:rFonts w:hint="eastAsia" w:ascii="宋体" w:hAnsi="宋体" w:cs="宋体"/>
          <w:kern w:val="0"/>
          <w:sz w:val="24"/>
          <w:highlight w:val="none"/>
          <w:lang w:val="zh-CN"/>
        </w:rPr>
        <w:t>投标人(电子签章)：</w:t>
      </w:r>
    </w:p>
    <w:p>
      <w:pPr>
        <w:snapToGrid w:val="0"/>
        <w:spacing w:before="50" w:after="50" w:line="600" w:lineRule="exact"/>
        <w:rPr>
          <w:rFonts w:ascii="宋体" w:hAnsi="宋体" w:cs="仿宋_GB2312"/>
          <w:kern w:val="0"/>
          <w:sz w:val="24"/>
          <w:highlight w:val="none"/>
        </w:rPr>
      </w:pPr>
      <w:r>
        <w:rPr>
          <w:rFonts w:hint="eastAsia" w:ascii="宋体" w:hAnsi="宋体" w:cs="仿宋_GB2312"/>
          <w:kern w:val="0"/>
          <w:sz w:val="24"/>
          <w:highlight w:val="none"/>
        </w:rPr>
        <w:t xml:space="preserve">                      </w:t>
      </w:r>
    </w:p>
    <w:p>
      <w:pPr>
        <w:snapToGrid w:val="0"/>
        <w:spacing w:line="360" w:lineRule="auto"/>
        <w:rPr>
          <w:rFonts w:ascii="宋体" w:hAnsi="宋体" w:cs="宋体"/>
          <w:kern w:val="0"/>
          <w:sz w:val="24"/>
          <w:highlight w:val="none"/>
        </w:rPr>
      </w:pPr>
      <w:r>
        <w:rPr>
          <w:rFonts w:hint="eastAsia" w:ascii="宋体" w:hAnsi="宋体" w:cs="仿宋_GB2312"/>
          <w:kern w:val="0"/>
          <w:sz w:val="24"/>
          <w:highlight w:val="none"/>
        </w:rPr>
        <w:t xml:space="preserve">                                             </w:t>
      </w:r>
      <w:r>
        <w:rPr>
          <w:rFonts w:hint="eastAsia" w:ascii="宋体" w:hAnsi="宋体" w:cs="仿宋_GB2312"/>
          <w:kern w:val="0"/>
          <w:sz w:val="24"/>
          <w:highlight w:val="none"/>
          <w:lang w:val="en-US" w:eastAsia="zh-CN"/>
        </w:rPr>
        <w:t xml:space="preserve">  </w:t>
      </w:r>
      <w:r>
        <w:rPr>
          <w:rFonts w:hint="eastAsia" w:ascii="宋体" w:hAnsi="宋体" w:cs="仿宋_GB2312"/>
          <w:kern w:val="0"/>
          <w:sz w:val="24"/>
          <w:highlight w:val="none"/>
        </w:rPr>
        <w:t xml:space="preserve"> </w:t>
      </w:r>
      <w:r>
        <w:rPr>
          <w:rFonts w:hint="eastAsia" w:ascii="宋体" w:hAnsi="宋体" w:cs="仿宋_GB2312"/>
          <w:kern w:val="0"/>
          <w:sz w:val="24"/>
          <w:highlight w:val="none"/>
          <w:lang w:val="en-US" w:eastAsia="zh-CN"/>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rPr>
          <w:rFonts w:ascii="宋体" w:hAnsi="宋体" w:cs="仿宋_GB2312"/>
          <w:b/>
          <w:bCs/>
          <w:sz w:val="24"/>
          <w:highlight w:val="none"/>
        </w:rPr>
      </w:pPr>
      <w:r>
        <w:rPr>
          <w:rFonts w:hint="eastAsia" w:ascii="宋体" w:hAnsi="宋体" w:cs="仿宋_GB2312"/>
          <w:kern w:val="0"/>
          <w:sz w:val="24"/>
          <w:highlight w:val="none"/>
        </w:rPr>
        <w:t xml:space="preserve">  </w:t>
      </w:r>
    </w:p>
    <w:p>
      <w:pPr>
        <w:pStyle w:val="7"/>
        <w:jc w:val="center"/>
        <w:rPr>
          <w:rFonts w:hAnsi="宋体" w:cs="仿宋_GB2312"/>
          <w:b/>
          <w:bCs/>
          <w:sz w:val="30"/>
          <w:szCs w:val="30"/>
          <w:highlight w:val="none"/>
        </w:rPr>
      </w:pPr>
    </w:p>
    <w:p>
      <w:pPr>
        <w:pStyle w:val="7"/>
        <w:jc w:val="center"/>
        <w:rPr>
          <w:rFonts w:hAnsi="宋体" w:cs="仿宋_GB2312"/>
          <w:b/>
          <w:bCs/>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jc w:val="center"/>
        <w:rPr>
          <w:rFonts w:hint="eastAsia" w:hAnsi="宋体"/>
          <w:b/>
          <w:spacing w:val="0"/>
          <w:sz w:val="30"/>
          <w:szCs w:val="30"/>
          <w:highlight w:val="none"/>
        </w:rPr>
      </w:pPr>
    </w:p>
    <w:p>
      <w:pPr>
        <w:pStyle w:val="7"/>
        <w:spacing w:beforeLines="77"/>
        <w:ind w:left="0" w:leftChars="0" w:firstLine="0" w:firstLineChars="0"/>
        <w:jc w:val="both"/>
        <w:rPr>
          <w:rFonts w:hint="eastAsia" w:hAnsi="宋体"/>
          <w:b/>
          <w:spacing w:val="0"/>
          <w:sz w:val="30"/>
          <w:szCs w:val="30"/>
          <w:highlight w:val="none"/>
        </w:rPr>
      </w:pPr>
    </w:p>
    <w:p>
      <w:pPr>
        <w:pStyle w:val="7"/>
        <w:spacing w:beforeLines="77"/>
        <w:ind w:left="0" w:leftChars="0" w:firstLine="0" w:firstLineChars="0"/>
        <w:jc w:val="both"/>
        <w:rPr>
          <w:rFonts w:hint="eastAsia" w:hAnsi="宋体"/>
          <w:b/>
          <w:spacing w:val="0"/>
          <w:sz w:val="30"/>
          <w:szCs w:val="30"/>
          <w:highlight w:val="none"/>
        </w:rPr>
      </w:pPr>
    </w:p>
    <w:p>
      <w:pPr>
        <w:pStyle w:val="7"/>
        <w:spacing w:beforeLines="77"/>
        <w:ind w:left="0" w:leftChars="0" w:firstLine="0" w:firstLineChars="0"/>
        <w:jc w:val="center"/>
        <w:rPr>
          <w:rFonts w:hAnsi="宋体"/>
          <w:b/>
          <w:spacing w:val="0"/>
          <w:sz w:val="30"/>
          <w:szCs w:val="30"/>
          <w:highlight w:val="none"/>
          <w:lang w:val="zh-CN"/>
        </w:rPr>
      </w:pPr>
      <w:r>
        <w:rPr>
          <w:rFonts w:hint="eastAsia" w:hAnsi="宋体"/>
          <w:b/>
          <w:spacing w:val="0"/>
          <w:sz w:val="30"/>
          <w:szCs w:val="30"/>
          <w:highlight w:val="none"/>
          <w:lang w:eastAsia="zh-CN"/>
        </w:rPr>
        <w:t>七</w:t>
      </w:r>
      <w:r>
        <w:rPr>
          <w:rFonts w:hint="eastAsia" w:hAnsi="宋体"/>
          <w:b/>
          <w:spacing w:val="0"/>
          <w:sz w:val="30"/>
          <w:szCs w:val="30"/>
          <w:highlight w:val="none"/>
        </w:rPr>
        <w:t>、技术响应</w:t>
      </w:r>
      <w:r>
        <w:rPr>
          <w:rFonts w:hint="eastAsia" w:hAnsi="宋体"/>
          <w:b/>
          <w:spacing w:val="0"/>
          <w:sz w:val="30"/>
          <w:szCs w:val="30"/>
          <w:highlight w:val="none"/>
          <w:lang w:val="zh-CN"/>
        </w:rPr>
        <w:t>偏离表</w:t>
      </w:r>
    </w:p>
    <w:p>
      <w:pPr>
        <w:spacing w:line="360" w:lineRule="auto"/>
        <w:ind w:firstLine="240" w:firstLineChars="100"/>
        <w:jc w:val="center"/>
        <w:rPr>
          <w:rFonts w:ascii="宋体" w:hAnsi="宋体" w:cs="宋体"/>
          <w:b/>
          <w:bCs/>
          <w:sz w:val="24"/>
          <w:highlight w:val="none"/>
        </w:rPr>
      </w:pPr>
      <w:r>
        <w:rPr>
          <w:rFonts w:hint="eastAsia" w:ascii="宋体" w:hAnsi="宋体" w:cs="宋体"/>
          <w:sz w:val="24"/>
          <w:highlight w:val="none"/>
        </w:rPr>
        <w:t>（由投标人根据采购需求及采购文件要求编制）</w:t>
      </w:r>
    </w:p>
    <w:tbl>
      <w:tblPr>
        <w:tblStyle w:val="27"/>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r>
              <w:rPr>
                <w:rFonts w:hint="eastAsia" w:ascii="宋体" w:hAnsi="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cs="宋体"/>
                <w:szCs w:val="21"/>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宋体" w:hAnsi="宋体" w:cs="宋体"/>
                <w:szCs w:val="21"/>
                <w:highlight w:val="none"/>
              </w:rPr>
            </w:pPr>
          </w:p>
        </w:tc>
      </w:tr>
    </w:tbl>
    <w:p>
      <w:pPr>
        <w:tabs>
          <w:tab w:val="left" w:pos="570"/>
        </w:tabs>
        <w:spacing w:line="440" w:lineRule="exact"/>
        <w:ind w:firstLine="120" w:firstLineChars="50"/>
        <w:jc w:val="left"/>
        <w:rPr>
          <w:rFonts w:ascii="宋体" w:hAnsi="宋体" w:cs="宋体"/>
          <w:sz w:val="24"/>
          <w:highlight w:val="none"/>
        </w:rPr>
      </w:pPr>
      <w:r>
        <w:rPr>
          <w:rFonts w:hint="eastAsia" w:ascii="宋体" w:hAnsi="宋体" w:cs="宋体"/>
          <w:sz w:val="24"/>
          <w:highlight w:val="none"/>
        </w:rPr>
        <w:t>注：1、此表须与</w:t>
      </w:r>
      <w:r>
        <w:rPr>
          <w:rFonts w:hint="eastAsia" w:ascii="宋体" w:hAnsi="宋体" w:cs="宋体"/>
          <w:kern w:val="0"/>
          <w:sz w:val="24"/>
          <w:highlight w:val="none"/>
        </w:rPr>
        <w:t>采购文件“采购</w:t>
      </w:r>
      <w:r>
        <w:rPr>
          <w:rFonts w:hint="eastAsia" w:ascii="宋体" w:hAnsi="宋体" w:cs="宋体"/>
          <w:sz w:val="24"/>
          <w:highlight w:val="none"/>
        </w:rPr>
        <w:t>项目说明及要求</w:t>
      </w:r>
      <w:r>
        <w:rPr>
          <w:rFonts w:hint="eastAsia" w:ascii="宋体" w:hAnsi="宋体" w:cs="宋体"/>
          <w:kern w:val="0"/>
          <w:sz w:val="24"/>
          <w:highlight w:val="none"/>
        </w:rPr>
        <w:t>”</w:t>
      </w:r>
      <w:r>
        <w:rPr>
          <w:rFonts w:hint="eastAsia" w:ascii="宋体" w:hAnsi="宋体" w:cs="宋体"/>
          <w:sz w:val="24"/>
          <w:highlight w:val="none"/>
        </w:rPr>
        <w:t>相应标项内的所有服务要求相比较且一一对应真实逐条填列。</w:t>
      </w:r>
    </w:p>
    <w:p>
      <w:pPr>
        <w:tabs>
          <w:tab w:val="left" w:pos="570"/>
        </w:tabs>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2、投标人递交的技术规格书中必须真实逐条列明，否则由投标人自行承担相关风险。</w:t>
      </w:r>
    </w:p>
    <w:p>
      <w:pPr>
        <w:snapToGrid w:val="0"/>
        <w:spacing w:before="50" w:after="50" w:line="360" w:lineRule="auto"/>
        <w:ind w:firstLine="4320" w:firstLineChars="1800"/>
        <w:rPr>
          <w:rFonts w:ascii="宋体" w:hAnsi="宋体" w:cs="仿宋_GB2312"/>
          <w:kern w:val="0"/>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仿宋_GB2312"/>
          <w:kern w:val="0"/>
          <w:sz w:val="24"/>
          <w:highlight w:val="none"/>
        </w:rPr>
        <w:t>投标人（</w:t>
      </w:r>
      <w:r>
        <w:rPr>
          <w:rFonts w:hint="eastAsia" w:ascii="宋体" w:hAnsi="宋体" w:cs="仿宋_GB2312"/>
          <w:kern w:val="0"/>
          <w:sz w:val="24"/>
          <w:highlight w:val="none"/>
          <w:lang w:val="zh-CN"/>
        </w:rPr>
        <w:t>电子签章</w:t>
      </w:r>
      <w:r>
        <w:rPr>
          <w:rFonts w:hint="eastAsia" w:ascii="宋体" w:hAnsi="宋体" w:cs="仿宋_GB2312"/>
          <w:kern w:val="0"/>
          <w:sz w:val="24"/>
          <w:highlight w:val="none"/>
        </w:rPr>
        <w:t xml:space="preserve">）：                       </w:t>
      </w:r>
    </w:p>
    <w:p>
      <w:pPr>
        <w:snapToGrid w:val="0"/>
        <w:spacing w:line="360" w:lineRule="auto"/>
        <w:ind w:left="5746" w:leftChars="2736" w:firstLine="0" w:firstLineChars="0"/>
        <w:rPr>
          <w:rFonts w:ascii="宋体" w:hAnsi="宋体" w:cs="宋体"/>
          <w:kern w:val="0"/>
          <w:sz w:val="24"/>
          <w:highlight w:val="none"/>
        </w:rPr>
      </w:pPr>
      <w:r>
        <w:rPr>
          <w:rFonts w:hint="eastAsia" w:ascii="宋体" w:hAnsi="宋体" w:cs="仿宋_GB2312"/>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left="480" w:hanging="480" w:hangingChars="200"/>
        <w:rPr>
          <w:rFonts w:ascii="宋体" w:hAnsi="宋体" w:cs="宋体"/>
          <w:sz w:val="24"/>
          <w:highlight w:val="none"/>
        </w:rPr>
      </w:pPr>
      <w:r>
        <w:rPr>
          <w:rFonts w:hint="eastAsia" w:ascii="宋体" w:hAnsi="宋体" w:cs="仿宋_GB2312"/>
          <w:kern w:val="0"/>
          <w:sz w:val="24"/>
          <w:highlight w:val="none"/>
        </w:rPr>
        <w:t xml:space="preserve"> </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both"/>
        <w:rPr>
          <w:rFonts w:hint="eastAsia" w:ascii="宋体" w:hAnsi="宋体" w:cs="宋体"/>
          <w:b/>
          <w:bCs/>
          <w:sz w:val="32"/>
          <w:szCs w:val="32"/>
          <w:highlight w:val="none"/>
        </w:rPr>
      </w:pPr>
    </w:p>
    <w:p>
      <w:pPr>
        <w:widowControl/>
        <w:adjustRightInd/>
        <w:jc w:val="center"/>
        <w:rPr>
          <w:rFonts w:hint="eastAsia" w:ascii="宋体" w:hAnsi="宋体" w:cs="宋体"/>
          <w:b/>
          <w:bCs/>
          <w:sz w:val="32"/>
          <w:szCs w:val="32"/>
          <w:highlight w:val="none"/>
        </w:rPr>
      </w:pPr>
    </w:p>
    <w:p>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5520" w:firstLineChars="2300"/>
        <w:jc w:val="left"/>
        <w:rPr>
          <w:rFonts w:ascii="宋体" w:hAnsi="宋体" w:cs="宋体"/>
          <w:kern w:val="0"/>
          <w:sz w:val="24"/>
          <w:highlight w:val="none"/>
          <w:lang w:val="zh-CN"/>
        </w:rPr>
      </w:pPr>
      <w:r>
        <w:rPr>
          <w:rFonts w:hint="eastAsia" w:ascii="宋体" w:hAnsi="宋体" w:cs="宋体"/>
          <w:kern w:val="0"/>
          <w:sz w:val="24"/>
          <w:highlight w:val="none"/>
          <w:lang w:val="zh-CN"/>
        </w:rPr>
        <w:t>投标人（</w:t>
      </w:r>
      <w:r>
        <w:rPr>
          <w:rFonts w:hint="eastAsia" w:ascii="宋体" w:hAnsi="宋体" w:cs="宋体"/>
          <w:sz w:val="24"/>
          <w:highlight w:val="none"/>
        </w:rPr>
        <w:t>电子签章</w:t>
      </w:r>
      <w:r>
        <w:rPr>
          <w:rFonts w:hint="eastAsia" w:ascii="宋体" w:hAnsi="宋体" w:cs="宋体"/>
          <w:kern w:val="0"/>
          <w:sz w:val="24"/>
          <w:highlight w:val="none"/>
          <w:lang w:val="zh-CN"/>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ind w:firstLine="5520" w:firstLineChars="2300"/>
        <w:rPr>
          <w:rFonts w:ascii="宋体" w:hAnsi="宋体" w:cs="宋体"/>
          <w:sz w:val="24"/>
          <w:highlight w:val="none"/>
        </w:rPr>
      </w:pPr>
      <w:r>
        <w:rPr>
          <w:rFonts w:hint="eastAsia" w:ascii="宋体" w:hAnsi="宋体" w:cs="宋体"/>
          <w:kern w:val="0"/>
          <w:sz w:val="24"/>
          <w:highlight w:val="none"/>
          <w:lang w:val="zh-CN"/>
        </w:rPr>
        <w:t xml:space="preserve">  </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ind w:left="480" w:hanging="480" w:hangingChars="200"/>
        <w:rPr>
          <w:rFonts w:ascii="宋体" w:hAnsi="宋体" w:cs="宋体"/>
          <w:sz w:val="24"/>
          <w:highlight w:val="none"/>
        </w:rPr>
      </w:pPr>
    </w:p>
    <w:p>
      <w:pPr>
        <w:snapToGrid w:val="0"/>
        <w:ind w:left="480" w:hanging="480" w:hangingChars="200"/>
        <w:rPr>
          <w:rFonts w:ascii="宋体" w:hAnsi="宋体" w:cs="宋体"/>
          <w:sz w:val="24"/>
          <w:highlight w:val="none"/>
        </w:rPr>
      </w:pPr>
    </w:p>
    <w:p>
      <w:pPr>
        <w:pStyle w:val="2"/>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2"/>
      </w:pPr>
    </w:p>
    <w:p>
      <w:pPr>
        <w:rPr>
          <w:rFonts w:ascii="宋体" w:hAnsi="宋体" w:cs="宋体"/>
          <w:b/>
          <w:sz w:val="28"/>
          <w:szCs w:val="28"/>
          <w:highlight w:val="none"/>
        </w:rPr>
      </w:pPr>
    </w:p>
    <w:p>
      <w:pPr>
        <w:widowControl/>
        <w:adjustRightInd/>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九</w:t>
      </w:r>
      <w:r>
        <w:rPr>
          <w:rFonts w:hint="eastAsia" w:ascii="宋体" w:hAnsi="宋体" w:cs="宋体"/>
          <w:b/>
          <w:bCs/>
          <w:sz w:val="32"/>
          <w:szCs w:val="32"/>
          <w:highlight w:val="none"/>
        </w:rPr>
        <w:t>、同类</w:t>
      </w:r>
      <w:r>
        <w:rPr>
          <w:rFonts w:hint="eastAsia" w:ascii="宋体" w:hAnsi="宋体" w:cs="宋体"/>
          <w:b/>
          <w:bCs/>
          <w:sz w:val="32"/>
          <w:szCs w:val="32"/>
          <w:highlight w:val="none"/>
          <w:lang w:eastAsia="zh-CN"/>
        </w:rPr>
        <w:t>业绩</w:t>
      </w:r>
    </w:p>
    <w:p>
      <w:pPr>
        <w:widowControl/>
        <w:adjustRightInd/>
        <w:jc w:val="center"/>
        <w:rPr>
          <w:rFonts w:ascii="宋体" w:hAnsi="宋体" w:cs="宋体"/>
          <w:b/>
          <w:bCs/>
          <w:sz w:val="32"/>
          <w:szCs w:val="32"/>
          <w:highlight w:val="none"/>
        </w:rPr>
      </w:pPr>
    </w:p>
    <w:p>
      <w:pPr>
        <w:spacing w:after="120"/>
        <w:rPr>
          <w:rFonts w:ascii="宋体" w:hAnsi="宋体" w:cs="宋体"/>
          <w:sz w:val="24"/>
          <w:highlight w:val="none"/>
        </w:rPr>
      </w:pPr>
      <w:r>
        <w:rPr>
          <w:rFonts w:hint="eastAsia" w:ascii="宋体" w:hAnsi="宋体" w:cs="宋体"/>
          <w:sz w:val="24"/>
          <w:highlight w:val="none"/>
        </w:rPr>
        <w:t>项目名称：</w:t>
      </w:r>
    </w:p>
    <w:p>
      <w:pPr>
        <w:pStyle w:val="35"/>
        <w:spacing w:before="120"/>
        <w:ind w:firstLine="0" w:firstLineChars="0"/>
        <w:rPr>
          <w:rFonts w:ascii="宋体" w:hAnsi="宋体" w:cs="宋体"/>
          <w:highlight w:val="none"/>
        </w:rPr>
      </w:pPr>
      <w:r>
        <w:rPr>
          <w:rFonts w:hint="eastAsia" w:ascii="宋体" w:hAnsi="宋体" w:cs="宋体"/>
          <w:highlight w:val="none"/>
        </w:rPr>
        <w:t>项目编号：</w:t>
      </w:r>
    </w:p>
    <w:tbl>
      <w:tblPr>
        <w:tblStyle w:val="27"/>
        <w:tblpPr w:leftFromText="180" w:rightFromText="180" w:vertAnchor="text" w:horzAnchor="page" w:tblpX="1468" w:tblpY="408"/>
        <w:tblOverlap w:val="never"/>
        <w:tblW w:w="8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1854"/>
        <w:gridCol w:w="1730"/>
        <w:gridCol w:w="1075"/>
        <w:gridCol w:w="1238"/>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9" w:hRule="atLeast"/>
        </w:trPr>
        <w:tc>
          <w:tcPr>
            <w:tcW w:w="1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w:t>
            </w:r>
          </w:p>
          <w:p>
            <w:pPr>
              <w:snapToGrid w:val="0"/>
              <w:spacing w:beforeLines="50"/>
              <w:jc w:val="center"/>
              <w:rPr>
                <w:rFonts w:ascii="宋体" w:hAnsi="宋体" w:cs="宋体"/>
                <w:sz w:val="24"/>
                <w:highlight w:val="none"/>
              </w:rPr>
            </w:pPr>
            <w:r>
              <w:rPr>
                <w:rFonts w:hint="eastAsia" w:ascii="宋体" w:hAnsi="宋体" w:cs="宋体"/>
                <w:sz w:val="24"/>
                <w:highlight w:val="none"/>
              </w:rPr>
              <w:t>名称</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合同签定</w:t>
            </w:r>
          </w:p>
          <w:p>
            <w:pPr>
              <w:snapToGrid w:val="0"/>
              <w:spacing w:beforeLines="50"/>
              <w:jc w:val="center"/>
              <w:rPr>
                <w:rFonts w:ascii="宋体" w:hAnsi="宋体" w:cs="宋体"/>
                <w:sz w:val="24"/>
                <w:highlight w:val="none"/>
              </w:rPr>
            </w:pPr>
            <w:r>
              <w:rPr>
                <w:rFonts w:hint="eastAsia" w:ascii="宋体" w:hAnsi="宋体" w:cs="宋体"/>
                <w:sz w:val="24"/>
                <w:highlight w:val="none"/>
              </w:rPr>
              <w:t>时间</w:t>
            </w: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项目名称</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w:t>
            </w:r>
          </w:p>
          <w:p>
            <w:pPr>
              <w:snapToGrid w:val="0"/>
              <w:spacing w:beforeLines="50"/>
              <w:jc w:val="center"/>
              <w:rPr>
                <w:rFonts w:ascii="宋体" w:hAnsi="宋体" w:cs="宋体"/>
                <w:sz w:val="24"/>
                <w:highlight w:val="none"/>
              </w:rPr>
            </w:pPr>
            <w:r>
              <w:rPr>
                <w:rFonts w:hint="eastAsia" w:ascii="宋体" w:hAnsi="宋体" w:cs="宋体"/>
                <w:sz w:val="24"/>
                <w:highlight w:val="none"/>
              </w:rPr>
              <w:t>金额</w:t>
            </w: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附件页码</w:t>
            </w:r>
          </w:p>
        </w:tc>
        <w:tc>
          <w:tcPr>
            <w:tcW w:w="13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采购单位联系人及</w:t>
            </w:r>
          </w:p>
          <w:p>
            <w:pPr>
              <w:snapToGrid w:val="0"/>
              <w:spacing w:beforeLines="50"/>
              <w:jc w:val="center"/>
              <w:rPr>
                <w:rFonts w:ascii="宋体" w:hAnsi="宋体" w:cs="宋体"/>
                <w:sz w:val="24"/>
                <w:highlight w:val="none"/>
              </w:rPr>
            </w:pPr>
            <w:r>
              <w:rPr>
                <w:rFonts w:hint="eastAsia" w:ascii="宋体" w:hAnsi="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8" w:hRule="atLeast"/>
        </w:trPr>
        <w:tc>
          <w:tcPr>
            <w:tcW w:w="1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8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sz w:val="28"/>
                <w:szCs w:val="28"/>
                <w:highlight w:val="none"/>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highlight w:val="none"/>
              </w:rPr>
            </w:pPr>
            <w:r>
              <w:rPr>
                <w:rFonts w:hint="eastAsia" w:ascii="宋体" w:hAnsi="宋体" w:cs="宋体"/>
                <w:sz w:val="24"/>
                <w:highlight w:val="none"/>
              </w:rPr>
              <w:t>合同复印件</w:t>
            </w: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2"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155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0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23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c>
          <w:tcPr>
            <w:tcW w:w="138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sz w:val="28"/>
                <w:szCs w:val="28"/>
                <w:highlight w:val="none"/>
              </w:rPr>
            </w:pPr>
          </w:p>
        </w:tc>
      </w:tr>
    </w:tbl>
    <w:p>
      <w:pPr>
        <w:snapToGrid w:val="0"/>
        <w:spacing w:before="240" w:after="160"/>
        <w:rPr>
          <w:rFonts w:ascii="宋体" w:hAnsi="宋体" w:cs="宋体"/>
          <w:sz w:val="24"/>
          <w:highlight w:val="none"/>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投标人(电子签章)：</w:t>
      </w:r>
    </w:p>
    <w:p>
      <w:pPr>
        <w:tabs>
          <w:tab w:val="left" w:pos="5580"/>
        </w:tabs>
        <w:spacing w:line="360" w:lineRule="auto"/>
        <w:ind w:firstLine="600" w:firstLineChars="250"/>
        <w:rPr>
          <w:rFonts w:ascii="宋体" w:hAnsi="宋体" w:cs="宋体"/>
          <w:kern w:val="0"/>
          <w:sz w:val="24"/>
          <w:highlight w:val="none"/>
        </w:rPr>
      </w:pPr>
      <w:r>
        <w:rPr>
          <w:rFonts w:hint="eastAsia" w:ascii="宋体" w:hAnsi="宋体" w:cs="宋体"/>
          <w:kern w:val="0"/>
          <w:sz w:val="24"/>
          <w:highlight w:val="none"/>
          <w:lang w:val="zh-CN"/>
        </w:rPr>
        <w:t xml:space="preserve">                 </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before="50" w:after="50" w:line="360" w:lineRule="auto"/>
        <w:rPr>
          <w:rFonts w:ascii="宋体" w:hAnsi="宋体" w:cs="宋体"/>
          <w:sz w:val="24"/>
          <w:highlight w:val="none"/>
        </w:rPr>
        <w:sectPr>
          <w:headerReference r:id="rId8" w:type="default"/>
          <w:footerReference r:id="rId9" w:type="default"/>
          <w:pgSz w:w="11906" w:h="16838"/>
          <w:pgMar w:top="1417" w:right="1797" w:bottom="1417" w:left="1417" w:header="851" w:footer="851" w:gutter="0"/>
          <w:cols w:space="720" w:num="1"/>
          <w:docGrid w:linePitch="312" w:charSpace="0"/>
        </w:sectPr>
      </w:pPr>
    </w:p>
    <w:p>
      <w:pPr>
        <w:adjustRightInd/>
        <w:spacing w:line="360" w:lineRule="auto"/>
        <w:jc w:val="center"/>
        <w:rPr>
          <w:rFonts w:ascii="宋体" w:hAnsi="宋体" w:cs="宋体"/>
          <w:bCs/>
          <w:sz w:val="24"/>
          <w:highlight w:val="none"/>
        </w:rPr>
      </w:pPr>
      <w:r>
        <w:rPr>
          <w:rFonts w:hint="eastAsia" w:ascii="宋体" w:hAnsi="宋体" w:cs="宋体"/>
          <w:b/>
          <w:bCs/>
          <w:sz w:val="32"/>
          <w:szCs w:val="32"/>
          <w:highlight w:val="none"/>
          <w:lang w:eastAsia="zh-CN"/>
        </w:rPr>
        <w:t>十</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项目实施方案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投标人(电子签章)：</w:t>
      </w: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pStyle w:val="4"/>
        <w:rPr>
          <w:rFonts w:ascii="宋体" w:hAnsi="宋体" w:cs="宋体"/>
          <w:b w:val="0"/>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7"/>
        <w:rPr>
          <w:rFonts w:ascii="宋体" w:hAnsi="宋体" w:cs="宋体"/>
          <w:bCs/>
          <w:sz w:val="24"/>
          <w:highlight w:val="none"/>
        </w:rPr>
      </w:pPr>
    </w:p>
    <w:p>
      <w:pPr>
        <w:rPr>
          <w:rFonts w:ascii="宋体" w:hAnsi="宋体" w:cs="宋体"/>
          <w:bCs/>
          <w:sz w:val="24"/>
          <w:highlight w:val="none"/>
        </w:rPr>
      </w:pPr>
    </w:p>
    <w:p>
      <w:pPr>
        <w:pStyle w:val="5"/>
        <w:rPr>
          <w:rFonts w:ascii="宋体" w:hAnsi="宋体" w:cs="宋体"/>
          <w:bCs/>
          <w:sz w:val="24"/>
          <w:highlight w:val="none"/>
        </w:rPr>
      </w:pPr>
    </w:p>
    <w:p>
      <w:pPr>
        <w:pStyle w:val="6"/>
        <w:rPr>
          <w:rFonts w:ascii="宋体" w:hAnsi="宋体" w:cs="宋体"/>
          <w:bCs/>
          <w:sz w:val="24"/>
          <w:highlight w:val="none"/>
        </w:rPr>
      </w:pPr>
    </w:p>
    <w:p>
      <w:pPr>
        <w:pStyle w:val="4"/>
        <w:jc w:val="both"/>
        <w:rPr>
          <w:rFonts w:hint="eastAsia" w:eastAsia="宋体"/>
          <w:highlight w:val="none"/>
          <w:lang w:val="en-US" w:eastAsia="zh-CN"/>
        </w:rPr>
      </w:pPr>
    </w:p>
    <w:p>
      <w:pPr>
        <w:rPr>
          <w:rFonts w:hint="eastAsia"/>
          <w:lang w:val="en-US" w:eastAsia="zh-CN"/>
        </w:rPr>
      </w:pPr>
    </w:p>
    <w:p>
      <w:pPr>
        <w:adjustRightInd/>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未尽事宜请各投标单位按评分标准和相对应标项相关要求制作</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280" w:firstLineChars="2200"/>
        <w:rPr>
          <w:rFonts w:ascii="宋体" w:hAnsi="宋体" w:cs="宋体"/>
          <w:kern w:val="0"/>
          <w:sz w:val="24"/>
          <w:highlight w:val="none"/>
        </w:rPr>
      </w:pPr>
      <w:r>
        <w:rPr>
          <w:rFonts w:hint="eastAsia" w:ascii="宋体" w:hAnsi="宋体" w:cs="宋体"/>
          <w:kern w:val="0"/>
          <w:sz w:val="24"/>
          <w:highlight w:val="none"/>
          <w:lang w:val="zh-CN"/>
        </w:rPr>
        <w:t>投标人(电子签章)：</w:t>
      </w:r>
    </w:p>
    <w:p>
      <w:pPr>
        <w:ind w:firstLine="5280" w:firstLineChars="2200"/>
        <w:rPr>
          <w:rFonts w:ascii="宋体" w:hAnsi="宋体" w:cs="宋体"/>
          <w:b/>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hint="eastAsia" w:ascii="宋体" w:hAnsi="宋体" w:cs="宋体"/>
          <w:b/>
          <w:bCs/>
          <w:sz w:val="32"/>
          <w:szCs w:val="32"/>
          <w:highlight w:val="none"/>
        </w:rPr>
      </w:pPr>
    </w:p>
    <w:p>
      <w:pPr>
        <w:adjustRightInd/>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二</w:t>
      </w:r>
      <w:r>
        <w:rPr>
          <w:rFonts w:hint="eastAsia" w:ascii="宋体" w:hAnsi="宋体" w:cs="宋体"/>
          <w:b/>
          <w:bCs/>
          <w:sz w:val="32"/>
          <w:szCs w:val="32"/>
          <w:highlight w:val="none"/>
        </w:rPr>
        <w:t>、认为需要的</w:t>
      </w:r>
      <w:r>
        <w:rPr>
          <w:rFonts w:hint="eastAsia" w:ascii="宋体" w:hAnsi="宋体" w:cs="宋体"/>
          <w:b/>
          <w:bCs/>
          <w:sz w:val="32"/>
          <w:szCs w:val="32"/>
          <w:highlight w:val="none"/>
          <w:lang w:val="zh-CN"/>
        </w:rPr>
        <w:t>其他商务技术（资信）文件或说明</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（由投标人根据采购需求自行编制）</w:t>
      </w:r>
    </w:p>
    <w:p>
      <w:pPr>
        <w:spacing w:line="360" w:lineRule="auto"/>
        <w:rPr>
          <w:rFonts w:ascii="仿宋_GB2312" w:hAnsi="仿宋_GB2312" w:eastAsia="仿宋_GB2312" w:cs="仿宋_GB2312"/>
          <w:sz w:val="24"/>
          <w:highlight w:val="none"/>
        </w:rPr>
      </w:pPr>
    </w:p>
    <w:p>
      <w:pPr>
        <w:spacing w:line="336" w:lineRule="auto"/>
        <w:ind w:firstLine="5280" w:firstLineChars="2200"/>
        <w:rPr>
          <w:rFonts w:ascii="宋体" w:hAnsi="宋体" w:cs="宋体"/>
          <w:sz w:val="24"/>
          <w:highlight w:val="none"/>
        </w:rPr>
      </w:pPr>
      <w:r>
        <w:rPr>
          <w:rFonts w:hint="eastAsia" w:ascii="宋体" w:hAnsi="宋体" w:cs="宋体"/>
          <w:sz w:val="24"/>
          <w:highlight w:val="none"/>
        </w:rPr>
        <w:t xml:space="preserve">投标人（电子签章）：                          </w:t>
      </w:r>
    </w:p>
    <w:p>
      <w:pPr>
        <w:adjustRightInd/>
        <w:spacing w:line="360" w:lineRule="auto"/>
        <w:jc w:val="center"/>
        <w:rPr>
          <w:rFonts w:ascii="宋体" w:hAnsi="宋体" w:cs="宋体"/>
          <w:b/>
          <w:sz w:val="24"/>
          <w:highlight w:val="none"/>
        </w:rPr>
      </w:pPr>
      <w:r>
        <w:rPr>
          <w:rFonts w:hint="eastAsia" w:ascii="宋体" w:hAnsi="宋体" w:cs="宋体"/>
          <w:sz w:val="24"/>
          <w:highlight w:val="none"/>
        </w:rPr>
        <w:t xml:space="preserve">                                       日期：  年   月   日</w:t>
      </w:r>
    </w:p>
    <w:p>
      <w:pPr>
        <w:adjustRightInd/>
        <w:spacing w:line="360" w:lineRule="auto"/>
        <w:jc w:val="center"/>
        <w:rPr>
          <w:rFonts w:ascii="宋体" w:hAnsi="宋体" w:cs="宋体"/>
          <w:b/>
          <w:sz w:val="24"/>
          <w:highlight w:val="none"/>
        </w:rPr>
      </w:pPr>
    </w:p>
    <w:p>
      <w:pPr>
        <w:adjustRightInd/>
        <w:spacing w:line="360" w:lineRule="auto"/>
        <w:jc w:val="center"/>
        <w:rPr>
          <w:rFonts w:ascii="宋体" w:hAnsi="宋体" w:cs="宋体"/>
          <w:b/>
          <w:sz w:val="24"/>
          <w:highlight w:val="none"/>
        </w:rPr>
      </w:pPr>
    </w:p>
    <w:p>
      <w:pPr>
        <w:rPr>
          <w:rFonts w:ascii="宋体" w:hAnsi="宋体" w:cs="宋体"/>
          <w:b/>
          <w:sz w:val="24"/>
          <w:highlight w:val="none"/>
        </w:rPr>
      </w:pPr>
      <w:r>
        <w:rPr>
          <w:rFonts w:hint="eastAsia" w:ascii="宋体" w:hAnsi="宋体" w:cs="宋体"/>
          <w:b/>
          <w:sz w:val="24"/>
          <w:highlight w:val="none"/>
        </w:rPr>
        <w:br w:type="page"/>
      </w:r>
    </w:p>
    <w:p>
      <w:pPr>
        <w:adjustRightInd/>
        <w:spacing w:line="360" w:lineRule="auto"/>
        <w:jc w:val="center"/>
        <w:rPr>
          <w:rFonts w:ascii="宋体" w:hAnsi="宋体" w:cs="宋体"/>
          <w:b/>
          <w:sz w:val="24"/>
          <w:highlight w:val="none"/>
        </w:rPr>
      </w:pPr>
      <w:r>
        <w:rPr>
          <w:rFonts w:hint="eastAsia" w:ascii="宋体" w:hAnsi="宋体" w:cs="宋体"/>
          <w:b/>
          <w:sz w:val="24"/>
          <w:highlight w:val="none"/>
        </w:rPr>
        <w:t>报价文件目录</w:t>
      </w:r>
    </w:p>
    <w:p>
      <w:pPr>
        <w:adjustRightInd/>
        <w:snapToGrid w:val="0"/>
        <w:spacing w:line="600" w:lineRule="exact"/>
        <w:ind w:firstLine="470" w:firstLineChars="196"/>
        <w:jc w:val="left"/>
        <w:rPr>
          <w:rFonts w:ascii="宋体" w:hAnsi="宋体" w:cs="宋体"/>
          <w:sz w:val="24"/>
          <w:highlight w:val="none"/>
        </w:rPr>
      </w:pPr>
      <w:r>
        <w:rPr>
          <w:rFonts w:hint="eastAsia" w:ascii="宋体" w:hAnsi="宋体" w:cs="宋体"/>
          <w:sz w:val="24"/>
          <w:highlight w:val="none"/>
        </w:rPr>
        <w:t>（1）开标一览表（报价表）；</w:t>
      </w: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rPr>
          <w:rFonts w:hint="eastAsia" w:ascii="宋体" w:hAnsi="宋体" w:eastAsia="宋体" w:cs="宋体"/>
          <w:bCs/>
          <w:sz w:val="24"/>
          <w:highlight w:val="none"/>
          <w:lang w:eastAsia="zh-CN"/>
        </w:rPr>
      </w:pPr>
    </w:p>
    <w:p>
      <w:pPr>
        <w:pStyle w:val="26"/>
        <w:rPr>
          <w:rFonts w:hint="eastAsia"/>
          <w:lang w:eastAsia="zh-CN"/>
        </w:rPr>
      </w:pPr>
    </w:p>
    <w:p>
      <w:pPr>
        <w:pStyle w:val="26"/>
        <w:rPr>
          <w:rFonts w:hint="eastAsia"/>
          <w:lang w:eastAsia="zh-CN"/>
        </w:rPr>
      </w:pPr>
    </w:p>
    <w:p>
      <w:pPr>
        <w:adjustRightInd/>
        <w:spacing w:line="360" w:lineRule="auto"/>
        <w:rPr>
          <w:rFonts w:ascii="宋体" w:hAnsi="宋体" w:cs="宋体"/>
          <w:bCs/>
          <w:sz w:val="24"/>
          <w:highlight w:val="none"/>
        </w:rPr>
      </w:pPr>
    </w:p>
    <w:p>
      <w:pPr>
        <w:adjustRightInd/>
        <w:spacing w:line="360" w:lineRule="auto"/>
        <w:rPr>
          <w:rFonts w:ascii="宋体" w:hAnsi="宋体" w:cs="宋体"/>
          <w:bCs/>
          <w:sz w:val="24"/>
          <w:highlight w:val="none"/>
        </w:rPr>
      </w:pPr>
    </w:p>
    <w:p>
      <w:pPr>
        <w:adjustRightInd/>
        <w:spacing w:line="360" w:lineRule="auto"/>
        <w:jc w:val="center"/>
        <w:rPr>
          <w:rFonts w:hint="eastAsia" w:ascii="宋体" w:hAnsi="宋体" w:cs="宋体"/>
          <w:b/>
          <w:sz w:val="28"/>
          <w:szCs w:val="28"/>
          <w:highlight w:val="none"/>
        </w:rPr>
      </w:pPr>
    </w:p>
    <w:p>
      <w:pPr>
        <w:adjustRightInd/>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开标一览表</w:t>
      </w:r>
    </w:p>
    <w:p>
      <w:pPr>
        <w:adjustRightInd/>
        <w:spacing w:line="360" w:lineRule="auto"/>
        <w:jc w:val="both"/>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cs="宋体"/>
          <w:b w:val="0"/>
          <w:color w:val="auto"/>
          <w:sz w:val="24"/>
          <w:szCs w:val="24"/>
          <w:lang w:val="en-US" w:eastAsia="zh-CN"/>
        </w:rPr>
        <w:t>仙岩镇全域旅游及舜皇村核心区改造提升规划项目</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项目</w:t>
      </w:r>
      <w:r>
        <w:rPr>
          <w:rFonts w:hint="eastAsia" w:ascii="宋体" w:hAnsi="宋体" w:cs="宋体"/>
          <w:color w:val="auto"/>
          <w:sz w:val="24"/>
          <w:szCs w:val="24"/>
        </w:rPr>
        <w:t>编号：</w:t>
      </w:r>
      <w:r>
        <w:rPr>
          <w:rFonts w:hint="eastAsia" w:ascii="宋体" w:hAnsi="宋体" w:cs="宋体"/>
          <w:color w:val="auto"/>
          <w:sz w:val="24"/>
          <w:szCs w:val="24"/>
          <w:lang w:eastAsia="zh-CN"/>
        </w:rPr>
        <w:t>JQ-SZ20250116</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价格单位：（人民币）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w:t>
      </w:r>
    </w:p>
    <w:tbl>
      <w:tblPr>
        <w:tblStyle w:val="27"/>
        <w:tblW w:w="9652"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26"/>
        <w:gridCol w:w="1317"/>
        <w:gridCol w:w="195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684"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3326"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31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955" w:type="dxa"/>
            <w:noWrap w:val="0"/>
            <w:vAlign w:val="center"/>
          </w:tcPr>
          <w:p>
            <w:pPr>
              <w:spacing w:line="360" w:lineRule="auto"/>
              <w:jc w:val="both"/>
              <w:rPr>
                <w:rFonts w:hint="eastAsia" w:ascii="宋体" w:hAnsi="宋体" w:eastAsia="宋体" w:cs="宋体"/>
                <w:b/>
                <w:sz w:val="24"/>
                <w:lang w:eastAsia="zh-CN"/>
              </w:rPr>
            </w:pPr>
            <w:r>
              <w:rPr>
                <w:rFonts w:hint="eastAsia" w:ascii="宋体" w:hAnsi="宋体" w:eastAsia="宋体" w:cs="宋体"/>
                <w:b/>
                <w:sz w:val="24"/>
                <w:lang w:eastAsia="zh-CN"/>
              </w:rPr>
              <w:t>投标报价（元）</w:t>
            </w:r>
          </w:p>
        </w:tc>
        <w:tc>
          <w:tcPr>
            <w:tcW w:w="1370" w:type="dxa"/>
            <w:noWrap w:val="0"/>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84"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3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rPr>
            </w:pPr>
          </w:p>
        </w:tc>
        <w:tc>
          <w:tcPr>
            <w:tcW w:w="13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lang w:val="en-US" w:eastAsia="zh-CN"/>
              </w:rPr>
            </w:pPr>
          </w:p>
        </w:tc>
        <w:tc>
          <w:tcPr>
            <w:tcW w:w="1955"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p>
        </w:tc>
        <w:tc>
          <w:tcPr>
            <w:tcW w:w="1370" w:type="dxa"/>
            <w:noWrap w:val="0"/>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9652" w:type="dxa"/>
            <w:gridSpan w:val="5"/>
            <w:noWrap w:val="0"/>
            <w:vAlign w:val="center"/>
          </w:tcPr>
          <w:p>
            <w:pPr>
              <w:keepNext w:val="0"/>
              <w:keepLines w:val="0"/>
              <w:pageBreakBefore w:val="0"/>
              <w:widowControl w:val="0"/>
              <w:kinsoku/>
              <w:wordWrap/>
              <w:overflowPunct/>
              <w:topLinePunct w:val="0"/>
              <w:autoSpaceDE/>
              <w:autoSpaceDN/>
              <w:bidi w:val="0"/>
              <w:adjustRightInd w:val="0"/>
              <w:spacing w:line="440" w:lineRule="exact"/>
              <w:jc w:val="left"/>
              <w:textAlignment w:val="auto"/>
              <w:rPr>
                <w:rFonts w:hint="eastAsia" w:ascii="宋体" w:hAnsi="宋体" w:eastAsia="宋体" w:cs="宋体"/>
                <w:sz w:val="24"/>
                <w:lang w:val="en-US" w:eastAsia="zh-CN"/>
              </w:rPr>
            </w:pPr>
            <w:r>
              <w:rPr>
                <w:rFonts w:hint="eastAsia" w:ascii="宋体" w:hAnsi="宋体" w:eastAsia="宋体" w:cs="宋体"/>
                <w:b/>
                <w:bCs/>
                <w:sz w:val="24"/>
                <w:lang w:eastAsia="zh-CN"/>
              </w:rPr>
              <w:t>投标报价总计（大写）</w:t>
            </w:r>
            <w:r>
              <w:rPr>
                <w:rFonts w:hint="eastAsia" w:ascii="宋体" w:hAnsi="宋体" w:eastAsia="宋体" w:cs="宋体"/>
                <w:b/>
                <w:bCs/>
                <w:sz w:val="24"/>
                <w:lang w:val="en-US" w:eastAsia="zh-CN"/>
              </w:rPr>
              <w:t>:       元整</w:t>
            </w:r>
          </w:p>
        </w:tc>
      </w:tr>
    </w:tbl>
    <w:p>
      <w:pPr>
        <w:tabs>
          <w:tab w:val="left" w:pos="9180"/>
        </w:tabs>
        <w:adjustRightInd/>
        <w:spacing w:line="360" w:lineRule="auto"/>
        <w:rPr>
          <w:rFonts w:ascii="宋体" w:hAnsi="宋体" w:cs="宋体"/>
          <w:bCs/>
          <w:sz w:val="24"/>
          <w:highlight w:val="none"/>
        </w:rPr>
      </w:pPr>
      <w:r>
        <w:rPr>
          <w:rFonts w:hint="eastAsia" w:ascii="宋体" w:hAnsi="宋体" w:cs="宋体"/>
          <w:b/>
          <w:sz w:val="24"/>
          <w:highlight w:val="none"/>
        </w:rPr>
        <w:t xml:space="preserve">注: </w:t>
      </w:r>
      <w:r>
        <w:rPr>
          <w:rFonts w:hint="eastAsia" w:ascii="宋体" w:hAnsi="宋体" w:cs="宋体"/>
          <w:bCs/>
          <w:sz w:val="24"/>
          <w:highlight w:val="none"/>
        </w:rPr>
        <w:t>1.应包含服务所发生的费用包含但不仅限项目实施所需的人工费、设计、排版、材料价、制作、税金、包装、服务、代理服务费等一切费用。</w:t>
      </w:r>
    </w:p>
    <w:p>
      <w:pPr>
        <w:tabs>
          <w:tab w:val="left" w:pos="9180"/>
        </w:tabs>
        <w:adjustRightInd/>
        <w:spacing w:line="360" w:lineRule="auto"/>
        <w:ind w:firstLine="240" w:firstLineChars="100"/>
        <w:rPr>
          <w:rFonts w:ascii="宋体" w:hAnsi="宋体" w:cs="宋体"/>
          <w:bCs/>
          <w:sz w:val="24"/>
          <w:highlight w:val="none"/>
        </w:rPr>
      </w:pPr>
      <w:r>
        <w:rPr>
          <w:rFonts w:hint="eastAsia" w:ascii="宋体" w:hAnsi="宋体" w:cs="宋体"/>
          <w:bCs/>
          <w:sz w:val="24"/>
          <w:highlight w:val="none"/>
        </w:rPr>
        <w:t>2.报价一经涂改，应在涂改处加盖单位公章或者由法定代表人签字或盖章，否则其响应作无效标处理。</w:t>
      </w:r>
    </w:p>
    <w:p>
      <w:pPr>
        <w:tabs>
          <w:tab w:val="left" w:pos="9180"/>
        </w:tabs>
        <w:adjustRightInd/>
        <w:spacing w:line="360" w:lineRule="auto"/>
        <w:ind w:firstLine="240" w:firstLineChars="100"/>
        <w:rPr>
          <w:rFonts w:ascii="宋体" w:hAnsi="宋体" w:cs="宋体"/>
          <w:b/>
          <w:sz w:val="24"/>
          <w:highlight w:val="none"/>
        </w:rPr>
      </w:pPr>
      <w:r>
        <w:rPr>
          <w:rFonts w:hint="eastAsia" w:ascii="宋体" w:hAnsi="宋体" w:cs="宋体"/>
          <w:bCs/>
          <w:sz w:val="24"/>
          <w:highlight w:val="none"/>
        </w:rPr>
        <w:t>3.采购人将以合同形式有偿取得货物或服务，不接受投标人给予的赠品、回扣或者与采购无关的其他商品、服务，不得出现“0元”、“免费赠送”等形式的无偿报价，否则视为响应文件含有采购人不能接受的附加条件，响应无效。</w:t>
      </w:r>
    </w:p>
    <w:p>
      <w:pPr>
        <w:tabs>
          <w:tab w:val="left" w:pos="9180"/>
        </w:tabs>
        <w:adjustRightInd/>
        <w:spacing w:line="360" w:lineRule="auto"/>
        <w:ind w:firstLine="241" w:firstLineChars="100"/>
        <w:rPr>
          <w:rFonts w:ascii="宋体" w:hAnsi="宋体" w:cs="宋体"/>
          <w:sz w:val="24"/>
          <w:highlight w:val="none"/>
        </w:rPr>
      </w:pPr>
      <w:r>
        <w:rPr>
          <w:rFonts w:hint="eastAsia" w:ascii="宋体" w:hAnsi="宋体" w:cs="宋体"/>
          <w:b/>
          <w:sz w:val="24"/>
          <w:highlight w:val="none"/>
        </w:rPr>
        <w:t>4.</w:t>
      </w:r>
      <w:r>
        <w:rPr>
          <w:rFonts w:hint="eastAsia" w:ascii="宋体" w:hAnsi="宋体" w:cs="宋体"/>
          <w:b/>
          <w:sz w:val="24"/>
          <w:highlight w:val="none"/>
          <w:u w:val="single"/>
        </w:rPr>
        <w:t>特别提醒：本表的报价内容不能出现在资信技术文件中</w:t>
      </w:r>
      <w:r>
        <w:rPr>
          <w:rFonts w:hint="eastAsia" w:ascii="宋体" w:hAnsi="宋体" w:cs="宋体"/>
          <w:b/>
          <w:sz w:val="24"/>
          <w:highlight w:val="none"/>
        </w:rPr>
        <w:t>。</w:t>
      </w: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tabs>
          <w:tab w:val="left" w:pos="2310"/>
        </w:tabs>
        <w:spacing w:line="360" w:lineRule="auto"/>
        <w:ind w:firstLine="600" w:firstLineChars="250"/>
        <w:rPr>
          <w:rFonts w:ascii="宋体" w:hAnsi="宋体" w:cs="宋体"/>
          <w:sz w:val="24"/>
          <w:highlight w:val="none"/>
        </w:rPr>
      </w:pPr>
    </w:p>
    <w:p>
      <w:pPr>
        <w:spacing w:line="360" w:lineRule="auto"/>
        <w:ind w:firstLine="5760" w:firstLineChars="2400"/>
        <w:rPr>
          <w:rFonts w:ascii="宋体" w:hAnsi="宋体" w:cs="宋体"/>
          <w:sz w:val="24"/>
          <w:highlight w:val="none"/>
        </w:rPr>
      </w:pPr>
      <w:r>
        <w:rPr>
          <w:rFonts w:hint="eastAsia" w:ascii="宋体" w:hAnsi="宋体" w:cs="宋体"/>
          <w:sz w:val="24"/>
          <w:highlight w:val="none"/>
        </w:rPr>
        <w:t>投标人(电子签章)：</w:t>
      </w:r>
    </w:p>
    <w:p>
      <w:pPr>
        <w:snapToGrid w:val="0"/>
        <w:spacing w:line="360" w:lineRule="auto"/>
        <w:ind w:firstLine="5760" w:firstLineChars="2400"/>
        <w:rPr>
          <w:rFonts w:hint="eastAsia" w:ascii="宋体" w:hAnsi="宋体" w:eastAsia="宋体" w:cs="宋体"/>
          <w:kern w:val="0"/>
          <w:sz w:val="24"/>
          <w:highlight w:val="none"/>
          <w:lang w:val="en-US" w:eastAsia="zh-CN"/>
        </w:rPr>
      </w:pPr>
      <w:r>
        <w:rPr>
          <w:rFonts w:hint="eastAsia" w:ascii="宋体" w:hAnsi="宋体" w:cs="宋体"/>
          <w:sz w:val="24"/>
          <w:highlight w:val="none"/>
        </w:rPr>
        <w:t xml:space="preserve">                                                       </w:t>
      </w:r>
      <w:r>
        <w:rPr>
          <w:rFonts w:hint="eastAsia" w:ascii="宋体" w:hAnsi="宋体" w:cs="宋体"/>
          <w:kern w:val="0"/>
          <w:sz w:val="24"/>
          <w:highlight w:val="none"/>
          <w:lang w:val="en-US" w:eastAsia="zh-CN"/>
        </w:rPr>
        <w:t xml:space="preserve"> </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rPr>
          <w:rFonts w:hint="eastAsia" w:ascii="宋体" w:hAnsi="宋体" w:cs="宋体"/>
          <w:sz w:val="24"/>
          <w:highlight w:val="none"/>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pPr>
    </w:p>
    <w:p/>
    <w:p>
      <w:pPr>
        <w:pStyle w:val="2"/>
      </w:pPr>
    </w:p>
    <w:p>
      <w:pPr>
        <w:pStyle w:val="54"/>
        <w:numPr>
          <w:ilvl w:val="0"/>
          <w:numId w:val="0"/>
        </w:numPr>
        <w:adjustRightInd/>
        <w:snapToGrid w:val="0"/>
        <w:spacing w:line="360" w:lineRule="auto"/>
        <w:jc w:val="both"/>
        <w:rPr>
          <w:rFonts w:hint="default" w:hAnsi="宋体" w:cs="宋体"/>
          <w:b/>
          <w:bCs/>
          <w:sz w:val="24"/>
          <w:szCs w:val="24"/>
          <w:highlight w:val="none"/>
        </w:rPr>
      </w:pPr>
    </w:p>
    <w:p>
      <w:pPr>
        <w:pStyle w:val="54"/>
        <w:numPr>
          <w:ilvl w:val="0"/>
          <w:numId w:val="0"/>
        </w:numPr>
        <w:adjustRightInd/>
        <w:snapToGrid w:val="0"/>
        <w:spacing w:line="360" w:lineRule="auto"/>
        <w:ind w:firstLine="420" w:firstLineChars="200"/>
        <w:jc w:val="left"/>
        <w:rPr>
          <w:rStyle w:val="33"/>
          <w:rFonts w:hint="default" w:ascii="仿宋" w:hAnsi="仿宋" w:eastAsia="仿宋" w:cs="仿宋"/>
          <w:b/>
          <w:bCs/>
          <w:color w:val="auto"/>
          <w:sz w:val="24"/>
          <w:szCs w:val="24"/>
          <w:highlight w:val="none"/>
        </w:rPr>
      </w:pPr>
      <w:r>
        <w:rPr>
          <w:highlight w:val="none"/>
        </w:rPr>
        <w:fldChar w:fldCharType="begin"/>
      </w:r>
      <w:r>
        <w:rPr>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874137158@qq.com邮箱，如未如实填写，将有可能影响你的投标文件评审（政府采购活动现场确认声明书格式见附表）。" </w:instrText>
      </w:r>
      <w:r>
        <w:rPr>
          <w:highlight w:val="none"/>
        </w:rPr>
        <w:fldChar w:fldCharType="separate"/>
      </w:r>
      <w:r>
        <w:rPr>
          <w:rStyle w:val="33"/>
          <w:rFonts w:ascii="宋体" w:hAnsi="宋体" w:eastAsia="宋体" w:cs="宋体"/>
          <w:b/>
          <w:bCs/>
          <w:color w:val="auto"/>
          <w:sz w:val="24"/>
          <w:szCs w:val="24"/>
          <w:highlight w:val="none"/>
        </w:rPr>
        <w:t>标投标人在投标文件解密后半小时内如实填写采购活动现场确认声明书，并以扫描件形式发送至</w:t>
      </w:r>
      <w:r>
        <w:rPr>
          <w:rStyle w:val="33"/>
          <w:rFonts w:hint="eastAsia" w:hAnsi="宋体" w:cs="宋体"/>
          <w:b/>
          <w:bCs/>
          <w:color w:val="auto"/>
          <w:sz w:val="24"/>
          <w:szCs w:val="24"/>
          <w:highlight w:val="none"/>
          <w:lang w:eastAsia="zh-CN"/>
        </w:rPr>
        <w:t>963306557</w:t>
      </w:r>
      <w:r>
        <w:rPr>
          <w:rStyle w:val="33"/>
          <w:rFonts w:ascii="宋体" w:hAnsi="宋体" w:eastAsia="宋体" w:cs="宋体"/>
          <w:b/>
          <w:bCs/>
          <w:color w:val="auto"/>
          <w:sz w:val="24"/>
          <w:szCs w:val="24"/>
          <w:highlight w:val="none"/>
        </w:rPr>
        <w:t>@qq.com邮箱，如未如实填写，将有可能影响你的投标文件评审（采购活动现场确认声明书格式见附表）。</w:t>
      </w:r>
      <w:r>
        <w:rPr>
          <w:rStyle w:val="33"/>
          <w:rFonts w:ascii="仿宋" w:hAnsi="仿宋" w:eastAsia="仿宋" w:cs="仿宋"/>
          <w:b/>
          <w:bCs/>
          <w:color w:val="auto"/>
          <w:sz w:val="24"/>
          <w:szCs w:val="24"/>
          <w:highlight w:val="none"/>
        </w:rPr>
        <w:br w:type="page"/>
      </w:r>
      <w:r>
        <w:rPr>
          <w:rStyle w:val="33"/>
          <w:rFonts w:ascii="仿宋" w:hAnsi="仿宋" w:eastAsia="仿宋" w:cs="仿宋"/>
          <w:b/>
          <w:bCs/>
          <w:color w:val="auto"/>
          <w:sz w:val="24"/>
          <w:szCs w:val="24"/>
          <w:highlight w:val="none"/>
        </w:rPr>
        <w:fldChar w:fldCharType="end"/>
      </w:r>
    </w:p>
    <w:p>
      <w:pPr>
        <w:jc w:val="center"/>
        <w:rPr>
          <w:rFonts w:ascii="宋体" w:hAnsi="宋体" w:cs="宋体"/>
          <w:b/>
          <w:bCs/>
          <w:sz w:val="28"/>
          <w:szCs w:val="28"/>
          <w:highlight w:val="none"/>
        </w:rPr>
      </w:pPr>
      <w:r>
        <w:rPr>
          <w:rFonts w:hint="eastAsia" w:ascii="宋体" w:hAnsi="宋体" w:cs="宋体"/>
          <w:b/>
          <w:bCs/>
          <w:sz w:val="28"/>
          <w:szCs w:val="28"/>
          <w:highlight w:val="none"/>
        </w:rPr>
        <w:t>采购活动现场确认声明书</w:t>
      </w:r>
    </w:p>
    <w:p>
      <w:pPr>
        <w:pStyle w:val="54"/>
        <w:numPr>
          <w:ilvl w:val="0"/>
          <w:numId w:val="0"/>
        </w:numPr>
        <w:adjustRightInd/>
        <w:snapToGrid w:val="0"/>
        <w:spacing w:line="460" w:lineRule="exact"/>
        <w:rPr>
          <w:rFonts w:hint="default" w:hAnsi="宋体" w:cs="宋体"/>
          <w:b/>
          <w:sz w:val="24"/>
          <w:szCs w:val="24"/>
          <w:highlight w:val="none"/>
        </w:rPr>
      </w:pPr>
      <w:r>
        <w:rPr>
          <w:rFonts w:hint="eastAsia" w:hAnsi="宋体" w:cs="宋体"/>
          <w:sz w:val="24"/>
          <w:szCs w:val="24"/>
          <w:highlight w:val="none"/>
          <w:u w:val="single"/>
          <w:lang w:eastAsia="zh-CN"/>
        </w:rPr>
        <w:t>泾清项目管理有限公司</w:t>
      </w:r>
      <w:r>
        <w:rPr>
          <w:rFonts w:hAnsi="宋体" w:cs="宋体"/>
          <w:sz w:val="24"/>
          <w:szCs w:val="24"/>
          <w:highlight w:val="none"/>
        </w:rPr>
        <w:t>：</w:t>
      </w:r>
    </w:p>
    <w:p>
      <w:pPr>
        <w:pStyle w:val="54"/>
        <w:numPr>
          <w:ilvl w:val="0"/>
          <w:numId w:val="0"/>
        </w:numPr>
        <w:adjustRightInd/>
        <w:snapToGrid w:val="0"/>
        <w:spacing w:line="460" w:lineRule="exact"/>
        <w:ind w:firstLine="504" w:firstLineChars="200"/>
        <w:rPr>
          <w:rFonts w:hint="default" w:hAnsi="宋体" w:cs="宋体"/>
          <w:spacing w:val="6"/>
          <w:sz w:val="24"/>
          <w:szCs w:val="24"/>
          <w:highlight w:val="none"/>
        </w:rPr>
      </w:pPr>
      <w:r>
        <w:rPr>
          <w:rFonts w:hAnsi="宋体" w:cs="宋体"/>
          <w:spacing w:val="6"/>
          <w:sz w:val="24"/>
          <w:szCs w:val="24"/>
          <w:highlight w:val="none"/>
        </w:rPr>
        <w:t>本人</w:t>
      </w:r>
      <w:r>
        <w:rPr>
          <w:rFonts w:hAnsi="宋体" w:cs="宋体"/>
          <w:spacing w:val="6"/>
          <w:sz w:val="24"/>
          <w:szCs w:val="24"/>
          <w:highlight w:val="none"/>
          <w:u w:val="single"/>
        </w:rPr>
        <w:t xml:space="preserve">      </w:t>
      </w:r>
      <w:r>
        <w:rPr>
          <w:rFonts w:hAnsi="宋体" w:cs="宋体"/>
          <w:spacing w:val="6"/>
          <w:sz w:val="24"/>
          <w:szCs w:val="24"/>
          <w:highlight w:val="none"/>
        </w:rPr>
        <w:t>经由</w:t>
      </w:r>
      <w:r>
        <w:rPr>
          <w:rFonts w:hAnsi="宋体" w:cs="宋体"/>
          <w:spacing w:val="6"/>
          <w:sz w:val="24"/>
          <w:szCs w:val="24"/>
          <w:highlight w:val="none"/>
          <w:u w:val="single"/>
        </w:rPr>
        <w:t xml:space="preserve">                                （单位）</w:t>
      </w:r>
      <w:r>
        <w:rPr>
          <w:rFonts w:hAnsi="宋体" w:cs="宋体"/>
          <w:spacing w:val="6"/>
          <w:sz w:val="24"/>
          <w:szCs w:val="24"/>
          <w:highlight w:val="none"/>
        </w:rPr>
        <w:t>负责人</w:t>
      </w:r>
      <w:r>
        <w:rPr>
          <w:rFonts w:hAnsi="宋体" w:cs="宋体"/>
          <w:spacing w:val="6"/>
          <w:sz w:val="24"/>
          <w:szCs w:val="24"/>
          <w:highlight w:val="none"/>
          <w:u w:val="single"/>
        </w:rPr>
        <w:t xml:space="preserve"> </w:t>
      </w:r>
      <w:r>
        <w:rPr>
          <w:rFonts w:hAnsi="宋体" w:cs="宋体"/>
          <w:i/>
          <w:iCs/>
          <w:spacing w:val="6"/>
          <w:sz w:val="24"/>
          <w:szCs w:val="24"/>
          <w:highlight w:val="none"/>
          <w:u w:val="single"/>
        </w:rPr>
        <w:t xml:space="preserve">     </w:t>
      </w:r>
      <w:r>
        <w:rPr>
          <w:rFonts w:hAnsi="宋体" w:cs="宋体"/>
          <w:spacing w:val="6"/>
          <w:sz w:val="24"/>
          <w:szCs w:val="24"/>
          <w:highlight w:val="none"/>
          <w:u w:val="single"/>
        </w:rPr>
        <w:t>（姓名）</w:t>
      </w:r>
      <w:r>
        <w:rPr>
          <w:rFonts w:hAnsi="宋体" w:cs="宋体"/>
          <w:spacing w:val="6"/>
          <w:sz w:val="24"/>
          <w:szCs w:val="24"/>
          <w:highlight w:val="none"/>
        </w:rPr>
        <w:t>合法授权参加</w:t>
      </w:r>
      <w:r>
        <w:rPr>
          <w:rFonts w:hAnsi="宋体" w:cs="宋体"/>
          <w:spacing w:val="6"/>
          <w:sz w:val="24"/>
          <w:szCs w:val="24"/>
          <w:highlight w:val="none"/>
          <w:u w:val="single"/>
        </w:rPr>
        <w:t xml:space="preserve">                </w:t>
      </w:r>
      <w:r>
        <w:rPr>
          <w:rFonts w:hAnsi="宋体" w:cs="宋体"/>
          <w:spacing w:val="6"/>
          <w:sz w:val="24"/>
          <w:szCs w:val="24"/>
          <w:highlight w:val="none"/>
        </w:rPr>
        <w:t>（项目编号：</w:t>
      </w:r>
      <w:r>
        <w:rPr>
          <w:rFonts w:hAnsi="宋体" w:cs="宋体"/>
          <w:spacing w:val="6"/>
          <w:sz w:val="24"/>
          <w:szCs w:val="24"/>
          <w:highlight w:val="none"/>
          <w:u w:val="single"/>
        </w:rPr>
        <w:t xml:space="preserve">            </w:t>
      </w:r>
      <w:r>
        <w:rPr>
          <w:rFonts w:hAnsi="宋体" w:cs="宋体"/>
          <w:spacing w:val="6"/>
          <w:sz w:val="24"/>
          <w:szCs w:val="24"/>
          <w:highlight w:val="none"/>
        </w:rPr>
        <w:t xml:space="preserve">）采购活动，经与本单位法人代表（负责人）联系确认，现就有关公平竞争事项郑重声明如下： </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一、本单位与采购人之间 </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□不存在利害关系;</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A.投资关系    B.行政隶属关系    C.业务指导关系</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D.其他可能</w:t>
      </w:r>
      <w:r>
        <w:rPr>
          <w:rFonts w:ascii="宋体" w:hAnsi="宋体" w:cs="宋体"/>
          <w:sz w:val="24"/>
          <w:szCs w:val="24"/>
          <w:highlight w:val="none"/>
        </w:rPr>
        <w:t>影响采购公正的</w:t>
      </w:r>
      <w:r>
        <w:rPr>
          <w:rFonts w:ascii="宋体" w:hAnsi="宋体" w:cs="宋体"/>
          <w:kern w:val="0"/>
          <w:sz w:val="24"/>
          <w:szCs w:val="24"/>
          <w:highlight w:val="none"/>
        </w:rPr>
        <w:t>利害关系</w:t>
      </w:r>
      <w:r>
        <w:rPr>
          <w:rFonts w:ascii="宋体" w:hAnsi="宋体" w:cs="宋体"/>
          <w:kern w:val="0"/>
          <w:sz w:val="24"/>
          <w:szCs w:val="24"/>
          <w:highlight w:val="none"/>
          <w:u w:val="single"/>
        </w:rPr>
        <w:t xml:space="preserve">（如有，请如实说明）                 </w:t>
      </w:r>
      <w:r>
        <w:rPr>
          <w:rFonts w:ascii="宋体" w:hAnsi="宋体" w:cs="宋体"/>
          <w:kern w:val="0"/>
          <w:sz w:val="24"/>
          <w:szCs w:val="24"/>
          <w:highlight w:val="none"/>
        </w:rPr>
        <w:t>。</w:t>
      </w:r>
    </w:p>
    <w:p>
      <w:pPr>
        <w:pStyle w:val="55"/>
        <w:widowControl/>
        <w:snapToGrid w:val="0"/>
        <w:spacing w:line="460" w:lineRule="exact"/>
        <w:rPr>
          <w:rFonts w:hint="default" w:ascii="宋体" w:hAnsi="宋体" w:cs="宋体"/>
          <w:kern w:val="0"/>
          <w:sz w:val="24"/>
          <w:szCs w:val="24"/>
          <w:highlight w:val="none"/>
        </w:rPr>
      </w:pPr>
      <w:r>
        <w:rPr>
          <w:rFonts w:ascii="宋体" w:hAnsi="宋体" w:cs="宋体"/>
          <w:spacing w:val="6"/>
          <w:sz w:val="24"/>
          <w:szCs w:val="24"/>
          <w:highlight w:val="none"/>
        </w:rPr>
        <w:t>二、</w:t>
      </w:r>
      <w:r>
        <w:rPr>
          <w:rFonts w:ascii="宋体" w:hAnsi="宋体" w:cs="宋体"/>
          <w:kern w:val="0"/>
          <w:sz w:val="24"/>
          <w:szCs w:val="24"/>
          <w:highlight w:val="none"/>
        </w:rPr>
        <w:t xml:space="preserve">现已清楚知道参加本项目采购活动的其他所有投标人名称，本单位 </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□与其他所有投标人之间均不存在利害关系 </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 xml:space="preserve">  □与</w:t>
      </w:r>
      <w:r>
        <w:rPr>
          <w:rFonts w:ascii="宋体" w:hAnsi="宋体" w:cs="宋体"/>
          <w:kern w:val="0"/>
          <w:sz w:val="24"/>
          <w:szCs w:val="24"/>
          <w:highlight w:val="none"/>
          <w:u w:val="single"/>
        </w:rPr>
        <w:t xml:space="preserve">           （投标人名称）</w:t>
      </w:r>
      <w:r>
        <w:rPr>
          <w:rFonts w:ascii="宋体" w:hAnsi="宋体" w:cs="宋体"/>
          <w:kern w:val="0"/>
          <w:sz w:val="24"/>
          <w:szCs w:val="24"/>
          <w:highlight w:val="none"/>
        </w:rPr>
        <w:t>之间存在下列利害关系</w:t>
      </w:r>
      <w:r>
        <w:rPr>
          <w:rFonts w:ascii="宋体" w:hAnsi="宋体" w:cs="宋体"/>
          <w:kern w:val="0"/>
          <w:sz w:val="24"/>
          <w:szCs w:val="24"/>
          <w:highlight w:val="none"/>
          <w:u w:val="single"/>
        </w:rPr>
        <w:t xml:space="preserve">          </w:t>
      </w:r>
      <w:r>
        <w:rPr>
          <w:rFonts w:ascii="宋体" w:hAnsi="宋体" w:cs="宋体"/>
          <w:kern w:val="0"/>
          <w:sz w:val="24"/>
          <w:szCs w:val="24"/>
          <w:highlight w:val="none"/>
        </w:rPr>
        <w:t>：</w:t>
      </w:r>
    </w:p>
    <w:p>
      <w:pPr>
        <w:pStyle w:val="54"/>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A.法定代表人或负责人或实际控制人是同一人</w:t>
      </w:r>
    </w:p>
    <w:p>
      <w:pPr>
        <w:pStyle w:val="54"/>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B.法定代表人或负责人或实际控制人是夫妻关系</w:t>
      </w:r>
    </w:p>
    <w:p>
      <w:pPr>
        <w:pStyle w:val="54"/>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C.法定代表人或负责人或实际控制人是直系血亲关系</w:t>
      </w:r>
    </w:p>
    <w:p>
      <w:pPr>
        <w:pStyle w:val="54"/>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D.法定代表人或负责人或实际控制人存在三代以内旁系血亲关系</w:t>
      </w:r>
    </w:p>
    <w:p>
      <w:pPr>
        <w:pStyle w:val="54"/>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E.法定代表人或负责人或实际控制人存在近姻亲关系</w:t>
      </w:r>
    </w:p>
    <w:p>
      <w:pPr>
        <w:pStyle w:val="54"/>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F.法定代表人或负责人或实际控制人存在股份控制或实际控制关系</w:t>
      </w:r>
      <w:bookmarkStart w:id="75" w:name="_Toc11926"/>
    </w:p>
    <w:p>
      <w:pPr>
        <w:pStyle w:val="54"/>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G.存在共同直接或间接投资设立子公司、联营企业和合营企业情况</w:t>
      </w:r>
      <w:bookmarkEnd w:id="75"/>
    </w:p>
    <w:p>
      <w:pPr>
        <w:pStyle w:val="54"/>
        <w:numPr>
          <w:ilvl w:val="0"/>
          <w:numId w:val="0"/>
        </w:numPr>
        <w:adjustRightInd/>
        <w:snapToGrid w:val="0"/>
        <w:spacing w:line="460" w:lineRule="exact"/>
        <w:rPr>
          <w:rFonts w:hint="default" w:hAnsi="宋体" w:cs="宋体"/>
          <w:sz w:val="24"/>
          <w:szCs w:val="24"/>
          <w:highlight w:val="none"/>
        </w:rPr>
      </w:pPr>
      <w:r>
        <w:rPr>
          <w:rFonts w:hAnsi="宋体" w:cs="宋体"/>
          <w:sz w:val="24"/>
          <w:szCs w:val="24"/>
          <w:highlight w:val="none"/>
        </w:rPr>
        <w:t>H.存在分级代理或代销关系、同一生产制造商关系、管理关系、重要业务（占主营业务收入50%以上）或重要财务往来关系（如融资）等其他实质性控制关系</w:t>
      </w:r>
    </w:p>
    <w:p>
      <w:pPr>
        <w:pStyle w:val="54"/>
        <w:numPr>
          <w:ilvl w:val="0"/>
          <w:numId w:val="0"/>
        </w:numPr>
        <w:adjustRightInd/>
        <w:snapToGrid w:val="0"/>
        <w:spacing w:line="460" w:lineRule="exact"/>
        <w:rPr>
          <w:rFonts w:hint="default" w:hAnsi="宋体" w:cs="宋体"/>
          <w:spacing w:val="6"/>
          <w:sz w:val="24"/>
          <w:szCs w:val="24"/>
          <w:highlight w:val="none"/>
        </w:rPr>
      </w:pPr>
      <w:r>
        <w:rPr>
          <w:rFonts w:hAnsi="宋体" w:cs="宋体"/>
          <w:sz w:val="24"/>
          <w:szCs w:val="24"/>
          <w:highlight w:val="none"/>
        </w:rPr>
        <w:t>I.其他利害关系情况</w:t>
      </w:r>
      <w:r>
        <w:rPr>
          <w:rFonts w:hAnsi="宋体" w:cs="宋体"/>
          <w:sz w:val="24"/>
          <w:szCs w:val="24"/>
          <w:highlight w:val="none"/>
          <w:u w:val="single"/>
        </w:rPr>
        <w:t xml:space="preserve">                              </w:t>
      </w:r>
      <w:r>
        <w:rPr>
          <w:rFonts w:hAnsi="宋体" w:cs="宋体"/>
          <w:sz w:val="24"/>
          <w:szCs w:val="24"/>
          <w:highlight w:val="none"/>
        </w:rPr>
        <w:t>。</w:t>
      </w:r>
    </w:p>
    <w:p>
      <w:pPr>
        <w:pStyle w:val="55"/>
        <w:widowControl/>
        <w:snapToGrid w:val="0"/>
        <w:spacing w:line="460" w:lineRule="exact"/>
        <w:rPr>
          <w:rFonts w:hint="default" w:ascii="宋体" w:hAnsi="宋体" w:cs="宋体"/>
          <w:kern w:val="0"/>
          <w:sz w:val="24"/>
          <w:szCs w:val="24"/>
          <w:highlight w:val="none"/>
        </w:rPr>
      </w:pPr>
      <w:r>
        <w:rPr>
          <w:rFonts w:ascii="宋体" w:hAnsi="宋体" w:cs="宋体"/>
          <w:sz w:val="24"/>
          <w:szCs w:val="24"/>
          <w:highlight w:val="none"/>
        </w:rPr>
        <w:t>三、现已清楚知道并</w:t>
      </w:r>
      <w:r>
        <w:rPr>
          <w:rFonts w:ascii="宋体" w:hAnsi="宋体" w:cs="宋体"/>
          <w:kern w:val="0"/>
          <w:sz w:val="24"/>
          <w:szCs w:val="24"/>
          <w:highlight w:val="none"/>
        </w:rPr>
        <w:t>严格遵守国企采购法律法规和现场纪律。</w:t>
      </w:r>
    </w:p>
    <w:p>
      <w:pPr>
        <w:pStyle w:val="55"/>
        <w:widowControl/>
        <w:snapToGrid w:val="0"/>
        <w:spacing w:line="460" w:lineRule="exact"/>
        <w:rPr>
          <w:rFonts w:hint="default" w:ascii="宋体" w:hAnsi="宋体" w:cs="宋体"/>
          <w:kern w:val="0"/>
          <w:sz w:val="24"/>
          <w:szCs w:val="24"/>
          <w:highlight w:val="none"/>
        </w:rPr>
      </w:pPr>
      <w:r>
        <w:rPr>
          <w:rFonts w:ascii="宋体" w:hAnsi="宋体" w:cs="宋体"/>
          <w:kern w:val="0"/>
          <w:sz w:val="24"/>
          <w:szCs w:val="24"/>
          <w:highlight w:val="none"/>
        </w:rPr>
        <w:t>四、我发现</w:t>
      </w:r>
      <w:r>
        <w:rPr>
          <w:rFonts w:ascii="宋体" w:hAnsi="宋体" w:cs="宋体"/>
          <w:kern w:val="0"/>
          <w:sz w:val="24"/>
          <w:szCs w:val="24"/>
          <w:highlight w:val="none"/>
          <w:u w:val="single"/>
        </w:rPr>
        <w:t xml:space="preserve">                </w:t>
      </w:r>
      <w:r>
        <w:rPr>
          <w:rFonts w:ascii="宋体" w:hAnsi="宋体" w:cs="宋体"/>
          <w:kern w:val="0"/>
          <w:sz w:val="24"/>
          <w:szCs w:val="24"/>
          <w:highlight w:val="none"/>
        </w:rPr>
        <w:t>投标人之间存在或可能存在上述第二条第</w:t>
      </w:r>
      <w:r>
        <w:rPr>
          <w:rFonts w:ascii="宋体" w:hAnsi="宋体" w:cs="宋体"/>
          <w:kern w:val="0"/>
          <w:sz w:val="24"/>
          <w:szCs w:val="24"/>
          <w:highlight w:val="none"/>
          <w:u w:val="single"/>
        </w:rPr>
        <w:t xml:space="preserve">        </w:t>
      </w:r>
      <w:r>
        <w:rPr>
          <w:rFonts w:ascii="宋体" w:hAnsi="宋体" w:cs="宋体"/>
          <w:kern w:val="0"/>
          <w:sz w:val="24"/>
          <w:szCs w:val="24"/>
          <w:highlight w:val="none"/>
        </w:rPr>
        <w:t>项利害关系。</w:t>
      </w:r>
    </w:p>
    <w:p>
      <w:pPr>
        <w:pStyle w:val="54"/>
        <w:numPr>
          <w:ilvl w:val="0"/>
          <w:numId w:val="0"/>
        </w:numPr>
        <w:adjustRightInd/>
        <w:snapToGrid w:val="0"/>
        <w:spacing w:line="360" w:lineRule="auto"/>
        <w:rPr>
          <w:rFonts w:hint="default" w:hAnsi="宋体" w:cs="宋体"/>
          <w:sz w:val="24"/>
          <w:szCs w:val="24"/>
          <w:highlight w:val="none"/>
        </w:rPr>
      </w:pPr>
    </w:p>
    <w:p>
      <w:pPr>
        <w:pStyle w:val="54"/>
        <w:numPr>
          <w:ilvl w:val="0"/>
          <w:numId w:val="0"/>
        </w:numPr>
        <w:adjustRightInd/>
        <w:snapToGrid w:val="0"/>
        <w:spacing w:line="360" w:lineRule="auto"/>
        <w:ind w:firstLine="5760" w:firstLineChars="2400"/>
        <w:rPr>
          <w:rFonts w:hint="default" w:hAnsi="宋体" w:cs="宋体"/>
          <w:sz w:val="24"/>
          <w:szCs w:val="24"/>
          <w:highlight w:val="none"/>
        </w:rPr>
      </w:pPr>
      <w:r>
        <w:rPr>
          <w:rFonts w:hAnsi="宋体" w:cs="宋体"/>
          <w:sz w:val="24"/>
          <w:szCs w:val="24"/>
          <w:highlight w:val="none"/>
        </w:rPr>
        <w:t xml:space="preserve">（投标人代表签名）：                                  </w:t>
      </w:r>
    </w:p>
    <w:p>
      <w:pPr>
        <w:widowControl/>
        <w:wordWrap w:val="0"/>
        <w:jc w:val="left"/>
        <w:rPr>
          <w:rFonts w:ascii="宋体" w:hAnsi="宋体" w:cs="宋体"/>
          <w:kern w:val="0"/>
          <w:sz w:val="24"/>
          <w:highlight w:val="none"/>
        </w:rPr>
      </w:pPr>
      <w:r>
        <w:rPr>
          <w:rFonts w:hint="eastAsia" w:ascii="宋体" w:hAnsi="宋体" w:cs="宋体"/>
          <w:sz w:val="24"/>
          <w:highlight w:val="none"/>
        </w:rPr>
        <w:t xml:space="preserve">                                                  202</w:t>
      </w:r>
      <w:r>
        <w:rPr>
          <w:rFonts w:hint="eastAsia" w:ascii="宋体" w:hAnsi="宋体" w:cs="宋体"/>
          <w:sz w:val="24"/>
          <w:highlight w:val="none"/>
          <w:lang w:val="en-US" w:eastAsia="zh-CN"/>
        </w:rPr>
        <w:t>5</w:t>
      </w:r>
      <w:r>
        <w:rPr>
          <w:rFonts w:hint="eastAsia" w:ascii="宋体" w:hAnsi="宋体" w:cs="宋体"/>
          <w:sz w:val="24"/>
          <w:highlight w:val="none"/>
        </w:rPr>
        <w:t>年  月   日</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1"/>
      </w:rPr>
    </w:pPr>
    <w:r>
      <w:fldChar w:fldCharType="begin"/>
    </w:r>
    <w:r>
      <w:rPr>
        <w:rStyle w:val="31"/>
      </w:rPr>
      <w:instrText xml:space="preserve">PAGE  </w:instrText>
    </w:r>
    <w: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center" w:pos="4535"/>
        <w:tab w:val="right" w:pos="9070"/>
        <w:tab w:val="clear" w:pos="4153"/>
        <w:tab w:val="clear" w:pos="8306"/>
      </w:tabs>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center" w:pos="4535"/>
        <w:tab w:val="right" w:pos="9070"/>
        <w:tab w:val="clear" w:pos="4153"/>
        <w:tab w:val="clear" w:pos="8306"/>
      </w:tabs>
    </w:pPr>
    <w:r>
      <w:rPr>
        <w:lang w:val="zh-CN"/>
      </w:rPr>
      <w:t></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AF23C7B2"/>
    <w:multiLevelType w:val="singleLevel"/>
    <w:tmpl w:val="AF23C7B2"/>
    <w:lvl w:ilvl="0" w:tentative="0">
      <w:start w:val="1"/>
      <w:numFmt w:val="chineseCounting"/>
      <w:suff w:val="nothing"/>
      <w:lvlText w:val="%1、"/>
      <w:lvlJc w:val="left"/>
      <w:rPr>
        <w:rFonts w:hint="eastAsia"/>
      </w:rPr>
    </w:lvl>
  </w:abstractNum>
  <w:abstractNum w:abstractNumId="2">
    <w:nsid w:val="B3E7E453"/>
    <w:multiLevelType w:val="singleLevel"/>
    <w:tmpl w:val="B3E7E453"/>
    <w:lvl w:ilvl="0" w:tentative="0">
      <w:start w:val="1"/>
      <w:numFmt w:val="decimal"/>
      <w:pStyle w:val="9"/>
      <w:lvlText w:val="%1."/>
      <w:lvlJc w:val="left"/>
      <w:pPr>
        <w:tabs>
          <w:tab w:val="left" w:pos="780"/>
        </w:tabs>
        <w:ind w:left="780" w:hanging="360"/>
      </w:pPr>
    </w:lvl>
  </w:abstractNum>
  <w:abstractNum w:abstractNumId="3">
    <w:nsid w:val="D16E957A"/>
    <w:multiLevelType w:val="singleLevel"/>
    <w:tmpl w:val="D16E957A"/>
    <w:lvl w:ilvl="0" w:tentative="0">
      <w:start w:val="1"/>
      <w:numFmt w:val="decimal"/>
      <w:lvlText w:val="%1."/>
      <w:lvlJc w:val="left"/>
      <w:pPr>
        <w:tabs>
          <w:tab w:val="left" w:pos="312"/>
        </w:tabs>
      </w:pPr>
    </w:lvl>
  </w:abstractNum>
  <w:abstractNum w:abstractNumId="4">
    <w:nsid w:val="F815E59C"/>
    <w:multiLevelType w:val="singleLevel"/>
    <w:tmpl w:val="F815E59C"/>
    <w:lvl w:ilvl="0" w:tentative="0">
      <w:start w:val="1"/>
      <w:numFmt w:val="decimal"/>
      <w:pStyle w:val="10"/>
      <w:lvlText w:val="%1."/>
      <w:lvlJc w:val="left"/>
      <w:pPr>
        <w:tabs>
          <w:tab w:val="left" w:pos="360"/>
        </w:tabs>
        <w:ind w:left="360" w:hanging="360"/>
      </w:pPr>
    </w:lvl>
  </w:abstractNum>
  <w:abstractNum w:abstractNumId="5">
    <w:nsid w:val="0A246B32"/>
    <w:multiLevelType w:val="singleLevel"/>
    <w:tmpl w:val="0A246B32"/>
    <w:lvl w:ilvl="0" w:tentative="0">
      <w:start w:val="2"/>
      <w:numFmt w:val="chineseCounting"/>
      <w:suff w:val="nothing"/>
      <w:lvlText w:val="%1、"/>
      <w:lvlJc w:val="left"/>
      <w:pPr>
        <w:ind w:left="420"/>
      </w:pPr>
      <w:rPr>
        <w:rFonts w:hint="eastAsia"/>
      </w:rPr>
    </w:lvl>
  </w:abstractNum>
  <w:abstractNum w:abstractNumId="6">
    <w:nsid w:val="51C42EB4"/>
    <w:multiLevelType w:val="singleLevel"/>
    <w:tmpl w:val="51C42EB4"/>
    <w:lvl w:ilvl="0" w:tentative="0">
      <w:start w:val="1"/>
      <w:numFmt w:val="decimal"/>
      <w:suff w:val="nothing"/>
      <w:lvlText w:val="（%1）"/>
      <w:lvlJc w:val="left"/>
    </w:lvl>
  </w:abstractNum>
  <w:abstractNum w:abstractNumId="7">
    <w:nsid w:val="527D26C3"/>
    <w:multiLevelType w:val="singleLevel"/>
    <w:tmpl w:val="527D26C3"/>
    <w:lvl w:ilvl="0" w:tentative="0">
      <w:start w:val="2"/>
      <w:numFmt w:val="chineseCounting"/>
      <w:suff w:val="space"/>
      <w:lvlText w:val="第%1章"/>
      <w:lvlJc w:val="left"/>
      <w:rPr>
        <w:rFonts w:hint="eastAsia"/>
      </w:rPr>
    </w:lvl>
  </w:abstractNum>
  <w:abstractNum w:abstractNumId="8">
    <w:nsid w:val="545A512C"/>
    <w:multiLevelType w:val="multilevel"/>
    <w:tmpl w:val="545A512C"/>
    <w:lvl w:ilvl="0" w:tentative="0">
      <w:start w:val="1"/>
      <w:numFmt w:val="chineseCountingThousand"/>
      <w:pStyle w:val="5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8"/>
  </w:num>
  <w:num w:numId="4">
    <w:abstractNumId w:val="0"/>
  </w:num>
  <w:num w:numId="5">
    <w:abstractNumId w:val="3"/>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3eaaedfd-b702-4772-844f-9318db31d6d7"/>
  </w:docVars>
  <w:rsids>
    <w:rsidRoot w:val="00172A27"/>
    <w:rsid w:val="00172A27"/>
    <w:rsid w:val="004033C2"/>
    <w:rsid w:val="005305D5"/>
    <w:rsid w:val="00612CCA"/>
    <w:rsid w:val="007A6F63"/>
    <w:rsid w:val="008D774B"/>
    <w:rsid w:val="008E452B"/>
    <w:rsid w:val="00906805"/>
    <w:rsid w:val="009C5FEF"/>
    <w:rsid w:val="00B460BC"/>
    <w:rsid w:val="00BC702A"/>
    <w:rsid w:val="00EE2850"/>
    <w:rsid w:val="00F344F6"/>
    <w:rsid w:val="01C41E9D"/>
    <w:rsid w:val="02011543"/>
    <w:rsid w:val="028A3872"/>
    <w:rsid w:val="02C31095"/>
    <w:rsid w:val="02C97CE1"/>
    <w:rsid w:val="02F715D7"/>
    <w:rsid w:val="033221FD"/>
    <w:rsid w:val="036D2D3E"/>
    <w:rsid w:val="03AC3156"/>
    <w:rsid w:val="0451621A"/>
    <w:rsid w:val="048C3708"/>
    <w:rsid w:val="04A36AD4"/>
    <w:rsid w:val="052D0F89"/>
    <w:rsid w:val="055A7363"/>
    <w:rsid w:val="05685F23"/>
    <w:rsid w:val="05CE242D"/>
    <w:rsid w:val="05DA360C"/>
    <w:rsid w:val="05E84622"/>
    <w:rsid w:val="062731A8"/>
    <w:rsid w:val="066654F5"/>
    <w:rsid w:val="06751182"/>
    <w:rsid w:val="068F128E"/>
    <w:rsid w:val="06AC26FF"/>
    <w:rsid w:val="06B139D5"/>
    <w:rsid w:val="06DD464A"/>
    <w:rsid w:val="06EB6852"/>
    <w:rsid w:val="07750484"/>
    <w:rsid w:val="078C669B"/>
    <w:rsid w:val="07DC35C9"/>
    <w:rsid w:val="07E55609"/>
    <w:rsid w:val="084157A0"/>
    <w:rsid w:val="08CE42EF"/>
    <w:rsid w:val="08F16854"/>
    <w:rsid w:val="0995305F"/>
    <w:rsid w:val="09D0305A"/>
    <w:rsid w:val="09F6270D"/>
    <w:rsid w:val="0A3D172D"/>
    <w:rsid w:val="0ABE632F"/>
    <w:rsid w:val="0AC3309D"/>
    <w:rsid w:val="0AD926F6"/>
    <w:rsid w:val="0AF1307B"/>
    <w:rsid w:val="0B03382A"/>
    <w:rsid w:val="0B2051ED"/>
    <w:rsid w:val="0B5A00BC"/>
    <w:rsid w:val="0B99023E"/>
    <w:rsid w:val="0C6C4CC1"/>
    <w:rsid w:val="0C7D22B4"/>
    <w:rsid w:val="0D091D9A"/>
    <w:rsid w:val="0D9F7DAD"/>
    <w:rsid w:val="0DBA0703"/>
    <w:rsid w:val="0ECA37AB"/>
    <w:rsid w:val="0ECF7F78"/>
    <w:rsid w:val="0FB23AF8"/>
    <w:rsid w:val="0FE4089C"/>
    <w:rsid w:val="10613C9B"/>
    <w:rsid w:val="106D263D"/>
    <w:rsid w:val="10BC7123"/>
    <w:rsid w:val="1115264F"/>
    <w:rsid w:val="11765524"/>
    <w:rsid w:val="11A9241E"/>
    <w:rsid w:val="122D652B"/>
    <w:rsid w:val="12B01CAA"/>
    <w:rsid w:val="12C00C93"/>
    <w:rsid w:val="12C64C7E"/>
    <w:rsid w:val="137A23B8"/>
    <w:rsid w:val="144F179B"/>
    <w:rsid w:val="15082937"/>
    <w:rsid w:val="150A7E43"/>
    <w:rsid w:val="151C3CDC"/>
    <w:rsid w:val="154C6CC8"/>
    <w:rsid w:val="15AA3509"/>
    <w:rsid w:val="15D75080"/>
    <w:rsid w:val="15E50ECA"/>
    <w:rsid w:val="15FB55E9"/>
    <w:rsid w:val="16736123"/>
    <w:rsid w:val="167D755C"/>
    <w:rsid w:val="16853420"/>
    <w:rsid w:val="16D40C1D"/>
    <w:rsid w:val="17400B06"/>
    <w:rsid w:val="179A22B2"/>
    <w:rsid w:val="17D173A6"/>
    <w:rsid w:val="17FE5302"/>
    <w:rsid w:val="185F0FC1"/>
    <w:rsid w:val="19175B5B"/>
    <w:rsid w:val="191C14EB"/>
    <w:rsid w:val="1A086133"/>
    <w:rsid w:val="1A0F43E4"/>
    <w:rsid w:val="1A2645F4"/>
    <w:rsid w:val="1AD31C39"/>
    <w:rsid w:val="1B4D635A"/>
    <w:rsid w:val="1C0830AE"/>
    <w:rsid w:val="1C0D08DD"/>
    <w:rsid w:val="1C6643C0"/>
    <w:rsid w:val="1C6E5776"/>
    <w:rsid w:val="1C876075"/>
    <w:rsid w:val="1CC51E11"/>
    <w:rsid w:val="1D036806"/>
    <w:rsid w:val="1D2574B3"/>
    <w:rsid w:val="1D90796E"/>
    <w:rsid w:val="1E436842"/>
    <w:rsid w:val="1E701F29"/>
    <w:rsid w:val="1E85149C"/>
    <w:rsid w:val="1E931619"/>
    <w:rsid w:val="1EC60B93"/>
    <w:rsid w:val="1F31366B"/>
    <w:rsid w:val="1F6D4588"/>
    <w:rsid w:val="1FB90D87"/>
    <w:rsid w:val="1FD23E98"/>
    <w:rsid w:val="204C2333"/>
    <w:rsid w:val="2085646F"/>
    <w:rsid w:val="20BE2A44"/>
    <w:rsid w:val="20BE47F2"/>
    <w:rsid w:val="214F546F"/>
    <w:rsid w:val="22470E2B"/>
    <w:rsid w:val="225F4C9E"/>
    <w:rsid w:val="226D6B26"/>
    <w:rsid w:val="23052BAC"/>
    <w:rsid w:val="23414CCE"/>
    <w:rsid w:val="23A35462"/>
    <w:rsid w:val="23CD191B"/>
    <w:rsid w:val="23F96AE9"/>
    <w:rsid w:val="24A018C9"/>
    <w:rsid w:val="255816B9"/>
    <w:rsid w:val="25973F8F"/>
    <w:rsid w:val="25DA20CE"/>
    <w:rsid w:val="27A377C7"/>
    <w:rsid w:val="27AE01FF"/>
    <w:rsid w:val="28005B1C"/>
    <w:rsid w:val="281C4C20"/>
    <w:rsid w:val="28610884"/>
    <w:rsid w:val="2893129D"/>
    <w:rsid w:val="28AB1AFF"/>
    <w:rsid w:val="28C03B52"/>
    <w:rsid w:val="28C606E7"/>
    <w:rsid w:val="28EF26CE"/>
    <w:rsid w:val="2906194C"/>
    <w:rsid w:val="29220E47"/>
    <w:rsid w:val="2936586D"/>
    <w:rsid w:val="298740FF"/>
    <w:rsid w:val="2A52355E"/>
    <w:rsid w:val="2B717030"/>
    <w:rsid w:val="2BC2734D"/>
    <w:rsid w:val="2C105F70"/>
    <w:rsid w:val="2D1C55B5"/>
    <w:rsid w:val="2DD3715A"/>
    <w:rsid w:val="2E257E86"/>
    <w:rsid w:val="2E820557"/>
    <w:rsid w:val="2E985EEF"/>
    <w:rsid w:val="2E9F4DE4"/>
    <w:rsid w:val="2EE26B1C"/>
    <w:rsid w:val="2FE6541C"/>
    <w:rsid w:val="30A25991"/>
    <w:rsid w:val="3112096E"/>
    <w:rsid w:val="312608BD"/>
    <w:rsid w:val="31765287"/>
    <w:rsid w:val="323F19E2"/>
    <w:rsid w:val="32D23C63"/>
    <w:rsid w:val="32EB75BD"/>
    <w:rsid w:val="32FD6689"/>
    <w:rsid w:val="332734C7"/>
    <w:rsid w:val="332826CA"/>
    <w:rsid w:val="333E1E91"/>
    <w:rsid w:val="33E365F1"/>
    <w:rsid w:val="33FE167D"/>
    <w:rsid w:val="34415812"/>
    <w:rsid w:val="349C4A25"/>
    <w:rsid w:val="34CD2F82"/>
    <w:rsid w:val="35D00C8D"/>
    <w:rsid w:val="366355A2"/>
    <w:rsid w:val="36BE67D4"/>
    <w:rsid w:val="36C253E8"/>
    <w:rsid w:val="372C0551"/>
    <w:rsid w:val="37667C65"/>
    <w:rsid w:val="37A704AA"/>
    <w:rsid w:val="37E93F06"/>
    <w:rsid w:val="381449F4"/>
    <w:rsid w:val="38B37820"/>
    <w:rsid w:val="38D211D6"/>
    <w:rsid w:val="38E553CD"/>
    <w:rsid w:val="39A268DD"/>
    <w:rsid w:val="39B83C7A"/>
    <w:rsid w:val="39D75452"/>
    <w:rsid w:val="39DD01C6"/>
    <w:rsid w:val="3A2775F5"/>
    <w:rsid w:val="3A2F07E2"/>
    <w:rsid w:val="3AC66172"/>
    <w:rsid w:val="3AD61732"/>
    <w:rsid w:val="3B001643"/>
    <w:rsid w:val="3B693880"/>
    <w:rsid w:val="3B886AD4"/>
    <w:rsid w:val="3BDA1928"/>
    <w:rsid w:val="3C455D25"/>
    <w:rsid w:val="3C89390F"/>
    <w:rsid w:val="3D1E0819"/>
    <w:rsid w:val="3D420166"/>
    <w:rsid w:val="3D5D7E4E"/>
    <w:rsid w:val="3D973D25"/>
    <w:rsid w:val="3DCD5CCD"/>
    <w:rsid w:val="3DED5018"/>
    <w:rsid w:val="3E4305DD"/>
    <w:rsid w:val="3E95188B"/>
    <w:rsid w:val="3EC86E0F"/>
    <w:rsid w:val="3EE020AB"/>
    <w:rsid w:val="3F6E2034"/>
    <w:rsid w:val="3F79605C"/>
    <w:rsid w:val="401D2E8B"/>
    <w:rsid w:val="409A67C1"/>
    <w:rsid w:val="40AF61D9"/>
    <w:rsid w:val="41485C02"/>
    <w:rsid w:val="4150243C"/>
    <w:rsid w:val="4159182C"/>
    <w:rsid w:val="41BF0077"/>
    <w:rsid w:val="41FB5010"/>
    <w:rsid w:val="42125898"/>
    <w:rsid w:val="4250579A"/>
    <w:rsid w:val="42807E60"/>
    <w:rsid w:val="42A11B51"/>
    <w:rsid w:val="430D7173"/>
    <w:rsid w:val="43917E18"/>
    <w:rsid w:val="43B019D6"/>
    <w:rsid w:val="43BC51C5"/>
    <w:rsid w:val="43F13F55"/>
    <w:rsid w:val="44735770"/>
    <w:rsid w:val="44956565"/>
    <w:rsid w:val="45350C77"/>
    <w:rsid w:val="45D76500"/>
    <w:rsid w:val="45F00C85"/>
    <w:rsid w:val="4609787D"/>
    <w:rsid w:val="46F51F16"/>
    <w:rsid w:val="46FC7A38"/>
    <w:rsid w:val="46FD6550"/>
    <w:rsid w:val="47201F5D"/>
    <w:rsid w:val="4746792E"/>
    <w:rsid w:val="476D5DC9"/>
    <w:rsid w:val="47E3450C"/>
    <w:rsid w:val="48BC03BD"/>
    <w:rsid w:val="49091DD2"/>
    <w:rsid w:val="491F36A9"/>
    <w:rsid w:val="49B602E6"/>
    <w:rsid w:val="4A01737A"/>
    <w:rsid w:val="4A7B09F8"/>
    <w:rsid w:val="4A894695"/>
    <w:rsid w:val="4A8C758B"/>
    <w:rsid w:val="4B6127C6"/>
    <w:rsid w:val="4B9806D2"/>
    <w:rsid w:val="4BB8302C"/>
    <w:rsid w:val="4BE60F1D"/>
    <w:rsid w:val="4C26696E"/>
    <w:rsid w:val="4C431BA5"/>
    <w:rsid w:val="4C815E38"/>
    <w:rsid w:val="4C883BFB"/>
    <w:rsid w:val="4CE70AA9"/>
    <w:rsid w:val="4D267823"/>
    <w:rsid w:val="4D77007F"/>
    <w:rsid w:val="4D7F0CE1"/>
    <w:rsid w:val="4DE022C2"/>
    <w:rsid w:val="4E1072D1"/>
    <w:rsid w:val="4E3C3076"/>
    <w:rsid w:val="4E5402F6"/>
    <w:rsid w:val="4E616639"/>
    <w:rsid w:val="4EE00D0F"/>
    <w:rsid w:val="4EE51FD1"/>
    <w:rsid w:val="4F2B4960"/>
    <w:rsid w:val="4F3D2255"/>
    <w:rsid w:val="507F1EF2"/>
    <w:rsid w:val="50974BF6"/>
    <w:rsid w:val="50BE2AE5"/>
    <w:rsid w:val="50D62204"/>
    <w:rsid w:val="51CE5AD4"/>
    <w:rsid w:val="521A6892"/>
    <w:rsid w:val="527F4690"/>
    <w:rsid w:val="528B637A"/>
    <w:rsid w:val="52B56FA4"/>
    <w:rsid w:val="52DC26C4"/>
    <w:rsid w:val="53BC4F71"/>
    <w:rsid w:val="540237C7"/>
    <w:rsid w:val="540D2DFC"/>
    <w:rsid w:val="547F2161"/>
    <w:rsid w:val="55986DE4"/>
    <w:rsid w:val="55BD5CF8"/>
    <w:rsid w:val="55E53FF3"/>
    <w:rsid w:val="563B635E"/>
    <w:rsid w:val="568E6A85"/>
    <w:rsid w:val="57014FEB"/>
    <w:rsid w:val="57174DF3"/>
    <w:rsid w:val="57D12A81"/>
    <w:rsid w:val="57E51E97"/>
    <w:rsid w:val="57FB7AFE"/>
    <w:rsid w:val="58CE12CC"/>
    <w:rsid w:val="59173ED4"/>
    <w:rsid w:val="59267138"/>
    <w:rsid w:val="599D7682"/>
    <w:rsid w:val="59F23A0D"/>
    <w:rsid w:val="5A240E4E"/>
    <w:rsid w:val="5A865DA5"/>
    <w:rsid w:val="5ACE6B45"/>
    <w:rsid w:val="5B945EBF"/>
    <w:rsid w:val="5BE57689"/>
    <w:rsid w:val="5C60481C"/>
    <w:rsid w:val="5C6F62A8"/>
    <w:rsid w:val="5C7E647A"/>
    <w:rsid w:val="5CBE6A88"/>
    <w:rsid w:val="5D0E0071"/>
    <w:rsid w:val="5D135FAE"/>
    <w:rsid w:val="5DD24E5D"/>
    <w:rsid w:val="5E16661E"/>
    <w:rsid w:val="5E902EB3"/>
    <w:rsid w:val="5F084CEC"/>
    <w:rsid w:val="5F09292E"/>
    <w:rsid w:val="5F283250"/>
    <w:rsid w:val="5FB76CFE"/>
    <w:rsid w:val="601C4AE4"/>
    <w:rsid w:val="603B318E"/>
    <w:rsid w:val="60797945"/>
    <w:rsid w:val="60BE0C83"/>
    <w:rsid w:val="60D80EFB"/>
    <w:rsid w:val="613F3A29"/>
    <w:rsid w:val="6164129C"/>
    <w:rsid w:val="61A46067"/>
    <w:rsid w:val="61C45305"/>
    <w:rsid w:val="61D221A3"/>
    <w:rsid w:val="62650875"/>
    <w:rsid w:val="62B70319"/>
    <w:rsid w:val="62BA333E"/>
    <w:rsid w:val="62D41ECA"/>
    <w:rsid w:val="631568D8"/>
    <w:rsid w:val="63852D9C"/>
    <w:rsid w:val="63D10066"/>
    <w:rsid w:val="643A2D81"/>
    <w:rsid w:val="648669A1"/>
    <w:rsid w:val="64AC465A"/>
    <w:rsid w:val="65583637"/>
    <w:rsid w:val="663419E6"/>
    <w:rsid w:val="665C78D2"/>
    <w:rsid w:val="669D7A74"/>
    <w:rsid w:val="66AE5CA5"/>
    <w:rsid w:val="66C24F18"/>
    <w:rsid w:val="66D94199"/>
    <w:rsid w:val="66F81333"/>
    <w:rsid w:val="675863D3"/>
    <w:rsid w:val="67AC2ED5"/>
    <w:rsid w:val="67AC3A0F"/>
    <w:rsid w:val="68150768"/>
    <w:rsid w:val="684E440E"/>
    <w:rsid w:val="69EC54F9"/>
    <w:rsid w:val="6AC124E1"/>
    <w:rsid w:val="6AE56863"/>
    <w:rsid w:val="6B10385A"/>
    <w:rsid w:val="6BB43DF4"/>
    <w:rsid w:val="6BCB6B28"/>
    <w:rsid w:val="6BE171CD"/>
    <w:rsid w:val="6C0D6BCE"/>
    <w:rsid w:val="6C2F5C76"/>
    <w:rsid w:val="6C3D405C"/>
    <w:rsid w:val="6C4018A9"/>
    <w:rsid w:val="6C465394"/>
    <w:rsid w:val="6CE80607"/>
    <w:rsid w:val="6D025271"/>
    <w:rsid w:val="6D162FFE"/>
    <w:rsid w:val="6D286848"/>
    <w:rsid w:val="6D6E03BE"/>
    <w:rsid w:val="6E5955A4"/>
    <w:rsid w:val="6E5F273D"/>
    <w:rsid w:val="6E656977"/>
    <w:rsid w:val="6E9D6F0F"/>
    <w:rsid w:val="6EB362B9"/>
    <w:rsid w:val="6ECE341F"/>
    <w:rsid w:val="6F012B5C"/>
    <w:rsid w:val="6F2C68CF"/>
    <w:rsid w:val="6F4831D1"/>
    <w:rsid w:val="6FA4274C"/>
    <w:rsid w:val="6FE41C91"/>
    <w:rsid w:val="704240C4"/>
    <w:rsid w:val="70CC7FD5"/>
    <w:rsid w:val="70E513F2"/>
    <w:rsid w:val="7109216A"/>
    <w:rsid w:val="71177201"/>
    <w:rsid w:val="717C3606"/>
    <w:rsid w:val="71B477D2"/>
    <w:rsid w:val="71EA67C2"/>
    <w:rsid w:val="72D61E88"/>
    <w:rsid w:val="73DB48FD"/>
    <w:rsid w:val="74A92964"/>
    <w:rsid w:val="75071439"/>
    <w:rsid w:val="75B96DF1"/>
    <w:rsid w:val="75BD4ACF"/>
    <w:rsid w:val="763C1892"/>
    <w:rsid w:val="7651520C"/>
    <w:rsid w:val="76A258BD"/>
    <w:rsid w:val="76AA4606"/>
    <w:rsid w:val="76C27D0D"/>
    <w:rsid w:val="76E67AC0"/>
    <w:rsid w:val="76E83F08"/>
    <w:rsid w:val="77B0134A"/>
    <w:rsid w:val="77BF7A05"/>
    <w:rsid w:val="781B0506"/>
    <w:rsid w:val="782D11B6"/>
    <w:rsid w:val="78567DD3"/>
    <w:rsid w:val="788E70E3"/>
    <w:rsid w:val="79094199"/>
    <w:rsid w:val="792B1193"/>
    <w:rsid w:val="79A17395"/>
    <w:rsid w:val="79C20FF7"/>
    <w:rsid w:val="7A1940E8"/>
    <w:rsid w:val="7A652E89"/>
    <w:rsid w:val="7AFD4C07"/>
    <w:rsid w:val="7B8657AD"/>
    <w:rsid w:val="7B8D6F12"/>
    <w:rsid w:val="7C75137E"/>
    <w:rsid w:val="7CED1B7C"/>
    <w:rsid w:val="7CED7166"/>
    <w:rsid w:val="7CFE0EC0"/>
    <w:rsid w:val="7DAD0021"/>
    <w:rsid w:val="7E4A0D70"/>
    <w:rsid w:val="7E4B683A"/>
    <w:rsid w:val="7ED24865"/>
    <w:rsid w:val="7F223D6F"/>
    <w:rsid w:val="7F351391"/>
    <w:rsid w:val="7F375A0F"/>
    <w:rsid w:val="7F895EEA"/>
    <w:rsid w:val="7FE6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qFormat/>
    <w:uiPriority w:val="0"/>
    <w:pPr>
      <w:spacing w:line="200" w:lineRule="exact"/>
      <w:ind w:firstLine="301"/>
    </w:pPr>
    <w:rPr>
      <w:rFonts w:ascii="宋体" w:hAnsi="Courier New" w:cs="宋体"/>
      <w:spacing w:val="-4"/>
      <w:sz w:val="18"/>
      <w:szCs w:val="18"/>
    </w:rPr>
  </w:style>
  <w:style w:type="paragraph" w:styleId="8">
    <w:name w:val="envelope return"/>
    <w:basedOn w:val="1"/>
    <w:qFormat/>
    <w:uiPriority w:val="0"/>
    <w:pPr>
      <w:snapToGrid w:val="0"/>
    </w:pPr>
    <w:rPr>
      <w:rFonts w:ascii="Arial" w:hAnsi="Arial"/>
    </w:rPr>
  </w:style>
  <w:style w:type="paragraph" w:styleId="9">
    <w:name w:val="List Number 2"/>
    <w:basedOn w:val="1"/>
    <w:qFormat/>
    <w:uiPriority w:val="0"/>
    <w:pPr>
      <w:numPr>
        <w:ilvl w:val="0"/>
        <w:numId w:val="1"/>
      </w:numPr>
    </w:pPr>
  </w:style>
  <w:style w:type="paragraph" w:styleId="10">
    <w:name w:val="List Number"/>
    <w:basedOn w:val="1"/>
    <w:qFormat/>
    <w:uiPriority w:val="0"/>
    <w:pPr>
      <w:numPr>
        <w:ilvl w:val="0"/>
        <w:numId w:val="2"/>
      </w:numPr>
    </w:pPr>
  </w:style>
  <w:style w:type="paragraph" w:styleId="11">
    <w:name w:val="annotation text"/>
    <w:basedOn w:val="1"/>
    <w:qFormat/>
    <w:uiPriority w:val="99"/>
    <w:pPr>
      <w:jc w:val="left"/>
    </w:pPr>
    <w:rPr>
      <w:szCs w:val="20"/>
    </w:rPr>
  </w:style>
  <w:style w:type="paragraph" w:styleId="12">
    <w:name w:val="Body Text 3"/>
    <w:basedOn w:val="1"/>
    <w:qFormat/>
    <w:uiPriority w:val="0"/>
    <w:pPr>
      <w:snapToGrid w:val="0"/>
      <w:spacing w:before="50" w:after="50"/>
    </w:pPr>
    <w:rPr>
      <w:rFonts w:hAnsi="宋体" w:eastAsia="仿宋_GB2312"/>
      <w:b/>
      <w:bCs/>
      <w:sz w:val="24"/>
    </w:rPr>
  </w:style>
  <w:style w:type="paragraph" w:styleId="13">
    <w:name w:val="Body Text"/>
    <w:basedOn w:val="1"/>
    <w:next w:val="14"/>
    <w:qFormat/>
    <w:uiPriority w:val="0"/>
    <w:pPr>
      <w:spacing w:before="100" w:beforeAutospacing="1" w:after="120"/>
    </w:pPr>
    <w:rPr>
      <w:sz w:val="28"/>
      <w:szCs w:val="28"/>
    </w:rPr>
  </w:style>
  <w:style w:type="paragraph" w:styleId="14">
    <w:name w:val="Body Text First Indent"/>
    <w:basedOn w:val="13"/>
    <w:next w:val="1"/>
    <w:qFormat/>
    <w:uiPriority w:val="0"/>
    <w:pPr>
      <w:widowControl/>
      <w:spacing w:before="120" w:beforeAutospacing="0"/>
      <w:ind w:firstLine="100" w:firstLineChars="100"/>
    </w:pPr>
    <w:rPr>
      <w:color w:val="000000"/>
    </w:rPr>
  </w:style>
  <w:style w:type="paragraph" w:styleId="15">
    <w:name w:val="List 2"/>
    <w:basedOn w:val="1"/>
    <w:qFormat/>
    <w:uiPriority w:val="0"/>
    <w:pPr>
      <w:ind w:left="100" w:leftChars="200" w:hanging="200" w:hangingChars="200"/>
    </w:pPr>
    <w:rPr>
      <w:sz w:val="28"/>
    </w:rPr>
  </w:style>
  <w:style w:type="paragraph" w:styleId="16">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7">
    <w:name w:val="Plain Text"/>
    <w:basedOn w:val="1"/>
    <w:next w:val="1"/>
    <w:qFormat/>
    <w:uiPriority w:val="0"/>
    <w:pPr>
      <w:spacing w:beforeLines="50" w:afterLines="50" w:line="400" w:lineRule="exact"/>
    </w:pPr>
    <w:rPr>
      <w:rFonts w:ascii="宋体" w:hAnsi="Courier New" w:cs="宋体"/>
      <w:sz w:val="24"/>
    </w:rPr>
  </w:style>
  <w:style w:type="paragraph" w:styleId="18">
    <w:name w:val="Body Text Indent 2"/>
    <w:basedOn w:val="1"/>
    <w:qFormat/>
    <w:uiPriority w:val="0"/>
    <w:pPr>
      <w:spacing w:line="480" w:lineRule="auto"/>
      <w:ind w:left="420" w:leftChars="200"/>
    </w:pPr>
  </w:style>
  <w:style w:type="paragraph" w:styleId="19">
    <w:name w:val="Balloon Text"/>
    <w:basedOn w:val="1"/>
    <w:link w:val="6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6"/>
    <w:basedOn w:val="1"/>
    <w:next w:val="1"/>
    <w:unhideWhenUsed/>
    <w:qFormat/>
    <w:uiPriority w:val="39"/>
    <w:pPr>
      <w:ind w:left="2100" w:leftChars="1000"/>
    </w:pPr>
    <w:rPr>
      <w:rFonts w:ascii="等线" w:hAnsi="等线" w:eastAsia="等线"/>
      <w:szCs w:val="22"/>
    </w:rPr>
  </w:style>
  <w:style w:type="paragraph" w:styleId="23">
    <w:name w:val="table of figures"/>
    <w:basedOn w:val="1"/>
    <w:next w:val="1"/>
    <w:qFormat/>
    <w:uiPriority w:val="0"/>
    <w:pPr>
      <w:ind w:left="420" w:hanging="420"/>
      <w:jc w:val="left"/>
    </w:pPr>
    <w:rPr>
      <w:smallCaps/>
      <w:sz w:val="20"/>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Title"/>
    <w:basedOn w:val="1"/>
    <w:next w:val="1"/>
    <w:qFormat/>
    <w:uiPriority w:val="0"/>
    <w:pPr>
      <w:spacing w:line="360" w:lineRule="auto"/>
      <w:ind w:firstLine="200" w:firstLineChars="200"/>
      <w:jc w:val="center"/>
      <w:outlineLvl w:val="0"/>
    </w:pPr>
    <w:rPr>
      <w:rFonts w:ascii="Arial" w:hAnsi="Arial" w:eastAsia="楷体_GB2312" w:cs="Arial"/>
      <w:b/>
      <w:bCs/>
      <w:sz w:val="32"/>
      <w:szCs w:val="32"/>
    </w:rPr>
  </w:style>
  <w:style w:type="paragraph" w:styleId="26">
    <w:name w:val="Body Text First Indent 2"/>
    <w:basedOn w:val="7"/>
    <w:next w:val="1"/>
    <w:qFormat/>
    <w:uiPriority w:val="0"/>
    <w:pPr>
      <w:ind w:firstLine="42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rPr>
      <w:rFonts w:ascii="Arial" w:hAnsi="Arial" w:eastAsia="黑体" w:cs="Arial"/>
      <w:snapToGrid w:val="0"/>
      <w:kern w:val="0"/>
      <w:szCs w:val="21"/>
    </w:rPr>
  </w:style>
  <w:style w:type="character" w:styleId="32">
    <w:name w:val="Emphasis"/>
    <w:qFormat/>
    <w:uiPriority w:val="0"/>
    <w:rPr>
      <w:color w:val="CC0000"/>
    </w:rPr>
  </w:style>
  <w:style w:type="character" w:styleId="33">
    <w:name w:val="Hyperlink"/>
    <w:qFormat/>
    <w:uiPriority w:val="99"/>
    <w:rPr>
      <w:rFonts w:ascii="Arial" w:hAnsi="Arial" w:eastAsia="黑体" w:cs="Arial"/>
      <w:snapToGrid w:val="0"/>
      <w:color w:val="000000"/>
      <w:kern w:val="0"/>
      <w:sz w:val="18"/>
      <w:szCs w:val="18"/>
      <w:u w:val="none"/>
    </w:rPr>
  </w:style>
  <w:style w:type="paragraph" w:customStyle="1" w:styleId="3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
    <w:name w:val="正文2"/>
    <w:basedOn w:val="1"/>
    <w:qFormat/>
    <w:uiPriority w:val="0"/>
    <w:pPr>
      <w:spacing w:before="156" w:line="360" w:lineRule="auto"/>
      <w:ind w:firstLine="510" w:firstLineChars="200"/>
    </w:pPr>
    <w:rPr>
      <w:sz w:val="24"/>
      <w:szCs w:val="20"/>
    </w:rPr>
  </w:style>
  <w:style w:type="character" w:customStyle="1" w:styleId="37">
    <w:name w:val="NormalCharacter"/>
    <w:qFormat/>
    <w:uiPriority w:val="0"/>
  </w:style>
  <w:style w:type="paragraph" w:customStyle="1" w:styleId="3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0">
    <w:name w:val="font01"/>
    <w:basedOn w:val="29"/>
    <w:qFormat/>
    <w:uiPriority w:val="0"/>
    <w:rPr>
      <w:rFonts w:hint="eastAsia" w:ascii="仿宋" w:hAnsi="仿宋" w:eastAsia="仿宋" w:cs="仿宋"/>
      <w:color w:val="000000"/>
      <w:sz w:val="20"/>
      <w:szCs w:val="20"/>
      <w:u w:val="none"/>
    </w:rPr>
  </w:style>
  <w:style w:type="paragraph" w:customStyle="1" w:styleId="41">
    <w:name w:val="_正文"/>
    <w:basedOn w:val="1"/>
    <w:qFormat/>
    <w:uiPriority w:val="0"/>
    <w:pPr>
      <w:tabs>
        <w:tab w:val="left" w:pos="540"/>
      </w:tabs>
      <w:spacing w:line="360" w:lineRule="auto"/>
      <w:ind w:firstLine="200" w:firstLineChars="200"/>
    </w:pPr>
    <w:rPr>
      <w:rFonts w:cs="Arial"/>
      <w:sz w:val="24"/>
    </w:rPr>
  </w:style>
  <w:style w:type="paragraph" w:customStyle="1" w:styleId="42">
    <w:name w:val="样式 列表编号 + 段后: 0.5 行"/>
    <w:basedOn w:val="10"/>
    <w:qFormat/>
    <w:uiPriority w:val="0"/>
    <w:pPr>
      <w:ind w:left="720"/>
    </w:pPr>
  </w:style>
  <w:style w:type="paragraph" w:customStyle="1" w:styleId="43">
    <w:name w:val="Table caption|1"/>
    <w:basedOn w:val="1"/>
    <w:qFormat/>
    <w:uiPriority w:val="0"/>
    <w:pPr>
      <w:spacing w:line="463" w:lineRule="auto"/>
      <w:ind w:firstLine="400"/>
    </w:pPr>
    <w:rPr>
      <w:sz w:val="20"/>
      <w:szCs w:val="20"/>
      <w:lang w:val="zh-TW" w:eastAsia="zh-TW" w:bidi="zh-TW"/>
    </w:rPr>
  </w:style>
  <w:style w:type="paragraph" w:customStyle="1" w:styleId="44">
    <w:name w:val="Table Paragraph"/>
    <w:basedOn w:val="1"/>
    <w:qFormat/>
    <w:uiPriority w:val="1"/>
  </w:style>
  <w:style w:type="paragraph" w:customStyle="1" w:styleId="45">
    <w:name w:val="DG正文"/>
    <w:basedOn w:val="1"/>
    <w:qFormat/>
    <w:uiPriority w:val="99"/>
    <w:pPr>
      <w:widowControl/>
      <w:spacing w:line="360" w:lineRule="auto"/>
      <w:ind w:right="142" w:firstLine="640"/>
      <w:jc w:val="left"/>
    </w:pPr>
    <w:rPr>
      <w:rFonts w:ascii="Calibri" w:hAnsi="Calibri" w:cs="Calibri"/>
    </w:rPr>
  </w:style>
  <w:style w:type="paragraph" w:customStyle="1" w:styleId="46">
    <w:name w:val="WPSOffice手动目录 1"/>
    <w:qFormat/>
    <w:uiPriority w:val="0"/>
    <w:rPr>
      <w:rFonts w:asciiTheme="minorHAnsi" w:hAnsiTheme="minorHAnsi" w:eastAsiaTheme="minorEastAsia" w:cstheme="minorBidi"/>
      <w:lang w:val="en-US" w:eastAsia="zh-CN" w:bidi="ar-SA"/>
    </w:rPr>
  </w:style>
  <w:style w:type="character" w:customStyle="1" w:styleId="47">
    <w:name w:val="font11"/>
    <w:basedOn w:val="29"/>
    <w:qFormat/>
    <w:uiPriority w:val="0"/>
    <w:rPr>
      <w:rFonts w:hint="eastAsia" w:ascii="宋体" w:hAnsi="宋体" w:eastAsia="宋体" w:cs="宋体"/>
      <w:color w:val="FF0000"/>
      <w:sz w:val="24"/>
      <w:szCs w:val="24"/>
      <w:u w:val="none"/>
    </w:rPr>
  </w:style>
  <w:style w:type="character" w:customStyle="1" w:styleId="48">
    <w:name w:val="font71"/>
    <w:basedOn w:val="29"/>
    <w:qFormat/>
    <w:uiPriority w:val="0"/>
    <w:rPr>
      <w:rFonts w:hint="eastAsia" w:ascii="宋体" w:hAnsi="宋体" w:eastAsia="宋体" w:cs="宋体"/>
      <w:color w:val="FF0000"/>
      <w:sz w:val="24"/>
      <w:szCs w:val="24"/>
      <w:u w:val="none"/>
    </w:rPr>
  </w:style>
  <w:style w:type="character" w:customStyle="1" w:styleId="49">
    <w:name w:val="font61"/>
    <w:basedOn w:val="29"/>
    <w:qFormat/>
    <w:uiPriority w:val="0"/>
    <w:rPr>
      <w:rFonts w:hint="eastAsia" w:ascii="宋体" w:hAnsi="宋体" w:eastAsia="宋体" w:cs="宋体"/>
      <w:color w:val="000000"/>
      <w:sz w:val="24"/>
      <w:szCs w:val="24"/>
      <w:u w:val="none"/>
    </w:rPr>
  </w:style>
  <w:style w:type="character" w:customStyle="1" w:styleId="50">
    <w:name w:val="font21"/>
    <w:basedOn w:val="29"/>
    <w:qFormat/>
    <w:uiPriority w:val="0"/>
    <w:rPr>
      <w:rFonts w:hint="eastAsia" w:ascii="宋体" w:hAnsi="宋体" w:eastAsia="宋体" w:cs="宋体"/>
      <w:color w:val="FF0000"/>
      <w:sz w:val="24"/>
      <w:szCs w:val="24"/>
      <w:u w:val="none"/>
    </w:rPr>
  </w:style>
  <w:style w:type="character" w:customStyle="1" w:styleId="51">
    <w:name w:val="font41"/>
    <w:basedOn w:val="29"/>
    <w:qFormat/>
    <w:uiPriority w:val="0"/>
    <w:rPr>
      <w:rFonts w:hint="eastAsia" w:ascii="宋体" w:hAnsi="宋体" w:eastAsia="宋体" w:cs="宋体"/>
      <w:color w:val="000000"/>
      <w:sz w:val="24"/>
      <w:szCs w:val="24"/>
      <w:u w:val="none"/>
    </w:rPr>
  </w:style>
  <w:style w:type="character" w:customStyle="1" w:styleId="52">
    <w:name w:val="font51"/>
    <w:basedOn w:val="29"/>
    <w:qFormat/>
    <w:uiPriority w:val="0"/>
    <w:rPr>
      <w:rFonts w:hint="eastAsia" w:ascii="宋体" w:hAnsi="宋体" w:eastAsia="宋体" w:cs="宋体"/>
      <w:color w:val="FF0000"/>
      <w:sz w:val="24"/>
      <w:szCs w:val="24"/>
      <w:u w:val="none"/>
    </w:rPr>
  </w:style>
  <w:style w:type="paragraph" w:customStyle="1" w:styleId="53">
    <w:name w:val="样式 宋体"/>
    <w:basedOn w:val="1"/>
    <w:next w:val="1"/>
    <w:qFormat/>
    <w:uiPriority w:val="0"/>
    <w:pPr>
      <w:widowControl/>
    </w:pPr>
    <w:rPr>
      <w:rFonts w:ascii="宋体"/>
      <w:color w:val="000000"/>
      <w:sz w:val="24"/>
      <w:szCs w:val="20"/>
    </w:rPr>
  </w:style>
  <w:style w:type="paragraph" w:customStyle="1" w:styleId="54">
    <w:name w:val="纯文本1"/>
    <w:basedOn w:val="55"/>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5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56">
    <w:name w:val="font31"/>
    <w:basedOn w:val="29"/>
    <w:qFormat/>
    <w:uiPriority w:val="0"/>
    <w:rPr>
      <w:rFonts w:hint="eastAsia" w:ascii="宋体" w:hAnsi="宋体" w:eastAsia="宋体" w:cs="宋体"/>
      <w:color w:val="FF0000"/>
      <w:sz w:val="24"/>
      <w:szCs w:val="24"/>
      <w:u w:val="none"/>
    </w:rPr>
  </w:style>
  <w:style w:type="character" w:customStyle="1" w:styleId="57">
    <w:name w:val="font81"/>
    <w:basedOn w:val="29"/>
    <w:qFormat/>
    <w:uiPriority w:val="0"/>
    <w:rPr>
      <w:rFonts w:hint="eastAsia" w:ascii="宋体" w:hAnsi="宋体" w:eastAsia="宋体" w:cs="宋体"/>
      <w:color w:val="000000"/>
      <w:sz w:val="24"/>
      <w:szCs w:val="24"/>
      <w:u w:val="none"/>
    </w:rPr>
  </w:style>
  <w:style w:type="paragraph" w:customStyle="1" w:styleId="58">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59">
    <w:name w:val="表格文字"/>
    <w:basedOn w:val="1"/>
    <w:next w:val="13"/>
    <w:qFormat/>
    <w:uiPriority w:val="0"/>
    <w:pPr>
      <w:spacing w:line="420" w:lineRule="atLeast"/>
    </w:pPr>
  </w:style>
  <w:style w:type="paragraph" w:customStyle="1" w:styleId="60">
    <w:name w:val="Body text|1"/>
    <w:basedOn w:val="1"/>
    <w:qFormat/>
    <w:uiPriority w:val="0"/>
    <w:pPr>
      <w:spacing w:after="40" w:line="410" w:lineRule="auto"/>
      <w:ind w:firstLine="400"/>
    </w:pPr>
    <w:rPr>
      <w:rFonts w:ascii="宋体" w:hAnsi="宋体" w:cs="宋体"/>
      <w:lang w:val="zh-TW" w:eastAsia="zh-TW" w:bidi="zh-TW"/>
    </w:rPr>
  </w:style>
  <w:style w:type="paragraph" w:customStyle="1" w:styleId="61">
    <w:name w:val="正文文本首行缩进1"/>
    <w:basedOn w:val="13"/>
    <w:qFormat/>
    <w:uiPriority w:val="0"/>
    <w:pPr>
      <w:autoSpaceDE w:val="0"/>
      <w:autoSpaceDN w:val="0"/>
      <w:ind w:firstLine="420" w:firstLineChars="100"/>
    </w:pPr>
    <w:rPr>
      <w:color w:val="000000"/>
      <w:szCs w:val="21"/>
    </w:rPr>
  </w:style>
  <w:style w:type="paragraph" w:customStyle="1" w:styleId="62">
    <w:name w:val="纯文本11"/>
    <w:basedOn w:val="1"/>
    <w:qFormat/>
    <w:uiPriority w:val="0"/>
    <w:rPr>
      <w:sz w:val="24"/>
      <w:szCs w:val="20"/>
    </w:rPr>
  </w:style>
  <w:style w:type="paragraph" w:styleId="63">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paragraph" w:customStyle="1" w:styleId="6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table" w:customStyle="1" w:styleId="66">
    <w:name w:val="Table Normal"/>
    <w:semiHidden/>
    <w:unhideWhenUsed/>
    <w:qFormat/>
    <w:uiPriority w:val="0"/>
    <w:tblPr>
      <w:tblLayout w:type="fixed"/>
      <w:tblCellMar>
        <w:top w:w="0" w:type="dxa"/>
        <w:left w:w="0" w:type="dxa"/>
        <w:bottom w:w="0" w:type="dxa"/>
        <w:right w:w="0" w:type="dxa"/>
      </w:tblCellMar>
    </w:tblPr>
  </w:style>
  <w:style w:type="character" w:customStyle="1" w:styleId="67">
    <w:name w:val="批注框文本 Char"/>
    <w:basedOn w:val="29"/>
    <w:link w:val="1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22466</Words>
  <Characters>23927</Characters>
  <Lines>206</Lines>
  <Paragraphs>58</Paragraphs>
  <TotalTime>5</TotalTime>
  <ScaleCrop>false</ScaleCrop>
  <LinksUpToDate>false</LinksUpToDate>
  <CharactersWithSpaces>26055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2023-11-27T11:41:00Z</dcterms:created>
  <dc:creator>心雨</dc:creator>
  <cp:lastModifiedBy>Administrator</cp:lastModifiedBy>
  <cp:lastPrinted>2023-11-27T02:41:00Z</cp:lastPrinted>
  <dcterms:modified xsi:type="dcterms:W3CDTF">2025-01-27T06:53:50Z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13BCFD29FD2A4762B6D78EB36E1FAC7A_13</vt:lpwstr>
  </property>
</Properties>
</file>