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93D23">
      <w:pPr>
        <w:spacing w:line="360" w:lineRule="auto"/>
        <w:jc w:val="center"/>
        <w:rPr>
          <w:rFonts w:ascii="宋体" w:hAnsi="宋体" w:cs="宋体"/>
          <w:b/>
          <w:color w:val="auto"/>
          <w:sz w:val="40"/>
          <w:szCs w:val="40"/>
          <w:highlight w:val="none"/>
          <w:u w:val="single"/>
        </w:rPr>
      </w:pPr>
    </w:p>
    <w:p w14:paraId="4B69D7D9">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曹娥街道白米堰居委人居环境提升物业外包项目（第二次）</w:t>
      </w:r>
    </w:p>
    <w:p w14:paraId="6F01A951">
      <w:pPr>
        <w:spacing w:line="360" w:lineRule="auto"/>
        <w:jc w:val="center"/>
        <w:rPr>
          <w:rFonts w:ascii="宋体" w:hAnsi="宋体" w:cs="宋体"/>
          <w:b/>
          <w:color w:val="auto"/>
          <w:sz w:val="48"/>
          <w:szCs w:val="48"/>
          <w:highlight w:val="none"/>
          <w:u w:val="single"/>
        </w:rPr>
      </w:pPr>
    </w:p>
    <w:p w14:paraId="7FDFBDC1">
      <w:pPr>
        <w:jc w:val="center"/>
        <w:rPr>
          <w:rFonts w:ascii="宋体" w:hAnsi="宋体" w:cs="宋体"/>
          <w:b/>
          <w:color w:val="auto"/>
          <w:sz w:val="44"/>
          <w:szCs w:val="44"/>
          <w:highlight w:val="none"/>
        </w:rPr>
      </w:pPr>
    </w:p>
    <w:p w14:paraId="71D91913">
      <w:pPr>
        <w:jc w:val="center"/>
        <w:rPr>
          <w:rFonts w:ascii="宋体" w:hAnsi="宋体" w:cs="宋体"/>
          <w:b/>
          <w:color w:val="auto"/>
          <w:sz w:val="44"/>
          <w:szCs w:val="44"/>
          <w:highlight w:val="none"/>
        </w:rPr>
      </w:pPr>
    </w:p>
    <w:p w14:paraId="5807AADF">
      <w:pPr>
        <w:jc w:val="center"/>
        <w:rPr>
          <w:rFonts w:ascii="宋体" w:hAnsi="宋体" w:cs="宋体"/>
          <w:b/>
          <w:color w:val="auto"/>
          <w:sz w:val="44"/>
          <w:szCs w:val="44"/>
          <w:highlight w:val="none"/>
        </w:rPr>
      </w:pPr>
    </w:p>
    <w:p w14:paraId="30F5A6CC">
      <w:pPr>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招标文件</w:t>
      </w:r>
    </w:p>
    <w:p w14:paraId="37EB5A29">
      <w:pPr>
        <w:spacing w:line="360" w:lineRule="auto"/>
        <w:jc w:val="center"/>
        <w:rPr>
          <w:rFonts w:ascii="宋体" w:hAnsi="宋体" w:cs="宋体"/>
          <w:b/>
          <w:color w:val="auto"/>
          <w:sz w:val="24"/>
          <w:highlight w:val="none"/>
        </w:rPr>
      </w:pPr>
    </w:p>
    <w:p w14:paraId="203F6068">
      <w:pPr>
        <w:spacing w:line="360" w:lineRule="auto"/>
        <w:jc w:val="center"/>
        <w:rPr>
          <w:rFonts w:ascii="宋体" w:hAnsi="宋体" w:cs="宋体"/>
          <w:b/>
          <w:color w:val="auto"/>
          <w:sz w:val="24"/>
          <w:highlight w:val="none"/>
        </w:rPr>
      </w:pPr>
    </w:p>
    <w:p w14:paraId="554D58A7">
      <w:pPr>
        <w:spacing w:line="360" w:lineRule="auto"/>
        <w:jc w:val="center"/>
        <w:rPr>
          <w:rFonts w:ascii="宋体" w:hAnsi="宋体" w:cs="宋体"/>
          <w:b/>
          <w:color w:val="auto"/>
          <w:sz w:val="24"/>
          <w:highlight w:val="none"/>
        </w:rPr>
      </w:pPr>
    </w:p>
    <w:p w14:paraId="6895FFF3">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招标编号：</w:t>
      </w:r>
      <w:r>
        <w:rPr>
          <w:rFonts w:hint="eastAsia" w:ascii="宋体" w:hAnsi="宋体" w:cs="宋体"/>
          <w:color w:val="auto"/>
          <w:sz w:val="30"/>
          <w:szCs w:val="30"/>
          <w:highlight w:val="none"/>
          <w:lang w:eastAsia="zh-CN"/>
        </w:rPr>
        <w:t>YK2025030X</w:t>
      </w:r>
    </w:p>
    <w:p w14:paraId="431229BF">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采购方式：公开招标</w:t>
      </w:r>
    </w:p>
    <w:p w14:paraId="55907372">
      <w:pPr>
        <w:spacing w:line="360" w:lineRule="auto"/>
        <w:rPr>
          <w:rFonts w:ascii="宋体" w:hAnsi="宋体" w:cs="宋体"/>
          <w:color w:val="auto"/>
          <w:sz w:val="28"/>
          <w:szCs w:val="20"/>
          <w:highlight w:val="none"/>
        </w:rPr>
      </w:pPr>
    </w:p>
    <w:p w14:paraId="01898953">
      <w:pPr>
        <w:spacing w:line="360" w:lineRule="auto"/>
        <w:jc w:val="center"/>
        <w:rPr>
          <w:rFonts w:ascii="宋体" w:hAnsi="宋体" w:cs="宋体"/>
          <w:color w:val="auto"/>
          <w:sz w:val="24"/>
          <w:highlight w:val="none"/>
        </w:rPr>
      </w:pPr>
    </w:p>
    <w:p w14:paraId="552D1794">
      <w:pPr>
        <w:spacing w:line="360" w:lineRule="auto"/>
        <w:jc w:val="center"/>
        <w:rPr>
          <w:rFonts w:ascii="宋体" w:hAnsi="宋体" w:cs="宋体"/>
          <w:color w:val="auto"/>
          <w:sz w:val="24"/>
          <w:highlight w:val="none"/>
        </w:rPr>
      </w:pPr>
    </w:p>
    <w:p w14:paraId="2295B90F">
      <w:pPr>
        <w:spacing w:line="360" w:lineRule="auto"/>
        <w:jc w:val="center"/>
        <w:rPr>
          <w:rFonts w:ascii="宋体" w:hAnsi="宋体" w:cs="宋体"/>
          <w:color w:val="auto"/>
          <w:sz w:val="24"/>
          <w:highlight w:val="none"/>
        </w:rPr>
      </w:pPr>
    </w:p>
    <w:p w14:paraId="234C9BCF">
      <w:pPr>
        <w:spacing w:line="360" w:lineRule="auto"/>
        <w:jc w:val="center"/>
        <w:rPr>
          <w:rFonts w:ascii="宋体" w:hAnsi="宋体" w:cs="宋体"/>
          <w:color w:val="auto"/>
          <w:sz w:val="24"/>
          <w:highlight w:val="none"/>
        </w:rPr>
      </w:pPr>
    </w:p>
    <w:p w14:paraId="0EADF001">
      <w:pPr>
        <w:spacing w:line="360" w:lineRule="auto"/>
        <w:jc w:val="center"/>
        <w:rPr>
          <w:rFonts w:ascii="宋体" w:hAnsi="宋体" w:cs="宋体"/>
          <w:color w:val="auto"/>
          <w:sz w:val="24"/>
          <w:highlight w:val="none"/>
        </w:rPr>
      </w:pPr>
    </w:p>
    <w:p w14:paraId="215020CE">
      <w:pPr>
        <w:spacing w:line="360" w:lineRule="auto"/>
        <w:jc w:val="center"/>
        <w:rPr>
          <w:rFonts w:ascii="宋体" w:hAnsi="宋体" w:cs="宋体"/>
          <w:color w:val="auto"/>
          <w:sz w:val="24"/>
          <w:highlight w:val="none"/>
        </w:rPr>
      </w:pPr>
    </w:p>
    <w:p w14:paraId="63C21EEE">
      <w:pPr>
        <w:pStyle w:val="3"/>
        <w:rPr>
          <w:color w:val="auto"/>
          <w:highlight w:val="none"/>
        </w:rPr>
      </w:pPr>
    </w:p>
    <w:p w14:paraId="3A493E90">
      <w:pPr>
        <w:spacing w:line="360" w:lineRule="auto"/>
        <w:jc w:val="center"/>
        <w:rPr>
          <w:rFonts w:ascii="宋体" w:hAnsi="宋体" w:cs="宋体"/>
          <w:color w:val="auto"/>
          <w:sz w:val="24"/>
          <w:highlight w:val="none"/>
        </w:rPr>
      </w:pPr>
    </w:p>
    <w:p w14:paraId="552C85FF">
      <w:pPr>
        <w:snapToGrid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30"/>
          <w:highlight w:val="none"/>
        </w:rPr>
        <w:t>采购人：</w:t>
      </w:r>
      <w:r>
        <w:rPr>
          <w:rFonts w:hint="eastAsia" w:ascii="宋体" w:hAnsi="宋体" w:cs="宋体"/>
          <w:color w:val="auto"/>
          <w:sz w:val="30"/>
          <w:highlight w:val="none"/>
          <w:lang w:eastAsia="zh-CN"/>
        </w:rPr>
        <w:t>绍兴市上虞区曹娥街道白米堰股份经济合作社</w:t>
      </w:r>
    </w:p>
    <w:p w14:paraId="4F8461A0">
      <w:pPr>
        <w:snapToGrid w:val="0"/>
        <w:spacing w:line="360" w:lineRule="auto"/>
        <w:jc w:val="center"/>
        <w:rPr>
          <w:rFonts w:ascii="宋体" w:hAnsi="宋体" w:cs="宋体"/>
          <w:color w:val="auto"/>
          <w:sz w:val="30"/>
          <w:highlight w:val="none"/>
        </w:rPr>
      </w:pPr>
      <w:r>
        <w:rPr>
          <w:rFonts w:hint="eastAsia" w:ascii="宋体" w:hAnsi="宋体" w:cs="宋体"/>
          <w:color w:val="auto"/>
          <w:sz w:val="30"/>
          <w:highlight w:val="none"/>
        </w:rPr>
        <w:t>采购代理机构：浙江宇康工程管理咨询有限公司</w:t>
      </w:r>
    </w:p>
    <w:p w14:paraId="6E58FB25">
      <w:pPr>
        <w:snapToGrid w:val="0"/>
        <w:spacing w:line="360" w:lineRule="auto"/>
        <w:jc w:val="center"/>
        <w:rPr>
          <w:rFonts w:ascii="宋体" w:hAnsi="宋体" w:cs="宋体"/>
          <w:color w:val="auto"/>
          <w:sz w:val="24"/>
          <w:highlight w:val="none"/>
        </w:rPr>
      </w:pPr>
      <w:bookmarkStart w:id="0" w:name="_Hlt67893495"/>
      <w:bookmarkEnd w:id="0"/>
    </w:p>
    <w:p w14:paraId="1B8A2B30">
      <w:pPr>
        <w:spacing w:line="360" w:lineRule="auto"/>
        <w:jc w:val="center"/>
        <w:rPr>
          <w:rFonts w:ascii="宋体" w:hAnsi="宋体" w:cs="宋体"/>
          <w:b/>
          <w:color w:val="auto"/>
          <w:sz w:val="48"/>
          <w:szCs w:val="48"/>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7C57095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0168F94">
      <w:pPr>
        <w:spacing w:line="360" w:lineRule="auto"/>
        <w:rPr>
          <w:rFonts w:ascii="宋体" w:hAnsi="宋体" w:cs="宋体"/>
          <w:color w:val="auto"/>
          <w:sz w:val="32"/>
          <w:szCs w:val="32"/>
          <w:highlight w:val="none"/>
        </w:rPr>
      </w:pPr>
    </w:p>
    <w:p w14:paraId="2D27DD2D">
      <w:pPr>
        <w:pStyle w:val="22"/>
        <w:tabs>
          <w:tab w:val="right" w:leader="dot" w:pos="8306"/>
        </w:tabs>
        <w:spacing w:line="360" w:lineRule="auto"/>
        <w:rPr>
          <w:b/>
          <w:bCs/>
          <w:color w:val="auto"/>
          <w:sz w:val="24"/>
          <w:szCs w:val="24"/>
          <w:highlight w:val="none"/>
        </w:rPr>
      </w:pPr>
      <w:bookmarkStart w:id="1" w:name="_Hlt91233176"/>
      <w:bookmarkEnd w:id="1"/>
      <w:bookmarkStart w:id="2" w:name="_Toc91899869"/>
      <w:r>
        <w:rPr>
          <w:rFonts w:hint="eastAsia" w:ascii="宋体" w:hAnsi="宋体" w:cs="宋体"/>
          <w:b/>
          <w:snapToGrid w:val="0"/>
          <w:color w:val="auto"/>
          <w:kern w:val="0"/>
          <w:sz w:val="24"/>
          <w:szCs w:val="24"/>
          <w:highlight w:val="none"/>
        </w:rPr>
        <w:fldChar w:fldCharType="begin"/>
      </w:r>
      <w:r>
        <w:rPr>
          <w:rFonts w:hint="eastAsia" w:ascii="宋体" w:hAnsi="宋体" w:cs="宋体"/>
          <w:b/>
          <w:snapToGrid w:val="0"/>
          <w:color w:val="auto"/>
          <w:kern w:val="0"/>
          <w:sz w:val="24"/>
          <w:szCs w:val="24"/>
          <w:highlight w:val="none"/>
        </w:rPr>
        <w:instrText xml:space="preserve"> TOC \o "1-1" \h \z \u </w:instrText>
      </w:r>
      <w:r>
        <w:rPr>
          <w:rFonts w:hint="eastAsia" w:ascii="宋体" w:hAnsi="宋体" w:cs="宋体"/>
          <w:b/>
          <w:snapToGrid w:val="0"/>
          <w:color w:val="auto"/>
          <w:kern w:val="0"/>
          <w:sz w:val="24"/>
          <w:szCs w:val="24"/>
          <w:highlight w:val="none"/>
        </w:rPr>
        <w:fldChar w:fldCharType="separate"/>
      </w:r>
      <w:r>
        <w:rPr>
          <w:b/>
          <w:bCs/>
          <w:color w:val="auto"/>
          <w:sz w:val="24"/>
          <w:szCs w:val="24"/>
          <w:highlight w:val="none"/>
        </w:rPr>
        <w:fldChar w:fldCharType="begin"/>
      </w:r>
      <w:r>
        <w:rPr>
          <w:b/>
          <w:bCs/>
          <w:color w:val="auto"/>
          <w:sz w:val="24"/>
          <w:szCs w:val="24"/>
          <w:highlight w:val="none"/>
        </w:rPr>
        <w:instrText xml:space="preserve"> HYPERLINK \l "_Toc20075" </w:instrText>
      </w:r>
      <w:r>
        <w:rPr>
          <w:b/>
          <w:bCs/>
          <w:color w:val="auto"/>
          <w:sz w:val="24"/>
          <w:szCs w:val="24"/>
          <w:highlight w:val="none"/>
        </w:rPr>
        <w:fldChar w:fldCharType="separate"/>
      </w:r>
      <w:r>
        <w:rPr>
          <w:rFonts w:hint="eastAsia" w:ascii="宋体" w:hAnsi="宋体" w:cs="宋体"/>
          <w:b/>
          <w:bCs/>
          <w:color w:val="auto"/>
          <w:sz w:val="24"/>
          <w:szCs w:val="24"/>
          <w:highlight w:val="none"/>
        </w:rPr>
        <w:t>第一部分 招标公告</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_Toc20075 \h </w:instrText>
      </w:r>
      <w:r>
        <w:rPr>
          <w:b/>
          <w:bCs/>
          <w:color w:val="auto"/>
          <w:sz w:val="24"/>
          <w:szCs w:val="24"/>
          <w:highlight w:val="none"/>
        </w:rPr>
        <w:fldChar w:fldCharType="separate"/>
      </w:r>
      <w:r>
        <w:rPr>
          <w:b/>
          <w:bCs/>
          <w:color w:val="auto"/>
          <w:sz w:val="24"/>
          <w:szCs w:val="24"/>
          <w:highlight w:val="none"/>
        </w:rPr>
        <w:t>2</w:t>
      </w:r>
      <w:r>
        <w:rPr>
          <w:b/>
          <w:bCs/>
          <w:color w:val="auto"/>
          <w:sz w:val="24"/>
          <w:szCs w:val="24"/>
          <w:highlight w:val="none"/>
        </w:rPr>
        <w:fldChar w:fldCharType="end"/>
      </w:r>
      <w:r>
        <w:rPr>
          <w:b/>
          <w:bCs/>
          <w:color w:val="auto"/>
          <w:sz w:val="24"/>
          <w:szCs w:val="24"/>
          <w:highlight w:val="none"/>
        </w:rPr>
        <w:fldChar w:fldCharType="end"/>
      </w:r>
    </w:p>
    <w:p w14:paraId="3CE38E84">
      <w:pPr>
        <w:pStyle w:val="22"/>
        <w:tabs>
          <w:tab w:val="right" w:leader="dot" w:pos="8306"/>
        </w:tabs>
        <w:spacing w:line="360" w:lineRule="auto"/>
        <w:rPr>
          <w:b/>
          <w:bCs/>
          <w:color w:val="auto"/>
          <w:sz w:val="24"/>
          <w:szCs w:val="24"/>
          <w:highlight w:val="none"/>
        </w:rPr>
      </w:pPr>
      <w:r>
        <w:rPr>
          <w:b/>
          <w:bCs/>
          <w:color w:val="auto"/>
          <w:sz w:val="24"/>
          <w:szCs w:val="24"/>
          <w:highlight w:val="none"/>
        </w:rPr>
        <w:fldChar w:fldCharType="begin"/>
      </w:r>
      <w:r>
        <w:rPr>
          <w:b/>
          <w:bCs/>
          <w:color w:val="auto"/>
          <w:sz w:val="24"/>
          <w:szCs w:val="24"/>
          <w:highlight w:val="none"/>
        </w:rPr>
        <w:instrText xml:space="preserve"> HYPERLINK \l "_Toc1242" </w:instrText>
      </w:r>
      <w:r>
        <w:rPr>
          <w:b/>
          <w:bCs/>
          <w:color w:val="auto"/>
          <w:sz w:val="24"/>
          <w:szCs w:val="24"/>
          <w:highlight w:val="none"/>
        </w:rPr>
        <w:fldChar w:fldCharType="separate"/>
      </w:r>
      <w:r>
        <w:rPr>
          <w:rFonts w:hint="eastAsia" w:ascii="宋体" w:hAnsi="宋体" w:cs="宋体"/>
          <w:b/>
          <w:bCs/>
          <w:color w:val="auto"/>
          <w:sz w:val="24"/>
          <w:szCs w:val="24"/>
          <w:highlight w:val="none"/>
        </w:rPr>
        <w:t>第二部分 投标须知</w:t>
      </w:r>
      <w:r>
        <w:rPr>
          <w:b/>
          <w:bCs/>
          <w:color w:val="auto"/>
          <w:sz w:val="24"/>
          <w:szCs w:val="24"/>
          <w:highlight w:val="none"/>
        </w:rPr>
        <w:tab/>
      </w:r>
      <w:r>
        <w:rPr>
          <w:rFonts w:hint="eastAsia"/>
          <w:b/>
          <w:bCs/>
          <w:color w:val="auto"/>
          <w:sz w:val="24"/>
          <w:szCs w:val="24"/>
          <w:highlight w:val="none"/>
          <w:lang w:val="en-US" w:eastAsia="zh-CN"/>
        </w:rPr>
        <w:t>5</w:t>
      </w:r>
      <w:r>
        <w:rPr>
          <w:b/>
          <w:bCs/>
          <w:color w:val="auto"/>
          <w:sz w:val="24"/>
          <w:szCs w:val="24"/>
          <w:highlight w:val="none"/>
        </w:rPr>
        <w:fldChar w:fldCharType="end"/>
      </w:r>
    </w:p>
    <w:p w14:paraId="3B6F0BBB">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"_Toc10200" </w:instrText>
      </w:r>
      <w:r>
        <w:rPr>
          <w:color w:val="auto"/>
          <w:sz w:val="24"/>
          <w:szCs w:val="24"/>
          <w:highlight w:val="none"/>
        </w:rPr>
        <w:fldChar w:fldCharType="separate"/>
      </w:r>
      <w:r>
        <w:rPr>
          <w:rFonts w:hint="eastAsia" w:ascii="宋体" w:hAnsi="宋体" w:cs="宋体"/>
          <w:color w:val="auto"/>
          <w:sz w:val="24"/>
          <w:szCs w:val="24"/>
          <w:highlight w:val="none"/>
        </w:rPr>
        <w:t>一、总则</w:t>
      </w:r>
      <w:r>
        <w:rPr>
          <w:color w:val="auto"/>
          <w:sz w:val="24"/>
          <w:szCs w:val="24"/>
          <w:highlight w:val="none"/>
        </w:rPr>
        <w:tab/>
      </w:r>
      <w:r>
        <w:rPr>
          <w:rFonts w:hint="eastAsia"/>
          <w:color w:val="auto"/>
          <w:sz w:val="24"/>
          <w:szCs w:val="24"/>
          <w:highlight w:val="none"/>
          <w:lang w:val="en-US" w:eastAsia="zh-CN"/>
        </w:rPr>
        <w:t>8</w:t>
      </w:r>
      <w:r>
        <w:rPr>
          <w:color w:val="auto"/>
          <w:sz w:val="24"/>
          <w:szCs w:val="24"/>
          <w:highlight w:val="none"/>
        </w:rPr>
        <w:fldChar w:fldCharType="end"/>
      </w:r>
    </w:p>
    <w:p w14:paraId="13E1F7E7">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"_Toc30571" </w:instrText>
      </w:r>
      <w:r>
        <w:rPr>
          <w:color w:val="auto"/>
          <w:sz w:val="24"/>
          <w:szCs w:val="24"/>
          <w:highlight w:val="none"/>
        </w:rPr>
        <w:fldChar w:fldCharType="separate"/>
      </w:r>
      <w:r>
        <w:rPr>
          <w:rFonts w:hint="eastAsia" w:ascii="宋体" w:hAnsi="宋体" w:cs="宋体"/>
          <w:color w:val="auto"/>
          <w:sz w:val="24"/>
          <w:szCs w:val="24"/>
          <w:highlight w:val="none"/>
        </w:rPr>
        <w:t>二、招标文件</w:t>
      </w:r>
      <w:r>
        <w:rPr>
          <w:color w:val="auto"/>
          <w:sz w:val="24"/>
          <w:szCs w:val="24"/>
          <w:highlight w:val="none"/>
        </w:rPr>
        <w:tab/>
      </w:r>
      <w:r>
        <w:rPr>
          <w:rFonts w:hint="eastAsia"/>
          <w:color w:val="auto"/>
          <w:sz w:val="24"/>
          <w:szCs w:val="24"/>
          <w:highlight w:val="none"/>
          <w:lang w:val="en-US" w:eastAsia="zh-CN"/>
        </w:rPr>
        <w:t>8</w:t>
      </w:r>
      <w:r>
        <w:rPr>
          <w:color w:val="auto"/>
          <w:sz w:val="24"/>
          <w:szCs w:val="24"/>
          <w:highlight w:val="none"/>
        </w:rPr>
        <w:fldChar w:fldCharType="end"/>
      </w:r>
    </w:p>
    <w:p w14:paraId="216068BC">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"_Toc31934" </w:instrText>
      </w:r>
      <w:r>
        <w:rPr>
          <w:color w:val="auto"/>
          <w:sz w:val="24"/>
          <w:szCs w:val="24"/>
          <w:highlight w:val="none"/>
        </w:rPr>
        <w:fldChar w:fldCharType="separate"/>
      </w:r>
      <w:r>
        <w:rPr>
          <w:rFonts w:hint="eastAsia" w:ascii="宋体" w:hAnsi="宋体" w:cs="宋体"/>
          <w:color w:val="auto"/>
          <w:sz w:val="24"/>
          <w:szCs w:val="24"/>
          <w:highlight w:val="none"/>
        </w:rPr>
        <w:t>三、投标文件的编制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_Toc31934 \h </w:instrText>
      </w:r>
      <w:r>
        <w:rPr>
          <w:color w:val="auto"/>
          <w:sz w:val="24"/>
          <w:szCs w:val="24"/>
          <w:highlight w:val="none"/>
        </w:rPr>
        <w:fldChar w:fldCharType="separate"/>
      </w:r>
      <w:r>
        <w:rPr>
          <w:color w:val="auto"/>
          <w:sz w:val="24"/>
          <w:szCs w:val="24"/>
          <w:highlight w:val="none"/>
        </w:rPr>
        <w:t>1</w:t>
      </w:r>
      <w:r>
        <w:rPr>
          <w:rFonts w:hint="eastAsia"/>
          <w:color w:val="auto"/>
          <w:sz w:val="24"/>
          <w:szCs w:val="24"/>
          <w:highlight w:val="none"/>
          <w:lang w:val="en-US" w:eastAsia="zh-CN"/>
        </w:rPr>
        <w:t>0</w:t>
      </w:r>
      <w:r>
        <w:rPr>
          <w:color w:val="auto"/>
          <w:sz w:val="24"/>
          <w:szCs w:val="24"/>
          <w:highlight w:val="none"/>
        </w:rPr>
        <w:fldChar w:fldCharType="end"/>
      </w:r>
      <w:r>
        <w:rPr>
          <w:color w:val="auto"/>
          <w:sz w:val="24"/>
          <w:szCs w:val="24"/>
          <w:highlight w:val="none"/>
        </w:rPr>
        <w:fldChar w:fldCharType="end"/>
      </w:r>
    </w:p>
    <w:p w14:paraId="6A362008">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"_Toc30606" </w:instrText>
      </w:r>
      <w:r>
        <w:rPr>
          <w:color w:val="auto"/>
          <w:sz w:val="24"/>
          <w:szCs w:val="24"/>
          <w:highlight w:val="none"/>
        </w:rPr>
        <w:fldChar w:fldCharType="separate"/>
      </w:r>
      <w:r>
        <w:rPr>
          <w:rFonts w:hint="eastAsia" w:ascii="宋体" w:hAnsi="宋体" w:cs="宋体"/>
          <w:color w:val="auto"/>
          <w:sz w:val="24"/>
          <w:szCs w:val="24"/>
          <w:highlight w:val="none"/>
        </w:rPr>
        <w:t>四、投标文件的递交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_Toc30606 \h </w:instrText>
      </w:r>
      <w:r>
        <w:rPr>
          <w:color w:val="auto"/>
          <w:sz w:val="24"/>
          <w:szCs w:val="24"/>
          <w:highlight w:val="none"/>
        </w:rPr>
        <w:fldChar w:fldCharType="separate"/>
      </w:r>
      <w:r>
        <w:rPr>
          <w:color w:val="auto"/>
          <w:sz w:val="24"/>
          <w:szCs w:val="24"/>
          <w:highlight w:val="none"/>
        </w:rPr>
        <w:t>1</w:t>
      </w:r>
      <w:r>
        <w:rPr>
          <w:rFonts w:hint="eastAsia"/>
          <w:color w:val="auto"/>
          <w:sz w:val="24"/>
          <w:szCs w:val="24"/>
          <w:highlight w:val="none"/>
          <w:lang w:val="en-US" w:eastAsia="zh-CN"/>
        </w:rPr>
        <w:t>3</w:t>
      </w:r>
      <w:r>
        <w:rPr>
          <w:color w:val="auto"/>
          <w:sz w:val="24"/>
          <w:szCs w:val="24"/>
          <w:highlight w:val="none"/>
        </w:rPr>
        <w:fldChar w:fldCharType="end"/>
      </w:r>
      <w:r>
        <w:rPr>
          <w:color w:val="auto"/>
          <w:sz w:val="24"/>
          <w:szCs w:val="24"/>
          <w:highlight w:val="none"/>
        </w:rPr>
        <w:fldChar w:fldCharType="end"/>
      </w:r>
    </w:p>
    <w:p w14:paraId="003BA01D">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"_Toc29172" </w:instrText>
      </w:r>
      <w:r>
        <w:rPr>
          <w:color w:val="auto"/>
          <w:sz w:val="24"/>
          <w:szCs w:val="24"/>
          <w:highlight w:val="none"/>
        </w:rPr>
        <w:fldChar w:fldCharType="separate"/>
      </w:r>
      <w:r>
        <w:rPr>
          <w:rFonts w:hint="eastAsia" w:ascii="宋体" w:hAnsi="宋体" w:cs="宋体"/>
          <w:color w:val="auto"/>
          <w:sz w:val="24"/>
          <w:szCs w:val="24"/>
          <w:highlight w:val="none"/>
        </w:rPr>
        <w:t>五、开标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_Toc29172 \h </w:instrText>
      </w:r>
      <w:r>
        <w:rPr>
          <w:color w:val="auto"/>
          <w:sz w:val="24"/>
          <w:szCs w:val="24"/>
          <w:highlight w:val="none"/>
        </w:rPr>
        <w:fldChar w:fldCharType="separate"/>
      </w:r>
      <w:r>
        <w:rPr>
          <w:color w:val="auto"/>
          <w:sz w:val="24"/>
          <w:szCs w:val="24"/>
          <w:highlight w:val="none"/>
        </w:rPr>
        <w:t>1</w:t>
      </w:r>
      <w:r>
        <w:rPr>
          <w:rFonts w:hint="eastAsia"/>
          <w:color w:val="auto"/>
          <w:sz w:val="24"/>
          <w:szCs w:val="24"/>
          <w:highlight w:val="none"/>
          <w:lang w:val="en-US" w:eastAsia="zh-CN"/>
        </w:rPr>
        <w:t>4</w:t>
      </w:r>
      <w:r>
        <w:rPr>
          <w:color w:val="auto"/>
          <w:sz w:val="24"/>
          <w:szCs w:val="24"/>
          <w:highlight w:val="none"/>
        </w:rPr>
        <w:fldChar w:fldCharType="end"/>
      </w:r>
      <w:r>
        <w:rPr>
          <w:color w:val="auto"/>
          <w:sz w:val="24"/>
          <w:szCs w:val="24"/>
          <w:highlight w:val="none"/>
        </w:rPr>
        <w:fldChar w:fldCharType="end"/>
      </w:r>
    </w:p>
    <w:p w14:paraId="1CD36FD3">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"_Toc24755" </w:instrText>
      </w:r>
      <w:r>
        <w:rPr>
          <w:color w:val="auto"/>
          <w:sz w:val="24"/>
          <w:szCs w:val="24"/>
          <w:highlight w:val="none"/>
        </w:rPr>
        <w:fldChar w:fldCharType="separate"/>
      </w:r>
      <w:r>
        <w:rPr>
          <w:rFonts w:hint="eastAsia" w:ascii="宋体" w:hAnsi="宋体" w:cs="宋体"/>
          <w:color w:val="auto"/>
          <w:sz w:val="24"/>
          <w:szCs w:val="24"/>
          <w:highlight w:val="none"/>
        </w:rPr>
        <w:t>六、资格审查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_Toc24755 \h </w:instrText>
      </w:r>
      <w:r>
        <w:rPr>
          <w:color w:val="auto"/>
          <w:sz w:val="24"/>
          <w:szCs w:val="24"/>
          <w:highlight w:val="none"/>
        </w:rPr>
        <w:fldChar w:fldCharType="separate"/>
      </w:r>
      <w:r>
        <w:rPr>
          <w:color w:val="auto"/>
          <w:sz w:val="24"/>
          <w:szCs w:val="24"/>
          <w:highlight w:val="none"/>
        </w:rPr>
        <w:t>1</w:t>
      </w:r>
      <w:r>
        <w:rPr>
          <w:rFonts w:hint="eastAsia"/>
          <w:color w:val="auto"/>
          <w:sz w:val="24"/>
          <w:szCs w:val="24"/>
          <w:highlight w:val="none"/>
          <w:lang w:val="en-US" w:eastAsia="zh-CN"/>
        </w:rPr>
        <w:t>4</w:t>
      </w:r>
      <w:r>
        <w:rPr>
          <w:color w:val="auto"/>
          <w:sz w:val="24"/>
          <w:szCs w:val="24"/>
          <w:highlight w:val="none"/>
        </w:rPr>
        <w:fldChar w:fldCharType="end"/>
      </w:r>
      <w:r>
        <w:rPr>
          <w:color w:val="auto"/>
          <w:sz w:val="24"/>
          <w:szCs w:val="24"/>
          <w:highlight w:val="none"/>
        </w:rPr>
        <w:fldChar w:fldCharType="end"/>
      </w:r>
    </w:p>
    <w:p w14:paraId="44118BAF">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"_Toc24401" </w:instrText>
      </w:r>
      <w:r>
        <w:rPr>
          <w:color w:val="auto"/>
          <w:sz w:val="24"/>
          <w:szCs w:val="24"/>
          <w:highlight w:val="none"/>
        </w:rPr>
        <w:fldChar w:fldCharType="separate"/>
      </w:r>
      <w:r>
        <w:rPr>
          <w:rFonts w:hint="eastAsia" w:ascii="宋体" w:hAnsi="宋体" w:cs="宋体"/>
          <w:color w:val="auto"/>
          <w:sz w:val="24"/>
          <w:szCs w:val="24"/>
          <w:highlight w:val="none"/>
        </w:rPr>
        <w:t>七、评标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_Toc24401 \h </w:instrText>
      </w:r>
      <w:r>
        <w:rPr>
          <w:color w:val="auto"/>
          <w:sz w:val="24"/>
          <w:szCs w:val="24"/>
          <w:highlight w:val="none"/>
        </w:rPr>
        <w:fldChar w:fldCharType="separate"/>
      </w:r>
      <w:r>
        <w:rPr>
          <w:color w:val="auto"/>
          <w:sz w:val="24"/>
          <w:szCs w:val="24"/>
          <w:highlight w:val="none"/>
        </w:rPr>
        <w:t>1</w:t>
      </w:r>
      <w:r>
        <w:rPr>
          <w:rFonts w:hint="eastAsia"/>
          <w:color w:val="auto"/>
          <w:sz w:val="24"/>
          <w:szCs w:val="24"/>
          <w:highlight w:val="none"/>
          <w:lang w:val="en-US" w:eastAsia="zh-CN"/>
        </w:rPr>
        <w:t>5</w:t>
      </w:r>
      <w:r>
        <w:rPr>
          <w:color w:val="auto"/>
          <w:sz w:val="24"/>
          <w:szCs w:val="24"/>
          <w:highlight w:val="none"/>
        </w:rPr>
        <w:fldChar w:fldCharType="end"/>
      </w:r>
      <w:r>
        <w:rPr>
          <w:color w:val="auto"/>
          <w:sz w:val="24"/>
          <w:szCs w:val="24"/>
          <w:highlight w:val="none"/>
        </w:rPr>
        <w:fldChar w:fldCharType="end"/>
      </w:r>
    </w:p>
    <w:p w14:paraId="6818B74D">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"_Toc5331" </w:instrText>
      </w:r>
      <w:r>
        <w:rPr>
          <w:color w:val="auto"/>
          <w:sz w:val="24"/>
          <w:szCs w:val="24"/>
          <w:highlight w:val="none"/>
        </w:rPr>
        <w:fldChar w:fldCharType="separate"/>
      </w:r>
      <w:r>
        <w:rPr>
          <w:rFonts w:hint="eastAsia" w:ascii="宋体" w:hAnsi="宋体" w:cs="宋体"/>
          <w:color w:val="auto"/>
          <w:sz w:val="24"/>
          <w:szCs w:val="24"/>
          <w:highlight w:val="none"/>
        </w:rPr>
        <w:t>八、定 标</w:t>
      </w:r>
      <w:r>
        <w:rPr>
          <w:color w:val="auto"/>
          <w:sz w:val="24"/>
          <w:szCs w:val="24"/>
          <w:highlight w:val="none"/>
        </w:rPr>
        <w:tab/>
      </w:r>
      <w:r>
        <w:rPr>
          <w:rFonts w:hint="eastAsia"/>
          <w:color w:val="auto"/>
          <w:sz w:val="24"/>
          <w:szCs w:val="24"/>
          <w:highlight w:val="none"/>
          <w:lang w:val="en-US" w:eastAsia="zh-CN"/>
        </w:rPr>
        <w:t>1</w:t>
      </w:r>
      <w:r>
        <w:rPr>
          <w:color w:val="auto"/>
          <w:sz w:val="24"/>
          <w:szCs w:val="24"/>
          <w:highlight w:val="none"/>
        </w:rPr>
        <w:fldChar w:fldCharType="end"/>
      </w:r>
      <w:r>
        <w:rPr>
          <w:rFonts w:hint="eastAsia"/>
          <w:color w:val="auto"/>
          <w:sz w:val="24"/>
          <w:szCs w:val="24"/>
          <w:highlight w:val="none"/>
          <w:lang w:val="en-US" w:eastAsia="zh-CN"/>
        </w:rPr>
        <w:t>9</w:t>
      </w:r>
    </w:p>
    <w:p w14:paraId="7D71008F">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"_Toc10448" </w:instrText>
      </w:r>
      <w:r>
        <w:rPr>
          <w:color w:val="auto"/>
          <w:sz w:val="24"/>
          <w:szCs w:val="24"/>
          <w:highlight w:val="none"/>
        </w:rPr>
        <w:fldChar w:fldCharType="separate"/>
      </w:r>
      <w:r>
        <w:rPr>
          <w:rFonts w:hint="eastAsia" w:ascii="宋体" w:hAnsi="宋体" w:cs="宋体"/>
          <w:color w:val="auto"/>
          <w:sz w:val="24"/>
          <w:szCs w:val="24"/>
          <w:highlight w:val="none"/>
        </w:rPr>
        <w:t>九、合同签订及其他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_Toc10448 \h </w:instrText>
      </w:r>
      <w:r>
        <w:rPr>
          <w:color w:val="auto"/>
          <w:sz w:val="24"/>
          <w:szCs w:val="24"/>
          <w:highlight w:val="none"/>
        </w:rPr>
        <w:fldChar w:fldCharType="separate"/>
      </w:r>
      <w:r>
        <w:rPr>
          <w:color w:val="auto"/>
          <w:sz w:val="24"/>
          <w:szCs w:val="24"/>
          <w:highlight w:val="none"/>
        </w:rPr>
        <w:t>2</w:t>
      </w:r>
      <w:r>
        <w:rPr>
          <w:rFonts w:hint="eastAsia"/>
          <w:color w:val="auto"/>
          <w:sz w:val="24"/>
          <w:szCs w:val="24"/>
          <w:highlight w:val="none"/>
          <w:lang w:val="en-US" w:eastAsia="zh-CN"/>
        </w:rPr>
        <w:t>0</w:t>
      </w:r>
      <w:r>
        <w:rPr>
          <w:color w:val="auto"/>
          <w:sz w:val="24"/>
          <w:szCs w:val="24"/>
          <w:highlight w:val="none"/>
        </w:rPr>
        <w:fldChar w:fldCharType="end"/>
      </w:r>
      <w:r>
        <w:rPr>
          <w:color w:val="auto"/>
          <w:sz w:val="24"/>
          <w:szCs w:val="24"/>
          <w:highlight w:val="none"/>
        </w:rPr>
        <w:fldChar w:fldCharType="end"/>
      </w:r>
    </w:p>
    <w:p w14:paraId="66F097B7">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"_Toc3034" </w:instrText>
      </w:r>
      <w:r>
        <w:rPr>
          <w:color w:val="auto"/>
          <w:sz w:val="24"/>
          <w:szCs w:val="24"/>
          <w:highlight w:val="none"/>
        </w:rPr>
        <w:fldChar w:fldCharType="separate"/>
      </w:r>
      <w:r>
        <w:rPr>
          <w:rFonts w:hint="eastAsia" w:ascii="宋体" w:hAnsi="宋体" w:cs="宋体"/>
          <w:color w:val="auto"/>
          <w:sz w:val="24"/>
          <w:szCs w:val="24"/>
          <w:highlight w:val="none"/>
        </w:rPr>
        <w:t>十、质疑与投诉</w:t>
      </w:r>
      <w:r>
        <w:rPr>
          <w:color w:val="auto"/>
          <w:sz w:val="24"/>
          <w:szCs w:val="24"/>
          <w:highlight w:val="none"/>
        </w:rPr>
        <w:tab/>
      </w:r>
      <w:r>
        <w:rPr>
          <w:rFonts w:hint="eastAsia"/>
          <w:color w:val="auto"/>
          <w:sz w:val="24"/>
          <w:szCs w:val="24"/>
          <w:highlight w:val="none"/>
          <w:lang w:val="en-US" w:eastAsia="zh-CN"/>
        </w:rPr>
        <w:t>2</w:t>
      </w:r>
      <w:r>
        <w:rPr>
          <w:color w:val="auto"/>
          <w:sz w:val="24"/>
          <w:szCs w:val="24"/>
          <w:highlight w:val="none"/>
        </w:rPr>
        <w:fldChar w:fldCharType="end"/>
      </w:r>
      <w:r>
        <w:rPr>
          <w:rFonts w:hint="eastAsia"/>
          <w:color w:val="auto"/>
          <w:sz w:val="24"/>
          <w:szCs w:val="24"/>
          <w:highlight w:val="none"/>
          <w:lang w:val="en-US" w:eastAsia="zh-CN"/>
        </w:rPr>
        <w:t>1</w:t>
      </w:r>
    </w:p>
    <w:p w14:paraId="78A6E3FF">
      <w:pPr>
        <w:pStyle w:val="22"/>
        <w:tabs>
          <w:tab w:val="right" w:leader="dot" w:pos="8306"/>
        </w:tabs>
        <w:spacing w:line="360" w:lineRule="auto"/>
        <w:rPr>
          <w:rFonts w:hint="eastAsia" w:ascii="Times New Roman" w:hAnsi="Times New Roman" w:eastAsia="宋体" w:cs="Times New Roman"/>
          <w:b/>
          <w:bCs/>
          <w:color w:val="auto"/>
          <w:sz w:val="24"/>
          <w:szCs w:val="24"/>
          <w:highlight w:val="none"/>
          <w:lang w:val="en-US" w:eastAsia="zh-CN"/>
        </w:rPr>
      </w:pPr>
      <w:r>
        <w:rPr>
          <w:rFonts w:ascii="Times New Roman" w:hAnsi="Times New Roman" w:eastAsia="宋体" w:cs="Times New Roman"/>
          <w:b/>
          <w:bCs/>
          <w:color w:val="auto"/>
          <w:sz w:val="24"/>
          <w:szCs w:val="24"/>
          <w:highlight w:val="none"/>
        </w:rPr>
        <w:fldChar w:fldCharType="begin"/>
      </w:r>
      <w:r>
        <w:rPr>
          <w:rFonts w:ascii="Times New Roman" w:hAnsi="Times New Roman" w:eastAsia="宋体" w:cs="Times New Roman"/>
          <w:b/>
          <w:bCs/>
          <w:color w:val="auto"/>
          <w:sz w:val="24"/>
          <w:szCs w:val="24"/>
          <w:highlight w:val="none"/>
        </w:rPr>
        <w:instrText xml:space="preserve"> HYPERLINK \l "_Toc13529" </w:instrText>
      </w:r>
      <w:r>
        <w:rPr>
          <w:rFonts w:ascii="Times New Roman" w:hAnsi="Times New Roman" w:eastAsia="宋体" w:cs="Times New Roman"/>
          <w:b/>
          <w:bCs/>
          <w:color w:val="auto"/>
          <w:sz w:val="24"/>
          <w:szCs w:val="24"/>
          <w:highlight w:val="none"/>
        </w:rPr>
        <w:fldChar w:fldCharType="separate"/>
      </w:r>
      <w:r>
        <w:rPr>
          <w:rFonts w:hint="eastAsia" w:ascii="Times New Roman" w:hAnsi="Times New Roman" w:eastAsia="宋体" w:cs="Times New Roman"/>
          <w:b/>
          <w:bCs/>
          <w:color w:val="auto"/>
          <w:sz w:val="24"/>
          <w:szCs w:val="24"/>
          <w:highlight w:val="none"/>
        </w:rPr>
        <w:t>第三部分</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rPr>
        <w:t>评标办法及评分标准</w:t>
      </w:r>
      <w:r>
        <w:rPr>
          <w:rFonts w:ascii="Times New Roman" w:hAnsi="Times New Roman" w:eastAsia="宋体" w:cs="Times New Roman"/>
          <w:b/>
          <w:bCs/>
          <w:color w:val="auto"/>
          <w:sz w:val="24"/>
          <w:szCs w:val="24"/>
          <w:highlight w:val="none"/>
        </w:rPr>
        <w:tab/>
      </w:r>
      <w:r>
        <w:rPr>
          <w:rFonts w:hint="eastAsia" w:cs="Times New Roman"/>
          <w:b/>
          <w:bCs/>
          <w:color w:val="auto"/>
          <w:sz w:val="24"/>
          <w:szCs w:val="24"/>
          <w:highlight w:val="none"/>
          <w:lang w:val="en-US" w:eastAsia="zh-CN"/>
        </w:rPr>
        <w:t>2</w:t>
      </w:r>
      <w:r>
        <w:rPr>
          <w:rFonts w:ascii="Times New Roman" w:hAnsi="Times New Roman" w:eastAsia="宋体" w:cs="Times New Roman"/>
          <w:b/>
          <w:bCs/>
          <w:color w:val="auto"/>
          <w:sz w:val="24"/>
          <w:szCs w:val="24"/>
          <w:highlight w:val="none"/>
        </w:rPr>
        <w:fldChar w:fldCharType="end"/>
      </w:r>
      <w:r>
        <w:rPr>
          <w:rFonts w:hint="eastAsia" w:cs="Times New Roman"/>
          <w:b/>
          <w:bCs/>
          <w:color w:val="auto"/>
          <w:sz w:val="24"/>
          <w:szCs w:val="24"/>
          <w:highlight w:val="none"/>
          <w:lang w:val="en-US" w:eastAsia="zh-CN"/>
        </w:rPr>
        <w:t>3</w:t>
      </w:r>
    </w:p>
    <w:p w14:paraId="2FCD52B5">
      <w:pPr>
        <w:pStyle w:val="22"/>
        <w:tabs>
          <w:tab w:val="right" w:leader="dot" w:pos="8306"/>
        </w:tabs>
        <w:spacing w:line="360" w:lineRule="auto"/>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fldChar w:fldCharType="begin"/>
      </w:r>
      <w:r>
        <w:rPr>
          <w:rFonts w:ascii="Times New Roman" w:hAnsi="Times New Roman" w:eastAsia="宋体" w:cs="Times New Roman"/>
          <w:b/>
          <w:bCs/>
          <w:color w:val="auto"/>
          <w:sz w:val="24"/>
          <w:szCs w:val="24"/>
          <w:highlight w:val="none"/>
        </w:rPr>
        <w:instrText xml:space="preserve"> HYPERLINK \l "_Toc31927" </w:instrText>
      </w:r>
      <w:r>
        <w:rPr>
          <w:rFonts w:ascii="Times New Roman" w:hAnsi="Times New Roman" w:eastAsia="宋体" w:cs="Times New Roman"/>
          <w:b/>
          <w:bCs/>
          <w:color w:val="auto"/>
          <w:sz w:val="24"/>
          <w:szCs w:val="24"/>
          <w:highlight w:val="none"/>
        </w:rPr>
        <w:fldChar w:fldCharType="separate"/>
      </w:r>
      <w:r>
        <w:rPr>
          <w:rFonts w:hint="eastAsia" w:ascii="Times New Roman" w:hAnsi="Times New Roman" w:eastAsia="宋体" w:cs="Times New Roman"/>
          <w:b/>
          <w:bCs/>
          <w:color w:val="auto"/>
          <w:sz w:val="24"/>
          <w:szCs w:val="24"/>
          <w:highlight w:val="none"/>
        </w:rPr>
        <w:t>第四部分</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rPr>
        <w:t>采购需求</w:t>
      </w:r>
      <w:r>
        <w:rPr>
          <w:rFonts w:ascii="Times New Roman" w:hAnsi="Times New Roman" w:eastAsia="宋体" w:cs="Times New Roman"/>
          <w:b/>
          <w:bCs/>
          <w:color w:val="auto"/>
          <w:sz w:val="24"/>
          <w:szCs w:val="24"/>
          <w:highlight w:val="none"/>
        </w:rPr>
        <w:tab/>
      </w:r>
      <w:r>
        <w:rPr>
          <w:rFonts w:ascii="Times New Roman" w:hAnsi="Times New Roman" w:eastAsia="宋体" w:cs="Times New Roman"/>
          <w:b/>
          <w:bCs/>
          <w:color w:val="auto"/>
          <w:sz w:val="24"/>
          <w:szCs w:val="24"/>
          <w:highlight w:val="none"/>
        </w:rPr>
        <w:fldChar w:fldCharType="begin"/>
      </w:r>
      <w:r>
        <w:rPr>
          <w:rFonts w:ascii="Times New Roman" w:hAnsi="Times New Roman" w:eastAsia="宋体" w:cs="Times New Roman"/>
          <w:b/>
          <w:bCs/>
          <w:color w:val="auto"/>
          <w:sz w:val="24"/>
          <w:szCs w:val="24"/>
          <w:highlight w:val="none"/>
        </w:rPr>
        <w:instrText xml:space="preserve"> PAGEREF _Toc31927 \h </w:instrText>
      </w:r>
      <w:r>
        <w:rPr>
          <w:rFonts w:ascii="Times New Roman" w:hAnsi="Times New Roman" w:eastAsia="宋体" w:cs="Times New Roman"/>
          <w:b/>
          <w:bCs/>
          <w:color w:val="auto"/>
          <w:sz w:val="24"/>
          <w:szCs w:val="24"/>
          <w:highlight w:val="none"/>
        </w:rPr>
        <w:fldChar w:fldCharType="separate"/>
      </w:r>
      <w:r>
        <w:rPr>
          <w:rFonts w:ascii="Times New Roman" w:hAnsi="Times New Roman" w:eastAsia="宋体" w:cs="Times New Roman"/>
          <w:b/>
          <w:bCs/>
          <w:color w:val="auto"/>
          <w:sz w:val="24"/>
          <w:szCs w:val="24"/>
          <w:highlight w:val="none"/>
        </w:rPr>
        <w:t>27</w:t>
      </w:r>
      <w:r>
        <w:rPr>
          <w:rFonts w:ascii="Times New Roman" w:hAnsi="Times New Roman" w:eastAsia="宋体" w:cs="Times New Roman"/>
          <w:b/>
          <w:bCs/>
          <w:color w:val="auto"/>
          <w:sz w:val="24"/>
          <w:szCs w:val="24"/>
          <w:highlight w:val="none"/>
        </w:rPr>
        <w:fldChar w:fldCharType="end"/>
      </w:r>
      <w:r>
        <w:rPr>
          <w:rFonts w:ascii="Times New Roman" w:hAnsi="Times New Roman" w:eastAsia="宋体" w:cs="Times New Roman"/>
          <w:b/>
          <w:bCs/>
          <w:color w:val="auto"/>
          <w:sz w:val="24"/>
          <w:szCs w:val="24"/>
          <w:highlight w:val="none"/>
        </w:rPr>
        <w:fldChar w:fldCharType="end"/>
      </w:r>
    </w:p>
    <w:p w14:paraId="7333DFE3">
      <w:pPr>
        <w:pStyle w:val="22"/>
        <w:tabs>
          <w:tab w:val="right" w:leader="dot" w:pos="8306"/>
        </w:tabs>
        <w:spacing w:line="360" w:lineRule="auto"/>
        <w:rPr>
          <w:rFonts w:hint="eastAsia" w:ascii="Times New Roman" w:hAnsi="Times New Roman" w:eastAsia="宋体" w:cs="Times New Roman"/>
          <w:b/>
          <w:bCs/>
          <w:color w:val="auto"/>
          <w:sz w:val="24"/>
          <w:szCs w:val="24"/>
          <w:highlight w:val="none"/>
          <w:lang w:val="en-US" w:eastAsia="zh-CN"/>
        </w:rPr>
      </w:pPr>
      <w:r>
        <w:rPr>
          <w:rFonts w:ascii="Times New Roman" w:hAnsi="Times New Roman" w:eastAsia="宋体" w:cs="Times New Roman"/>
          <w:b/>
          <w:bCs/>
          <w:color w:val="auto"/>
          <w:sz w:val="24"/>
          <w:szCs w:val="24"/>
          <w:highlight w:val="none"/>
        </w:rPr>
        <w:fldChar w:fldCharType="begin"/>
      </w:r>
      <w:r>
        <w:rPr>
          <w:rFonts w:ascii="Times New Roman" w:hAnsi="Times New Roman" w:eastAsia="宋体" w:cs="Times New Roman"/>
          <w:b/>
          <w:bCs/>
          <w:color w:val="auto"/>
          <w:sz w:val="24"/>
          <w:szCs w:val="24"/>
          <w:highlight w:val="none"/>
        </w:rPr>
        <w:instrText xml:space="preserve"> HYPERLINK \l "_Toc28926" </w:instrText>
      </w:r>
      <w:r>
        <w:rPr>
          <w:rFonts w:ascii="Times New Roman" w:hAnsi="Times New Roman" w:eastAsia="宋体" w:cs="Times New Roman"/>
          <w:b/>
          <w:bCs/>
          <w:color w:val="auto"/>
          <w:sz w:val="24"/>
          <w:szCs w:val="24"/>
          <w:highlight w:val="none"/>
        </w:rPr>
        <w:fldChar w:fldCharType="separate"/>
      </w:r>
      <w:r>
        <w:rPr>
          <w:rFonts w:hint="eastAsia" w:ascii="Times New Roman" w:hAnsi="Times New Roman" w:eastAsia="宋体" w:cs="Times New Roman"/>
          <w:b/>
          <w:bCs/>
          <w:color w:val="auto"/>
          <w:sz w:val="24"/>
          <w:szCs w:val="24"/>
          <w:highlight w:val="none"/>
        </w:rPr>
        <w:t>第五部分 采购合同</w:t>
      </w:r>
      <w:r>
        <w:rPr>
          <w:rFonts w:ascii="Times New Roman" w:hAnsi="Times New Roman" w:eastAsia="宋体" w:cs="Times New Roman"/>
          <w:b/>
          <w:bCs/>
          <w:color w:val="auto"/>
          <w:sz w:val="24"/>
          <w:szCs w:val="24"/>
          <w:highlight w:val="none"/>
        </w:rPr>
        <w:tab/>
      </w:r>
      <w:r>
        <w:rPr>
          <w:rFonts w:hint="eastAsia" w:cs="Times New Roman"/>
          <w:b/>
          <w:bCs/>
          <w:color w:val="auto"/>
          <w:sz w:val="24"/>
          <w:szCs w:val="24"/>
          <w:highlight w:val="none"/>
          <w:lang w:val="en-US" w:eastAsia="zh-CN"/>
        </w:rPr>
        <w:t>3</w:t>
      </w:r>
      <w:r>
        <w:rPr>
          <w:rFonts w:ascii="Times New Roman" w:hAnsi="Times New Roman" w:eastAsia="宋体" w:cs="Times New Roman"/>
          <w:b/>
          <w:bCs/>
          <w:color w:val="auto"/>
          <w:sz w:val="24"/>
          <w:szCs w:val="24"/>
          <w:highlight w:val="none"/>
        </w:rPr>
        <w:fldChar w:fldCharType="end"/>
      </w:r>
      <w:r>
        <w:rPr>
          <w:rFonts w:hint="eastAsia" w:cs="Times New Roman"/>
          <w:b/>
          <w:bCs/>
          <w:color w:val="auto"/>
          <w:sz w:val="24"/>
          <w:szCs w:val="24"/>
          <w:highlight w:val="none"/>
          <w:lang w:val="en-US" w:eastAsia="zh-CN"/>
        </w:rPr>
        <w:t>5</w:t>
      </w:r>
    </w:p>
    <w:p w14:paraId="458D2D0C">
      <w:pPr>
        <w:pStyle w:val="22"/>
        <w:tabs>
          <w:tab w:val="right" w:leader="dot" w:pos="8306"/>
        </w:tabs>
        <w:spacing w:line="360" w:lineRule="auto"/>
        <w:rPr>
          <w:rFonts w:hint="default" w:ascii="Times New Roman" w:hAnsi="Times New Roman" w:eastAsia="宋体" w:cs="Times New Roman"/>
          <w:b/>
          <w:bCs/>
          <w:color w:val="auto"/>
          <w:sz w:val="24"/>
          <w:szCs w:val="24"/>
          <w:highlight w:val="none"/>
          <w:lang w:val="en-US" w:eastAsia="zh-CN"/>
        </w:rPr>
      </w:pPr>
      <w:r>
        <w:rPr>
          <w:rFonts w:ascii="Times New Roman" w:hAnsi="Times New Roman" w:eastAsia="宋体" w:cs="Times New Roman"/>
          <w:b/>
          <w:bCs/>
          <w:color w:val="auto"/>
          <w:sz w:val="24"/>
          <w:szCs w:val="24"/>
          <w:highlight w:val="none"/>
        </w:rPr>
        <w:fldChar w:fldCharType="begin"/>
      </w:r>
      <w:r>
        <w:rPr>
          <w:rFonts w:ascii="Times New Roman" w:hAnsi="Times New Roman" w:eastAsia="宋体" w:cs="Times New Roman"/>
          <w:b/>
          <w:bCs/>
          <w:color w:val="auto"/>
          <w:sz w:val="24"/>
          <w:szCs w:val="24"/>
          <w:highlight w:val="none"/>
        </w:rPr>
        <w:instrText xml:space="preserve"> HYPERLINK \l "_Toc13109" </w:instrText>
      </w:r>
      <w:r>
        <w:rPr>
          <w:rFonts w:ascii="Times New Roman" w:hAnsi="Times New Roman" w:eastAsia="宋体" w:cs="Times New Roman"/>
          <w:b/>
          <w:bCs/>
          <w:color w:val="auto"/>
          <w:sz w:val="24"/>
          <w:szCs w:val="24"/>
          <w:highlight w:val="none"/>
        </w:rPr>
        <w:fldChar w:fldCharType="separate"/>
      </w:r>
      <w:r>
        <w:rPr>
          <w:rFonts w:hint="eastAsia" w:ascii="Times New Roman" w:hAnsi="Times New Roman" w:eastAsia="宋体" w:cs="Times New Roman"/>
          <w:b/>
          <w:bCs/>
          <w:color w:val="auto"/>
          <w:sz w:val="24"/>
          <w:szCs w:val="24"/>
          <w:highlight w:val="none"/>
        </w:rPr>
        <w:t>第六部分 应提交的有关格式范例</w:t>
      </w:r>
      <w:r>
        <w:rPr>
          <w:rFonts w:ascii="Times New Roman" w:hAnsi="Times New Roman" w:eastAsia="宋体" w:cs="Times New Roman"/>
          <w:b/>
          <w:bCs/>
          <w:color w:val="auto"/>
          <w:sz w:val="24"/>
          <w:szCs w:val="24"/>
          <w:highlight w:val="none"/>
        </w:rPr>
        <w:tab/>
      </w:r>
      <w:r>
        <w:rPr>
          <w:rFonts w:ascii="Times New Roman" w:hAnsi="Times New Roman" w:eastAsia="宋体" w:cs="Times New Roman"/>
          <w:b/>
          <w:bCs/>
          <w:color w:val="auto"/>
          <w:sz w:val="24"/>
          <w:szCs w:val="24"/>
          <w:highlight w:val="none"/>
        </w:rPr>
        <w:fldChar w:fldCharType="end"/>
      </w:r>
      <w:r>
        <w:rPr>
          <w:rFonts w:hint="eastAsia" w:cs="Times New Roman"/>
          <w:b/>
          <w:bCs/>
          <w:color w:val="auto"/>
          <w:sz w:val="24"/>
          <w:szCs w:val="24"/>
          <w:highlight w:val="none"/>
          <w:lang w:val="en-US" w:eastAsia="zh-CN"/>
        </w:rPr>
        <w:t>46</w:t>
      </w:r>
    </w:p>
    <w:p w14:paraId="5039D7D8">
      <w:pPr>
        <w:spacing w:line="360" w:lineRule="auto"/>
        <w:ind w:firstLine="549" w:firstLineChars="229"/>
        <w:rPr>
          <w:rFonts w:ascii="宋体" w:hAnsi="宋体" w:cs="宋体"/>
          <w:color w:val="auto"/>
          <w:sz w:val="24"/>
          <w:highlight w:val="none"/>
        </w:rPr>
      </w:pPr>
      <w:r>
        <w:rPr>
          <w:rFonts w:hint="eastAsia" w:ascii="宋体" w:hAnsi="宋体" w:cs="宋体"/>
          <w:snapToGrid w:val="0"/>
          <w:color w:val="auto"/>
          <w:kern w:val="0"/>
          <w:sz w:val="24"/>
          <w:szCs w:val="24"/>
          <w:highlight w:val="none"/>
        </w:rPr>
        <w:fldChar w:fldCharType="end"/>
      </w:r>
    </w:p>
    <w:p w14:paraId="3F9435DA">
      <w:pPr>
        <w:spacing w:line="360" w:lineRule="auto"/>
        <w:ind w:firstLine="549" w:firstLineChars="229"/>
        <w:rPr>
          <w:rFonts w:ascii="宋体" w:hAnsi="宋体" w:cs="宋体"/>
          <w:color w:val="auto"/>
          <w:sz w:val="24"/>
          <w:highlight w:val="none"/>
        </w:rPr>
      </w:pPr>
    </w:p>
    <w:bookmarkEnd w:id="2"/>
    <w:p w14:paraId="010748D1">
      <w:pPr>
        <w:spacing w:line="360" w:lineRule="auto"/>
        <w:rPr>
          <w:rFonts w:ascii="宋体" w:hAnsi="宋体" w:cs="宋体"/>
          <w:color w:val="auto"/>
          <w:sz w:val="24"/>
          <w:highlight w:val="none"/>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p>
    <w:p w14:paraId="0EF60AC1">
      <w:pPr>
        <w:spacing w:line="360" w:lineRule="auto"/>
        <w:jc w:val="center"/>
        <w:outlineLvl w:val="0"/>
        <w:rPr>
          <w:rFonts w:ascii="宋体" w:hAnsi="宋体" w:cs="宋体"/>
          <w:b/>
          <w:color w:val="auto"/>
          <w:sz w:val="36"/>
          <w:szCs w:val="20"/>
          <w:highlight w:val="none"/>
        </w:rPr>
      </w:pPr>
      <w:bookmarkStart w:id="10" w:name="第一部分"/>
      <w:r>
        <w:rPr>
          <w:rFonts w:hint="eastAsia" w:ascii="宋体" w:hAnsi="宋体" w:cs="宋体"/>
          <w:b/>
          <w:color w:val="auto"/>
          <w:sz w:val="36"/>
          <w:szCs w:val="36"/>
          <w:highlight w:val="none"/>
        </w:rPr>
        <w:br w:type="page"/>
      </w:r>
      <w:bookmarkEnd w:id="10"/>
      <w:bookmarkStart w:id="11" w:name="_Toc20075"/>
      <w:r>
        <w:rPr>
          <w:rFonts w:hint="eastAsia" w:ascii="宋体" w:hAnsi="宋体" w:cs="宋体"/>
          <w:b/>
          <w:color w:val="auto"/>
          <w:sz w:val="36"/>
          <w:szCs w:val="20"/>
          <w:highlight w:val="none"/>
        </w:rPr>
        <w:t>第一部分 招标公告</w:t>
      </w:r>
      <w:bookmarkEnd w:id="11"/>
    </w:p>
    <w:p w14:paraId="1ADD47C8">
      <w:pPr>
        <w:adjustRightInd w:val="0"/>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绍兴市上虞区曹娥街道白米堰股份经济合作社曹娥街道白米堰居委人居环境提升物业外包项目（第二次）</w:t>
      </w:r>
      <w:r>
        <w:rPr>
          <w:rFonts w:hint="eastAsia" w:ascii="宋体" w:hAnsi="宋体" w:cs="宋体"/>
          <w:color w:val="auto"/>
          <w:sz w:val="28"/>
          <w:szCs w:val="28"/>
          <w:highlight w:val="none"/>
        </w:rPr>
        <w:t>非政府采购招标公告</w:t>
      </w:r>
    </w:p>
    <w:p w14:paraId="6CEF2515">
      <w:pPr>
        <w:adjustRightInd w:val="0"/>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公告日期：</w:t>
      </w:r>
      <w:r>
        <w:rPr>
          <w:rFonts w:hint="eastAsia" w:ascii="宋体" w:hAnsi="宋体" w:cs="宋体"/>
          <w:color w:val="auto"/>
          <w:sz w:val="28"/>
          <w:szCs w:val="28"/>
          <w:highlight w:val="none"/>
          <w:lang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19</w:t>
      </w:r>
      <w:r>
        <w:rPr>
          <w:rFonts w:hint="eastAsia" w:ascii="宋体" w:hAnsi="宋体" w:cs="宋体"/>
          <w:color w:val="auto"/>
          <w:sz w:val="28"/>
          <w:szCs w:val="28"/>
          <w:highlight w:val="none"/>
        </w:rPr>
        <w:t>日</w:t>
      </w:r>
    </w:p>
    <w:p w14:paraId="739CFD14">
      <w:pPr>
        <w:adjustRightIn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一． 招标项目编号：</w:t>
      </w:r>
      <w:r>
        <w:rPr>
          <w:rFonts w:hint="eastAsia" w:ascii="宋体" w:hAnsi="宋体" w:cs="宋体"/>
          <w:color w:val="auto"/>
          <w:sz w:val="24"/>
          <w:highlight w:val="none"/>
          <w:lang w:eastAsia="zh-CN"/>
        </w:rPr>
        <w:t>YK2025030X</w:t>
      </w:r>
    </w:p>
    <w:p w14:paraId="661F6EC7">
      <w:pPr>
        <w:adjustRightIn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二． 招标项目名称：</w:t>
      </w:r>
      <w:r>
        <w:rPr>
          <w:rFonts w:hint="eastAsia" w:ascii="宋体" w:hAnsi="宋体" w:cs="宋体"/>
          <w:b/>
          <w:bCs/>
          <w:color w:val="auto"/>
          <w:sz w:val="24"/>
          <w:highlight w:val="none"/>
          <w:lang w:eastAsia="zh-CN"/>
        </w:rPr>
        <w:t>曹娥街道白米堰居委人居环境提升物业外包项目（第二次）</w:t>
      </w:r>
    </w:p>
    <w:p w14:paraId="0C658A3C">
      <w:pPr>
        <w:adjustRightIn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 招标项目概况:</w:t>
      </w:r>
    </w:p>
    <w:tbl>
      <w:tblPr>
        <w:tblStyle w:val="32"/>
        <w:tblW w:w="8510"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724"/>
        <w:gridCol w:w="2390"/>
        <w:gridCol w:w="700"/>
        <w:gridCol w:w="714"/>
        <w:gridCol w:w="2173"/>
        <w:gridCol w:w="1809"/>
      </w:tblGrid>
      <w:tr w14:paraId="7FF913DA">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790" w:hRule="atLeast"/>
          <w:jc w:val="center"/>
        </w:trPr>
        <w:tc>
          <w:tcPr>
            <w:tcW w:w="724" w:type="dxa"/>
            <w:vAlign w:val="center"/>
          </w:tcPr>
          <w:p w14:paraId="0DDFE68A">
            <w:pPr>
              <w:adjustRightIn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90" w:type="dxa"/>
            <w:vAlign w:val="center"/>
          </w:tcPr>
          <w:p w14:paraId="1AB69FEF">
            <w:pPr>
              <w:adjustRightInd w:val="0"/>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00" w:type="dxa"/>
            <w:vAlign w:val="center"/>
          </w:tcPr>
          <w:p w14:paraId="149C9B6C">
            <w:pPr>
              <w:adjustRightInd w:val="0"/>
              <w:jc w:val="center"/>
              <w:rPr>
                <w:rFonts w:ascii="宋体" w:hAnsi="宋体" w:cs="宋体"/>
                <w:color w:val="auto"/>
                <w:sz w:val="24"/>
                <w:highlight w:val="none"/>
              </w:rPr>
            </w:pPr>
            <w:r>
              <w:rPr>
                <w:rFonts w:hint="eastAsia" w:ascii="宋体" w:hAnsi="宋体" w:cs="宋体"/>
                <w:color w:val="auto"/>
                <w:sz w:val="24"/>
                <w:highlight w:val="none"/>
              </w:rPr>
              <w:t>数量</w:t>
            </w:r>
          </w:p>
        </w:tc>
        <w:tc>
          <w:tcPr>
            <w:tcW w:w="714" w:type="dxa"/>
            <w:vAlign w:val="center"/>
          </w:tcPr>
          <w:p w14:paraId="492AD5BE">
            <w:pPr>
              <w:adjustRightInd w:val="0"/>
              <w:jc w:val="center"/>
              <w:rPr>
                <w:rFonts w:ascii="宋体" w:hAnsi="宋体" w:cs="宋体"/>
                <w:color w:val="auto"/>
                <w:sz w:val="24"/>
                <w:highlight w:val="none"/>
              </w:rPr>
            </w:pPr>
            <w:r>
              <w:rPr>
                <w:rFonts w:hint="eastAsia" w:ascii="宋体" w:hAnsi="宋体" w:cs="宋体"/>
                <w:color w:val="auto"/>
                <w:sz w:val="24"/>
                <w:highlight w:val="none"/>
              </w:rPr>
              <w:t>单位</w:t>
            </w:r>
          </w:p>
        </w:tc>
        <w:tc>
          <w:tcPr>
            <w:tcW w:w="2173" w:type="dxa"/>
            <w:vAlign w:val="center"/>
          </w:tcPr>
          <w:p w14:paraId="073E6DED">
            <w:pPr>
              <w:adjustRightInd w:val="0"/>
              <w:jc w:val="center"/>
              <w:rPr>
                <w:rFonts w:ascii="宋体" w:hAnsi="宋体" w:cs="宋体"/>
                <w:color w:val="auto"/>
                <w:sz w:val="24"/>
                <w:highlight w:val="none"/>
              </w:rPr>
            </w:pPr>
            <w:r>
              <w:rPr>
                <w:rFonts w:hint="eastAsia" w:ascii="宋体" w:hAnsi="宋体" w:cs="宋体"/>
                <w:color w:val="auto"/>
                <w:sz w:val="24"/>
                <w:highlight w:val="none"/>
              </w:rPr>
              <w:t>标项基本概况介绍</w:t>
            </w:r>
          </w:p>
        </w:tc>
        <w:tc>
          <w:tcPr>
            <w:tcW w:w="1809" w:type="dxa"/>
            <w:vAlign w:val="center"/>
          </w:tcPr>
          <w:p w14:paraId="6C3BB770">
            <w:pPr>
              <w:adjustRightInd w:val="0"/>
              <w:jc w:val="center"/>
              <w:rPr>
                <w:rFonts w:hint="eastAsia" w:ascii="宋体" w:hAnsi="宋体" w:cs="宋体"/>
                <w:color w:val="auto"/>
                <w:sz w:val="24"/>
                <w:highlight w:val="none"/>
              </w:rPr>
            </w:pPr>
            <w:r>
              <w:rPr>
                <w:rFonts w:hint="eastAsia" w:ascii="宋体" w:hAnsi="宋体" w:cs="宋体"/>
                <w:color w:val="auto"/>
                <w:sz w:val="24"/>
                <w:highlight w:val="none"/>
              </w:rPr>
              <w:t>最高限价</w:t>
            </w:r>
          </w:p>
          <w:p w14:paraId="140712A1">
            <w:pPr>
              <w:adjustRightInd w:val="0"/>
              <w:jc w:val="center"/>
              <w:rPr>
                <w:rFonts w:ascii="宋体" w:hAnsi="宋体" w:cs="宋体"/>
                <w:color w:val="auto"/>
                <w:sz w:val="24"/>
                <w:highlight w:val="none"/>
              </w:rPr>
            </w:pPr>
            <w:r>
              <w:rPr>
                <w:rFonts w:hint="eastAsia" w:ascii="宋体" w:hAnsi="宋体" w:cs="宋体"/>
                <w:color w:val="auto"/>
                <w:sz w:val="24"/>
                <w:highlight w:val="none"/>
              </w:rPr>
              <w:t>（万元）</w:t>
            </w:r>
          </w:p>
        </w:tc>
      </w:tr>
      <w:tr w14:paraId="7B08839E">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086" w:hRule="atLeast"/>
          <w:jc w:val="center"/>
        </w:trPr>
        <w:tc>
          <w:tcPr>
            <w:tcW w:w="724" w:type="dxa"/>
            <w:vAlign w:val="center"/>
          </w:tcPr>
          <w:p w14:paraId="1486BE34">
            <w:pPr>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390" w:type="dxa"/>
            <w:vAlign w:val="center"/>
          </w:tcPr>
          <w:p w14:paraId="74484E9E">
            <w:pPr>
              <w:adjustRightIn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曹娥街道白米堰居委人居环境提升物业外包项目（第二次）</w:t>
            </w:r>
          </w:p>
        </w:tc>
        <w:tc>
          <w:tcPr>
            <w:tcW w:w="700" w:type="dxa"/>
            <w:vAlign w:val="center"/>
          </w:tcPr>
          <w:p w14:paraId="3772959B">
            <w:pPr>
              <w:adjustRightIn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714" w:type="dxa"/>
            <w:vAlign w:val="center"/>
          </w:tcPr>
          <w:p w14:paraId="239CDDF5">
            <w:pPr>
              <w:adjustRightInd w:val="0"/>
              <w:jc w:val="center"/>
              <w:rPr>
                <w:rFonts w:ascii="宋体" w:hAnsi="宋体" w:cs="宋体"/>
                <w:color w:val="auto"/>
                <w:sz w:val="24"/>
                <w:highlight w:val="none"/>
              </w:rPr>
            </w:pPr>
            <w:r>
              <w:rPr>
                <w:rFonts w:hint="eastAsia" w:ascii="宋体" w:hAnsi="宋体" w:cs="宋体"/>
                <w:color w:val="auto"/>
                <w:sz w:val="24"/>
                <w:highlight w:val="none"/>
              </w:rPr>
              <w:t>年</w:t>
            </w:r>
          </w:p>
        </w:tc>
        <w:tc>
          <w:tcPr>
            <w:tcW w:w="2173" w:type="dxa"/>
            <w:vAlign w:val="center"/>
          </w:tcPr>
          <w:p w14:paraId="0CD46CA4">
            <w:pPr>
              <w:adjustRightInd w:val="0"/>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整村环境卫生保洁服务</w:t>
            </w:r>
          </w:p>
        </w:tc>
        <w:tc>
          <w:tcPr>
            <w:tcW w:w="1809" w:type="dxa"/>
            <w:vAlign w:val="center"/>
          </w:tcPr>
          <w:p w14:paraId="7B63F60C">
            <w:pPr>
              <w:adjustRightInd w:val="0"/>
              <w:jc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t>54</w:t>
            </w:r>
          </w:p>
        </w:tc>
      </w:tr>
    </w:tbl>
    <w:p w14:paraId="263A4B01">
      <w:pPr>
        <w:adjustRightIn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 投标供应商资格要求:</w:t>
      </w:r>
    </w:p>
    <w:p w14:paraId="190B5E38">
      <w:pPr>
        <w:pStyle w:val="29"/>
        <w:numPr>
          <w:ilvl w:val="0"/>
          <w:numId w:val="3"/>
        </w:numPr>
        <w:tabs>
          <w:tab w:val="left" w:pos="567"/>
        </w:tabs>
        <w:spacing w:before="0" w:beforeAutospacing="0" w:after="0" w:afterAutospacing="0" w:line="360" w:lineRule="auto"/>
        <w:ind w:firstLine="403"/>
        <w:rPr>
          <w:color w:val="auto"/>
          <w:highlight w:val="none"/>
        </w:rPr>
      </w:pPr>
      <w:r>
        <w:rPr>
          <w:rFonts w:hint="eastAsia"/>
          <w:color w:val="auto"/>
          <w:highlight w:val="none"/>
        </w:rPr>
        <w:t>具有独立承担民事责任的能力；</w:t>
      </w:r>
    </w:p>
    <w:p w14:paraId="6F125249">
      <w:pPr>
        <w:pStyle w:val="29"/>
        <w:numPr>
          <w:ilvl w:val="0"/>
          <w:numId w:val="3"/>
        </w:numPr>
        <w:tabs>
          <w:tab w:val="left" w:pos="567"/>
        </w:tabs>
        <w:spacing w:before="0" w:beforeAutospacing="0" w:after="0" w:afterAutospacing="0" w:line="360" w:lineRule="auto"/>
        <w:ind w:firstLine="403"/>
        <w:rPr>
          <w:color w:val="auto"/>
          <w:highlight w:val="none"/>
        </w:rPr>
      </w:pPr>
      <w:r>
        <w:rPr>
          <w:rFonts w:hint="eastAsia"/>
          <w:color w:val="auto"/>
          <w:highlight w:val="none"/>
        </w:rPr>
        <w:t>具有良好的商业信誉和健全的财务会计财务制度；</w:t>
      </w:r>
    </w:p>
    <w:p w14:paraId="23063C0F">
      <w:pPr>
        <w:pStyle w:val="29"/>
        <w:numPr>
          <w:ilvl w:val="0"/>
          <w:numId w:val="3"/>
        </w:numPr>
        <w:tabs>
          <w:tab w:val="left" w:pos="567"/>
        </w:tabs>
        <w:spacing w:before="0" w:beforeAutospacing="0" w:after="0" w:afterAutospacing="0" w:line="360" w:lineRule="auto"/>
        <w:ind w:firstLine="403"/>
        <w:rPr>
          <w:color w:val="auto"/>
          <w:highlight w:val="none"/>
        </w:rPr>
      </w:pPr>
      <w:r>
        <w:rPr>
          <w:rFonts w:hint="eastAsia"/>
          <w:color w:val="auto"/>
          <w:highlight w:val="none"/>
        </w:rPr>
        <w:t>具有履行合同所必需的设备和专业技术、售后保障等能力；</w:t>
      </w:r>
    </w:p>
    <w:p w14:paraId="2170914E">
      <w:pPr>
        <w:pStyle w:val="29"/>
        <w:numPr>
          <w:ilvl w:val="0"/>
          <w:numId w:val="3"/>
        </w:numPr>
        <w:tabs>
          <w:tab w:val="left" w:pos="567"/>
        </w:tabs>
        <w:spacing w:before="0" w:beforeAutospacing="0" w:after="0" w:afterAutospacing="0" w:line="360" w:lineRule="auto"/>
        <w:ind w:firstLine="403"/>
        <w:rPr>
          <w:color w:val="auto"/>
          <w:highlight w:val="none"/>
        </w:rPr>
      </w:pPr>
      <w:r>
        <w:rPr>
          <w:rFonts w:hint="eastAsia"/>
          <w:color w:val="auto"/>
          <w:highlight w:val="none"/>
        </w:rPr>
        <w:t>有依法缴纳税收和社会保障资金的良好记录；</w:t>
      </w:r>
    </w:p>
    <w:p w14:paraId="4EB521EE">
      <w:pPr>
        <w:pStyle w:val="29"/>
        <w:numPr>
          <w:ilvl w:val="0"/>
          <w:numId w:val="3"/>
        </w:numPr>
        <w:tabs>
          <w:tab w:val="left" w:pos="567"/>
        </w:tabs>
        <w:spacing w:before="0" w:beforeAutospacing="0" w:after="0" w:afterAutospacing="0" w:line="360" w:lineRule="auto"/>
        <w:ind w:firstLine="403"/>
        <w:rPr>
          <w:color w:val="auto"/>
          <w:highlight w:val="none"/>
        </w:rPr>
      </w:pPr>
      <w:r>
        <w:rPr>
          <w:rFonts w:hint="eastAsia"/>
          <w:color w:val="auto"/>
          <w:highlight w:val="none"/>
        </w:rPr>
        <w:t>参加采购、招投标等活动前三年内，在经营活动中没有重大违法记录和行贿记录；</w:t>
      </w:r>
    </w:p>
    <w:p w14:paraId="7B159C13">
      <w:pPr>
        <w:pStyle w:val="29"/>
        <w:numPr>
          <w:ilvl w:val="0"/>
          <w:numId w:val="3"/>
        </w:numPr>
        <w:tabs>
          <w:tab w:val="left" w:pos="567"/>
        </w:tabs>
        <w:spacing w:before="0" w:beforeAutospacing="0" w:after="0" w:afterAutospacing="0" w:line="360" w:lineRule="auto"/>
        <w:ind w:firstLine="403"/>
        <w:rPr>
          <w:color w:val="auto"/>
          <w:highlight w:val="none"/>
        </w:rPr>
      </w:pPr>
      <w:r>
        <w:rPr>
          <w:rFonts w:hint="eastAsia"/>
          <w:color w:val="auto"/>
          <w:highlight w:val="none"/>
        </w:rPr>
        <w:t>本次招标不接受联合体投标；</w:t>
      </w:r>
    </w:p>
    <w:p w14:paraId="083C3135">
      <w:pPr>
        <w:pStyle w:val="29"/>
        <w:numPr>
          <w:ilvl w:val="0"/>
          <w:numId w:val="3"/>
        </w:numPr>
        <w:tabs>
          <w:tab w:val="left" w:pos="567"/>
        </w:tabs>
        <w:spacing w:before="0" w:beforeAutospacing="0" w:after="0" w:afterAutospacing="0" w:line="360" w:lineRule="auto"/>
        <w:ind w:firstLine="403"/>
        <w:rPr>
          <w:color w:val="auto"/>
          <w:highlight w:val="none"/>
        </w:rPr>
      </w:pPr>
      <w:r>
        <w:rPr>
          <w:rFonts w:hint="eastAsia"/>
          <w:color w:val="auto"/>
          <w:highlight w:val="none"/>
        </w:rPr>
        <w:t>本次招标采用资格后审的审查方式，由采购人负责审查。</w:t>
      </w:r>
    </w:p>
    <w:p w14:paraId="48910477">
      <w:pPr>
        <w:adjustRightIn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五．投标获取采购文件</w:t>
      </w:r>
    </w:p>
    <w:p w14:paraId="3B260631">
      <w:pPr>
        <w:numPr>
          <w:ilvl w:val="0"/>
          <w:numId w:val="4"/>
        </w:numPr>
        <w:adjustRightInd w:val="0"/>
        <w:spacing w:line="360" w:lineRule="auto"/>
        <w:ind w:firstLine="480" w:firstLineChars="200"/>
        <w:rPr>
          <w:rFonts w:ascii="宋体" w:hAnsi="宋体" w:cs="宋体"/>
          <w:color w:val="auto"/>
          <w:sz w:val="24"/>
          <w:highlight w:val="none"/>
        </w:rPr>
      </w:pPr>
      <w:bookmarkStart w:id="12" w:name="报名开始时间1"/>
      <w:r>
        <w:rPr>
          <w:rFonts w:hint="eastAsia" w:ascii="宋体" w:hAnsi="宋体" w:cs="宋体"/>
          <w:color w:val="auto"/>
          <w:sz w:val="24"/>
          <w:highlight w:val="none"/>
        </w:rPr>
        <w:t>获取采购文件时间:</w:t>
      </w:r>
      <w:bookmarkEnd w:id="12"/>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:30之前获取。</w:t>
      </w:r>
    </w:p>
    <w:p w14:paraId="0FC75643">
      <w:pPr>
        <w:numPr>
          <w:ilvl w:val="0"/>
          <w:numId w:val="4"/>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获取采购文件方式：供应商登陆乐采云平台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，在线申请获取采购文件（进入“项目采购”应用，在获取采购文件菜单中选择项目，申请获取采购文件）。</w:t>
      </w:r>
    </w:p>
    <w:p w14:paraId="1FF47BB9">
      <w:pPr>
        <w:numPr>
          <w:ilvl w:val="0"/>
          <w:numId w:val="4"/>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提示：</w:t>
      </w:r>
    </w:p>
    <w:p w14:paraId="3D2DDAD2">
      <w:pPr>
        <w:numPr>
          <w:ilvl w:val="0"/>
          <w:numId w:val="5"/>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将拒绝接受未获取采购文件供应商的投标文件。</w:t>
      </w:r>
    </w:p>
    <w:p w14:paraId="731D4AE5">
      <w:pPr>
        <w:numPr>
          <w:ilvl w:val="0"/>
          <w:numId w:val="5"/>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招标文件及更正补充公告请自行登录浙江政府采购网或上虞产权交易网，在采购公告页面中下载。</w:t>
      </w:r>
    </w:p>
    <w:p w14:paraId="7A8E5C6D">
      <w:pPr>
        <w:adjustRightIn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六、投标与开标注意事项：</w:t>
      </w:r>
    </w:p>
    <w:p w14:paraId="1649793D">
      <w:pPr>
        <w:numPr>
          <w:ilvl w:val="0"/>
          <w:numId w:val="6"/>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网上投标</w:t>
      </w:r>
      <w:r>
        <w:rPr>
          <w:rFonts w:hint="eastAsia" w:ascii="宋体" w:hAnsi="宋体" w:cs="宋体"/>
          <w:color w:val="auto"/>
          <w:sz w:val="24"/>
          <w:highlight w:val="none"/>
        </w:rPr>
        <w:t>，采用电子投标文件，若供应商参与投标，自行承担投标一切费用。</w:t>
      </w:r>
    </w:p>
    <w:p w14:paraId="34501452">
      <w:pPr>
        <w:numPr>
          <w:ilvl w:val="0"/>
          <w:numId w:val="6"/>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5D2988CA">
      <w:pPr>
        <w:autoSpaceDE w:val="0"/>
        <w:autoSpaceDN w:val="0"/>
        <w:spacing w:line="360" w:lineRule="auto"/>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供应商将乐采云电子交易客户端下载、安装完成后，可通过账号密码或CA登录客户端进行投标文件制作。在使用乐采云投标客户端时，建议使用WIN7及以上操作系统。</w:t>
      </w:r>
    </w:p>
    <w:p w14:paraId="0744E371">
      <w:pPr>
        <w:autoSpaceDE w:val="0"/>
        <w:autoSpaceDN w:val="0"/>
        <w:spacing w:line="360" w:lineRule="auto"/>
        <w:ind w:firstLine="480" w:firstLineChars="200"/>
        <w:textAlignment w:val="bottom"/>
        <w:rPr>
          <w:rFonts w:ascii="宋体" w:hAnsi="宋体" w:cs="宋体"/>
          <w:color w:val="auto"/>
          <w:sz w:val="24"/>
          <w:szCs w:val="21"/>
          <w:highlight w:val="none"/>
        </w:rPr>
      </w:pPr>
      <w:r>
        <w:rPr>
          <w:rFonts w:hint="eastAsia" w:ascii="宋体" w:hAnsi="宋体" w:cs="宋体"/>
          <w:color w:val="auto"/>
          <w:sz w:val="24"/>
          <w:szCs w:val="21"/>
          <w:highlight w:val="none"/>
        </w:rPr>
        <w:t>注：供应商先要申领CA，取得CA后需要在乐采云平台进行绑定，CA相关操作可参考《CA管理学习专题》。完成CA数字证书办理在资料齐全的情况下预计7个工作日左右，建议供应商获取招标文件后立即办理。</w:t>
      </w:r>
    </w:p>
    <w:p w14:paraId="3229A674">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《CA管理学习专题》：</w:t>
      </w:r>
    </w:p>
    <w:p w14:paraId="78C0C39C">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https://edu.zcygov.cn/luban/ca?utm=web-government-front.380aac0a.0.0.fc2b6aa0b6e211ebbdb0dd007730dd44</w:t>
      </w:r>
    </w:p>
    <w:p w14:paraId="26D8D327">
      <w:pPr>
        <w:adjustRightInd w:val="0"/>
        <w:spacing w:line="360" w:lineRule="auto"/>
        <w:ind w:left="420" w:leftChars="200"/>
        <w:rPr>
          <w:rFonts w:ascii="宋体" w:hAnsi="宋体" w:cs="宋体"/>
          <w:color w:val="auto"/>
          <w:sz w:val="24"/>
          <w:szCs w:val="21"/>
          <w:highlight w:val="none"/>
        </w:rPr>
      </w:pPr>
      <w:r>
        <w:rPr>
          <w:rFonts w:hint="eastAsia" w:ascii="宋体" w:hAnsi="宋体" w:cs="宋体"/>
          <w:color w:val="auto"/>
          <w:sz w:val="24"/>
          <w:szCs w:val="21"/>
          <w:highlight w:val="none"/>
        </w:rPr>
        <w:t>《CA驱动和申领流程》:</w:t>
      </w:r>
    </w:p>
    <w:p w14:paraId="099127E0">
      <w:pPr>
        <w:adjustRightInd w:val="0"/>
        <w:spacing w:line="360" w:lineRule="auto"/>
        <w:ind w:left="420" w:left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szCs w:val="21"/>
          <w:highlight w:val="none"/>
        </w:rPr>
        <w:t>http://zfcg.czt.zj.gov.cn/bidClientTemplate/2019-05-27/12945.html</w:t>
      </w:r>
      <w:r>
        <w:rPr>
          <w:rFonts w:hint="eastAsia" w:ascii="宋体" w:hAnsi="宋体" w:cs="宋体"/>
          <w:color w:val="auto"/>
          <w:sz w:val="24"/>
          <w:szCs w:val="21"/>
          <w:highlight w:val="none"/>
        </w:rPr>
        <w:fldChar w:fldCharType="end"/>
      </w:r>
    </w:p>
    <w:p w14:paraId="1378458E">
      <w:pPr>
        <w:numPr>
          <w:ilvl w:val="0"/>
          <w:numId w:val="6"/>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投标文件制作：</w:t>
      </w:r>
    </w:p>
    <w:p w14:paraId="5F3127B7">
      <w:pPr>
        <w:numPr>
          <w:ilvl w:val="0"/>
          <w:numId w:val="7"/>
        </w:num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应按照本项目招标文件和乐采云平台的要求编制、加密并递交投标文件。供应商在使用系统进行投标的过程中遇到涉及平台使用的任何问题，可致电乐采云平台技术支持热线咨询，联系方式：</w:t>
      </w:r>
      <w:r>
        <w:rPr>
          <w:rFonts w:hint="eastAsia" w:ascii="宋体" w:hAnsi="宋体" w:cs="宋体"/>
          <w:color w:val="auto"/>
          <w:sz w:val="24"/>
          <w:szCs w:val="24"/>
          <w:highlight w:val="none"/>
          <w:lang w:val="en-US" w:eastAsia="zh-CN"/>
        </w:rPr>
        <w:t>95763</w:t>
      </w:r>
      <w:r>
        <w:rPr>
          <w:rFonts w:hint="eastAsia" w:ascii="宋体" w:hAnsi="宋体" w:cs="宋体"/>
          <w:color w:val="auto"/>
          <w:sz w:val="24"/>
          <w:highlight w:val="none"/>
        </w:rPr>
        <w:t>。</w:t>
      </w:r>
    </w:p>
    <w:p w14:paraId="445518CD">
      <w:pPr>
        <w:numPr>
          <w:ilvl w:val="0"/>
          <w:numId w:val="7"/>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投标人通过“乐采云”平台电子投标工具制作投标文件。</w:t>
      </w:r>
    </w:p>
    <w:p w14:paraId="2BA43904">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《电子投标工具》：</w:t>
      </w:r>
    </w:p>
    <w:p w14:paraId="2818A966">
      <w:pPr>
        <w:adjustRightInd w:val="0"/>
        <w:spacing w:line="360" w:lineRule="auto"/>
        <w:ind w:firstLine="420" w:firstLineChars="200"/>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highlight w:val="none"/>
        </w:rPr>
        <w:t>http://zfcg.czt.zj.gov.cn/bidClientTemplate/2019-09-24/12975.html</w:t>
      </w:r>
      <w:r>
        <w:rPr>
          <w:rFonts w:hint="eastAsia" w:ascii="宋体" w:hAnsi="宋体" w:cs="宋体"/>
          <w:color w:val="auto"/>
          <w:sz w:val="24"/>
          <w:highlight w:val="none"/>
        </w:rPr>
        <w:fldChar w:fldCharType="end"/>
      </w:r>
    </w:p>
    <w:p w14:paraId="6AD9086E">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《供应商-政府采购项目电子交易操作指南》：(需登录账号后查看)</w:t>
      </w:r>
    </w:p>
    <w:p w14:paraId="357DA5E6">
      <w:pPr>
        <w:adjustRightInd w:val="0"/>
        <w:spacing w:line="360" w:lineRule="auto"/>
        <w:ind w:firstLine="420" w:firstLineChars="200"/>
        <w:jc w:val="left"/>
        <w:rPr>
          <w:rFonts w:ascii="宋体" w:hAnsi="宋体" w:cs="宋体"/>
          <w:color w:val="auto"/>
          <w:sz w:val="24"/>
          <w:highlight w:val="none"/>
        </w:rPr>
      </w:pPr>
      <w:r>
        <w:rPr>
          <w:color w:val="auto"/>
          <w:highlight w:val="none"/>
        </w:rPr>
        <w:fldChar w:fldCharType="begin"/>
      </w:r>
      <w:r>
        <w:rPr>
          <w:color w:val="auto"/>
          <w:highlight w:val="none"/>
        </w:rPr>
        <w:instrText xml:space="preserve"> HYPERLINK "https://service.zcygov.cn/#/knowledges/tree?tag=AG1DtGwBFdiHxlNdhY0r" </w:instrText>
      </w:r>
      <w:r>
        <w:rPr>
          <w:color w:val="auto"/>
          <w:highlight w:val="none"/>
        </w:rPr>
        <w:fldChar w:fldCharType="separate"/>
      </w:r>
      <w:r>
        <w:rPr>
          <w:rFonts w:hint="eastAsia" w:ascii="宋体" w:hAnsi="宋体" w:cs="宋体"/>
          <w:color w:val="auto"/>
          <w:sz w:val="24"/>
          <w:highlight w:val="none"/>
        </w:rPr>
        <w:t>https://service.zcygov.cn/#/knowledges/tree?tag=AG1DtGwBFdiHxlNdhY0r</w:t>
      </w:r>
      <w:r>
        <w:rPr>
          <w:rFonts w:hint="eastAsia" w:ascii="宋体" w:hAnsi="宋体" w:cs="宋体"/>
          <w:color w:val="auto"/>
          <w:sz w:val="24"/>
          <w:highlight w:val="none"/>
        </w:rPr>
        <w:fldChar w:fldCharType="end"/>
      </w:r>
    </w:p>
    <w:p w14:paraId="7084D5C4">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4.供应商在法定质疑期内应一次性提出针对同一采购程序环节的质疑。</w:t>
      </w:r>
      <w:bookmarkStart w:id="13" w:name="B31_其他事项"/>
    </w:p>
    <w:bookmarkEnd w:id="13"/>
    <w:p w14:paraId="4F256FDE">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5.投标人可指派授权代表递交备份文件，授权代表递交备份文件需携带法定代表人授权书原件，于投标截止时间前到达开标地点递交。</w:t>
      </w:r>
    </w:p>
    <w:p w14:paraId="012DE447">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6.特别提醒</w:t>
      </w:r>
    </w:p>
    <w:p w14:paraId="41542420">
      <w:pPr>
        <w:numPr>
          <w:ilvl w:val="0"/>
          <w:numId w:val="8"/>
        </w:numPr>
        <w:wordWrap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单位负责人为同一人或者存在直接控股、管理关系的不同供应商，不得参加同一合同项下的村级采购活动。</w:t>
      </w:r>
    </w:p>
    <w:p w14:paraId="62DD95D3">
      <w:pPr>
        <w:numPr>
          <w:ilvl w:val="0"/>
          <w:numId w:val="8"/>
        </w:numPr>
        <w:wordWrap w:val="0"/>
        <w:adjustRightIn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除单一来源采购项目外，为采购项目提供整体设计、规范编制或者项目管理、监理、检测等服务的供应商，不得再参加该采购项目的其他采购活动。</w:t>
      </w:r>
    </w:p>
    <w:p w14:paraId="2E61A675">
      <w:pPr>
        <w:adjustRightIn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七、投标截止时间及要求：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分整</w:t>
      </w:r>
      <w:r>
        <w:rPr>
          <w:rFonts w:hint="eastAsia" w:ascii="宋体" w:hAnsi="宋体" w:cs="宋体"/>
          <w:bCs/>
          <w:color w:val="auto"/>
          <w:kern w:val="0"/>
          <w:sz w:val="24"/>
          <w:highlight w:val="none"/>
        </w:rPr>
        <w:t>之前将电子投标文件上传到“乐采云”平台。</w:t>
      </w:r>
    </w:p>
    <w:p w14:paraId="4DBD3702">
      <w:pPr>
        <w:adjustRightInd w:val="0"/>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八、开标时间及地点：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w:t>
      </w:r>
      <w:bookmarkStart w:id="14" w:name="B30_开标地点"/>
      <w:r>
        <w:rPr>
          <w:rFonts w:hint="eastAsia" w:ascii="宋体" w:hAnsi="宋体" w:cs="宋体"/>
          <w:color w:val="auto"/>
          <w:sz w:val="24"/>
          <w:highlight w:val="none"/>
        </w:rPr>
        <w:t>整在</w:t>
      </w:r>
      <w:bookmarkStart w:id="503" w:name="_GoBack"/>
      <w:bookmarkEnd w:id="503"/>
      <w:r>
        <w:rPr>
          <w:rFonts w:hint="eastAsia" w:ascii="宋体" w:hAnsi="宋体" w:cs="宋体"/>
          <w:color w:val="auto"/>
          <w:sz w:val="24"/>
          <w:highlight w:val="none"/>
        </w:rPr>
        <w:t>绍兴市上虞区产权交易有限责任公司二楼开标室。</w:t>
      </w:r>
      <w:bookmarkEnd w:id="14"/>
    </w:p>
    <w:p w14:paraId="2F3235D0">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开标时间后30分钟内供应商可以登录“乐采云”平台，用“项目采购-开标评标”功能进行解密投标文件。若供应商在规定时间内解密失败，则由采购代理机构工作人员上传投标人提供的备份文件。备份文件</w:t>
      </w:r>
      <w:r>
        <w:rPr>
          <w:rFonts w:hint="eastAsia" w:hAnsi="宋体" w:cs="宋体"/>
          <w:color w:val="auto"/>
          <w:sz w:val="24"/>
          <w:highlight w:val="none"/>
        </w:rPr>
        <w:t>（后缀名为</w:t>
      </w:r>
      <w:r>
        <w:rPr>
          <w:rFonts w:hint="eastAsia" w:ascii="宋体" w:hAnsi="宋体" w:cs="宋体"/>
          <w:color w:val="auto"/>
          <w:sz w:val="24"/>
          <w:highlight w:val="none"/>
        </w:rPr>
        <w:t>.bfbs</w:t>
      </w:r>
      <w:r>
        <w:rPr>
          <w:rFonts w:hint="eastAsia" w:hAnsi="宋体" w:cs="宋体"/>
          <w:color w:val="auto"/>
          <w:sz w:val="24"/>
          <w:highlight w:val="none"/>
        </w:rPr>
        <w:t>）</w:t>
      </w:r>
      <w:r>
        <w:rPr>
          <w:rFonts w:hint="eastAsia" w:ascii="宋体" w:hAnsi="宋体" w:cs="宋体"/>
          <w:color w:val="auto"/>
          <w:sz w:val="24"/>
          <w:highlight w:val="none"/>
        </w:rPr>
        <w:t>须存储在U盘中，与上传的电子投标文件一致，用信封进行密封并盖章</w:t>
      </w:r>
      <w:r>
        <w:rPr>
          <w:rFonts w:hint="eastAsia" w:hAnsi="宋体" w:cs="宋体"/>
          <w:color w:val="auto"/>
          <w:sz w:val="24"/>
          <w:highlight w:val="none"/>
        </w:rPr>
        <w:t>，由授权代表在投标截止时间前递交至开标地点。</w:t>
      </w:r>
      <w:r>
        <w:rPr>
          <w:rFonts w:hint="eastAsia" w:ascii="宋体" w:hAnsi="宋体" w:cs="宋体"/>
          <w:color w:val="auto"/>
          <w:sz w:val="24"/>
          <w:highlight w:val="none"/>
        </w:rPr>
        <w:t>若电子投标文件正常解锁，则U盘退还给供应商；若解锁失败，则由采购代理机构将U盘中的备份文件上传，该U盘将由采购代理机构保存。</w:t>
      </w:r>
    </w:p>
    <w:p w14:paraId="354BFA40">
      <w:pPr>
        <w:adjustRightIn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本次开标（不）提供现场视频。</w:t>
      </w:r>
    </w:p>
    <w:p w14:paraId="02E9963D">
      <w:pPr>
        <w:adjustRightInd w:val="0"/>
        <w:spacing w:line="360" w:lineRule="auto"/>
        <w:ind w:firstLine="482" w:firstLineChars="200"/>
        <w:rPr>
          <w:rFonts w:hint="default" w:eastAsia="宋体"/>
          <w:color w:val="auto"/>
          <w:highlight w:val="none"/>
          <w:lang w:val="en-US" w:eastAsia="zh-CN"/>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投标保证金：</w:t>
      </w:r>
      <w:r>
        <w:rPr>
          <w:rFonts w:hint="eastAsia" w:ascii="宋体" w:hAnsi="宋体" w:cs="宋体"/>
          <w:color w:val="auto"/>
          <w:sz w:val="24"/>
          <w:szCs w:val="24"/>
          <w:highlight w:val="none"/>
          <w:lang w:val="en-US" w:eastAsia="zh-CN"/>
        </w:rPr>
        <w:t>本项目不设置投标保证金。</w:t>
      </w:r>
    </w:p>
    <w:p w14:paraId="67B23AD0">
      <w:pPr>
        <w:adjustRightIn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十．公告期限：</w:t>
      </w:r>
      <w:r>
        <w:rPr>
          <w:rFonts w:hint="eastAsia" w:ascii="宋体" w:hAnsi="宋体" w:cs="宋体"/>
          <w:color w:val="auto"/>
          <w:sz w:val="24"/>
          <w:highlight w:val="none"/>
        </w:rPr>
        <w:t>5个工作日</w:t>
      </w:r>
    </w:p>
    <w:p w14:paraId="22EC8639">
      <w:pPr>
        <w:adjustRightIn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十一．联系方式：</w:t>
      </w:r>
    </w:p>
    <w:p w14:paraId="187C9BB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1、采购代理机构名称：浙江宇康工程管理咨询有限公司</w:t>
      </w:r>
    </w:p>
    <w:p w14:paraId="3F1C196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胡女士</w:t>
      </w:r>
    </w:p>
    <w:p w14:paraId="2F09458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17857050331</w:t>
      </w:r>
    </w:p>
    <w:p w14:paraId="0BADBC2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地址：浙江省绍兴市上虞区百官街道江东北路588号百官广场30楼</w:t>
      </w:r>
    </w:p>
    <w:p w14:paraId="3AF322F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2、采购人名称：</w:t>
      </w:r>
      <w:r>
        <w:rPr>
          <w:rFonts w:hint="eastAsia" w:ascii="宋体" w:hAnsi="宋体" w:cs="宋体"/>
          <w:color w:val="auto"/>
          <w:sz w:val="24"/>
          <w:highlight w:val="none"/>
          <w:lang w:eastAsia="zh-CN"/>
        </w:rPr>
        <w:t>绍兴市上虞区曹娥街道白米堰股份经济合作社</w:t>
      </w:r>
      <w:r>
        <w:rPr>
          <w:rFonts w:hint="eastAsia" w:ascii="宋体" w:hAnsi="宋体" w:cs="宋体"/>
          <w:color w:val="auto"/>
          <w:sz w:val="24"/>
          <w:highlight w:val="none"/>
        </w:rPr>
        <w:t xml:space="preserve">  </w:t>
      </w:r>
    </w:p>
    <w:p w14:paraId="1D665A5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彭</w:t>
      </w:r>
      <w:r>
        <w:rPr>
          <w:rFonts w:hint="eastAsia" w:ascii="宋体" w:hAnsi="宋体" w:cs="宋体"/>
          <w:color w:val="auto"/>
          <w:sz w:val="24"/>
          <w:highlight w:val="none"/>
        </w:rPr>
        <w:t xml:space="preserve">先生       </w:t>
      </w:r>
    </w:p>
    <w:p w14:paraId="6ADDB26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联系方式：13858532162</w:t>
      </w:r>
    </w:p>
    <w:p w14:paraId="6CA68FA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15" w:name="_Toc1242"/>
      <w:r>
        <w:rPr>
          <w:rFonts w:hint="eastAsia" w:ascii="宋体" w:hAnsi="宋体" w:cs="宋体"/>
          <w:b/>
          <w:color w:val="auto"/>
          <w:sz w:val="36"/>
          <w:szCs w:val="20"/>
          <w:highlight w:val="none"/>
        </w:rPr>
        <w:t>第二部分</w:t>
      </w:r>
      <w:bookmarkEnd w:id="7"/>
      <w:bookmarkEnd w:id="8"/>
      <w:r>
        <w:rPr>
          <w:rFonts w:hint="eastAsia" w:ascii="宋体" w:hAnsi="宋体" w:cs="宋体"/>
          <w:b/>
          <w:color w:val="auto"/>
          <w:sz w:val="36"/>
          <w:szCs w:val="20"/>
          <w:highlight w:val="none"/>
        </w:rPr>
        <w:t xml:space="preserve"> 投标须知</w:t>
      </w:r>
      <w:bookmarkEnd w:id="15"/>
    </w:p>
    <w:p w14:paraId="244C280C">
      <w:pPr>
        <w:widowControl/>
        <w:adjustRightInd w:val="0"/>
        <w:snapToGrid w:val="0"/>
        <w:spacing w:line="360" w:lineRule="auto"/>
        <w:jc w:val="center"/>
        <w:rPr>
          <w:rFonts w:ascii="宋体" w:hAnsi="宋体" w:cs="宋体"/>
          <w:b/>
          <w:snapToGrid w:val="0"/>
          <w:color w:val="auto"/>
          <w:kern w:val="0"/>
          <w:sz w:val="32"/>
          <w:szCs w:val="32"/>
          <w:highlight w:val="none"/>
        </w:rPr>
      </w:pPr>
      <w:r>
        <w:rPr>
          <w:rFonts w:hint="eastAsia" w:ascii="宋体" w:hAnsi="宋体" w:cs="宋体"/>
          <w:b/>
          <w:snapToGrid w:val="0"/>
          <w:color w:val="auto"/>
          <w:kern w:val="0"/>
          <w:sz w:val="30"/>
          <w:szCs w:val="30"/>
          <w:highlight w:val="none"/>
        </w:rPr>
        <w:t>前附表</w:t>
      </w:r>
    </w:p>
    <w:tbl>
      <w:tblPr>
        <w:tblStyle w:val="32"/>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7B06E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vAlign w:val="center"/>
          </w:tcPr>
          <w:p w14:paraId="22D1262A">
            <w:pPr>
              <w:snapToGrid w:val="0"/>
              <w:spacing w:line="360" w:lineRule="exact"/>
              <w:jc w:val="center"/>
              <w:rPr>
                <w:rFonts w:ascii="宋体" w:hAnsi="宋体" w:cs="宋体"/>
                <w:b/>
                <w:bCs/>
                <w:snapToGrid w:val="0"/>
                <w:color w:val="auto"/>
                <w:kern w:val="0"/>
                <w:sz w:val="21"/>
                <w:szCs w:val="21"/>
                <w:highlight w:val="none"/>
              </w:rPr>
            </w:pPr>
            <w:r>
              <w:rPr>
                <w:rFonts w:hint="eastAsia" w:ascii="宋体" w:hAnsi="宋体" w:cs="宋体"/>
                <w:b/>
                <w:bCs/>
                <w:snapToGrid w:val="0"/>
                <w:color w:val="auto"/>
                <w:kern w:val="0"/>
                <w:sz w:val="21"/>
                <w:szCs w:val="21"/>
                <w:highlight w:val="none"/>
              </w:rPr>
              <w:t>序号</w:t>
            </w:r>
          </w:p>
        </w:tc>
        <w:tc>
          <w:tcPr>
            <w:tcW w:w="1800" w:type="dxa"/>
            <w:vAlign w:val="center"/>
          </w:tcPr>
          <w:p w14:paraId="6AF13654">
            <w:pPr>
              <w:snapToGrid w:val="0"/>
              <w:spacing w:line="360" w:lineRule="exact"/>
              <w:jc w:val="center"/>
              <w:rPr>
                <w:rFonts w:ascii="宋体" w:hAnsi="宋体" w:cs="宋体"/>
                <w:b/>
                <w:bCs/>
                <w:snapToGrid w:val="0"/>
                <w:color w:val="auto"/>
                <w:kern w:val="0"/>
                <w:sz w:val="21"/>
                <w:szCs w:val="21"/>
                <w:highlight w:val="none"/>
              </w:rPr>
            </w:pPr>
            <w:r>
              <w:rPr>
                <w:rFonts w:hint="eastAsia" w:ascii="宋体" w:hAnsi="宋体" w:cs="宋体"/>
                <w:b/>
                <w:bCs/>
                <w:snapToGrid w:val="0"/>
                <w:color w:val="auto"/>
                <w:kern w:val="0"/>
                <w:sz w:val="21"/>
                <w:szCs w:val="21"/>
                <w:highlight w:val="none"/>
              </w:rPr>
              <w:t>项目</w:t>
            </w:r>
          </w:p>
        </w:tc>
        <w:tc>
          <w:tcPr>
            <w:tcW w:w="6682" w:type="dxa"/>
            <w:vAlign w:val="center"/>
          </w:tcPr>
          <w:p w14:paraId="30A1758D">
            <w:pPr>
              <w:snapToGrid w:val="0"/>
              <w:spacing w:line="360" w:lineRule="exact"/>
              <w:jc w:val="center"/>
              <w:rPr>
                <w:rFonts w:ascii="宋体" w:hAnsi="宋体" w:cs="宋体"/>
                <w:b/>
                <w:bCs/>
                <w:snapToGrid w:val="0"/>
                <w:color w:val="auto"/>
                <w:kern w:val="0"/>
                <w:sz w:val="21"/>
                <w:szCs w:val="21"/>
                <w:highlight w:val="none"/>
              </w:rPr>
            </w:pPr>
            <w:r>
              <w:rPr>
                <w:rFonts w:hint="eastAsia" w:ascii="宋体" w:hAnsi="宋体" w:cs="宋体"/>
                <w:b/>
                <w:bCs/>
                <w:snapToGrid w:val="0"/>
                <w:color w:val="auto"/>
                <w:kern w:val="0"/>
                <w:sz w:val="21"/>
                <w:szCs w:val="21"/>
                <w:highlight w:val="none"/>
              </w:rPr>
              <w:t>内容</w:t>
            </w:r>
          </w:p>
        </w:tc>
      </w:tr>
      <w:tr w14:paraId="4828E0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CBE770E">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w:t>
            </w:r>
          </w:p>
        </w:tc>
        <w:tc>
          <w:tcPr>
            <w:tcW w:w="1800" w:type="dxa"/>
            <w:vAlign w:val="center"/>
          </w:tcPr>
          <w:p w14:paraId="36E44833">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项目名称</w:t>
            </w:r>
          </w:p>
        </w:tc>
        <w:tc>
          <w:tcPr>
            <w:tcW w:w="6682" w:type="dxa"/>
            <w:vAlign w:val="center"/>
          </w:tcPr>
          <w:p w14:paraId="23D1A555">
            <w:pPr>
              <w:snapToGrid w:val="0"/>
              <w:spacing w:line="360" w:lineRule="exact"/>
              <w:ind w:firstLine="420" w:firstLineChars="200"/>
              <w:rPr>
                <w:rFonts w:hint="eastAsia" w:ascii="宋体" w:hAnsi="宋体" w:eastAsia="宋体" w:cs="宋体"/>
                <w:snapToGrid w:val="0"/>
                <w:color w:val="auto"/>
                <w:kern w:val="0"/>
                <w:sz w:val="21"/>
                <w:szCs w:val="21"/>
                <w:highlight w:val="none"/>
                <w:lang w:eastAsia="zh-CN"/>
              </w:rPr>
            </w:pPr>
            <w:r>
              <w:rPr>
                <w:rFonts w:hint="eastAsia" w:ascii="宋体" w:hAnsi="宋体" w:cs="宋体"/>
                <w:snapToGrid w:val="0"/>
                <w:color w:val="auto"/>
                <w:kern w:val="0"/>
                <w:sz w:val="21"/>
                <w:szCs w:val="21"/>
                <w:highlight w:val="none"/>
                <w:lang w:eastAsia="zh-CN"/>
              </w:rPr>
              <w:t>曹娥街道白米堰居委人居环境提升物业外包项目（第二次）</w:t>
            </w:r>
          </w:p>
        </w:tc>
      </w:tr>
      <w:tr w14:paraId="368FF0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F512241">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2</w:t>
            </w:r>
          </w:p>
        </w:tc>
        <w:tc>
          <w:tcPr>
            <w:tcW w:w="1800" w:type="dxa"/>
            <w:vAlign w:val="center"/>
          </w:tcPr>
          <w:p w14:paraId="78A42E29">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项目实施时间</w:t>
            </w:r>
          </w:p>
        </w:tc>
        <w:tc>
          <w:tcPr>
            <w:tcW w:w="6682" w:type="dxa"/>
            <w:vAlign w:val="center"/>
          </w:tcPr>
          <w:p w14:paraId="13C7B4D9">
            <w:pPr>
              <w:spacing w:line="3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自合同签订之日起至合同履行完毕</w:t>
            </w:r>
          </w:p>
        </w:tc>
      </w:tr>
      <w:tr w14:paraId="35A21D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E45C81F">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3</w:t>
            </w:r>
          </w:p>
        </w:tc>
        <w:tc>
          <w:tcPr>
            <w:tcW w:w="1800" w:type="dxa"/>
            <w:vAlign w:val="center"/>
          </w:tcPr>
          <w:p w14:paraId="7AEC2F59">
            <w:pPr>
              <w:snapToGrid w:val="0"/>
              <w:spacing w:line="360" w:lineRule="exact"/>
              <w:jc w:val="center"/>
              <w:rPr>
                <w:rFonts w:ascii="宋体" w:hAnsi="宋体" w:cs="宋体"/>
                <w:b/>
                <w:snapToGrid w:val="0"/>
                <w:color w:val="auto"/>
                <w:kern w:val="0"/>
                <w:sz w:val="21"/>
                <w:szCs w:val="21"/>
                <w:highlight w:val="none"/>
              </w:rPr>
            </w:pPr>
            <w:r>
              <w:rPr>
                <w:rFonts w:hint="eastAsia" w:ascii="宋体" w:hAnsi="宋体" w:cs="宋体"/>
                <w:b/>
                <w:snapToGrid w:val="0"/>
                <w:color w:val="auto"/>
                <w:kern w:val="0"/>
                <w:sz w:val="21"/>
                <w:szCs w:val="21"/>
                <w:highlight w:val="none"/>
              </w:rPr>
              <w:t>最高限价</w:t>
            </w:r>
          </w:p>
        </w:tc>
        <w:tc>
          <w:tcPr>
            <w:tcW w:w="6682" w:type="dxa"/>
            <w:vAlign w:val="center"/>
          </w:tcPr>
          <w:p w14:paraId="7DD3A2BF">
            <w:pPr>
              <w:snapToGrid w:val="0"/>
              <w:spacing w:line="360" w:lineRule="exact"/>
              <w:ind w:firstLine="420" w:firstLineChars="200"/>
              <w:rPr>
                <w:rFonts w:ascii="宋体" w:hAnsi="宋体" w:cs="宋体"/>
                <w:b/>
                <w:snapToGrid w:val="0"/>
                <w:color w:val="auto"/>
                <w:kern w:val="0"/>
                <w:sz w:val="21"/>
                <w:szCs w:val="21"/>
                <w:highlight w:val="none"/>
              </w:rPr>
            </w:pPr>
            <w:r>
              <w:rPr>
                <w:rFonts w:hint="eastAsia" w:ascii="宋体" w:hAnsi="宋体" w:cs="宋体"/>
                <w:color w:val="auto"/>
                <w:sz w:val="21"/>
                <w:szCs w:val="21"/>
                <w:highlight w:val="none"/>
              </w:rPr>
              <w:t>本项目最高限价为人民币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w:t>
            </w:r>
          </w:p>
        </w:tc>
      </w:tr>
      <w:tr w14:paraId="663CF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5689B9E">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 xml:space="preserve">                                                                                                   4</w:t>
            </w:r>
          </w:p>
        </w:tc>
        <w:tc>
          <w:tcPr>
            <w:tcW w:w="1800" w:type="dxa"/>
            <w:vAlign w:val="center"/>
          </w:tcPr>
          <w:p w14:paraId="554B3142">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资格审查方式</w:t>
            </w:r>
          </w:p>
        </w:tc>
        <w:tc>
          <w:tcPr>
            <w:tcW w:w="6682" w:type="dxa"/>
            <w:vAlign w:val="center"/>
          </w:tcPr>
          <w:p w14:paraId="677260C7">
            <w:pPr>
              <w:snapToGrid w:val="0"/>
              <w:spacing w:line="360" w:lineRule="exact"/>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资格审查是指开标后，采购人或采购代理机构将依据法律法规和招标文件的规定对投标人的资格进行审查。</w:t>
            </w:r>
          </w:p>
        </w:tc>
      </w:tr>
      <w:tr w14:paraId="7294F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275C0CE">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5</w:t>
            </w:r>
          </w:p>
        </w:tc>
        <w:tc>
          <w:tcPr>
            <w:tcW w:w="1800" w:type="dxa"/>
            <w:vAlign w:val="center"/>
          </w:tcPr>
          <w:p w14:paraId="574322E4">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踏勘现场</w:t>
            </w:r>
          </w:p>
        </w:tc>
        <w:tc>
          <w:tcPr>
            <w:tcW w:w="6682" w:type="dxa"/>
            <w:vAlign w:val="center"/>
          </w:tcPr>
          <w:p w14:paraId="19B7D80A">
            <w:pPr>
              <w:snapToGrid w:val="0"/>
              <w:spacing w:line="360" w:lineRule="exact"/>
              <w:ind w:firstLine="422" w:firstLineChars="200"/>
              <w:rPr>
                <w:rFonts w:ascii="宋体" w:hAnsi="宋体" w:cs="宋体"/>
                <w:snapToGrid w:val="0"/>
                <w:color w:val="auto"/>
                <w:kern w:val="0"/>
                <w:sz w:val="21"/>
                <w:szCs w:val="21"/>
                <w:highlight w:val="none"/>
              </w:rPr>
            </w:pPr>
            <w:r>
              <w:rPr>
                <w:rFonts w:hint="eastAsia" w:ascii="宋体" w:hAnsi="宋体" w:cs="宋体"/>
                <w:b/>
                <w:snapToGrid w:val="0"/>
                <w:color w:val="auto"/>
                <w:kern w:val="0"/>
                <w:sz w:val="21"/>
                <w:szCs w:val="21"/>
                <w:highlight w:val="none"/>
              </w:rPr>
              <w:t>本项目不组织现场踏勘</w:t>
            </w:r>
          </w:p>
        </w:tc>
      </w:tr>
      <w:tr w14:paraId="62BAE8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BD37D4B">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6</w:t>
            </w:r>
          </w:p>
        </w:tc>
        <w:tc>
          <w:tcPr>
            <w:tcW w:w="1800" w:type="dxa"/>
            <w:vAlign w:val="center"/>
          </w:tcPr>
          <w:p w14:paraId="29C47DFA">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询问</w:t>
            </w:r>
          </w:p>
        </w:tc>
        <w:tc>
          <w:tcPr>
            <w:tcW w:w="6682" w:type="dxa"/>
            <w:vAlign w:val="center"/>
          </w:tcPr>
          <w:p w14:paraId="6314A42D">
            <w:pPr>
              <w:snapToGrid w:val="0"/>
              <w:spacing w:line="360" w:lineRule="exact"/>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供应商对村级采购活动事项有疑问的，可以按疑问内容向采购人、采购代理机构、乡镇（街道）招投标部门、“</w:t>
            </w:r>
            <w:r>
              <w:rPr>
                <w:rFonts w:hint="eastAsia" w:ascii="宋体" w:hAnsi="宋体" w:cs="宋体"/>
                <w:snapToGrid w:val="0"/>
                <w:color w:val="auto"/>
                <w:kern w:val="0"/>
                <w:sz w:val="21"/>
                <w:szCs w:val="21"/>
                <w:highlight w:val="none"/>
                <w:lang w:eastAsia="zh-CN"/>
              </w:rPr>
              <w:t>乐采云</w:t>
            </w:r>
            <w:r>
              <w:rPr>
                <w:rFonts w:hint="eastAsia" w:ascii="宋体" w:hAnsi="宋体" w:cs="宋体"/>
                <w:snapToGrid w:val="0"/>
                <w:color w:val="auto"/>
                <w:kern w:val="0"/>
                <w:sz w:val="21"/>
                <w:szCs w:val="21"/>
                <w:highlight w:val="none"/>
              </w:rPr>
              <w:t>”平台等提出询问，采购人等应当在 7 个工作日内作出答复，但答复的内容不得涉及商业秘密。</w:t>
            </w:r>
          </w:p>
        </w:tc>
      </w:tr>
      <w:tr w14:paraId="5B24A0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5C057B6">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7</w:t>
            </w:r>
          </w:p>
        </w:tc>
        <w:tc>
          <w:tcPr>
            <w:tcW w:w="1800" w:type="dxa"/>
            <w:vAlign w:val="center"/>
          </w:tcPr>
          <w:p w14:paraId="65256D70">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招标文件的澄清与修改</w:t>
            </w:r>
          </w:p>
        </w:tc>
        <w:tc>
          <w:tcPr>
            <w:tcW w:w="6682" w:type="dxa"/>
            <w:vAlign w:val="center"/>
          </w:tcPr>
          <w:p w14:paraId="177F41DD">
            <w:pPr>
              <w:snapToGrid w:val="0"/>
              <w:spacing w:line="360" w:lineRule="exact"/>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上虞产权交易网网站查看。</w:t>
            </w:r>
          </w:p>
        </w:tc>
      </w:tr>
      <w:tr w14:paraId="086B71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705FF98">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8</w:t>
            </w:r>
          </w:p>
        </w:tc>
        <w:tc>
          <w:tcPr>
            <w:tcW w:w="1800" w:type="dxa"/>
            <w:vAlign w:val="center"/>
          </w:tcPr>
          <w:p w14:paraId="79981733">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投标文件组成</w:t>
            </w:r>
          </w:p>
        </w:tc>
        <w:tc>
          <w:tcPr>
            <w:tcW w:w="6682" w:type="dxa"/>
            <w:vAlign w:val="center"/>
          </w:tcPr>
          <w:p w14:paraId="0805DF6B">
            <w:pPr>
              <w:snapToGrid w:val="0"/>
              <w:spacing w:line="360" w:lineRule="exact"/>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投标人向采购人递交的投标文件由资格文件、商务技术文件、报价文件三部分组成。</w:t>
            </w:r>
          </w:p>
        </w:tc>
      </w:tr>
      <w:tr w14:paraId="68342D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04F8FDA">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9</w:t>
            </w:r>
          </w:p>
        </w:tc>
        <w:tc>
          <w:tcPr>
            <w:tcW w:w="1800" w:type="dxa"/>
            <w:vAlign w:val="center"/>
          </w:tcPr>
          <w:p w14:paraId="7360BC6A">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评标办法</w:t>
            </w:r>
          </w:p>
        </w:tc>
        <w:tc>
          <w:tcPr>
            <w:tcW w:w="6682" w:type="dxa"/>
            <w:vAlign w:val="center"/>
          </w:tcPr>
          <w:p w14:paraId="1722DBDE">
            <w:pPr>
              <w:snapToGrid w:val="0"/>
              <w:spacing w:line="360" w:lineRule="exact"/>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综合评分法</w:t>
            </w:r>
          </w:p>
        </w:tc>
      </w:tr>
      <w:tr w14:paraId="3590E7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A67A01A">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10</w:t>
            </w:r>
          </w:p>
        </w:tc>
        <w:tc>
          <w:tcPr>
            <w:tcW w:w="1800" w:type="dxa"/>
            <w:vAlign w:val="center"/>
          </w:tcPr>
          <w:p w14:paraId="53098BAA">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投标文件递交地址及截止时间</w:t>
            </w:r>
          </w:p>
        </w:tc>
        <w:tc>
          <w:tcPr>
            <w:tcW w:w="6682" w:type="dxa"/>
            <w:vAlign w:val="center"/>
          </w:tcPr>
          <w:p w14:paraId="2614BB80">
            <w:pPr>
              <w:snapToGrid w:val="0"/>
              <w:spacing w:line="360" w:lineRule="exact"/>
              <w:ind w:firstLine="420" w:firstLineChars="200"/>
              <w:rPr>
                <w:rFonts w:ascii="宋体" w:hAnsi="宋体" w:cs="宋体"/>
                <w:color w:val="auto"/>
                <w:kern w:val="0"/>
                <w:sz w:val="21"/>
                <w:szCs w:val="21"/>
                <w:highlight w:val="none"/>
              </w:rPr>
            </w:pPr>
            <w:r>
              <w:rPr>
                <w:rFonts w:hint="eastAsia" w:ascii="宋体" w:hAnsi="宋体" w:cs="宋体"/>
                <w:snapToGrid w:val="0"/>
                <w:color w:val="auto"/>
                <w:kern w:val="0"/>
                <w:sz w:val="21"/>
                <w:szCs w:val="21"/>
                <w:highlight w:val="none"/>
              </w:rPr>
              <w:t>详见招标公告</w:t>
            </w:r>
          </w:p>
        </w:tc>
      </w:tr>
      <w:tr w14:paraId="6654F7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BBEEA16">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11</w:t>
            </w:r>
          </w:p>
        </w:tc>
        <w:tc>
          <w:tcPr>
            <w:tcW w:w="1800" w:type="dxa"/>
            <w:vAlign w:val="center"/>
          </w:tcPr>
          <w:p w14:paraId="42548240">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开标时间、地点</w:t>
            </w:r>
          </w:p>
        </w:tc>
        <w:tc>
          <w:tcPr>
            <w:tcW w:w="6682" w:type="dxa"/>
            <w:vAlign w:val="center"/>
          </w:tcPr>
          <w:p w14:paraId="68AAB29F">
            <w:pPr>
              <w:snapToGrid w:val="0"/>
              <w:spacing w:line="360" w:lineRule="exact"/>
              <w:ind w:firstLine="420" w:firstLineChars="200"/>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开标时间：</w:t>
            </w:r>
            <w:r>
              <w:rPr>
                <w:rFonts w:hint="eastAsia" w:ascii="宋体" w:hAnsi="宋体" w:cs="宋体"/>
                <w:color w:val="auto"/>
                <w:kern w:val="0"/>
                <w:sz w:val="21"/>
                <w:szCs w:val="21"/>
                <w:highlight w:val="none"/>
              </w:rPr>
              <w:t>详见招标公告</w:t>
            </w:r>
          </w:p>
          <w:p w14:paraId="21885724">
            <w:pPr>
              <w:snapToGrid w:val="0"/>
              <w:spacing w:line="360" w:lineRule="exact"/>
              <w:ind w:firstLine="420" w:firstLineChars="200"/>
              <w:rPr>
                <w:rFonts w:ascii="宋体" w:hAnsi="宋体" w:cs="宋体"/>
                <w:color w:val="auto"/>
                <w:kern w:val="0"/>
                <w:sz w:val="21"/>
                <w:szCs w:val="21"/>
                <w:highlight w:val="none"/>
              </w:rPr>
            </w:pPr>
            <w:r>
              <w:rPr>
                <w:rFonts w:hint="eastAsia" w:ascii="宋体" w:hAnsi="宋体" w:cs="宋体"/>
                <w:snapToGrid w:val="0"/>
                <w:color w:val="auto"/>
                <w:kern w:val="0"/>
                <w:sz w:val="21"/>
                <w:szCs w:val="21"/>
                <w:highlight w:val="none"/>
              </w:rPr>
              <w:t>开标地点：</w:t>
            </w:r>
            <w:r>
              <w:rPr>
                <w:rFonts w:hint="eastAsia" w:ascii="宋体" w:hAnsi="宋体" w:cs="宋体"/>
                <w:color w:val="auto"/>
                <w:kern w:val="0"/>
                <w:sz w:val="21"/>
                <w:szCs w:val="21"/>
                <w:highlight w:val="none"/>
              </w:rPr>
              <w:t>详见招标公告</w:t>
            </w:r>
          </w:p>
        </w:tc>
      </w:tr>
      <w:tr w14:paraId="08B477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8C75C05">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12</w:t>
            </w:r>
          </w:p>
        </w:tc>
        <w:tc>
          <w:tcPr>
            <w:tcW w:w="1800" w:type="dxa"/>
            <w:vAlign w:val="center"/>
          </w:tcPr>
          <w:p w14:paraId="3E83A19D">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投标有效期</w:t>
            </w:r>
          </w:p>
        </w:tc>
        <w:tc>
          <w:tcPr>
            <w:tcW w:w="6682" w:type="dxa"/>
            <w:vAlign w:val="center"/>
          </w:tcPr>
          <w:p w14:paraId="0FA549D1">
            <w:pPr>
              <w:snapToGrid w:val="0"/>
              <w:spacing w:line="36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投标有效期为从提交投标文件的截止之日起90天。投标人的投标文件中承诺的投标有效期少于招标文件中载明的投标有效期的，投标无效。</w:t>
            </w:r>
          </w:p>
        </w:tc>
      </w:tr>
      <w:tr w14:paraId="7E121D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D22BB29">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13</w:t>
            </w:r>
          </w:p>
        </w:tc>
        <w:tc>
          <w:tcPr>
            <w:tcW w:w="1800" w:type="dxa"/>
            <w:vAlign w:val="center"/>
          </w:tcPr>
          <w:p w14:paraId="6F007EF8">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履约保证金</w:t>
            </w:r>
          </w:p>
        </w:tc>
        <w:tc>
          <w:tcPr>
            <w:tcW w:w="6682" w:type="dxa"/>
            <w:vAlign w:val="center"/>
          </w:tcPr>
          <w:p w14:paraId="23CEB3C7">
            <w:pPr>
              <w:snapToGrid w:val="0"/>
              <w:spacing w:line="36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Cs w:val="21"/>
                <w:highlight w:val="none"/>
              </w:rPr>
              <w:t>中标单位在收到中标通知书后，需向采购人提供</w:t>
            </w:r>
            <w:r>
              <w:rPr>
                <w:rFonts w:hint="eastAsia" w:ascii="宋体" w:hAnsi="宋体" w:eastAsia="宋体" w:cs="宋体"/>
                <w:snapToGrid w:val="0"/>
                <w:color w:val="auto"/>
                <w:kern w:val="0"/>
                <w:szCs w:val="21"/>
                <w:highlight w:val="none"/>
                <w:lang w:val="en-US" w:eastAsia="zh-CN"/>
              </w:rPr>
              <w:t>合同总价的</w:t>
            </w:r>
            <w:r>
              <w:rPr>
                <w:rFonts w:hint="eastAsia" w:ascii="宋体" w:hAnsi="宋体" w:eastAsia="宋体" w:cs="宋体"/>
                <w:snapToGrid w:val="0"/>
                <w:color w:val="auto"/>
                <w:kern w:val="0"/>
                <w:szCs w:val="21"/>
                <w:highlight w:val="none"/>
                <w:u w:val="single"/>
                <w:lang w:val="en-US" w:eastAsia="zh-CN"/>
              </w:rPr>
              <w:t xml:space="preserve"> 1% </w:t>
            </w:r>
            <w:r>
              <w:rPr>
                <w:rFonts w:hint="eastAsia" w:ascii="宋体" w:hAnsi="宋体" w:eastAsia="宋体" w:cs="宋体"/>
                <w:snapToGrid w:val="0"/>
                <w:color w:val="auto"/>
                <w:kern w:val="0"/>
                <w:szCs w:val="21"/>
                <w:highlight w:val="none"/>
              </w:rPr>
              <w:t>作为履约保证金，在服务期结束后根据考核情况一次性退还。（供应商应当以支票、汇票、本票或者金融机构、保险公司、担保机构出具的保函等非现金形式提交。）</w:t>
            </w:r>
            <w:r>
              <w:rPr>
                <w:rFonts w:hint="eastAsia" w:ascii="宋体" w:hAnsi="宋体" w:eastAsia="宋体" w:cs="宋体"/>
                <w:snapToGrid w:val="0"/>
                <w:color w:val="auto"/>
                <w:kern w:val="0"/>
                <w:szCs w:val="21"/>
                <w:highlight w:val="none"/>
                <w:lang w:val="en-US" w:eastAsia="zh-CN"/>
              </w:rPr>
              <w:t>采购人在合同期满后或提前终止合同后一个月内向中标人退还全额履约保证金。</w:t>
            </w:r>
          </w:p>
        </w:tc>
      </w:tr>
      <w:tr w14:paraId="169665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0BAAAA6">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14</w:t>
            </w:r>
          </w:p>
        </w:tc>
        <w:tc>
          <w:tcPr>
            <w:tcW w:w="1800" w:type="dxa"/>
            <w:vAlign w:val="center"/>
          </w:tcPr>
          <w:p w14:paraId="0D6E5148">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采购及中标公告发布媒体</w:t>
            </w:r>
          </w:p>
        </w:tc>
        <w:tc>
          <w:tcPr>
            <w:tcW w:w="6682" w:type="dxa"/>
            <w:vAlign w:val="center"/>
          </w:tcPr>
          <w:p w14:paraId="3FC5F3F7">
            <w:pPr>
              <w:pStyle w:val="16"/>
              <w:snapToGrid w:val="0"/>
              <w:spacing w:line="360" w:lineRule="exact"/>
              <w:jc w:val="left"/>
              <w:rPr>
                <w:rFonts w:hAnsi="宋体" w:cs="宋体"/>
                <w:color w:val="auto"/>
                <w:kern w:val="0"/>
                <w:sz w:val="21"/>
                <w:szCs w:val="21"/>
                <w:highlight w:val="none"/>
              </w:rPr>
            </w:pPr>
            <w:r>
              <w:rPr>
                <w:rFonts w:hint="eastAsia" w:hAnsi="宋体" w:cs="宋体"/>
                <w:color w:val="auto"/>
                <w:kern w:val="0"/>
                <w:sz w:val="21"/>
                <w:szCs w:val="21"/>
                <w:highlight w:val="none"/>
              </w:rPr>
              <w:t>浙江政府采购网、上虞产权交易网网站</w:t>
            </w:r>
          </w:p>
        </w:tc>
      </w:tr>
      <w:tr w14:paraId="6789A0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71A69B4">
            <w:pPr>
              <w:snapToGrid w:val="0"/>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1800" w:type="dxa"/>
            <w:vAlign w:val="center"/>
          </w:tcPr>
          <w:p w14:paraId="759D4D97">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质疑</w:t>
            </w:r>
          </w:p>
        </w:tc>
        <w:tc>
          <w:tcPr>
            <w:tcW w:w="6682" w:type="dxa"/>
            <w:vAlign w:val="center"/>
          </w:tcPr>
          <w:p w14:paraId="0AC53E36">
            <w:pPr>
              <w:spacing w:line="360" w:lineRule="exact"/>
              <w:ind w:firstLine="420" w:firstLineChars="200"/>
              <w:jc w:val="left"/>
              <w:rPr>
                <w:color w:val="auto"/>
                <w:sz w:val="21"/>
                <w:szCs w:val="21"/>
                <w:highlight w:val="none"/>
              </w:rPr>
            </w:pPr>
            <w:r>
              <w:rPr>
                <w:rFonts w:hint="eastAsia"/>
                <w:color w:val="auto"/>
                <w:sz w:val="21"/>
                <w:szCs w:val="21"/>
                <w:highlight w:val="none"/>
              </w:rPr>
              <w:t>根据《上虞区农村集体经济组织货物（服务）采购实施意见（试行）》的规定：</w:t>
            </w:r>
          </w:p>
          <w:p w14:paraId="0E991AA0">
            <w:pPr>
              <w:spacing w:line="360" w:lineRule="exact"/>
              <w:ind w:firstLine="420" w:firstLineChars="200"/>
              <w:jc w:val="left"/>
              <w:rPr>
                <w:color w:val="auto"/>
                <w:sz w:val="21"/>
                <w:szCs w:val="21"/>
                <w:highlight w:val="none"/>
              </w:rPr>
            </w:pPr>
            <w:r>
              <w:rPr>
                <w:rFonts w:hint="eastAsia"/>
                <w:color w:val="auto"/>
                <w:sz w:val="21"/>
                <w:szCs w:val="21"/>
                <w:highlight w:val="none"/>
              </w:rPr>
              <w:t>供应商认为采购文件、采购过程、中标或者成交结果使自己的权益受到损害的，可以在知道或者应知其权益受到损害之日起7个工作日内，以书面形式实名向采购代理机构或采购人提出质疑，采购代理机构、采购人应在收到书面质疑后7个工作日内作出书面答复，但答复内容不得涉及商业秘密。</w:t>
            </w:r>
          </w:p>
          <w:p w14:paraId="38DE66AF">
            <w:pPr>
              <w:snapToGrid w:val="0"/>
              <w:spacing w:line="360" w:lineRule="exact"/>
              <w:ind w:firstLine="420" w:firstLineChars="200"/>
              <w:jc w:val="left"/>
              <w:rPr>
                <w:color w:val="auto"/>
                <w:sz w:val="21"/>
                <w:szCs w:val="21"/>
                <w:highlight w:val="none"/>
              </w:rPr>
            </w:pPr>
            <w:r>
              <w:rPr>
                <w:rFonts w:hint="eastAsia"/>
                <w:color w:val="auto"/>
                <w:sz w:val="21"/>
                <w:szCs w:val="21"/>
                <w:highlight w:val="none"/>
              </w:rPr>
              <w:t>采购评审专家（评标委员会、采购小组）应当协助采购人或者采购代理机构等答复供应商的询问和质疑，必要时可出具专家意见。</w:t>
            </w:r>
          </w:p>
        </w:tc>
      </w:tr>
      <w:tr w14:paraId="10084A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93FCF54">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16</w:t>
            </w:r>
          </w:p>
        </w:tc>
        <w:tc>
          <w:tcPr>
            <w:tcW w:w="1800" w:type="dxa"/>
            <w:vAlign w:val="center"/>
          </w:tcPr>
          <w:p w14:paraId="1D60A905">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投诉</w:t>
            </w:r>
          </w:p>
        </w:tc>
        <w:tc>
          <w:tcPr>
            <w:tcW w:w="6682" w:type="dxa"/>
            <w:vAlign w:val="center"/>
          </w:tcPr>
          <w:p w14:paraId="572B5790">
            <w:pPr>
              <w:snapToGrid w:val="0"/>
              <w:spacing w:line="360" w:lineRule="exact"/>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参</w:t>
            </w:r>
            <w:r>
              <w:rPr>
                <w:rFonts w:hint="eastAsia" w:ascii="宋体" w:hAnsi="宋体"/>
                <w:color w:val="auto"/>
                <w:sz w:val="21"/>
                <w:szCs w:val="21"/>
                <w:highlight w:val="none"/>
              </w:rPr>
              <w:t>照</w:t>
            </w:r>
            <w:r>
              <w:rPr>
                <w:rFonts w:hint="eastAsia"/>
                <w:color w:val="auto"/>
                <w:sz w:val="21"/>
                <w:szCs w:val="21"/>
                <w:highlight w:val="none"/>
              </w:rPr>
              <w:t>《上虞区农村集体经济组织货物（服务）采购实施意见（试行）》的规定</w:t>
            </w:r>
            <w:r>
              <w:rPr>
                <w:rFonts w:hint="eastAsia" w:ascii="宋体" w:hAnsi="宋体"/>
                <w:color w:val="auto"/>
                <w:kern w:val="0"/>
                <w:sz w:val="21"/>
                <w:szCs w:val="21"/>
                <w:highlight w:val="none"/>
              </w:rPr>
              <w:t xml:space="preserve">，质疑供应商对质疑的答复不满意，或者采购人或采购代理机构未在规定时间内答复的，可以在收到答复之日或者答复期满后15个工作日内依法向采购人所在乡镇（街道）投诉。乡镇（街道）应当在正式受理投诉后30个工作日内作出调查并回复，同时将投诉回复及调查结果通知采购人。区农业农村局督促乡镇（街道）做好投诉件的答复和处 </w:t>
            </w:r>
          </w:p>
          <w:p w14:paraId="6545A61B">
            <w:pPr>
              <w:snapToGrid w:val="0"/>
              <w:spacing w:line="360" w:lineRule="exact"/>
              <w:jc w:val="left"/>
              <w:rPr>
                <w:rFonts w:ascii="宋体" w:hAnsi="宋体"/>
                <w:color w:val="auto"/>
                <w:kern w:val="0"/>
                <w:sz w:val="21"/>
                <w:szCs w:val="21"/>
                <w:highlight w:val="none"/>
              </w:rPr>
            </w:pPr>
            <w:r>
              <w:rPr>
                <w:rFonts w:hint="eastAsia" w:ascii="宋体" w:hAnsi="宋体"/>
                <w:color w:val="auto"/>
                <w:kern w:val="0"/>
                <w:sz w:val="21"/>
                <w:szCs w:val="21"/>
                <w:highlight w:val="none"/>
              </w:rPr>
              <w:t>理。</w:t>
            </w:r>
          </w:p>
          <w:p w14:paraId="3CE48D7E">
            <w:pPr>
              <w:snapToGrid w:val="0"/>
              <w:spacing w:line="360" w:lineRule="exact"/>
              <w:ind w:firstLine="420" w:firstLineChars="200"/>
              <w:jc w:val="left"/>
              <w:rPr>
                <w:color w:val="auto"/>
                <w:sz w:val="21"/>
                <w:szCs w:val="21"/>
                <w:highlight w:val="none"/>
              </w:rPr>
            </w:pPr>
            <w:r>
              <w:rPr>
                <w:rFonts w:hint="eastAsia" w:ascii="宋体" w:hAnsi="宋体"/>
                <w:color w:val="auto"/>
                <w:kern w:val="0"/>
                <w:sz w:val="21"/>
                <w:szCs w:val="21"/>
                <w:highlight w:val="none"/>
              </w:rPr>
              <w:t>投诉人提交投诉件时，应当提供相关证据、依据和其他有关材料。</w:t>
            </w:r>
          </w:p>
        </w:tc>
      </w:tr>
      <w:tr w14:paraId="3B243E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618EC26">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17</w:t>
            </w:r>
          </w:p>
        </w:tc>
        <w:tc>
          <w:tcPr>
            <w:tcW w:w="1800" w:type="dxa"/>
            <w:vAlign w:val="center"/>
          </w:tcPr>
          <w:p w14:paraId="67198562">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特别说明</w:t>
            </w:r>
          </w:p>
        </w:tc>
        <w:tc>
          <w:tcPr>
            <w:tcW w:w="6682" w:type="dxa"/>
            <w:vAlign w:val="center"/>
          </w:tcPr>
          <w:p w14:paraId="18DA4E30">
            <w:pPr>
              <w:pStyle w:val="16"/>
              <w:snapToGrid w:val="0"/>
              <w:spacing w:line="360" w:lineRule="exact"/>
              <w:ind w:firstLine="420" w:firstLineChars="200"/>
              <w:jc w:val="left"/>
              <w:rPr>
                <w:rFonts w:hAnsi="宋体" w:cs="宋体"/>
                <w:color w:val="auto"/>
                <w:kern w:val="0"/>
                <w:sz w:val="21"/>
                <w:szCs w:val="21"/>
                <w:highlight w:val="none"/>
              </w:rPr>
            </w:pPr>
            <w:r>
              <w:rPr>
                <w:rFonts w:hint="eastAsia" w:hAnsi="宋体" w:cs="宋体"/>
                <w:color w:val="auto"/>
                <w:kern w:val="0"/>
                <w:sz w:val="21"/>
                <w:szCs w:val="21"/>
                <w:highlight w:val="none"/>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14:paraId="2ED1BDD1">
            <w:pPr>
              <w:pStyle w:val="16"/>
              <w:snapToGrid w:val="0"/>
              <w:spacing w:line="360" w:lineRule="exact"/>
              <w:ind w:firstLine="420" w:firstLineChars="200"/>
              <w:jc w:val="left"/>
              <w:rPr>
                <w:rFonts w:hAnsi="宋体" w:cs="宋体"/>
                <w:color w:val="auto"/>
                <w:kern w:val="0"/>
                <w:sz w:val="21"/>
                <w:szCs w:val="21"/>
                <w:highlight w:val="none"/>
              </w:rPr>
            </w:pPr>
            <w:r>
              <w:rPr>
                <w:rFonts w:hint="eastAsia" w:hAnsi="宋体" w:cs="宋体"/>
                <w:color w:val="auto"/>
                <w:kern w:val="0"/>
                <w:sz w:val="21"/>
                <w:szCs w:val="21"/>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2BB6DB83">
            <w:pPr>
              <w:pStyle w:val="16"/>
              <w:snapToGrid w:val="0"/>
              <w:spacing w:line="360" w:lineRule="exact"/>
              <w:ind w:firstLine="420" w:firstLineChars="200"/>
              <w:jc w:val="left"/>
              <w:rPr>
                <w:rFonts w:hAnsi="宋体" w:cs="宋体"/>
                <w:b/>
                <w:color w:val="auto"/>
                <w:kern w:val="0"/>
                <w:sz w:val="21"/>
                <w:szCs w:val="21"/>
                <w:highlight w:val="none"/>
              </w:rPr>
            </w:pPr>
            <w:r>
              <w:rPr>
                <w:rFonts w:hint="eastAsia" w:hAnsi="宋体" w:cs="宋体"/>
                <w:color w:val="auto"/>
                <w:kern w:val="0"/>
                <w:sz w:val="21"/>
                <w:szCs w:val="21"/>
                <w:highlight w:val="none"/>
              </w:rPr>
              <w:t>招标文件中凡标注“</w:t>
            </w:r>
            <w:r>
              <w:rPr>
                <w:rFonts w:hint="eastAsia" w:hAnsi="宋体" w:cs="宋体"/>
                <w:color w:val="auto"/>
                <w:sz w:val="21"/>
                <w:szCs w:val="21"/>
                <w:highlight w:val="none"/>
              </w:rPr>
              <w:t>★</w:t>
            </w:r>
            <w:r>
              <w:rPr>
                <w:rFonts w:hint="eastAsia" w:hAnsi="宋体" w:cs="宋体"/>
                <w:color w:val="auto"/>
                <w:kern w:val="0"/>
                <w:sz w:val="21"/>
                <w:szCs w:val="21"/>
                <w:highlight w:val="none"/>
              </w:rPr>
              <w:t>”的条款均为实质性要求，不响应的投标文件将作无效标处理。</w:t>
            </w:r>
          </w:p>
        </w:tc>
      </w:tr>
      <w:tr w14:paraId="396110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465461D">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18</w:t>
            </w:r>
          </w:p>
        </w:tc>
        <w:tc>
          <w:tcPr>
            <w:tcW w:w="1800" w:type="dxa"/>
            <w:vAlign w:val="center"/>
          </w:tcPr>
          <w:p w14:paraId="4AD984CB">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是否允许分包</w:t>
            </w:r>
          </w:p>
        </w:tc>
        <w:tc>
          <w:tcPr>
            <w:tcW w:w="6682" w:type="dxa"/>
            <w:vAlign w:val="center"/>
          </w:tcPr>
          <w:p w14:paraId="698822CA">
            <w:pPr>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本项目不允许分包</w:t>
            </w:r>
            <w:r>
              <w:rPr>
                <w:rFonts w:hint="eastAsia" w:ascii="宋体" w:hAnsi="宋体" w:cs="宋体"/>
                <w:color w:val="auto"/>
                <w:sz w:val="21"/>
                <w:szCs w:val="21"/>
                <w:highlight w:val="none"/>
                <w:lang w:eastAsia="zh-CN"/>
              </w:rPr>
              <w:t>。</w:t>
            </w:r>
          </w:p>
        </w:tc>
      </w:tr>
      <w:tr w14:paraId="2AAA99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9C7F94D">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19</w:t>
            </w:r>
          </w:p>
        </w:tc>
        <w:tc>
          <w:tcPr>
            <w:tcW w:w="1800" w:type="dxa"/>
            <w:tcBorders>
              <w:top w:val="single" w:color="auto" w:sz="4" w:space="0"/>
            </w:tcBorders>
            <w:vAlign w:val="center"/>
          </w:tcPr>
          <w:p w14:paraId="75FDB414">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是否提供演示</w:t>
            </w:r>
          </w:p>
        </w:tc>
        <w:tc>
          <w:tcPr>
            <w:tcW w:w="6682" w:type="dxa"/>
            <w:tcBorders>
              <w:top w:val="single" w:color="auto" w:sz="4" w:space="0"/>
            </w:tcBorders>
            <w:vAlign w:val="center"/>
          </w:tcPr>
          <w:p w14:paraId="6B1CE058">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本项目不需要提供演示。</w:t>
            </w:r>
          </w:p>
        </w:tc>
      </w:tr>
      <w:tr w14:paraId="3F5F06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A6BE8C1">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20</w:t>
            </w:r>
          </w:p>
        </w:tc>
        <w:tc>
          <w:tcPr>
            <w:tcW w:w="1800" w:type="dxa"/>
            <w:vAlign w:val="center"/>
          </w:tcPr>
          <w:p w14:paraId="40D61341">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投标人信用信息查询渠道及截止时点、信用信息查询记录和证据留存的具体方式、信用信息的使用规则</w:t>
            </w:r>
          </w:p>
        </w:tc>
        <w:tc>
          <w:tcPr>
            <w:tcW w:w="6682" w:type="dxa"/>
            <w:vAlign w:val="center"/>
          </w:tcPr>
          <w:p w14:paraId="61234F50">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1、查询渠道：信用中国（网址：http://www.creditchina.gov.cn）、中国政府采购网(网址：http://www.ccgp.gov.cn）。</w:t>
            </w:r>
          </w:p>
          <w:p w14:paraId="445C3A71">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2、截止时点：开标后评标前。</w:t>
            </w:r>
          </w:p>
          <w:p w14:paraId="0DD7F913">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3、信用信息查询记录和证据留存的具体方式：由采购组织机构在规定查询时间内打印信用信息查询记录并归入项目档案。</w:t>
            </w:r>
          </w:p>
          <w:p w14:paraId="7E31ACF4">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村级采购活动。</w:t>
            </w:r>
          </w:p>
        </w:tc>
      </w:tr>
      <w:tr w14:paraId="7E75B1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6E6371B">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21</w:t>
            </w:r>
          </w:p>
        </w:tc>
        <w:tc>
          <w:tcPr>
            <w:tcW w:w="1800" w:type="dxa"/>
            <w:vAlign w:val="center"/>
          </w:tcPr>
          <w:p w14:paraId="2350287F">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招标代理服务费</w:t>
            </w:r>
          </w:p>
        </w:tc>
        <w:tc>
          <w:tcPr>
            <w:tcW w:w="6682" w:type="dxa"/>
            <w:vAlign w:val="center"/>
          </w:tcPr>
          <w:p w14:paraId="273C1081">
            <w:pPr>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代理费用：</w:t>
            </w:r>
            <w:r>
              <w:rPr>
                <w:rFonts w:ascii="宋体" w:hAnsi="宋体" w:cs="宋体"/>
                <w:snapToGrid w:val="0"/>
                <w:color w:val="auto"/>
                <w:kern w:val="0"/>
                <w:highlight w:val="none"/>
              </w:rPr>
              <w:t>中标（成交）供应商需向采购代理机构支付采购代理服务费，</w:t>
            </w:r>
            <w:r>
              <w:rPr>
                <w:rFonts w:hint="eastAsia" w:ascii="宋体" w:hAnsi="宋体" w:cs="宋体"/>
                <w:snapToGrid w:val="0"/>
                <w:color w:val="auto"/>
                <w:kern w:val="0"/>
                <w:highlight w:val="none"/>
                <w:lang w:val="en-US" w:eastAsia="zh-CN"/>
              </w:rPr>
              <w:t>本项目招标代理费按10000元</w:t>
            </w:r>
            <w:r>
              <w:rPr>
                <w:rFonts w:hint="eastAsia" w:ascii="宋体" w:hAnsi="宋体" w:cs="宋体"/>
                <w:snapToGrid w:val="0"/>
                <w:color w:val="auto"/>
                <w:kern w:val="0"/>
                <w:highlight w:val="none"/>
              </w:rPr>
              <w:t>计取</w:t>
            </w:r>
            <w:r>
              <w:rPr>
                <w:rFonts w:ascii="宋体" w:hAnsi="宋体" w:cs="宋体"/>
                <w:snapToGrid w:val="0"/>
                <w:color w:val="auto"/>
                <w:kern w:val="0"/>
                <w:highlight w:val="none"/>
              </w:rPr>
              <w:t>。</w:t>
            </w:r>
          </w:p>
          <w:p w14:paraId="6B6622E7">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bCs/>
                <w:color w:val="auto"/>
                <w:kern w:val="2"/>
                <w:sz w:val="21"/>
                <w:szCs w:val="21"/>
                <w:highlight w:val="none"/>
                <w:lang w:val="en-US" w:eastAsia="zh-CN" w:bidi="ar-SA"/>
              </w:rPr>
            </w:pPr>
            <w:r>
              <w:rPr>
                <w:rFonts w:ascii="宋体" w:hAnsi="宋体" w:cs="宋体"/>
                <w:snapToGrid w:val="0"/>
                <w:color w:val="auto"/>
                <w:kern w:val="0"/>
                <w:highlight w:val="none"/>
              </w:rPr>
              <w:t>结算方式及时间为：在领取</w:t>
            </w:r>
            <w:r>
              <w:rPr>
                <w:rFonts w:hint="eastAsia" w:ascii="宋体" w:hAnsi="宋体" w:cs="宋体"/>
                <w:snapToGrid w:val="0"/>
                <w:color w:val="auto"/>
                <w:kern w:val="0"/>
                <w:highlight w:val="none"/>
              </w:rPr>
              <w:t>中标</w:t>
            </w:r>
            <w:r>
              <w:rPr>
                <w:rFonts w:ascii="宋体" w:hAnsi="宋体" w:cs="宋体"/>
                <w:snapToGrid w:val="0"/>
                <w:color w:val="auto"/>
                <w:kern w:val="0"/>
                <w:highlight w:val="none"/>
              </w:rPr>
              <w:t>通知书</w:t>
            </w:r>
            <w:r>
              <w:rPr>
                <w:rFonts w:hint="eastAsia" w:ascii="宋体" w:hAnsi="宋体" w:cs="宋体"/>
                <w:snapToGrid w:val="0"/>
                <w:color w:val="auto"/>
                <w:kern w:val="0"/>
                <w:highlight w:val="none"/>
              </w:rPr>
              <w:t>前</w:t>
            </w:r>
            <w:r>
              <w:rPr>
                <w:rFonts w:ascii="宋体" w:hAnsi="宋体" w:cs="宋体"/>
                <w:snapToGrid w:val="0"/>
                <w:color w:val="auto"/>
                <w:kern w:val="0"/>
                <w:highlight w:val="none"/>
              </w:rPr>
              <w:t>由成交供应商一次性向采购代理机构付清。</w:t>
            </w:r>
          </w:p>
        </w:tc>
      </w:tr>
      <w:tr w14:paraId="125F16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AA1EB59">
            <w:pPr>
              <w:snapToGrid w:val="0"/>
              <w:spacing w:line="360" w:lineRule="exact"/>
              <w:jc w:val="center"/>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22</w:t>
            </w:r>
          </w:p>
        </w:tc>
        <w:tc>
          <w:tcPr>
            <w:tcW w:w="1800" w:type="dxa"/>
            <w:vAlign w:val="center"/>
          </w:tcPr>
          <w:p w14:paraId="455B65E2">
            <w:pPr>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其他</w:t>
            </w:r>
          </w:p>
        </w:tc>
        <w:tc>
          <w:tcPr>
            <w:tcW w:w="6682" w:type="dxa"/>
            <w:vAlign w:val="center"/>
          </w:tcPr>
          <w:p w14:paraId="27E20542">
            <w:pPr>
              <w:pStyle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本磋商文件要求提供的身份证复印件皆需提供正反面，否则按不提供处理。</w:t>
            </w:r>
          </w:p>
          <w:p w14:paraId="46BC368F">
            <w:pPr>
              <w:ind w:firstLine="422" w:firstLineChars="200"/>
              <w:rPr>
                <w:rFonts w:ascii="宋体" w:hAnsi="宋体" w:cs="宋体"/>
                <w:b/>
                <w:color w:val="auto"/>
                <w:sz w:val="21"/>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、本项目货物如涉及柴油动力移动源，应当符合低排放要求。</w:t>
            </w:r>
          </w:p>
        </w:tc>
      </w:tr>
    </w:tbl>
    <w:p w14:paraId="7EF43850">
      <w:pPr>
        <w:pStyle w:val="4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注：以上内容如有变化将另行通知。如通知其中某一内容发生变化，其余未提及的将不作变动。</w:t>
      </w:r>
    </w:p>
    <w:p w14:paraId="09D589E5">
      <w:pPr>
        <w:snapToGrid w:val="0"/>
        <w:spacing w:line="360" w:lineRule="auto"/>
        <w:jc w:val="center"/>
        <w:outlineLvl w:val="0"/>
        <w:rPr>
          <w:rFonts w:ascii="宋体" w:hAnsi="宋体" w:cs="宋体"/>
          <w:b/>
          <w:color w:val="auto"/>
          <w:sz w:val="32"/>
          <w:highlight w:val="none"/>
        </w:rPr>
      </w:pPr>
      <w:r>
        <w:rPr>
          <w:rFonts w:hint="eastAsia" w:ascii="宋体" w:hAnsi="宋体" w:cs="宋体"/>
          <w:b/>
          <w:color w:val="auto"/>
          <w:sz w:val="32"/>
          <w:szCs w:val="20"/>
          <w:highlight w:val="none"/>
        </w:rPr>
        <w:br w:type="page"/>
      </w:r>
      <w:bookmarkStart w:id="16" w:name="_Toc10200"/>
      <w:r>
        <w:rPr>
          <w:rFonts w:hint="eastAsia" w:ascii="宋体" w:hAnsi="宋体" w:cs="宋体"/>
          <w:b/>
          <w:color w:val="auto"/>
          <w:sz w:val="32"/>
          <w:highlight w:val="none"/>
        </w:rPr>
        <w:t>一、总则</w:t>
      </w:r>
      <w:bookmarkEnd w:id="9"/>
      <w:bookmarkEnd w:id="16"/>
    </w:p>
    <w:p w14:paraId="4D880C74">
      <w:pPr>
        <w:pStyle w:val="16"/>
        <w:numPr>
          <w:ilvl w:val="0"/>
          <w:numId w:val="9"/>
        </w:numPr>
        <w:spacing w:line="360" w:lineRule="auto"/>
        <w:ind w:firstLine="482" w:firstLineChars="200"/>
        <w:rPr>
          <w:rFonts w:hAnsi="宋体" w:cs="宋体"/>
          <w:b/>
          <w:color w:val="auto"/>
          <w:sz w:val="24"/>
          <w:szCs w:val="24"/>
          <w:highlight w:val="none"/>
        </w:rPr>
      </w:pPr>
      <w:bookmarkStart w:id="17" w:name="_Hlt74714665"/>
      <w:bookmarkEnd w:id="17"/>
      <w:bookmarkStart w:id="18" w:name="_Hlt74730295"/>
      <w:bookmarkEnd w:id="18"/>
      <w:bookmarkStart w:id="19" w:name="_Toc91899872"/>
      <w:bookmarkStart w:id="20" w:name="_Hlt74730112"/>
      <w:bookmarkStart w:id="21" w:name="_Hlt74730208"/>
      <w:r>
        <w:rPr>
          <w:rFonts w:hint="eastAsia" w:hAnsi="宋体" w:cs="宋体"/>
          <w:b/>
          <w:color w:val="auto"/>
          <w:sz w:val="24"/>
          <w:szCs w:val="24"/>
          <w:highlight w:val="none"/>
        </w:rPr>
        <w:t>项目说明</w:t>
      </w:r>
      <w:bookmarkEnd w:id="19"/>
    </w:p>
    <w:p w14:paraId="430A6BDA">
      <w:pPr>
        <w:pStyle w:val="45"/>
        <w:numPr>
          <w:ilvl w:val="0"/>
          <w:numId w:val="10"/>
        </w:numPr>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项目说明见前附表所述。投标人一旦参与本次招标活动，即被视为接受了本招标文件的所有内容，如有任何异议，均已在法定时间内提出。</w:t>
      </w:r>
    </w:p>
    <w:p w14:paraId="219F0583">
      <w:pPr>
        <w:pStyle w:val="45"/>
        <w:numPr>
          <w:ilvl w:val="0"/>
          <w:numId w:val="10"/>
        </w:numPr>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auto"/>
          <w:szCs w:val="24"/>
          <w:highlight w:val="none"/>
          <w:lang w:val="zh-CN"/>
        </w:rPr>
        <w:t>供应商</w:t>
      </w:r>
      <w:r>
        <w:rPr>
          <w:rFonts w:hint="eastAsia" w:ascii="宋体" w:hAnsi="宋体" w:cs="宋体"/>
          <w:color w:val="auto"/>
          <w:szCs w:val="24"/>
          <w:highlight w:val="none"/>
        </w:rPr>
        <w:t>应承担相应后果，</w:t>
      </w:r>
      <w:r>
        <w:rPr>
          <w:rFonts w:hint="eastAsia" w:ascii="宋体" w:hAnsi="宋体" w:cs="宋体"/>
          <w:color w:val="auto"/>
          <w:szCs w:val="24"/>
          <w:highlight w:val="none"/>
          <w:lang w:val="zh-CN"/>
        </w:rPr>
        <w:t>并负责赔偿。</w:t>
      </w:r>
      <w:r>
        <w:rPr>
          <w:rFonts w:hint="eastAsia" w:ascii="宋体" w:hAnsi="宋体" w:cs="宋体"/>
          <w:color w:val="auto"/>
          <w:szCs w:val="24"/>
          <w:highlight w:val="none"/>
        </w:rPr>
        <w:t>供应商为执行本项目合同而提供的技术资料等归采购人所有。</w:t>
      </w:r>
    </w:p>
    <w:p w14:paraId="4B6054E6">
      <w:pPr>
        <w:snapToGrid w:val="0"/>
        <w:spacing w:line="440" w:lineRule="exact"/>
        <w:ind w:firstLine="480" w:firstLineChars="200"/>
        <w:jc w:val="left"/>
        <w:rPr>
          <w:rFonts w:ascii="宋体" w:hAnsi="宋体" w:cs="宋体"/>
          <w:color w:val="auto"/>
          <w:sz w:val="24"/>
          <w:highlight w:val="none"/>
        </w:rPr>
      </w:pPr>
      <w:bookmarkStart w:id="22" w:name="_Toc91899873"/>
      <w:r>
        <w:rPr>
          <w:rFonts w:hint="eastAsia" w:ascii="宋体" w:hAnsi="宋体" w:cs="宋体"/>
          <w:color w:val="auto"/>
          <w:sz w:val="24"/>
          <w:highlight w:val="none"/>
        </w:rPr>
        <w:t>1.3本招标文件所称公章是指单位法定名称章或者冠以单位法定名称的电子公章。</w:t>
      </w:r>
    </w:p>
    <w:p w14:paraId="1BCAE53E">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1.4公开招标数额标准以上的采购项目，投标截止后投标人不足3家或者通过资格审查或符合性审查的投标人不足3家的，除采购任务取消情形外，按照以下方式处理：</w:t>
      </w:r>
    </w:p>
    <w:p w14:paraId="6D72C6B4">
      <w:pPr>
        <w:pStyle w:val="45"/>
        <w:numPr>
          <w:ilvl w:val="0"/>
          <w:numId w:val="11"/>
        </w:numPr>
        <w:spacing w:before="0"/>
        <w:ind w:firstLine="480"/>
        <w:rPr>
          <w:rFonts w:ascii="宋体" w:hAnsi="宋体" w:cs="宋体"/>
          <w:color w:val="auto"/>
          <w:szCs w:val="24"/>
          <w:highlight w:val="none"/>
        </w:rPr>
      </w:pPr>
      <w:r>
        <w:rPr>
          <w:rFonts w:hint="eastAsia" w:ascii="宋体" w:hAnsi="宋体" w:cs="宋体"/>
          <w:color w:val="auto"/>
          <w:szCs w:val="24"/>
          <w:highlight w:val="none"/>
        </w:rPr>
        <w:t>招标文件存在不合理条款或者招标程序不符合规定的，采购人、采购代理机构改正后依法重新招标；</w:t>
      </w:r>
    </w:p>
    <w:p w14:paraId="2AC21CF9">
      <w:pPr>
        <w:pStyle w:val="45"/>
        <w:numPr>
          <w:ilvl w:val="0"/>
          <w:numId w:val="11"/>
        </w:numPr>
        <w:spacing w:before="0"/>
        <w:ind w:firstLine="480"/>
        <w:rPr>
          <w:rFonts w:ascii="宋体" w:hAnsi="宋体" w:cs="宋体"/>
          <w:color w:val="auto"/>
          <w:szCs w:val="24"/>
          <w:highlight w:val="none"/>
        </w:rPr>
      </w:pPr>
      <w:r>
        <w:rPr>
          <w:rFonts w:hint="eastAsia" w:ascii="宋体" w:hAnsi="宋体" w:cs="宋体"/>
          <w:color w:val="auto"/>
          <w:szCs w:val="24"/>
          <w:highlight w:val="none"/>
        </w:rPr>
        <w:t>招标文件没有不合理条款、招标程序符合规定，需要采用其他采购方式采购的，采购人应当依法报</w:t>
      </w:r>
      <w:r>
        <w:rPr>
          <w:rFonts w:hint="eastAsia" w:ascii="宋体" w:hAnsi="宋体"/>
          <w:color w:val="auto"/>
          <w:kern w:val="0"/>
          <w:highlight w:val="none"/>
        </w:rPr>
        <w:t>乡镇（街道）</w:t>
      </w:r>
      <w:r>
        <w:rPr>
          <w:rFonts w:hint="eastAsia" w:ascii="宋体" w:hAnsi="宋体" w:cs="宋体"/>
          <w:color w:val="auto"/>
          <w:szCs w:val="24"/>
          <w:highlight w:val="none"/>
        </w:rPr>
        <w:t>批准。</w:t>
      </w:r>
    </w:p>
    <w:p w14:paraId="01454B88">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采购方式</w:t>
      </w:r>
      <w:bookmarkEnd w:id="22"/>
    </w:p>
    <w:p w14:paraId="0518CEF9">
      <w:pPr>
        <w:tabs>
          <w:tab w:val="left" w:pos="37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w:t>
      </w:r>
      <w:bookmarkEnd w:id="20"/>
      <w:bookmarkEnd w:id="21"/>
      <w:bookmarkStart w:id="23" w:name="_Hlt68516771"/>
      <w:bookmarkEnd w:id="23"/>
      <w:bookmarkStart w:id="24" w:name="_Hlt74388212"/>
      <w:bookmarkEnd w:id="24"/>
    </w:p>
    <w:p w14:paraId="21880F98">
      <w:pPr>
        <w:pStyle w:val="16"/>
        <w:numPr>
          <w:ilvl w:val="0"/>
          <w:numId w:val="9"/>
        </w:numPr>
        <w:spacing w:line="360" w:lineRule="auto"/>
        <w:ind w:firstLine="482" w:firstLineChars="200"/>
        <w:rPr>
          <w:rFonts w:hAnsi="宋体" w:cs="宋体"/>
          <w:b/>
          <w:color w:val="auto"/>
          <w:sz w:val="24"/>
          <w:szCs w:val="24"/>
          <w:highlight w:val="none"/>
        </w:rPr>
      </w:pPr>
      <w:bookmarkStart w:id="25" w:name="_Toc91899877"/>
      <w:bookmarkStart w:id="26" w:name="_Hlt74730303"/>
      <w:r>
        <w:rPr>
          <w:rFonts w:hint="eastAsia" w:hAnsi="宋体" w:cs="宋体"/>
          <w:b/>
          <w:color w:val="auto"/>
          <w:sz w:val="24"/>
          <w:szCs w:val="24"/>
          <w:highlight w:val="none"/>
        </w:rPr>
        <w:t>投标费用</w:t>
      </w:r>
      <w:bookmarkEnd w:id="25"/>
    </w:p>
    <w:bookmarkEnd w:id="26"/>
    <w:p w14:paraId="6D445A78">
      <w:pPr>
        <w:autoSpaceDE w:val="0"/>
        <w:autoSpaceDN w:val="0"/>
        <w:spacing w:line="360" w:lineRule="auto"/>
        <w:ind w:firstLine="523" w:firstLineChars="218"/>
        <w:rPr>
          <w:rFonts w:ascii="宋体" w:hAnsi="宋体" w:cs="宋体"/>
          <w:color w:val="auto"/>
          <w:sz w:val="24"/>
          <w:highlight w:val="none"/>
          <w:lang w:val="zh-CN"/>
        </w:rPr>
      </w:pPr>
      <w:r>
        <w:rPr>
          <w:rFonts w:hint="eastAsia" w:ascii="宋体" w:hAnsi="宋体" w:cs="宋体"/>
          <w:color w:val="auto"/>
          <w:sz w:val="24"/>
          <w:highlight w:val="none"/>
        </w:rPr>
        <w:t>投标人需自行承担涉及投标的一切费用（招标文件有其他相反规定除外）。</w:t>
      </w:r>
    </w:p>
    <w:p w14:paraId="7D5B88C2">
      <w:pPr>
        <w:spacing w:line="360" w:lineRule="auto"/>
        <w:jc w:val="center"/>
        <w:rPr>
          <w:rFonts w:ascii="宋体" w:hAnsi="宋体" w:cs="宋体"/>
          <w:b/>
          <w:color w:val="auto"/>
          <w:sz w:val="24"/>
          <w:highlight w:val="none"/>
        </w:rPr>
      </w:pPr>
      <w:bookmarkStart w:id="27" w:name="_Hlt75236290"/>
      <w:bookmarkEnd w:id="27"/>
      <w:bookmarkStart w:id="28" w:name="_Hlt74707468"/>
      <w:bookmarkEnd w:id="28"/>
      <w:bookmarkStart w:id="29" w:name="_Hlt68057669"/>
      <w:bookmarkEnd w:id="29"/>
      <w:bookmarkStart w:id="30" w:name="_Hlt68072990"/>
      <w:bookmarkEnd w:id="30"/>
      <w:bookmarkStart w:id="31" w:name="_Hlt74729768"/>
      <w:bookmarkEnd w:id="31"/>
      <w:bookmarkStart w:id="32" w:name="_Toc91899879"/>
    </w:p>
    <w:p w14:paraId="3695E124">
      <w:pPr>
        <w:snapToGrid w:val="0"/>
        <w:spacing w:line="360" w:lineRule="auto"/>
        <w:jc w:val="center"/>
        <w:outlineLvl w:val="0"/>
        <w:rPr>
          <w:rFonts w:ascii="宋体" w:hAnsi="宋体" w:cs="宋体"/>
          <w:b/>
          <w:color w:val="auto"/>
          <w:sz w:val="32"/>
          <w:highlight w:val="none"/>
        </w:rPr>
      </w:pPr>
      <w:bookmarkStart w:id="33" w:name="_Toc30571"/>
      <w:r>
        <w:rPr>
          <w:rFonts w:hint="eastAsia" w:ascii="宋体" w:hAnsi="宋体" w:cs="宋体"/>
          <w:b/>
          <w:color w:val="auto"/>
          <w:sz w:val="32"/>
          <w:highlight w:val="none"/>
        </w:rPr>
        <w:t>二、招标文件</w:t>
      </w:r>
      <w:bookmarkEnd w:id="32"/>
      <w:bookmarkEnd w:id="33"/>
    </w:p>
    <w:p w14:paraId="17E4F01B">
      <w:pPr>
        <w:pStyle w:val="16"/>
        <w:numPr>
          <w:ilvl w:val="0"/>
          <w:numId w:val="9"/>
        </w:numPr>
        <w:spacing w:line="360" w:lineRule="auto"/>
        <w:ind w:firstLine="482" w:firstLineChars="200"/>
        <w:rPr>
          <w:rFonts w:hAnsi="宋体" w:cs="宋体"/>
          <w:b/>
          <w:color w:val="auto"/>
          <w:sz w:val="24"/>
          <w:szCs w:val="24"/>
          <w:highlight w:val="none"/>
        </w:rPr>
      </w:pPr>
      <w:bookmarkStart w:id="34" w:name="_Toc91899880"/>
      <w:bookmarkStart w:id="35" w:name="_Hlt74730307"/>
      <w:r>
        <w:rPr>
          <w:rFonts w:hint="eastAsia" w:hAnsi="宋体" w:cs="宋体"/>
          <w:b/>
          <w:color w:val="auto"/>
          <w:sz w:val="24"/>
          <w:szCs w:val="24"/>
          <w:highlight w:val="none"/>
        </w:rPr>
        <w:t>招标文件的构成</w:t>
      </w:r>
      <w:bookmarkEnd w:id="34"/>
    </w:p>
    <w:bookmarkEnd w:id="35"/>
    <w:p w14:paraId="55AC70BE">
      <w:pPr>
        <w:pStyle w:val="45"/>
        <w:numPr>
          <w:ilvl w:val="0"/>
          <w:numId w:val="12"/>
        </w:numPr>
        <w:ind w:firstLine="480"/>
        <w:rPr>
          <w:rFonts w:ascii="宋体" w:hAnsi="宋体" w:cs="宋体"/>
          <w:color w:val="auto"/>
          <w:szCs w:val="24"/>
          <w:highlight w:val="none"/>
        </w:rPr>
      </w:pPr>
      <w:r>
        <w:rPr>
          <w:rFonts w:hint="eastAsia" w:ascii="宋体" w:hAnsi="宋体" w:cs="宋体"/>
          <w:color w:val="auto"/>
          <w:szCs w:val="24"/>
          <w:highlight w:val="none"/>
        </w:rPr>
        <w:t>招标文件包括下列文件及附件</w:t>
      </w:r>
    </w:p>
    <w:p w14:paraId="10612378">
      <w:pPr>
        <w:pStyle w:val="45"/>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第一部分 招标公告</w:t>
      </w:r>
    </w:p>
    <w:p w14:paraId="1D82BC3A">
      <w:pPr>
        <w:pStyle w:val="45"/>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第二部分 投标须知</w:t>
      </w:r>
    </w:p>
    <w:p w14:paraId="53676346">
      <w:pPr>
        <w:pStyle w:val="45"/>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第三部分 评标办法及评分标准</w:t>
      </w:r>
    </w:p>
    <w:p w14:paraId="24948C49">
      <w:pPr>
        <w:pStyle w:val="45"/>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第四部分 采购需求</w:t>
      </w:r>
    </w:p>
    <w:p w14:paraId="2CF9D1BD">
      <w:pPr>
        <w:pStyle w:val="45"/>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第五部分 采购合同的一般和特殊条款</w:t>
      </w:r>
    </w:p>
    <w:p w14:paraId="485A057B">
      <w:pPr>
        <w:pStyle w:val="45"/>
        <w:numPr>
          <w:ilvl w:val="0"/>
          <w:numId w:val="13"/>
        </w:numPr>
        <w:spacing w:before="0"/>
        <w:ind w:firstLine="480"/>
        <w:rPr>
          <w:rFonts w:ascii="宋体" w:hAnsi="宋体" w:cs="宋体"/>
          <w:color w:val="auto"/>
          <w:szCs w:val="24"/>
          <w:highlight w:val="none"/>
        </w:rPr>
      </w:pPr>
      <w:r>
        <w:rPr>
          <w:rFonts w:hint="eastAsia" w:ascii="宋体" w:hAnsi="宋体" w:cs="宋体"/>
          <w:color w:val="auto"/>
          <w:szCs w:val="24"/>
          <w:highlight w:val="none"/>
        </w:rPr>
        <w:t>第六部分 应提交的有关格式范例</w:t>
      </w:r>
    </w:p>
    <w:p w14:paraId="1E44DA69">
      <w:pPr>
        <w:pStyle w:val="45"/>
        <w:numPr>
          <w:ilvl w:val="0"/>
          <w:numId w:val="12"/>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投标人应认真审阅招标文件中所有的内容，包括编制和提交采购响应文件须知、评标办法及评分标准、项目技术规范和服务要求、采购合同的一般和特殊条款、应提交的有关格式范例等。</w:t>
      </w:r>
    </w:p>
    <w:p w14:paraId="3D977A4C">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招标文件的解释</w:t>
      </w:r>
    </w:p>
    <w:p w14:paraId="79097D1C">
      <w:pPr>
        <w:pStyle w:val="45"/>
        <w:numPr>
          <w:ilvl w:val="0"/>
          <w:numId w:val="14"/>
        </w:numPr>
        <w:spacing w:before="0"/>
        <w:ind w:firstLine="480"/>
        <w:rPr>
          <w:rFonts w:ascii="宋体" w:hAnsi="宋体" w:cs="宋体"/>
          <w:color w:val="auto"/>
          <w:szCs w:val="24"/>
          <w:highlight w:val="none"/>
        </w:rPr>
      </w:pPr>
      <w:r>
        <w:rPr>
          <w:rFonts w:hint="eastAsia" w:ascii="宋体" w:hAnsi="宋体" w:cs="宋体"/>
          <w:color w:val="auto"/>
          <w:szCs w:val="24"/>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14:paraId="78EC3679">
      <w:pPr>
        <w:pStyle w:val="45"/>
        <w:numPr>
          <w:ilvl w:val="0"/>
          <w:numId w:val="14"/>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14:paraId="03D54083">
      <w:pPr>
        <w:pStyle w:val="45"/>
        <w:numPr>
          <w:ilvl w:val="0"/>
          <w:numId w:val="14"/>
        </w:numPr>
        <w:spacing w:before="0"/>
        <w:ind w:firstLine="480"/>
        <w:rPr>
          <w:rFonts w:ascii="宋体" w:hAnsi="宋体" w:cs="宋体"/>
          <w:color w:val="auto"/>
          <w:szCs w:val="24"/>
          <w:highlight w:val="none"/>
        </w:rPr>
      </w:pPr>
      <w:r>
        <w:rPr>
          <w:rFonts w:hint="eastAsia" w:ascii="宋体" w:hAnsi="宋体" w:cs="宋体"/>
          <w:color w:val="auto"/>
          <w:szCs w:val="24"/>
          <w:highlight w:val="none"/>
        </w:rPr>
        <w:t>不论采购代理机构向投标人发送的资料文件，还是投标人提出的问题，均采用书面形式。</w:t>
      </w:r>
    </w:p>
    <w:p w14:paraId="695BD1B3">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招标文件的修改、澄清</w:t>
      </w:r>
    </w:p>
    <w:p w14:paraId="2D45A4EF">
      <w:pPr>
        <w:pStyle w:val="45"/>
        <w:numPr>
          <w:ilvl w:val="0"/>
          <w:numId w:val="15"/>
        </w:numPr>
        <w:spacing w:before="0"/>
        <w:ind w:firstLine="480"/>
        <w:rPr>
          <w:rFonts w:ascii="宋体" w:hAnsi="宋体" w:cs="宋体"/>
          <w:color w:val="auto"/>
          <w:szCs w:val="24"/>
          <w:highlight w:val="none"/>
        </w:rPr>
      </w:pPr>
      <w:r>
        <w:rPr>
          <w:rFonts w:hint="eastAsia" w:ascii="宋体" w:hAnsi="宋体" w:cs="宋体"/>
          <w:color w:val="auto"/>
          <w:szCs w:val="24"/>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14:paraId="1572816B">
      <w:pPr>
        <w:pStyle w:val="45"/>
        <w:numPr>
          <w:ilvl w:val="0"/>
          <w:numId w:val="15"/>
        </w:numPr>
        <w:spacing w:before="0"/>
        <w:ind w:firstLine="480"/>
        <w:rPr>
          <w:rFonts w:ascii="宋体" w:hAnsi="宋体" w:cs="宋体"/>
          <w:color w:val="auto"/>
          <w:szCs w:val="24"/>
          <w:highlight w:val="none"/>
        </w:rPr>
      </w:pPr>
      <w:r>
        <w:rPr>
          <w:rFonts w:hint="eastAsia" w:ascii="宋体" w:hAnsi="宋体" w:cs="宋体"/>
          <w:color w:val="auto"/>
          <w:szCs w:val="24"/>
          <w:highlight w:val="none"/>
        </w:rPr>
        <w:t>对投标文件中含义不明、表述不一致或有明显计算错误等内容，评标委员会将对投标人进行询标，并要求投标人作电子澄清（询标由专家在乐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14:paraId="683B204D">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投标报价</w:t>
      </w:r>
    </w:p>
    <w:p w14:paraId="302459F3">
      <w:pPr>
        <w:pStyle w:val="45"/>
        <w:numPr>
          <w:ilvl w:val="0"/>
          <w:numId w:val="16"/>
        </w:numPr>
        <w:spacing w:before="0"/>
        <w:ind w:firstLine="480"/>
        <w:rPr>
          <w:rFonts w:ascii="宋体" w:hAnsi="宋体" w:cs="宋体"/>
          <w:color w:val="auto"/>
          <w:szCs w:val="24"/>
          <w:highlight w:val="none"/>
        </w:rPr>
      </w:pPr>
      <w:r>
        <w:rPr>
          <w:rFonts w:hint="eastAsia" w:ascii="宋体" w:hAnsi="宋体" w:cs="宋体"/>
          <w:color w:val="auto"/>
          <w:kern w:val="0"/>
          <w:highlight w:val="none"/>
        </w:rPr>
        <w:t>投标报价统一为人民币计价，本次报价方式为总价包干，包括人员费用（保洁人员、垃圾清理人员及管理人员等）、按规定缴纳的各类保险、福利费、管理费用、税费、劳保用品、保洁用具、</w:t>
      </w:r>
      <w:r>
        <w:rPr>
          <w:rFonts w:hint="eastAsia" w:ascii="宋体" w:hAnsi="宋体" w:cs="宋体"/>
          <w:color w:val="auto"/>
          <w:kern w:val="0"/>
          <w:highlight w:val="none"/>
          <w:lang w:eastAsia="zh-CN"/>
        </w:rPr>
        <w:t>垃圾清运及处置费、设施设备维护及材料、招标代理费</w:t>
      </w:r>
      <w:r>
        <w:rPr>
          <w:rFonts w:hint="eastAsia" w:ascii="宋体" w:hAnsi="宋体" w:cs="宋体"/>
          <w:color w:val="auto"/>
          <w:kern w:val="0"/>
          <w:highlight w:val="none"/>
        </w:rPr>
        <w:t>等本项目所需的一切费用。凡投标人在报价中未列明但又为本次采购所必须的项目或遗漏项目，采购人将一律视为已包括在合同价中，在合同执行中将不再另行支付。</w:t>
      </w:r>
    </w:p>
    <w:p w14:paraId="6F620502">
      <w:pPr>
        <w:pStyle w:val="45"/>
        <w:numPr>
          <w:ilvl w:val="0"/>
          <w:numId w:val="16"/>
        </w:numPr>
        <w:spacing w:before="0"/>
        <w:ind w:firstLine="480"/>
        <w:rPr>
          <w:rFonts w:ascii="宋体" w:hAnsi="宋体" w:cs="宋体"/>
          <w:color w:val="auto"/>
          <w:szCs w:val="24"/>
          <w:highlight w:val="none"/>
        </w:rPr>
      </w:pPr>
      <w:r>
        <w:rPr>
          <w:rFonts w:hint="eastAsia" w:ascii="宋体" w:hAnsi="宋体" w:cs="宋体"/>
          <w:color w:val="auto"/>
          <w:szCs w:val="24"/>
          <w:highlight w:val="none"/>
        </w:rPr>
        <w:t>其它费用处理</w:t>
      </w:r>
    </w:p>
    <w:p w14:paraId="31CA6C4F">
      <w:pPr>
        <w:pStyle w:val="45"/>
        <w:tabs>
          <w:tab w:val="left" w:pos="0"/>
        </w:tabs>
        <w:spacing w:before="0"/>
        <w:ind w:left="420" w:leftChars="200" w:firstLine="0" w:firstLineChars="0"/>
        <w:rPr>
          <w:rFonts w:ascii="宋体" w:hAnsi="宋体" w:cs="宋体"/>
          <w:color w:val="auto"/>
          <w:szCs w:val="24"/>
          <w:highlight w:val="none"/>
        </w:rPr>
      </w:pPr>
      <w:r>
        <w:rPr>
          <w:rFonts w:hint="eastAsia" w:ascii="宋体" w:hAnsi="宋体" w:cs="宋体"/>
          <w:color w:val="auto"/>
          <w:szCs w:val="24"/>
          <w:highlight w:val="none"/>
        </w:rPr>
        <w:t>招标文件未列明，而投标人认为必需的费用也需列入报价。</w:t>
      </w:r>
    </w:p>
    <w:p w14:paraId="6B8E9102">
      <w:pPr>
        <w:pStyle w:val="45"/>
        <w:numPr>
          <w:ilvl w:val="0"/>
          <w:numId w:val="16"/>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投标货币</w:t>
      </w:r>
    </w:p>
    <w:p w14:paraId="3FCEE0FB">
      <w:pPr>
        <w:pStyle w:val="45"/>
        <w:snapToGrid w:val="0"/>
        <w:spacing w:before="0" w:line="500" w:lineRule="exact"/>
        <w:ind w:firstLine="480"/>
        <w:rPr>
          <w:rFonts w:ascii="宋体" w:hAnsi="宋体" w:cs="宋体"/>
          <w:color w:val="auto"/>
          <w:szCs w:val="24"/>
          <w:highlight w:val="none"/>
        </w:rPr>
      </w:pPr>
      <w:r>
        <w:rPr>
          <w:rFonts w:hint="eastAsia" w:ascii="宋体" w:hAnsi="宋体" w:cs="宋体"/>
          <w:color w:val="auto"/>
          <w:szCs w:val="24"/>
          <w:highlight w:val="none"/>
        </w:rPr>
        <w:t>投标文件中价格全部采用人民币报价。报价应是唯一的, 采购代理机构将不接受有选择的报价。</w:t>
      </w:r>
    </w:p>
    <w:p w14:paraId="52FF64B4">
      <w:pPr>
        <w:pStyle w:val="9"/>
        <w:numPr>
          <w:ilvl w:val="0"/>
          <w:numId w:val="0"/>
        </w:numPr>
        <w:snapToGrid w:val="0"/>
        <w:ind w:leftChars="200"/>
        <w:jc w:val="both"/>
        <w:rPr>
          <w:rFonts w:hAnsi="宋体" w:cs="宋体"/>
          <w:color w:val="auto"/>
          <w:szCs w:val="24"/>
          <w:highlight w:val="none"/>
        </w:rPr>
      </w:pPr>
    </w:p>
    <w:p w14:paraId="06366E72">
      <w:pPr>
        <w:snapToGrid w:val="0"/>
        <w:spacing w:line="360" w:lineRule="auto"/>
        <w:jc w:val="center"/>
        <w:outlineLvl w:val="0"/>
        <w:rPr>
          <w:rFonts w:ascii="宋体" w:hAnsi="宋体" w:cs="宋体"/>
          <w:b/>
          <w:color w:val="auto"/>
          <w:sz w:val="32"/>
          <w:highlight w:val="none"/>
        </w:rPr>
      </w:pPr>
      <w:bookmarkStart w:id="36" w:name="_Hlt75236011"/>
      <w:bookmarkEnd w:id="36"/>
      <w:bookmarkStart w:id="37" w:name="_Toc31934"/>
      <w:bookmarkStart w:id="38" w:name="_Toc91899884"/>
      <w:r>
        <w:rPr>
          <w:rFonts w:hint="eastAsia" w:ascii="宋体" w:hAnsi="宋体" w:cs="宋体"/>
          <w:b/>
          <w:color w:val="auto"/>
          <w:sz w:val="32"/>
          <w:highlight w:val="none"/>
        </w:rPr>
        <w:t>三、投标文件的编制</w:t>
      </w:r>
      <w:bookmarkEnd w:id="37"/>
      <w:bookmarkEnd w:id="38"/>
    </w:p>
    <w:p w14:paraId="47C3CF01">
      <w:pPr>
        <w:pStyle w:val="16"/>
        <w:numPr>
          <w:ilvl w:val="0"/>
          <w:numId w:val="9"/>
        </w:numPr>
        <w:spacing w:line="360" w:lineRule="auto"/>
        <w:ind w:firstLine="482" w:firstLineChars="200"/>
        <w:rPr>
          <w:rFonts w:hAnsi="宋体" w:cs="宋体"/>
          <w:b/>
          <w:color w:val="auto"/>
          <w:sz w:val="24"/>
          <w:szCs w:val="24"/>
          <w:highlight w:val="none"/>
        </w:rPr>
      </w:pPr>
      <w:bookmarkStart w:id="39" w:name="_Toc86216991"/>
      <w:bookmarkStart w:id="40" w:name="_Toc91899892"/>
      <w:r>
        <w:rPr>
          <w:rFonts w:hint="eastAsia" w:hAnsi="宋体" w:cs="宋体"/>
          <w:b/>
          <w:color w:val="auto"/>
          <w:sz w:val="24"/>
          <w:szCs w:val="24"/>
          <w:highlight w:val="none"/>
        </w:rPr>
        <w:t>投标文件的语言</w:t>
      </w:r>
    </w:p>
    <w:p w14:paraId="66076D41">
      <w:pPr>
        <w:pStyle w:val="45"/>
        <w:tabs>
          <w:tab w:val="left" w:pos="0"/>
        </w:tabs>
        <w:spacing w:before="0"/>
        <w:ind w:firstLine="480"/>
        <w:rPr>
          <w:rFonts w:ascii="宋体" w:hAnsi="宋体" w:cs="宋体"/>
          <w:color w:val="auto"/>
          <w:szCs w:val="24"/>
          <w:highlight w:val="none"/>
          <w:lang w:val="zh-CN"/>
        </w:rPr>
      </w:pPr>
      <w:r>
        <w:rPr>
          <w:rFonts w:hint="eastAsia" w:ascii="宋体" w:hAnsi="宋体" w:cs="宋体"/>
          <w:color w:val="auto"/>
          <w:szCs w:val="24"/>
          <w:highlight w:val="none"/>
        </w:rPr>
        <w:t>投标文件及投标人与采购有关的来往通知、函件和文件均应使用中文。</w:t>
      </w:r>
    </w:p>
    <w:p w14:paraId="59C9486E">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投标文件的组成</w:t>
      </w:r>
    </w:p>
    <w:p w14:paraId="6DC0BB95">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投标文件应当包括以下主要内容：资格文件、商务技术文件、报价文件。</w:t>
      </w:r>
    </w:p>
    <w:p w14:paraId="5B8C4FBE">
      <w:pPr>
        <w:pStyle w:val="45"/>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资格文件包括以下内容：</w:t>
      </w:r>
    </w:p>
    <w:p w14:paraId="646CC9C3">
      <w:pPr>
        <w:pStyle w:val="45"/>
        <w:numPr>
          <w:ilvl w:val="0"/>
          <w:numId w:val="18"/>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法定代表人授权书（格式见附件）；如法定代表人直接参加谈判并对相应文件签字的（签字是指线下签字扫描后上传或者线上进行电子签章），只需提供其身份证复印件，否则则应提供授权代表身份证复印件；</w:t>
      </w:r>
    </w:p>
    <w:p w14:paraId="57B4403E">
      <w:pPr>
        <w:pStyle w:val="45"/>
        <w:numPr>
          <w:ilvl w:val="0"/>
          <w:numId w:val="18"/>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66BFBC30">
      <w:pPr>
        <w:pStyle w:val="4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谈判响应文件中提供相关材料），证明其具备实际承担责任的能力和法定的缔结合同能力，可以独立参加政府采购活动，由单位负责人签署相关文件材料；</w:t>
      </w:r>
    </w:p>
    <w:p w14:paraId="07E7CE34">
      <w:pPr>
        <w:pStyle w:val="45"/>
        <w:numPr>
          <w:ilvl w:val="0"/>
          <w:numId w:val="18"/>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具有履行合同所必需的产品和专业技术能力的承诺函；</w:t>
      </w:r>
    </w:p>
    <w:p w14:paraId="0AEDC227">
      <w:pPr>
        <w:pStyle w:val="45"/>
        <w:numPr>
          <w:ilvl w:val="0"/>
          <w:numId w:val="18"/>
        </w:numPr>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投标人承诺函</w:t>
      </w:r>
      <w:r>
        <w:rPr>
          <w:rFonts w:hint="eastAsia" w:ascii="宋体" w:hAnsi="宋体" w:eastAsia="宋体" w:cs="宋体"/>
          <w:color w:val="auto"/>
          <w:highlight w:val="none"/>
          <w:lang w:eastAsia="zh-CN"/>
        </w:rPr>
        <w:t>（格式见附件）。</w:t>
      </w:r>
    </w:p>
    <w:p w14:paraId="1260A9E8">
      <w:pPr>
        <w:pStyle w:val="45"/>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商务技术文件，本次招标需要投标人提供以下项所列的技术文件：</w:t>
      </w:r>
    </w:p>
    <w:p w14:paraId="6DDBCEC9">
      <w:pPr>
        <w:pStyle w:val="45"/>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评分对应表（格式见附件，主要用于评委对应评分内容）</w:t>
      </w:r>
      <w:r>
        <w:rPr>
          <w:rFonts w:hint="eastAsia" w:ascii="宋体" w:hAnsi="宋体" w:cs="宋体"/>
          <w:color w:val="auto"/>
          <w:szCs w:val="24"/>
          <w:highlight w:val="none"/>
          <w:lang w:eastAsia="zh-CN"/>
        </w:rPr>
        <w:t>；</w:t>
      </w:r>
    </w:p>
    <w:p w14:paraId="7664BA5F">
      <w:pPr>
        <w:pStyle w:val="45"/>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投标人商务技术文件中资信分自评表（格式见附件）；</w:t>
      </w:r>
    </w:p>
    <w:p w14:paraId="02F17AE2">
      <w:pPr>
        <w:pStyle w:val="45"/>
        <w:numPr>
          <w:ilvl w:val="0"/>
          <w:numId w:val="19"/>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en-US" w:eastAsia="zh-CN"/>
        </w:rPr>
        <w:t>投标</w:t>
      </w:r>
      <w:r>
        <w:rPr>
          <w:rFonts w:hint="eastAsia" w:ascii="宋体" w:hAnsi="宋体" w:cs="宋体"/>
          <w:color w:val="auto"/>
          <w:szCs w:val="24"/>
          <w:highlight w:val="none"/>
        </w:rPr>
        <w:t>项目明细清单（格式见附件）；</w:t>
      </w:r>
    </w:p>
    <w:p w14:paraId="17A85864">
      <w:pPr>
        <w:pStyle w:val="45"/>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商务响应表（格式见附件）；</w:t>
      </w:r>
    </w:p>
    <w:p w14:paraId="0EE04D52">
      <w:pPr>
        <w:pStyle w:val="45"/>
        <w:numPr>
          <w:ilvl w:val="0"/>
          <w:numId w:val="19"/>
        </w:numPr>
        <w:spacing w:before="0"/>
        <w:ind w:firstLine="480"/>
        <w:rPr>
          <w:rFonts w:hint="eastAsia" w:ascii="宋体" w:hAnsi="宋体" w:cs="宋体"/>
          <w:color w:val="auto"/>
          <w:highlight w:val="none"/>
        </w:rPr>
      </w:pPr>
      <w:r>
        <w:rPr>
          <w:rFonts w:hint="eastAsia" w:ascii="宋体" w:hAnsi="宋体" w:cs="宋体"/>
          <w:color w:val="auto"/>
          <w:highlight w:val="none"/>
          <w:lang w:eastAsia="zh-CN"/>
        </w:rPr>
        <w:t>服务方案；</w:t>
      </w:r>
    </w:p>
    <w:p w14:paraId="2B0D429A">
      <w:pPr>
        <w:pStyle w:val="45"/>
        <w:numPr>
          <w:ilvl w:val="0"/>
          <w:numId w:val="19"/>
        </w:numPr>
        <w:spacing w:before="0"/>
        <w:ind w:firstLine="480"/>
        <w:rPr>
          <w:rFonts w:hint="eastAsia" w:ascii="宋体" w:hAnsi="宋体" w:cs="宋体"/>
          <w:color w:val="auto"/>
          <w:highlight w:val="none"/>
        </w:rPr>
      </w:pPr>
      <w:r>
        <w:rPr>
          <w:rFonts w:hint="eastAsia" w:ascii="宋体" w:hAnsi="宋体" w:cs="宋体"/>
          <w:color w:val="auto"/>
          <w:highlight w:val="none"/>
          <w:lang w:eastAsia="zh-CN"/>
        </w:rPr>
        <w:t>重点、难点及解决措施；</w:t>
      </w:r>
    </w:p>
    <w:p w14:paraId="509AEB24">
      <w:pPr>
        <w:pStyle w:val="45"/>
        <w:numPr>
          <w:ilvl w:val="0"/>
          <w:numId w:val="19"/>
        </w:numPr>
        <w:spacing w:before="0"/>
        <w:ind w:firstLine="480"/>
        <w:rPr>
          <w:rFonts w:ascii="宋体" w:hAnsi="宋体" w:cs="宋体"/>
          <w:color w:val="auto"/>
          <w:highlight w:val="none"/>
        </w:rPr>
      </w:pPr>
      <w:r>
        <w:rPr>
          <w:rFonts w:hint="eastAsia" w:ascii="宋体" w:hAnsi="宋体" w:cs="宋体"/>
          <w:color w:val="auto"/>
          <w:highlight w:val="none"/>
        </w:rPr>
        <w:t>设备投入；</w:t>
      </w:r>
    </w:p>
    <w:p w14:paraId="6966F2DD">
      <w:pPr>
        <w:pStyle w:val="45"/>
        <w:numPr>
          <w:ilvl w:val="0"/>
          <w:numId w:val="19"/>
        </w:numPr>
        <w:spacing w:before="0"/>
        <w:ind w:firstLine="480"/>
        <w:rPr>
          <w:rFonts w:ascii="宋体" w:hAnsi="宋体" w:cs="宋体"/>
          <w:color w:val="auto"/>
          <w:highlight w:val="none"/>
        </w:rPr>
      </w:pPr>
      <w:r>
        <w:rPr>
          <w:rFonts w:hint="eastAsia" w:asciiTheme="minorEastAsia" w:hAnsiTheme="minorEastAsia" w:eastAsiaTheme="minorEastAsia" w:cstheme="minorEastAsia"/>
          <w:snapToGrid w:val="0"/>
          <w:color w:val="auto"/>
          <w:sz w:val="24"/>
          <w:highlight w:val="none"/>
        </w:rPr>
        <w:t>人员配</w:t>
      </w:r>
      <w:r>
        <w:rPr>
          <w:rFonts w:hint="eastAsia" w:asciiTheme="minorEastAsia" w:hAnsiTheme="minorEastAsia" w:eastAsiaTheme="minorEastAsia" w:cstheme="minorEastAsia"/>
          <w:snapToGrid w:val="0"/>
          <w:color w:val="auto"/>
          <w:sz w:val="24"/>
          <w:highlight w:val="none"/>
          <w:lang w:val="en-US" w:eastAsia="zh-CN"/>
        </w:rPr>
        <w:t>备</w:t>
      </w:r>
      <w:r>
        <w:rPr>
          <w:rFonts w:hint="eastAsia" w:ascii="宋体" w:hAnsi="宋体" w:cs="宋体"/>
          <w:color w:val="auto"/>
          <w:highlight w:val="none"/>
        </w:rPr>
        <w:t>；</w:t>
      </w:r>
    </w:p>
    <w:p w14:paraId="370CE4FD">
      <w:pPr>
        <w:pStyle w:val="45"/>
        <w:numPr>
          <w:ilvl w:val="0"/>
          <w:numId w:val="19"/>
        </w:numPr>
        <w:spacing w:before="0"/>
        <w:ind w:firstLine="480"/>
        <w:rPr>
          <w:rFonts w:ascii="宋体" w:hAnsi="宋体" w:cs="宋体"/>
          <w:color w:val="auto"/>
          <w:highlight w:val="none"/>
        </w:rPr>
      </w:pPr>
      <w:r>
        <w:rPr>
          <w:rFonts w:hint="eastAsia" w:asciiTheme="minorEastAsia" w:hAnsiTheme="minorEastAsia" w:eastAsiaTheme="minorEastAsia" w:cstheme="minorEastAsia"/>
          <w:snapToGrid w:val="0"/>
          <w:color w:val="auto"/>
          <w:sz w:val="24"/>
          <w:highlight w:val="none"/>
          <w:lang w:val="en-US" w:eastAsia="zh-CN"/>
        </w:rPr>
        <w:t>管理制度</w:t>
      </w:r>
      <w:r>
        <w:rPr>
          <w:rFonts w:hint="eastAsia" w:ascii="宋体" w:hAnsi="宋体" w:cs="宋体"/>
          <w:color w:val="auto"/>
          <w:highlight w:val="none"/>
        </w:rPr>
        <w:t>；</w:t>
      </w:r>
    </w:p>
    <w:p w14:paraId="040252BE">
      <w:pPr>
        <w:pStyle w:val="45"/>
        <w:numPr>
          <w:ilvl w:val="0"/>
          <w:numId w:val="19"/>
        </w:numPr>
        <w:spacing w:before="0"/>
        <w:ind w:firstLine="480"/>
        <w:rPr>
          <w:rFonts w:hint="eastAsia" w:ascii="宋体" w:hAnsi="宋体" w:cs="宋体"/>
          <w:color w:val="auto"/>
          <w:highlight w:val="none"/>
        </w:rPr>
      </w:pPr>
      <w:r>
        <w:rPr>
          <w:rStyle w:val="49"/>
          <w:rFonts w:hint="eastAsia" w:hAnsi="宋体" w:eastAsia="宋体"/>
          <w:color w:val="auto"/>
          <w:kern w:val="0"/>
          <w:sz w:val="24"/>
          <w:szCs w:val="24"/>
          <w:highlight w:val="none"/>
          <w:lang w:eastAsia="zh-CN"/>
        </w:rPr>
        <w:t>保证措施</w:t>
      </w:r>
      <w:r>
        <w:rPr>
          <w:rStyle w:val="49"/>
          <w:rFonts w:hint="eastAsia" w:hAnsi="宋体"/>
          <w:color w:val="auto"/>
          <w:kern w:val="0"/>
          <w:sz w:val="24"/>
          <w:szCs w:val="24"/>
          <w:highlight w:val="none"/>
          <w:lang w:eastAsia="zh-CN"/>
        </w:rPr>
        <w:t>；</w:t>
      </w:r>
    </w:p>
    <w:p w14:paraId="0D245DA6">
      <w:pPr>
        <w:pStyle w:val="45"/>
        <w:numPr>
          <w:ilvl w:val="0"/>
          <w:numId w:val="19"/>
        </w:numPr>
        <w:spacing w:before="0"/>
        <w:ind w:firstLine="480"/>
        <w:rPr>
          <w:rFonts w:hint="eastAsia" w:ascii="宋体" w:hAnsi="宋体" w:cs="宋体"/>
          <w:color w:val="auto"/>
          <w:highlight w:val="none"/>
        </w:rPr>
      </w:pPr>
      <w:r>
        <w:rPr>
          <w:rFonts w:hint="eastAsia" w:ascii="宋体" w:hAnsi="宋体" w:cs="宋体"/>
          <w:color w:val="auto"/>
          <w:highlight w:val="none"/>
          <w:lang w:eastAsia="zh-CN"/>
        </w:rPr>
        <w:t>特殊时期的应急保障措施；</w:t>
      </w:r>
    </w:p>
    <w:p w14:paraId="66BAA36E">
      <w:pPr>
        <w:pStyle w:val="45"/>
        <w:numPr>
          <w:ilvl w:val="0"/>
          <w:numId w:val="19"/>
        </w:numPr>
        <w:spacing w:before="0"/>
        <w:ind w:firstLine="480"/>
        <w:rPr>
          <w:rFonts w:hint="eastAsia" w:ascii="宋体" w:hAnsi="宋体" w:cs="宋体"/>
          <w:color w:val="auto"/>
          <w:highlight w:val="none"/>
        </w:rPr>
      </w:pPr>
      <w:r>
        <w:rPr>
          <w:rFonts w:hint="eastAsia" w:ascii="宋体" w:hAnsi="宋体" w:cs="宋体"/>
          <w:color w:val="auto"/>
          <w:highlight w:val="none"/>
          <w:lang w:val="en-US" w:eastAsia="zh-CN"/>
        </w:rPr>
        <w:t>增值服务</w:t>
      </w:r>
      <w:r>
        <w:rPr>
          <w:rFonts w:hint="eastAsia" w:ascii="宋体" w:hAnsi="宋体" w:cs="宋体"/>
          <w:color w:val="auto"/>
          <w:highlight w:val="none"/>
          <w:lang w:eastAsia="zh-CN"/>
        </w:rPr>
        <w:t>；</w:t>
      </w:r>
    </w:p>
    <w:p w14:paraId="694F5B3F">
      <w:pPr>
        <w:pStyle w:val="45"/>
        <w:numPr>
          <w:ilvl w:val="0"/>
          <w:numId w:val="19"/>
        </w:numPr>
        <w:spacing w:before="0"/>
        <w:ind w:firstLine="480"/>
        <w:rPr>
          <w:rFonts w:hint="eastAsia" w:ascii="宋体" w:hAnsi="宋体" w:cs="宋体"/>
          <w:color w:val="auto"/>
          <w:highlight w:val="none"/>
        </w:rPr>
      </w:pPr>
      <w:r>
        <w:rPr>
          <w:rFonts w:hint="eastAsia" w:ascii="宋体" w:hAnsi="宋体" w:cs="宋体"/>
          <w:color w:val="auto"/>
          <w:highlight w:val="none"/>
          <w:lang w:val="en-US" w:eastAsia="zh-CN"/>
        </w:rPr>
        <w:t>应急服务响应；</w:t>
      </w:r>
    </w:p>
    <w:p w14:paraId="10FF4A18">
      <w:pPr>
        <w:pStyle w:val="45"/>
        <w:numPr>
          <w:ilvl w:val="0"/>
          <w:numId w:val="19"/>
        </w:numPr>
        <w:spacing w:before="0"/>
        <w:ind w:firstLine="480"/>
        <w:rPr>
          <w:rFonts w:hint="eastAsia" w:ascii="宋体" w:hAnsi="宋体" w:cs="宋体"/>
          <w:color w:val="auto"/>
          <w:highlight w:val="none"/>
        </w:rPr>
      </w:pPr>
      <w:r>
        <w:rPr>
          <w:rFonts w:hint="eastAsia" w:ascii="宋体" w:hAnsi="宋体" w:cs="宋体"/>
          <w:color w:val="auto"/>
          <w:kern w:val="0"/>
          <w:sz w:val="24"/>
          <w:highlight w:val="none"/>
          <w:lang w:val="en-US" w:eastAsia="zh-CN"/>
        </w:rPr>
        <w:t>类似</w:t>
      </w:r>
      <w:r>
        <w:rPr>
          <w:rFonts w:hint="eastAsia" w:ascii="宋体" w:hAnsi="宋体" w:eastAsia="宋体" w:cs="宋体"/>
          <w:color w:val="auto"/>
          <w:kern w:val="0"/>
          <w:sz w:val="24"/>
          <w:highlight w:val="none"/>
        </w:rPr>
        <w:t>业绩</w:t>
      </w:r>
      <w:r>
        <w:rPr>
          <w:rFonts w:hint="eastAsia" w:ascii="宋体" w:hAnsi="宋体" w:cs="宋体"/>
          <w:color w:val="auto"/>
          <w:highlight w:val="none"/>
          <w:lang w:eastAsia="zh-CN"/>
        </w:rPr>
        <w:t>；</w:t>
      </w:r>
    </w:p>
    <w:p w14:paraId="3A9F5754">
      <w:pPr>
        <w:pStyle w:val="45"/>
        <w:numPr>
          <w:ilvl w:val="0"/>
          <w:numId w:val="19"/>
        </w:numPr>
        <w:spacing w:before="0"/>
        <w:ind w:firstLine="480"/>
        <w:rPr>
          <w:rFonts w:hint="eastAsia" w:ascii="宋体" w:hAnsi="宋体" w:cs="宋体"/>
          <w:color w:val="auto"/>
          <w:highlight w:val="none"/>
        </w:rPr>
      </w:pPr>
      <w:r>
        <w:rPr>
          <w:rFonts w:hint="eastAsia" w:ascii="宋体" w:hAnsi="宋体" w:cs="宋体"/>
          <w:color w:val="auto"/>
          <w:highlight w:val="none"/>
          <w:lang w:eastAsia="zh-CN"/>
        </w:rPr>
        <w:t>企业</w:t>
      </w:r>
      <w:r>
        <w:rPr>
          <w:rFonts w:hint="eastAsia" w:ascii="宋体" w:hAnsi="宋体" w:cs="宋体"/>
          <w:color w:val="auto"/>
          <w:highlight w:val="none"/>
        </w:rPr>
        <w:t>认证</w:t>
      </w:r>
      <w:r>
        <w:rPr>
          <w:rFonts w:hint="eastAsia" w:ascii="宋体" w:hAnsi="宋体" w:cs="宋体"/>
          <w:color w:val="auto"/>
          <w:highlight w:val="none"/>
          <w:lang w:eastAsia="zh-CN"/>
        </w:rPr>
        <w:t>；</w:t>
      </w:r>
    </w:p>
    <w:p w14:paraId="4D7CB92A">
      <w:pPr>
        <w:pStyle w:val="45"/>
        <w:numPr>
          <w:ilvl w:val="0"/>
          <w:numId w:val="19"/>
        </w:numPr>
        <w:spacing w:before="0"/>
        <w:ind w:firstLine="480"/>
        <w:rPr>
          <w:rFonts w:ascii="宋体" w:hAnsi="宋体" w:cs="宋体"/>
          <w:color w:val="auto"/>
          <w:szCs w:val="24"/>
          <w:highlight w:val="none"/>
        </w:rPr>
      </w:pPr>
      <w:r>
        <w:rPr>
          <w:rFonts w:hint="eastAsia" w:ascii="宋体" w:hAnsi="宋体" w:cs="宋体"/>
          <w:color w:val="auto"/>
          <w:szCs w:val="24"/>
          <w:highlight w:val="none"/>
        </w:rPr>
        <w:t>其他与本项目有关的证明文件：商务技术文件中要求递交的其他相关文件。</w:t>
      </w:r>
    </w:p>
    <w:p w14:paraId="126A71A5">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投标人在投标文件中应对项目技术规范和服务要求中所提出各项要求进行答复、说明和解释。如果投标人注明无偏离，评标结束后、签订采购合同前又认为其实际</w:t>
      </w:r>
      <w:r>
        <w:rPr>
          <w:rFonts w:hint="eastAsia" w:ascii="宋体" w:hAnsi="宋体" w:cs="宋体"/>
          <w:color w:val="auto"/>
          <w:szCs w:val="24"/>
          <w:highlight w:val="none"/>
          <w:lang w:val="en-US" w:eastAsia="zh-CN"/>
        </w:rPr>
        <w:t>服务</w:t>
      </w:r>
      <w:r>
        <w:rPr>
          <w:rFonts w:hint="eastAsia" w:ascii="宋体" w:hAnsi="宋体" w:cs="宋体"/>
          <w:color w:val="auto"/>
          <w:szCs w:val="24"/>
          <w:highlight w:val="none"/>
        </w:rPr>
        <w:t>与投标需求不一致的，视为投标人在投标有效期内对其投标文件进行了实质性修改，其投标将被追认为无效投标。</w:t>
      </w:r>
      <w:r>
        <w:rPr>
          <w:rFonts w:hint="eastAsia" w:ascii="宋体" w:hAnsi="宋体" w:cs="宋体"/>
          <w:b/>
          <w:bCs/>
          <w:color w:val="auto"/>
          <w:szCs w:val="24"/>
          <w:highlight w:val="none"/>
        </w:rPr>
        <w:t>采购代理机构将把这一情况报送采购监管部门。</w:t>
      </w:r>
    </w:p>
    <w:p w14:paraId="37A2F000">
      <w:pPr>
        <w:pStyle w:val="45"/>
        <w:numPr>
          <w:ilvl w:val="0"/>
          <w:numId w:val="17"/>
        </w:numPr>
        <w:spacing w:before="0"/>
        <w:ind w:firstLine="480"/>
        <w:rPr>
          <w:rFonts w:ascii="宋体" w:hAnsi="宋体" w:cs="宋体"/>
          <w:color w:val="auto"/>
          <w:szCs w:val="24"/>
          <w:highlight w:val="none"/>
        </w:rPr>
      </w:pPr>
      <w:r>
        <w:rPr>
          <w:rFonts w:hint="eastAsia" w:ascii="宋体" w:hAnsi="宋体" w:cs="宋体"/>
          <w:color w:val="auto"/>
          <w:szCs w:val="24"/>
          <w:highlight w:val="none"/>
        </w:rPr>
        <w:t>报价文件包括以下内容：</w:t>
      </w:r>
    </w:p>
    <w:p w14:paraId="77A9FA6A">
      <w:pPr>
        <w:pStyle w:val="45"/>
        <w:numPr>
          <w:ilvl w:val="0"/>
          <w:numId w:val="20"/>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投标函（格式见附件）；</w:t>
      </w:r>
    </w:p>
    <w:p w14:paraId="3A68CDD6">
      <w:pPr>
        <w:pStyle w:val="45"/>
        <w:numPr>
          <w:ilvl w:val="0"/>
          <w:numId w:val="20"/>
        </w:numPr>
        <w:spacing w:before="0"/>
        <w:ind w:firstLine="480"/>
        <w:rPr>
          <w:rFonts w:ascii="宋体" w:hAnsi="宋体" w:cs="宋体"/>
          <w:color w:val="auto"/>
          <w:szCs w:val="24"/>
          <w:highlight w:val="none"/>
        </w:rPr>
      </w:pPr>
      <w:r>
        <w:rPr>
          <w:rFonts w:hint="eastAsia" w:ascii="宋体" w:hAnsi="宋体" w:cs="宋体"/>
          <w:color w:val="auto"/>
          <w:szCs w:val="24"/>
          <w:highlight w:val="none"/>
        </w:rPr>
        <w:t>开标一览表（格式见附件）；</w:t>
      </w:r>
    </w:p>
    <w:p w14:paraId="30F0DF1F">
      <w:pPr>
        <w:pStyle w:val="45"/>
        <w:numPr>
          <w:ilvl w:val="0"/>
          <w:numId w:val="20"/>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投标报价明细表（格式见附件）。</w:t>
      </w:r>
    </w:p>
    <w:p w14:paraId="079851BD">
      <w:pPr>
        <w:pStyle w:val="16"/>
        <w:numPr>
          <w:ilvl w:val="0"/>
          <w:numId w:val="9"/>
        </w:numPr>
        <w:spacing w:line="360" w:lineRule="auto"/>
        <w:ind w:firstLine="482" w:firstLineChars="200"/>
        <w:rPr>
          <w:rFonts w:hAnsi="宋体" w:cs="宋体"/>
          <w:b/>
          <w:color w:val="auto"/>
          <w:sz w:val="24"/>
          <w:szCs w:val="24"/>
          <w:highlight w:val="none"/>
        </w:rPr>
      </w:pPr>
      <w:bookmarkStart w:id="41" w:name="_Toc91899887"/>
      <w:r>
        <w:rPr>
          <w:rFonts w:hint="eastAsia" w:hAnsi="宋体" w:cs="宋体"/>
          <w:b/>
          <w:color w:val="auto"/>
          <w:sz w:val="24"/>
          <w:szCs w:val="24"/>
          <w:highlight w:val="none"/>
        </w:rPr>
        <w:t>投标有效期</w:t>
      </w:r>
    </w:p>
    <w:p w14:paraId="69FF0EC1">
      <w:pPr>
        <w:pStyle w:val="45"/>
        <w:numPr>
          <w:ilvl w:val="0"/>
          <w:numId w:val="21"/>
        </w:numPr>
        <w:spacing w:before="0"/>
        <w:ind w:firstLine="480"/>
        <w:rPr>
          <w:rFonts w:ascii="宋体" w:hAnsi="宋体" w:cs="宋体"/>
          <w:color w:val="auto"/>
          <w:szCs w:val="24"/>
          <w:highlight w:val="none"/>
        </w:rPr>
      </w:pPr>
      <w:r>
        <w:rPr>
          <w:rFonts w:hint="eastAsia" w:ascii="宋体" w:hAnsi="宋体" w:cs="宋体"/>
          <w:color w:val="auto"/>
          <w:highlight w:val="none"/>
        </w:rPr>
        <w:t>投标文件未在投标截止时间前完成传输的或者未按时解密的，视为放弃投标；投标文件解密失败后未提供备份文件或者备份文件也出现异常情况无法进行评审的，亦视为放弃投标。</w:t>
      </w:r>
    </w:p>
    <w:p w14:paraId="6AF72399">
      <w:pPr>
        <w:pStyle w:val="45"/>
        <w:numPr>
          <w:ilvl w:val="0"/>
          <w:numId w:val="21"/>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投标文件上传后，自投标截止日期起，在前附表所列的投标有效期内有效。</w:t>
      </w:r>
    </w:p>
    <w:p w14:paraId="691F456F">
      <w:pPr>
        <w:pStyle w:val="45"/>
        <w:numPr>
          <w:ilvl w:val="0"/>
          <w:numId w:val="21"/>
        </w:numPr>
        <w:spacing w:before="0"/>
        <w:ind w:firstLine="480"/>
        <w:rPr>
          <w:rFonts w:ascii="宋体" w:hAnsi="宋体" w:cs="宋体"/>
          <w:color w:val="auto"/>
          <w:szCs w:val="24"/>
          <w:highlight w:val="none"/>
        </w:rPr>
      </w:pPr>
      <w:r>
        <w:rPr>
          <w:rFonts w:hint="eastAsia" w:ascii="宋体" w:hAnsi="宋体" w:cs="宋体"/>
          <w:color w:val="auto"/>
          <w:szCs w:val="24"/>
          <w:highlight w:val="none"/>
        </w:rPr>
        <w:t>在原定投标有效期满之前，如果出现特殊情况，采购代理机构可以以书面形式通知投标人延长投标有效期。</w:t>
      </w:r>
    </w:p>
    <w:p w14:paraId="45E23475">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投标人如有下列情况之一者列入不良行为记录：</w:t>
      </w:r>
    </w:p>
    <w:p w14:paraId="2342E59E">
      <w:pPr>
        <w:pStyle w:val="45"/>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投标人在投标有效期内撤回投标的；</w:t>
      </w:r>
    </w:p>
    <w:p w14:paraId="55324141">
      <w:pPr>
        <w:pStyle w:val="45"/>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中标人或中标候选人放弃中标或中标候选人资格的；</w:t>
      </w:r>
    </w:p>
    <w:p w14:paraId="6AB7B7BE">
      <w:pPr>
        <w:pStyle w:val="45"/>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擅自修改或拒绝接受已经确认的条款；</w:t>
      </w:r>
    </w:p>
    <w:p w14:paraId="6670C1CA">
      <w:pPr>
        <w:pStyle w:val="45"/>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中标人未按规定与采购人签订合同；</w:t>
      </w:r>
    </w:p>
    <w:p w14:paraId="05577368">
      <w:pPr>
        <w:pStyle w:val="45"/>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未按规定提供履约保证金；</w:t>
      </w:r>
    </w:p>
    <w:p w14:paraId="62554829">
      <w:pPr>
        <w:pStyle w:val="45"/>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投标人采取提供虚假资料等不正当手段的；</w:t>
      </w:r>
    </w:p>
    <w:p w14:paraId="6E9DCB21">
      <w:pPr>
        <w:pStyle w:val="45"/>
        <w:numPr>
          <w:ilvl w:val="0"/>
          <w:numId w:val="22"/>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投标人在投标过程中串通投标的。</w:t>
      </w:r>
    </w:p>
    <w:p w14:paraId="01616487">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投标文件的编制和签署</w:t>
      </w:r>
    </w:p>
    <w:bookmarkEnd w:id="41"/>
    <w:p w14:paraId="1EE6FEB6">
      <w:pPr>
        <w:pStyle w:val="45"/>
        <w:numPr>
          <w:ilvl w:val="0"/>
          <w:numId w:val="23"/>
        </w:numPr>
        <w:spacing w:before="0"/>
        <w:ind w:firstLine="480"/>
        <w:rPr>
          <w:rFonts w:ascii="宋体" w:hAnsi="宋体" w:cs="宋体"/>
          <w:color w:val="auto"/>
          <w:szCs w:val="24"/>
          <w:highlight w:val="none"/>
        </w:rPr>
      </w:pPr>
      <w:r>
        <w:rPr>
          <w:rFonts w:hint="eastAsia" w:ascii="宋体" w:hAnsi="宋体" w:cs="宋体"/>
          <w:color w:val="auto"/>
          <w:highlight w:val="none"/>
        </w:rPr>
        <w:t>按招标文件9.1条、9.2条、9.3条要求提供的各种文件，投标文件分为资格文件、商务技术文件和报价文件三部分。</w:t>
      </w:r>
    </w:p>
    <w:p w14:paraId="2EBBD1B8">
      <w:pPr>
        <w:pStyle w:val="45"/>
        <w:numPr>
          <w:ilvl w:val="0"/>
          <w:numId w:val="23"/>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投标文件须按附件格式要求进行电子签章，投标人应写全称。（电子投标文件中所须加盖公章部分均应采用电子签章）</w:t>
      </w:r>
    </w:p>
    <w:p w14:paraId="402364C8">
      <w:pPr>
        <w:pStyle w:val="45"/>
        <w:numPr>
          <w:ilvl w:val="0"/>
          <w:numId w:val="23"/>
        </w:numPr>
        <w:spacing w:before="0"/>
        <w:ind w:firstLine="480"/>
        <w:rPr>
          <w:rFonts w:ascii="宋体" w:hAnsi="宋体" w:cs="宋体"/>
          <w:color w:val="auto"/>
          <w:szCs w:val="24"/>
          <w:highlight w:val="none"/>
        </w:rPr>
      </w:pPr>
      <w:r>
        <w:rPr>
          <w:rFonts w:hint="eastAsia" w:ascii="宋体" w:hAnsi="宋体" w:cs="宋体"/>
          <w:color w:val="auto"/>
          <w:szCs w:val="24"/>
          <w:highlight w:val="none"/>
        </w:rPr>
        <w:t>全套投标文件应无涂改和行间插字，除非这些删改是根据采购代理机构要求进行，或者是投标人造成的必须修改的错误。所修改处应由法定代表人或其授权代表签字盖章予以确认。</w:t>
      </w:r>
    </w:p>
    <w:p w14:paraId="294E6D5E">
      <w:pPr>
        <w:pStyle w:val="45"/>
        <w:numPr>
          <w:ilvl w:val="0"/>
          <w:numId w:val="23"/>
        </w:numPr>
        <w:spacing w:before="0"/>
        <w:ind w:firstLine="480"/>
        <w:rPr>
          <w:rFonts w:ascii="宋体" w:hAnsi="宋体" w:cs="宋体"/>
          <w:color w:val="auto"/>
          <w:szCs w:val="24"/>
          <w:highlight w:val="none"/>
        </w:rPr>
      </w:pPr>
      <w:r>
        <w:rPr>
          <w:rFonts w:hint="eastAsia" w:ascii="宋体" w:hAnsi="宋体" w:cs="宋体"/>
          <w:color w:val="auto"/>
          <w:szCs w:val="24"/>
          <w:highlight w:val="none"/>
        </w:rPr>
        <w:t>由于字迹模糊或表达不清引起的后果由投标人负责。</w:t>
      </w:r>
    </w:p>
    <w:p w14:paraId="768DBF76">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 投标文件的形式</w:t>
      </w:r>
    </w:p>
    <w:p w14:paraId="3A92AC22">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szCs w:val="21"/>
          <w:highlight w:val="none"/>
        </w:rPr>
        <w:t>投标文件为电子投标文件，电子投标文件按“乐采云供应商项目采购-电子招投标操作指南”及本招标文件要求制作、加密传输。</w:t>
      </w:r>
      <w:r>
        <w:rPr>
          <w:rFonts w:hint="eastAsia" w:ascii="宋体" w:hAnsi="宋体" w:cs="宋体"/>
          <w:color w:val="auto"/>
          <w:sz w:val="24"/>
          <w:highlight w:val="none"/>
        </w:rPr>
        <w:t xml:space="preserve"> </w:t>
      </w:r>
    </w:p>
    <w:p w14:paraId="192A1F02">
      <w:pPr>
        <w:spacing w:line="360" w:lineRule="auto"/>
        <w:jc w:val="center"/>
        <w:rPr>
          <w:rFonts w:ascii="宋体" w:hAnsi="宋体" w:cs="宋体"/>
          <w:b/>
          <w:color w:val="auto"/>
          <w:sz w:val="24"/>
          <w:highlight w:val="none"/>
        </w:rPr>
      </w:pPr>
    </w:p>
    <w:p w14:paraId="59723225">
      <w:pPr>
        <w:snapToGrid w:val="0"/>
        <w:spacing w:line="360" w:lineRule="auto"/>
        <w:jc w:val="center"/>
        <w:outlineLvl w:val="0"/>
        <w:rPr>
          <w:rFonts w:ascii="宋体" w:hAnsi="宋体" w:cs="宋体"/>
          <w:b/>
          <w:color w:val="auto"/>
          <w:sz w:val="32"/>
          <w:highlight w:val="none"/>
        </w:rPr>
      </w:pPr>
      <w:bookmarkStart w:id="42" w:name="_Toc30606"/>
      <w:r>
        <w:rPr>
          <w:rFonts w:hint="eastAsia" w:ascii="宋体" w:hAnsi="宋体" w:cs="宋体"/>
          <w:b/>
          <w:color w:val="auto"/>
          <w:sz w:val="32"/>
          <w:highlight w:val="none"/>
        </w:rPr>
        <w:t>四、投标文件的递交</w:t>
      </w:r>
      <w:bookmarkEnd w:id="39"/>
      <w:bookmarkEnd w:id="42"/>
    </w:p>
    <w:bookmarkEnd w:id="40"/>
    <w:p w14:paraId="4D7570B9">
      <w:pPr>
        <w:pStyle w:val="16"/>
        <w:numPr>
          <w:ilvl w:val="0"/>
          <w:numId w:val="9"/>
        </w:numPr>
        <w:spacing w:line="360" w:lineRule="auto"/>
        <w:ind w:firstLine="482" w:firstLineChars="200"/>
        <w:rPr>
          <w:rFonts w:hAnsi="宋体" w:cs="宋体"/>
          <w:b/>
          <w:color w:val="auto"/>
          <w:sz w:val="24"/>
          <w:szCs w:val="24"/>
          <w:highlight w:val="none"/>
        </w:rPr>
      </w:pPr>
      <w:bookmarkStart w:id="43" w:name="第三部分"/>
      <w:bookmarkStart w:id="44" w:name="_Toc164416483"/>
      <w:r>
        <w:rPr>
          <w:rFonts w:hint="eastAsia" w:hAnsi="宋体" w:cs="宋体"/>
          <w:b/>
          <w:color w:val="auto"/>
          <w:sz w:val="24"/>
          <w:szCs w:val="24"/>
          <w:highlight w:val="none"/>
        </w:rPr>
        <w:t>投标截止期</w:t>
      </w:r>
    </w:p>
    <w:p w14:paraId="0ED8D598">
      <w:pPr>
        <w:pStyle w:val="45"/>
        <w:numPr>
          <w:ilvl w:val="0"/>
          <w:numId w:val="24"/>
        </w:numPr>
        <w:spacing w:before="0"/>
        <w:ind w:firstLine="480"/>
        <w:rPr>
          <w:rFonts w:ascii="宋体" w:hAnsi="宋体" w:cs="宋体"/>
          <w:color w:val="auto"/>
          <w:szCs w:val="24"/>
          <w:highlight w:val="none"/>
        </w:rPr>
      </w:pPr>
      <w:r>
        <w:rPr>
          <w:rFonts w:hint="eastAsia" w:ascii="宋体" w:hAnsi="宋体" w:cs="宋体"/>
          <w:color w:val="auto"/>
          <w:highlight w:val="none"/>
        </w:rPr>
        <w:t>投标文件必须在规定的投标截止时间前在乐采云系统内完成传输，以纸质、电报、电话、传真形式的投标概不接受。为应对投标文件解密失败等异常情况，投标人可指派授权代表在投标截止时间之前到达开标地点提交备份文件。</w:t>
      </w:r>
    </w:p>
    <w:p w14:paraId="1A6973A1">
      <w:pPr>
        <w:pStyle w:val="45"/>
        <w:numPr>
          <w:ilvl w:val="0"/>
          <w:numId w:val="24"/>
        </w:numPr>
        <w:spacing w:before="0"/>
        <w:ind w:firstLine="480"/>
        <w:rPr>
          <w:rFonts w:ascii="宋体" w:hAnsi="宋体" w:cs="宋体"/>
          <w:color w:val="auto"/>
          <w:highlight w:val="none"/>
        </w:rPr>
      </w:pPr>
      <w:r>
        <w:rPr>
          <w:rFonts w:hint="eastAsia" w:ascii="宋体" w:hAnsi="宋体" w:cs="宋体"/>
          <w:color w:val="auto"/>
          <w:highlight w:val="none"/>
        </w:rPr>
        <w:t>采购人因故推迟投标截止时间，将以公告形式通知。在这种情况下，采购人和投标人的权利和义务将受到新的截止时间的约束。</w:t>
      </w:r>
    </w:p>
    <w:p w14:paraId="59248BE2">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投标文件的修改、撤销</w:t>
      </w:r>
    </w:p>
    <w:p w14:paraId="4AB4A023">
      <w:pPr>
        <w:pStyle w:val="16"/>
        <w:spacing w:line="360" w:lineRule="auto"/>
        <w:ind w:firstLine="480" w:firstLineChars="200"/>
        <w:rPr>
          <w:rFonts w:hAnsi="宋体" w:cs="宋体"/>
          <w:color w:val="auto"/>
          <w:sz w:val="24"/>
          <w:highlight w:val="none"/>
        </w:rPr>
      </w:pPr>
      <w:r>
        <w:rPr>
          <w:rFonts w:hint="eastAsia" w:hAnsi="宋体" w:cs="宋体"/>
          <w:color w:val="auto"/>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12A88531">
      <w:pPr>
        <w:spacing w:line="360" w:lineRule="auto"/>
        <w:jc w:val="center"/>
        <w:rPr>
          <w:rFonts w:ascii="宋体" w:hAnsi="宋体" w:cs="宋体"/>
          <w:b/>
          <w:color w:val="auto"/>
          <w:sz w:val="24"/>
          <w:highlight w:val="none"/>
        </w:rPr>
      </w:pPr>
      <w:bookmarkStart w:id="45" w:name="_Toc91899897"/>
    </w:p>
    <w:p w14:paraId="139150E6">
      <w:pPr>
        <w:snapToGrid w:val="0"/>
        <w:spacing w:line="360" w:lineRule="auto"/>
        <w:jc w:val="center"/>
        <w:outlineLvl w:val="0"/>
        <w:rPr>
          <w:rFonts w:ascii="宋体" w:hAnsi="宋体" w:cs="宋体"/>
          <w:b/>
          <w:color w:val="auto"/>
          <w:sz w:val="32"/>
          <w:highlight w:val="none"/>
        </w:rPr>
      </w:pPr>
      <w:bookmarkStart w:id="46" w:name="_Toc29172"/>
      <w:r>
        <w:rPr>
          <w:rFonts w:hint="eastAsia" w:ascii="宋体" w:hAnsi="宋体" w:cs="宋体"/>
          <w:b/>
          <w:color w:val="auto"/>
          <w:sz w:val="32"/>
          <w:highlight w:val="none"/>
        </w:rPr>
        <w:t>五、开标</w:t>
      </w:r>
      <w:bookmarkEnd w:id="45"/>
      <w:bookmarkEnd w:id="46"/>
    </w:p>
    <w:p w14:paraId="64DAC44D">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开标</w:t>
      </w:r>
    </w:p>
    <w:p w14:paraId="794A0A18">
      <w:pPr>
        <w:pStyle w:val="16"/>
        <w:numPr>
          <w:ilvl w:val="0"/>
          <w:numId w:val="25"/>
        </w:numPr>
        <w:spacing w:line="360" w:lineRule="auto"/>
        <w:ind w:firstLine="480" w:firstLineChars="200"/>
        <w:rPr>
          <w:rFonts w:hAnsi="宋体" w:cs="宋体"/>
          <w:color w:val="auto"/>
          <w:sz w:val="24"/>
          <w:highlight w:val="none"/>
        </w:rPr>
      </w:pPr>
      <w:r>
        <w:rPr>
          <w:rFonts w:hint="eastAsia" w:hAnsi="宋体" w:cs="宋体"/>
          <w:color w:val="auto"/>
          <w:sz w:val="24"/>
          <w:highlight w:val="none"/>
        </w:rPr>
        <w:t>在投标截止时间前按规定提交投标文件的投标人在三家（含）以上的，由采购人或采购代理机构组织进行开标。</w:t>
      </w:r>
    </w:p>
    <w:p w14:paraId="59488F26">
      <w:pPr>
        <w:pStyle w:val="16"/>
        <w:numPr>
          <w:ilvl w:val="0"/>
          <w:numId w:val="25"/>
        </w:numPr>
        <w:spacing w:line="360" w:lineRule="auto"/>
        <w:ind w:firstLine="482" w:firstLineChars="200"/>
        <w:rPr>
          <w:rFonts w:hAnsi="宋体" w:cs="宋体"/>
          <w:color w:val="auto"/>
          <w:sz w:val="24"/>
          <w:szCs w:val="24"/>
          <w:highlight w:val="none"/>
        </w:rPr>
      </w:pPr>
      <w:r>
        <w:rPr>
          <w:rFonts w:hint="eastAsia" w:hAnsi="宋体" w:cs="宋体"/>
          <w:b/>
          <w:bCs/>
          <w:color w:val="auto"/>
          <w:sz w:val="24"/>
          <w:highlight w:val="none"/>
        </w:rPr>
        <w:t>投标人登录乐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color w:val="auto"/>
          <w:sz w:val="24"/>
          <w:szCs w:val="24"/>
          <w:highlight w:val="none"/>
        </w:rPr>
        <w:t>备份文件（后缀名为.bfbs）须存储在U盘中，与上传的电子投标文件一致，用信封进行密封并盖章，由授权代表在投标截止时间前递交至开标地点。</w:t>
      </w:r>
    </w:p>
    <w:p w14:paraId="5E137024">
      <w:pPr>
        <w:pStyle w:val="16"/>
        <w:numPr>
          <w:ilvl w:val="0"/>
          <w:numId w:val="25"/>
        </w:numPr>
        <w:spacing w:line="360" w:lineRule="auto"/>
        <w:ind w:firstLine="480" w:firstLineChars="200"/>
        <w:rPr>
          <w:rFonts w:hAnsi="宋体" w:cs="宋体"/>
          <w:color w:val="auto"/>
          <w:sz w:val="24"/>
          <w:highlight w:val="none"/>
        </w:rPr>
      </w:pPr>
      <w:r>
        <w:rPr>
          <w:rFonts w:hint="eastAsia" w:hAnsi="宋体" w:cs="宋体"/>
          <w:color w:val="auto"/>
          <w:sz w:val="24"/>
          <w:highlight w:val="none"/>
        </w:rPr>
        <w:t>采购人按招标文件规定的时间、地点公开开标。开标仪式由采购人或采购代理机构主持及有关人员参加。</w:t>
      </w:r>
    </w:p>
    <w:p w14:paraId="725F1B9E">
      <w:pPr>
        <w:pStyle w:val="45"/>
        <w:numPr>
          <w:ilvl w:val="0"/>
          <w:numId w:val="25"/>
        </w:numPr>
        <w:spacing w:before="0"/>
        <w:ind w:firstLine="480"/>
        <w:rPr>
          <w:rFonts w:ascii="宋体" w:hAnsi="宋体" w:cs="宋体"/>
          <w:color w:val="auto"/>
          <w:szCs w:val="24"/>
          <w:highlight w:val="none"/>
        </w:rPr>
      </w:pPr>
      <w:r>
        <w:rPr>
          <w:rFonts w:hint="eastAsia" w:ascii="宋体" w:hAnsi="宋体" w:cs="宋体"/>
          <w:color w:val="auto"/>
          <w:szCs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14:paraId="40853435">
      <w:pPr>
        <w:pStyle w:val="45"/>
        <w:numPr>
          <w:ilvl w:val="0"/>
          <w:numId w:val="25"/>
        </w:numPr>
        <w:spacing w:before="0"/>
        <w:ind w:firstLine="480"/>
        <w:rPr>
          <w:rFonts w:ascii="宋体" w:hAnsi="宋体" w:cs="宋体"/>
          <w:color w:val="auto"/>
          <w:szCs w:val="24"/>
          <w:highlight w:val="none"/>
        </w:rPr>
      </w:pPr>
      <w:r>
        <w:rPr>
          <w:rFonts w:hint="eastAsia" w:ascii="宋体" w:hAnsi="宋体" w:cs="宋体"/>
          <w:color w:val="auto"/>
          <w:szCs w:val="24"/>
          <w:highlight w:val="none"/>
        </w:rPr>
        <w:t>两个以上的自然人、法人或者其他组织组成一个联合体，以一个供应商的身份共同参加村级采购活动的，应当对所有联合体成员进行信用记录查询，联合体成员存在不良信用记录的，视同联合体存在不良信用记录。</w:t>
      </w:r>
    </w:p>
    <w:p w14:paraId="5FCA9F8D">
      <w:pPr>
        <w:spacing w:line="360" w:lineRule="auto"/>
        <w:jc w:val="center"/>
        <w:rPr>
          <w:rFonts w:ascii="宋体" w:hAnsi="宋体" w:cs="宋体"/>
          <w:b/>
          <w:color w:val="auto"/>
          <w:sz w:val="24"/>
          <w:highlight w:val="none"/>
        </w:rPr>
      </w:pPr>
    </w:p>
    <w:p w14:paraId="789B9A94">
      <w:pPr>
        <w:snapToGrid w:val="0"/>
        <w:spacing w:line="360" w:lineRule="auto"/>
        <w:jc w:val="center"/>
        <w:outlineLvl w:val="0"/>
        <w:rPr>
          <w:rFonts w:ascii="宋体" w:hAnsi="宋体" w:cs="宋体"/>
          <w:b/>
          <w:color w:val="auto"/>
          <w:sz w:val="32"/>
          <w:highlight w:val="none"/>
        </w:rPr>
      </w:pPr>
      <w:bookmarkStart w:id="47" w:name="_Toc24755"/>
      <w:r>
        <w:rPr>
          <w:rFonts w:hint="eastAsia" w:ascii="宋体" w:hAnsi="宋体" w:cs="宋体"/>
          <w:b/>
          <w:color w:val="auto"/>
          <w:sz w:val="32"/>
          <w:highlight w:val="none"/>
        </w:rPr>
        <w:t>六、资格审查</w:t>
      </w:r>
      <w:bookmarkEnd w:id="47"/>
    </w:p>
    <w:p w14:paraId="720F89DE">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资格审查</w:t>
      </w:r>
    </w:p>
    <w:p w14:paraId="1DC99C88">
      <w:pPr>
        <w:pStyle w:val="45"/>
        <w:numPr>
          <w:ilvl w:val="0"/>
          <w:numId w:val="26"/>
        </w:numPr>
        <w:spacing w:before="0"/>
        <w:ind w:firstLine="480"/>
        <w:rPr>
          <w:rFonts w:ascii="宋体" w:hAnsi="宋体" w:cs="宋体"/>
          <w:color w:val="auto"/>
          <w:szCs w:val="24"/>
          <w:highlight w:val="none"/>
        </w:rPr>
      </w:pPr>
      <w:bookmarkStart w:id="48" w:name="_Hlt75236101"/>
      <w:bookmarkEnd w:id="48"/>
      <w:bookmarkStart w:id="49" w:name="_Toc91899902"/>
      <w:r>
        <w:rPr>
          <w:rFonts w:hint="eastAsia" w:ascii="宋体" w:hAnsi="宋体" w:cs="宋体"/>
          <w:color w:val="auto"/>
          <w:szCs w:val="24"/>
          <w:highlight w:val="none"/>
        </w:rPr>
        <w:t>开标后，采购人或采购代理机构将依法对投标人的资格进行审查；</w:t>
      </w:r>
    </w:p>
    <w:p w14:paraId="22C8099B">
      <w:pPr>
        <w:pStyle w:val="45"/>
        <w:numPr>
          <w:ilvl w:val="0"/>
          <w:numId w:val="26"/>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采购人或采购代理机构依据法律法规和招标文件的规定，对投标人的基本资格条件、特定资格条件进行审查。</w:t>
      </w:r>
    </w:p>
    <w:p w14:paraId="79F0E9AD">
      <w:pPr>
        <w:pStyle w:val="45"/>
        <w:numPr>
          <w:ilvl w:val="0"/>
          <w:numId w:val="26"/>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采购人或采购代理机构将通过“信用中国”网站(www.creditchina.gov.cn)、中国政府采购网(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4"/>
          <w:highlight w:val="none"/>
        </w:rPr>
        <w:t>www.ccgp.gov.cn</w:t>
      </w:r>
      <w:r>
        <w:rPr>
          <w:rFonts w:hint="eastAsia" w:ascii="宋体" w:hAnsi="宋体" w:cs="宋体"/>
          <w:color w:val="auto"/>
          <w:szCs w:val="24"/>
          <w:highlight w:val="none"/>
        </w:rPr>
        <w:fldChar w:fldCharType="end"/>
      </w:r>
      <w:r>
        <w:rPr>
          <w:rFonts w:hint="eastAsia" w:ascii="宋体" w:hAnsi="宋体" w:cs="宋体"/>
          <w:color w:val="auto"/>
          <w:szCs w:val="24"/>
          <w:highlight w:val="none"/>
        </w:rPr>
        <w:t>)渠道查询投标人开标后评标前的信用记录，经查询投标人列入失信被执行人名单、重大税收违法案件当事人名单、政府采购严重违法失信行为记录名单的，其投标无效；</w:t>
      </w:r>
    </w:p>
    <w:p w14:paraId="29CE1C78">
      <w:pPr>
        <w:pStyle w:val="45"/>
        <w:numPr>
          <w:ilvl w:val="0"/>
          <w:numId w:val="26"/>
        </w:numPr>
        <w:spacing w:before="0"/>
        <w:ind w:firstLine="480"/>
        <w:rPr>
          <w:rFonts w:ascii="宋体" w:hAnsi="宋体" w:cs="宋体"/>
          <w:color w:val="auto"/>
          <w:szCs w:val="24"/>
          <w:highlight w:val="none"/>
        </w:rPr>
      </w:pPr>
      <w:r>
        <w:rPr>
          <w:rFonts w:hint="eastAsia" w:ascii="宋体" w:hAnsi="宋体" w:cs="宋体"/>
          <w:color w:val="auto"/>
          <w:szCs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14:paraId="2F92B004">
      <w:pPr>
        <w:spacing w:line="360" w:lineRule="auto"/>
        <w:jc w:val="center"/>
        <w:rPr>
          <w:rFonts w:ascii="宋体" w:hAnsi="宋体" w:cs="宋体"/>
          <w:b/>
          <w:color w:val="auto"/>
          <w:sz w:val="24"/>
          <w:highlight w:val="none"/>
        </w:rPr>
      </w:pPr>
    </w:p>
    <w:p w14:paraId="678690FC">
      <w:pPr>
        <w:snapToGrid w:val="0"/>
        <w:spacing w:line="360" w:lineRule="auto"/>
        <w:jc w:val="center"/>
        <w:outlineLvl w:val="0"/>
        <w:rPr>
          <w:rFonts w:ascii="宋体" w:hAnsi="宋体" w:cs="宋体"/>
          <w:b/>
          <w:color w:val="auto"/>
          <w:sz w:val="32"/>
          <w:highlight w:val="none"/>
        </w:rPr>
      </w:pPr>
      <w:bookmarkStart w:id="50" w:name="_Toc24401"/>
      <w:r>
        <w:rPr>
          <w:rFonts w:hint="eastAsia" w:ascii="宋体" w:hAnsi="宋体" w:cs="宋体"/>
          <w:b/>
          <w:color w:val="auto"/>
          <w:sz w:val="32"/>
          <w:highlight w:val="none"/>
        </w:rPr>
        <w:t>七、评标</w:t>
      </w:r>
      <w:bookmarkEnd w:id="49"/>
      <w:bookmarkEnd w:id="50"/>
    </w:p>
    <w:p w14:paraId="5BB30E95">
      <w:pPr>
        <w:pStyle w:val="16"/>
        <w:numPr>
          <w:ilvl w:val="0"/>
          <w:numId w:val="9"/>
        </w:numPr>
        <w:spacing w:line="360" w:lineRule="auto"/>
        <w:ind w:firstLine="482" w:firstLineChars="200"/>
        <w:rPr>
          <w:rFonts w:hAnsi="宋体" w:cs="宋体"/>
          <w:b/>
          <w:color w:val="auto"/>
          <w:sz w:val="24"/>
          <w:szCs w:val="24"/>
          <w:highlight w:val="none"/>
        </w:rPr>
      </w:pPr>
      <w:bookmarkStart w:id="51" w:name="_Toc91899903"/>
      <w:r>
        <w:rPr>
          <w:rFonts w:hint="eastAsia" w:hAnsi="宋体" w:cs="宋体"/>
          <w:b/>
          <w:color w:val="auto"/>
          <w:sz w:val="24"/>
          <w:szCs w:val="24"/>
          <w:highlight w:val="none"/>
        </w:rPr>
        <w:t>评标原则</w:t>
      </w:r>
    </w:p>
    <w:p w14:paraId="7B907F3F">
      <w:pPr>
        <w:pStyle w:val="45"/>
        <w:numPr>
          <w:ilvl w:val="0"/>
          <w:numId w:val="27"/>
        </w:numPr>
        <w:spacing w:before="0"/>
        <w:ind w:firstLine="480"/>
        <w:rPr>
          <w:rFonts w:ascii="宋体" w:hAnsi="宋体" w:cs="宋体"/>
          <w:color w:val="auto"/>
          <w:szCs w:val="24"/>
          <w:highlight w:val="none"/>
        </w:rPr>
      </w:pPr>
      <w:r>
        <w:rPr>
          <w:rFonts w:hint="eastAsia" w:ascii="宋体" w:hAnsi="宋体" w:cs="宋体"/>
          <w:color w:val="auto"/>
          <w:szCs w:val="24"/>
          <w:highlight w:val="none"/>
        </w:rPr>
        <w:t>竞争优选；</w:t>
      </w:r>
    </w:p>
    <w:p w14:paraId="15D38AA9">
      <w:pPr>
        <w:pStyle w:val="45"/>
        <w:numPr>
          <w:ilvl w:val="0"/>
          <w:numId w:val="27"/>
        </w:numPr>
        <w:spacing w:before="0"/>
        <w:ind w:firstLine="480"/>
        <w:rPr>
          <w:rFonts w:ascii="宋体" w:hAnsi="宋体" w:cs="宋体"/>
          <w:color w:val="auto"/>
          <w:szCs w:val="24"/>
          <w:highlight w:val="none"/>
        </w:rPr>
      </w:pPr>
      <w:r>
        <w:rPr>
          <w:rFonts w:hint="eastAsia" w:ascii="宋体" w:hAnsi="宋体" w:cs="宋体"/>
          <w:color w:val="auto"/>
          <w:szCs w:val="24"/>
          <w:highlight w:val="none"/>
          <w:lang w:val="zh-CN"/>
        </w:rPr>
        <w:t>坚持公开</w:t>
      </w:r>
      <w:r>
        <w:rPr>
          <w:rFonts w:hint="eastAsia" w:ascii="宋体" w:hAnsi="宋体" w:cs="宋体"/>
          <w:color w:val="auto"/>
          <w:szCs w:val="24"/>
          <w:highlight w:val="none"/>
        </w:rPr>
        <w:t>、公平、公正、科学合理</w:t>
      </w:r>
      <w:r>
        <w:rPr>
          <w:rFonts w:hint="eastAsia" w:ascii="宋体" w:hAnsi="宋体" w:cs="宋体"/>
          <w:color w:val="auto"/>
          <w:szCs w:val="24"/>
          <w:highlight w:val="none"/>
          <w:lang w:val="zh-CN"/>
        </w:rPr>
        <w:t>的原则；</w:t>
      </w:r>
    </w:p>
    <w:p w14:paraId="0E1EC684">
      <w:pPr>
        <w:pStyle w:val="45"/>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rPr>
        <w:t>价格合理，方案、产品先进可行；</w:t>
      </w:r>
    </w:p>
    <w:p w14:paraId="7FBF898B">
      <w:pPr>
        <w:pStyle w:val="45"/>
        <w:numPr>
          <w:ilvl w:val="0"/>
          <w:numId w:val="27"/>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反对不正当竞争。</w:t>
      </w:r>
    </w:p>
    <w:p w14:paraId="7855FDD0">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评标组织</w:t>
      </w:r>
    </w:p>
    <w:p w14:paraId="086D4A20">
      <w:pPr>
        <w:pStyle w:val="45"/>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评标委员会由采购人代表和评审专家组成，成员人数应当为5人</w:t>
      </w:r>
      <w:r>
        <w:rPr>
          <w:rFonts w:hint="eastAsia" w:ascii="宋体" w:hAnsi="宋体" w:cs="宋体"/>
          <w:color w:val="auto"/>
          <w:szCs w:val="24"/>
          <w:highlight w:val="none"/>
          <w:lang w:val="en-US" w:eastAsia="zh-CN"/>
        </w:rPr>
        <w:t>及</w:t>
      </w:r>
      <w:r>
        <w:rPr>
          <w:rFonts w:hint="eastAsia" w:ascii="宋体" w:hAnsi="宋体" w:cs="宋体"/>
          <w:color w:val="auto"/>
          <w:szCs w:val="24"/>
          <w:highlight w:val="none"/>
          <w:lang w:val="zh-CN"/>
        </w:rPr>
        <w:t>以上单数，其中评审专家不得少于成员总数的三分之二；</w:t>
      </w:r>
    </w:p>
    <w:p w14:paraId="361BED82">
      <w:pPr>
        <w:pStyle w:val="45"/>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评标工作由评标委员会负责，并推选产生的组长主持；</w:t>
      </w:r>
    </w:p>
    <w:p w14:paraId="5E0A94D1">
      <w:pPr>
        <w:pStyle w:val="45"/>
        <w:numPr>
          <w:ilvl w:val="0"/>
          <w:numId w:val="28"/>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本次评标为在线评标。</w:t>
      </w:r>
    </w:p>
    <w:p w14:paraId="7343BC2C">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评标办法</w:t>
      </w:r>
    </w:p>
    <w:p w14:paraId="0B7B9C56">
      <w:pPr>
        <w:spacing w:line="360" w:lineRule="auto"/>
        <w:ind w:firstLine="467" w:firstLineChars="194"/>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本项目评标办法是综合评分法，具体评标内容及评分标准等详见招标文件第三部分。</w:t>
      </w:r>
    </w:p>
    <w:p w14:paraId="2B2006EB">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投标文件符合性审查</w:t>
      </w:r>
    </w:p>
    <w:p w14:paraId="10BBD1FC">
      <w:pPr>
        <w:pStyle w:val="45"/>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投标文件符合性审查：评标委员会依据招标文件的规定，从投标文件的有效性、完整性和对招标文件的响应程度进行审查，以确定是否对招标文件的要求作出实质性响应。</w:t>
      </w:r>
    </w:p>
    <w:p w14:paraId="2AC5891F">
      <w:pPr>
        <w:pStyle w:val="45"/>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1792ED81">
      <w:pPr>
        <w:pStyle w:val="45"/>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14:paraId="23598725">
      <w:pPr>
        <w:pStyle w:val="45"/>
        <w:numPr>
          <w:ilvl w:val="0"/>
          <w:numId w:val="29"/>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3AB97598">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修正原则</w:t>
      </w:r>
    </w:p>
    <w:p w14:paraId="35D6B667">
      <w:pPr>
        <w:pStyle w:val="45"/>
        <w:spacing w:before="0"/>
        <w:ind w:left="420" w:leftChars="200" w:firstLine="0" w:firstLineChars="0"/>
        <w:rPr>
          <w:rFonts w:ascii="宋体" w:hAnsi="宋体" w:cs="宋体"/>
          <w:color w:val="auto"/>
          <w:szCs w:val="24"/>
          <w:highlight w:val="none"/>
          <w:lang w:val="zh-CN"/>
        </w:rPr>
      </w:pPr>
      <w:r>
        <w:rPr>
          <w:rFonts w:hint="eastAsia" w:ascii="宋体" w:hAnsi="宋体" w:cs="宋体"/>
          <w:color w:val="auto"/>
          <w:szCs w:val="24"/>
          <w:highlight w:val="none"/>
          <w:lang w:val="zh-CN"/>
        </w:rPr>
        <w:t>投标文件报价出现前后不一致的，按照下列规定修正：</w:t>
      </w:r>
    </w:p>
    <w:p w14:paraId="44A6079E">
      <w:pPr>
        <w:pStyle w:val="45"/>
        <w:numPr>
          <w:ilvl w:val="0"/>
          <w:numId w:val="30"/>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投标文件中投标（开标）一览表内容与投标文件中相应内容不一致的，以投标（开标）一览表为准；</w:t>
      </w:r>
    </w:p>
    <w:p w14:paraId="7C24E523">
      <w:pPr>
        <w:pStyle w:val="45"/>
        <w:numPr>
          <w:ilvl w:val="0"/>
          <w:numId w:val="30"/>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大写金额和小写金额不一致的，以大写金额为准；</w:t>
      </w:r>
    </w:p>
    <w:p w14:paraId="3DF6B43C">
      <w:pPr>
        <w:pStyle w:val="45"/>
        <w:numPr>
          <w:ilvl w:val="0"/>
          <w:numId w:val="30"/>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单价金额小数点或者百分比有明显错位的，以投标（开标）一览表的总价为准，并修改单价；</w:t>
      </w:r>
    </w:p>
    <w:p w14:paraId="5DF075C4">
      <w:pPr>
        <w:pStyle w:val="45"/>
        <w:numPr>
          <w:ilvl w:val="0"/>
          <w:numId w:val="30"/>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总价金额与按单价汇总金额不一致的，以单价金额计算结果为准。</w:t>
      </w:r>
    </w:p>
    <w:p w14:paraId="0A2DB2D0">
      <w:pPr>
        <w:pStyle w:val="45"/>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14:paraId="1A350DB8">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投标文件的澄清</w:t>
      </w:r>
    </w:p>
    <w:p w14:paraId="4D652465">
      <w:pPr>
        <w:pStyle w:val="45"/>
        <w:numPr>
          <w:ilvl w:val="0"/>
          <w:numId w:val="31"/>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评审中因投标文件含义不明、表述不一致或有明显计算错误等内容需要供应商作出澄清、说明或者补正的，评标委员会和供应商应当通过乐采云平台交换数据电文，给予供应商提交澄清说明或补正的时间不少于半小时，供应商已经明确表示澄清说明或补正完毕的除外。</w:t>
      </w:r>
    </w:p>
    <w:p w14:paraId="3DE3641C">
      <w:pPr>
        <w:pStyle w:val="45"/>
        <w:numPr>
          <w:ilvl w:val="0"/>
          <w:numId w:val="31"/>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供应商通过乐采云平台交换的数据电文必须进行电子签章。</w:t>
      </w:r>
    </w:p>
    <w:p w14:paraId="3DFA0413">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无效投标</w:t>
      </w:r>
    </w:p>
    <w:p w14:paraId="5266DEB1">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经过审查，凡不符合有关规定，不响应招标文件的实质性条款，存在以下重大偏离之一的，经评标委员会认定，将因未通过资格性或符合性审查而被作为无效投标处理：</w:t>
      </w:r>
    </w:p>
    <w:p w14:paraId="34E58E7E">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未按照招标文件规定要求签署、盖章的；</w:t>
      </w:r>
    </w:p>
    <w:p w14:paraId="0599E29D">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 xml:space="preserve">《法定代表人授权书》填写不全、错误、未加盖投标人公章（公章和签字或盖章缺一不可）； </w:t>
      </w:r>
    </w:p>
    <w:p w14:paraId="4608BB02">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个体工商户的身份证明与营业执照不一致的；</w:t>
      </w:r>
    </w:p>
    <w:p w14:paraId="09026109">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投标文件中的投标函未加盖投标人的企业公章或填写不全的；</w:t>
      </w:r>
    </w:p>
    <w:p w14:paraId="3F664548">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报价一经涂改，未在涂改处加盖投标单位公章或者未经法定代表人或其授权代表签字或盖章的；</w:t>
      </w:r>
    </w:p>
    <w:p w14:paraId="2FEDB717">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因未按规定的格式填写，内容不全或主要实质性内容字迹模糊辨认不清,经评标委员会认定为无法评审的；</w:t>
      </w:r>
    </w:p>
    <w:p w14:paraId="0ADC2E68">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出现同一标的物或本次招标产品(服务)内的主要产品(重要组成部分)出现技术、商务描述不一致或前后描述不一致，经评标委员会认定后为无法评审的；</w:t>
      </w:r>
    </w:p>
    <w:p w14:paraId="001F3E7B">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投标详细配置清单响应表不真实填写或弄虚作假的；改变招标文件提供的清单中的计量单位、工程数量；</w:t>
      </w:r>
    </w:p>
    <w:p w14:paraId="47824898">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对招标产品技术规格未详细应答，致使其技术文件无法评审的；</w:t>
      </w:r>
    </w:p>
    <w:p w14:paraId="3561C7A6">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投标文件有招标方不能接受的条件；</w:t>
      </w:r>
    </w:p>
    <w:p w14:paraId="5142924D">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301654CC">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投标报价超过预算金额或最高限价的；</w:t>
      </w:r>
    </w:p>
    <w:p w14:paraId="72C7EDA9">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投标文件“商务技术文件资料”部分中出现《开标一览表》或《投标报价明细表》相关内容的；</w:t>
      </w:r>
    </w:p>
    <w:p w14:paraId="75AD3406">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评标委员会认定有重大偏差或实质性不响应招标文件要求的，即“★”的关键性指标及技术参数要求负偏离或缺漏；</w:t>
      </w:r>
    </w:p>
    <w:p w14:paraId="25701C2D">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投标人拒绝按招标文件规定的修正原则对投标文件进行修改的；</w:t>
      </w:r>
    </w:p>
    <w:p w14:paraId="6982198D">
      <w:pPr>
        <w:numPr>
          <w:ilvl w:val="0"/>
          <w:numId w:val="32"/>
        </w:num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有下列情形之一的，视为投标人串通投标，其投标无效：</w:t>
      </w:r>
    </w:p>
    <w:p w14:paraId="6411FC88">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不同投标人的投标文件由同一单位或者个人编制；</w:t>
      </w:r>
    </w:p>
    <w:p w14:paraId="28244456">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不同投标人委托同一单位或者个人办理投标事宜；</w:t>
      </w:r>
    </w:p>
    <w:p w14:paraId="259C6C40">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不同投标人的投标文件载明的项目管理成员或者联系人员为同一人；</w:t>
      </w:r>
    </w:p>
    <w:p w14:paraId="1EE17690">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不同投标人的投标文件异常一致或者投标报价呈规律性差异；</w:t>
      </w:r>
    </w:p>
    <w:p w14:paraId="1E1740DE">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2" w:firstLineChars="200"/>
        <w:textAlignment w:val="auto"/>
        <w:rPr>
          <w:rFonts w:ascii="宋体" w:hAnsi="宋体" w:cs="宋体"/>
          <w:b/>
          <w:bCs/>
          <w:color w:val="auto"/>
          <w:sz w:val="24"/>
          <w:szCs w:val="21"/>
          <w:highlight w:val="none"/>
        </w:rPr>
      </w:pPr>
      <w:r>
        <w:rPr>
          <w:rFonts w:hint="eastAsia" w:ascii="宋体" w:hAnsi="宋体" w:cs="宋体"/>
          <w:b/>
          <w:bCs/>
          <w:color w:val="auto"/>
          <w:sz w:val="24"/>
          <w:szCs w:val="21"/>
          <w:highlight w:val="none"/>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22E7CF7F">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废标</w:t>
      </w:r>
    </w:p>
    <w:p w14:paraId="34BBDD9E">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根据《中华人民共和国政府采购法》第三十六条之规定，在采购中，出现下列情形之一的，应予废标：</w:t>
      </w:r>
    </w:p>
    <w:p w14:paraId="381F4B6B">
      <w:pPr>
        <w:pStyle w:val="45"/>
        <w:numPr>
          <w:ilvl w:val="0"/>
          <w:numId w:val="34"/>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符合专业条件的供应商或者对招标文件作实质响应的供应商不足3家的；</w:t>
      </w:r>
    </w:p>
    <w:p w14:paraId="62B4E59E">
      <w:pPr>
        <w:pStyle w:val="45"/>
        <w:numPr>
          <w:ilvl w:val="0"/>
          <w:numId w:val="34"/>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出现影响采购公正的违法、违规行为的；</w:t>
      </w:r>
    </w:p>
    <w:p w14:paraId="08C4470B">
      <w:pPr>
        <w:pStyle w:val="45"/>
        <w:numPr>
          <w:ilvl w:val="0"/>
          <w:numId w:val="34"/>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投标人的报价均超过了采购预算，采购人不能支付的；</w:t>
      </w:r>
    </w:p>
    <w:p w14:paraId="1E0E06FC">
      <w:pPr>
        <w:pStyle w:val="45"/>
        <w:numPr>
          <w:ilvl w:val="0"/>
          <w:numId w:val="34"/>
        </w:numPr>
        <w:spacing w:before="0"/>
        <w:ind w:firstLine="480"/>
        <w:rPr>
          <w:rFonts w:ascii="宋体" w:hAnsi="宋体" w:cs="宋体"/>
          <w:color w:val="auto"/>
          <w:szCs w:val="24"/>
          <w:highlight w:val="none"/>
          <w:lang w:val="zh-CN"/>
        </w:rPr>
      </w:pPr>
      <w:r>
        <w:rPr>
          <w:rFonts w:hint="eastAsia" w:ascii="宋体" w:hAnsi="宋体" w:cs="宋体"/>
          <w:color w:val="auto"/>
          <w:szCs w:val="24"/>
          <w:highlight w:val="none"/>
          <w:lang w:val="zh-CN"/>
        </w:rPr>
        <w:t>因重大变故，采购任务取消的。</w:t>
      </w:r>
    </w:p>
    <w:p w14:paraId="6652809A">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废标后，采购代理机构应当将废标理由通知所有投标人。</w:t>
      </w:r>
    </w:p>
    <w:p w14:paraId="4A200652">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bCs/>
          <w:color w:val="auto"/>
          <w:sz w:val="24"/>
          <w:szCs w:val="24"/>
          <w:highlight w:val="none"/>
          <w:lang w:val="zh-CN"/>
        </w:rPr>
        <w:t>中止电子交易活动和</w:t>
      </w:r>
      <w:r>
        <w:rPr>
          <w:rFonts w:hint="eastAsia" w:hAnsi="宋体" w:cs="宋体"/>
          <w:b/>
          <w:color w:val="auto"/>
          <w:sz w:val="24"/>
          <w:szCs w:val="24"/>
          <w:highlight w:val="none"/>
        </w:rPr>
        <w:t>重新组织采购</w:t>
      </w:r>
    </w:p>
    <w:p w14:paraId="656C5A41">
      <w:pPr>
        <w:pStyle w:val="45"/>
        <w:tabs>
          <w:tab w:val="left" w:pos="0"/>
        </w:tabs>
        <w:spacing w:before="0"/>
        <w:ind w:left="420" w:leftChars="200" w:firstLine="0" w:firstLineChars="0"/>
        <w:rPr>
          <w:rFonts w:ascii="宋体" w:hAnsi="宋体" w:cs="宋体"/>
          <w:color w:val="auto"/>
          <w:szCs w:val="24"/>
          <w:highlight w:val="none"/>
          <w:lang w:val="zh-CN"/>
        </w:rPr>
      </w:pPr>
      <w:r>
        <w:rPr>
          <w:rFonts w:hint="eastAsia" w:ascii="宋体" w:hAnsi="宋体" w:cs="宋体"/>
          <w:color w:val="auto"/>
          <w:szCs w:val="24"/>
          <w:highlight w:val="none"/>
        </w:rPr>
        <w:t>26.1</w:t>
      </w:r>
      <w:r>
        <w:rPr>
          <w:rFonts w:hint="eastAsia" w:ascii="宋体" w:hAnsi="宋体" w:cs="宋体"/>
          <w:color w:val="auto"/>
          <w:szCs w:val="24"/>
          <w:highlight w:val="none"/>
          <w:lang w:val="zh-CN"/>
        </w:rPr>
        <w:t>采购过程中出现以下情形，导致电子交易平台无法正常运行，或者无法保证电子交易的公平、公正和安全时，采购组织机构可中止电子交易活动：</w:t>
      </w:r>
    </w:p>
    <w:p w14:paraId="6450635B">
      <w:pPr>
        <w:numPr>
          <w:ilvl w:val="0"/>
          <w:numId w:val="35"/>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电子交易平台发生故障而无法登录访问的； </w:t>
      </w:r>
    </w:p>
    <w:p w14:paraId="22963DBF">
      <w:pPr>
        <w:numPr>
          <w:ilvl w:val="0"/>
          <w:numId w:val="35"/>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电子交易平台应用或数据库出现错误，不能进行正常操作的；</w:t>
      </w:r>
    </w:p>
    <w:p w14:paraId="0D9FFF38">
      <w:pPr>
        <w:numPr>
          <w:ilvl w:val="0"/>
          <w:numId w:val="35"/>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电子交易平台发现严重安全漏洞，有潜在泄密危险的；</w:t>
      </w:r>
    </w:p>
    <w:p w14:paraId="593FC4C5">
      <w:pPr>
        <w:numPr>
          <w:ilvl w:val="0"/>
          <w:numId w:val="35"/>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病毒发作导致不能进行正常操作的； </w:t>
      </w:r>
    </w:p>
    <w:p w14:paraId="1BEF0BC7">
      <w:pPr>
        <w:numPr>
          <w:ilvl w:val="0"/>
          <w:numId w:val="35"/>
        </w:numPr>
        <w:tabs>
          <w:tab w:val="left" w:pos="0"/>
        </w:tabs>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其他无法保证电子交易的公平、公正和安全的情况。</w:t>
      </w:r>
    </w:p>
    <w:p w14:paraId="6499CAB5">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FD8649">
      <w:pPr>
        <w:pStyle w:val="16"/>
        <w:numPr>
          <w:ilvl w:val="0"/>
          <w:numId w:val="9"/>
        </w:numPr>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保密及其它注意事项</w:t>
      </w:r>
    </w:p>
    <w:p w14:paraId="28D8105C">
      <w:pPr>
        <w:pStyle w:val="45"/>
        <w:numPr>
          <w:ilvl w:val="0"/>
          <w:numId w:val="36"/>
        </w:numPr>
        <w:spacing w:before="0"/>
        <w:ind w:firstLine="480"/>
        <w:rPr>
          <w:rFonts w:ascii="宋体" w:hAnsi="宋体" w:cs="宋体"/>
          <w:color w:val="auto"/>
          <w:szCs w:val="24"/>
          <w:highlight w:val="none"/>
        </w:rPr>
      </w:pPr>
      <w:r>
        <w:rPr>
          <w:rFonts w:hint="eastAsia" w:ascii="宋体" w:hAnsi="宋体" w:cs="宋体"/>
          <w:color w:val="auto"/>
          <w:szCs w:val="24"/>
          <w:highlight w:val="none"/>
        </w:rPr>
        <w:t>评标是招标工作的重要环节，评标工作由评标委员会独立进行。评标委员会将遵照评标原则，公正、平等地对待所有投标人；</w:t>
      </w:r>
    </w:p>
    <w:p w14:paraId="090FECA6">
      <w:pPr>
        <w:pStyle w:val="45"/>
        <w:numPr>
          <w:ilvl w:val="0"/>
          <w:numId w:val="36"/>
        </w:numPr>
        <w:spacing w:before="0"/>
        <w:ind w:firstLine="480"/>
        <w:rPr>
          <w:rFonts w:ascii="宋体" w:hAnsi="宋体" w:cs="宋体"/>
          <w:color w:val="auto"/>
          <w:szCs w:val="24"/>
          <w:highlight w:val="none"/>
        </w:rPr>
      </w:pPr>
      <w:r>
        <w:rPr>
          <w:rFonts w:hint="eastAsia" w:ascii="宋体" w:hAnsi="宋体" w:cs="宋体"/>
          <w:color w:val="auto"/>
          <w:szCs w:val="24"/>
          <w:highlight w:val="none"/>
        </w:rPr>
        <w:t>在开标、投标期间，投标人不得向评委询问评标情况，不得进行旨在影响评标结果的活动。采购人不得在中标人确定前，与投标人就投标价格、投标方案等实质性内容进行谈判；</w:t>
      </w:r>
    </w:p>
    <w:p w14:paraId="59544ECD">
      <w:pPr>
        <w:pStyle w:val="45"/>
        <w:numPr>
          <w:ilvl w:val="0"/>
          <w:numId w:val="36"/>
        </w:numPr>
        <w:spacing w:before="0"/>
        <w:ind w:firstLine="480"/>
        <w:rPr>
          <w:rFonts w:ascii="宋体" w:hAnsi="宋体" w:cs="宋体"/>
          <w:color w:val="auto"/>
          <w:szCs w:val="24"/>
          <w:highlight w:val="none"/>
        </w:rPr>
      </w:pPr>
      <w:r>
        <w:rPr>
          <w:rFonts w:hint="eastAsia" w:ascii="宋体" w:hAnsi="宋体" w:cs="宋体"/>
          <w:color w:val="auto"/>
          <w:szCs w:val="24"/>
          <w:highlight w:val="none"/>
        </w:rPr>
        <w:t>为保证定标的公正性，在评标过程中，评委不得与投标人私下交换意见。在招标工作结束后，凡与评标情况有接触的任何人，不得也不应将评标情况扩散出评委人员之外；</w:t>
      </w:r>
    </w:p>
    <w:p w14:paraId="199A4CCE">
      <w:pPr>
        <w:pStyle w:val="45"/>
        <w:numPr>
          <w:ilvl w:val="0"/>
          <w:numId w:val="36"/>
        </w:numPr>
        <w:spacing w:before="0"/>
        <w:ind w:firstLine="480"/>
        <w:rPr>
          <w:rFonts w:ascii="宋体" w:hAnsi="宋体" w:cs="宋体"/>
          <w:color w:val="auto"/>
          <w:szCs w:val="24"/>
          <w:highlight w:val="none"/>
        </w:rPr>
      </w:pPr>
      <w:r>
        <w:rPr>
          <w:rFonts w:hint="eastAsia" w:ascii="宋体" w:hAnsi="宋体" w:cs="宋体"/>
          <w:color w:val="auto"/>
          <w:szCs w:val="24"/>
          <w:highlight w:val="none"/>
        </w:rPr>
        <w:t>投标人相互之间，或与采购人相互不得串通投标，不得排挤其他投标人的公平竞争，损害采购人或者其他投标人的合法权益；</w:t>
      </w:r>
    </w:p>
    <w:p w14:paraId="22C47E36">
      <w:pPr>
        <w:pStyle w:val="45"/>
        <w:numPr>
          <w:ilvl w:val="0"/>
          <w:numId w:val="36"/>
        </w:numPr>
        <w:spacing w:before="0"/>
        <w:ind w:firstLine="480"/>
        <w:rPr>
          <w:rFonts w:ascii="宋体" w:hAnsi="宋体" w:cs="宋体"/>
          <w:color w:val="auto"/>
          <w:szCs w:val="24"/>
          <w:highlight w:val="none"/>
        </w:rPr>
      </w:pPr>
      <w:r>
        <w:rPr>
          <w:rFonts w:hint="eastAsia" w:ascii="宋体" w:hAnsi="宋体" w:cs="宋体"/>
          <w:color w:val="auto"/>
          <w:szCs w:val="24"/>
          <w:highlight w:val="none"/>
        </w:rPr>
        <w:t>评标委员会不向投标人解释未中标的原因；</w:t>
      </w:r>
    </w:p>
    <w:p w14:paraId="57A07E09">
      <w:pPr>
        <w:pStyle w:val="45"/>
        <w:numPr>
          <w:ilvl w:val="0"/>
          <w:numId w:val="36"/>
        </w:numPr>
        <w:spacing w:before="0"/>
        <w:ind w:firstLine="480"/>
        <w:rPr>
          <w:rFonts w:ascii="宋体" w:hAnsi="宋体" w:cs="宋体"/>
          <w:color w:val="auto"/>
          <w:szCs w:val="24"/>
          <w:highlight w:val="none"/>
        </w:rPr>
      </w:pPr>
      <w:r>
        <w:rPr>
          <w:rFonts w:hint="eastAsia" w:ascii="宋体" w:hAnsi="宋体" w:cs="宋体"/>
          <w:color w:val="auto"/>
          <w:szCs w:val="24"/>
          <w:highlight w:val="none"/>
        </w:rPr>
        <w:t>特别说明：乐采云公司如对电子化开标及评审程序有调整的，按调整后的程序操作。</w:t>
      </w:r>
    </w:p>
    <w:p w14:paraId="7C2398C6">
      <w:pPr>
        <w:spacing w:line="360" w:lineRule="auto"/>
        <w:ind w:firstLine="420"/>
        <w:jc w:val="center"/>
        <w:rPr>
          <w:rFonts w:ascii="宋体" w:hAnsi="宋体" w:cs="宋体"/>
          <w:b/>
          <w:color w:val="auto"/>
          <w:sz w:val="24"/>
          <w:highlight w:val="none"/>
        </w:rPr>
      </w:pPr>
    </w:p>
    <w:p w14:paraId="6C4CD487">
      <w:pPr>
        <w:snapToGrid w:val="0"/>
        <w:spacing w:line="360" w:lineRule="auto"/>
        <w:jc w:val="center"/>
        <w:outlineLvl w:val="0"/>
        <w:rPr>
          <w:rFonts w:ascii="宋体" w:hAnsi="宋体" w:cs="宋体"/>
          <w:b/>
          <w:color w:val="auto"/>
          <w:sz w:val="32"/>
          <w:highlight w:val="none"/>
        </w:rPr>
      </w:pPr>
      <w:bookmarkStart w:id="52" w:name="_Toc19547"/>
      <w:bookmarkStart w:id="53" w:name="_Toc5331"/>
      <w:r>
        <w:rPr>
          <w:rFonts w:hint="eastAsia" w:ascii="宋体" w:hAnsi="宋体" w:cs="宋体"/>
          <w:b/>
          <w:color w:val="auto"/>
          <w:sz w:val="32"/>
          <w:highlight w:val="none"/>
        </w:rPr>
        <w:t>八、定 标</w:t>
      </w:r>
      <w:bookmarkEnd w:id="52"/>
      <w:bookmarkEnd w:id="53"/>
    </w:p>
    <w:p w14:paraId="444B51A2">
      <w:pPr>
        <w:pStyle w:val="45"/>
        <w:tabs>
          <w:tab w:val="left" w:pos="0"/>
        </w:tabs>
        <w:spacing w:before="0"/>
        <w:ind w:firstLine="480"/>
        <w:rPr>
          <w:rFonts w:ascii="宋体" w:hAnsi="宋体" w:cs="宋体"/>
          <w:color w:val="auto"/>
          <w:szCs w:val="24"/>
          <w:highlight w:val="none"/>
        </w:rPr>
      </w:pPr>
      <w:bookmarkStart w:id="54" w:name="_Toc15760"/>
      <w:r>
        <w:rPr>
          <w:rFonts w:hint="eastAsia" w:ascii="宋体" w:hAnsi="宋体" w:cs="宋体"/>
          <w:color w:val="auto"/>
          <w:szCs w:val="24"/>
          <w:highlight w:val="none"/>
        </w:rPr>
        <w:t>28.1项目由评标委员会根据第三章《评标办法与评分标准》规定提出中标候选人排序。</w:t>
      </w:r>
    </w:p>
    <w:p w14:paraId="1583ED57">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28.2采购代理机构应当在评标结束后2个工作日内将评标报告送采购人。</w:t>
      </w:r>
    </w:p>
    <w:p w14:paraId="06C71087">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7F672934">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28.4采购人或者采购代理机构应当自中标人确定之日起2个工作日内，在发布招标公告的网站上公告中标结果，公告期限为7个工作日。在公告中标结果的同时，采购人或者采购代理机构应当向中标人发出中标通知书；</w:t>
      </w:r>
    </w:p>
    <w:p w14:paraId="79053C7A">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28.5中标人应携带介绍信自行前往采购代理机构领取中标通知书。</w:t>
      </w:r>
    </w:p>
    <w:p w14:paraId="63A7DF8E">
      <w:pPr>
        <w:snapToGrid w:val="0"/>
        <w:spacing w:line="360" w:lineRule="auto"/>
        <w:ind w:firstLine="480" w:firstLineChars="200"/>
        <w:jc w:val="left"/>
        <w:outlineLvl w:val="0"/>
        <w:rPr>
          <w:rFonts w:ascii="宋体" w:hAnsi="宋体" w:cs="宋体"/>
          <w:b/>
          <w:color w:val="auto"/>
          <w:sz w:val="32"/>
          <w:highlight w:val="none"/>
        </w:rPr>
      </w:pPr>
      <w:bookmarkStart w:id="55" w:name="_Toc23365"/>
      <w:bookmarkStart w:id="56" w:name="_Toc27357"/>
      <w:bookmarkStart w:id="57" w:name="_Toc27239"/>
      <w:r>
        <w:rPr>
          <w:rFonts w:hint="eastAsia" w:ascii="宋体" w:hAnsi="宋体" w:cs="宋体"/>
          <w:color w:val="auto"/>
          <w:sz w:val="24"/>
          <w:highlight w:val="none"/>
        </w:rPr>
        <w:t>28.6</w:t>
      </w:r>
      <w:bookmarkEnd w:id="55"/>
      <w:bookmarkEnd w:id="56"/>
      <w:bookmarkEnd w:id="57"/>
      <w:r>
        <w:rPr>
          <w:rFonts w:hint="eastAsia" w:ascii="宋体" w:hAnsi="宋体" w:cs="宋体"/>
          <w:color w:val="auto"/>
          <w:sz w:val="24"/>
          <w:highlight w:val="none"/>
        </w:rPr>
        <w:t>中标通知书发出后，采购人不得违法改变中标结果，中标人无正当理由不得放弃中标。中标人无正当理由放弃中标的，不得参加对该项目重新开展的采购活动，采购人及采购人主管部门保留对其依法追究责任的权利。</w:t>
      </w:r>
    </w:p>
    <w:p w14:paraId="6D09F8EE">
      <w:pPr>
        <w:snapToGrid w:val="0"/>
        <w:spacing w:line="360" w:lineRule="auto"/>
        <w:jc w:val="center"/>
        <w:outlineLvl w:val="0"/>
        <w:rPr>
          <w:rFonts w:ascii="宋体" w:hAnsi="宋体" w:cs="宋体"/>
          <w:b/>
          <w:color w:val="auto"/>
          <w:sz w:val="32"/>
          <w:highlight w:val="none"/>
        </w:rPr>
      </w:pPr>
    </w:p>
    <w:p w14:paraId="5882CD21">
      <w:pPr>
        <w:snapToGrid w:val="0"/>
        <w:spacing w:line="360" w:lineRule="auto"/>
        <w:jc w:val="center"/>
        <w:outlineLvl w:val="0"/>
        <w:rPr>
          <w:rFonts w:ascii="宋体" w:hAnsi="宋体" w:cs="宋体"/>
          <w:b/>
          <w:color w:val="auto"/>
          <w:sz w:val="32"/>
          <w:highlight w:val="none"/>
        </w:rPr>
      </w:pPr>
      <w:bookmarkStart w:id="58" w:name="_Toc10448"/>
      <w:r>
        <w:rPr>
          <w:rFonts w:hint="eastAsia" w:ascii="宋体" w:hAnsi="宋体" w:cs="宋体"/>
          <w:b/>
          <w:color w:val="auto"/>
          <w:sz w:val="32"/>
          <w:highlight w:val="none"/>
        </w:rPr>
        <w:t>九、合同签订及其他</w:t>
      </w:r>
      <w:bookmarkEnd w:id="54"/>
      <w:bookmarkEnd w:id="58"/>
    </w:p>
    <w:p w14:paraId="7D9AACE7">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29.1 采购人应当自中标通知书发出之日起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日内，按照招标文件和中标人投标文件的规定，与中标人签订书面合同</w:t>
      </w:r>
      <w:r>
        <w:rPr>
          <w:rFonts w:hint="eastAsia" w:ascii="宋体" w:hAnsi="宋体" w:cs="宋体"/>
          <w:color w:val="auto"/>
          <w:szCs w:val="24"/>
          <w:highlight w:val="none"/>
          <w:lang w:val="en-US" w:eastAsia="zh-CN"/>
        </w:rPr>
        <w:t>并安排人员进行</w:t>
      </w:r>
      <w:r>
        <w:rPr>
          <w:rFonts w:hint="eastAsia" w:ascii="宋体" w:hAnsi="宋体" w:cs="宋体"/>
          <w:color w:val="auto"/>
          <w:szCs w:val="24"/>
          <w:highlight w:val="none"/>
        </w:rPr>
        <w:t>。所签订的合同不得对招标文件确定的事项和中标人投标文件作实质性修改。</w:t>
      </w:r>
    </w:p>
    <w:p w14:paraId="7D7AE534">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29.2 中标或者成交供应商拒绝与采购人签订合同的，采购人可以按照评审报告推荐的中标或者成交候选人名单排序，确定下一候选人为中标或者成交供应商，也可以重新开展采购活动。拒绝签订合同的中标或者成交供应商不得参加对该项目重新开展的采购活动，并承担相应法律责任。</w:t>
      </w:r>
    </w:p>
    <w:p w14:paraId="4BAF0C06">
      <w:pPr>
        <w:pStyle w:val="16"/>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30.履约保证金</w:t>
      </w:r>
    </w:p>
    <w:p w14:paraId="28B4C0B3">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采购合同条款要求中标供应商提交履约保证金的，供应商应当以支票、汇票、本票或者金融机构、保险公司、担保机构出具的保函等非现金形式提交。</w:t>
      </w:r>
    </w:p>
    <w:p w14:paraId="0A355A43">
      <w:pPr>
        <w:pStyle w:val="16"/>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31.验收</w:t>
      </w:r>
    </w:p>
    <w:p w14:paraId="75AF94A6">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31.1采购人组织对供应商履约的验收，大型或者复杂的村级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186CD2">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31.2采购人应当及时对采购项目进行验收，采购人可以邀请参加本项目的其他投标人或者第三方机构参与验收，参与验收的投标人或者第三方机构的意见作为验收书的参考资料一并存档。</w:t>
      </w:r>
    </w:p>
    <w:p w14:paraId="5F081CE0">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31.3采购人负责加强对中标人的履约管理，并按照采购合同约定，及时向中标人支付采购资金。对于中标人违反采购合同约定的行为，采购人应当及时处理，依法追究其违约责任。</w:t>
      </w:r>
    </w:p>
    <w:p w14:paraId="155C6626">
      <w:pPr>
        <w:pStyle w:val="16"/>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32.货款结算方式</w:t>
      </w:r>
    </w:p>
    <w:p w14:paraId="6D663B7B">
      <w:pPr>
        <w:tabs>
          <w:tab w:val="left" w:pos="0"/>
        </w:tabs>
        <w:spacing w:line="360" w:lineRule="auto"/>
        <w:ind w:firstLine="480"/>
        <w:rPr>
          <w:rFonts w:ascii="宋体" w:hAnsi="宋体" w:cs="宋体"/>
          <w:color w:val="auto"/>
          <w:sz w:val="24"/>
          <w:highlight w:val="none"/>
        </w:rPr>
      </w:pPr>
      <w:r>
        <w:rPr>
          <w:rFonts w:hint="eastAsia" w:ascii="宋体" w:hAnsi="宋体" w:cs="宋体"/>
          <w:color w:val="auto"/>
          <w:sz w:val="24"/>
          <w:highlight w:val="none"/>
        </w:rPr>
        <w:t>付款方式：采购人与中标人依照招标文件规定的付款方式进行项目款项的支付。</w:t>
      </w:r>
    </w:p>
    <w:p w14:paraId="4438CC62">
      <w:pPr>
        <w:pStyle w:val="16"/>
        <w:spacing w:line="360" w:lineRule="auto"/>
        <w:ind w:left="420" w:leftChars="200"/>
        <w:rPr>
          <w:rFonts w:hAnsi="宋体" w:cs="宋体"/>
          <w:b/>
          <w:color w:val="auto"/>
          <w:sz w:val="24"/>
          <w:szCs w:val="24"/>
          <w:highlight w:val="none"/>
        </w:rPr>
      </w:pPr>
      <w:r>
        <w:rPr>
          <w:rFonts w:hint="eastAsia" w:hAnsi="宋体" w:cs="宋体"/>
          <w:b/>
          <w:color w:val="auto"/>
          <w:sz w:val="24"/>
          <w:szCs w:val="24"/>
          <w:highlight w:val="none"/>
        </w:rPr>
        <w:t>33.售后服务考核</w:t>
      </w:r>
    </w:p>
    <w:p w14:paraId="2D8D1675">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将配合村级采购监管部门不定期对合同的履约情况进行检查，发现弄虚作假，偷工减料，以次充好，达不到国家、行业有关标准和技术文件规定的，一经查实，由村级采购监督管理部门给予相应处罚。</w:t>
      </w:r>
    </w:p>
    <w:p w14:paraId="4953E6BB">
      <w:pPr>
        <w:spacing w:line="360" w:lineRule="auto"/>
        <w:jc w:val="center"/>
        <w:rPr>
          <w:rFonts w:ascii="宋体" w:hAnsi="宋体" w:cs="宋体"/>
          <w:b/>
          <w:color w:val="auto"/>
          <w:sz w:val="24"/>
          <w:highlight w:val="none"/>
        </w:rPr>
      </w:pPr>
    </w:p>
    <w:p w14:paraId="0F0D7C72">
      <w:pPr>
        <w:snapToGrid w:val="0"/>
        <w:spacing w:line="360" w:lineRule="auto"/>
        <w:jc w:val="center"/>
        <w:outlineLvl w:val="0"/>
        <w:rPr>
          <w:rFonts w:ascii="宋体" w:hAnsi="宋体" w:cs="宋体"/>
          <w:b/>
          <w:color w:val="auto"/>
          <w:sz w:val="32"/>
          <w:highlight w:val="none"/>
        </w:rPr>
      </w:pPr>
      <w:bookmarkStart w:id="59" w:name="_Toc10926"/>
      <w:bookmarkStart w:id="60" w:name="_Toc3034"/>
      <w:r>
        <w:rPr>
          <w:rFonts w:hint="eastAsia" w:ascii="宋体" w:hAnsi="宋体" w:cs="宋体"/>
          <w:b/>
          <w:color w:val="auto"/>
          <w:sz w:val="32"/>
          <w:highlight w:val="none"/>
        </w:rPr>
        <w:t>十、质疑与投诉</w:t>
      </w:r>
      <w:bookmarkEnd w:id="59"/>
      <w:bookmarkEnd w:id="60"/>
    </w:p>
    <w:p w14:paraId="1EB8EB8E">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参照《上虞区农村集体经济组织货物（服务）采购实施意见（试行）》的规定，</w:t>
      </w:r>
      <w:r>
        <w:rPr>
          <w:rFonts w:hint="eastAsia" w:ascii="宋体" w:hAnsi="宋体" w:cs="宋体"/>
          <w:color w:val="auto"/>
          <w:highlight w:val="none"/>
        </w:rPr>
        <w:t>村级</w:t>
      </w:r>
      <w:r>
        <w:rPr>
          <w:rFonts w:hint="eastAsia" w:ascii="宋体" w:hAnsi="宋体" w:cs="宋体"/>
          <w:color w:val="auto"/>
          <w:sz w:val="24"/>
          <w:highlight w:val="none"/>
        </w:rPr>
        <w:t>采购供应商可以依法提起质疑和投诉。</w:t>
      </w:r>
    </w:p>
    <w:p w14:paraId="1AFD07D5">
      <w:pPr>
        <w:pStyle w:val="16"/>
        <w:spacing w:line="360" w:lineRule="auto"/>
        <w:ind w:firstLine="482" w:firstLineChars="200"/>
        <w:rPr>
          <w:rFonts w:hAnsi="宋体" w:cs="宋体"/>
          <w:b/>
          <w:color w:val="auto"/>
          <w:sz w:val="24"/>
          <w:szCs w:val="24"/>
          <w:highlight w:val="none"/>
          <w:lang w:val="zh-CN"/>
        </w:rPr>
      </w:pPr>
      <w:r>
        <w:rPr>
          <w:rFonts w:hint="eastAsia" w:hAnsi="宋体" w:cs="宋体"/>
          <w:b/>
          <w:color w:val="auto"/>
          <w:sz w:val="24"/>
          <w:szCs w:val="24"/>
          <w:highlight w:val="none"/>
        </w:rPr>
        <w:t>34.</w:t>
      </w:r>
      <w:r>
        <w:rPr>
          <w:rFonts w:hint="eastAsia" w:hAnsi="宋体" w:cs="宋体"/>
          <w:b/>
          <w:color w:val="auto"/>
          <w:sz w:val="24"/>
          <w:szCs w:val="24"/>
          <w:highlight w:val="none"/>
          <w:lang w:val="zh-CN"/>
        </w:rPr>
        <w:t>供应商询问</w:t>
      </w:r>
    </w:p>
    <w:p w14:paraId="6D58383A">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供应商对村级采购活动事项有疑问的，可以按疑问内容向采购人、采购代理机构、乡镇（街道）招投标部门、“</w:t>
      </w:r>
      <w:r>
        <w:rPr>
          <w:rFonts w:hint="eastAsia" w:ascii="宋体" w:hAnsi="宋体" w:cs="宋体"/>
          <w:color w:val="auto"/>
          <w:szCs w:val="24"/>
          <w:highlight w:val="none"/>
          <w:lang w:eastAsia="zh-CN"/>
        </w:rPr>
        <w:t>乐采云</w:t>
      </w:r>
      <w:r>
        <w:rPr>
          <w:rFonts w:hint="eastAsia" w:ascii="宋体" w:hAnsi="宋体" w:cs="宋体"/>
          <w:color w:val="auto"/>
          <w:szCs w:val="24"/>
          <w:highlight w:val="none"/>
        </w:rPr>
        <w:t>”平台等提出询问，采购人等应当在 7 个工作日内作出答复，但答复的内容不得涉及商业秘密。</w:t>
      </w:r>
    </w:p>
    <w:p w14:paraId="6821E22F">
      <w:pPr>
        <w:pStyle w:val="16"/>
        <w:spacing w:line="360" w:lineRule="auto"/>
        <w:ind w:firstLine="482" w:firstLineChars="200"/>
        <w:rPr>
          <w:rFonts w:hAnsi="宋体" w:cs="宋体"/>
          <w:b/>
          <w:color w:val="auto"/>
          <w:sz w:val="24"/>
          <w:szCs w:val="24"/>
          <w:highlight w:val="none"/>
          <w:lang w:val="zh-CN"/>
        </w:rPr>
      </w:pPr>
      <w:r>
        <w:rPr>
          <w:rFonts w:hint="eastAsia" w:hAnsi="宋体" w:cs="宋体"/>
          <w:b/>
          <w:color w:val="auto"/>
          <w:sz w:val="24"/>
          <w:szCs w:val="24"/>
          <w:highlight w:val="none"/>
        </w:rPr>
        <w:t>35.</w:t>
      </w:r>
      <w:r>
        <w:rPr>
          <w:rFonts w:hint="eastAsia" w:hAnsi="宋体" w:cs="宋体"/>
          <w:b/>
          <w:color w:val="auto"/>
          <w:sz w:val="24"/>
          <w:szCs w:val="24"/>
          <w:highlight w:val="none"/>
          <w:lang w:val="zh-CN"/>
        </w:rPr>
        <w:t>供应商质疑</w:t>
      </w:r>
    </w:p>
    <w:p w14:paraId="72CD3530">
      <w:pPr>
        <w:pStyle w:val="45"/>
        <w:tabs>
          <w:tab w:val="left" w:pos="0"/>
        </w:tabs>
        <w:spacing w:before="0"/>
        <w:ind w:firstLine="480"/>
        <w:rPr>
          <w:color w:val="auto"/>
          <w:highlight w:val="none"/>
        </w:rPr>
      </w:pPr>
      <w:r>
        <w:rPr>
          <w:rFonts w:hint="eastAsia" w:ascii="宋体" w:hAnsi="宋体" w:cs="宋体"/>
          <w:color w:val="auto"/>
          <w:szCs w:val="24"/>
          <w:highlight w:val="none"/>
        </w:rPr>
        <w:t>35.1</w:t>
      </w:r>
      <w:r>
        <w:rPr>
          <w:rFonts w:hint="eastAsia"/>
          <w:color w:val="auto"/>
          <w:highlight w:val="none"/>
        </w:rPr>
        <w:t>供应商认为采购文件、采购过程、中标或者成交结果使自己的权益受到损害的，可以在知道或者应知其权益受到损害之日起7个工作日内，以书面形式实名向采购代理机构或采购人提出质疑，采购代理机构、采购人应在收到书面质疑后7个工作日内作出书面答复，但答复内容不得涉及商业秘密。</w:t>
      </w:r>
    </w:p>
    <w:p w14:paraId="7843FEC9">
      <w:pPr>
        <w:pStyle w:val="45"/>
        <w:tabs>
          <w:tab w:val="left" w:pos="0"/>
        </w:tabs>
        <w:spacing w:before="0"/>
        <w:ind w:firstLine="480"/>
        <w:rPr>
          <w:rFonts w:ascii="宋体" w:hAnsi="宋体" w:cs="宋体"/>
          <w:color w:val="auto"/>
          <w:szCs w:val="24"/>
          <w:highlight w:val="none"/>
        </w:rPr>
      </w:pPr>
      <w:r>
        <w:rPr>
          <w:rFonts w:hint="eastAsia"/>
          <w:color w:val="auto"/>
          <w:highlight w:val="none"/>
        </w:rPr>
        <w:t>采购评审专家（评标委员会、采购小组）应当协助采购人或者采购代理机构等答复供应商的询问和质疑，必要时可出具专家意见。</w:t>
      </w:r>
    </w:p>
    <w:p w14:paraId="4A190122">
      <w:pPr>
        <w:pStyle w:val="16"/>
        <w:spacing w:line="360" w:lineRule="auto"/>
        <w:ind w:firstLine="482" w:firstLineChars="200"/>
        <w:rPr>
          <w:rFonts w:hAnsi="宋体" w:cs="宋体"/>
          <w:color w:val="auto"/>
          <w:sz w:val="24"/>
          <w:highlight w:val="none"/>
        </w:rPr>
      </w:pPr>
      <w:r>
        <w:rPr>
          <w:rFonts w:hint="eastAsia" w:hAnsi="宋体" w:cs="宋体"/>
          <w:b/>
          <w:color w:val="auto"/>
          <w:sz w:val="24"/>
          <w:highlight w:val="none"/>
        </w:rPr>
        <w:t>供应商在法定质疑期内应一次性提出针对同一采购程序环节的质疑，否则质疑将不予受理。</w:t>
      </w:r>
    </w:p>
    <w:p w14:paraId="68D2214B">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35.2供应商提交的质疑书需一式三份，由法定代表人签字（或盖章）并加盖单位公章。质疑书至少应包括下列主要内容：</w:t>
      </w:r>
    </w:p>
    <w:p w14:paraId="6CC81F4D">
      <w:pPr>
        <w:pStyle w:val="16"/>
        <w:numPr>
          <w:ilvl w:val="0"/>
          <w:numId w:val="37"/>
        </w:numPr>
        <w:spacing w:line="360" w:lineRule="auto"/>
        <w:ind w:firstLine="480" w:firstLineChars="200"/>
        <w:rPr>
          <w:rFonts w:hAnsi="宋体" w:cs="宋体"/>
          <w:color w:val="auto"/>
          <w:sz w:val="24"/>
          <w:highlight w:val="none"/>
        </w:rPr>
      </w:pPr>
      <w:r>
        <w:rPr>
          <w:rFonts w:hint="eastAsia" w:hAnsi="宋体" w:cs="宋体"/>
          <w:color w:val="auto"/>
          <w:sz w:val="24"/>
          <w:highlight w:val="none"/>
        </w:rPr>
        <w:t>质疑人的名称、地址、邮政编码、联系人、联系电话，以及被质疑人名称及联系方式；</w:t>
      </w:r>
    </w:p>
    <w:p w14:paraId="3D819CB0">
      <w:pPr>
        <w:pStyle w:val="16"/>
        <w:numPr>
          <w:ilvl w:val="0"/>
          <w:numId w:val="37"/>
        </w:numPr>
        <w:spacing w:line="360" w:lineRule="auto"/>
        <w:ind w:firstLine="480" w:firstLineChars="200"/>
        <w:rPr>
          <w:rFonts w:hAnsi="宋体" w:cs="宋体"/>
          <w:color w:val="auto"/>
          <w:sz w:val="24"/>
          <w:highlight w:val="none"/>
        </w:rPr>
      </w:pPr>
      <w:r>
        <w:rPr>
          <w:rFonts w:hint="eastAsia" w:hAnsi="宋体" w:cs="宋体"/>
          <w:color w:val="auto"/>
          <w:sz w:val="24"/>
          <w:highlight w:val="none"/>
        </w:rPr>
        <w:t>被质疑采购项目名称、编号及采购内容；</w:t>
      </w:r>
    </w:p>
    <w:p w14:paraId="6053E425">
      <w:pPr>
        <w:pStyle w:val="16"/>
        <w:numPr>
          <w:ilvl w:val="0"/>
          <w:numId w:val="37"/>
        </w:numPr>
        <w:spacing w:line="360" w:lineRule="auto"/>
        <w:ind w:firstLine="480" w:firstLineChars="200"/>
        <w:rPr>
          <w:rFonts w:hAnsi="宋体" w:cs="宋体"/>
          <w:color w:val="auto"/>
          <w:sz w:val="24"/>
          <w:highlight w:val="none"/>
        </w:rPr>
      </w:pPr>
      <w:r>
        <w:rPr>
          <w:rFonts w:hint="eastAsia" w:hAnsi="宋体" w:cs="宋体"/>
          <w:color w:val="auto"/>
          <w:sz w:val="24"/>
          <w:highlight w:val="none"/>
        </w:rPr>
        <w:t>具体的质疑事项及事实依据；</w:t>
      </w:r>
    </w:p>
    <w:p w14:paraId="7DCDF04A">
      <w:pPr>
        <w:pStyle w:val="16"/>
        <w:numPr>
          <w:ilvl w:val="0"/>
          <w:numId w:val="37"/>
        </w:numPr>
        <w:spacing w:line="360" w:lineRule="auto"/>
        <w:ind w:firstLine="480" w:firstLineChars="200"/>
        <w:rPr>
          <w:rFonts w:hAnsi="宋体" w:cs="宋体"/>
          <w:color w:val="auto"/>
          <w:sz w:val="24"/>
          <w:highlight w:val="none"/>
        </w:rPr>
      </w:pPr>
      <w:r>
        <w:rPr>
          <w:rFonts w:hint="eastAsia" w:hAnsi="宋体" w:cs="宋体"/>
          <w:color w:val="auto"/>
          <w:sz w:val="24"/>
          <w:highlight w:val="none"/>
        </w:rPr>
        <w:t>认为自己合法权益受到损害或可能受到损害的相关证据材料；</w:t>
      </w:r>
    </w:p>
    <w:p w14:paraId="1D2F3D09">
      <w:pPr>
        <w:pStyle w:val="16"/>
        <w:numPr>
          <w:ilvl w:val="0"/>
          <w:numId w:val="37"/>
        </w:numPr>
        <w:spacing w:line="360" w:lineRule="auto"/>
        <w:ind w:firstLine="480" w:firstLineChars="200"/>
        <w:rPr>
          <w:rFonts w:hAnsi="宋体" w:cs="宋体"/>
          <w:color w:val="auto"/>
          <w:sz w:val="24"/>
          <w:highlight w:val="none"/>
        </w:rPr>
      </w:pPr>
      <w:r>
        <w:rPr>
          <w:rFonts w:hint="eastAsia" w:hAnsi="宋体" w:cs="宋体"/>
          <w:color w:val="auto"/>
          <w:sz w:val="24"/>
          <w:highlight w:val="none"/>
        </w:rPr>
        <w:t>提出质疑的日期。</w:t>
      </w:r>
    </w:p>
    <w:p w14:paraId="76EAF6EA">
      <w:pPr>
        <w:pStyle w:val="1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未按上述内容填写的质疑书将不予受理。</w:t>
      </w:r>
    </w:p>
    <w:p w14:paraId="5B50CD52">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35.3采购代理机构应当在收到供应商的书面质疑后七个工作日内作出答复，并以书面形式通知质疑供应商和其他与质疑处理结果有利害关系的村级采购当事人，但答复的内容不得涉及商业秘密。</w:t>
      </w:r>
    </w:p>
    <w:p w14:paraId="7BE5BE00">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35.4询问或者质疑事项可能影响采购结果的，采购人应当暂停签订合同，已经签订合同的，应当中止履行合同。</w:t>
      </w:r>
    </w:p>
    <w:p w14:paraId="63524018">
      <w:pPr>
        <w:pStyle w:val="16"/>
        <w:spacing w:line="360" w:lineRule="auto"/>
        <w:ind w:firstLine="482" w:firstLineChars="200"/>
        <w:rPr>
          <w:rFonts w:hAnsi="宋体" w:cs="宋体"/>
          <w:b/>
          <w:color w:val="auto"/>
          <w:sz w:val="24"/>
          <w:szCs w:val="24"/>
          <w:highlight w:val="none"/>
          <w:lang w:val="zh-CN"/>
        </w:rPr>
      </w:pPr>
      <w:r>
        <w:rPr>
          <w:rFonts w:hint="eastAsia" w:hAnsi="宋体" w:cs="宋体"/>
          <w:b/>
          <w:color w:val="auto"/>
          <w:sz w:val="24"/>
          <w:szCs w:val="24"/>
          <w:highlight w:val="none"/>
        </w:rPr>
        <w:t>36</w:t>
      </w:r>
      <w:r>
        <w:rPr>
          <w:rFonts w:hint="eastAsia" w:hAnsi="宋体" w:cs="宋体"/>
          <w:b/>
          <w:color w:val="auto"/>
          <w:sz w:val="24"/>
          <w:szCs w:val="24"/>
          <w:highlight w:val="none"/>
          <w:lang w:val="zh-CN"/>
        </w:rPr>
        <w:t>供应商投诉</w:t>
      </w:r>
    </w:p>
    <w:p w14:paraId="57EF0FDB">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36.1供应商质疑、投诉应当有明确的请求和必要的证明材料，供应商投诉的事项不得超出已质疑事项的范围，不符合上述要求的投诉将不予受理。</w:t>
      </w:r>
    </w:p>
    <w:p w14:paraId="4BD432F2">
      <w:pPr>
        <w:snapToGrid w:val="0"/>
        <w:spacing w:line="360" w:lineRule="auto"/>
        <w:ind w:firstLine="420" w:firstLineChars="200"/>
        <w:jc w:val="left"/>
        <w:rPr>
          <w:rFonts w:ascii="宋体" w:hAnsi="宋体" w:cs="宋体"/>
          <w:color w:val="auto"/>
          <w:sz w:val="24"/>
          <w:highlight w:val="none"/>
        </w:rPr>
      </w:pPr>
      <w:r>
        <w:rPr>
          <w:rFonts w:hint="eastAsia" w:ascii="宋体" w:hAnsi="宋体" w:cs="宋体"/>
          <w:color w:val="auto"/>
          <w:highlight w:val="none"/>
        </w:rPr>
        <w:t>36.2</w:t>
      </w:r>
      <w:r>
        <w:rPr>
          <w:rFonts w:hint="eastAsia" w:ascii="宋体" w:hAnsi="宋体" w:cs="宋体"/>
          <w:color w:val="auto"/>
          <w:sz w:val="24"/>
          <w:highlight w:val="none"/>
        </w:rPr>
        <w:t>质疑供应商对质疑的答复不满意，或者采购人或采购代理机构未在规定时间内答复的，可以在收到答复之日或者答复期满后15个工作日内依法向采购人所在乡镇（街道）投诉。乡镇（街道）应当在正式受理投诉后30个工作日内作出调查并回复，同时将投诉回复及调查结果通知采购人。区农业农村局督促乡镇（街道）做好投诉件的答复和处理。</w:t>
      </w:r>
    </w:p>
    <w:p w14:paraId="20CEFAFE">
      <w:pPr>
        <w:pStyle w:val="45"/>
        <w:tabs>
          <w:tab w:val="left" w:pos="0"/>
        </w:tabs>
        <w:spacing w:before="0"/>
        <w:ind w:firstLine="480"/>
        <w:rPr>
          <w:rFonts w:ascii="宋体" w:hAnsi="宋体" w:cs="宋体"/>
          <w:color w:val="auto"/>
          <w:szCs w:val="24"/>
          <w:highlight w:val="none"/>
        </w:rPr>
      </w:pPr>
      <w:r>
        <w:rPr>
          <w:rFonts w:hint="eastAsia" w:ascii="宋体" w:hAnsi="宋体" w:cs="宋体"/>
          <w:color w:val="auto"/>
          <w:szCs w:val="24"/>
          <w:highlight w:val="none"/>
        </w:rPr>
        <w:t>投诉人提交投诉件时，应当提供相关证据、依据和其他有关材料。</w:t>
      </w:r>
    </w:p>
    <w:bookmarkEnd w:id="51"/>
    <w:p w14:paraId="7EEB3BF7">
      <w:pPr>
        <w:spacing w:afterLines="50" w:line="360" w:lineRule="auto"/>
        <w:jc w:val="center"/>
        <w:outlineLvl w:val="0"/>
        <w:rPr>
          <w:rFonts w:ascii="宋体" w:hAnsi="宋体" w:cs="宋体"/>
          <w:b/>
          <w:color w:val="auto"/>
          <w:sz w:val="36"/>
          <w:szCs w:val="36"/>
          <w:highlight w:val="none"/>
        </w:rPr>
      </w:pPr>
      <w:r>
        <w:rPr>
          <w:rFonts w:hint="eastAsia" w:ascii="宋体" w:hAnsi="宋体" w:cs="宋体"/>
          <w:color w:val="auto"/>
          <w:sz w:val="24"/>
          <w:szCs w:val="20"/>
          <w:highlight w:val="none"/>
        </w:rPr>
        <w:br w:type="page"/>
      </w:r>
      <w:bookmarkStart w:id="61" w:name="_Toc13529"/>
      <w:r>
        <w:rPr>
          <w:rFonts w:hint="eastAsia" w:ascii="宋体" w:hAnsi="宋体" w:cs="宋体"/>
          <w:b/>
          <w:color w:val="auto"/>
          <w:sz w:val="36"/>
          <w:szCs w:val="36"/>
          <w:highlight w:val="none"/>
        </w:rPr>
        <w:t xml:space="preserve">第三部分   </w:t>
      </w:r>
      <w:bookmarkEnd w:id="43"/>
      <w:bookmarkEnd w:id="44"/>
      <w:bookmarkStart w:id="62" w:name="_Toc184310318"/>
      <w:bookmarkEnd w:id="62"/>
      <w:bookmarkStart w:id="63" w:name="_Toc184314448"/>
      <w:bookmarkEnd w:id="63"/>
      <w:bookmarkStart w:id="64" w:name="_Toc184310325"/>
      <w:bookmarkEnd w:id="64"/>
      <w:bookmarkStart w:id="65" w:name="_Toc184313302"/>
      <w:bookmarkEnd w:id="65"/>
      <w:bookmarkStart w:id="66" w:name="_Toc184308045"/>
      <w:bookmarkEnd w:id="66"/>
      <w:bookmarkStart w:id="67" w:name="_Toc184313253"/>
      <w:bookmarkEnd w:id="67"/>
      <w:bookmarkStart w:id="68" w:name="_Toc184310336"/>
      <w:bookmarkEnd w:id="68"/>
      <w:bookmarkStart w:id="69" w:name="_Toc184313251"/>
      <w:bookmarkEnd w:id="69"/>
      <w:bookmarkStart w:id="70" w:name="_Toc184314446"/>
      <w:bookmarkEnd w:id="70"/>
      <w:bookmarkStart w:id="71" w:name="_Toc184308062"/>
      <w:bookmarkEnd w:id="71"/>
      <w:bookmarkStart w:id="72" w:name="_Toc184314425"/>
      <w:bookmarkEnd w:id="72"/>
      <w:bookmarkStart w:id="73" w:name="_Toc184313269"/>
      <w:bookmarkEnd w:id="73"/>
      <w:bookmarkStart w:id="74" w:name="_Toc184312137"/>
      <w:bookmarkEnd w:id="74"/>
      <w:bookmarkStart w:id="75" w:name="_Toc184314431"/>
      <w:bookmarkEnd w:id="75"/>
      <w:bookmarkStart w:id="76" w:name="_Toc184312082"/>
      <w:bookmarkEnd w:id="76"/>
      <w:bookmarkStart w:id="77" w:name="_Toc184313245"/>
      <w:bookmarkEnd w:id="77"/>
      <w:bookmarkStart w:id="78" w:name="_Toc184310328"/>
      <w:bookmarkEnd w:id="78"/>
      <w:bookmarkStart w:id="79" w:name="_Toc184308079"/>
      <w:bookmarkEnd w:id="79"/>
      <w:bookmarkStart w:id="80" w:name="_Toc184312097"/>
      <w:bookmarkEnd w:id="80"/>
      <w:bookmarkStart w:id="81" w:name="_Toc184308056"/>
      <w:bookmarkEnd w:id="81"/>
      <w:bookmarkStart w:id="82" w:name="_Toc184314447"/>
      <w:bookmarkEnd w:id="82"/>
      <w:bookmarkStart w:id="83" w:name="_Toc184314427"/>
      <w:bookmarkEnd w:id="83"/>
      <w:bookmarkStart w:id="84" w:name="_Toc184308066"/>
      <w:bookmarkEnd w:id="84"/>
      <w:bookmarkStart w:id="85" w:name="_Toc184314417"/>
      <w:bookmarkEnd w:id="85"/>
      <w:bookmarkStart w:id="86" w:name="_Toc184308071"/>
      <w:bookmarkEnd w:id="86"/>
      <w:bookmarkStart w:id="87" w:name="_Toc184310285"/>
      <w:bookmarkEnd w:id="87"/>
      <w:bookmarkStart w:id="88" w:name="_Toc184314418"/>
      <w:bookmarkEnd w:id="88"/>
      <w:bookmarkStart w:id="89" w:name="_Toc184314480"/>
      <w:bookmarkEnd w:id="89"/>
      <w:bookmarkStart w:id="90" w:name="_Toc184314420"/>
      <w:bookmarkEnd w:id="90"/>
      <w:bookmarkStart w:id="91" w:name="_Toc184313282"/>
      <w:bookmarkEnd w:id="91"/>
      <w:bookmarkStart w:id="92" w:name="_Toc184308083"/>
      <w:bookmarkEnd w:id="92"/>
      <w:bookmarkStart w:id="93" w:name="_Toc184310302"/>
      <w:bookmarkEnd w:id="93"/>
      <w:bookmarkStart w:id="94" w:name="_Toc184312099"/>
      <w:bookmarkEnd w:id="94"/>
      <w:bookmarkStart w:id="95" w:name="_Toc184313267"/>
      <w:bookmarkEnd w:id="95"/>
      <w:bookmarkStart w:id="96" w:name="_Toc184312106"/>
      <w:bookmarkEnd w:id="96"/>
      <w:bookmarkStart w:id="97" w:name="_Toc184312105"/>
      <w:bookmarkEnd w:id="97"/>
      <w:bookmarkStart w:id="98" w:name="_Toc184313281"/>
      <w:bookmarkEnd w:id="98"/>
      <w:bookmarkStart w:id="99" w:name="_Toc184314440"/>
      <w:bookmarkEnd w:id="99"/>
      <w:bookmarkStart w:id="100" w:name="_Toc184313248"/>
      <w:bookmarkEnd w:id="100"/>
      <w:bookmarkStart w:id="101" w:name="_Toc184313247"/>
      <w:bookmarkEnd w:id="101"/>
      <w:bookmarkStart w:id="102" w:name="_Toc184312090"/>
      <w:bookmarkEnd w:id="102"/>
      <w:bookmarkStart w:id="103" w:name="_Toc184313283"/>
      <w:bookmarkEnd w:id="103"/>
      <w:bookmarkStart w:id="104" w:name="_Toc184314436"/>
      <w:bookmarkEnd w:id="104"/>
      <w:bookmarkStart w:id="105" w:name="_Toc184308037"/>
      <w:bookmarkEnd w:id="105"/>
      <w:bookmarkStart w:id="106" w:name="_Toc184312104"/>
      <w:bookmarkEnd w:id="106"/>
      <w:bookmarkStart w:id="107" w:name="_Toc184314473"/>
      <w:bookmarkEnd w:id="107"/>
      <w:bookmarkStart w:id="108" w:name="_Toc184314443"/>
      <w:bookmarkEnd w:id="108"/>
      <w:bookmarkStart w:id="109" w:name="_Toc184310326"/>
      <w:bookmarkEnd w:id="109"/>
      <w:bookmarkStart w:id="110" w:name="_Toc184308064"/>
      <w:bookmarkEnd w:id="110"/>
      <w:bookmarkStart w:id="111" w:name="_Toc184314428"/>
      <w:bookmarkEnd w:id="111"/>
      <w:bookmarkStart w:id="112" w:name="_Toc184308081"/>
      <w:bookmarkEnd w:id="112"/>
      <w:bookmarkStart w:id="113" w:name="_Toc184312074"/>
      <w:bookmarkEnd w:id="113"/>
      <w:bookmarkStart w:id="114" w:name="_Toc184313298"/>
      <w:bookmarkEnd w:id="114"/>
      <w:bookmarkStart w:id="115" w:name="_Toc184308059"/>
      <w:bookmarkEnd w:id="115"/>
      <w:bookmarkStart w:id="116" w:name="_Toc184314465"/>
      <w:bookmarkEnd w:id="116"/>
      <w:bookmarkStart w:id="117" w:name="_Toc184310293"/>
      <w:bookmarkEnd w:id="117"/>
      <w:bookmarkStart w:id="118" w:name="_Toc184314413"/>
      <w:bookmarkEnd w:id="118"/>
      <w:bookmarkStart w:id="119" w:name="_Toc184308038"/>
      <w:bookmarkEnd w:id="119"/>
      <w:bookmarkStart w:id="120" w:name="_Toc184310273"/>
      <w:bookmarkEnd w:id="120"/>
      <w:bookmarkStart w:id="121" w:name="_Toc184308085"/>
      <w:bookmarkEnd w:id="121"/>
      <w:bookmarkStart w:id="122" w:name="_Toc184310311"/>
      <w:bookmarkEnd w:id="122"/>
      <w:bookmarkStart w:id="123" w:name="_Toc184308100"/>
      <w:bookmarkEnd w:id="123"/>
      <w:bookmarkStart w:id="124" w:name="_Toc184313243"/>
      <w:bookmarkEnd w:id="124"/>
      <w:bookmarkStart w:id="125" w:name="_Toc184314453"/>
      <w:bookmarkEnd w:id="125"/>
      <w:bookmarkStart w:id="126" w:name="_Toc184308108"/>
      <w:bookmarkEnd w:id="126"/>
      <w:bookmarkStart w:id="127" w:name="_Toc184308097"/>
      <w:bookmarkEnd w:id="127"/>
      <w:bookmarkStart w:id="128" w:name="_Toc184312089"/>
      <w:bookmarkEnd w:id="128"/>
      <w:bookmarkStart w:id="129" w:name="_Toc184312111"/>
      <w:bookmarkEnd w:id="129"/>
      <w:bookmarkStart w:id="130" w:name="_Toc184308063"/>
      <w:bookmarkEnd w:id="130"/>
      <w:bookmarkStart w:id="131" w:name="_Toc184312101"/>
      <w:bookmarkEnd w:id="131"/>
      <w:bookmarkStart w:id="132" w:name="_Toc184314430"/>
      <w:bookmarkEnd w:id="132"/>
      <w:bookmarkStart w:id="133" w:name="_Toc184308069"/>
      <w:bookmarkEnd w:id="133"/>
      <w:bookmarkStart w:id="134" w:name="_Toc184310287"/>
      <w:bookmarkEnd w:id="134"/>
      <w:bookmarkStart w:id="135" w:name="_Toc184310272"/>
      <w:bookmarkEnd w:id="135"/>
      <w:bookmarkStart w:id="136" w:name="_Toc184312096"/>
      <w:bookmarkEnd w:id="136"/>
      <w:bookmarkStart w:id="137" w:name="_Toc184313261"/>
      <w:bookmarkEnd w:id="137"/>
      <w:bookmarkStart w:id="138" w:name="_Toc184310303"/>
      <w:bookmarkEnd w:id="138"/>
      <w:bookmarkStart w:id="139" w:name="_Toc184313254"/>
      <w:bookmarkEnd w:id="139"/>
      <w:bookmarkStart w:id="140" w:name="_Toc184314469"/>
      <w:bookmarkEnd w:id="140"/>
      <w:bookmarkStart w:id="141" w:name="_Toc184313291"/>
      <w:bookmarkEnd w:id="141"/>
      <w:bookmarkStart w:id="142" w:name="_Toc184310305"/>
      <w:bookmarkEnd w:id="142"/>
      <w:bookmarkStart w:id="143" w:name="_Toc184313263"/>
      <w:bookmarkEnd w:id="143"/>
      <w:bookmarkStart w:id="144" w:name="_Toc184313276"/>
      <w:bookmarkEnd w:id="144"/>
      <w:bookmarkStart w:id="145" w:name="_Toc184310291"/>
      <w:bookmarkEnd w:id="145"/>
      <w:bookmarkStart w:id="146" w:name="_Toc184314464"/>
      <w:bookmarkEnd w:id="146"/>
      <w:bookmarkStart w:id="147" w:name="_Toc184313271"/>
      <w:bookmarkEnd w:id="147"/>
      <w:bookmarkStart w:id="148" w:name="_Toc184308048"/>
      <w:bookmarkEnd w:id="148"/>
      <w:bookmarkStart w:id="149" w:name="_Toc184313293"/>
      <w:bookmarkEnd w:id="149"/>
      <w:bookmarkStart w:id="150" w:name="_Toc184313258"/>
      <w:bookmarkEnd w:id="150"/>
      <w:bookmarkStart w:id="151" w:name="_Toc184308091"/>
      <w:bookmarkEnd w:id="151"/>
      <w:bookmarkStart w:id="152" w:name="_Toc184310289"/>
      <w:bookmarkEnd w:id="152"/>
      <w:bookmarkStart w:id="153" w:name="_Toc184308049"/>
      <w:bookmarkEnd w:id="153"/>
      <w:bookmarkStart w:id="154" w:name="_Toc184310322"/>
      <w:bookmarkEnd w:id="154"/>
      <w:bookmarkStart w:id="155" w:name="_Toc184314472"/>
      <w:bookmarkEnd w:id="155"/>
      <w:bookmarkStart w:id="156" w:name="_Toc184314455"/>
      <w:bookmarkEnd w:id="156"/>
      <w:bookmarkStart w:id="157" w:name="_Toc184313249"/>
      <w:bookmarkEnd w:id="157"/>
      <w:bookmarkStart w:id="158" w:name="_Toc184312073"/>
      <w:bookmarkEnd w:id="158"/>
      <w:bookmarkStart w:id="159" w:name="_Toc184312078"/>
      <w:bookmarkEnd w:id="159"/>
      <w:bookmarkStart w:id="160" w:name="_Toc184310284"/>
      <w:bookmarkEnd w:id="160"/>
      <w:bookmarkStart w:id="161" w:name="_Toc184312125"/>
      <w:bookmarkEnd w:id="161"/>
      <w:bookmarkStart w:id="162" w:name="_Toc184314450"/>
      <w:bookmarkEnd w:id="162"/>
      <w:bookmarkStart w:id="163" w:name="_Toc184313275"/>
      <w:bookmarkEnd w:id="163"/>
      <w:bookmarkStart w:id="164" w:name="_Toc184313280"/>
      <w:bookmarkEnd w:id="164"/>
      <w:bookmarkStart w:id="165" w:name="_Toc184314463"/>
      <w:bookmarkEnd w:id="165"/>
      <w:bookmarkStart w:id="166" w:name="_Toc184310312"/>
      <w:bookmarkEnd w:id="166"/>
      <w:bookmarkStart w:id="167" w:name="_Toc184312080"/>
      <w:bookmarkEnd w:id="167"/>
      <w:bookmarkStart w:id="168" w:name="_Toc184308041"/>
      <w:bookmarkEnd w:id="168"/>
      <w:bookmarkStart w:id="169" w:name="_Toc184308090"/>
      <w:bookmarkEnd w:id="169"/>
      <w:bookmarkStart w:id="170" w:name="_Toc184313287"/>
      <w:bookmarkEnd w:id="170"/>
      <w:bookmarkStart w:id="171" w:name="_Toc184310342"/>
      <w:bookmarkEnd w:id="171"/>
      <w:bookmarkStart w:id="172" w:name="_Toc184310310"/>
      <w:bookmarkEnd w:id="172"/>
      <w:bookmarkStart w:id="173" w:name="_Toc184308058"/>
      <w:bookmarkEnd w:id="173"/>
      <w:bookmarkStart w:id="174" w:name="_Toc184310282"/>
      <w:bookmarkEnd w:id="174"/>
      <w:bookmarkStart w:id="175" w:name="_Toc184310296"/>
      <w:bookmarkEnd w:id="175"/>
      <w:bookmarkStart w:id="176" w:name="_Toc184314445"/>
      <w:bookmarkEnd w:id="176"/>
      <w:bookmarkStart w:id="177" w:name="_Toc184312115"/>
      <w:bookmarkEnd w:id="177"/>
      <w:bookmarkStart w:id="178" w:name="_Toc184308082"/>
      <w:bookmarkEnd w:id="178"/>
      <w:bookmarkStart w:id="179" w:name="_Toc184308042"/>
      <w:bookmarkEnd w:id="179"/>
      <w:bookmarkStart w:id="180" w:name="_Toc184313306"/>
      <w:bookmarkEnd w:id="180"/>
      <w:bookmarkStart w:id="181" w:name="_Toc184312132"/>
      <w:bookmarkEnd w:id="181"/>
      <w:bookmarkStart w:id="182" w:name="_Toc184314460"/>
      <w:bookmarkEnd w:id="182"/>
      <w:bookmarkStart w:id="183" w:name="_Toc184313244"/>
      <w:bookmarkEnd w:id="183"/>
      <w:bookmarkStart w:id="184" w:name="_Toc184313303"/>
      <w:bookmarkEnd w:id="184"/>
      <w:bookmarkStart w:id="185" w:name="_Toc184312126"/>
      <w:bookmarkEnd w:id="185"/>
      <w:bookmarkStart w:id="186" w:name="_Toc184308080"/>
      <w:bookmarkEnd w:id="186"/>
      <w:bookmarkStart w:id="187" w:name="_Toc184313289"/>
      <w:bookmarkEnd w:id="187"/>
      <w:bookmarkStart w:id="188" w:name="_Toc184308060"/>
      <w:bookmarkEnd w:id="188"/>
      <w:bookmarkStart w:id="189" w:name="_Toc184313285"/>
      <w:bookmarkEnd w:id="189"/>
      <w:bookmarkStart w:id="190" w:name="_Toc184308057"/>
      <w:bookmarkEnd w:id="190"/>
      <w:bookmarkStart w:id="191" w:name="_Toc184313238"/>
      <w:bookmarkEnd w:id="191"/>
      <w:bookmarkStart w:id="192" w:name="_Toc184314437"/>
      <w:bookmarkEnd w:id="192"/>
      <w:bookmarkStart w:id="193" w:name="_Toc184313309"/>
      <w:bookmarkEnd w:id="193"/>
      <w:bookmarkStart w:id="194" w:name="_Toc184313307"/>
      <w:bookmarkEnd w:id="194"/>
      <w:bookmarkStart w:id="195" w:name="_Toc184308046"/>
      <w:bookmarkEnd w:id="195"/>
      <w:bookmarkStart w:id="196" w:name="_Toc184308095"/>
      <w:bookmarkEnd w:id="196"/>
      <w:bookmarkStart w:id="197" w:name="_Toc184312088"/>
      <w:bookmarkEnd w:id="197"/>
      <w:bookmarkStart w:id="198" w:name="_Toc184312110"/>
      <w:bookmarkEnd w:id="198"/>
      <w:bookmarkStart w:id="199" w:name="_Toc184314433"/>
      <w:bookmarkEnd w:id="199"/>
      <w:bookmarkStart w:id="200" w:name="_Toc184308102"/>
      <w:bookmarkEnd w:id="200"/>
      <w:bookmarkStart w:id="201" w:name="_Toc184313304"/>
      <w:bookmarkEnd w:id="201"/>
      <w:bookmarkStart w:id="202" w:name="_Toc184313286"/>
      <w:bookmarkEnd w:id="202"/>
      <w:bookmarkStart w:id="203" w:name="_Toc184310343"/>
      <w:bookmarkEnd w:id="203"/>
      <w:bookmarkStart w:id="204" w:name="_Toc184310316"/>
      <w:bookmarkEnd w:id="204"/>
      <w:bookmarkStart w:id="205" w:name="_Toc184310281"/>
      <w:bookmarkEnd w:id="205"/>
      <w:bookmarkStart w:id="206" w:name="_Toc184312076"/>
      <w:bookmarkEnd w:id="206"/>
      <w:bookmarkStart w:id="207" w:name="_Toc184314449"/>
      <w:bookmarkEnd w:id="207"/>
      <w:bookmarkStart w:id="208" w:name="_Toc184312108"/>
      <w:bookmarkEnd w:id="208"/>
      <w:bookmarkStart w:id="209" w:name="_Toc184312094"/>
      <w:bookmarkEnd w:id="209"/>
      <w:bookmarkStart w:id="210" w:name="_Toc184308075"/>
      <w:bookmarkEnd w:id="210"/>
      <w:bookmarkStart w:id="211" w:name="_Toc184314429"/>
      <w:bookmarkEnd w:id="211"/>
      <w:bookmarkStart w:id="212" w:name="_Toc184312123"/>
      <w:bookmarkEnd w:id="212"/>
      <w:bookmarkStart w:id="213" w:name="_Toc184308044"/>
      <w:bookmarkEnd w:id="213"/>
      <w:bookmarkStart w:id="214" w:name="_Toc184312133"/>
      <w:bookmarkEnd w:id="214"/>
      <w:bookmarkStart w:id="215" w:name="_Toc184312083"/>
      <w:bookmarkEnd w:id="215"/>
      <w:bookmarkStart w:id="216" w:name="_Toc184314474"/>
      <w:bookmarkEnd w:id="216"/>
      <w:bookmarkStart w:id="217" w:name="_Toc184310313"/>
      <w:bookmarkEnd w:id="217"/>
      <w:bookmarkStart w:id="218" w:name="_Toc184313290"/>
      <w:bookmarkEnd w:id="218"/>
      <w:bookmarkStart w:id="219" w:name="_Toc184313279"/>
      <w:bookmarkEnd w:id="219"/>
      <w:bookmarkStart w:id="220" w:name="_Toc184308065"/>
      <w:bookmarkEnd w:id="220"/>
      <w:bookmarkStart w:id="221" w:name="_Toc184312118"/>
      <w:bookmarkEnd w:id="221"/>
      <w:bookmarkStart w:id="222" w:name="_Toc184310277"/>
      <w:bookmarkEnd w:id="222"/>
      <w:bookmarkStart w:id="223" w:name="_Toc184312130"/>
      <w:bookmarkEnd w:id="223"/>
      <w:bookmarkStart w:id="224" w:name="_Toc184314410"/>
      <w:bookmarkEnd w:id="224"/>
      <w:bookmarkStart w:id="225" w:name="_Toc184313274"/>
      <w:bookmarkEnd w:id="225"/>
      <w:bookmarkStart w:id="226" w:name="_Toc184308073"/>
      <w:bookmarkEnd w:id="226"/>
      <w:bookmarkStart w:id="227" w:name="_Toc184312087"/>
      <w:bookmarkEnd w:id="227"/>
      <w:bookmarkStart w:id="228" w:name="_Toc184313259"/>
      <w:bookmarkEnd w:id="228"/>
      <w:bookmarkStart w:id="229" w:name="_Toc184312081"/>
      <w:bookmarkEnd w:id="229"/>
      <w:bookmarkStart w:id="230" w:name="_Toc184312136"/>
      <w:bookmarkEnd w:id="230"/>
      <w:bookmarkStart w:id="231" w:name="_Toc184310317"/>
      <w:bookmarkEnd w:id="231"/>
      <w:bookmarkStart w:id="232" w:name="_Toc184310337"/>
      <w:bookmarkEnd w:id="232"/>
      <w:bookmarkStart w:id="233" w:name="_Toc184312124"/>
      <w:bookmarkEnd w:id="233"/>
      <w:bookmarkStart w:id="234" w:name="_Toc184308039"/>
      <w:bookmarkEnd w:id="234"/>
      <w:bookmarkStart w:id="235" w:name="_Toc184312131"/>
      <w:bookmarkEnd w:id="235"/>
      <w:bookmarkStart w:id="236" w:name="_Toc184312103"/>
      <w:bookmarkEnd w:id="236"/>
      <w:bookmarkStart w:id="237" w:name="_Toc184310283"/>
      <w:bookmarkEnd w:id="237"/>
      <w:bookmarkStart w:id="238" w:name="_Toc184313296"/>
      <w:bookmarkEnd w:id="238"/>
      <w:bookmarkStart w:id="239" w:name="_Toc184310294"/>
      <w:bookmarkEnd w:id="239"/>
      <w:bookmarkStart w:id="240" w:name="_Toc184313256"/>
      <w:bookmarkEnd w:id="240"/>
      <w:bookmarkStart w:id="241" w:name="_Toc184308036"/>
      <w:bookmarkEnd w:id="241"/>
      <w:bookmarkStart w:id="242" w:name="_Toc184308086"/>
      <w:bookmarkEnd w:id="242"/>
      <w:bookmarkStart w:id="243" w:name="_Toc184313299"/>
      <w:bookmarkEnd w:id="243"/>
      <w:bookmarkStart w:id="244" w:name="_Toc184312122"/>
      <w:bookmarkEnd w:id="244"/>
      <w:bookmarkStart w:id="245" w:name="_Toc184308107"/>
      <w:bookmarkEnd w:id="245"/>
      <w:bookmarkStart w:id="246" w:name="_Toc184314442"/>
      <w:bookmarkEnd w:id="246"/>
      <w:bookmarkStart w:id="247" w:name="_Toc184310292"/>
      <w:bookmarkEnd w:id="247"/>
      <w:bookmarkStart w:id="248" w:name="_Toc184313305"/>
      <w:bookmarkEnd w:id="248"/>
      <w:bookmarkStart w:id="249" w:name="_Toc184313240"/>
      <w:bookmarkEnd w:id="249"/>
      <w:bookmarkStart w:id="250" w:name="_Toc184308055"/>
      <w:bookmarkEnd w:id="250"/>
      <w:bookmarkStart w:id="251" w:name="_Toc184312075"/>
      <w:bookmarkEnd w:id="251"/>
      <w:bookmarkStart w:id="252" w:name="_Toc184312112"/>
      <w:bookmarkEnd w:id="252"/>
      <w:bookmarkStart w:id="253" w:name="_Toc184313288"/>
      <w:bookmarkEnd w:id="253"/>
      <w:bookmarkStart w:id="254" w:name="_Toc184314422"/>
      <w:bookmarkEnd w:id="254"/>
      <w:bookmarkStart w:id="255" w:name="_Toc184308051"/>
      <w:bookmarkEnd w:id="255"/>
      <w:bookmarkStart w:id="256" w:name="_Toc184312129"/>
      <w:bookmarkEnd w:id="256"/>
      <w:bookmarkStart w:id="257" w:name="_Toc184310278"/>
      <w:bookmarkEnd w:id="257"/>
      <w:bookmarkStart w:id="258" w:name="_Toc184308077"/>
      <w:bookmarkEnd w:id="258"/>
      <w:bookmarkStart w:id="259" w:name="_Toc184308104"/>
      <w:bookmarkEnd w:id="259"/>
      <w:bookmarkStart w:id="260" w:name="_Toc184310301"/>
      <w:bookmarkEnd w:id="260"/>
      <w:bookmarkStart w:id="261" w:name="_Toc184310280"/>
      <w:bookmarkEnd w:id="261"/>
      <w:bookmarkStart w:id="262" w:name="_Toc184313278"/>
      <w:bookmarkEnd w:id="262"/>
      <w:bookmarkStart w:id="263" w:name="_Toc184314444"/>
      <w:bookmarkEnd w:id="263"/>
      <w:bookmarkStart w:id="264" w:name="_Toc184313242"/>
      <w:bookmarkEnd w:id="264"/>
      <w:bookmarkStart w:id="265" w:name="_Toc184312128"/>
      <w:bookmarkEnd w:id="265"/>
      <w:bookmarkStart w:id="266" w:name="_Toc184310288"/>
      <w:bookmarkEnd w:id="266"/>
      <w:bookmarkStart w:id="267" w:name="_Toc184308076"/>
      <w:bookmarkEnd w:id="267"/>
      <w:bookmarkStart w:id="268" w:name="_Toc184314452"/>
      <w:bookmarkEnd w:id="268"/>
      <w:bookmarkStart w:id="269" w:name="_Toc184314416"/>
      <w:bookmarkEnd w:id="269"/>
      <w:bookmarkStart w:id="270" w:name="_Toc184310295"/>
      <w:bookmarkEnd w:id="270"/>
      <w:bookmarkStart w:id="271" w:name="_Toc184312107"/>
      <w:bookmarkEnd w:id="271"/>
      <w:bookmarkStart w:id="272" w:name="_Toc184312138"/>
      <w:bookmarkEnd w:id="272"/>
      <w:bookmarkStart w:id="273" w:name="_Toc184313273"/>
      <w:bookmarkEnd w:id="273"/>
      <w:bookmarkStart w:id="274" w:name="_Toc184308047"/>
      <w:bookmarkEnd w:id="274"/>
      <w:bookmarkStart w:id="275" w:name="_Toc184314476"/>
      <w:bookmarkEnd w:id="275"/>
      <w:bookmarkStart w:id="276" w:name="_Toc184313239"/>
      <w:bookmarkEnd w:id="276"/>
      <w:bookmarkStart w:id="277" w:name="_Toc184310279"/>
      <w:bookmarkEnd w:id="277"/>
      <w:bookmarkStart w:id="278" w:name="_Toc184313252"/>
      <w:bookmarkEnd w:id="278"/>
      <w:bookmarkStart w:id="279" w:name="_Toc184314421"/>
      <w:bookmarkEnd w:id="279"/>
      <w:bookmarkStart w:id="280" w:name="_Toc184314475"/>
      <w:bookmarkEnd w:id="280"/>
      <w:bookmarkStart w:id="281" w:name="_Toc184313294"/>
      <w:bookmarkEnd w:id="281"/>
      <w:bookmarkStart w:id="282" w:name="_Toc184310276"/>
      <w:bookmarkEnd w:id="282"/>
      <w:bookmarkStart w:id="283" w:name="_Toc184312109"/>
      <w:bookmarkEnd w:id="283"/>
      <w:bookmarkStart w:id="284" w:name="_Toc184308067"/>
      <w:bookmarkEnd w:id="284"/>
      <w:bookmarkStart w:id="285" w:name="_Toc184313301"/>
      <w:bookmarkEnd w:id="285"/>
      <w:bookmarkStart w:id="286" w:name="_Toc184308074"/>
      <w:bookmarkEnd w:id="286"/>
      <w:bookmarkStart w:id="287" w:name="_Toc184313295"/>
      <w:bookmarkEnd w:id="287"/>
      <w:bookmarkStart w:id="288" w:name="_Toc184308053"/>
      <w:bookmarkEnd w:id="288"/>
      <w:bookmarkStart w:id="289" w:name="_Toc184312135"/>
      <w:bookmarkEnd w:id="289"/>
      <w:bookmarkStart w:id="290" w:name="_Toc184314471"/>
      <w:bookmarkEnd w:id="290"/>
      <w:bookmarkStart w:id="291" w:name="_Toc184308098"/>
      <w:bookmarkEnd w:id="291"/>
      <w:bookmarkStart w:id="292" w:name="_Toc184314458"/>
      <w:bookmarkEnd w:id="292"/>
      <w:bookmarkStart w:id="293" w:name="_Toc184308093"/>
      <w:bookmarkEnd w:id="293"/>
      <w:bookmarkStart w:id="294" w:name="_Toc184312095"/>
      <w:bookmarkEnd w:id="294"/>
      <w:bookmarkStart w:id="295" w:name="_Toc184310339"/>
      <w:bookmarkEnd w:id="295"/>
      <w:bookmarkStart w:id="296" w:name="_Toc184312067"/>
      <w:bookmarkEnd w:id="296"/>
      <w:bookmarkStart w:id="297" w:name="_Toc184310306"/>
      <w:bookmarkEnd w:id="297"/>
      <w:bookmarkStart w:id="298" w:name="_Toc184314423"/>
      <w:bookmarkEnd w:id="298"/>
      <w:bookmarkStart w:id="299" w:name="_Toc184310307"/>
      <w:bookmarkEnd w:id="299"/>
      <w:bookmarkStart w:id="300" w:name="_Toc184310327"/>
      <w:bookmarkEnd w:id="300"/>
      <w:bookmarkStart w:id="301" w:name="_Toc184314454"/>
      <w:bookmarkEnd w:id="301"/>
      <w:bookmarkStart w:id="302" w:name="_Toc184313246"/>
      <w:bookmarkEnd w:id="302"/>
      <w:bookmarkStart w:id="303" w:name="_Toc184314470"/>
      <w:bookmarkEnd w:id="303"/>
      <w:bookmarkStart w:id="304" w:name="_Toc184313284"/>
      <w:bookmarkEnd w:id="304"/>
      <w:bookmarkStart w:id="305" w:name="_Toc184312079"/>
      <w:bookmarkEnd w:id="305"/>
      <w:bookmarkStart w:id="306" w:name="_Toc184312070"/>
      <w:bookmarkEnd w:id="306"/>
      <w:bookmarkStart w:id="307" w:name="_Toc184310333"/>
      <w:bookmarkEnd w:id="307"/>
      <w:bookmarkStart w:id="308" w:name="_Toc184310308"/>
      <w:bookmarkEnd w:id="308"/>
      <w:bookmarkStart w:id="309" w:name="_Toc184312127"/>
      <w:bookmarkEnd w:id="309"/>
      <w:bookmarkStart w:id="310" w:name="_Toc184308099"/>
      <w:bookmarkEnd w:id="310"/>
      <w:bookmarkStart w:id="311" w:name="_Toc184312085"/>
      <w:bookmarkEnd w:id="311"/>
      <w:bookmarkStart w:id="312" w:name="_Toc184314456"/>
      <w:bookmarkEnd w:id="312"/>
      <w:bookmarkStart w:id="313" w:name="_Toc184313260"/>
      <w:bookmarkEnd w:id="313"/>
      <w:bookmarkStart w:id="314" w:name="_Toc184312119"/>
      <w:bookmarkEnd w:id="314"/>
      <w:bookmarkStart w:id="315" w:name="_Toc184308101"/>
      <w:bookmarkEnd w:id="315"/>
      <w:bookmarkStart w:id="316" w:name="_Toc184312091"/>
      <w:bookmarkEnd w:id="316"/>
      <w:bookmarkStart w:id="317" w:name="_Toc184312093"/>
      <w:bookmarkEnd w:id="317"/>
      <w:bookmarkStart w:id="318" w:name="_Toc184308087"/>
      <w:bookmarkEnd w:id="318"/>
      <w:bookmarkStart w:id="319" w:name="_Toc184310299"/>
      <w:bookmarkEnd w:id="319"/>
      <w:bookmarkStart w:id="320" w:name="_Toc184310315"/>
      <w:bookmarkEnd w:id="320"/>
      <w:bookmarkStart w:id="321" w:name="_Toc184313268"/>
      <w:bookmarkEnd w:id="321"/>
      <w:bookmarkStart w:id="322" w:name="_Toc184310330"/>
      <w:bookmarkEnd w:id="322"/>
      <w:bookmarkStart w:id="323" w:name="_Toc184312113"/>
      <w:bookmarkEnd w:id="323"/>
      <w:bookmarkStart w:id="324" w:name="_Toc184313297"/>
      <w:bookmarkEnd w:id="324"/>
      <w:bookmarkStart w:id="325" w:name="_Toc184313257"/>
      <w:bookmarkEnd w:id="325"/>
      <w:bookmarkStart w:id="326" w:name="_Toc184314481"/>
      <w:bookmarkEnd w:id="326"/>
      <w:bookmarkStart w:id="327" w:name="_Toc184314457"/>
      <w:bookmarkEnd w:id="327"/>
      <w:bookmarkStart w:id="328" w:name="_Toc184310300"/>
      <w:bookmarkEnd w:id="328"/>
      <w:bookmarkStart w:id="329" w:name="_Toc184308072"/>
      <w:bookmarkEnd w:id="329"/>
      <w:bookmarkStart w:id="330" w:name="_Toc184308068"/>
      <w:bookmarkEnd w:id="330"/>
      <w:bookmarkStart w:id="331" w:name="_Toc184314479"/>
      <w:bookmarkEnd w:id="331"/>
      <w:bookmarkStart w:id="332" w:name="_Toc184310331"/>
      <w:bookmarkEnd w:id="332"/>
      <w:bookmarkStart w:id="333" w:name="_Toc184308106"/>
      <w:bookmarkEnd w:id="333"/>
      <w:bookmarkStart w:id="334" w:name="_Toc184313265"/>
      <w:bookmarkEnd w:id="334"/>
      <w:bookmarkStart w:id="335" w:name="_Toc184314467"/>
      <w:bookmarkEnd w:id="335"/>
      <w:bookmarkStart w:id="336" w:name="_Toc184312100"/>
      <w:bookmarkEnd w:id="336"/>
      <w:bookmarkStart w:id="337" w:name="_Toc184310341"/>
      <w:bookmarkEnd w:id="337"/>
      <w:bookmarkStart w:id="338" w:name="_Toc184314478"/>
      <w:bookmarkEnd w:id="338"/>
      <w:bookmarkStart w:id="339" w:name="_Toc184314482"/>
      <w:bookmarkEnd w:id="339"/>
      <w:bookmarkStart w:id="340" w:name="_Toc184310309"/>
      <w:bookmarkEnd w:id="340"/>
      <w:bookmarkStart w:id="341" w:name="_Toc184312116"/>
      <w:bookmarkEnd w:id="341"/>
      <w:bookmarkStart w:id="342" w:name="_Toc184308103"/>
      <w:bookmarkEnd w:id="342"/>
      <w:bookmarkStart w:id="343" w:name="_Toc184314441"/>
      <w:bookmarkEnd w:id="343"/>
      <w:bookmarkStart w:id="344" w:name="_Toc184313250"/>
      <w:bookmarkEnd w:id="344"/>
      <w:bookmarkStart w:id="345" w:name="_Toc184310334"/>
      <w:bookmarkEnd w:id="345"/>
      <w:bookmarkStart w:id="346" w:name="_Toc184314411"/>
      <w:bookmarkEnd w:id="346"/>
      <w:bookmarkStart w:id="347" w:name="_Toc184308078"/>
      <w:bookmarkEnd w:id="347"/>
      <w:bookmarkStart w:id="348" w:name="_Toc184314462"/>
      <w:bookmarkEnd w:id="348"/>
      <w:bookmarkStart w:id="349" w:name="_Toc184312068"/>
      <w:bookmarkEnd w:id="349"/>
      <w:bookmarkStart w:id="350" w:name="_Toc184308054"/>
      <w:bookmarkEnd w:id="350"/>
      <w:bookmarkStart w:id="351" w:name="_Toc184314439"/>
      <w:bookmarkEnd w:id="351"/>
      <w:bookmarkStart w:id="352" w:name="_Toc184308043"/>
      <w:bookmarkEnd w:id="352"/>
      <w:bookmarkStart w:id="353" w:name="_Toc184308061"/>
      <w:bookmarkEnd w:id="353"/>
      <w:bookmarkStart w:id="354" w:name="_Toc184314419"/>
      <w:bookmarkEnd w:id="354"/>
      <w:bookmarkStart w:id="355" w:name="_Toc184310324"/>
      <w:bookmarkEnd w:id="355"/>
      <w:bookmarkStart w:id="356" w:name="_Toc184313310"/>
      <w:bookmarkEnd w:id="356"/>
      <w:bookmarkStart w:id="357" w:name="_Toc184313270"/>
      <w:bookmarkEnd w:id="357"/>
      <w:bookmarkStart w:id="358" w:name="_Toc184308092"/>
      <w:bookmarkEnd w:id="358"/>
      <w:bookmarkStart w:id="359" w:name="_Toc184308050"/>
      <w:bookmarkEnd w:id="359"/>
      <w:bookmarkStart w:id="360" w:name="_Toc184314434"/>
      <w:bookmarkEnd w:id="360"/>
      <w:bookmarkStart w:id="361" w:name="_Toc184312092"/>
      <w:bookmarkEnd w:id="361"/>
      <w:bookmarkStart w:id="362" w:name="_Toc184308094"/>
      <w:bookmarkEnd w:id="362"/>
      <w:bookmarkStart w:id="363" w:name="_Toc184313292"/>
      <w:bookmarkEnd w:id="363"/>
      <w:bookmarkStart w:id="364" w:name="_Toc184308096"/>
      <w:bookmarkEnd w:id="364"/>
      <w:bookmarkStart w:id="365" w:name="_Toc184314412"/>
      <w:bookmarkEnd w:id="365"/>
      <w:bookmarkStart w:id="366" w:name="_Toc184314435"/>
      <w:bookmarkEnd w:id="366"/>
      <w:bookmarkStart w:id="367" w:name="_Toc184312084"/>
      <w:bookmarkEnd w:id="367"/>
      <w:bookmarkStart w:id="368" w:name="_Toc184314424"/>
      <w:bookmarkEnd w:id="368"/>
      <w:bookmarkStart w:id="369" w:name="_Toc184308040"/>
      <w:bookmarkEnd w:id="369"/>
      <w:bookmarkStart w:id="370" w:name="_Toc184314426"/>
      <w:bookmarkEnd w:id="370"/>
      <w:bookmarkStart w:id="371" w:name="_Toc184314466"/>
      <w:bookmarkEnd w:id="371"/>
      <w:bookmarkStart w:id="372" w:name="_Toc184310319"/>
      <w:bookmarkEnd w:id="372"/>
      <w:bookmarkStart w:id="373" w:name="_Toc184313255"/>
      <w:bookmarkEnd w:id="373"/>
      <w:bookmarkStart w:id="374" w:name="_Toc184313264"/>
      <w:bookmarkEnd w:id="374"/>
      <w:bookmarkStart w:id="375" w:name="_Toc184310320"/>
      <w:bookmarkEnd w:id="375"/>
      <w:bookmarkStart w:id="376" w:name="_Toc184312072"/>
      <w:bookmarkEnd w:id="376"/>
      <w:bookmarkStart w:id="377" w:name="_Toc184313300"/>
      <w:bookmarkEnd w:id="377"/>
      <w:bookmarkStart w:id="378" w:name="_Toc184312120"/>
      <w:bookmarkEnd w:id="378"/>
      <w:bookmarkStart w:id="379" w:name="_Toc184314477"/>
      <w:bookmarkEnd w:id="379"/>
      <w:bookmarkStart w:id="380" w:name="_Toc184313241"/>
      <w:bookmarkEnd w:id="380"/>
      <w:bookmarkStart w:id="381" w:name="_Toc184310335"/>
      <w:bookmarkEnd w:id="381"/>
      <w:bookmarkStart w:id="382" w:name="_Toc184310332"/>
      <w:bookmarkEnd w:id="382"/>
      <w:bookmarkStart w:id="383" w:name="_Toc184313266"/>
      <w:bookmarkEnd w:id="383"/>
      <w:bookmarkStart w:id="384" w:name="_Toc184312102"/>
      <w:bookmarkEnd w:id="384"/>
      <w:bookmarkStart w:id="385" w:name="_Toc184308088"/>
      <w:bookmarkEnd w:id="385"/>
      <w:bookmarkStart w:id="386" w:name="_Toc184310321"/>
      <w:bookmarkEnd w:id="386"/>
      <w:bookmarkStart w:id="387" w:name="_Toc184310344"/>
      <w:bookmarkEnd w:id="387"/>
      <w:bookmarkStart w:id="388" w:name="_Toc184310338"/>
      <w:bookmarkEnd w:id="388"/>
      <w:bookmarkStart w:id="389" w:name="_Toc184312134"/>
      <w:bookmarkEnd w:id="389"/>
      <w:bookmarkStart w:id="390" w:name="_Toc184314468"/>
      <w:bookmarkEnd w:id="390"/>
      <w:bookmarkStart w:id="391" w:name="_Toc184308070"/>
      <w:bookmarkEnd w:id="391"/>
      <w:bookmarkStart w:id="392" w:name="_Toc184312139"/>
      <w:bookmarkEnd w:id="392"/>
      <w:bookmarkStart w:id="393" w:name="_Toc184312069"/>
      <w:bookmarkEnd w:id="393"/>
      <w:bookmarkStart w:id="394" w:name="_Toc184312086"/>
      <w:bookmarkEnd w:id="394"/>
      <w:bookmarkStart w:id="395" w:name="_Toc184314461"/>
      <w:bookmarkEnd w:id="395"/>
      <w:bookmarkStart w:id="396" w:name="_Toc184313308"/>
      <w:bookmarkEnd w:id="396"/>
      <w:bookmarkStart w:id="397" w:name="_Toc184314414"/>
      <w:bookmarkEnd w:id="397"/>
      <w:bookmarkStart w:id="398" w:name="_Toc184308089"/>
      <w:bookmarkEnd w:id="398"/>
      <w:bookmarkStart w:id="399" w:name="_Toc184310297"/>
      <w:bookmarkEnd w:id="399"/>
      <w:bookmarkStart w:id="400" w:name="_Toc184310340"/>
      <w:bookmarkEnd w:id="400"/>
      <w:bookmarkStart w:id="401" w:name="_Toc184310275"/>
      <w:bookmarkEnd w:id="401"/>
      <w:bookmarkStart w:id="402" w:name="_Toc184312117"/>
      <w:bookmarkEnd w:id="402"/>
      <w:bookmarkStart w:id="403" w:name="_Toc184310314"/>
      <w:bookmarkEnd w:id="403"/>
      <w:bookmarkStart w:id="404" w:name="_Toc184314459"/>
      <w:bookmarkEnd w:id="404"/>
      <w:bookmarkStart w:id="405" w:name="_Toc184314432"/>
      <w:bookmarkEnd w:id="405"/>
      <w:bookmarkStart w:id="406" w:name="_Toc184308052"/>
      <w:bookmarkEnd w:id="406"/>
      <w:bookmarkStart w:id="407" w:name="_Toc184310323"/>
      <w:bookmarkEnd w:id="407"/>
      <w:bookmarkStart w:id="408" w:name="_Toc184312114"/>
      <w:bookmarkEnd w:id="408"/>
      <w:bookmarkStart w:id="409" w:name="_Toc184310329"/>
      <w:bookmarkEnd w:id="409"/>
      <w:bookmarkStart w:id="410" w:name="_Toc184312121"/>
      <w:bookmarkEnd w:id="410"/>
      <w:bookmarkStart w:id="411" w:name="_Toc184310274"/>
      <w:bookmarkEnd w:id="411"/>
      <w:bookmarkStart w:id="412" w:name="_Toc184312071"/>
      <w:bookmarkEnd w:id="412"/>
      <w:bookmarkStart w:id="413" w:name="_Toc184313262"/>
      <w:bookmarkEnd w:id="413"/>
      <w:bookmarkStart w:id="414" w:name="_Toc184314438"/>
      <w:bookmarkEnd w:id="414"/>
      <w:bookmarkStart w:id="415" w:name="_Toc184310298"/>
      <w:bookmarkEnd w:id="415"/>
      <w:bookmarkStart w:id="416" w:name="_Toc184312077"/>
      <w:bookmarkEnd w:id="416"/>
      <w:bookmarkStart w:id="417" w:name="_Toc184313277"/>
      <w:bookmarkEnd w:id="417"/>
      <w:bookmarkStart w:id="418" w:name="_Toc184313272"/>
      <w:bookmarkEnd w:id="418"/>
      <w:bookmarkStart w:id="419" w:name="_Toc184314451"/>
      <w:bookmarkEnd w:id="419"/>
      <w:bookmarkStart w:id="420" w:name="_Toc184310290"/>
      <w:bookmarkEnd w:id="420"/>
      <w:bookmarkStart w:id="421" w:name="_Toc184308084"/>
      <w:bookmarkEnd w:id="421"/>
      <w:bookmarkStart w:id="422" w:name="_Toc184314415"/>
      <w:bookmarkEnd w:id="422"/>
      <w:bookmarkStart w:id="423" w:name="_Toc184310304"/>
      <w:bookmarkEnd w:id="423"/>
      <w:bookmarkStart w:id="424" w:name="_Toc184312098"/>
      <w:bookmarkEnd w:id="424"/>
      <w:bookmarkStart w:id="425" w:name="_Toc184310286"/>
      <w:bookmarkEnd w:id="425"/>
      <w:bookmarkStart w:id="426" w:name="_Toc184308105"/>
      <w:bookmarkEnd w:id="426"/>
      <w:bookmarkStart w:id="427" w:name="第四部分"/>
      <w:r>
        <w:rPr>
          <w:rFonts w:hint="eastAsia" w:ascii="宋体" w:hAnsi="宋体" w:cs="宋体"/>
          <w:b/>
          <w:color w:val="auto"/>
          <w:sz w:val="36"/>
          <w:szCs w:val="36"/>
          <w:highlight w:val="none"/>
        </w:rPr>
        <w:t>评标办法及评分标准</w:t>
      </w:r>
      <w:bookmarkEnd w:id="61"/>
    </w:p>
    <w:p w14:paraId="07CBF36B">
      <w:pPr>
        <w:pStyle w:val="5"/>
        <w:spacing w:line="360" w:lineRule="auto"/>
        <w:jc w:val="center"/>
        <w:rPr>
          <w:rFonts w:hAnsi="宋体" w:cs="宋体"/>
          <w:b/>
          <w:bCs w:val="0"/>
          <w:color w:val="auto"/>
          <w:highlight w:val="none"/>
        </w:rPr>
      </w:pPr>
      <w:bookmarkStart w:id="428" w:name="_Toc1764"/>
      <w:r>
        <w:rPr>
          <w:rFonts w:hint="eastAsia" w:hAnsi="宋体" w:cs="宋体"/>
          <w:b/>
          <w:bCs w:val="0"/>
          <w:color w:val="auto"/>
          <w:highlight w:val="none"/>
        </w:rPr>
        <w:t>第一章　评标办法</w:t>
      </w:r>
      <w:bookmarkEnd w:id="428"/>
    </w:p>
    <w:p w14:paraId="5E2CD4BD">
      <w:p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一、本次招标将按下列第</w:t>
      </w:r>
      <w:r>
        <w:rPr>
          <w:rFonts w:hint="eastAsia" w:ascii="宋体" w:hAnsi="宋体" w:cs="宋体"/>
          <w:b/>
          <w:bCs/>
          <w:color w:val="auto"/>
          <w:sz w:val="24"/>
          <w:szCs w:val="21"/>
          <w:highlight w:val="none"/>
          <w:u w:val="single"/>
        </w:rPr>
        <w:t>　1　</w:t>
      </w:r>
      <w:r>
        <w:rPr>
          <w:rFonts w:hint="eastAsia" w:ascii="宋体" w:hAnsi="宋体" w:cs="宋体"/>
          <w:b/>
          <w:bCs/>
          <w:color w:val="auto"/>
          <w:sz w:val="24"/>
          <w:szCs w:val="21"/>
          <w:highlight w:val="none"/>
        </w:rPr>
        <w:t>种评标办法进行评标：</w:t>
      </w:r>
    </w:p>
    <w:p w14:paraId="600CBBB7">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14:paraId="50F61F11">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14:paraId="2B41084C">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本次评标采用百分制计分，计算时四舍五入保留到小数点后两位。</w:t>
      </w:r>
    </w:p>
    <w:p w14:paraId="1AB55D07">
      <w:pPr>
        <w:spacing w:line="360" w:lineRule="auto"/>
        <w:ind w:firstLine="480" w:firstLineChars="200"/>
        <w:rPr>
          <w:rFonts w:ascii="宋体" w:hAnsi="宋体" w:cs="宋体"/>
          <w:color w:val="auto"/>
          <w:sz w:val="24"/>
          <w:szCs w:val="21"/>
          <w:highlight w:val="none"/>
        </w:rPr>
      </w:pPr>
    </w:p>
    <w:p w14:paraId="0912A674">
      <w:pPr>
        <w:pStyle w:val="5"/>
        <w:spacing w:line="360" w:lineRule="auto"/>
        <w:jc w:val="center"/>
        <w:rPr>
          <w:rFonts w:hAnsi="宋体" w:cs="宋体"/>
          <w:b/>
          <w:bCs/>
          <w:color w:val="auto"/>
          <w:highlight w:val="none"/>
        </w:rPr>
      </w:pPr>
      <w:r>
        <w:rPr>
          <w:rFonts w:hint="eastAsia" w:hAnsi="宋体" w:cs="宋体"/>
          <w:b/>
          <w:bCs/>
          <w:color w:val="auto"/>
          <w:highlight w:val="none"/>
        </w:rPr>
        <w:t>第二章　评分标准</w:t>
      </w:r>
    </w:p>
    <w:p w14:paraId="75A88DF6">
      <w:pPr>
        <w:spacing w:line="360" w:lineRule="auto"/>
        <w:ind w:firstLine="482" w:firstLineChars="200"/>
        <w:rPr>
          <w:rFonts w:ascii="宋体" w:hAnsi="宋体"/>
          <w:b/>
          <w:bCs/>
          <w:color w:val="auto"/>
          <w:sz w:val="24"/>
          <w:szCs w:val="21"/>
          <w:highlight w:val="none"/>
        </w:rPr>
      </w:pPr>
      <w:r>
        <w:rPr>
          <w:rFonts w:hint="eastAsia" w:ascii="宋体" w:hAnsi="宋体"/>
          <w:b/>
          <w:bCs/>
          <w:color w:val="auto"/>
          <w:sz w:val="24"/>
          <w:szCs w:val="21"/>
          <w:highlight w:val="none"/>
        </w:rPr>
        <w:t>一、报价文件评分标准（</w:t>
      </w:r>
      <w:r>
        <w:rPr>
          <w:rFonts w:hint="eastAsia" w:ascii="宋体" w:hAnsi="宋体"/>
          <w:b/>
          <w:bCs/>
          <w:color w:val="auto"/>
          <w:sz w:val="24"/>
          <w:szCs w:val="21"/>
          <w:highlight w:val="none"/>
          <w:lang w:val="en-US" w:eastAsia="zh-CN"/>
        </w:rPr>
        <w:t>2</w:t>
      </w:r>
      <w:r>
        <w:rPr>
          <w:rFonts w:hint="eastAsia" w:ascii="宋体" w:hAnsi="宋体"/>
          <w:b/>
          <w:bCs/>
          <w:color w:val="auto"/>
          <w:sz w:val="24"/>
          <w:szCs w:val="21"/>
          <w:highlight w:val="none"/>
        </w:rPr>
        <w:t>0分）</w:t>
      </w:r>
    </w:p>
    <w:p w14:paraId="744C5BF9">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报价文件主要是对投标人的有效报价进行评议，其评分标准及分值设置规则如下：</w:t>
      </w:r>
    </w:p>
    <w:p w14:paraId="2A99F7E5">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1、本次招标最高限价规定如下：</w:t>
      </w:r>
    </w:p>
    <w:p w14:paraId="7747BC2A">
      <w:pPr>
        <w:spacing w:line="360" w:lineRule="auto"/>
        <w:ind w:firstLine="480" w:firstLineChars="200"/>
        <w:rPr>
          <w:rFonts w:ascii="宋体" w:hAnsi="宋体"/>
          <w:b/>
          <w:color w:val="auto"/>
          <w:sz w:val="24"/>
          <w:szCs w:val="21"/>
          <w:highlight w:val="none"/>
        </w:rPr>
      </w:pPr>
      <w:r>
        <w:rPr>
          <w:rFonts w:hint="eastAsia" w:ascii="宋体" w:hAnsi="宋体"/>
          <w:color w:val="auto"/>
          <w:sz w:val="24"/>
          <w:szCs w:val="21"/>
          <w:highlight w:val="none"/>
        </w:rPr>
        <w:t>本项目投标报价的最高限价</w:t>
      </w:r>
      <w:r>
        <w:rPr>
          <w:rFonts w:hint="eastAsia" w:ascii="宋体" w:hAnsi="宋体"/>
          <w:b/>
          <w:color w:val="auto"/>
          <w:sz w:val="24"/>
          <w:szCs w:val="21"/>
          <w:highlight w:val="none"/>
        </w:rPr>
        <w:t>为人民币</w:t>
      </w:r>
      <w:r>
        <w:rPr>
          <w:rFonts w:hint="eastAsia" w:ascii="宋体" w:hAnsi="宋体"/>
          <w:b/>
          <w:color w:val="auto"/>
          <w:sz w:val="24"/>
          <w:szCs w:val="21"/>
          <w:highlight w:val="none"/>
          <w:u w:val="single"/>
        </w:rPr>
        <w:t xml:space="preserve"> </w:t>
      </w:r>
      <w:r>
        <w:rPr>
          <w:rFonts w:hint="eastAsia" w:ascii="宋体" w:hAnsi="宋体"/>
          <w:b/>
          <w:color w:val="auto"/>
          <w:sz w:val="24"/>
          <w:szCs w:val="21"/>
          <w:highlight w:val="none"/>
          <w:u w:val="single"/>
          <w:lang w:val="en-US" w:eastAsia="zh-CN"/>
        </w:rPr>
        <w:t>伍拾肆万 元</w:t>
      </w:r>
      <w:r>
        <w:rPr>
          <w:rFonts w:hint="eastAsia" w:ascii="宋体" w:hAnsi="宋体"/>
          <w:b/>
          <w:color w:val="auto"/>
          <w:sz w:val="24"/>
          <w:szCs w:val="21"/>
          <w:highlight w:val="none"/>
        </w:rPr>
        <w:t>（小写</w:t>
      </w:r>
      <w:r>
        <w:rPr>
          <w:rFonts w:hint="eastAsia" w:ascii="宋体" w:hAnsi="宋体"/>
          <w:b/>
          <w:color w:val="auto"/>
          <w:sz w:val="24"/>
          <w:szCs w:val="21"/>
          <w:highlight w:val="none"/>
          <w:u w:val="single"/>
        </w:rPr>
        <w:t xml:space="preserve"> </w:t>
      </w:r>
      <w:r>
        <w:rPr>
          <w:rFonts w:hint="eastAsia" w:ascii="宋体" w:hAnsi="宋体"/>
          <w:b/>
          <w:color w:val="auto"/>
          <w:sz w:val="24"/>
          <w:szCs w:val="21"/>
          <w:highlight w:val="none"/>
          <w:u w:val="single"/>
          <w:lang w:val="en-US" w:eastAsia="zh-CN"/>
        </w:rPr>
        <w:t>540000</w:t>
      </w:r>
      <w:r>
        <w:rPr>
          <w:rFonts w:hint="eastAsia" w:ascii="宋体" w:hAnsi="宋体"/>
          <w:b/>
          <w:color w:val="auto"/>
          <w:sz w:val="24"/>
          <w:szCs w:val="21"/>
          <w:highlight w:val="none"/>
          <w:u w:val="single"/>
        </w:rPr>
        <w:t xml:space="preserve">.00 </w:t>
      </w:r>
      <w:r>
        <w:rPr>
          <w:rFonts w:hint="eastAsia" w:ascii="宋体" w:hAnsi="宋体"/>
          <w:b/>
          <w:color w:val="auto"/>
          <w:sz w:val="24"/>
          <w:szCs w:val="21"/>
          <w:highlight w:val="none"/>
        </w:rPr>
        <w:t>元）。</w:t>
      </w:r>
    </w:p>
    <w:p w14:paraId="75851316">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2、投标人的报价在最高限价内的，为有效报价。</w:t>
      </w:r>
    </w:p>
    <w:p w14:paraId="25405038">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3、本次评标设有最佳报价。最佳报价确定方式：根据所有入围投标人有效报价中的最低报价作为最佳报价。</w:t>
      </w:r>
    </w:p>
    <w:p w14:paraId="2D687F50">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4、最佳报价者的报价分为满分，其他投标人的有效报价与最佳报价相比，按下列方法计算其报价分：</w:t>
      </w:r>
    </w:p>
    <w:p w14:paraId="73C9A0DB">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投标价格分=(最佳报价/投标报价)*价格权值*100。</w:t>
      </w:r>
    </w:p>
    <w:p w14:paraId="3EC0465B">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5、当投标（开标）一览表与投标报价明细表报价不一致时，以投标（开标）一览表为准，报价明细表报价予以修正并由授权代表签字确认，拒绝修正或确认的，则做无效标处理。</w:t>
      </w:r>
    </w:p>
    <w:p w14:paraId="244A27AA">
      <w:pPr>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color w:val="auto"/>
          <w:sz w:val="24"/>
          <w:szCs w:val="21"/>
          <w:highlight w:val="none"/>
        </w:rPr>
        <w:t>无效投标</w:t>
      </w:r>
      <w:r>
        <w:rPr>
          <w:rFonts w:hint="eastAsia" w:ascii="宋体" w:hAnsi="宋体"/>
          <w:color w:val="auto"/>
          <w:sz w:val="24"/>
          <w:szCs w:val="21"/>
          <w:highlight w:val="none"/>
        </w:rPr>
        <w:t>处理。</w:t>
      </w:r>
    </w:p>
    <w:p w14:paraId="0434B6E2">
      <w:pPr>
        <w:autoSpaceDE w:val="0"/>
        <w:autoSpaceDN w:val="0"/>
        <w:spacing w:line="360" w:lineRule="auto"/>
        <w:ind w:firstLine="482"/>
        <w:rPr>
          <w:rFonts w:ascii="宋体" w:hAnsi="宋体" w:cs="宋体"/>
          <w:color w:val="auto"/>
          <w:sz w:val="24"/>
          <w:highlight w:val="none"/>
        </w:rPr>
      </w:pPr>
      <w:r>
        <w:rPr>
          <w:rFonts w:hint="eastAsia" w:ascii="宋体" w:hAnsi="宋体"/>
          <w:color w:val="auto"/>
          <w:sz w:val="24"/>
          <w:szCs w:val="21"/>
          <w:highlight w:val="none"/>
        </w:rPr>
        <w:t>7、</w:t>
      </w:r>
      <w:r>
        <w:rPr>
          <w:rFonts w:hint="eastAsia" w:ascii="宋体" w:hAnsi="宋体" w:cs="仿宋_GB2312"/>
          <w:b/>
          <w:color w:val="auto"/>
          <w:sz w:val="24"/>
          <w:highlight w:val="none"/>
        </w:rPr>
        <w:t>投标价格的合理性</w:t>
      </w:r>
      <w:r>
        <w:rPr>
          <w:rFonts w:hint="eastAsia" w:ascii="宋体" w:hAnsi="宋体" w:cs="仿宋_GB2312"/>
          <w:color w:val="auto"/>
          <w:sz w:val="24"/>
          <w:highlight w:val="none"/>
        </w:rPr>
        <w:t>：</w:t>
      </w:r>
      <w:r>
        <w:rPr>
          <w:rFonts w:ascii="Arial" w:hAnsi="Arial" w:cs="Arial"/>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47DFA3">
      <w:p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二、商务技术文件评标内容及标准（</w:t>
      </w:r>
      <w:r>
        <w:rPr>
          <w:rFonts w:hint="eastAsia" w:ascii="宋体" w:hAnsi="宋体" w:cs="宋体"/>
          <w:b/>
          <w:bCs/>
          <w:color w:val="auto"/>
          <w:sz w:val="24"/>
          <w:szCs w:val="21"/>
          <w:highlight w:val="none"/>
          <w:lang w:val="en-US" w:eastAsia="zh-CN"/>
        </w:rPr>
        <w:t>8</w:t>
      </w:r>
      <w:r>
        <w:rPr>
          <w:rFonts w:hint="eastAsia" w:ascii="宋体" w:hAnsi="宋体" w:cs="宋体"/>
          <w:b/>
          <w:bCs/>
          <w:color w:val="auto"/>
          <w:sz w:val="24"/>
          <w:szCs w:val="21"/>
          <w:highlight w:val="none"/>
        </w:rPr>
        <w:t>0分）</w:t>
      </w:r>
    </w:p>
    <w:p w14:paraId="38BD6EB9">
      <w:pPr>
        <w:spacing w:line="360" w:lineRule="auto"/>
        <w:ind w:firstLine="482" w:firstLineChars="200"/>
        <w:rPr>
          <w:rFonts w:ascii="宋体" w:hAnsi="宋体" w:cs="宋体"/>
          <w:b/>
          <w:bCs/>
          <w:color w:val="auto"/>
          <w:sz w:val="24"/>
          <w:szCs w:val="21"/>
          <w:highlight w:val="none"/>
        </w:rPr>
      </w:pPr>
      <w:r>
        <w:rPr>
          <w:rFonts w:hint="eastAsia" w:ascii="宋体" w:hAnsi="宋体" w:cs="宋体"/>
          <w:b/>
          <w:bCs/>
          <w:color w:val="auto"/>
          <w:sz w:val="24"/>
          <w:szCs w:val="21"/>
          <w:highlight w:val="none"/>
        </w:rPr>
        <w:t>1、评分细则</w:t>
      </w:r>
    </w:p>
    <w:tbl>
      <w:tblPr>
        <w:tblStyle w:val="32"/>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267"/>
        <w:gridCol w:w="6438"/>
        <w:gridCol w:w="795"/>
      </w:tblGrid>
      <w:tr w14:paraId="163E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73" w:type="dxa"/>
            <w:gridSpan w:val="2"/>
            <w:tcBorders>
              <w:top w:val="single" w:color="auto" w:sz="4" w:space="0"/>
              <w:left w:val="single" w:color="auto" w:sz="4" w:space="0"/>
              <w:bottom w:val="single" w:color="auto" w:sz="4" w:space="0"/>
              <w:right w:val="single" w:color="auto" w:sz="4" w:space="0"/>
            </w:tcBorders>
            <w:noWrap w:val="0"/>
            <w:vAlign w:val="center"/>
          </w:tcPr>
          <w:p w14:paraId="1FC9F758">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评分项</w:t>
            </w:r>
            <w:r>
              <w:rPr>
                <w:rFonts w:hint="eastAsia" w:ascii="宋体" w:hAnsi="宋体" w:eastAsia="宋体" w:cs="宋体"/>
                <w:color w:val="auto"/>
                <w:kern w:val="0"/>
                <w:sz w:val="24"/>
                <w:szCs w:val="24"/>
                <w:highlight w:val="none"/>
                <w:lang w:val="en-US" w:eastAsia="zh-CN"/>
              </w:rPr>
              <w:t>目</w:t>
            </w:r>
          </w:p>
        </w:tc>
        <w:tc>
          <w:tcPr>
            <w:tcW w:w="6438" w:type="dxa"/>
            <w:tcBorders>
              <w:top w:val="single" w:color="auto" w:sz="4" w:space="0"/>
              <w:left w:val="nil"/>
              <w:bottom w:val="single" w:color="auto" w:sz="4" w:space="0"/>
              <w:right w:val="single" w:color="auto" w:sz="4" w:space="0"/>
            </w:tcBorders>
            <w:noWrap w:val="0"/>
            <w:vAlign w:val="center"/>
          </w:tcPr>
          <w:p w14:paraId="098153A0">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评标要点及说明</w:t>
            </w:r>
          </w:p>
        </w:tc>
        <w:tc>
          <w:tcPr>
            <w:tcW w:w="795" w:type="dxa"/>
            <w:tcBorders>
              <w:top w:val="single" w:color="auto" w:sz="4" w:space="0"/>
              <w:left w:val="nil"/>
              <w:bottom w:val="single" w:color="auto" w:sz="4" w:space="0"/>
              <w:right w:val="single" w:color="auto" w:sz="4" w:space="0"/>
            </w:tcBorders>
            <w:noWrap w:val="0"/>
            <w:vAlign w:val="center"/>
          </w:tcPr>
          <w:p w14:paraId="4AE4D8CC">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r>
      <w:tr w14:paraId="1FDD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14:paraId="2048604C">
            <w:pPr>
              <w:pStyle w:val="5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w:t>
            </w:r>
          </w:p>
          <w:p w14:paraId="35F75C07">
            <w:pPr>
              <w:pStyle w:val="57"/>
              <w:jc w:val="center"/>
              <w:rPr>
                <w:rFonts w:hint="eastAsia" w:eastAsia="宋体"/>
                <w:color w:val="auto"/>
                <w:highlight w:val="none"/>
                <w:lang w:eastAsia="zh-CN"/>
              </w:rPr>
            </w:pP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75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14:paraId="448ED26C">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服务方案</w:t>
            </w:r>
          </w:p>
        </w:tc>
        <w:tc>
          <w:tcPr>
            <w:tcW w:w="6438" w:type="dxa"/>
            <w:tcBorders>
              <w:top w:val="single" w:color="auto" w:sz="4" w:space="0"/>
              <w:left w:val="nil"/>
              <w:bottom w:val="single" w:color="auto" w:sz="4" w:space="0"/>
              <w:right w:val="single" w:color="auto" w:sz="4" w:space="0"/>
            </w:tcBorders>
            <w:noWrap w:val="0"/>
            <w:vAlign w:val="center"/>
          </w:tcPr>
          <w:p w14:paraId="40F580E6">
            <w:pPr>
              <w:spacing w:line="312" w:lineRule="auto"/>
              <w:ind w:firstLine="480" w:firstLineChars="200"/>
              <w:rPr>
                <w:rStyle w:val="49"/>
                <w:rFonts w:hint="eastAsia"/>
                <w:color w:val="auto"/>
                <w:kern w:val="0"/>
                <w:szCs w:val="22"/>
                <w:highlight w:val="none"/>
                <w:lang w:eastAsia="zh-CN"/>
              </w:rPr>
            </w:pPr>
            <w:r>
              <w:rPr>
                <w:rStyle w:val="49"/>
                <w:rFonts w:hint="eastAsia"/>
                <w:color w:val="auto"/>
                <w:kern w:val="0"/>
                <w:sz w:val="24"/>
                <w:szCs w:val="24"/>
                <w:highlight w:val="none"/>
              </w:rPr>
              <w:t>评委根据投标人针对本项目制定</w:t>
            </w:r>
            <w:r>
              <w:rPr>
                <w:rStyle w:val="49"/>
                <w:rFonts w:hint="eastAsia"/>
                <w:color w:val="auto"/>
                <w:kern w:val="0"/>
                <w:sz w:val="24"/>
                <w:szCs w:val="24"/>
                <w:highlight w:val="none"/>
                <w:lang w:eastAsia="zh-CN"/>
              </w:rPr>
              <w:t>的公厕管理、</w:t>
            </w:r>
            <w:r>
              <w:rPr>
                <w:rStyle w:val="49"/>
                <w:rFonts w:hint="eastAsia"/>
                <w:color w:val="auto"/>
                <w:kern w:val="0"/>
                <w:sz w:val="24"/>
                <w:szCs w:val="24"/>
                <w:highlight w:val="none"/>
              </w:rPr>
              <w:t>道路清扫</w:t>
            </w:r>
            <w:r>
              <w:rPr>
                <w:rStyle w:val="49"/>
                <w:rFonts w:hint="eastAsia"/>
                <w:color w:val="auto"/>
                <w:kern w:val="0"/>
                <w:sz w:val="24"/>
                <w:szCs w:val="24"/>
                <w:highlight w:val="none"/>
                <w:lang w:eastAsia="zh-CN"/>
              </w:rPr>
              <w:t>、河道</w:t>
            </w:r>
            <w:r>
              <w:rPr>
                <w:rStyle w:val="49"/>
                <w:rFonts w:hint="eastAsia"/>
                <w:color w:val="auto"/>
                <w:kern w:val="0"/>
                <w:sz w:val="24"/>
                <w:szCs w:val="24"/>
                <w:highlight w:val="none"/>
              </w:rPr>
              <w:t>保洁方案的全面性、规范性及可实施性进行打分。</w:t>
            </w:r>
          </w:p>
        </w:tc>
        <w:tc>
          <w:tcPr>
            <w:tcW w:w="795" w:type="dxa"/>
            <w:tcBorders>
              <w:top w:val="single" w:color="auto" w:sz="4" w:space="0"/>
              <w:left w:val="nil"/>
              <w:bottom w:val="single" w:color="auto" w:sz="4" w:space="0"/>
              <w:right w:val="single" w:color="auto" w:sz="4" w:space="0"/>
            </w:tcBorders>
            <w:noWrap w:val="0"/>
            <w:vAlign w:val="center"/>
          </w:tcPr>
          <w:p w14:paraId="0CA8CB7A">
            <w:pPr>
              <w:widowControl/>
              <w:spacing w:before="100" w:after="100"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r>
      <w:tr w14:paraId="0794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1B4DEB7B">
            <w:pPr>
              <w:widowControl/>
              <w:jc w:val="left"/>
              <w:rPr>
                <w:rFonts w:hint="eastAsia" w:ascii="宋体" w:hAnsi="宋体" w:eastAsia="宋体" w:cs="宋体"/>
                <w:color w:val="auto"/>
                <w:sz w:val="24"/>
                <w:szCs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3E321641">
            <w:pPr>
              <w:widowControl/>
              <w:jc w:val="center"/>
              <w:rPr>
                <w:rFonts w:hint="eastAsia" w:ascii="宋体" w:hAnsi="宋体" w:eastAsia="宋体" w:cs="宋体"/>
                <w:color w:val="auto"/>
                <w:kern w:val="0"/>
                <w:sz w:val="24"/>
                <w:szCs w:val="24"/>
                <w:highlight w:val="none"/>
              </w:rPr>
            </w:pPr>
          </w:p>
        </w:tc>
        <w:tc>
          <w:tcPr>
            <w:tcW w:w="6438" w:type="dxa"/>
            <w:tcBorders>
              <w:top w:val="single" w:color="auto" w:sz="4" w:space="0"/>
              <w:left w:val="nil"/>
              <w:bottom w:val="single" w:color="auto" w:sz="4" w:space="0"/>
              <w:right w:val="single" w:color="auto" w:sz="4" w:space="0"/>
            </w:tcBorders>
            <w:noWrap w:val="0"/>
            <w:vAlign w:val="center"/>
          </w:tcPr>
          <w:p w14:paraId="1F46DC09">
            <w:pPr>
              <w:spacing w:line="312" w:lineRule="auto"/>
              <w:ind w:firstLine="480" w:firstLineChars="200"/>
              <w:rPr>
                <w:rFonts w:hint="eastAsia"/>
                <w:color w:val="auto"/>
                <w:kern w:val="0"/>
                <w:sz w:val="21"/>
                <w:szCs w:val="22"/>
                <w:highlight w:val="none"/>
                <w:lang w:val="en-US" w:eastAsia="zh-CN" w:bidi="ar-SA"/>
              </w:rPr>
            </w:pPr>
            <w:r>
              <w:rPr>
                <w:rStyle w:val="49"/>
                <w:rFonts w:hint="eastAsia"/>
                <w:color w:val="auto"/>
                <w:kern w:val="0"/>
                <w:sz w:val="24"/>
                <w:szCs w:val="24"/>
                <w:highlight w:val="none"/>
              </w:rPr>
              <w:t>评委根据投标人针对本项目制定</w:t>
            </w:r>
            <w:r>
              <w:rPr>
                <w:rStyle w:val="49"/>
                <w:rFonts w:hint="eastAsia"/>
                <w:color w:val="auto"/>
                <w:kern w:val="0"/>
                <w:sz w:val="24"/>
                <w:szCs w:val="24"/>
                <w:highlight w:val="none"/>
                <w:lang w:eastAsia="zh-CN"/>
              </w:rPr>
              <w:t>的</w:t>
            </w:r>
            <w:r>
              <w:rPr>
                <w:rStyle w:val="49"/>
                <w:rFonts w:hint="eastAsia"/>
                <w:color w:val="auto"/>
                <w:kern w:val="0"/>
                <w:sz w:val="24"/>
                <w:szCs w:val="24"/>
                <w:highlight w:val="none"/>
              </w:rPr>
              <w:t>垃圾</w:t>
            </w:r>
            <w:r>
              <w:rPr>
                <w:rStyle w:val="49"/>
                <w:rFonts w:hint="eastAsia"/>
                <w:color w:val="auto"/>
                <w:kern w:val="0"/>
                <w:sz w:val="24"/>
                <w:szCs w:val="24"/>
                <w:highlight w:val="none"/>
                <w:lang w:eastAsia="zh-CN"/>
              </w:rPr>
              <w:t>分类及</w:t>
            </w:r>
            <w:r>
              <w:rPr>
                <w:rStyle w:val="49"/>
                <w:rFonts w:hint="eastAsia"/>
                <w:color w:val="auto"/>
                <w:kern w:val="0"/>
                <w:sz w:val="24"/>
                <w:szCs w:val="24"/>
                <w:highlight w:val="none"/>
              </w:rPr>
              <w:t>收运方案</w:t>
            </w:r>
            <w:r>
              <w:rPr>
                <w:rStyle w:val="49"/>
                <w:rFonts w:hint="eastAsia"/>
                <w:color w:val="auto"/>
                <w:kern w:val="0"/>
                <w:sz w:val="24"/>
                <w:szCs w:val="24"/>
                <w:highlight w:val="none"/>
                <w:lang w:eastAsia="zh-CN"/>
              </w:rPr>
              <w:t>的科学</w:t>
            </w:r>
            <w:r>
              <w:rPr>
                <w:rStyle w:val="49"/>
                <w:rFonts w:hint="eastAsia"/>
                <w:color w:val="auto"/>
                <w:kern w:val="0"/>
                <w:sz w:val="24"/>
                <w:szCs w:val="24"/>
                <w:highlight w:val="none"/>
              </w:rPr>
              <w:t>性、合理性、规范性及可实施性进行打分。</w:t>
            </w:r>
          </w:p>
        </w:tc>
        <w:tc>
          <w:tcPr>
            <w:tcW w:w="795" w:type="dxa"/>
            <w:tcBorders>
              <w:top w:val="single" w:color="auto" w:sz="4" w:space="0"/>
              <w:left w:val="nil"/>
              <w:bottom w:val="single" w:color="auto" w:sz="4" w:space="0"/>
              <w:right w:val="single" w:color="auto" w:sz="4" w:space="0"/>
            </w:tcBorders>
            <w:noWrap w:val="0"/>
            <w:vAlign w:val="center"/>
          </w:tcPr>
          <w:p w14:paraId="0DE4CAE0">
            <w:pPr>
              <w:widowControl/>
              <w:spacing w:before="100" w:after="10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r>
      <w:tr w14:paraId="3868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125D2AB6">
            <w:pPr>
              <w:widowControl/>
              <w:jc w:val="left"/>
              <w:rPr>
                <w:rFonts w:hint="eastAsia" w:ascii="宋体" w:hAnsi="宋体" w:eastAsia="宋体" w:cs="宋体"/>
                <w:color w:val="auto"/>
                <w:sz w:val="24"/>
                <w:szCs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031393DC">
            <w:pPr>
              <w:widowControl/>
              <w:jc w:val="center"/>
              <w:rPr>
                <w:rFonts w:hint="eastAsia" w:ascii="宋体" w:hAnsi="宋体" w:eastAsia="宋体" w:cs="宋体"/>
                <w:color w:val="auto"/>
                <w:kern w:val="0"/>
                <w:sz w:val="24"/>
                <w:szCs w:val="24"/>
                <w:highlight w:val="none"/>
              </w:rPr>
            </w:pPr>
          </w:p>
        </w:tc>
        <w:tc>
          <w:tcPr>
            <w:tcW w:w="6438" w:type="dxa"/>
            <w:tcBorders>
              <w:top w:val="single" w:color="auto" w:sz="4" w:space="0"/>
              <w:left w:val="nil"/>
              <w:bottom w:val="single" w:color="auto" w:sz="4" w:space="0"/>
              <w:right w:val="single" w:color="auto" w:sz="4" w:space="0"/>
            </w:tcBorders>
            <w:noWrap w:val="0"/>
            <w:vAlign w:val="center"/>
          </w:tcPr>
          <w:p w14:paraId="7877B72B">
            <w:pPr>
              <w:spacing w:line="312" w:lineRule="auto"/>
              <w:ind w:firstLine="480" w:firstLineChars="200"/>
              <w:rPr>
                <w:rFonts w:hint="eastAsia"/>
                <w:color w:val="auto"/>
                <w:kern w:val="0"/>
                <w:sz w:val="21"/>
                <w:szCs w:val="22"/>
                <w:highlight w:val="none"/>
                <w:lang w:val="en-US" w:eastAsia="zh-CN" w:bidi="ar-SA"/>
              </w:rPr>
            </w:pPr>
            <w:r>
              <w:rPr>
                <w:rStyle w:val="49"/>
                <w:rFonts w:hint="eastAsia"/>
                <w:color w:val="auto"/>
                <w:kern w:val="0"/>
                <w:sz w:val="24"/>
                <w:szCs w:val="24"/>
                <w:highlight w:val="none"/>
              </w:rPr>
              <w:t>评委根据投标人针对本项目制定</w:t>
            </w:r>
            <w:r>
              <w:rPr>
                <w:rStyle w:val="49"/>
                <w:rFonts w:hint="eastAsia"/>
                <w:color w:val="auto"/>
                <w:kern w:val="0"/>
                <w:sz w:val="24"/>
                <w:szCs w:val="24"/>
                <w:highlight w:val="none"/>
                <w:lang w:eastAsia="zh-CN"/>
              </w:rPr>
              <w:t>的堆放清理、绿化养护、公共设施管护方案的科学</w:t>
            </w:r>
            <w:r>
              <w:rPr>
                <w:rStyle w:val="49"/>
                <w:rFonts w:hint="eastAsia"/>
                <w:color w:val="auto"/>
                <w:kern w:val="0"/>
                <w:sz w:val="24"/>
                <w:szCs w:val="24"/>
                <w:highlight w:val="none"/>
              </w:rPr>
              <w:t>性、合理性、规范性及可实施性进行打分。</w:t>
            </w:r>
          </w:p>
        </w:tc>
        <w:tc>
          <w:tcPr>
            <w:tcW w:w="795" w:type="dxa"/>
            <w:tcBorders>
              <w:top w:val="single" w:color="auto" w:sz="4" w:space="0"/>
              <w:left w:val="nil"/>
              <w:bottom w:val="single" w:color="auto" w:sz="4" w:space="0"/>
              <w:right w:val="single" w:color="auto" w:sz="4" w:space="0"/>
            </w:tcBorders>
            <w:noWrap w:val="0"/>
            <w:vAlign w:val="center"/>
          </w:tcPr>
          <w:p w14:paraId="56598C95">
            <w:pPr>
              <w:widowControl/>
              <w:spacing w:before="100" w:after="10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r>
      <w:tr w14:paraId="0B07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111B5884">
            <w:pPr>
              <w:widowControl/>
              <w:jc w:val="left"/>
              <w:rPr>
                <w:rFonts w:hint="eastAsia" w:ascii="宋体" w:hAnsi="宋体" w:eastAsia="宋体" w:cs="宋体"/>
                <w:color w:val="auto"/>
                <w:sz w:val="24"/>
                <w:szCs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38908A14">
            <w:pPr>
              <w:widowControl/>
              <w:jc w:val="center"/>
              <w:rPr>
                <w:rFonts w:hint="eastAsia" w:ascii="宋体" w:hAnsi="宋体" w:eastAsia="宋体" w:cs="宋体"/>
                <w:color w:val="auto"/>
                <w:kern w:val="0"/>
                <w:sz w:val="24"/>
                <w:szCs w:val="24"/>
                <w:highlight w:val="none"/>
              </w:rPr>
            </w:pPr>
          </w:p>
        </w:tc>
        <w:tc>
          <w:tcPr>
            <w:tcW w:w="6438" w:type="dxa"/>
            <w:tcBorders>
              <w:top w:val="single" w:color="auto" w:sz="4" w:space="0"/>
              <w:left w:val="nil"/>
              <w:bottom w:val="single" w:color="auto" w:sz="4" w:space="0"/>
              <w:right w:val="single" w:color="auto" w:sz="4" w:space="0"/>
            </w:tcBorders>
            <w:noWrap w:val="0"/>
            <w:vAlign w:val="center"/>
          </w:tcPr>
          <w:p w14:paraId="6093E92C">
            <w:pPr>
              <w:spacing w:line="312" w:lineRule="auto"/>
              <w:ind w:firstLine="480" w:firstLineChars="200"/>
              <w:rPr>
                <w:rStyle w:val="49"/>
                <w:rFonts w:hint="eastAsia"/>
                <w:color w:val="auto"/>
                <w:kern w:val="0"/>
                <w:szCs w:val="22"/>
                <w:highlight w:val="none"/>
              </w:rPr>
            </w:pPr>
            <w:r>
              <w:rPr>
                <w:rStyle w:val="49"/>
                <w:rFonts w:hint="eastAsia"/>
                <w:color w:val="auto"/>
                <w:kern w:val="0"/>
                <w:sz w:val="24"/>
                <w:szCs w:val="24"/>
                <w:highlight w:val="none"/>
              </w:rPr>
              <w:t>评委根据投标人针对本项目制定</w:t>
            </w:r>
            <w:r>
              <w:rPr>
                <w:rStyle w:val="49"/>
                <w:rFonts w:hint="eastAsia"/>
                <w:color w:val="auto"/>
                <w:kern w:val="0"/>
                <w:sz w:val="24"/>
                <w:szCs w:val="24"/>
                <w:highlight w:val="none"/>
                <w:lang w:eastAsia="zh-CN"/>
              </w:rPr>
              <w:t>的三线和违建管控、小广告和牛皮鲜清理、空倒房管护方案的科学</w:t>
            </w:r>
            <w:r>
              <w:rPr>
                <w:rStyle w:val="49"/>
                <w:rFonts w:hint="eastAsia"/>
                <w:color w:val="auto"/>
                <w:kern w:val="0"/>
                <w:sz w:val="24"/>
                <w:szCs w:val="24"/>
                <w:highlight w:val="none"/>
              </w:rPr>
              <w:t>性、合理性、规范性及可实施性进行打分。</w:t>
            </w:r>
          </w:p>
        </w:tc>
        <w:tc>
          <w:tcPr>
            <w:tcW w:w="795" w:type="dxa"/>
            <w:tcBorders>
              <w:top w:val="single" w:color="auto" w:sz="4" w:space="0"/>
              <w:left w:val="nil"/>
              <w:bottom w:val="single" w:color="auto" w:sz="4" w:space="0"/>
              <w:right w:val="single" w:color="auto" w:sz="4" w:space="0"/>
            </w:tcBorders>
            <w:noWrap w:val="0"/>
            <w:vAlign w:val="center"/>
          </w:tcPr>
          <w:p w14:paraId="616C30EF">
            <w:pPr>
              <w:widowControl/>
              <w:spacing w:before="100" w:after="100"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r>
      <w:tr w14:paraId="7228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0B46C7CE">
            <w:pPr>
              <w:widowControl/>
              <w:jc w:val="left"/>
              <w:rPr>
                <w:rFonts w:hint="eastAsia" w:ascii="宋体" w:hAnsi="宋体" w:eastAsia="宋体" w:cs="宋体"/>
                <w:color w:val="auto"/>
                <w:sz w:val="24"/>
                <w:szCs w:val="24"/>
                <w:highlight w:val="none"/>
              </w:rPr>
            </w:pP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14:paraId="20578D1C">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4"/>
                <w:szCs w:val="24"/>
                <w:highlight w:val="none"/>
              </w:rPr>
              <w:t>重</w:t>
            </w:r>
            <w:r>
              <w:rPr>
                <w:rFonts w:hint="eastAsia" w:ascii="宋体" w:hAnsi="宋体" w:cs="宋体"/>
                <w:color w:val="auto"/>
                <w:kern w:val="0"/>
                <w:sz w:val="24"/>
                <w:szCs w:val="24"/>
                <w:highlight w:val="none"/>
                <w:lang w:eastAsia="zh-CN"/>
              </w:rPr>
              <w:t>点、</w:t>
            </w:r>
            <w:r>
              <w:rPr>
                <w:rFonts w:hint="eastAsia" w:ascii="宋体" w:hAnsi="宋体" w:cs="宋体"/>
                <w:color w:val="auto"/>
                <w:kern w:val="0"/>
                <w:sz w:val="24"/>
                <w:szCs w:val="24"/>
                <w:highlight w:val="none"/>
              </w:rPr>
              <w:t>难点及解决措施</w:t>
            </w:r>
          </w:p>
        </w:tc>
        <w:tc>
          <w:tcPr>
            <w:tcW w:w="6438" w:type="dxa"/>
            <w:tcBorders>
              <w:top w:val="single" w:color="auto" w:sz="4" w:space="0"/>
              <w:left w:val="nil"/>
              <w:bottom w:val="single" w:color="auto" w:sz="4" w:space="0"/>
              <w:right w:val="single" w:color="auto" w:sz="4" w:space="0"/>
            </w:tcBorders>
            <w:noWrap w:val="0"/>
            <w:vAlign w:val="center"/>
          </w:tcPr>
          <w:p w14:paraId="5C712172">
            <w:pPr>
              <w:spacing w:line="312" w:lineRule="auto"/>
              <w:ind w:firstLine="480" w:firstLineChars="200"/>
              <w:rPr>
                <w:rStyle w:val="49"/>
                <w:rFonts w:hint="eastAsia"/>
                <w:color w:val="auto"/>
                <w:kern w:val="0"/>
                <w:szCs w:val="22"/>
                <w:highlight w:val="none"/>
                <w:lang w:val="en-US" w:eastAsia="zh-CN"/>
              </w:rPr>
            </w:pPr>
            <w:r>
              <w:rPr>
                <w:rStyle w:val="49"/>
                <w:rFonts w:hint="eastAsia"/>
                <w:color w:val="auto"/>
                <w:kern w:val="0"/>
                <w:sz w:val="24"/>
                <w:szCs w:val="24"/>
                <w:highlight w:val="none"/>
              </w:rPr>
              <w:t>评委根据投标人针对本项目现状、存在的问题的重点</w:t>
            </w:r>
            <w:r>
              <w:rPr>
                <w:rStyle w:val="49"/>
                <w:rFonts w:hint="eastAsia"/>
                <w:color w:val="auto"/>
                <w:kern w:val="0"/>
                <w:sz w:val="24"/>
                <w:szCs w:val="24"/>
                <w:highlight w:val="none"/>
                <w:lang w:eastAsia="zh-CN"/>
              </w:rPr>
              <w:t>、</w:t>
            </w:r>
            <w:r>
              <w:rPr>
                <w:rStyle w:val="49"/>
                <w:rFonts w:hint="eastAsia"/>
                <w:color w:val="auto"/>
                <w:kern w:val="0"/>
                <w:sz w:val="24"/>
                <w:szCs w:val="24"/>
                <w:highlight w:val="none"/>
              </w:rPr>
              <w:t>难点分析</w:t>
            </w:r>
            <w:r>
              <w:rPr>
                <w:rStyle w:val="49"/>
                <w:rFonts w:hint="eastAsia"/>
                <w:color w:val="auto"/>
                <w:kern w:val="0"/>
                <w:sz w:val="24"/>
                <w:szCs w:val="24"/>
                <w:highlight w:val="none"/>
                <w:lang w:eastAsia="zh-CN"/>
              </w:rPr>
              <w:t>与理解是否全面，是否合理进行打分。</w:t>
            </w:r>
          </w:p>
        </w:tc>
        <w:tc>
          <w:tcPr>
            <w:tcW w:w="795" w:type="dxa"/>
            <w:tcBorders>
              <w:top w:val="single" w:color="auto" w:sz="4" w:space="0"/>
              <w:left w:val="nil"/>
              <w:bottom w:val="single" w:color="auto" w:sz="4" w:space="0"/>
              <w:right w:val="single" w:color="auto" w:sz="4" w:space="0"/>
            </w:tcBorders>
            <w:noWrap w:val="0"/>
            <w:vAlign w:val="center"/>
          </w:tcPr>
          <w:p w14:paraId="5169EB63">
            <w:pPr>
              <w:widowControl/>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41B9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54C8C405">
            <w:pPr>
              <w:widowControl/>
              <w:jc w:val="left"/>
              <w:rPr>
                <w:rFonts w:hint="eastAsia" w:ascii="宋体" w:hAnsi="宋体" w:eastAsia="宋体" w:cs="宋体"/>
                <w:color w:val="auto"/>
                <w:sz w:val="24"/>
                <w:szCs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0C46B482">
            <w:pPr>
              <w:widowControl/>
              <w:jc w:val="center"/>
              <w:rPr>
                <w:rFonts w:hint="eastAsia" w:ascii="宋体" w:hAnsi="宋体" w:eastAsia="宋体" w:cs="宋体"/>
                <w:color w:val="auto"/>
                <w:kern w:val="0"/>
                <w:sz w:val="24"/>
                <w:szCs w:val="24"/>
                <w:highlight w:val="none"/>
              </w:rPr>
            </w:pPr>
          </w:p>
        </w:tc>
        <w:tc>
          <w:tcPr>
            <w:tcW w:w="6438" w:type="dxa"/>
            <w:tcBorders>
              <w:top w:val="single" w:color="auto" w:sz="4" w:space="0"/>
              <w:left w:val="nil"/>
              <w:bottom w:val="single" w:color="auto" w:sz="4" w:space="0"/>
              <w:right w:val="single" w:color="auto" w:sz="4" w:space="0"/>
            </w:tcBorders>
            <w:noWrap w:val="0"/>
            <w:vAlign w:val="center"/>
          </w:tcPr>
          <w:p w14:paraId="7EF78B95">
            <w:pPr>
              <w:spacing w:line="312" w:lineRule="auto"/>
              <w:ind w:firstLine="480" w:firstLineChars="200"/>
              <w:rPr>
                <w:rStyle w:val="49"/>
                <w:rFonts w:hint="eastAsia"/>
                <w:color w:val="auto"/>
                <w:kern w:val="0"/>
                <w:szCs w:val="22"/>
                <w:highlight w:val="none"/>
                <w:lang w:eastAsia="zh-CN"/>
              </w:rPr>
            </w:pPr>
            <w:r>
              <w:rPr>
                <w:rStyle w:val="49"/>
                <w:rFonts w:hint="eastAsia"/>
                <w:color w:val="auto"/>
                <w:kern w:val="0"/>
                <w:sz w:val="24"/>
                <w:szCs w:val="24"/>
                <w:highlight w:val="none"/>
              </w:rPr>
              <w:t>评委根据投标人针对本项目</w:t>
            </w:r>
            <w:r>
              <w:rPr>
                <w:rStyle w:val="49"/>
                <w:rFonts w:hint="eastAsia"/>
                <w:color w:val="auto"/>
                <w:kern w:val="0"/>
                <w:sz w:val="24"/>
                <w:szCs w:val="24"/>
                <w:highlight w:val="none"/>
                <w:lang w:eastAsia="zh-CN"/>
              </w:rPr>
              <w:t>重点、难点解决措施考虑是否全面及可操作性是否科学合理进行打分。</w:t>
            </w:r>
          </w:p>
        </w:tc>
        <w:tc>
          <w:tcPr>
            <w:tcW w:w="795" w:type="dxa"/>
            <w:tcBorders>
              <w:top w:val="single" w:color="auto" w:sz="4" w:space="0"/>
              <w:left w:val="nil"/>
              <w:bottom w:val="single" w:color="auto" w:sz="4" w:space="0"/>
              <w:right w:val="single" w:color="auto" w:sz="4" w:space="0"/>
            </w:tcBorders>
            <w:noWrap w:val="0"/>
            <w:vAlign w:val="center"/>
          </w:tcPr>
          <w:p w14:paraId="1171DEE8">
            <w:pPr>
              <w:widowControl/>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5D08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256D023A">
            <w:pPr>
              <w:widowControl/>
              <w:jc w:val="left"/>
              <w:rPr>
                <w:rFonts w:hint="eastAsia" w:ascii="宋体" w:hAnsi="宋体" w:eastAsia="宋体" w:cs="宋体"/>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5FD9416C">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设备投入</w:t>
            </w:r>
          </w:p>
        </w:tc>
        <w:tc>
          <w:tcPr>
            <w:tcW w:w="6438" w:type="dxa"/>
            <w:tcBorders>
              <w:top w:val="single" w:color="auto" w:sz="4" w:space="0"/>
              <w:left w:val="nil"/>
              <w:bottom w:val="single" w:color="auto" w:sz="4" w:space="0"/>
              <w:right w:val="single" w:color="auto" w:sz="4" w:space="0"/>
            </w:tcBorders>
            <w:noWrap w:val="0"/>
            <w:vAlign w:val="center"/>
          </w:tcPr>
          <w:p w14:paraId="2F0E27CC">
            <w:pPr>
              <w:spacing w:line="312" w:lineRule="auto"/>
              <w:ind w:firstLine="480" w:firstLineChars="200"/>
              <w:rPr>
                <w:rStyle w:val="49"/>
                <w:rFonts w:hint="eastAsia" w:ascii="Times New Roman" w:hAnsi="Times New Roman" w:eastAsia="宋体" w:cs="Times New Roman"/>
                <w:color w:val="auto"/>
                <w:kern w:val="0"/>
                <w:sz w:val="24"/>
                <w:szCs w:val="24"/>
                <w:highlight w:val="none"/>
                <w:lang w:eastAsia="zh-CN"/>
              </w:rPr>
            </w:pPr>
            <w:r>
              <w:rPr>
                <w:rStyle w:val="49"/>
                <w:rFonts w:hint="eastAsia" w:ascii="Times New Roman" w:hAnsi="Times New Roman" w:eastAsia="宋体" w:cs="Times New Roman"/>
                <w:color w:val="auto"/>
                <w:kern w:val="0"/>
                <w:sz w:val="24"/>
                <w:szCs w:val="24"/>
                <w:highlight w:val="none"/>
                <w:lang w:eastAsia="zh-CN"/>
              </w:rPr>
              <w:t>评委根据投标人针对本项目的投入的相关设备及车辆从功能、数量及配置运行管理方案是否合理情况进行打分。</w:t>
            </w:r>
          </w:p>
          <w:p w14:paraId="2F2D8FCF">
            <w:pPr>
              <w:spacing w:line="312" w:lineRule="auto"/>
              <w:ind w:firstLine="480" w:firstLineChars="200"/>
              <w:rPr>
                <w:rStyle w:val="49"/>
                <w:rFonts w:hint="eastAsia" w:eastAsia="宋体"/>
                <w:color w:val="auto"/>
                <w:kern w:val="0"/>
                <w:szCs w:val="22"/>
                <w:highlight w:val="none"/>
                <w:lang w:eastAsia="zh-CN"/>
              </w:rPr>
            </w:pPr>
            <w:r>
              <w:rPr>
                <w:rStyle w:val="49"/>
                <w:rFonts w:hint="eastAsia" w:ascii="Times New Roman" w:hAnsi="Times New Roman" w:eastAsia="宋体" w:cs="Times New Roman"/>
                <w:color w:val="auto"/>
                <w:kern w:val="0"/>
                <w:sz w:val="24"/>
                <w:szCs w:val="24"/>
                <w:highlight w:val="none"/>
                <w:lang w:val="en-US" w:eastAsia="zh-CN"/>
              </w:rPr>
              <w:t>注：须</w:t>
            </w:r>
            <w:r>
              <w:rPr>
                <w:rStyle w:val="49"/>
                <w:rFonts w:hint="eastAsia" w:ascii="Times New Roman" w:hAnsi="Times New Roman" w:eastAsia="宋体" w:cs="Times New Roman"/>
                <w:color w:val="auto"/>
                <w:kern w:val="0"/>
                <w:sz w:val="24"/>
                <w:szCs w:val="24"/>
                <w:highlight w:val="none"/>
                <w:lang w:eastAsia="zh-CN"/>
              </w:rPr>
              <w:t>提供相关设备证明材料复印件并加盖</w:t>
            </w:r>
            <w:r>
              <w:rPr>
                <w:rStyle w:val="49"/>
                <w:rFonts w:hint="eastAsia" w:ascii="Times New Roman" w:hAnsi="Times New Roman" w:eastAsia="宋体" w:cs="Times New Roman"/>
                <w:color w:val="auto"/>
                <w:kern w:val="0"/>
                <w:sz w:val="24"/>
                <w:szCs w:val="24"/>
                <w:highlight w:val="none"/>
                <w:lang w:val="en-US" w:eastAsia="zh-CN"/>
              </w:rPr>
              <w:t>投标人</w:t>
            </w:r>
            <w:r>
              <w:rPr>
                <w:rStyle w:val="49"/>
                <w:rFonts w:hint="eastAsia" w:ascii="Times New Roman" w:hAnsi="Times New Roman" w:eastAsia="宋体" w:cs="Times New Roman"/>
                <w:color w:val="auto"/>
                <w:kern w:val="0"/>
                <w:sz w:val="24"/>
                <w:szCs w:val="24"/>
                <w:highlight w:val="none"/>
                <w:lang w:eastAsia="zh-CN"/>
              </w:rPr>
              <w:t>公章。</w:t>
            </w:r>
          </w:p>
        </w:tc>
        <w:tc>
          <w:tcPr>
            <w:tcW w:w="795" w:type="dxa"/>
            <w:tcBorders>
              <w:top w:val="single" w:color="auto" w:sz="4" w:space="0"/>
              <w:left w:val="nil"/>
              <w:bottom w:val="single" w:color="auto" w:sz="4" w:space="0"/>
              <w:right w:val="single" w:color="auto" w:sz="4" w:space="0"/>
            </w:tcBorders>
            <w:noWrap w:val="0"/>
            <w:vAlign w:val="center"/>
          </w:tcPr>
          <w:p w14:paraId="004F0783">
            <w:pPr>
              <w:widowControl/>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306D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4519199D">
            <w:pPr>
              <w:widowControl/>
              <w:jc w:val="left"/>
              <w:rPr>
                <w:rFonts w:hint="eastAsia" w:ascii="宋体" w:hAnsi="宋体" w:eastAsia="宋体" w:cs="宋体"/>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610CA813">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人员配备</w:t>
            </w:r>
          </w:p>
        </w:tc>
        <w:tc>
          <w:tcPr>
            <w:tcW w:w="6438" w:type="dxa"/>
            <w:tcBorders>
              <w:top w:val="single" w:color="auto" w:sz="4" w:space="0"/>
              <w:left w:val="nil"/>
              <w:bottom w:val="single" w:color="auto" w:sz="4" w:space="0"/>
              <w:right w:val="single" w:color="auto" w:sz="4" w:space="0"/>
            </w:tcBorders>
            <w:noWrap w:val="0"/>
            <w:vAlign w:val="center"/>
          </w:tcPr>
          <w:p w14:paraId="148A067E">
            <w:pPr>
              <w:spacing w:line="312" w:lineRule="auto"/>
              <w:ind w:firstLine="480" w:firstLineChars="200"/>
              <w:rPr>
                <w:rStyle w:val="49"/>
                <w:rFonts w:hint="eastAsia"/>
                <w:color w:val="auto"/>
                <w:kern w:val="0"/>
                <w:szCs w:val="22"/>
                <w:highlight w:val="none"/>
                <w:lang w:val="en-US" w:eastAsia="zh-CN"/>
              </w:rPr>
            </w:pPr>
            <w:r>
              <w:rPr>
                <w:rStyle w:val="49"/>
                <w:rFonts w:hint="eastAsia"/>
                <w:color w:val="auto"/>
                <w:kern w:val="0"/>
                <w:sz w:val="24"/>
                <w:szCs w:val="24"/>
                <w:highlight w:val="none"/>
                <w:lang w:val="en-US" w:eastAsia="zh-CN"/>
              </w:rPr>
              <w:t>评委根据投标人</w:t>
            </w:r>
            <w:r>
              <w:rPr>
                <w:rStyle w:val="49"/>
                <w:rFonts w:hint="eastAsia"/>
                <w:color w:val="auto"/>
                <w:kern w:val="0"/>
                <w:sz w:val="24"/>
                <w:szCs w:val="24"/>
                <w:highlight w:val="none"/>
              </w:rPr>
              <w:t>针对本项</w:t>
            </w:r>
            <w:r>
              <w:rPr>
                <w:rStyle w:val="49"/>
                <w:rFonts w:hint="eastAsia"/>
                <w:color w:val="auto"/>
                <w:kern w:val="0"/>
                <w:sz w:val="24"/>
                <w:szCs w:val="24"/>
                <w:highlight w:val="none"/>
                <w:lang w:eastAsia="zh-CN"/>
              </w:rPr>
              <w:t>目</w:t>
            </w:r>
            <w:r>
              <w:rPr>
                <w:rStyle w:val="49"/>
                <w:rFonts w:hint="eastAsia"/>
                <w:color w:val="auto"/>
                <w:kern w:val="0"/>
                <w:sz w:val="24"/>
                <w:szCs w:val="24"/>
                <w:highlight w:val="none"/>
                <w:lang w:val="en-US" w:eastAsia="zh-CN"/>
              </w:rPr>
              <w:t>拟派项目团队人员的配备情况、从业人数、人员平均年龄、文化水平、人员分工及工作经验等进行综合打分。</w:t>
            </w:r>
          </w:p>
        </w:tc>
        <w:tc>
          <w:tcPr>
            <w:tcW w:w="795" w:type="dxa"/>
            <w:tcBorders>
              <w:top w:val="single" w:color="auto" w:sz="4" w:space="0"/>
              <w:left w:val="nil"/>
              <w:bottom w:val="single" w:color="auto" w:sz="4" w:space="0"/>
              <w:right w:val="single" w:color="auto" w:sz="4" w:space="0"/>
            </w:tcBorders>
            <w:noWrap w:val="0"/>
            <w:vAlign w:val="center"/>
          </w:tcPr>
          <w:p w14:paraId="1278973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3868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06A958FA">
            <w:pPr>
              <w:widowControl/>
              <w:jc w:val="left"/>
              <w:rPr>
                <w:rFonts w:hint="eastAsia" w:ascii="宋体" w:hAnsi="宋体" w:eastAsia="宋体" w:cs="宋体"/>
                <w:color w:val="auto"/>
                <w:sz w:val="24"/>
                <w:szCs w:val="24"/>
                <w:highlight w:val="none"/>
              </w:rPr>
            </w:pP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14:paraId="5B8D5FB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管理制度</w:t>
            </w:r>
          </w:p>
        </w:tc>
        <w:tc>
          <w:tcPr>
            <w:tcW w:w="6438" w:type="dxa"/>
            <w:tcBorders>
              <w:top w:val="single" w:color="auto" w:sz="4" w:space="0"/>
              <w:left w:val="nil"/>
              <w:bottom w:val="single" w:color="auto" w:sz="4" w:space="0"/>
              <w:right w:val="single" w:color="auto" w:sz="4" w:space="0"/>
            </w:tcBorders>
            <w:noWrap w:val="0"/>
            <w:vAlign w:val="center"/>
          </w:tcPr>
          <w:p w14:paraId="68AF37C1">
            <w:pPr>
              <w:spacing w:line="312" w:lineRule="auto"/>
              <w:ind w:firstLine="480" w:firstLineChars="200"/>
              <w:rPr>
                <w:rStyle w:val="49"/>
                <w:rFonts w:hint="eastAsia"/>
                <w:color w:val="auto"/>
                <w:kern w:val="0"/>
                <w:szCs w:val="22"/>
                <w:highlight w:val="none"/>
                <w:lang w:val="en-US" w:eastAsia="zh-CN"/>
              </w:rPr>
            </w:pPr>
            <w:r>
              <w:rPr>
                <w:rStyle w:val="49"/>
                <w:rFonts w:hint="eastAsia"/>
                <w:color w:val="auto"/>
                <w:kern w:val="0"/>
                <w:sz w:val="24"/>
                <w:szCs w:val="24"/>
                <w:highlight w:val="none"/>
              </w:rPr>
              <w:t>评委根据投标人针对本项目提出的实施的项目管理流程、管理方式、监督机制和信息反馈渠道及处理机制、考核机制等进行综合打分</w:t>
            </w:r>
            <w:r>
              <w:rPr>
                <w:rStyle w:val="49"/>
                <w:rFonts w:hint="eastAsia"/>
                <w:color w:val="auto"/>
                <w:kern w:val="0"/>
                <w:sz w:val="24"/>
                <w:szCs w:val="24"/>
                <w:highlight w:val="none"/>
                <w:lang w:eastAsia="zh-CN"/>
              </w:rPr>
              <w:t>。</w:t>
            </w:r>
          </w:p>
        </w:tc>
        <w:tc>
          <w:tcPr>
            <w:tcW w:w="795" w:type="dxa"/>
            <w:tcBorders>
              <w:top w:val="single" w:color="auto" w:sz="4" w:space="0"/>
              <w:left w:val="nil"/>
              <w:bottom w:val="single" w:color="auto" w:sz="4" w:space="0"/>
              <w:right w:val="single" w:color="auto" w:sz="4" w:space="0"/>
            </w:tcBorders>
            <w:noWrap w:val="0"/>
            <w:vAlign w:val="center"/>
          </w:tcPr>
          <w:p w14:paraId="2811AA2D">
            <w:pPr>
              <w:widowControl/>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0143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38250853">
            <w:pPr>
              <w:widowControl/>
              <w:jc w:val="left"/>
              <w:rPr>
                <w:rFonts w:hint="eastAsia" w:ascii="宋体" w:hAnsi="宋体" w:eastAsia="宋体" w:cs="宋体"/>
                <w:color w:val="auto"/>
                <w:sz w:val="24"/>
                <w:szCs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35A0F999">
            <w:pPr>
              <w:spacing w:line="360" w:lineRule="auto"/>
              <w:jc w:val="left"/>
              <w:textAlignment w:val="baseline"/>
              <w:rPr>
                <w:rStyle w:val="49"/>
                <w:rFonts w:hint="eastAsia" w:hAnsi="宋体" w:eastAsia="宋体"/>
                <w:color w:val="auto"/>
                <w:kern w:val="0"/>
                <w:highlight w:val="none"/>
                <w:lang w:eastAsia="zh-CN"/>
              </w:rPr>
            </w:pPr>
          </w:p>
        </w:tc>
        <w:tc>
          <w:tcPr>
            <w:tcW w:w="6438" w:type="dxa"/>
            <w:tcBorders>
              <w:top w:val="single" w:color="auto" w:sz="4" w:space="0"/>
              <w:left w:val="nil"/>
              <w:bottom w:val="single" w:color="auto" w:sz="4" w:space="0"/>
              <w:right w:val="single" w:color="auto" w:sz="4" w:space="0"/>
            </w:tcBorders>
            <w:noWrap w:val="0"/>
            <w:vAlign w:val="center"/>
          </w:tcPr>
          <w:p w14:paraId="7481F6CA">
            <w:pPr>
              <w:spacing w:line="312" w:lineRule="auto"/>
              <w:ind w:firstLine="480" w:firstLineChars="200"/>
              <w:rPr>
                <w:rStyle w:val="49"/>
                <w:rFonts w:hint="eastAsia"/>
                <w:color w:val="auto"/>
                <w:kern w:val="0"/>
                <w:szCs w:val="22"/>
                <w:highlight w:val="none"/>
                <w:lang w:eastAsia="zh-CN"/>
              </w:rPr>
            </w:pPr>
            <w:r>
              <w:rPr>
                <w:rStyle w:val="49"/>
                <w:rFonts w:hint="eastAsia"/>
                <w:color w:val="auto"/>
                <w:kern w:val="0"/>
                <w:sz w:val="24"/>
                <w:szCs w:val="24"/>
                <w:highlight w:val="none"/>
              </w:rPr>
              <w:t>评委根据投标人针对本项目</w:t>
            </w:r>
            <w:r>
              <w:rPr>
                <w:rStyle w:val="49"/>
                <w:rFonts w:hint="eastAsia"/>
                <w:color w:val="auto"/>
                <w:kern w:val="0"/>
                <w:sz w:val="24"/>
                <w:szCs w:val="24"/>
                <w:highlight w:val="none"/>
                <w:lang w:eastAsia="zh-CN"/>
              </w:rPr>
              <w:t>人员</w:t>
            </w:r>
            <w:r>
              <w:rPr>
                <w:rStyle w:val="49"/>
                <w:rFonts w:hint="eastAsia"/>
                <w:color w:val="auto"/>
                <w:kern w:val="0"/>
                <w:sz w:val="24"/>
                <w:szCs w:val="24"/>
                <w:highlight w:val="none"/>
              </w:rPr>
              <w:t>规范管理和</w:t>
            </w:r>
            <w:r>
              <w:rPr>
                <w:rStyle w:val="49"/>
                <w:rFonts w:hint="eastAsia"/>
                <w:color w:val="auto"/>
                <w:kern w:val="0"/>
                <w:sz w:val="24"/>
                <w:szCs w:val="24"/>
                <w:highlight w:val="none"/>
                <w:lang w:eastAsia="zh-CN"/>
              </w:rPr>
              <w:t>人员</w:t>
            </w:r>
            <w:r>
              <w:rPr>
                <w:rStyle w:val="49"/>
                <w:rFonts w:hint="eastAsia"/>
                <w:color w:val="auto"/>
                <w:kern w:val="0"/>
                <w:sz w:val="24"/>
                <w:szCs w:val="24"/>
                <w:highlight w:val="none"/>
              </w:rPr>
              <w:t>培训方案进行综合打分。</w:t>
            </w:r>
          </w:p>
        </w:tc>
        <w:tc>
          <w:tcPr>
            <w:tcW w:w="795" w:type="dxa"/>
            <w:tcBorders>
              <w:top w:val="single" w:color="auto" w:sz="4" w:space="0"/>
              <w:left w:val="nil"/>
              <w:bottom w:val="single" w:color="auto" w:sz="4" w:space="0"/>
              <w:right w:val="single" w:color="auto" w:sz="4" w:space="0"/>
            </w:tcBorders>
            <w:noWrap w:val="0"/>
            <w:vAlign w:val="center"/>
          </w:tcPr>
          <w:p w14:paraId="041C2342">
            <w:pPr>
              <w:widowControl/>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0B21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03C79082">
            <w:pPr>
              <w:widowControl/>
              <w:jc w:val="left"/>
              <w:rPr>
                <w:rFonts w:hint="eastAsia" w:ascii="宋体" w:hAnsi="宋体" w:eastAsia="宋体" w:cs="宋体"/>
                <w:color w:val="auto"/>
                <w:sz w:val="24"/>
                <w:szCs w:val="24"/>
                <w:highlight w:val="none"/>
              </w:rPr>
            </w:pPr>
          </w:p>
        </w:tc>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14:paraId="734343F7">
            <w:pPr>
              <w:spacing w:line="360" w:lineRule="auto"/>
              <w:jc w:val="left"/>
              <w:textAlignment w:val="baseline"/>
              <w:rPr>
                <w:rFonts w:hint="eastAsia" w:hAnsi="宋体" w:eastAsia="宋体"/>
                <w:color w:val="auto"/>
                <w:kern w:val="0"/>
                <w:sz w:val="21"/>
                <w:szCs w:val="24"/>
                <w:highlight w:val="none"/>
                <w:lang w:val="en-US" w:eastAsia="zh-CN" w:bidi="ar-SA"/>
              </w:rPr>
            </w:pPr>
            <w:r>
              <w:rPr>
                <w:rStyle w:val="49"/>
                <w:rFonts w:hint="eastAsia" w:hAnsi="宋体" w:eastAsia="宋体"/>
                <w:color w:val="auto"/>
                <w:kern w:val="0"/>
                <w:sz w:val="24"/>
                <w:szCs w:val="24"/>
                <w:highlight w:val="none"/>
                <w:lang w:eastAsia="zh-CN"/>
              </w:rPr>
              <w:t>保证措施</w:t>
            </w:r>
          </w:p>
        </w:tc>
        <w:tc>
          <w:tcPr>
            <w:tcW w:w="6438" w:type="dxa"/>
            <w:tcBorders>
              <w:top w:val="single" w:color="auto" w:sz="4" w:space="0"/>
              <w:left w:val="nil"/>
              <w:bottom w:val="single" w:color="auto" w:sz="4" w:space="0"/>
              <w:right w:val="single" w:color="auto" w:sz="4" w:space="0"/>
            </w:tcBorders>
            <w:noWrap w:val="0"/>
            <w:vAlign w:val="center"/>
          </w:tcPr>
          <w:p w14:paraId="1AD607EF">
            <w:pPr>
              <w:spacing w:line="312" w:lineRule="auto"/>
              <w:ind w:firstLine="480" w:firstLineChars="200"/>
              <w:rPr>
                <w:rStyle w:val="49"/>
                <w:rFonts w:hint="eastAsia"/>
                <w:color w:val="auto"/>
                <w:kern w:val="0"/>
                <w:szCs w:val="22"/>
                <w:highlight w:val="none"/>
                <w:lang w:val="en-US" w:eastAsia="zh-CN"/>
              </w:rPr>
            </w:pPr>
            <w:r>
              <w:rPr>
                <w:rStyle w:val="49"/>
                <w:rFonts w:hint="eastAsia"/>
                <w:color w:val="auto"/>
                <w:kern w:val="0"/>
                <w:sz w:val="24"/>
                <w:szCs w:val="24"/>
                <w:highlight w:val="none"/>
              </w:rPr>
              <w:t>评委根据投标人针对本项目</w:t>
            </w:r>
            <w:r>
              <w:rPr>
                <w:rStyle w:val="49"/>
                <w:rFonts w:hint="eastAsia"/>
                <w:color w:val="auto"/>
                <w:kern w:val="0"/>
                <w:sz w:val="24"/>
                <w:szCs w:val="24"/>
                <w:highlight w:val="none"/>
                <w:lang w:eastAsia="zh-CN"/>
              </w:rPr>
              <w:t>服务质量保证措施方案是否科学、合理进行打分。</w:t>
            </w:r>
          </w:p>
        </w:tc>
        <w:tc>
          <w:tcPr>
            <w:tcW w:w="795" w:type="dxa"/>
            <w:tcBorders>
              <w:top w:val="single" w:color="auto" w:sz="4" w:space="0"/>
              <w:left w:val="nil"/>
              <w:bottom w:val="single" w:color="auto" w:sz="4" w:space="0"/>
              <w:right w:val="single" w:color="auto" w:sz="4" w:space="0"/>
            </w:tcBorders>
            <w:noWrap w:val="0"/>
            <w:vAlign w:val="center"/>
          </w:tcPr>
          <w:p w14:paraId="6C862690">
            <w:pPr>
              <w:widowControl/>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45A9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79C9701B">
            <w:pPr>
              <w:widowControl/>
              <w:jc w:val="left"/>
              <w:rPr>
                <w:rFonts w:hint="eastAsia" w:ascii="宋体" w:hAnsi="宋体" w:eastAsia="宋体" w:cs="宋体"/>
                <w:color w:val="auto"/>
                <w:sz w:val="24"/>
                <w:szCs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noWrap w:val="0"/>
            <w:vAlign w:val="center"/>
          </w:tcPr>
          <w:p w14:paraId="045315EB">
            <w:pPr>
              <w:spacing w:line="360" w:lineRule="auto"/>
              <w:jc w:val="left"/>
              <w:textAlignment w:val="baseline"/>
              <w:rPr>
                <w:rFonts w:hint="eastAsia" w:hAnsi="宋体"/>
                <w:color w:val="auto"/>
                <w:kern w:val="0"/>
                <w:sz w:val="21"/>
                <w:szCs w:val="24"/>
                <w:highlight w:val="none"/>
                <w:lang w:val="en-US" w:eastAsia="zh-CN" w:bidi="ar-SA"/>
              </w:rPr>
            </w:pPr>
          </w:p>
        </w:tc>
        <w:tc>
          <w:tcPr>
            <w:tcW w:w="6438" w:type="dxa"/>
            <w:tcBorders>
              <w:top w:val="single" w:color="auto" w:sz="4" w:space="0"/>
              <w:left w:val="nil"/>
              <w:bottom w:val="single" w:color="auto" w:sz="4" w:space="0"/>
              <w:right w:val="single" w:color="auto" w:sz="4" w:space="0"/>
            </w:tcBorders>
            <w:noWrap w:val="0"/>
            <w:vAlign w:val="center"/>
          </w:tcPr>
          <w:p w14:paraId="0FF0F033">
            <w:pPr>
              <w:spacing w:line="312" w:lineRule="auto"/>
              <w:ind w:firstLine="480" w:firstLineChars="200"/>
              <w:rPr>
                <w:rStyle w:val="49"/>
                <w:rFonts w:hint="eastAsia"/>
                <w:color w:val="auto"/>
                <w:kern w:val="0"/>
                <w:szCs w:val="22"/>
                <w:highlight w:val="none"/>
                <w:lang w:val="en-US" w:eastAsia="zh-CN"/>
              </w:rPr>
            </w:pPr>
            <w:r>
              <w:rPr>
                <w:rStyle w:val="49"/>
                <w:rFonts w:hint="eastAsia"/>
                <w:color w:val="auto"/>
                <w:kern w:val="0"/>
                <w:sz w:val="24"/>
                <w:szCs w:val="24"/>
                <w:highlight w:val="none"/>
              </w:rPr>
              <w:t>评委根据投标人针对本项目</w:t>
            </w:r>
            <w:r>
              <w:rPr>
                <w:rStyle w:val="49"/>
                <w:rFonts w:hint="eastAsia"/>
                <w:color w:val="auto"/>
                <w:kern w:val="0"/>
                <w:sz w:val="24"/>
                <w:szCs w:val="24"/>
                <w:highlight w:val="none"/>
                <w:lang w:eastAsia="zh-CN"/>
              </w:rPr>
              <w:t>安全、</w:t>
            </w:r>
            <w:r>
              <w:rPr>
                <w:rStyle w:val="49"/>
                <w:rFonts w:hint="eastAsia"/>
                <w:color w:val="auto"/>
                <w:kern w:val="0"/>
                <w:sz w:val="24"/>
                <w:szCs w:val="24"/>
                <w:highlight w:val="none"/>
              </w:rPr>
              <w:t>文明</w:t>
            </w:r>
            <w:r>
              <w:rPr>
                <w:rStyle w:val="49"/>
                <w:rFonts w:hint="eastAsia"/>
                <w:color w:val="auto"/>
                <w:kern w:val="0"/>
                <w:sz w:val="24"/>
                <w:szCs w:val="24"/>
                <w:highlight w:val="none"/>
                <w:lang w:eastAsia="zh-CN"/>
              </w:rPr>
              <w:t>作业保证措施方案是否科学、合理进行打分。</w:t>
            </w:r>
          </w:p>
        </w:tc>
        <w:tc>
          <w:tcPr>
            <w:tcW w:w="795" w:type="dxa"/>
            <w:tcBorders>
              <w:top w:val="single" w:color="auto" w:sz="4" w:space="0"/>
              <w:left w:val="nil"/>
              <w:bottom w:val="single" w:color="auto" w:sz="4" w:space="0"/>
              <w:right w:val="single" w:color="auto" w:sz="4" w:space="0"/>
            </w:tcBorders>
            <w:noWrap w:val="0"/>
            <w:vAlign w:val="center"/>
          </w:tcPr>
          <w:p w14:paraId="484E9123">
            <w:pPr>
              <w:widowControl/>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31C1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7594B8A7">
            <w:pPr>
              <w:widowControl/>
              <w:jc w:val="left"/>
              <w:rPr>
                <w:rFonts w:hint="eastAsia" w:ascii="宋体" w:hAnsi="宋体" w:eastAsia="宋体" w:cs="宋体"/>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4DCFA3CE">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4"/>
                <w:szCs w:val="24"/>
                <w:highlight w:val="none"/>
              </w:rPr>
              <w:t>特殊时期的应急保障措施</w:t>
            </w:r>
          </w:p>
        </w:tc>
        <w:tc>
          <w:tcPr>
            <w:tcW w:w="6438" w:type="dxa"/>
            <w:tcBorders>
              <w:top w:val="single" w:color="auto" w:sz="4" w:space="0"/>
              <w:left w:val="nil"/>
              <w:bottom w:val="single" w:color="auto" w:sz="4" w:space="0"/>
              <w:right w:val="single" w:color="auto" w:sz="4" w:space="0"/>
            </w:tcBorders>
            <w:noWrap w:val="0"/>
            <w:vAlign w:val="center"/>
          </w:tcPr>
          <w:p w14:paraId="165A9EC2">
            <w:pPr>
              <w:spacing w:line="312" w:lineRule="auto"/>
              <w:ind w:firstLine="480" w:firstLineChars="200"/>
              <w:rPr>
                <w:rStyle w:val="49"/>
                <w:rFonts w:hint="eastAsia" w:eastAsia="宋体"/>
                <w:color w:val="auto"/>
                <w:kern w:val="0"/>
                <w:szCs w:val="22"/>
                <w:highlight w:val="none"/>
                <w:lang w:val="en-US" w:eastAsia="zh-CN"/>
              </w:rPr>
            </w:pPr>
            <w:r>
              <w:rPr>
                <w:rStyle w:val="49"/>
                <w:rFonts w:hint="eastAsia"/>
                <w:color w:val="auto"/>
                <w:kern w:val="0"/>
                <w:sz w:val="24"/>
                <w:szCs w:val="24"/>
                <w:highlight w:val="none"/>
              </w:rPr>
              <w:t>评委根据投标人提供的针对大型活动、节庆假日、创优评优和突击检查等特殊时期的应急保障措施方案进行综合打分。</w:t>
            </w:r>
          </w:p>
        </w:tc>
        <w:tc>
          <w:tcPr>
            <w:tcW w:w="795" w:type="dxa"/>
            <w:tcBorders>
              <w:top w:val="single" w:color="auto" w:sz="4" w:space="0"/>
              <w:left w:val="nil"/>
              <w:bottom w:val="single" w:color="auto" w:sz="4" w:space="0"/>
              <w:right w:val="single" w:color="auto" w:sz="4" w:space="0"/>
            </w:tcBorders>
            <w:noWrap w:val="0"/>
            <w:vAlign w:val="center"/>
          </w:tcPr>
          <w:p w14:paraId="43D7BB27">
            <w:pPr>
              <w:widowControl/>
              <w:snapToGrid w:val="0"/>
              <w:jc w:val="center"/>
              <w:rPr>
                <w:rFonts w:hint="default" w:ascii="宋体" w:hAnsi="宋体" w:eastAsia="宋体" w:cs="宋体"/>
                <w:color w:val="auto"/>
                <w:kern w:val="2"/>
                <w:position w:val="-3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3B83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49A08C08">
            <w:pPr>
              <w:widowControl/>
              <w:jc w:val="left"/>
              <w:rPr>
                <w:rFonts w:hint="eastAsia" w:ascii="宋体" w:hAnsi="宋体" w:eastAsia="宋体" w:cs="宋体"/>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7E1CF81">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增值服务</w:t>
            </w:r>
          </w:p>
        </w:tc>
        <w:tc>
          <w:tcPr>
            <w:tcW w:w="6438" w:type="dxa"/>
            <w:tcBorders>
              <w:top w:val="single" w:color="auto" w:sz="4" w:space="0"/>
              <w:left w:val="nil"/>
              <w:bottom w:val="single" w:color="auto" w:sz="4" w:space="0"/>
              <w:right w:val="single" w:color="auto" w:sz="4" w:space="0"/>
            </w:tcBorders>
            <w:noWrap w:val="0"/>
            <w:vAlign w:val="center"/>
          </w:tcPr>
          <w:p w14:paraId="5C28E75B">
            <w:pPr>
              <w:spacing w:line="312" w:lineRule="auto"/>
              <w:ind w:firstLine="480" w:firstLineChars="200"/>
              <w:rPr>
                <w:rStyle w:val="49"/>
                <w:rFonts w:hint="eastAsia"/>
                <w:color w:val="auto"/>
                <w:kern w:val="0"/>
                <w:sz w:val="24"/>
                <w:szCs w:val="24"/>
                <w:highlight w:val="none"/>
              </w:rPr>
            </w:pPr>
            <w:r>
              <w:rPr>
                <w:rStyle w:val="49"/>
                <w:rFonts w:hint="eastAsia"/>
                <w:color w:val="auto"/>
                <w:kern w:val="0"/>
                <w:sz w:val="24"/>
                <w:szCs w:val="24"/>
                <w:highlight w:val="none"/>
              </w:rPr>
              <w:t>评委根据投标人针对本村实际工作中可以提供的增值服务的可行性、实用性进行打分。</w:t>
            </w:r>
          </w:p>
        </w:tc>
        <w:tc>
          <w:tcPr>
            <w:tcW w:w="795" w:type="dxa"/>
            <w:tcBorders>
              <w:top w:val="single" w:color="auto" w:sz="4" w:space="0"/>
              <w:left w:val="nil"/>
              <w:bottom w:val="single" w:color="auto" w:sz="4" w:space="0"/>
              <w:right w:val="single" w:color="auto" w:sz="4" w:space="0"/>
            </w:tcBorders>
            <w:noWrap w:val="0"/>
            <w:vAlign w:val="center"/>
          </w:tcPr>
          <w:p w14:paraId="76A58B00">
            <w:pPr>
              <w:widowControl/>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7892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7B0746AB">
            <w:pPr>
              <w:widowControl/>
              <w:jc w:val="left"/>
              <w:rPr>
                <w:rFonts w:hint="eastAsia" w:ascii="宋体" w:hAnsi="宋体" w:eastAsia="宋体" w:cs="宋体"/>
                <w:color w:val="auto"/>
                <w:sz w:val="24"/>
                <w:szCs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7E9DE96">
            <w:pPr>
              <w:widowControl/>
              <w:jc w:val="center"/>
              <w:rPr>
                <w:rFonts w:hint="default" w:ascii="宋体" w:hAnsi="宋体" w:eastAsia="宋体" w:cs="宋体"/>
                <w:color w:val="auto"/>
                <w:kern w:val="0"/>
                <w:sz w:val="21"/>
                <w:szCs w:val="21"/>
                <w:highlight w:val="none"/>
                <w:lang w:val="en-US" w:eastAsia="zh-CN" w:bidi="ar-SA"/>
              </w:rPr>
            </w:pPr>
            <w:r>
              <w:rPr>
                <w:rFonts w:hint="eastAsia"/>
                <w:color w:val="auto"/>
                <w:sz w:val="24"/>
                <w:szCs w:val="24"/>
                <w:highlight w:val="none"/>
                <w:lang w:val="en-US" w:eastAsia="zh-CN"/>
              </w:rPr>
              <w:t>应急服务响应</w:t>
            </w:r>
          </w:p>
        </w:tc>
        <w:tc>
          <w:tcPr>
            <w:tcW w:w="6438" w:type="dxa"/>
            <w:tcBorders>
              <w:top w:val="single" w:color="auto" w:sz="4" w:space="0"/>
              <w:left w:val="nil"/>
              <w:bottom w:val="single" w:color="auto" w:sz="4" w:space="0"/>
              <w:right w:val="single" w:color="auto" w:sz="4" w:space="0"/>
            </w:tcBorders>
            <w:noWrap w:val="0"/>
            <w:vAlign w:val="center"/>
          </w:tcPr>
          <w:p w14:paraId="2423B9F3">
            <w:pPr>
              <w:spacing w:line="360" w:lineRule="auto"/>
              <w:ind w:firstLine="480" w:firstLineChars="200"/>
              <w:rPr>
                <w:rStyle w:val="49"/>
                <w:rFonts w:hint="eastAsia" w:eastAsia="宋体"/>
                <w:color w:val="auto"/>
                <w:kern w:val="0"/>
                <w:szCs w:val="22"/>
                <w:highlight w:val="none"/>
                <w:lang w:eastAsia="zh-CN"/>
              </w:rPr>
            </w:pPr>
            <w:r>
              <w:rPr>
                <w:rStyle w:val="49"/>
                <w:rFonts w:hint="eastAsia"/>
                <w:color w:val="auto"/>
                <w:kern w:val="0"/>
                <w:sz w:val="24"/>
                <w:szCs w:val="24"/>
                <w:highlight w:val="none"/>
              </w:rPr>
              <w:t>评委根据供应商提供应急服务响应时效情况进行综合打分</w:t>
            </w:r>
            <w:r>
              <w:rPr>
                <w:rStyle w:val="49"/>
                <w:rFonts w:hint="eastAsia"/>
                <w:color w:val="auto"/>
                <w:kern w:val="0"/>
                <w:sz w:val="24"/>
                <w:szCs w:val="24"/>
                <w:highlight w:val="none"/>
                <w:lang w:eastAsia="zh-CN"/>
              </w:rPr>
              <w:t>。</w:t>
            </w:r>
          </w:p>
        </w:tc>
        <w:tc>
          <w:tcPr>
            <w:tcW w:w="795" w:type="dxa"/>
            <w:tcBorders>
              <w:top w:val="single" w:color="auto" w:sz="4" w:space="0"/>
              <w:left w:val="nil"/>
              <w:bottom w:val="single" w:color="auto" w:sz="4" w:space="0"/>
              <w:right w:val="single" w:color="auto" w:sz="4" w:space="0"/>
            </w:tcBorders>
            <w:noWrap w:val="0"/>
            <w:vAlign w:val="center"/>
          </w:tcPr>
          <w:p w14:paraId="20E4B93F">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14:paraId="6AC5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6" w:type="dxa"/>
            <w:vMerge w:val="restart"/>
            <w:tcBorders>
              <w:top w:val="single" w:color="auto" w:sz="4" w:space="0"/>
              <w:left w:val="single" w:color="auto" w:sz="4" w:space="0"/>
              <w:right w:val="single" w:color="auto" w:sz="4" w:space="0"/>
            </w:tcBorders>
            <w:noWrap w:val="0"/>
            <w:vAlign w:val="center"/>
          </w:tcPr>
          <w:p w14:paraId="5016F213">
            <w:pPr>
              <w:widowControl/>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商务资信（</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267" w:type="dxa"/>
            <w:vMerge w:val="restart"/>
            <w:tcBorders>
              <w:top w:val="single" w:color="auto" w:sz="4" w:space="0"/>
              <w:left w:val="single" w:color="auto" w:sz="4" w:space="0"/>
              <w:right w:val="single" w:color="auto" w:sz="4" w:space="0"/>
            </w:tcBorders>
            <w:noWrap w:val="0"/>
            <w:vAlign w:val="center"/>
          </w:tcPr>
          <w:p w14:paraId="0125A741">
            <w:pPr>
              <w:widowControl/>
              <w:jc w:val="center"/>
              <w:rPr>
                <w:rFonts w:hint="eastAsia"/>
                <w:color w:val="auto"/>
                <w:sz w:val="24"/>
                <w:szCs w:val="24"/>
                <w:highlight w:val="none"/>
              </w:rPr>
            </w:pPr>
            <w:r>
              <w:rPr>
                <w:rFonts w:hint="eastAsia" w:ascii="宋体" w:hAnsi="宋体" w:cs="宋体"/>
                <w:color w:val="auto"/>
                <w:kern w:val="0"/>
                <w:sz w:val="24"/>
                <w:highlight w:val="none"/>
                <w:lang w:val="en-US" w:eastAsia="zh-CN"/>
              </w:rPr>
              <w:t>资信</w:t>
            </w:r>
          </w:p>
        </w:tc>
        <w:tc>
          <w:tcPr>
            <w:tcW w:w="6438" w:type="dxa"/>
            <w:tcBorders>
              <w:top w:val="single" w:color="auto" w:sz="4" w:space="0"/>
              <w:left w:val="nil"/>
              <w:bottom w:val="single" w:color="auto" w:sz="4" w:space="0"/>
              <w:right w:val="single" w:color="auto" w:sz="4" w:space="0"/>
            </w:tcBorders>
            <w:noWrap w:val="0"/>
            <w:vAlign w:val="center"/>
          </w:tcPr>
          <w:p w14:paraId="0188CE7C">
            <w:pPr>
              <w:widowControl/>
              <w:spacing w:line="360" w:lineRule="auto"/>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类似</w:t>
            </w:r>
            <w:r>
              <w:rPr>
                <w:rFonts w:hint="eastAsia" w:ascii="宋体" w:hAnsi="宋体" w:cs="宋体"/>
                <w:color w:val="auto"/>
                <w:sz w:val="24"/>
                <w:highlight w:val="none"/>
              </w:rPr>
              <w:t>业绩</w:t>
            </w:r>
            <w:r>
              <w:rPr>
                <w:rFonts w:hint="eastAsia" w:ascii="宋体" w:hAnsi="宋体" w:cs="宋体"/>
                <w:b/>
                <w:color w:val="auto"/>
                <w:sz w:val="24"/>
                <w:szCs w:val="24"/>
                <w:highlight w:val="none"/>
              </w:rPr>
              <w:t>（具体详见商务要求表）</w:t>
            </w:r>
          </w:p>
        </w:tc>
        <w:tc>
          <w:tcPr>
            <w:tcW w:w="795" w:type="dxa"/>
            <w:tcBorders>
              <w:top w:val="single" w:color="auto" w:sz="4" w:space="0"/>
              <w:left w:val="nil"/>
              <w:bottom w:val="single" w:color="auto" w:sz="4" w:space="0"/>
              <w:right w:val="single" w:color="auto" w:sz="4" w:space="0"/>
            </w:tcBorders>
            <w:noWrap w:val="0"/>
            <w:vAlign w:val="center"/>
          </w:tcPr>
          <w:p w14:paraId="5C71B66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052F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6" w:type="dxa"/>
            <w:vMerge w:val="continue"/>
            <w:tcBorders>
              <w:left w:val="single" w:color="auto" w:sz="4" w:space="0"/>
              <w:right w:val="single" w:color="auto" w:sz="4" w:space="0"/>
            </w:tcBorders>
            <w:noWrap w:val="0"/>
            <w:vAlign w:val="center"/>
          </w:tcPr>
          <w:p w14:paraId="4BA35245">
            <w:pPr>
              <w:widowControl/>
              <w:jc w:val="left"/>
              <w:rPr>
                <w:rFonts w:hint="eastAsia" w:ascii="宋体" w:hAnsi="宋体" w:eastAsia="宋体" w:cs="宋体"/>
                <w:color w:val="auto"/>
                <w:sz w:val="24"/>
                <w:szCs w:val="24"/>
                <w:highlight w:val="none"/>
              </w:rPr>
            </w:pPr>
          </w:p>
        </w:tc>
        <w:tc>
          <w:tcPr>
            <w:tcW w:w="1267" w:type="dxa"/>
            <w:vMerge w:val="continue"/>
            <w:tcBorders>
              <w:left w:val="single" w:color="auto" w:sz="4" w:space="0"/>
              <w:right w:val="single" w:color="auto" w:sz="4" w:space="0"/>
            </w:tcBorders>
            <w:noWrap w:val="0"/>
            <w:vAlign w:val="center"/>
          </w:tcPr>
          <w:p w14:paraId="1A7F157C">
            <w:pPr>
              <w:widowControl/>
              <w:jc w:val="center"/>
              <w:rPr>
                <w:rFonts w:hint="eastAsia"/>
                <w:color w:val="auto"/>
                <w:sz w:val="24"/>
                <w:szCs w:val="24"/>
                <w:highlight w:val="none"/>
              </w:rPr>
            </w:pPr>
          </w:p>
        </w:tc>
        <w:tc>
          <w:tcPr>
            <w:tcW w:w="6438" w:type="dxa"/>
            <w:tcBorders>
              <w:top w:val="single" w:color="auto" w:sz="4" w:space="0"/>
              <w:left w:val="nil"/>
              <w:bottom w:val="single" w:color="auto" w:sz="4" w:space="0"/>
              <w:right w:val="single" w:color="auto" w:sz="4" w:space="0"/>
            </w:tcBorders>
            <w:noWrap w:val="0"/>
            <w:vAlign w:val="center"/>
          </w:tcPr>
          <w:p w14:paraId="62E449B9">
            <w:pPr>
              <w:spacing w:line="312" w:lineRule="auto"/>
              <w:jc w:val="left"/>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kern w:val="0"/>
                <w:sz w:val="24"/>
                <w:szCs w:val="24"/>
                <w:highlight w:val="none"/>
              </w:rPr>
              <w:t>认证</w:t>
            </w:r>
            <w:r>
              <w:rPr>
                <w:rFonts w:hint="eastAsia" w:ascii="宋体" w:hAnsi="宋体" w:cs="宋体"/>
                <w:b/>
                <w:color w:val="auto"/>
                <w:sz w:val="24"/>
                <w:szCs w:val="24"/>
                <w:highlight w:val="none"/>
              </w:rPr>
              <w:t>（具体详见商务要求表）</w:t>
            </w:r>
          </w:p>
        </w:tc>
        <w:tc>
          <w:tcPr>
            <w:tcW w:w="795" w:type="dxa"/>
            <w:tcBorders>
              <w:top w:val="single" w:color="auto" w:sz="4" w:space="0"/>
              <w:left w:val="nil"/>
              <w:bottom w:val="single" w:color="auto" w:sz="4" w:space="0"/>
              <w:right w:val="single" w:color="auto" w:sz="4" w:space="0"/>
            </w:tcBorders>
            <w:noWrap w:val="0"/>
            <w:vAlign w:val="center"/>
          </w:tcPr>
          <w:p w14:paraId="0AE757CA">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bl>
    <w:p w14:paraId="6455469B">
      <w:pPr>
        <w:numPr>
          <w:ilvl w:val="0"/>
          <w:numId w:val="38"/>
        </w:numPr>
        <w:spacing w:line="360" w:lineRule="auto"/>
        <w:ind w:firstLine="482" w:firstLineChars="200"/>
        <w:rPr>
          <w:rFonts w:hint="eastAsia" w:ascii="宋体" w:hAnsi="宋体" w:cs="宋体"/>
          <w:color w:val="auto"/>
          <w:sz w:val="24"/>
          <w:szCs w:val="21"/>
          <w:highlight w:val="none"/>
          <w:lang w:val="en-US" w:eastAsia="zh-CN"/>
        </w:rPr>
      </w:pPr>
      <w:r>
        <w:rPr>
          <w:rFonts w:hint="eastAsia" w:ascii="宋体" w:hAnsi="宋体" w:cs="宋体"/>
          <w:b/>
          <w:bCs/>
          <w:color w:val="auto"/>
          <w:sz w:val="24"/>
          <w:szCs w:val="21"/>
          <w:highlight w:val="none"/>
          <w:lang w:val="en-US" w:eastAsia="zh-CN"/>
        </w:rPr>
        <w:t>商务要求表</w:t>
      </w:r>
      <w:r>
        <w:rPr>
          <w:rFonts w:hint="eastAsia" w:ascii="宋体" w:hAnsi="宋体" w:cs="宋体"/>
          <w:color w:val="auto"/>
          <w:sz w:val="24"/>
          <w:szCs w:val="21"/>
          <w:highlight w:val="none"/>
          <w:lang w:val="en-US" w:eastAsia="zh-CN"/>
        </w:rPr>
        <w:t>（对应评分标准）</w:t>
      </w:r>
    </w:p>
    <w:tbl>
      <w:tblPr>
        <w:tblStyle w:val="32"/>
        <w:tblpPr w:leftFromText="180" w:rightFromText="180" w:vertAnchor="text" w:tblpXSpec="center" w:tblpY="1"/>
        <w:tblOverlap w:val="never"/>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261"/>
        <w:gridCol w:w="6459"/>
        <w:gridCol w:w="810"/>
      </w:tblGrid>
      <w:tr w14:paraId="280D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176" w:type="dxa"/>
            <w:vMerge w:val="restart"/>
            <w:tcBorders>
              <w:top w:val="single" w:color="auto" w:sz="4" w:space="0"/>
              <w:left w:val="single" w:color="auto" w:sz="4" w:space="0"/>
              <w:right w:val="single" w:color="auto" w:sz="4" w:space="0"/>
            </w:tcBorders>
            <w:noWrap w:val="0"/>
            <w:vAlign w:val="center"/>
          </w:tcPr>
          <w:p w14:paraId="6D45E7E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资信</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160BC1A">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类似</w:t>
            </w:r>
            <w:r>
              <w:rPr>
                <w:rFonts w:hint="eastAsia" w:ascii="宋体" w:hAnsi="宋体" w:cs="宋体"/>
                <w:color w:val="auto"/>
                <w:sz w:val="24"/>
                <w:highlight w:val="none"/>
              </w:rPr>
              <w:t>业绩</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5AE91FBA">
            <w:pPr>
              <w:spacing w:line="360" w:lineRule="auto"/>
              <w:ind w:firstLine="480" w:firstLineChars="200"/>
              <w:rPr>
                <w:rFonts w:hint="eastAsia" w:ascii="宋体" w:hAnsi="宋体" w:cs="宋体"/>
                <w:color w:val="auto"/>
                <w:sz w:val="24"/>
                <w:highlight w:val="none"/>
                <w:lang w:val="zh-TW" w:eastAsia="zh-CN"/>
              </w:rPr>
            </w:pPr>
            <w:r>
              <w:rPr>
                <w:rFonts w:hint="eastAsia" w:ascii="宋体" w:hAnsi="宋体" w:cs="宋体"/>
                <w:color w:val="auto"/>
                <w:sz w:val="24"/>
                <w:highlight w:val="none"/>
                <w:lang w:val="zh-TW" w:eastAsia="zh-CN"/>
              </w:rPr>
              <w:t>投标人自202</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TW" w:eastAsia="zh-CN"/>
              </w:rPr>
              <w:t>年1月1日以来（以合同签订时间为准）已完成</w:t>
            </w:r>
            <w:r>
              <w:rPr>
                <w:rFonts w:hint="eastAsia" w:ascii="宋体" w:hAnsi="宋体" w:cs="宋体"/>
                <w:color w:val="auto"/>
                <w:sz w:val="24"/>
                <w:highlight w:val="none"/>
                <w:lang w:val="en-US" w:eastAsia="zh-CN"/>
              </w:rPr>
              <w:t>或正在履行</w:t>
            </w:r>
            <w:r>
              <w:rPr>
                <w:rFonts w:hint="eastAsia" w:ascii="宋体" w:hAnsi="宋体" w:cs="宋体"/>
                <w:color w:val="auto"/>
                <w:sz w:val="24"/>
                <w:highlight w:val="none"/>
                <w:lang w:val="zh-TW" w:eastAsia="zh-CN"/>
              </w:rPr>
              <w:t>的与本项目类似业绩的每个得1分，最高得2分。</w:t>
            </w:r>
          </w:p>
          <w:p w14:paraId="707B5C4C">
            <w:pPr>
              <w:spacing w:line="360" w:lineRule="auto"/>
              <w:ind w:firstLine="480" w:firstLineChars="200"/>
              <w:rPr>
                <w:rFonts w:hint="eastAsia" w:ascii="宋体" w:hAnsi="宋体" w:cs="宋体"/>
                <w:color w:val="auto"/>
                <w:sz w:val="24"/>
                <w:highlight w:val="none"/>
                <w:lang w:val="zh-TW"/>
              </w:rPr>
            </w:pPr>
            <w:r>
              <w:rPr>
                <w:rFonts w:hint="eastAsia" w:ascii="宋体" w:hAnsi="宋体" w:cs="宋体"/>
                <w:color w:val="auto"/>
                <w:sz w:val="24"/>
                <w:highlight w:val="none"/>
                <w:lang w:val="zh-TW" w:eastAsia="zh-CN"/>
              </w:rPr>
              <w:t>注：须提供合同复印件并加盖投标人公章，如合同不能提现项目内容的，须额外提供项目业主证明材料。</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B0ED77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r>
      <w:tr w14:paraId="6ECF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176" w:type="dxa"/>
            <w:vMerge w:val="continue"/>
            <w:tcBorders>
              <w:left w:val="single" w:color="auto" w:sz="4" w:space="0"/>
              <w:right w:val="single" w:color="auto" w:sz="4" w:space="0"/>
            </w:tcBorders>
            <w:noWrap w:val="0"/>
            <w:vAlign w:val="center"/>
          </w:tcPr>
          <w:p w14:paraId="5622F159">
            <w:pPr>
              <w:spacing w:line="360" w:lineRule="auto"/>
              <w:jc w:val="center"/>
              <w:rPr>
                <w:rFonts w:hint="eastAsia"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5819BEF">
            <w:pPr>
              <w:spacing w:line="312" w:lineRule="auto"/>
              <w:jc w:val="center"/>
              <w:rPr>
                <w:rFonts w:hint="eastAsia" w:ascii="宋体" w:hAnsi="宋体" w:cs="宋体"/>
                <w:color w:val="auto"/>
                <w:sz w:val="24"/>
                <w:highlight w:val="none"/>
              </w:rPr>
            </w:pP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kern w:val="0"/>
                <w:sz w:val="24"/>
                <w:szCs w:val="24"/>
                <w:highlight w:val="none"/>
              </w:rPr>
              <w:t>认证</w:t>
            </w:r>
          </w:p>
        </w:tc>
        <w:tc>
          <w:tcPr>
            <w:tcW w:w="6459" w:type="dxa"/>
            <w:tcBorders>
              <w:top w:val="single" w:color="auto" w:sz="4" w:space="0"/>
              <w:left w:val="single" w:color="auto" w:sz="4" w:space="0"/>
              <w:bottom w:val="single" w:color="auto" w:sz="4" w:space="0"/>
              <w:right w:val="single" w:color="auto" w:sz="4" w:space="0"/>
            </w:tcBorders>
            <w:noWrap w:val="0"/>
            <w:vAlign w:val="center"/>
          </w:tcPr>
          <w:p w14:paraId="38B6CC8B">
            <w:pPr>
              <w:spacing w:line="312" w:lineRule="auto"/>
              <w:ind w:firstLine="480" w:firstLineChars="200"/>
              <w:rPr>
                <w:rStyle w:val="49"/>
                <w:rFonts w:hint="eastAsia" w:ascii="宋体" w:hAnsi="宋体" w:eastAsia="宋体" w:cs="宋体"/>
                <w:color w:val="auto"/>
                <w:kern w:val="0"/>
                <w:sz w:val="24"/>
                <w:szCs w:val="24"/>
                <w:highlight w:val="none"/>
                <w:lang w:val="en-US" w:eastAsia="zh-CN"/>
              </w:rPr>
            </w:pPr>
            <w:r>
              <w:rPr>
                <w:rStyle w:val="49"/>
                <w:rFonts w:hint="eastAsia" w:ascii="宋体" w:hAnsi="宋体" w:eastAsia="宋体" w:cs="宋体"/>
                <w:color w:val="auto"/>
                <w:kern w:val="0"/>
                <w:sz w:val="24"/>
                <w:szCs w:val="24"/>
                <w:highlight w:val="none"/>
              </w:rPr>
              <w:t>投标人具有在有效期范围内</w:t>
            </w:r>
            <w:r>
              <w:rPr>
                <w:rStyle w:val="49"/>
                <w:rFonts w:hint="eastAsia" w:ascii="宋体" w:hAnsi="宋体" w:cs="宋体"/>
                <w:color w:val="auto"/>
                <w:kern w:val="0"/>
                <w:sz w:val="24"/>
                <w:szCs w:val="24"/>
                <w:highlight w:val="none"/>
                <w:lang w:val="en-US" w:eastAsia="zh-CN"/>
              </w:rPr>
              <w:t>且认证范围包含物业管理的</w:t>
            </w:r>
            <w:r>
              <w:rPr>
                <w:rStyle w:val="49"/>
                <w:rFonts w:hint="eastAsia" w:ascii="宋体" w:hAnsi="宋体" w:eastAsia="宋体" w:cs="宋体"/>
                <w:color w:val="auto"/>
                <w:kern w:val="0"/>
                <w:sz w:val="24"/>
                <w:szCs w:val="24"/>
                <w:highlight w:val="none"/>
              </w:rPr>
              <w:t>环境管理体系认证</w:t>
            </w:r>
            <w:r>
              <w:rPr>
                <w:rFonts w:hint="eastAsia" w:ascii="宋体" w:hAnsi="宋体" w:eastAsia="宋体" w:cs="宋体"/>
                <w:color w:val="auto"/>
                <w:sz w:val="24"/>
                <w:szCs w:val="24"/>
                <w:highlight w:val="none"/>
                <w:lang w:eastAsia="zh-CN"/>
              </w:rPr>
              <w:t>、</w:t>
            </w:r>
            <w:r>
              <w:rPr>
                <w:rStyle w:val="49"/>
                <w:rFonts w:hint="eastAsia" w:ascii="宋体" w:hAnsi="宋体" w:eastAsia="宋体" w:cs="宋体"/>
                <w:color w:val="auto"/>
                <w:kern w:val="0"/>
                <w:sz w:val="24"/>
                <w:szCs w:val="24"/>
                <w:highlight w:val="none"/>
              </w:rPr>
              <w:t>质量管理体系认证</w:t>
            </w:r>
            <w:r>
              <w:rPr>
                <w:rFonts w:hint="eastAsia" w:ascii="宋体" w:hAnsi="宋体" w:eastAsia="宋体" w:cs="宋体"/>
                <w:color w:val="auto"/>
                <w:sz w:val="24"/>
                <w:szCs w:val="24"/>
                <w:highlight w:val="none"/>
                <w:lang w:eastAsia="zh-CN"/>
              </w:rPr>
              <w:t>、</w:t>
            </w:r>
            <w:r>
              <w:rPr>
                <w:rStyle w:val="49"/>
                <w:rFonts w:hint="eastAsia" w:ascii="宋体" w:hAnsi="宋体" w:eastAsia="宋体" w:cs="宋体"/>
                <w:color w:val="auto"/>
                <w:kern w:val="0"/>
                <w:sz w:val="24"/>
                <w:szCs w:val="24"/>
                <w:highlight w:val="none"/>
              </w:rPr>
              <w:t>职业健康安全管理体系认证的</w:t>
            </w:r>
            <w:r>
              <w:rPr>
                <w:rStyle w:val="49"/>
                <w:rFonts w:hint="eastAsia" w:ascii="宋体" w:hAnsi="宋体" w:eastAsia="宋体" w:cs="宋体"/>
                <w:color w:val="auto"/>
                <w:kern w:val="0"/>
                <w:sz w:val="24"/>
                <w:szCs w:val="24"/>
                <w:highlight w:val="none"/>
                <w:lang w:val="en-US"/>
              </w:rPr>
              <w:t>每个</w:t>
            </w:r>
            <w:r>
              <w:rPr>
                <w:rStyle w:val="49"/>
                <w:rFonts w:hint="eastAsia" w:ascii="宋体" w:hAnsi="宋体" w:eastAsia="宋体" w:cs="宋体"/>
                <w:color w:val="auto"/>
                <w:kern w:val="0"/>
                <w:sz w:val="24"/>
                <w:szCs w:val="24"/>
                <w:highlight w:val="none"/>
              </w:rPr>
              <w:t>得</w:t>
            </w:r>
            <w:r>
              <w:rPr>
                <w:rStyle w:val="49"/>
                <w:rFonts w:hint="eastAsia" w:ascii="宋体" w:hAnsi="宋体" w:eastAsia="宋体" w:cs="宋体"/>
                <w:color w:val="auto"/>
                <w:kern w:val="0"/>
                <w:sz w:val="24"/>
                <w:szCs w:val="24"/>
                <w:highlight w:val="none"/>
                <w:lang w:val="en-US" w:eastAsia="zh-CN"/>
              </w:rPr>
              <w:t>1</w:t>
            </w:r>
            <w:r>
              <w:rPr>
                <w:rStyle w:val="49"/>
                <w:rFonts w:hint="eastAsia" w:ascii="宋体" w:hAnsi="宋体" w:eastAsia="宋体" w:cs="宋体"/>
                <w:color w:val="auto"/>
                <w:kern w:val="0"/>
                <w:sz w:val="24"/>
                <w:szCs w:val="24"/>
                <w:highlight w:val="none"/>
              </w:rPr>
              <w:t>分</w:t>
            </w:r>
            <w:r>
              <w:rPr>
                <w:rStyle w:val="49"/>
                <w:rFonts w:hint="eastAsia" w:ascii="宋体" w:hAnsi="宋体" w:eastAsia="宋体" w:cs="宋体"/>
                <w:color w:val="auto"/>
                <w:kern w:val="0"/>
                <w:sz w:val="24"/>
                <w:szCs w:val="24"/>
                <w:highlight w:val="none"/>
                <w:lang w:val="en-US" w:eastAsia="zh-CN"/>
              </w:rPr>
              <w:t>，最高得3分。</w:t>
            </w:r>
          </w:p>
          <w:p w14:paraId="2FCB168C">
            <w:pPr>
              <w:spacing w:line="312" w:lineRule="auto"/>
              <w:ind w:firstLine="480" w:firstLineChars="200"/>
              <w:rPr>
                <w:rFonts w:hint="default"/>
                <w:color w:val="auto"/>
                <w:highlight w:val="none"/>
                <w:lang w:val="en-US"/>
              </w:rPr>
            </w:pPr>
            <w:r>
              <w:rPr>
                <w:rStyle w:val="49"/>
                <w:rFonts w:hint="eastAsia" w:ascii="宋体" w:hAnsi="宋体" w:eastAsia="宋体" w:cs="宋体"/>
                <w:color w:val="auto"/>
                <w:kern w:val="0"/>
                <w:sz w:val="24"/>
                <w:szCs w:val="24"/>
                <w:highlight w:val="none"/>
                <w:lang w:val="en-US" w:eastAsia="zh-CN"/>
              </w:rPr>
              <w:t>注：须提供有效期内的证书复印件并加盖投标人公章。</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E833089">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bl>
    <w:p w14:paraId="563A40CB">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注：</w:t>
      </w:r>
    </w:p>
    <w:p w14:paraId="04F29B4E">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1、评标委员会各成员应当独立对每个投标人的投标文件进行评价，并汇总每个投标人的得分。资信分为客观分，也需独立进行评价并核对分值，最终分值需一致。</w:t>
      </w:r>
    </w:p>
    <w:p w14:paraId="4AD0D083">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2、所有文件、合同、证书、资质等需要真实有效。</w:t>
      </w:r>
      <w:r>
        <w:rPr>
          <w:rFonts w:hint="eastAsia" w:ascii="宋体" w:hAnsi="宋体" w:cs="宋体"/>
          <w:b/>
          <w:bCs/>
          <w:color w:val="auto"/>
          <w:sz w:val="24"/>
          <w:szCs w:val="21"/>
          <w:highlight w:val="none"/>
        </w:rPr>
        <w:t>中标人在中标后签订合同时需提供以上证明文件原件，若发现资料作假的取消中标资格</w:t>
      </w:r>
      <w:r>
        <w:rPr>
          <w:rFonts w:hint="eastAsia" w:ascii="宋体" w:hAnsi="宋体" w:cs="宋体"/>
          <w:color w:val="auto"/>
          <w:sz w:val="24"/>
          <w:szCs w:val="21"/>
          <w:highlight w:val="none"/>
        </w:rPr>
        <w:t>。</w:t>
      </w:r>
    </w:p>
    <w:p w14:paraId="5FCDEA65">
      <w:pPr>
        <w:spacing w:line="360" w:lineRule="auto"/>
        <w:ind w:firstLine="480" w:firstLineChars="200"/>
        <w:rPr>
          <w:rFonts w:ascii="宋体" w:hAnsi="宋体" w:cs="宋体"/>
          <w:color w:val="auto"/>
          <w:sz w:val="24"/>
          <w:szCs w:val="21"/>
          <w:highlight w:val="none"/>
        </w:rPr>
      </w:pPr>
    </w:p>
    <w:p w14:paraId="219836CF">
      <w:pPr>
        <w:spacing w:afterLines="50" w:line="360" w:lineRule="auto"/>
        <w:jc w:val="center"/>
        <w:outlineLvl w:val="0"/>
        <w:rPr>
          <w:rFonts w:ascii="宋体" w:hAnsi="宋体" w:cs="宋体"/>
          <w:b/>
          <w:color w:val="auto"/>
          <w:sz w:val="36"/>
          <w:szCs w:val="36"/>
          <w:highlight w:val="none"/>
        </w:rPr>
      </w:pPr>
      <w:r>
        <w:rPr>
          <w:rFonts w:hint="eastAsia" w:ascii="宋体" w:hAnsi="宋体" w:cs="宋体"/>
          <w:color w:val="auto"/>
          <w:sz w:val="24"/>
          <w:highlight w:val="none"/>
        </w:rPr>
        <w:br w:type="page"/>
      </w:r>
      <w:bookmarkStart w:id="429" w:name="_Toc31927"/>
      <w:bookmarkStart w:id="430" w:name="_Toc13598"/>
      <w:bookmarkStart w:id="431" w:name="_Toc9728"/>
      <w:bookmarkStart w:id="432" w:name="_Toc25576"/>
      <w:bookmarkStart w:id="433" w:name="_Toc15553"/>
      <w:r>
        <w:rPr>
          <w:rFonts w:hint="eastAsia" w:ascii="宋体" w:hAnsi="宋体" w:cs="宋体"/>
          <w:b/>
          <w:color w:val="auto"/>
          <w:sz w:val="36"/>
          <w:szCs w:val="36"/>
          <w:highlight w:val="none"/>
        </w:rPr>
        <w:t>第四部分   采购需求</w:t>
      </w:r>
      <w:bookmarkEnd w:id="429"/>
    </w:p>
    <w:bookmarkEnd w:id="427"/>
    <w:bookmarkEnd w:id="430"/>
    <w:bookmarkEnd w:id="431"/>
    <w:bookmarkEnd w:id="432"/>
    <w:bookmarkEnd w:id="433"/>
    <w:p w14:paraId="4BB7E294">
      <w:pPr>
        <w:pStyle w:val="5"/>
        <w:numPr>
          <w:ilvl w:val="0"/>
          <w:numId w:val="39"/>
        </w:numPr>
        <w:spacing w:line="360" w:lineRule="auto"/>
        <w:jc w:val="center"/>
        <w:rPr>
          <w:rFonts w:ascii="Arial" w:hAnsi="Arial"/>
          <w:b/>
          <w:bCs w:val="0"/>
          <w:color w:val="auto"/>
          <w:kern w:val="0"/>
          <w:szCs w:val="28"/>
          <w:highlight w:val="none"/>
        </w:rPr>
      </w:pPr>
      <w:bookmarkStart w:id="434" w:name="_Toc2390"/>
      <w:bookmarkStart w:id="435" w:name="_Toc15423"/>
      <w:bookmarkStart w:id="436" w:name="_Toc25591"/>
      <w:bookmarkStart w:id="437" w:name="_Toc10479"/>
      <w:bookmarkStart w:id="438" w:name="_Toc18843"/>
      <w:bookmarkStart w:id="439" w:name="_Toc272"/>
      <w:bookmarkStart w:id="440" w:name="_Toc28855"/>
      <w:bookmarkStart w:id="441" w:name="_Toc23894"/>
      <w:bookmarkStart w:id="442" w:name="_Toc1824"/>
      <w:bookmarkStart w:id="443" w:name="_Toc19604"/>
      <w:bookmarkStart w:id="444" w:name="_Toc28926"/>
      <w:bookmarkStart w:id="445" w:name="_Toc19804"/>
      <w:bookmarkStart w:id="446" w:name="_Toc86217003"/>
      <w:bookmarkStart w:id="447" w:name="第五部分"/>
      <w:r>
        <w:rPr>
          <w:rFonts w:hint="eastAsia" w:ascii="Arial" w:hAnsi="Arial"/>
          <w:b/>
          <w:bCs w:val="0"/>
          <w:color w:val="auto"/>
          <w:kern w:val="0"/>
          <w:szCs w:val="28"/>
          <w:highlight w:val="none"/>
        </w:rPr>
        <w:t>采购内容</w:t>
      </w:r>
      <w:bookmarkEnd w:id="434"/>
      <w:bookmarkEnd w:id="435"/>
    </w:p>
    <w:bookmarkEnd w:id="436"/>
    <w:bookmarkEnd w:id="437"/>
    <w:bookmarkEnd w:id="438"/>
    <w:bookmarkEnd w:id="439"/>
    <w:bookmarkEnd w:id="440"/>
    <w:bookmarkEnd w:id="441"/>
    <w:bookmarkEnd w:id="442"/>
    <w:bookmarkEnd w:id="443"/>
    <w:p w14:paraId="52B5EDA4">
      <w:pPr>
        <w:keepNext w:val="0"/>
        <w:keepLines w:val="0"/>
        <w:pageBreakBefore w:val="0"/>
        <w:widowControl w:val="0"/>
        <w:numPr>
          <w:ilvl w:val="0"/>
          <w:numId w:val="40"/>
        </w:numPr>
        <w:tabs>
          <w:tab w:val="left" w:pos="772"/>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napToGrid w:val="0"/>
          <w:color w:val="auto"/>
          <w:sz w:val="24"/>
          <w:szCs w:val="24"/>
          <w:highlight w:val="none"/>
          <w:lang w:val="en-US" w:eastAsia="zh-CN" w:bidi="ar-SA"/>
        </w:rPr>
      </w:pPr>
      <w:bookmarkStart w:id="448" w:name="_Toc13553"/>
      <w:bookmarkStart w:id="449" w:name="_Toc906"/>
      <w:bookmarkStart w:id="450" w:name="_Toc19998"/>
      <w:r>
        <w:rPr>
          <w:rFonts w:hint="eastAsia" w:ascii="宋体" w:hAnsi="宋体" w:eastAsia="宋体" w:cs="宋体"/>
          <w:b/>
          <w:bCs/>
          <w:snapToGrid w:val="0"/>
          <w:color w:val="auto"/>
          <w:sz w:val="24"/>
          <w:szCs w:val="24"/>
          <w:highlight w:val="none"/>
          <w:lang w:val="en-US" w:eastAsia="zh-CN" w:bidi="ar-SA"/>
        </w:rPr>
        <w:t>基本情况</w:t>
      </w:r>
      <w:bookmarkEnd w:id="448"/>
      <w:bookmarkEnd w:id="449"/>
    </w:p>
    <w:p w14:paraId="0E145CA1">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白米堰</w:t>
      </w:r>
      <w:r>
        <w:rPr>
          <w:rFonts w:hint="eastAsia" w:ascii="宋体" w:hAnsi="宋体" w:eastAsia="宋体" w:cs="宋体"/>
          <w:color w:val="auto"/>
          <w:sz w:val="24"/>
          <w:szCs w:val="24"/>
          <w:highlight w:val="none"/>
        </w:rPr>
        <w:t>全村</w:t>
      </w:r>
      <w:r>
        <w:rPr>
          <w:rFonts w:hint="eastAsia" w:ascii="宋体" w:hAnsi="宋体" w:eastAsia="宋体" w:cs="宋体"/>
          <w:color w:val="auto"/>
          <w:sz w:val="24"/>
          <w:szCs w:val="24"/>
          <w:highlight w:val="none"/>
          <w:lang w:eastAsia="zh-CN"/>
        </w:rPr>
        <w:t>范围内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所有道路</w:t>
      </w:r>
      <w:r>
        <w:rPr>
          <w:rFonts w:hint="eastAsia" w:ascii="宋体" w:hAnsi="宋体" w:eastAsia="宋体" w:cs="宋体"/>
          <w:color w:val="auto"/>
          <w:sz w:val="24"/>
          <w:szCs w:val="24"/>
          <w:highlight w:val="none"/>
        </w:rPr>
        <w:t>路面</w:t>
      </w:r>
      <w:r>
        <w:rPr>
          <w:rFonts w:hint="eastAsia" w:ascii="宋体" w:hAnsi="宋体" w:eastAsia="宋体" w:cs="宋体"/>
          <w:color w:val="auto"/>
          <w:sz w:val="24"/>
          <w:szCs w:val="24"/>
          <w:highlight w:val="none"/>
          <w:lang w:eastAsia="zh-CN"/>
        </w:rPr>
        <w:t>及绿化带</w:t>
      </w:r>
      <w:r>
        <w:rPr>
          <w:rFonts w:hint="eastAsia" w:ascii="宋体" w:hAnsi="宋体" w:eastAsia="宋体" w:cs="宋体"/>
          <w:color w:val="auto"/>
          <w:sz w:val="24"/>
          <w:szCs w:val="24"/>
          <w:highlight w:val="none"/>
        </w:rPr>
        <w:t>清扫</w:t>
      </w:r>
      <w:r>
        <w:rPr>
          <w:rFonts w:hint="eastAsia" w:ascii="宋体" w:hAnsi="宋体" w:eastAsia="宋体" w:cs="宋体"/>
          <w:color w:val="auto"/>
          <w:sz w:val="24"/>
          <w:szCs w:val="24"/>
          <w:highlight w:val="none"/>
          <w:lang w:eastAsia="zh-CN"/>
        </w:rPr>
        <w:t>；公园、广场、市场清扫；三线整理；绿化管理及养护（修剪、除草、补种、杀虫等）；</w:t>
      </w:r>
      <w:r>
        <w:rPr>
          <w:rFonts w:hint="eastAsia" w:ascii="宋体" w:hAnsi="宋体" w:eastAsia="宋体" w:cs="宋体"/>
          <w:color w:val="auto"/>
          <w:sz w:val="24"/>
          <w:szCs w:val="24"/>
          <w:highlight w:val="none"/>
        </w:rPr>
        <w:t>河道保洁、</w:t>
      </w:r>
      <w:r>
        <w:rPr>
          <w:rFonts w:hint="eastAsia" w:ascii="宋体" w:hAnsi="宋体" w:eastAsia="宋体" w:cs="宋体"/>
          <w:color w:val="auto"/>
          <w:sz w:val="24"/>
          <w:szCs w:val="24"/>
          <w:highlight w:val="none"/>
          <w:lang w:eastAsia="zh-CN"/>
        </w:rPr>
        <w:t>河长牌及排水口标识标牌巡查、管护、更换；</w:t>
      </w:r>
      <w:r>
        <w:rPr>
          <w:rFonts w:hint="eastAsia" w:ascii="宋体" w:hAnsi="宋体" w:eastAsia="宋体" w:cs="宋体"/>
          <w:color w:val="auto"/>
          <w:sz w:val="24"/>
          <w:szCs w:val="24"/>
          <w:highlight w:val="none"/>
        </w:rPr>
        <w:t>建筑</w:t>
      </w:r>
      <w:r>
        <w:rPr>
          <w:rFonts w:hint="eastAsia" w:ascii="宋体" w:hAnsi="宋体" w:eastAsia="宋体" w:cs="宋体"/>
          <w:color w:val="auto"/>
          <w:sz w:val="24"/>
          <w:szCs w:val="24"/>
          <w:highlight w:val="none"/>
          <w:lang w:eastAsia="zh-CN"/>
        </w:rPr>
        <w:t>垃圾、大件垃圾、园林垃圾收集清运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农作物秸秆</w:t>
      </w:r>
      <w:r>
        <w:rPr>
          <w:rFonts w:hint="eastAsia" w:ascii="宋体" w:hAnsi="宋体" w:eastAsia="宋体" w:cs="宋体"/>
          <w:color w:val="auto"/>
          <w:sz w:val="24"/>
          <w:szCs w:val="24"/>
          <w:highlight w:val="none"/>
          <w:lang w:eastAsia="zh-CN"/>
        </w:rPr>
        <w:t>收集；</w:t>
      </w:r>
      <w:r>
        <w:rPr>
          <w:rFonts w:hint="eastAsia" w:ascii="宋体" w:hAnsi="宋体" w:eastAsia="宋体" w:cs="宋体"/>
          <w:color w:val="auto"/>
          <w:sz w:val="24"/>
          <w:szCs w:val="24"/>
          <w:highlight w:val="none"/>
        </w:rPr>
        <w:t>生活垃圾上门收集并按</w:t>
      </w:r>
      <w:r>
        <w:rPr>
          <w:rFonts w:hint="eastAsia" w:ascii="宋体" w:hAnsi="宋体" w:eastAsia="宋体" w:cs="宋体"/>
          <w:color w:val="auto"/>
          <w:sz w:val="24"/>
          <w:szCs w:val="24"/>
          <w:highlight w:val="none"/>
          <w:lang w:eastAsia="zh-CN"/>
        </w:rPr>
        <w:t>四分</w:t>
      </w:r>
      <w:r>
        <w:rPr>
          <w:rFonts w:hint="eastAsia" w:ascii="宋体" w:hAnsi="宋体" w:eastAsia="宋体" w:cs="宋体"/>
          <w:color w:val="auto"/>
          <w:sz w:val="24"/>
          <w:szCs w:val="24"/>
          <w:highlight w:val="none"/>
        </w:rPr>
        <w:t>法分类</w:t>
      </w:r>
      <w:r>
        <w:rPr>
          <w:rFonts w:hint="eastAsia" w:ascii="宋体" w:hAnsi="宋体" w:eastAsia="宋体" w:cs="宋体"/>
          <w:color w:val="auto"/>
          <w:sz w:val="24"/>
          <w:szCs w:val="24"/>
          <w:highlight w:val="none"/>
          <w:lang w:eastAsia="zh-CN"/>
        </w:rPr>
        <w:t>；乱堆乱放清理；</w:t>
      </w:r>
      <w:r>
        <w:rPr>
          <w:rFonts w:hint="eastAsia" w:ascii="宋体" w:hAnsi="宋体" w:eastAsia="宋体" w:cs="宋体"/>
          <w:color w:val="auto"/>
          <w:sz w:val="24"/>
          <w:szCs w:val="24"/>
          <w:highlight w:val="none"/>
        </w:rPr>
        <w:t>庭院</w:t>
      </w:r>
      <w:r>
        <w:rPr>
          <w:rFonts w:hint="eastAsia" w:ascii="宋体" w:hAnsi="宋体" w:eastAsia="宋体" w:cs="宋体"/>
          <w:color w:val="auto"/>
          <w:sz w:val="24"/>
          <w:szCs w:val="24"/>
          <w:highlight w:val="none"/>
          <w:lang w:eastAsia="zh-CN"/>
        </w:rPr>
        <w:t>内及房前屋后</w:t>
      </w:r>
      <w:r>
        <w:rPr>
          <w:rFonts w:hint="eastAsia" w:ascii="宋体" w:hAnsi="宋体" w:eastAsia="宋体" w:cs="宋体"/>
          <w:color w:val="auto"/>
          <w:sz w:val="24"/>
          <w:szCs w:val="24"/>
          <w:highlight w:val="none"/>
        </w:rPr>
        <w:t>整治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公厕保洁</w:t>
      </w:r>
      <w:bookmarkStart w:id="451" w:name="_Toc1701"/>
      <w:bookmarkStart w:id="452" w:name="_Toc1063"/>
      <w:bookmarkStart w:id="453" w:name="_Toc16420"/>
      <w:bookmarkStart w:id="454" w:name="_Toc28727"/>
      <w:r>
        <w:rPr>
          <w:rFonts w:hint="eastAsia" w:ascii="宋体" w:hAnsi="宋体" w:eastAsia="宋体" w:cs="宋体"/>
          <w:color w:val="auto"/>
          <w:sz w:val="24"/>
          <w:szCs w:val="24"/>
          <w:highlight w:val="none"/>
          <w:lang w:eastAsia="zh-CN"/>
        </w:rPr>
        <w:t>；小广告、</w:t>
      </w:r>
      <w:r>
        <w:rPr>
          <w:rFonts w:hint="eastAsia" w:ascii="宋体" w:hAnsi="宋体" w:eastAsia="宋体" w:cs="宋体"/>
          <w:color w:val="auto"/>
          <w:sz w:val="24"/>
          <w:szCs w:val="24"/>
          <w:highlight w:val="none"/>
        </w:rPr>
        <w:t>牛皮癣清理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公共</w:t>
      </w:r>
      <w:r>
        <w:rPr>
          <w:rFonts w:hint="eastAsia" w:ascii="宋体" w:hAnsi="宋体" w:eastAsia="宋体" w:cs="宋体"/>
          <w:color w:val="auto"/>
          <w:sz w:val="24"/>
          <w:szCs w:val="24"/>
          <w:highlight w:val="none"/>
        </w:rPr>
        <w:t>设施设备维护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空倒房、乱搭乱建巡查</w:t>
      </w:r>
      <w:r>
        <w:rPr>
          <w:rFonts w:hint="eastAsia" w:ascii="宋体" w:hAnsi="宋体" w:eastAsia="宋体" w:cs="宋体"/>
          <w:color w:val="auto"/>
          <w:sz w:val="24"/>
          <w:szCs w:val="24"/>
          <w:highlight w:val="none"/>
        </w:rPr>
        <w:t>等。具体范围请投标人实地考察，费用自理。</w:t>
      </w:r>
    </w:p>
    <w:p w14:paraId="11F0C0EC">
      <w:pPr>
        <w:keepNext w:val="0"/>
        <w:keepLines w:val="0"/>
        <w:pageBreakBefore w:val="0"/>
        <w:widowControl w:val="0"/>
        <w:numPr>
          <w:ilvl w:val="0"/>
          <w:numId w:val="40"/>
        </w:numPr>
        <w:tabs>
          <w:tab w:val="left" w:pos="772"/>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napToGrid w:val="0"/>
          <w:color w:val="auto"/>
          <w:sz w:val="24"/>
          <w:szCs w:val="24"/>
          <w:highlight w:val="none"/>
          <w:lang w:val="en-US" w:eastAsia="zh-CN" w:bidi="ar-SA"/>
        </w:rPr>
      </w:pPr>
      <w:r>
        <w:rPr>
          <w:rFonts w:hint="eastAsia" w:ascii="宋体" w:hAnsi="宋体" w:eastAsia="宋体" w:cs="宋体"/>
          <w:b/>
          <w:bCs/>
          <w:snapToGrid w:val="0"/>
          <w:color w:val="auto"/>
          <w:sz w:val="24"/>
          <w:szCs w:val="24"/>
          <w:highlight w:val="none"/>
          <w:lang w:val="en-US" w:eastAsia="zh-CN" w:bidi="ar-SA"/>
        </w:rPr>
        <w:t>服务期限</w:t>
      </w:r>
    </w:p>
    <w:p w14:paraId="41EFBDEA">
      <w:pPr>
        <w:tabs>
          <w:tab w:val="left" w:pos="772"/>
        </w:tabs>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本项目服务期限为一年。（具体时间以合同签订期限为准）</w:t>
      </w:r>
    </w:p>
    <w:p w14:paraId="77B57E07">
      <w:pPr>
        <w:keepNext w:val="0"/>
        <w:keepLines w:val="0"/>
        <w:pageBreakBefore w:val="0"/>
        <w:widowControl w:val="0"/>
        <w:numPr>
          <w:ilvl w:val="0"/>
          <w:numId w:val="40"/>
        </w:numPr>
        <w:tabs>
          <w:tab w:val="left" w:pos="772"/>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napToGrid w:val="0"/>
          <w:color w:val="auto"/>
          <w:sz w:val="24"/>
          <w:szCs w:val="24"/>
          <w:highlight w:val="none"/>
          <w:lang w:val="en-US" w:eastAsia="zh-CN" w:bidi="ar-SA"/>
        </w:rPr>
      </w:pPr>
      <w:r>
        <w:rPr>
          <w:rFonts w:hint="eastAsia" w:ascii="宋体" w:hAnsi="宋体" w:eastAsia="宋体" w:cs="宋体"/>
          <w:b/>
          <w:bCs/>
          <w:snapToGrid w:val="0"/>
          <w:color w:val="auto"/>
          <w:sz w:val="24"/>
          <w:szCs w:val="24"/>
          <w:highlight w:val="none"/>
          <w:lang w:val="en-US" w:eastAsia="zh-CN" w:bidi="ar-SA"/>
        </w:rPr>
        <w:t>服务内容及要求</w:t>
      </w:r>
      <w:bookmarkEnd w:id="451"/>
      <w:bookmarkEnd w:id="452"/>
      <w:bookmarkEnd w:id="453"/>
      <w:bookmarkEnd w:id="454"/>
    </w:p>
    <w:p w14:paraId="400E032F">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道路路面及绿化带清扫：分区域定人定岗，每天早晚各普扫一次，其余时间巡回保洁，保持地面干净整洁，地面无污迹、无积水、无果核、无杂物等，路面侧石边无杂草，边沟无垃圾、污水等。根据需要对路面进行洒水、冲洗作业，解决扬尘问题。</w:t>
      </w:r>
    </w:p>
    <w:p w14:paraId="2A148683">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公园、广场、市场地面保洁：落实专人进行巡回保洁，清扫道路及排水沟，及时清理果皮、塑料袋、烟蒂、石块等各类垃圾。根据需要对路面进行洒水、冲洗作业，解决扬尘问题。</w:t>
      </w:r>
    </w:p>
    <w:p w14:paraId="675021C0">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三线整理：弱电线管护到位，无“蜘蛛网”、及时清理下垂废线，强弱电电箱加盖，发现凌乱、闲置杆线及时报告村委并按村委指令处理。</w:t>
      </w:r>
    </w:p>
    <w:p w14:paraId="54D3AC35">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bookmarkStart w:id="455" w:name="_Toc26481"/>
      <w:r>
        <w:rPr>
          <w:rFonts w:hint="eastAsia" w:ascii="宋体" w:hAnsi="宋体" w:eastAsia="宋体" w:cs="宋体"/>
          <w:b w:val="0"/>
          <w:bCs w:val="0"/>
          <w:color w:val="auto"/>
          <w:kern w:val="2"/>
          <w:sz w:val="24"/>
          <w:szCs w:val="24"/>
          <w:highlight w:val="none"/>
          <w:lang w:val="en-US" w:eastAsia="zh-CN" w:bidi="ar-SA"/>
        </w:rPr>
        <w:t>绿化管理及养护：定期做好绿化养护工作，如浇水，施肥，修剪，除草、补种、绿地清洁卫生、病虫害防治，防涝防旱等各项工作。</w:t>
      </w:r>
      <w:bookmarkEnd w:id="455"/>
    </w:p>
    <w:p w14:paraId="2F379B58">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bookmarkStart w:id="456" w:name="_Toc19583"/>
      <w:r>
        <w:rPr>
          <w:rFonts w:hint="eastAsia" w:ascii="宋体" w:hAnsi="宋体" w:eastAsia="宋体" w:cs="宋体"/>
          <w:b w:val="0"/>
          <w:bCs w:val="0"/>
          <w:color w:val="auto"/>
          <w:kern w:val="2"/>
          <w:sz w:val="24"/>
          <w:szCs w:val="24"/>
          <w:highlight w:val="none"/>
          <w:lang w:val="en-US" w:eastAsia="zh-CN" w:bidi="ar-SA"/>
        </w:rPr>
        <w:t>河道保洁：每天巡回保洁，清理河道、池塘、灌溉沟等水面及岸边、河底的各类垃圾、漂浮物，清除沉船、地笼等，河长牌及排水口标识标牌巡查、管护、更换。发现污水排放及时报告村委。</w:t>
      </w:r>
      <w:bookmarkEnd w:id="456"/>
    </w:p>
    <w:p w14:paraId="26CCB91D">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建筑垃圾、大件垃圾、园林垃圾：每天收集村域范围内各类建筑垃圾、大件垃圾、园林垃圾，分类清运至街道垃圾中转站。加强巡查及时发现并制止垃圾偷倒行为，如发生垃圾偷倒行为中标单位未巡查发现或者制止，由中标单位负责将偷倒垃圾清理干净；</w:t>
      </w:r>
    </w:p>
    <w:p w14:paraId="3583E95B">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农作物秸秆收集：农田秸秆收集并及时清运。加强秸秆焚烧的巡查、管控，如有秸秆焚烧现象，及时扑灭。</w:t>
      </w:r>
    </w:p>
    <w:p w14:paraId="2C3376E4">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活垃圾上门收集并按四分法分类（若上级有垃圾分类新模式，按新模式执行）：规范使用农村垃圾分类智能化设施设备，根据实际情况合理安排人员开展村民生活垃圾一天两次（上下午各一次）上门收集，并按四分法分类收运，并做好监管平台信息录入工作；村内大桶垃圾按每天两次及时清运，避免垃圾满溢（若上级有垃圾分类新模式，按新模式执行）。村集中收集点和投放点必须保持环境整洁、分类容器外观整洁、标识规范、容器不得损坏、垃圾不得外溢。</w:t>
      </w:r>
    </w:p>
    <w:p w14:paraId="52C028EA">
      <w:pPr>
        <w:keepLines w:val="0"/>
        <w:pageBreakBefore w:val="0"/>
        <w:widowControl w:val="0"/>
        <w:numPr>
          <w:ilvl w:val="0"/>
          <w:numId w:val="0"/>
        </w:numPr>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8.1可回收物：再生利用价值较高，能进入废品回收渠道的垃圾。</w:t>
      </w:r>
    </w:p>
    <w:p w14:paraId="3B928C8C">
      <w:pPr>
        <w:keepLines w:val="0"/>
        <w:pageBreakBefore w:val="0"/>
        <w:widowControl w:val="0"/>
        <w:numPr>
          <w:ilvl w:val="0"/>
          <w:numId w:val="0"/>
        </w:numPr>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主要包括:纸类(报纸、传单、</w:t>
      </w:r>
      <w:r>
        <w:rPr>
          <w:rFonts w:hint="eastAsia" w:ascii="宋体" w:hAnsi="宋体" w:eastAsia="宋体" w:cs="宋体"/>
          <w:color w:val="auto"/>
          <w:sz w:val="24"/>
          <w:szCs w:val="24"/>
          <w:highlight w:val="none"/>
          <w:lang w:eastAsia="zh-CN"/>
        </w:rPr>
        <w:t>杂志、旧书、纸板及其它没受污染的纸制品等)金属(铁、铜、铝等制品)玻璃(玻璃瓶罐、平板玻璃及其它玻璃制品)除塑料袋外的塑料制品(泡沫塑料、塑料瓶、硬塑料等)橡胶及橡胶制品、牛奶盒等利乐包装、饮料瓶(可乐瓶、塑料饮料瓶、啤酒瓶等)等。</w:t>
      </w:r>
    </w:p>
    <w:p w14:paraId="74371FFA">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lang w:eastAsia="zh-CN"/>
        </w:rPr>
        <w:t>易腐垃圾:厨房产生的食物类垃圾及果皮等。</w:t>
      </w:r>
    </w:p>
    <w:p w14:paraId="2554C7E4">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主要包括:剩菜剩饭与西餐糕点等食物残余、菜梗菜叶、动物骨骼内脏、茶叶渣、水果残余、果壳瓜皮、盆景等植物的残枝落叶、废弃食用油等。</w:t>
      </w:r>
    </w:p>
    <w:p w14:paraId="336DAD52">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lang w:eastAsia="zh-CN"/>
        </w:rPr>
        <w:t>有害垃圾:含有毒有害化学物质的垃圾。</w:t>
      </w:r>
    </w:p>
    <w:p w14:paraId="3F045D73">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主要包括:电池(蓄电池、纽扣电池等)废旧电子产品、废旧灯管灯泡、过期药品、过期日用化妆品、染发剂、杀虫剂容器、除草剂容器、废弃水银温度计、废弃漆桶、废打印机墨盒、硒鼓等。</w:t>
      </w:r>
    </w:p>
    <w:p w14:paraId="48781E09">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8.4</w:t>
      </w:r>
      <w:r>
        <w:rPr>
          <w:rFonts w:hint="eastAsia" w:ascii="宋体" w:hAnsi="宋体" w:eastAsia="宋体" w:cs="宋体"/>
          <w:color w:val="auto"/>
          <w:sz w:val="24"/>
          <w:szCs w:val="24"/>
          <w:highlight w:val="none"/>
          <w:lang w:eastAsia="zh-CN"/>
        </w:rPr>
        <w:t>其他垃圾:除去易腐垃圾、可回收物、有害垃圾之外的所有垃圾的总称。</w:t>
      </w:r>
    </w:p>
    <w:p w14:paraId="42331CB9">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主要包括:受污染与无法再生的纸张(纸杯、照片、复写纸、压敏纸、收据用纸、明信片、相册、卫生纸、尿片等)受污染或其它不可回收的玻璃、塑料袋与其它</w:t>
      </w:r>
      <w:r>
        <w:rPr>
          <w:rFonts w:hint="eastAsia" w:ascii="宋体" w:hAnsi="宋体" w:eastAsia="宋体" w:cs="宋体"/>
          <w:b w:val="0"/>
          <w:bCs w:val="0"/>
          <w:color w:val="auto"/>
          <w:sz w:val="24"/>
          <w:szCs w:val="24"/>
          <w:highlight w:val="none"/>
          <w:lang w:eastAsia="zh-CN"/>
        </w:rPr>
        <w:t>塑料制品、废旧衣物与其它纺织品、破旧陶瓷品、妇女卫生用品、一次性餐具、烟头等。</w:t>
      </w:r>
    </w:p>
    <w:p w14:paraId="14A66BC1">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乱堆乱放清理：每天开展村域内巡查检查，对房前屋后、弄堂弄尾等各处乱堆乱放、田间地头白色垃圾进行清理；因施工等需要的临时堆放，及时设置提示牌。</w:t>
      </w:r>
    </w:p>
    <w:p w14:paraId="1F59BFD5">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庭院内及房前屋后整治：处理庭院及房前屋后乱堆乱放，做到庭院及房前屋后整洁。包含下水道和地面排污管道疏通及破损修复工作。</w:t>
      </w:r>
    </w:p>
    <w:p w14:paraId="1E9D8584">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公厕保洁：村域内公厕每日两次冲洗消毒，便槽无粪便及其他杂物积淀；公厕内外整洁干净，无严重异味，无满溢；无小广告、牛皮癣；做好厕所疏通、水龙头维修、化粪池加盖等日常维护工作；每只厕所由专人保洁，男女标识牌、制度牌等如有脱落及时更换、上墙，并做好保洁记录。公厕设备维修和更换的材料均由中标单位承担（比如水龙头、门、洁具等）。</w:t>
      </w:r>
    </w:p>
    <w:p w14:paraId="3694E1AD">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公厕保洁：村域内公厕每日两次冲洗消毒，便槽无粪便及其他杂物积淀；公厕内外整洁干净、无严重异味；做好厕所疏通、水龙头维修、化粪池加盖等日常维护工作；每只厕所由专人保洁，男女标识牌、制度牌等如有脱落及时更换、上墙，并做好保洁记录。</w:t>
      </w:r>
    </w:p>
    <w:p w14:paraId="37DD2131">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小广告、牛皮癣清理：每天巡查及时清理村域道路两边电线杆、建筑墙体外立面小广告及破旧横幅。</w:t>
      </w:r>
    </w:p>
    <w:p w14:paraId="182980BC">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设施设备维护：做好窨井、消防栓、路灯杆、健身器材、花坛围栏、村牌等维护、保洁，有破损及时上报村委；简易窨井盖维修、更换工作由中标人承担。</w:t>
      </w:r>
    </w:p>
    <w:p w14:paraId="36370B97">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空倒房：开展日常巡查，若发现有村容村貌、影响公共安全的残垣断壁、危房及时做好安全措施，危房牌子上墙并报告村委。</w:t>
      </w:r>
    </w:p>
    <w:p w14:paraId="7A256205">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乱搭乱建：开展日常巡查，如发现乱搭乱建，及时报告村委。</w:t>
      </w:r>
    </w:p>
    <w:p w14:paraId="10A48E79">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按上级要求，做好相关的工作台账（如：道路清扫记录、公厕保洁记录、河道保洁记录等）。</w:t>
      </w:r>
    </w:p>
    <w:p w14:paraId="7A485F97">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其他：秸秆焚烧巡查管控，若发生秸秆焚烧现象且被街道查处三次及以上的，处罚款300元/次</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被区级相关部门查处的，处罚款500元/次，被市级相关部门查处的，处罚款800元/次，被省级及以上相关部门查</w:t>
      </w:r>
      <w:r>
        <w:rPr>
          <w:rFonts w:hint="eastAsia" w:ascii="宋体" w:hAnsi="宋体" w:cs="宋体"/>
          <w:b w:val="0"/>
          <w:bCs w:val="0"/>
          <w:color w:val="auto"/>
          <w:kern w:val="2"/>
          <w:sz w:val="24"/>
          <w:szCs w:val="24"/>
          <w:highlight w:val="none"/>
          <w:lang w:val="en-US" w:eastAsia="zh-CN" w:bidi="ar-SA"/>
        </w:rPr>
        <w:t>处</w:t>
      </w:r>
      <w:r>
        <w:rPr>
          <w:rFonts w:hint="eastAsia" w:ascii="宋体" w:hAnsi="宋体" w:eastAsia="宋体" w:cs="宋体"/>
          <w:b w:val="0"/>
          <w:bCs w:val="0"/>
          <w:color w:val="auto"/>
          <w:kern w:val="2"/>
          <w:sz w:val="24"/>
          <w:szCs w:val="24"/>
          <w:highlight w:val="none"/>
          <w:lang w:val="en-US" w:eastAsia="zh-CN" w:bidi="ar-SA"/>
        </w:rPr>
        <w:t>的，处罚款1000元/次</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以街道查处照片为依据。村域内的露天粪缸、粪桶的巡查清理，散养家禽劝导。</w:t>
      </w:r>
    </w:p>
    <w:p w14:paraId="2495EECF">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如遇重要活动、重大节日、上级检查等临时性需突击作业的，中标人必须服从招标方的工作调整，及时增加人员、机械并开展集中整治。做好上级下发的问题清单的反馈工作，并确保保洁范围内的整改率达到100%（拆违等工作任务之外的除外）。</w:t>
      </w:r>
    </w:p>
    <w:p w14:paraId="5570CE3E">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工作时间：10小时工作制，5月至10月时间早上6:00-11:30，下午1:00-5:30，11月至4月时间早上6:30-11:30，下午12:30-5:30</w:t>
      </w:r>
    </w:p>
    <w:p w14:paraId="4C40E7C8">
      <w:pPr>
        <w:keepLines w:val="0"/>
        <w:pageBreakBefore w:val="0"/>
        <w:widowControl w:val="0"/>
        <w:numPr>
          <w:ilvl w:val="0"/>
          <w:numId w:val="41"/>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人员及设备：</w:t>
      </w:r>
    </w:p>
    <w:p w14:paraId="2668824B">
      <w:pPr>
        <w:keepLines w:val="0"/>
        <w:pageBreakBefore w:val="0"/>
        <w:widowControl w:val="0"/>
        <w:numPr>
          <w:ilvl w:val="0"/>
          <w:numId w:val="0"/>
        </w:numPr>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基本要求：道路清扫</w:t>
      </w: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人,公厕保洁1人，河道保洁2</w:t>
      </w:r>
      <w:r>
        <w:rPr>
          <w:rFonts w:hint="eastAsia" w:ascii="宋体" w:hAnsi="宋体" w:cs="宋体"/>
          <w:b w:val="0"/>
          <w:bCs w:val="0"/>
          <w:color w:val="auto"/>
          <w:kern w:val="2"/>
          <w:sz w:val="24"/>
          <w:szCs w:val="24"/>
          <w:highlight w:val="none"/>
          <w:lang w:val="en-US" w:eastAsia="zh-CN" w:bidi="ar-SA"/>
        </w:rPr>
        <w:t>人</w:t>
      </w:r>
      <w:r>
        <w:rPr>
          <w:rFonts w:hint="eastAsia" w:ascii="宋体" w:hAnsi="宋体" w:eastAsia="宋体" w:cs="宋体"/>
          <w:b w:val="0"/>
          <w:bCs w:val="0"/>
          <w:color w:val="auto"/>
          <w:kern w:val="2"/>
          <w:sz w:val="24"/>
          <w:szCs w:val="24"/>
          <w:highlight w:val="none"/>
          <w:lang w:val="en-US" w:eastAsia="zh-CN" w:bidi="ar-SA"/>
        </w:rPr>
        <w:t>，生活垃圾收集4人，房前屋后乱堆乱放巡查及清理2人，管理人员1人。</w:t>
      </w:r>
    </w:p>
    <w:p w14:paraId="61DFBF7B">
      <w:pPr>
        <w:keepLines w:val="0"/>
        <w:pageBreakBefore w:val="0"/>
        <w:widowControl w:val="0"/>
        <w:numPr>
          <w:ilvl w:val="0"/>
          <w:numId w:val="0"/>
        </w:numPr>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具体</w:t>
      </w:r>
      <w:r>
        <w:rPr>
          <w:rFonts w:hint="eastAsia" w:ascii="宋体" w:hAnsi="宋体" w:eastAsia="宋体" w:cs="宋体"/>
          <w:color w:val="auto"/>
          <w:sz w:val="24"/>
          <w:szCs w:val="24"/>
          <w:highlight w:val="none"/>
          <w:lang w:eastAsia="zh-CN"/>
        </w:rPr>
        <w:t>作业人员由中标单位自行安排，总人数（包括调班）不得少于</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，工作人员年龄原则要求在65周岁以下（其中管理人员要求在</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周岁以下），所有人员应身体健康，形象端正，具有一定的政治文化素养和基本的服务素质，符合相应用工需求并具备相应技能和资质。</w:t>
      </w:r>
    </w:p>
    <w:p w14:paraId="27F348F9">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1"/>
          <w:highlight w:val="none"/>
        </w:rPr>
        <w:t>★</w:t>
      </w:r>
      <w:r>
        <w:rPr>
          <w:rFonts w:hint="eastAsia" w:ascii="宋体" w:hAnsi="宋体" w:eastAsia="宋体" w:cs="宋体"/>
          <w:b/>
          <w:bCs/>
          <w:color w:val="auto"/>
          <w:kern w:val="0"/>
          <w:sz w:val="24"/>
          <w:szCs w:val="24"/>
          <w:highlight w:val="none"/>
          <w:lang w:eastAsia="zh-CN"/>
        </w:rPr>
        <w:t>注</w:t>
      </w:r>
      <w:r>
        <w:rPr>
          <w:rFonts w:hint="eastAsia" w:ascii="宋体" w:hAnsi="宋体" w:eastAsia="宋体" w:cs="宋体"/>
          <w:b/>
          <w:bCs/>
          <w:color w:val="auto"/>
          <w:kern w:val="0"/>
          <w:sz w:val="24"/>
          <w:szCs w:val="24"/>
          <w:highlight w:val="none"/>
        </w:rPr>
        <w:t>：投标单位需在</w:t>
      </w:r>
      <w:r>
        <w:rPr>
          <w:rFonts w:hint="eastAsia" w:ascii="宋体" w:hAnsi="宋体" w:eastAsia="宋体" w:cs="宋体"/>
          <w:b/>
          <w:bCs/>
          <w:color w:val="auto"/>
          <w:kern w:val="0"/>
          <w:sz w:val="24"/>
          <w:szCs w:val="24"/>
          <w:highlight w:val="none"/>
          <w:lang w:eastAsia="zh-CN"/>
        </w:rPr>
        <w:t>响应文件</w:t>
      </w:r>
      <w:r>
        <w:rPr>
          <w:rFonts w:hint="eastAsia" w:ascii="宋体" w:hAnsi="宋体" w:eastAsia="宋体" w:cs="宋体"/>
          <w:b/>
          <w:bCs/>
          <w:color w:val="auto"/>
          <w:kern w:val="0"/>
          <w:sz w:val="24"/>
          <w:szCs w:val="24"/>
          <w:highlight w:val="none"/>
        </w:rPr>
        <w:t>中对中标后提供的服务人员数量和人身保险(雇主责任险)</w:t>
      </w:r>
      <w:r>
        <w:rPr>
          <w:rFonts w:hint="eastAsia" w:ascii="宋体" w:hAnsi="宋体" w:eastAsia="宋体" w:cs="宋体"/>
          <w:b/>
          <w:bCs/>
          <w:color w:val="auto"/>
          <w:kern w:val="0"/>
          <w:sz w:val="24"/>
          <w:szCs w:val="24"/>
          <w:highlight w:val="none"/>
          <w:lang w:val="en-US" w:eastAsia="zh-CN" w:bidi="ar-SA"/>
        </w:rPr>
        <w:t>参保进行承诺，否则作无效投标处理。</w:t>
      </w:r>
    </w:p>
    <w:p w14:paraId="5796DF5D">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采购人负责村域内垃圾桶、垃圾车的配备与完善，中标人无偿使用现有垃圾桶及清运车辆，日常保养、维修及保险费由中标人承担。清运车辆因人为原因导致无法使用或遗失的，由中标人配足或赔偿。投标单位需</w:t>
      </w:r>
      <w:r>
        <w:rPr>
          <w:rFonts w:hint="eastAsia" w:ascii="宋体" w:hAnsi="宋体" w:eastAsia="宋体" w:cs="宋体"/>
          <w:b/>
          <w:bCs/>
          <w:color w:val="auto"/>
          <w:kern w:val="0"/>
          <w:sz w:val="24"/>
          <w:szCs w:val="24"/>
          <w:highlight w:val="none"/>
        </w:rPr>
        <w:t>提供农用车、洒水车和扫路车及其他必要的一切作业用具（维修、保养、配件等费用由中标单位负责）</w:t>
      </w:r>
      <w:r>
        <w:rPr>
          <w:rFonts w:hint="eastAsia" w:ascii="宋体" w:hAnsi="宋体" w:eastAsia="宋体" w:cs="宋体"/>
          <w:b/>
          <w:bCs/>
          <w:color w:val="auto"/>
          <w:kern w:val="0"/>
          <w:sz w:val="24"/>
          <w:szCs w:val="24"/>
          <w:highlight w:val="none"/>
          <w:lang w:val="en-US" w:eastAsia="zh-CN"/>
        </w:rPr>
        <w:t>。</w:t>
      </w:r>
    </w:p>
    <w:p w14:paraId="0553FA14">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合同期内，中标人对村民垃圾桶（户桶）的完整性负责，垃圾桶年更换率不得高于该村已配备数的10%，超过10%的部分，由中标人负责配足。中标后，中标人、招标方需对现有车辆、户桶等设施设备进行清点并做好移交工作。</w:t>
      </w:r>
    </w:p>
    <w:p w14:paraId="421B54C4">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p>
    <w:p w14:paraId="4A7B8150">
      <w:pPr>
        <w:pStyle w:val="5"/>
        <w:numPr>
          <w:ilvl w:val="0"/>
          <w:numId w:val="39"/>
        </w:numPr>
        <w:spacing w:line="360" w:lineRule="auto"/>
        <w:jc w:val="center"/>
        <w:rPr>
          <w:rFonts w:hint="eastAsia" w:ascii="Arial" w:hAnsi="Arial" w:eastAsia="宋体" w:cs="Times New Roman"/>
          <w:b/>
          <w:bCs/>
          <w:color w:val="auto"/>
          <w:kern w:val="0"/>
          <w:szCs w:val="28"/>
          <w:highlight w:val="none"/>
          <w:lang w:val="en-US" w:eastAsia="zh-CN"/>
        </w:rPr>
      </w:pPr>
      <w:bookmarkStart w:id="457" w:name="_Toc25983"/>
      <w:bookmarkStart w:id="458" w:name="_Toc1131"/>
      <w:bookmarkStart w:id="459" w:name="_Toc19939"/>
      <w:bookmarkStart w:id="460" w:name="_Toc30655"/>
      <w:bookmarkStart w:id="461" w:name="_Toc6763"/>
      <w:bookmarkStart w:id="462" w:name="_Toc7848"/>
      <w:r>
        <w:rPr>
          <w:rFonts w:hint="eastAsia" w:ascii="Arial" w:hAnsi="Arial" w:eastAsia="宋体" w:cs="Times New Roman"/>
          <w:b/>
          <w:bCs/>
          <w:color w:val="auto"/>
          <w:kern w:val="0"/>
          <w:szCs w:val="28"/>
          <w:highlight w:val="none"/>
          <w:lang w:val="en-US" w:eastAsia="zh-CN"/>
        </w:rPr>
        <w:t>考核标准及考核表</w:t>
      </w:r>
      <w:bookmarkEnd w:id="457"/>
      <w:bookmarkEnd w:id="458"/>
      <w:bookmarkEnd w:id="459"/>
      <w:bookmarkEnd w:id="460"/>
      <w:bookmarkEnd w:id="461"/>
      <w:bookmarkEnd w:id="462"/>
    </w:p>
    <w:bookmarkEnd w:id="450"/>
    <w:p w14:paraId="069C4274">
      <w:pPr>
        <w:numPr>
          <w:ilvl w:val="0"/>
          <w:numId w:val="42"/>
        </w:numPr>
        <w:wordWrap w:val="0"/>
        <w:topLinePunct/>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考核方式</w:t>
      </w:r>
    </w:p>
    <w:p w14:paraId="133E0D6B">
      <w:pPr>
        <w:wordWrap w:val="0"/>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1、考核分数满分100分，考核内容以《农村人居环境长效保洁考核评分表》为准（具体以街道下发调整后最新文件为准）。 </w:t>
      </w:r>
    </w:p>
    <w:p w14:paraId="7998A60E">
      <w:pPr>
        <w:wordWrap w:val="0"/>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2、采购方对中标方工作人员到岗到位情况进行不定期抽查，抽查时如发现实际工作人数没有达到投标时承诺的人数，在月考核基础上每少一人加扣2000元。</w:t>
      </w:r>
    </w:p>
    <w:p w14:paraId="1667D9A7">
      <w:pPr>
        <w:wordWrap w:val="0"/>
        <w:topLinePunct/>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3、当月在区级或以上人居环境检查中排名全区后五位，全市后二十位，当月月考核成绩直接定为不合格。</w:t>
      </w:r>
    </w:p>
    <w:p w14:paraId="734925AF">
      <w:pPr>
        <w:spacing w:after="120" w:line="400" w:lineRule="exact"/>
        <w:ind w:firstLine="480"/>
        <w:rPr>
          <w:color w:val="auto"/>
          <w:highlight w:val="none"/>
        </w:rPr>
      </w:pPr>
      <w:r>
        <w:rPr>
          <w:rFonts w:hint="eastAsia" w:ascii="宋体" w:hAnsi="宋体" w:cs="宋体"/>
          <w:b/>
          <w:bCs/>
          <w:color w:val="auto"/>
          <w:sz w:val="24"/>
          <w:highlight w:val="none"/>
        </w:rPr>
        <w:t>二、考核评分表</w:t>
      </w:r>
    </w:p>
    <w:p w14:paraId="18FA89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考核满分100分。</w:t>
      </w:r>
    </w:p>
    <w:p w14:paraId="18EF44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1、月考核</w:t>
      </w:r>
      <w:r>
        <w:rPr>
          <w:rFonts w:hint="eastAsia" w:ascii="宋体" w:hAnsi="宋体" w:cs="宋体"/>
          <w:bCs/>
          <w:color w:val="auto"/>
          <w:sz w:val="24"/>
          <w:highlight w:val="none"/>
        </w:rPr>
        <w:t>成绩在</w:t>
      </w:r>
      <w:r>
        <w:rPr>
          <w:rFonts w:hint="eastAsia" w:ascii="宋体" w:hAnsi="宋体" w:cs="宋体"/>
          <w:color w:val="auto"/>
          <w:sz w:val="24"/>
          <w:highlight w:val="none"/>
        </w:rPr>
        <w:t>80分（含80分）及以上为优秀，得每月承包款的100%；</w:t>
      </w:r>
    </w:p>
    <w:p w14:paraId="5EFD53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2、月考核</w:t>
      </w:r>
      <w:r>
        <w:rPr>
          <w:rFonts w:hint="eastAsia" w:ascii="宋体" w:hAnsi="宋体" w:cs="宋体"/>
          <w:bCs/>
          <w:color w:val="auto"/>
          <w:sz w:val="24"/>
          <w:highlight w:val="none"/>
        </w:rPr>
        <w:t>成绩在</w:t>
      </w:r>
      <w:r>
        <w:rPr>
          <w:rFonts w:hint="eastAsia" w:ascii="宋体" w:hAnsi="宋体" w:cs="宋体"/>
          <w:color w:val="auto"/>
          <w:sz w:val="24"/>
          <w:highlight w:val="none"/>
        </w:rPr>
        <w:t>70分（含70分）至80分为良好，得每月承包款的90%；</w:t>
      </w:r>
    </w:p>
    <w:p w14:paraId="6D9FB3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3、月考核</w:t>
      </w:r>
      <w:r>
        <w:rPr>
          <w:rFonts w:hint="eastAsia" w:ascii="宋体" w:hAnsi="宋体" w:cs="宋体"/>
          <w:bCs/>
          <w:color w:val="auto"/>
          <w:sz w:val="24"/>
          <w:highlight w:val="none"/>
        </w:rPr>
        <w:t>成绩在</w:t>
      </w:r>
      <w:r>
        <w:rPr>
          <w:rFonts w:hint="eastAsia" w:ascii="宋体" w:hAnsi="宋体" w:cs="宋体"/>
          <w:color w:val="auto"/>
          <w:sz w:val="24"/>
          <w:highlight w:val="none"/>
        </w:rPr>
        <w:t>60分（含60分）至70分为合格，得每月承包款的70%；</w:t>
      </w:r>
    </w:p>
    <w:p w14:paraId="5DBEBD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4、月考核</w:t>
      </w:r>
      <w:r>
        <w:rPr>
          <w:rFonts w:hint="eastAsia" w:ascii="宋体" w:hAnsi="宋体" w:cs="宋体"/>
          <w:bCs/>
          <w:color w:val="auto"/>
          <w:sz w:val="24"/>
          <w:highlight w:val="none"/>
        </w:rPr>
        <w:t>成绩在</w:t>
      </w:r>
      <w:r>
        <w:rPr>
          <w:rFonts w:hint="eastAsia" w:ascii="宋体" w:hAnsi="宋体" w:cs="宋体"/>
          <w:color w:val="auto"/>
          <w:sz w:val="24"/>
          <w:highlight w:val="none"/>
        </w:rPr>
        <w:t>60分以下为不合格，得每月承包款的50%。</w:t>
      </w:r>
    </w:p>
    <w:p w14:paraId="46EDABE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注：1、连续两个月定为不合格的，扣除第二个月全部承包款；连续三个月定为不合格的，采购人有权终止服务合同，取消中标资格，中标单位无条件直接退场并上报上级主管部门拉入黑名单。</w:t>
      </w:r>
    </w:p>
    <w:p w14:paraId="6FA6149A">
      <w:pPr>
        <w:spacing w:line="360" w:lineRule="auto"/>
        <w:ind w:firstLine="482" w:firstLineChars="200"/>
        <w:rPr>
          <w:rFonts w:ascii="宋体" w:hAnsi="宋体" w:cs="宋体"/>
          <w:b/>
          <w:bCs/>
          <w:color w:val="auto"/>
          <w:sz w:val="24"/>
          <w:highlight w:val="none"/>
        </w:rPr>
      </w:pPr>
      <w:bookmarkStart w:id="463" w:name="_Toc6845"/>
      <w:bookmarkStart w:id="464" w:name="_Toc2972"/>
      <w:r>
        <w:rPr>
          <w:rFonts w:hint="eastAsia" w:ascii="宋体" w:hAnsi="宋体" w:cs="宋体"/>
          <w:b/>
          <w:bCs/>
          <w:color w:val="auto"/>
          <w:sz w:val="24"/>
          <w:highlight w:val="none"/>
        </w:rPr>
        <w:t>2、涉及上虞美丽乡村PPP项目委托运维的：</w:t>
      </w:r>
      <w:bookmarkEnd w:id="463"/>
      <w:bookmarkEnd w:id="464"/>
    </w:p>
    <w:p w14:paraId="303869E8">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（1）上级部门随机安排对中标方的日常工</w:t>
      </w:r>
      <w:r>
        <w:rPr>
          <w:rFonts w:hint="eastAsia" w:ascii="宋体" w:hAnsi="宋体" w:cs="宋体"/>
          <w:bCs/>
          <w:color w:val="auto"/>
          <w:sz w:val="24"/>
          <w:highlight w:val="none"/>
        </w:rPr>
        <w:t>作进行检查，如检查情况不达标，上级部门可开出整改通知单，中标应按通知要求内容整改，如整改不及时、不到位，上级部门有权开具罚款单，如拒绝整改的，上级部门有权派施工人员进驻现场整改，并按双倍工程款计取并在年度养护费中扣除。</w:t>
      </w:r>
    </w:p>
    <w:p w14:paraId="7D7F7FC9">
      <w:pPr>
        <w:spacing w:line="360" w:lineRule="auto"/>
        <w:ind w:firstLine="480" w:firstLineChars="200"/>
        <w:rPr>
          <w:color w:val="auto"/>
          <w:highlight w:val="none"/>
        </w:rPr>
      </w:pPr>
      <w:r>
        <w:rPr>
          <w:rFonts w:hint="eastAsia" w:ascii="宋体" w:hAnsi="宋体" w:cs="宋体"/>
          <w:bCs/>
          <w:color w:val="auto"/>
          <w:sz w:val="24"/>
          <w:highlight w:val="none"/>
        </w:rPr>
        <w:t>（2）中标单位养护范围内若在每月考核、季度考核中未达到85分以上（折算后），上级部门按当年度养护费的5%至30%进行处罚，若年度考核中考核评分未能在85分及以上的（折算后），上级部门有权按年度养护费的50%以上扣除，并由中标单位承担全部整改费用，甲方视情况有权终止合同。</w:t>
      </w:r>
    </w:p>
    <w:p w14:paraId="0FD2E855">
      <w:pPr>
        <w:spacing w:line="560" w:lineRule="exact"/>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附件1</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2"/>
          <w:szCs w:val="32"/>
          <w:highlight w:val="none"/>
        </w:rPr>
        <w:t>农村</w:t>
      </w:r>
      <w:r>
        <w:rPr>
          <w:rFonts w:hint="eastAsia" w:ascii="宋体" w:hAnsi="宋体" w:eastAsia="宋体" w:cs="宋体"/>
          <w:b/>
          <w:bCs/>
          <w:color w:val="auto"/>
          <w:sz w:val="32"/>
          <w:szCs w:val="32"/>
          <w:highlight w:val="none"/>
          <w:lang w:eastAsia="zh-CN"/>
        </w:rPr>
        <w:t>人居环境</w:t>
      </w:r>
      <w:r>
        <w:rPr>
          <w:rFonts w:hint="eastAsia" w:ascii="宋体" w:hAnsi="宋体" w:eastAsia="宋体" w:cs="宋体"/>
          <w:b/>
          <w:bCs/>
          <w:color w:val="auto"/>
          <w:sz w:val="32"/>
          <w:szCs w:val="32"/>
          <w:highlight w:val="none"/>
        </w:rPr>
        <w:t>长效保洁考核评分表</w:t>
      </w:r>
    </w:p>
    <w:tbl>
      <w:tblPr>
        <w:tblStyle w:val="32"/>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307"/>
        <w:gridCol w:w="5893"/>
        <w:gridCol w:w="867"/>
        <w:gridCol w:w="1083"/>
      </w:tblGrid>
      <w:tr w14:paraId="000A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00" w:type="dxa"/>
            <w:tcBorders>
              <w:tl2br w:val="nil"/>
              <w:tr2bl w:val="nil"/>
            </w:tcBorders>
            <w:noWrap w:val="0"/>
            <w:vAlign w:val="center"/>
          </w:tcPr>
          <w:p w14:paraId="2147A726">
            <w:pPr>
              <w:tabs>
                <w:tab w:val="left" w:pos="274"/>
                <w:tab w:val="center" w:pos="1081"/>
              </w:tabs>
              <w:spacing w:line="380" w:lineRule="exact"/>
              <w:ind w:right="119"/>
              <w:jc w:val="center"/>
              <w:rPr>
                <w:rFonts w:ascii="宋体" w:hAnsi="宋体" w:cs="宋体"/>
                <w:b/>
                <w:bCs/>
                <w:color w:val="auto"/>
                <w:sz w:val="24"/>
                <w:highlight w:val="none"/>
              </w:rPr>
            </w:pPr>
            <w:r>
              <w:rPr>
                <w:rFonts w:hint="eastAsia" w:ascii="宋体" w:hAnsi="宋体" w:cs="宋体"/>
                <w:b/>
                <w:bCs/>
                <w:color w:val="auto"/>
                <w:sz w:val="24"/>
                <w:highlight w:val="none"/>
              </w:rPr>
              <w:t>评估类别</w:t>
            </w:r>
          </w:p>
        </w:tc>
        <w:tc>
          <w:tcPr>
            <w:tcW w:w="1307" w:type="dxa"/>
            <w:tcBorders>
              <w:tl2br w:val="nil"/>
              <w:tr2bl w:val="nil"/>
            </w:tcBorders>
            <w:noWrap w:val="0"/>
            <w:vAlign w:val="center"/>
          </w:tcPr>
          <w:p w14:paraId="03A99780">
            <w:pPr>
              <w:spacing w:line="380" w:lineRule="exact"/>
              <w:ind w:right="119"/>
              <w:jc w:val="center"/>
              <w:rPr>
                <w:rFonts w:ascii="宋体" w:hAnsi="宋体" w:cs="宋体"/>
                <w:b/>
                <w:bCs/>
                <w:color w:val="auto"/>
                <w:sz w:val="24"/>
                <w:highlight w:val="none"/>
              </w:rPr>
            </w:pPr>
            <w:r>
              <w:rPr>
                <w:rFonts w:hint="eastAsia" w:ascii="宋体" w:hAnsi="宋体" w:cs="宋体"/>
                <w:b/>
                <w:bCs/>
                <w:color w:val="auto"/>
                <w:sz w:val="24"/>
                <w:highlight w:val="none"/>
              </w:rPr>
              <w:t>评估项目</w:t>
            </w:r>
          </w:p>
        </w:tc>
        <w:tc>
          <w:tcPr>
            <w:tcW w:w="5893" w:type="dxa"/>
            <w:tcBorders>
              <w:tl2br w:val="nil"/>
              <w:tr2bl w:val="nil"/>
            </w:tcBorders>
            <w:noWrap w:val="0"/>
            <w:vAlign w:val="center"/>
          </w:tcPr>
          <w:p w14:paraId="1BB40B7C">
            <w:pPr>
              <w:spacing w:line="380" w:lineRule="exact"/>
              <w:ind w:right="119"/>
              <w:jc w:val="center"/>
              <w:rPr>
                <w:rFonts w:ascii="宋体" w:hAnsi="宋体" w:cs="宋体"/>
                <w:b/>
                <w:bCs/>
                <w:color w:val="auto"/>
                <w:sz w:val="24"/>
                <w:highlight w:val="none"/>
              </w:rPr>
            </w:pPr>
            <w:r>
              <w:rPr>
                <w:rFonts w:hint="eastAsia" w:ascii="宋体" w:hAnsi="宋体" w:cs="宋体"/>
                <w:b/>
                <w:bCs/>
                <w:color w:val="auto"/>
                <w:sz w:val="24"/>
                <w:highlight w:val="none"/>
              </w:rPr>
              <w:t>评估细则</w:t>
            </w:r>
          </w:p>
        </w:tc>
        <w:tc>
          <w:tcPr>
            <w:tcW w:w="867" w:type="dxa"/>
            <w:tcBorders>
              <w:tl2br w:val="nil"/>
              <w:tr2bl w:val="nil"/>
            </w:tcBorders>
            <w:noWrap w:val="0"/>
            <w:vAlign w:val="center"/>
          </w:tcPr>
          <w:p w14:paraId="5896C186">
            <w:pPr>
              <w:spacing w:line="380" w:lineRule="exact"/>
              <w:ind w:right="119"/>
              <w:jc w:val="center"/>
              <w:rPr>
                <w:rFonts w:ascii="宋体" w:hAnsi="宋体" w:cs="宋体"/>
                <w:b/>
                <w:bCs/>
                <w:color w:val="auto"/>
                <w:sz w:val="24"/>
                <w:highlight w:val="none"/>
              </w:rPr>
            </w:pPr>
            <w:r>
              <w:rPr>
                <w:rFonts w:hint="eastAsia" w:ascii="宋体" w:hAnsi="宋体" w:cs="宋体"/>
                <w:b/>
                <w:bCs/>
                <w:color w:val="auto"/>
                <w:sz w:val="24"/>
                <w:highlight w:val="none"/>
              </w:rPr>
              <w:t>扣分</w:t>
            </w:r>
          </w:p>
        </w:tc>
        <w:tc>
          <w:tcPr>
            <w:tcW w:w="1083" w:type="dxa"/>
            <w:tcBorders>
              <w:tl2br w:val="nil"/>
              <w:tr2bl w:val="nil"/>
            </w:tcBorders>
            <w:noWrap w:val="0"/>
            <w:vAlign w:val="center"/>
          </w:tcPr>
          <w:p w14:paraId="2391C730">
            <w:pPr>
              <w:spacing w:line="380" w:lineRule="exact"/>
              <w:ind w:right="119"/>
              <w:jc w:val="center"/>
              <w:rPr>
                <w:rFonts w:ascii="宋体" w:hAnsi="宋体" w:cs="宋体"/>
                <w:b/>
                <w:bCs/>
                <w:color w:val="auto"/>
                <w:sz w:val="24"/>
                <w:highlight w:val="none"/>
              </w:rPr>
            </w:pPr>
            <w:r>
              <w:rPr>
                <w:rFonts w:hint="eastAsia" w:ascii="宋体" w:hAnsi="宋体" w:cs="宋体"/>
                <w:b/>
                <w:bCs/>
                <w:color w:val="auto"/>
                <w:sz w:val="24"/>
                <w:highlight w:val="none"/>
              </w:rPr>
              <w:t>整改项核算</w:t>
            </w:r>
          </w:p>
        </w:tc>
      </w:tr>
      <w:tr w14:paraId="08F6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0" w:type="dxa"/>
            <w:vMerge w:val="restart"/>
            <w:tcBorders>
              <w:tl2br w:val="nil"/>
              <w:tr2bl w:val="nil"/>
            </w:tcBorders>
            <w:noWrap w:val="0"/>
            <w:vAlign w:val="center"/>
          </w:tcPr>
          <w:p w14:paraId="687320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农村生活垃圾分类（30分）</w:t>
            </w:r>
          </w:p>
        </w:tc>
        <w:tc>
          <w:tcPr>
            <w:tcW w:w="1307" w:type="dxa"/>
            <w:vMerge w:val="restart"/>
            <w:tcBorders>
              <w:tl2br w:val="nil"/>
              <w:tr2bl w:val="nil"/>
            </w:tcBorders>
            <w:noWrap w:val="0"/>
            <w:vAlign w:val="center"/>
          </w:tcPr>
          <w:p w14:paraId="38CADF72">
            <w:pPr>
              <w:jc w:val="center"/>
              <w:rPr>
                <w:rFonts w:ascii="宋体" w:hAnsi="宋体" w:cs="宋体"/>
                <w:color w:val="auto"/>
                <w:sz w:val="24"/>
                <w:highlight w:val="none"/>
              </w:rPr>
            </w:pPr>
            <w:r>
              <w:rPr>
                <w:rFonts w:hint="eastAsia" w:ascii="宋体" w:hAnsi="宋体" w:cs="宋体"/>
                <w:color w:val="auto"/>
                <w:sz w:val="24"/>
                <w:highlight w:val="none"/>
              </w:rPr>
              <w:t>宣传工作</w:t>
            </w:r>
          </w:p>
        </w:tc>
        <w:tc>
          <w:tcPr>
            <w:tcW w:w="5893" w:type="dxa"/>
            <w:tcBorders>
              <w:tl2br w:val="nil"/>
              <w:tr2bl w:val="nil"/>
            </w:tcBorders>
            <w:noWrap w:val="0"/>
            <w:vAlign w:val="center"/>
          </w:tcPr>
          <w:p w14:paraId="671D75E6">
            <w:pPr>
              <w:spacing w:line="320" w:lineRule="exact"/>
              <w:rPr>
                <w:rFonts w:ascii="宋体" w:hAnsi="宋体" w:cs="宋体"/>
                <w:color w:val="auto"/>
                <w:sz w:val="24"/>
                <w:highlight w:val="none"/>
              </w:rPr>
            </w:pPr>
            <w:r>
              <w:rPr>
                <w:rFonts w:hint="eastAsia" w:ascii="宋体" w:hAnsi="宋体" w:cs="宋体"/>
                <w:color w:val="auto"/>
                <w:sz w:val="24"/>
                <w:highlight w:val="none"/>
              </w:rPr>
              <w:t>1.村规民约（含垃圾分类内容）未上墙，或已上墙但没有垃圾分类内容，扣1分，无奖惩措施或未落实奖惩措施（如红黑榜、积分制等），扣1分。</w:t>
            </w:r>
          </w:p>
        </w:tc>
        <w:tc>
          <w:tcPr>
            <w:tcW w:w="867" w:type="dxa"/>
            <w:tcBorders>
              <w:tl2br w:val="nil"/>
              <w:tr2bl w:val="nil"/>
            </w:tcBorders>
            <w:noWrap w:val="0"/>
            <w:vAlign w:val="center"/>
          </w:tcPr>
          <w:p w14:paraId="70DD0DEF">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4C002C80">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7E46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00" w:type="dxa"/>
            <w:vMerge w:val="continue"/>
            <w:tcBorders>
              <w:tl2br w:val="nil"/>
              <w:tr2bl w:val="nil"/>
            </w:tcBorders>
            <w:noWrap w:val="0"/>
            <w:vAlign w:val="center"/>
          </w:tcPr>
          <w:p w14:paraId="08C12258">
            <w:pPr>
              <w:spacing w:line="360" w:lineRule="auto"/>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23AB6E16">
            <w:pPr>
              <w:jc w:val="center"/>
              <w:rPr>
                <w:rFonts w:ascii="宋体" w:hAnsi="宋体" w:cs="宋体"/>
                <w:color w:val="auto"/>
                <w:sz w:val="24"/>
                <w:highlight w:val="none"/>
              </w:rPr>
            </w:pPr>
          </w:p>
        </w:tc>
        <w:tc>
          <w:tcPr>
            <w:tcW w:w="5893" w:type="dxa"/>
            <w:tcBorders>
              <w:tl2br w:val="nil"/>
              <w:tr2bl w:val="nil"/>
            </w:tcBorders>
            <w:noWrap w:val="0"/>
            <w:vAlign w:val="center"/>
          </w:tcPr>
          <w:p w14:paraId="186C10DE">
            <w:pPr>
              <w:spacing w:line="320" w:lineRule="exact"/>
              <w:rPr>
                <w:rFonts w:ascii="宋体" w:hAnsi="宋体" w:cs="宋体"/>
                <w:color w:val="auto"/>
                <w:sz w:val="24"/>
                <w:highlight w:val="none"/>
              </w:rPr>
            </w:pPr>
            <w:r>
              <w:rPr>
                <w:rFonts w:hint="eastAsia" w:ascii="宋体" w:hAnsi="宋体" w:cs="宋体"/>
                <w:color w:val="auto"/>
                <w:sz w:val="24"/>
                <w:highlight w:val="none"/>
              </w:rPr>
              <w:t>2.宣传氛围浓厚，采用广播、宣传栏、墙画、宣传牌、宣传手册等多种形式开展垃圾分类宣传活动，视整村宣传氛围酌情扣1-2分。</w:t>
            </w:r>
          </w:p>
        </w:tc>
        <w:tc>
          <w:tcPr>
            <w:tcW w:w="867" w:type="dxa"/>
            <w:tcBorders>
              <w:tl2br w:val="nil"/>
              <w:tr2bl w:val="nil"/>
            </w:tcBorders>
            <w:noWrap w:val="0"/>
            <w:vAlign w:val="center"/>
          </w:tcPr>
          <w:p w14:paraId="3969DF2C">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293C16B4">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53CB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0" w:type="dxa"/>
            <w:vMerge w:val="continue"/>
            <w:tcBorders>
              <w:tl2br w:val="nil"/>
              <w:tr2bl w:val="nil"/>
            </w:tcBorders>
            <w:noWrap w:val="0"/>
            <w:vAlign w:val="center"/>
          </w:tcPr>
          <w:p w14:paraId="35F7FA8B">
            <w:pPr>
              <w:spacing w:line="360" w:lineRule="auto"/>
              <w:ind w:right="119" w:firstLine="480" w:firstLineChars="200"/>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2958291A">
            <w:pPr>
              <w:jc w:val="center"/>
              <w:rPr>
                <w:rFonts w:ascii="宋体" w:hAnsi="宋体" w:cs="宋体"/>
                <w:color w:val="auto"/>
                <w:sz w:val="24"/>
                <w:highlight w:val="none"/>
              </w:rPr>
            </w:pPr>
          </w:p>
        </w:tc>
        <w:tc>
          <w:tcPr>
            <w:tcW w:w="5893" w:type="dxa"/>
            <w:tcBorders>
              <w:tl2br w:val="nil"/>
              <w:tr2bl w:val="nil"/>
            </w:tcBorders>
            <w:noWrap w:val="0"/>
            <w:vAlign w:val="center"/>
          </w:tcPr>
          <w:p w14:paraId="4272520F">
            <w:pPr>
              <w:spacing w:line="320" w:lineRule="exact"/>
              <w:rPr>
                <w:rFonts w:ascii="宋体" w:hAnsi="宋体" w:cs="宋体"/>
                <w:color w:val="auto"/>
                <w:sz w:val="24"/>
                <w:highlight w:val="none"/>
              </w:rPr>
            </w:pPr>
            <w:r>
              <w:rPr>
                <w:rFonts w:hint="eastAsia" w:ascii="宋体" w:hAnsi="宋体" w:cs="宋体"/>
                <w:color w:val="auto"/>
                <w:sz w:val="24"/>
                <w:highlight w:val="none"/>
              </w:rPr>
              <w:t>3.开展“敲门行动”，宣传农村生活垃圾分类相关知识，每季度上门宣传引导应做到全覆盖。每发现一户未落实扣0.2分。</w:t>
            </w:r>
          </w:p>
        </w:tc>
        <w:tc>
          <w:tcPr>
            <w:tcW w:w="867" w:type="dxa"/>
            <w:tcBorders>
              <w:tl2br w:val="nil"/>
              <w:tr2bl w:val="nil"/>
            </w:tcBorders>
            <w:noWrap w:val="0"/>
            <w:vAlign w:val="center"/>
          </w:tcPr>
          <w:p w14:paraId="67C366F8">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25096557">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否</w:t>
            </w:r>
          </w:p>
        </w:tc>
      </w:tr>
      <w:tr w14:paraId="016A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00" w:type="dxa"/>
            <w:vMerge w:val="continue"/>
            <w:tcBorders>
              <w:tl2br w:val="nil"/>
              <w:tr2bl w:val="nil"/>
            </w:tcBorders>
            <w:noWrap w:val="0"/>
            <w:vAlign w:val="center"/>
          </w:tcPr>
          <w:p w14:paraId="0E49E346">
            <w:pPr>
              <w:spacing w:line="360" w:lineRule="auto"/>
              <w:ind w:right="119" w:firstLine="480" w:firstLineChars="200"/>
              <w:jc w:val="center"/>
              <w:rPr>
                <w:rFonts w:ascii="宋体" w:hAnsi="宋体" w:cs="宋体"/>
                <w:color w:val="auto"/>
                <w:sz w:val="24"/>
                <w:highlight w:val="none"/>
              </w:rPr>
            </w:pPr>
          </w:p>
        </w:tc>
        <w:tc>
          <w:tcPr>
            <w:tcW w:w="1307" w:type="dxa"/>
            <w:vMerge w:val="restart"/>
            <w:tcBorders>
              <w:tl2br w:val="nil"/>
              <w:tr2bl w:val="nil"/>
            </w:tcBorders>
            <w:noWrap w:val="0"/>
            <w:vAlign w:val="center"/>
          </w:tcPr>
          <w:p w14:paraId="052D7147">
            <w:pPr>
              <w:jc w:val="center"/>
              <w:rPr>
                <w:rFonts w:ascii="宋体" w:hAnsi="宋体" w:cs="宋体"/>
                <w:color w:val="auto"/>
                <w:sz w:val="24"/>
                <w:highlight w:val="none"/>
              </w:rPr>
            </w:pPr>
            <w:r>
              <w:rPr>
                <w:rFonts w:hint="eastAsia" w:ascii="宋体" w:hAnsi="宋体" w:cs="宋体"/>
                <w:color w:val="auto"/>
                <w:sz w:val="24"/>
                <w:highlight w:val="none"/>
              </w:rPr>
              <w:t>分类设施</w:t>
            </w:r>
          </w:p>
        </w:tc>
        <w:tc>
          <w:tcPr>
            <w:tcW w:w="5893" w:type="dxa"/>
            <w:tcBorders>
              <w:tl2br w:val="nil"/>
              <w:tr2bl w:val="nil"/>
            </w:tcBorders>
            <w:noWrap w:val="0"/>
            <w:vAlign w:val="center"/>
          </w:tcPr>
          <w:p w14:paraId="19033B52">
            <w:pPr>
              <w:spacing w:line="320" w:lineRule="exact"/>
              <w:rPr>
                <w:rFonts w:ascii="宋体" w:hAnsi="宋体" w:cs="宋体"/>
                <w:color w:val="auto"/>
                <w:sz w:val="24"/>
                <w:highlight w:val="none"/>
              </w:rPr>
            </w:pPr>
            <w:r>
              <w:rPr>
                <w:rFonts w:hint="eastAsia" w:ascii="宋体" w:hAnsi="宋体" w:cs="宋体"/>
                <w:color w:val="auto"/>
                <w:sz w:val="24"/>
                <w:highlight w:val="none"/>
              </w:rPr>
              <w:t>1.每个自然村至少一处四分类投放点，未设置扣1分。</w:t>
            </w:r>
          </w:p>
        </w:tc>
        <w:tc>
          <w:tcPr>
            <w:tcW w:w="867" w:type="dxa"/>
            <w:tcBorders>
              <w:tl2br w:val="nil"/>
              <w:tr2bl w:val="nil"/>
            </w:tcBorders>
            <w:noWrap w:val="0"/>
            <w:vAlign w:val="center"/>
          </w:tcPr>
          <w:p w14:paraId="38DBDE39">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51C6C13F">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1CFC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00" w:type="dxa"/>
            <w:vMerge w:val="continue"/>
            <w:tcBorders>
              <w:tl2br w:val="nil"/>
              <w:tr2bl w:val="nil"/>
            </w:tcBorders>
            <w:noWrap w:val="0"/>
            <w:vAlign w:val="center"/>
          </w:tcPr>
          <w:p w14:paraId="5EA141AA">
            <w:pPr>
              <w:spacing w:line="360" w:lineRule="auto"/>
              <w:ind w:right="119" w:firstLine="480" w:firstLineChars="200"/>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6B8409BB">
            <w:pPr>
              <w:jc w:val="center"/>
              <w:rPr>
                <w:rFonts w:ascii="宋体" w:hAnsi="宋体" w:cs="宋体"/>
                <w:color w:val="auto"/>
                <w:sz w:val="24"/>
                <w:highlight w:val="none"/>
              </w:rPr>
            </w:pPr>
          </w:p>
        </w:tc>
        <w:tc>
          <w:tcPr>
            <w:tcW w:w="5893" w:type="dxa"/>
            <w:tcBorders>
              <w:tl2br w:val="nil"/>
              <w:tr2bl w:val="nil"/>
            </w:tcBorders>
            <w:noWrap w:val="0"/>
            <w:vAlign w:val="center"/>
          </w:tcPr>
          <w:p w14:paraId="5C3A684E">
            <w:pPr>
              <w:spacing w:line="320" w:lineRule="exact"/>
              <w:rPr>
                <w:rFonts w:ascii="宋体" w:hAnsi="宋体" w:cs="宋体"/>
                <w:color w:val="auto"/>
                <w:sz w:val="24"/>
                <w:highlight w:val="none"/>
              </w:rPr>
            </w:pPr>
            <w:r>
              <w:rPr>
                <w:rFonts w:hint="eastAsia" w:ascii="宋体" w:hAnsi="宋体" w:cs="宋体"/>
                <w:color w:val="auto"/>
                <w:sz w:val="24"/>
                <w:highlight w:val="none"/>
              </w:rPr>
              <w:t>2.投放点分类容器设置不规范，每处扣1分。</w:t>
            </w:r>
          </w:p>
        </w:tc>
        <w:tc>
          <w:tcPr>
            <w:tcW w:w="867" w:type="dxa"/>
            <w:tcBorders>
              <w:tl2br w:val="nil"/>
              <w:tr2bl w:val="nil"/>
            </w:tcBorders>
            <w:noWrap w:val="0"/>
            <w:vAlign w:val="center"/>
          </w:tcPr>
          <w:p w14:paraId="679BD736">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7C40F737">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1011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0" w:type="dxa"/>
            <w:vMerge w:val="continue"/>
            <w:tcBorders>
              <w:tl2br w:val="nil"/>
              <w:tr2bl w:val="nil"/>
            </w:tcBorders>
            <w:noWrap w:val="0"/>
            <w:vAlign w:val="center"/>
          </w:tcPr>
          <w:p w14:paraId="33E0DFAE">
            <w:pPr>
              <w:spacing w:line="360" w:lineRule="auto"/>
              <w:ind w:right="119" w:firstLine="480" w:firstLineChars="200"/>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33D0C86B">
            <w:pPr>
              <w:jc w:val="center"/>
              <w:rPr>
                <w:rFonts w:ascii="宋体" w:hAnsi="宋体" w:cs="宋体"/>
                <w:color w:val="auto"/>
                <w:sz w:val="24"/>
                <w:highlight w:val="none"/>
              </w:rPr>
            </w:pPr>
          </w:p>
        </w:tc>
        <w:tc>
          <w:tcPr>
            <w:tcW w:w="5893" w:type="dxa"/>
            <w:tcBorders>
              <w:tl2br w:val="nil"/>
              <w:tr2bl w:val="nil"/>
            </w:tcBorders>
            <w:noWrap w:val="0"/>
            <w:vAlign w:val="center"/>
          </w:tcPr>
          <w:p w14:paraId="6A520554">
            <w:pPr>
              <w:spacing w:line="320" w:lineRule="exact"/>
              <w:rPr>
                <w:rFonts w:ascii="宋体" w:hAnsi="宋体" w:cs="宋体"/>
                <w:color w:val="auto"/>
                <w:sz w:val="24"/>
                <w:highlight w:val="none"/>
              </w:rPr>
            </w:pPr>
            <w:r>
              <w:rPr>
                <w:rFonts w:hint="eastAsia" w:ascii="宋体" w:hAnsi="宋体" w:cs="宋体"/>
                <w:color w:val="auto"/>
                <w:sz w:val="24"/>
                <w:highlight w:val="none"/>
              </w:rPr>
              <w:t>3.村集中收集点和投放点环境脏乱、分类容器外观不整洁、标识不规范、标识模糊不清、容器损坏、垃圾外溢等现象，每处扣0.5分。</w:t>
            </w:r>
          </w:p>
        </w:tc>
        <w:tc>
          <w:tcPr>
            <w:tcW w:w="867" w:type="dxa"/>
            <w:tcBorders>
              <w:tl2br w:val="nil"/>
              <w:tr2bl w:val="nil"/>
            </w:tcBorders>
            <w:noWrap w:val="0"/>
            <w:vAlign w:val="center"/>
          </w:tcPr>
          <w:p w14:paraId="2788F1EE">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7B4383F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55BA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0" w:type="dxa"/>
            <w:vMerge w:val="continue"/>
            <w:tcBorders>
              <w:tl2br w:val="nil"/>
              <w:tr2bl w:val="nil"/>
            </w:tcBorders>
            <w:noWrap w:val="0"/>
            <w:vAlign w:val="center"/>
          </w:tcPr>
          <w:p w14:paraId="40EDE547">
            <w:pPr>
              <w:spacing w:line="360" w:lineRule="auto"/>
              <w:ind w:right="119"/>
              <w:jc w:val="center"/>
              <w:rPr>
                <w:rFonts w:ascii="宋体" w:hAnsi="宋体" w:cs="宋体"/>
                <w:color w:val="auto"/>
                <w:sz w:val="24"/>
                <w:highlight w:val="none"/>
              </w:rPr>
            </w:pPr>
          </w:p>
        </w:tc>
        <w:tc>
          <w:tcPr>
            <w:tcW w:w="1307" w:type="dxa"/>
            <w:vMerge w:val="restart"/>
            <w:tcBorders>
              <w:tl2br w:val="nil"/>
              <w:tr2bl w:val="nil"/>
            </w:tcBorders>
            <w:noWrap w:val="0"/>
            <w:vAlign w:val="center"/>
          </w:tcPr>
          <w:p w14:paraId="60F73EEB">
            <w:pPr>
              <w:jc w:val="center"/>
              <w:rPr>
                <w:rFonts w:ascii="宋体" w:hAnsi="宋体" w:cs="宋体"/>
                <w:color w:val="auto"/>
                <w:sz w:val="24"/>
                <w:highlight w:val="none"/>
              </w:rPr>
            </w:pPr>
            <w:r>
              <w:rPr>
                <w:rFonts w:hint="eastAsia" w:ascii="宋体" w:hAnsi="宋体" w:cs="宋体"/>
                <w:color w:val="auto"/>
                <w:sz w:val="24"/>
                <w:highlight w:val="none"/>
              </w:rPr>
              <w:t>分类质量</w:t>
            </w:r>
          </w:p>
        </w:tc>
        <w:tc>
          <w:tcPr>
            <w:tcW w:w="5893" w:type="dxa"/>
            <w:tcBorders>
              <w:tl2br w:val="nil"/>
              <w:tr2bl w:val="nil"/>
            </w:tcBorders>
            <w:noWrap w:val="0"/>
            <w:vAlign w:val="center"/>
          </w:tcPr>
          <w:p w14:paraId="5CE0873E">
            <w:pPr>
              <w:spacing w:line="320" w:lineRule="exact"/>
              <w:rPr>
                <w:rFonts w:ascii="宋体" w:hAnsi="宋体" w:cs="宋体"/>
                <w:color w:val="auto"/>
                <w:sz w:val="24"/>
                <w:highlight w:val="none"/>
              </w:rPr>
            </w:pPr>
            <w:r>
              <w:rPr>
                <w:rFonts w:hint="eastAsia" w:ascii="宋体" w:hAnsi="宋体" w:cs="宋体"/>
                <w:color w:val="auto"/>
                <w:sz w:val="24"/>
                <w:highlight w:val="none"/>
              </w:rPr>
              <w:t>1.清运车收集、运输过程中有垃圾混收、混运现象，每发现一次扣3分。</w:t>
            </w:r>
          </w:p>
        </w:tc>
        <w:tc>
          <w:tcPr>
            <w:tcW w:w="867" w:type="dxa"/>
            <w:tcBorders>
              <w:tl2br w:val="nil"/>
              <w:tr2bl w:val="nil"/>
            </w:tcBorders>
            <w:noWrap w:val="0"/>
            <w:vAlign w:val="center"/>
          </w:tcPr>
          <w:p w14:paraId="52CD052F">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7162BEC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4C15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00" w:type="dxa"/>
            <w:vMerge w:val="continue"/>
            <w:tcBorders>
              <w:tl2br w:val="nil"/>
              <w:tr2bl w:val="nil"/>
            </w:tcBorders>
            <w:noWrap w:val="0"/>
            <w:vAlign w:val="center"/>
          </w:tcPr>
          <w:p w14:paraId="63786591">
            <w:pPr>
              <w:spacing w:line="360" w:lineRule="auto"/>
              <w:ind w:right="119" w:firstLine="480" w:firstLineChars="200"/>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6EC6817D">
            <w:pPr>
              <w:spacing w:line="320" w:lineRule="exact"/>
              <w:jc w:val="center"/>
              <w:rPr>
                <w:rFonts w:ascii="宋体" w:hAnsi="宋体" w:cs="宋体"/>
                <w:color w:val="auto"/>
                <w:sz w:val="24"/>
                <w:highlight w:val="none"/>
              </w:rPr>
            </w:pPr>
          </w:p>
        </w:tc>
        <w:tc>
          <w:tcPr>
            <w:tcW w:w="5893" w:type="dxa"/>
            <w:tcBorders>
              <w:tl2br w:val="nil"/>
              <w:tr2bl w:val="nil"/>
            </w:tcBorders>
            <w:noWrap w:val="0"/>
            <w:vAlign w:val="center"/>
          </w:tcPr>
          <w:p w14:paraId="0CC13846">
            <w:pPr>
              <w:spacing w:line="320" w:lineRule="exact"/>
              <w:rPr>
                <w:rFonts w:ascii="宋体" w:hAnsi="宋体" w:cs="宋体"/>
                <w:color w:val="auto"/>
                <w:sz w:val="24"/>
                <w:highlight w:val="none"/>
              </w:rPr>
            </w:pPr>
            <w:r>
              <w:rPr>
                <w:rFonts w:hint="eastAsia" w:ascii="宋体" w:hAnsi="宋体" w:cs="宋体"/>
                <w:color w:val="auto"/>
                <w:sz w:val="24"/>
                <w:highlight w:val="none"/>
              </w:rPr>
              <w:t>2.逐步推行“定时定点”，集中收集点、投放点分类不正确，每发现一处扣1分。（随机抽查5处，数量不足以入户桶代替）</w:t>
            </w:r>
          </w:p>
        </w:tc>
        <w:tc>
          <w:tcPr>
            <w:tcW w:w="867" w:type="dxa"/>
            <w:tcBorders>
              <w:tl2br w:val="nil"/>
              <w:tr2bl w:val="nil"/>
            </w:tcBorders>
            <w:noWrap w:val="0"/>
            <w:vAlign w:val="center"/>
          </w:tcPr>
          <w:p w14:paraId="397A6785">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7C7E5A42">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43F5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00" w:type="dxa"/>
            <w:vMerge w:val="continue"/>
            <w:tcBorders>
              <w:tl2br w:val="nil"/>
              <w:tr2bl w:val="nil"/>
            </w:tcBorders>
            <w:noWrap w:val="0"/>
            <w:vAlign w:val="center"/>
          </w:tcPr>
          <w:p w14:paraId="0D171CA7">
            <w:pPr>
              <w:spacing w:line="360" w:lineRule="auto"/>
              <w:ind w:right="119" w:firstLine="480" w:firstLineChars="200"/>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7B47BCA4">
            <w:pPr>
              <w:spacing w:line="320" w:lineRule="exact"/>
              <w:jc w:val="center"/>
              <w:rPr>
                <w:rFonts w:ascii="宋体" w:hAnsi="宋体" w:cs="宋体"/>
                <w:color w:val="auto"/>
                <w:sz w:val="24"/>
                <w:highlight w:val="none"/>
              </w:rPr>
            </w:pPr>
          </w:p>
        </w:tc>
        <w:tc>
          <w:tcPr>
            <w:tcW w:w="5893" w:type="dxa"/>
            <w:tcBorders>
              <w:tl2br w:val="nil"/>
              <w:tr2bl w:val="nil"/>
            </w:tcBorders>
            <w:noWrap w:val="0"/>
            <w:vAlign w:val="center"/>
          </w:tcPr>
          <w:p w14:paraId="4EE033A0">
            <w:pPr>
              <w:spacing w:line="320" w:lineRule="exact"/>
              <w:rPr>
                <w:rFonts w:ascii="宋体" w:hAnsi="宋体" w:cs="宋体"/>
                <w:color w:val="auto"/>
                <w:sz w:val="24"/>
                <w:highlight w:val="none"/>
              </w:rPr>
            </w:pPr>
            <w:r>
              <w:rPr>
                <w:rFonts w:hint="eastAsia" w:ascii="宋体" w:hAnsi="宋体" w:cs="宋体"/>
                <w:color w:val="auto"/>
                <w:sz w:val="24"/>
                <w:highlight w:val="none"/>
              </w:rPr>
              <w:t>3.随机抽查农户分类质量（入户检查或者户外桶），分类不正确，每户扣0.2分。（共计抽查20户，其中三类人员5户）</w:t>
            </w:r>
          </w:p>
        </w:tc>
        <w:tc>
          <w:tcPr>
            <w:tcW w:w="867" w:type="dxa"/>
            <w:tcBorders>
              <w:tl2br w:val="nil"/>
              <w:tr2bl w:val="nil"/>
            </w:tcBorders>
            <w:noWrap w:val="0"/>
            <w:vAlign w:val="center"/>
          </w:tcPr>
          <w:p w14:paraId="254332F7">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19C0CF41">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否</w:t>
            </w:r>
          </w:p>
        </w:tc>
      </w:tr>
      <w:tr w14:paraId="1287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00" w:type="dxa"/>
            <w:vMerge w:val="restart"/>
            <w:tcBorders>
              <w:tl2br w:val="nil"/>
              <w:tr2bl w:val="nil"/>
            </w:tcBorders>
            <w:noWrap w:val="0"/>
            <w:vAlign w:val="center"/>
          </w:tcPr>
          <w:p w14:paraId="4E6D2C3B">
            <w:pPr>
              <w:spacing w:line="360" w:lineRule="auto"/>
              <w:ind w:right="119"/>
              <w:jc w:val="center"/>
              <w:rPr>
                <w:rFonts w:ascii="宋体" w:hAnsi="宋体" w:cs="宋体"/>
                <w:color w:val="auto"/>
                <w:sz w:val="24"/>
                <w:highlight w:val="none"/>
              </w:rPr>
            </w:pPr>
            <w:r>
              <w:rPr>
                <w:rFonts w:hint="eastAsia" w:ascii="宋体" w:hAnsi="宋体" w:cs="宋体"/>
                <w:color w:val="auto"/>
                <w:sz w:val="24"/>
                <w:highlight w:val="none"/>
              </w:rPr>
              <w:t>清理乱堆乱放（20分）</w:t>
            </w:r>
          </w:p>
        </w:tc>
        <w:tc>
          <w:tcPr>
            <w:tcW w:w="1307" w:type="dxa"/>
            <w:vMerge w:val="restart"/>
            <w:tcBorders>
              <w:tl2br w:val="nil"/>
              <w:tr2bl w:val="nil"/>
            </w:tcBorders>
            <w:noWrap w:val="0"/>
            <w:vAlign w:val="center"/>
          </w:tcPr>
          <w:p w14:paraId="58A43567">
            <w:pPr>
              <w:jc w:val="center"/>
              <w:rPr>
                <w:rFonts w:ascii="宋体" w:hAnsi="宋体" w:cs="宋体"/>
                <w:color w:val="auto"/>
                <w:sz w:val="24"/>
                <w:highlight w:val="none"/>
              </w:rPr>
            </w:pPr>
            <w:r>
              <w:rPr>
                <w:rFonts w:hint="eastAsia" w:ascii="宋体" w:hAnsi="宋体" w:cs="宋体"/>
                <w:color w:val="auto"/>
                <w:sz w:val="24"/>
                <w:highlight w:val="none"/>
              </w:rPr>
              <w:t>主要道路</w:t>
            </w:r>
          </w:p>
        </w:tc>
        <w:tc>
          <w:tcPr>
            <w:tcW w:w="5893" w:type="dxa"/>
            <w:tcBorders>
              <w:tl2br w:val="nil"/>
              <w:tr2bl w:val="nil"/>
            </w:tcBorders>
            <w:noWrap w:val="0"/>
            <w:vAlign w:val="center"/>
          </w:tcPr>
          <w:p w14:paraId="4EABCD39">
            <w:pPr>
              <w:spacing w:line="320" w:lineRule="exact"/>
              <w:rPr>
                <w:rFonts w:ascii="宋体" w:hAnsi="宋体" w:cs="宋体"/>
                <w:color w:val="auto"/>
                <w:sz w:val="24"/>
                <w:highlight w:val="none"/>
              </w:rPr>
            </w:pPr>
            <w:r>
              <w:rPr>
                <w:rFonts w:hint="eastAsia" w:ascii="宋体" w:hAnsi="宋体" w:cs="宋体"/>
                <w:color w:val="auto"/>
                <w:sz w:val="24"/>
                <w:highlight w:val="none"/>
              </w:rPr>
              <w:t>1.村内主要道路、村内巷道、河道岸坡、绿化带、花坛、公共场所，每发现一处乱堆建筑垃圾、乱放生产生活用具、乱丢旧家具等乱堆乱放现场扣0.5分。</w:t>
            </w:r>
          </w:p>
        </w:tc>
        <w:tc>
          <w:tcPr>
            <w:tcW w:w="867" w:type="dxa"/>
            <w:tcBorders>
              <w:tl2br w:val="nil"/>
              <w:tr2bl w:val="nil"/>
            </w:tcBorders>
            <w:noWrap w:val="0"/>
            <w:vAlign w:val="center"/>
          </w:tcPr>
          <w:p w14:paraId="449FA000">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732329CB">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2204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00" w:type="dxa"/>
            <w:vMerge w:val="continue"/>
            <w:tcBorders>
              <w:tl2br w:val="nil"/>
              <w:tr2bl w:val="nil"/>
            </w:tcBorders>
            <w:noWrap w:val="0"/>
            <w:vAlign w:val="center"/>
          </w:tcPr>
          <w:p w14:paraId="3752983A">
            <w:pPr>
              <w:spacing w:line="360" w:lineRule="auto"/>
              <w:ind w:left="240" w:right="119" w:hanging="240" w:hangingChars="100"/>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7FF1E447">
            <w:pPr>
              <w:jc w:val="center"/>
              <w:rPr>
                <w:rFonts w:ascii="宋体" w:hAnsi="宋体" w:cs="宋体"/>
                <w:color w:val="auto"/>
                <w:sz w:val="24"/>
                <w:highlight w:val="none"/>
              </w:rPr>
            </w:pPr>
          </w:p>
        </w:tc>
        <w:tc>
          <w:tcPr>
            <w:tcW w:w="5893" w:type="dxa"/>
            <w:tcBorders>
              <w:tl2br w:val="nil"/>
              <w:tr2bl w:val="nil"/>
            </w:tcBorders>
            <w:noWrap w:val="0"/>
            <w:vAlign w:val="center"/>
          </w:tcPr>
          <w:p w14:paraId="06B62F08">
            <w:pPr>
              <w:spacing w:line="320" w:lineRule="exact"/>
              <w:rPr>
                <w:rFonts w:ascii="宋体" w:hAnsi="宋体" w:cs="宋体"/>
                <w:color w:val="auto"/>
                <w:sz w:val="24"/>
                <w:highlight w:val="none"/>
              </w:rPr>
            </w:pPr>
            <w:r>
              <w:rPr>
                <w:rFonts w:hint="eastAsia" w:ascii="宋体" w:hAnsi="宋体" w:cs="宋体"/>
                <w:color w:val="auto"/>
                <w:sz w:val="24"/>
                <w:highlight w:val="none"/>
              </w:rPr>
              <w:t>2.村内主干道、空余场地、公共停车场（泊位），车辆乱停放每发现一处扣0.2分，僵尸车每发现一辆扣0.5分。</w:t>
            </w:r>
          </w:p>
        </w:tc>
        <w:tc>
          <w:tcPr>
            <w:tcW w:w="867" w:type="dxa"/>
            <w:tcBorders>
              <w:tl2br w:val="nil"/>
              <w:tr2bl w:val="nil"/>
            </w:tcBorders>
            <w:noWrap w:val="0"/>
            <w:vAlign w:val="center"/>
          </w:tcPr>
          <w:p w14:paraId="7FB926B8">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3D57B221">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44B2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00" w:type="dxa"/>
            <w:vMerge w:val="continue"/>
            <w:tcBorders>
              <w:tl2br w:val="nil"/>
              <w:tr2bl w:val="nil"/>
            </w:tcBorders>
            <w:noWrap w:val="0"/>
            <w:vAlign w:val="center"/>
          </w:tcPr>
          <w:p w14:paraId="3DA1A47F">
            <w:pPr>
              <w:spacing w:line="360" w:lineRule="auto"/>
              <w:ind w:right="119" w:firstLine="480" w:firstLineChars="200"/>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46E3F9BE">
            <w:pPr>
              <w:jc w:val="center"/>
              <w:rPr>
                <w:rFonts w:ascii="宋体" w:hAnsi="宋体" w:cs="宋体"/>
                <w:color w:val="auto"/>
                <w:sz w:val="24"/>
                <w:highlight w:val="none"/>
              </w:rPr>
            </w:pPr>
          </w:p>
        </w:tc>
        <w:tc>
          <w:tcPr>
            <w:tcW w:w="5893" w:type="dxa"/>
            <w:tcBorders>
              <w:tl2br w:val="nil"/>
              <w:tr2bl w:val="nil"/>
            </w:tcBorders>
            <w:noWrap w:val="0"/>
            <w:vAlign w:val="center"/>
          </w:tcPr>
          <w:p w14:paraId="270E1670">
            <w:pPr>
              <w:spacing w:line="320" w:lineRule="exact"/>
              <w:rPr>
                <w:rFonts w:ascii="宋体" w:hAnsi="宋体" w:cs="宋体"/>
                <w:color w:val="auto"/>
                <w:sz w:val="24"/>
                <w:highlight w:val="none"/>
              </w:rPr>
            </w:pPr>
            <w:r>
              <w:rPr>
                <w:rFonts w:hint="eastAsia" w:ascii="宋体" w:hAnsi="宋体" w:cs="宋体"/>
                <w:color w:val="auto"/>
                <w:sz w:val="24"/>
                <w:highlight w:val="none"/>
              </w:rPr>
              <w:t>3.主要道路和公共区域发现散养家禽等，每发现一处扣0.2分，最多扣2处。</w:t>
            </w:r>
          </w:p>
        </w:tc>
        <w:tc>
          <w:tcPr>
            <w:tcW w:w="867" w:type="dxa"/>
            <w:tcBorders>
              <w:tl2br w:val="nil"/>
              <w:tr2bl w:val="nil"/>
            </w:tcBorders>
            <w:noWrap w:val="0"/>
            <w:vAlign w:val="center"/>
          </w:tcPr>
          <w:p w14:paraId="7355C2A0">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30911766">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0ADE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00" w:type="dxa"/>
            <w:vMerge w:val="continue"/>
            <w:tcBorders>
              <w:tl2br w:val="nil"/>
              <w:tr2bl w:val="nil"/>
            </w:tcBorders>
            <w:noWrap w:val="0"/>
            <w:vAlign w:val="center"/>
          </w:tcPr>
          <w:p w14:paraId="49C20AB4">
            <w:pPr>
              <w:spacing w:line="360" w:lineRule="auto"/>
              <w:ind w:left="240" w:right="119" w:hanging="240" w:hangingChars="100"/>
              <w:jc w:val="center"/>
              <w:rPr>
                <w:rFonts w:ascii="宋体" w:hAnsi="宋体" w:cs="宋体"/>
                <w:color w:val="auto"/>
                <w:sz w:val="24"/>
                <w:highlight w:val="none"/>
              </w:rPr>
            </w:pPr>
          </w:p>
        </w:tc>
        <w:tc>
          <w:tcPr>
            <w:tcW w:w="1307" w:type="dxa"/>
            <w:tcBorders>
              <w:tl2br w:val="nil"/>
              <w:tr2bl w:val="nil"/>
            </w:tcBorders>
            <w:noWrap w:val="0"/>
            <w:vAlign w:val="center"/>
          </w:tcPr>
          <w:p w14:paraId="13BA9953">
            <w:pPr>
              <w:jc w:val="center"/>
              <w:rPr>
                <w:rFonts w:ascii="宋体" w:hAnsi="宋体" w:cs="宋体"/>
                <w:color w:val="auto"/>
                <w:sz w:val="24"/>
                <w:highlight w:val="none"/>
              </w:rPr>
            </w:pPr>
            <w:r>
              <w:rPr>
                <w:rFonts w:hint="eastAsia" w:ascii="宋体" w:hAnsi="宋体" w:cs="宋体"/>
                <w:color w:val="auto"/>
                <w:sz w:val="24"/>
                <w:highlight w:val="none"/>
              </w:rPr>
              <w:t>房前屋后</w:t>
            </w:r>
          </w:p>
        </w:tc>
        <w:tc>
          <w:tcPr>
            <w:tcW w:w="5893" w:type="dxa"/>
            <w:tcBorders>
              <w:tl2br w:val="nil"/>
              <w:tr2bl w:val="nil"/>
            </w:tcBorders>
            <w:noWrap w:val="0"/>
            <w:vAlign w:val="center"/>
          </w:tcPr>
          <w:p w14:paraId="29AA9D13">
            <w:pPr>
              <w:spacing w:line="320" w:lineRule="exact"/>
              <w:rPr>
                <w:rFonts w:ascii="宋体" w:hAnsi="宋体" w:cs="宋体"/>
                <w:color w:val="auto"/>
                <w:sz w:val="24"/>
                <w:highlight w:val="none"/>
              </w:rPr>
            </w:pPr>
            <w:r>
              <w:rPr>
                <w:rFonts w:hint="eastAsia" w:ascii="宋体" w:hAnsi="宋体" w:cs="宋体"/>
                <w:color w:val="auto"/>
                <w:sz w:val="24"/>
                <w:highlight w:val="none"/>
              </w:rPr>
              <w:t>检查房前屋后环境，有存在柴草、生产用具、废弃物资等生产生活用具堆放混乱每发现一处扣0.5分。</w:t>
            </w:r>
          </w:p>
        </w:tc>
        <w:tc>
          <w:tcPr>
            <w:tcW w:w="867" w:type="dxa"/>
            <w:tcBorders>
              <w:tl2br w:val="nil"/>
              <w:tr2bl w:val="nil"/>
            </w:tcBorders>
            <w:noWrap w:val="0"/>
            <w:vAlign w:val="center"/>
          </w:tcPr>
          <w:p w14:paraId="5AA3646C">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672E5654">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3A61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00" w:type="dxa"/>
            <w:vMerge w:val="continue"/>
            <w:tcBorders>
              <w:tl2br w:val="nil"/>
              <w:tr2bl w:val="nil"/>
            </w:tcBorders>
            <w:noWrap w:val="0"/>
            <w:vAlign w:val="center"/>
          </w:tcPr>
          <w:p w14:paraId="49CDDF69">
            <w:pPr>
              <w:spacing w:line="360" w:lineRule="auto"/>
              <w:ind w:right="119"/>
              <w:jc w:val="center"/>
              <w:rPr>
                <w:rFonts w:ascii="宋体" w:hAnsi="宋体" w:cs="宋体"/>
                <w:color w:val="auto"/>
                <w:sz w:val="24"/>
                <w:highlight w:val="none"/>
              </w:rPr>
            </w:pPr>
          </w:p>
        </w:tc>
        <w:tc>
          <w:tcPr>
            <w:tcW w:w="1307" w:type="dxa"/>
            <w:vMerge w:val="restart"/>
            <w:tcBorders>
              <w:tl2br w:val="nil"/>
              <w:tr2bl w:val="nil"/>
            </w:tcBorders>
            <w:noWrap w:val="0"/>
            <w:vAlign w:val="center"/>
          </w:tcPr>
          <w:p w14:paraId="40A77BEC">
            <w:pPr>
              <w:jc w:val="center"/>
              <w:rPr>
                <w:rFonts w:ascii="宋体" w:hAnsi="宋体" w:cs="宋体"/>
                <w:color w:val="auto"/>
                <w:sz w:val="24"/>
                <w:highlight w:val="none"/>
              </w:rPr>
            </w:pPr>
            <w:r>
              <w:rPr>
                <w:rFonts w:hint="eastAsia" w:ascii="宋体" w:hAnsi="宋体" w:cs="宋体"/>
                <w:color w:val="auto"/>
                <w:sz w:val="24"/>
                <w:highlight w:val="none"/>
              </w:rPr>
              <w:t>经营市场和田间地头</w:t>
            </w:r>
          </w:p>
        </w:tc>
        <w:tc>
          <w:tcPr>
            <w:tcW w:w="5893" w:type="dxa"/>
            <w:tcBorders>
              <w:tl2br w:val="nil"/>
              <w:tr2bl w:val="nil"/>
            </w:tcBorders>
            <w:noWrap w:val="0"/>
            <w:vAlign w:val="center"/>
          </w:tcPr>
          <w:p w14:paraId="6E8C9F93">
            <w:pPr>
              <w:spacing w:line="320" w:lineRule="exact"/>
              <w:rPr>
                <w:rFonts w:ascii="宋体" w:hAnsi="宋体" w:cs="宋体"/>
                <w:color w:val="auto"/>
                <w:sz w:val="24"/>
                <w:highlight w:val="none"/>
              </w:rPr>
            </w:pPr>
            <w:r>
              <w:rPr>
                <w:rFonts w:hint="eastAsia" w:ascii="宋体" w:hAnsi="宋体" w:cs="宋体"/>
                <w:color w:val="auto"/>
                <w:sz w:val="24"/>
                <w:highlight w:val="none"/>
              </w:rPr>
              <w:t>1.走访村内农贸市场商铺和营业房，物品乱堆乱放、破蓬散架、占道和跨门经营的每发现一处扣0.5分。</w:t>
            </w:r>
          </w:p>
        </w:tc>
        <w:tc>
          <w:tcPr>
            <w:tcW w:w="867" w:type="dxa"/>
            <w:tcBorders>
              <w:tl2br w:val="nil"/>
              <w:tr2bl w:val="nil"/>
            </w:tcBorders>
            <w:noWrap w:val="0"/>
            <w:vAlign w:val="center"/>
          </w:tcPr>
          <w:p w14:paraId="03A50AF6">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07BEF2BC">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25F9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0" w:type="dxa"/>
            <w:vMerge w:val="continue"/>
            <w:tcBorders>
              <w:tl2br w:val="nil"/>
              <w:tr2bl w:val="nil"/>
            </w:tcBorders>
            <w:noWrap w:val="0"/>
            <w:vAlign w:val="center"/>
          </w:tcPr>
          <w:p w14:paraId="342489ED">
            <w:pPr>
              <w:spacing w:line="360" w:lineRule="auto"/>
              <w:ind w:right="119" w:firstLine="240" w:firstLineChars="100"/>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38EF42D3">
            <w:pPr>
              <w:jc w:val="center"/>
              <w:rPr>
                <w:rFonts w:ascii="宋体" w:hAnsi="宋体" w:cs="宋体"/>
                <w:color w:val="auto"/>
                <w:sz w:val="24"/>
                <w:highlight w:val="none"/>
              </w:rPr>
            </w:pPr>
          </w:p>
        </w:tc>
        <w:tc>
          <w:tcPr>
            <w:tcW w:w="5893" w:type="dxa"/>
            <w:tcBorders>
              <w:tl2br w:val="nil"/>
              <w:tr2bl w:val="nil"/>
            </w:tcBorders>
            <w:noWrap w:val="0"/>
            <w:vAlign w:val="center"/>
          </w:tcPr>
          <w:p w14:paraId="5F715AF9">
            <w:pPr>
              <w:spacing w:line="320" w:lineRule="exact"/>
              <w:rPr>
                <w:rFonts w:ascii="宋体" w:hAnsi="宋体" w:cs="宋体"/>
                <w:color w:val="auto"/>
                <w:sz w:val="24"/>
                <w:highlight w:val="none"/>
              </w:rPr>
            </w:pPr>
            <w:r>
              <w:rPr>
                <w:rFonts w:hint="eastAsia" w:ascii="宋体" w:hAnsi="宋体" w:cs="宋体"/>
                <w:color w:val="auto"/>
                <w:sz w:val="24"/>
                <w:highlight w:val="none"/>
              </w:rPr>
              <w:t>2.田间地头有农药化肥废弃包装物、废弃农膜等乱堆放现象，每发现一处扣0.5分。</w:t>
            </w:r>
          </w:p>
        </w:tc>
        <w:tc>
          <w:tcPr>
            <w:tcW w:w="867" w:type="dxa"/>
            <w:tcBorders>
              <w:tl2br w:val="nil"/>
              <w:tr2bl w:val="nil"/>
            </w:tcBorders>
            <w:noWrap w:val="0"/>
            <w:vAlign w:val="center"/>
          </w:tcPr>
          <w:p w14:paraId="6ADD448B">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55199832">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006D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0" w:type="dxa"/>
            <w:vMerge w:val="continue"/>
            <w:tcBorders>
              <w:tl2br w:val="nil"/>
              <w:tr2bl w:val="nil"/>
            </w:tcBorders>
            <w:noWrap w:val="0"/>
            <w:vAlign w:val="center"/>
          </w:tcPr>
          <w:p w14:paraId="307A52A3">
            <w:pPr>
              <w:spacing w:line="360" w:lineRule="auto"/>
              <w:ind w:right="119"/>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530B5F0B">
            <w:pPr>
              <w:jc w:val="center"/>
              <w:rPr>
                <w:rFonts w:ascii="宋体" w:hAnsi="宋体" w:cs="宋体"/>
                <w:color w:val="auto"/>
                <w:sz w:val="24"/>
                <w:highlight w:val="none"/>
              </w:rPr>
            </w:pPr>
          </w:p>
        </w:tc>
        <w:tc>
          <w:tcPr>
            <w:tcW w:w="5893" w:type="dxa"/>
            <w:tcBorders>
              <w:tl2br w:val="nil"/>
              <w:tr2bl w:val="nil"/>
            </w:tcBorders>
            <w:noWrap w:val="0"/>
            <w:vAlign w:val="center"/>
          </w:tcPr>
          <w:p w14:paraId="3F48387F">
            <w:pPr>
              <w:spacing w:line="320" w:lineRule="exact"/>
              <w:rPr>
                <w:rFonts w:ascii="宋体" w:hAnsi="宋体" w:cs="宋体"/>
                <w:color w:val="auto"/>
                <w:sz w:val="24"/>
                <w:highlight w:val="none"/>
              </w:rPr>
            </w:pPr>
            <w:r>
              <w:rPr>
                <w:rFonts w:hint="eastAsia" w:ascii="宋体" w:hAnsi="宋体" w:cs="宋体"/>
                <w:color w:val="auto"/>
                <w:sz w:val="24"/>
                <w:highlight w:val="none"/>
              </w:rPr>
              <w:t>3.菜园围栏、各类棚架实用美观，有广告布缠绕，季节性枯枝蔓藤未及时清理等现象，每处扣0.5分。</w:t>
            </w:r>
          </w:p>
        </w:tc>
        <w:tc>
          <w:tcPr>
            <w:tcW w:w="867" w:type="dxa"/>
            <w:tcBorders>
              <w:tl2br w:val="nil"/>
              <w:tr2bl w:val="nil"/>
            </w:tcBorders>
            <w:noWrap w:val="0"/>
            <w:vAlign w:val="center"/>
          </w:tcPr>
          <w:p w14:paraId="7933440B">
            <w:pPr>
              <w:spacing w:line="380" w:lineRule="exact"/>
              <w:ind w:right="119" w:firstLine="420" w:firstLineChars="200"/>
              <w:jc w:val="center"/>
              <w:rPr>
                <w:rFonts w:ascii="宋体" w:hAnsi="宋体" w:cs="宋体"/>
                <w:color w:val="auto"/>
                <w:szCs w:val="21"/>
                <w:highlight w:val="none"/>
              </w:rPr>
            </w:pPr>
          </w:p>
        </w:tc>
        <w:tc>
          <w:tcPr>
            <w:tcW w:w="1083" w:type="dxa"/>
            <w:tcBorders>
              <w:tl2br w:val="nil"/>
              <w:tr2bl w:val="nil"/>
            </w:tcBorders>
            <w:noWrap w:val="0"/>
            <w:vAlign w:val="center"/>
          </w:tcPr>
          <w:p w14:paraId="4ACA2BFC">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2D6B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00" w:type="dxa"/>
            <w:vMerge w:val="restart"/>
            <w:tcBorders>
              <w:tl2br w:val="nil"/>
              <w:tr2bl w:val="nil"/>
            </w:tcBorders>
            <w:noWrap w:val="0"/>
            <w:vAlign w:val="center"/>
          </w:tcPr>
          <w:p w14:paraId="4EF4C415">
            <w:pPr>
              <w:ind w:right="119"/>
              <w:jc w:val="center"/>
              <w:rPr>
                <w:rFonts w:ascii="宋体" w:hAnsi="宋体" w:cs="宋体"/>
                <w:color w:val="auto"/>
                <w:sz w:val="24"/>
                <w:highlight w:val="none"/>
              </w:rPr>
            </w:pPr>
            <w:r>
              <w:rPr>
                <w:rFonts w:hint="eastAsia" w:ascii="宋体" w:hAnsi="宋体" w:cs="宋体"/>
                <w:color w:val="auto"/>
                <w:sz w:val="24"/>
                <w:highlight w:val="none"/>
              </w:rPr>
              <w:t>清理空倒房（5分）</w:t>
            </w:r>
          </w:p>
        </w:tc>
        <w:tc>
          <w:tcPr>
            <w:tcW w:w="1307" w:type="dxa"/>
            <w:tcBorders>
              <w:tl2br w:val="nil"/>
              <w:tr2bl w:val="nil"/>
            </w:tcBorders>
            <w:noWrap w:val="0"/>
            <w:vAlign w:val="center"/>
          </w:tcPr>
          <w:p w14:paraId="6B184A1E">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空倒房</w:t>
            </w:r>
          </w:p>
        </w:tc>
        <w:tc>
          <w:tcPr>
            <w:tcW w:w="5893" w:type="dxa"/>
            <w:tcBorders>
              <w:tl2br w:val="nil"/>
              <w:tr2bl w:val="nil"/>
            </w:tcBorders>
            <w:noWrap w:val="0"/>
            <w:vAlign w:val="center"/>
          </w:tcPr>
          <w:p w14:paraId="24D1D5E9">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走访村容村貌整体情况，每发现一处影响村容村貌、有碍观瞻及影响公共安全的残垣断壁、危房等空倒房，每发现一处扣0.5分。</w:t>
            </w:r>
          </w:p>
        </w:tc>
        <w:tc>
          <w:tcPr>
            <w:tcW w:w="867" w:type="dxa"/>
            <w:tcBorders>
              <w:tl2br w:val="nil"/>
              <w:tr2bl w:val="nil"/>
            </w:tcBorders>
            <w:noWrap w:val="0"/>
            <w:vAlign w:val="center"/>
          </w:tcPr>
          <w:p w14:paraId="1CD5523B">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0DACF82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否</w:t>
            </w:r>
          </w:p>
        </w:tc>
      </w:tr>
      <w:tr w14:paraId="72F1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0" w:type="dxa"/>
            <w:vMerge w:val="continue"/>
            <w:tcBorders>
              <w:tl2br w:val="nil"/>
              <w:tr2bl w:val="nil"/>
            </w:tcBorders>
            <w:noWrap w:val="0"/>
            <w:vAlign w:val="center"/>
          </w:tcPr>
          <w:p w14:paraId="047B8529">
            <w:pPr>
              <w:ind w:right="119" w:firstLine="480" w:firstLineChars="200"/>
              <w:jc w:val="center"/>
              <w:rPr>
                <w:rFonts w:ascii="宋体" w:hAnsi="宋体" w:cs="宋体"/>
                <w:color w:val="auto"/>
                <w:sz w:val="24"/>
                <w:highlight w:val="none"/>
              </w:rPr>
            </w:pPr>
          </w:p>
        </w:tc>
        <w:tc>
          <w:tcPr>
            <w:tcW w:w="1307" w:type="dxa"/>
            <w:tcBorders>
              <w:tl2br w:val="nil"/>
              <w:tr2bl w:val="nil"/>
            </w:tcBorders>
            <w:noWrap w:val="0"/>
            <w:vAlign w:val="center"/>
          </w:tcPr>
          <w:p w14:paraId="364BD342">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拆后利用</w:t>
            </w:r>
          </w:p>
        </w:tc>
        <w:tc>
          <w:tcPr>
            <w:tcW w:w="5893" w:type="dxa"/>
            <w:tcBorders>
              <w:tl2br w:val="nil"/>
              <w:tr2bl w:val="nil"/>
            </w:tcBorders>
            <w:noWrap w:val="0"/>
            <w:vAlign w:val="center"/>
          </w:tcPr>
          <w:p w14:paraId="604814D0">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空倒房拆除后，未进行有效利用的，每发现一处扣0.5分。</w:t>
            </w:r>
          </w:p>
        </w:tc>
        <w:tc>
          <w:tcPr>
            <w:tcW w:w="867" w:type="dxa"/>
            <w:tcBorders>
              <w:tl2br w:val="nil"/>
              <w:tr2bl w:val="nil"/>
            </w:tcBorders>
            <w:noWrap w:val="0"/>
            <w:vAlign w:val="center"/>
          </w:tcPr>
          <w:p w14:paraId="41EA7E0D">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00A5EB99">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449D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00" w:type="dxa"/>
            <w:vMerge w:val="continue"/>
            <w:tcBorders>
              <w:tl2br w:val="nil"/>
              <w:tr2bl w:val="nil"/>
            </w:tcBorders>
            <w:noWrap w:val="0"/>
            <w:vAlign w:val="center"/>
          </w:tcPr>
          <w:p w14:paraId="4D4929CE">
            <w:pPr>
              <w:ind w:right="119" w:firstLine="480" w:firstLineChars="200"/>
              <w:jc w:val="center"/>
              <w:rPr>
                <w:rFonts w:ascii="宋体" w:hAnsi="宋体" w:cs="宋体"/>
                <w:color w:val="auto"/>
                <w:sz w:val="24"/>
                <w:highlight w:val="none"/>
              </w:rPr>
            </w:pPr>
          </w:p>
        </w:tc>
        <w:tc>
          <w:tcPr>
            <w:tcW w:w="1307" w:type="dxa"/>
            <w:tcBorders>
              <w:tl2br w:val="nil"/>
              <w:tr2bl w:val="nil"/>
            </w:tcBorders>
            <w:noWrap w:val="0"/>
            <w:vAlign w:val="center"/>
          </w:tcPr>
          <w:p w14:paraId="726BCA13">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违章搭建</w:t>
            </w:r>
          </w:p>
        </w:tc>
        <w:tc>
          <w:tcPr>
            <w:tcW w:w="5893" w:type="dxa"/>
            <w:tcBorders>
              <w:tl2br w:val="nil"/>
              <w:tr2bl w:val="nil"/>
            </w:tcBorders>
            <w:noWrap w:val="0"/>
            <w:vAlign w:val="center"/>
          </w:tcPr>
          <w:p w14:paraId="1ADF792B">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查看是否有影响村容村貌的违章搭建或非法“一户多宅”，每发现一处扣0.5分。</w:t>
            </w:r>
          </w:p>
        </w:tc>
        <w:tc>
          <w:tcPr>
            <w:tcW w:w="867" w:type="dxa"/>
            <w:tcBorders>
              <w:tl2br w:val="nil"/>
              <w:tr2bl w:val="nil"/>
            </w:tcBorders>
            <w:noWrap w:val="0"/>
            <w:vAlign w:val="center"/>
          </w:tcPr>
          <w:p w14:paraId="405402EA">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20A4BFA3">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6126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0" w:type="dxa"/>
            <w:vMerge w:val="restart"/>
            <w:tcBorders>
              <w:tl2br w:val="nil"/>
              <w:tr2bl w:val="nil"/>
            </w:tcBorders>
            <w:noWrap w:val="0"/>
            <w:vAlign w:val="center"/>
          </w:tcPr>
          <w:p w14:paraId="6CECBE47">
            <w:pPr>
              <w:ind w:right="119"/>
              <w:jc w:val="center"/>
              <w:rPr>
                <w:rFonts w:ascii="宋体" w:hAnsi="宋体" w:cs="宋体"/>
                <w:color w:val="auto"/>
                <w:sz w:val="24"/>
                <w:highlight w:val="none"/>
              </w:rPr>
            </w:pPr>
            <w:r>
              <w:rPr>
                <w:rFonts w:hint="eastAsia" w:ascii="宋体" w:hAnsi="宋体" w:cs="宋体"/>
                <w:color w:val="auto"/>
                <w:sz w:val="24"/>
                <w:highlight w:val="none"/>
              </w:rPr>
              <w:t>公厕洁化（10分）</w:t>
            </w:r>
          </w:p>
        </w:tc>
        <w:tc>
          <w:tcPr>
            <w:tcW w:w="1307" w:type="dxa"/>
            <w:tcBorders>
              <w:tl2br w:val="nil"/>
              <w:tr2bl w:val="nil"/>
            </w:tcBorders>
            <w:noWrap w:val="0"/>
            <w:vAlign w:val="center"/>
          </w:tcPr>
          <w:p w14:paraId="53E2EF3F">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旱厕排查</w:t>
            </w:r>
          </w:p>
        </w:tc>
        <w:tc>
          <w:tcPr>
            <w:tcW w:w="5893" w:type="dxa"/>
            <w:tcBorders>
              <w:tl2br w:val="nil"/>
              <w:tr2bl w:val="nil"/>
            </w:tcBorders>
            <w:noWrap w:val="0"/>
            <w:vAlign w:val="center"/>
          </w:tcPr>
          <w:p w14:paraId="077788A1">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村内有露天粪缸、粪桶、简易棚厕、直排厕所、旱厕等，每发现一处扣2分。</w:t>
            </w:r>
          </w:p>
        </w:tc>
        <w:tc>
          <w:tcPr>
            <w:tcW w:w="867" w:type="dxa"/>
            <w:tcBorders>
              <w:tl2br w:val="nil"/>
              <w:tr2bl w:val="nil"/>
            </w:tcBorders>
            <w:noWrap w:val="0"/>
            <w:vAlign w:val="center"/>
          </w:tcPr>
          <w:p w14:paraId="0A3D4E13">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49413682">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1261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0" w:type="dxa"/>
            <w:vMerge w:val="continue"/>
            <w:tcBorders>
              <w:tl2br w:val="nil"/>
              <w:tr2bl w:val="nil"/>
            </w:tcBorders>
            <w:noWrap w:val="0"/>
            <w:vAlign w:val="center"/>
          </w:tcPr>
          <w:p w14:paraId="20B95541">
            <w:pPr>
              <w:ind w:right="119" w:firstLine="480" w:firstLineChars="200"/>
              <w:jc w:val="center"/>
              <w:rPr>
                <w:rFonts w:ascii="宋体" w:hAnsi="宋体" w:cs="宋体"/>
                <w:color w:val="auto"/>
                <w:sz w:val="24"/>
                <w:highlight w:val="none"/>
              </w:rPr>
            </w:pPr>
          </w:p>
        </w:tc>
        <w:tc>
          <w:tcPr>
            <w:tcW w:w="1307" w:type="dxa"/>
            <w:vMerge w:val="restart"/>
            <w:tcBorders>
              <w:tl2br w:val="nil"/>
              <w:tr2bl w:val="nil"/>
            </w:tcBorders>
            <w:noWrap w:val="0"/>
            <w:vAlign w:val="center"/>
          </w:tcPr>
          <w:p w14:paraId="78F979F3">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公厕管理</w:t>
            </w:r>
          </w:p>
        </w:tc>
        <w:tc>
          <w:tcPr>
            <w:tcW w:w="5893" w:type="dxa"/>
            <w:tcBorders>
              <w:tl2br w:val="nil"/>
              <w:tr2bl w:val="nil"/>
            </w:tcBorders>
            <w:noWrap w:val="0"/>
            <w:vAlign w:val="center"/>
          </w:tcPr>
          <w:p w14:paraId="51FF4ED3">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1.随机走访村内公厕（2座以上），发现卫生不整洁，每座扣1分。</w:t>
            </w:r>
          </w:p>
        </w:tc>
        <w:tc>
          <w:tcPr>
            <w:tcW w:w="867" w:type="dxa"/>
            <w:tcBorders>
              <w:tl2br w:val="nil"/>
              <w:tr2bl w:val="nil"/>
            </w:tcBorders>
            <w:noWrap w:val="0"/>
            <w:vAlign w:val="center"/>
          </w:tcPr>
          <w:p w14:paraId="1D0583B2">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51928E8D">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3598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00" w:type="dxa"/>
            <w:vMerge w:val="continue"/>
            <w:tcBorders>
              <w:tl2br w:val="nil"/>
              <w:tr2bl w:val="nil"/>
            </w:tcBorders>
            <w:noWrap w:val="0"/>
            <w:vAlign w:val="center"/>
          </w:tcPr>
          <w:p w14:paraId="438BCDCD">
            <w:pPr>
              <w:ind w:right="119" w:firstLine="480" w:firstLineChars="200"/>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16842261">
            <w:pPr>
              <w:spacing w:line="380" w:lineRule="exact"/>
              <w:ind w:right="119"/>
              <w:jc w:val="center"/>
              <w:rPr>
                <w:rFonts w:ascii="宋体" w:hAnsi="宋体" w:cs="宋体"/>
                <w:color w:val="auto"/>
                <w:sz w:val="24"/>
                <w:highlight w:val="none"/>
              </w:rPr>
            </w:pPr>
          </w:p>
        </w:tc>
        <w:tc>
          <w:tcPr>
            <w:tcW w:w="5893" w:type="dxa"/>
            <w:tcBorders>
              <w:tl2br w:val="nil"/>
              <w:tr2bl w:val="nil"/>
            </w:tcBorders>
            <w:noWrap w:val="0"/>
            <w:vAlign w:val="center"/>
          </w:tcPr>
          <w:p w14:paraId="7EE078D7">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2.公厕外立面或周边环境较差的，每座扣1分，公厕内没水或没电，每座扣1分，出粪口安全措施、污水处置不到位，每座扣1分。</w:t>
            </w:r>
          </w:p>
        </w:tc>
        <w:tc>
          <w:tcPr>
            <w:tcW w:w="867" w:type="dxa"/>
            <w:tcBorders>
              <w:tl2br w:val="nil"/>
              <w:tr2bl w:val="nil"/>
            </w:tcBorders>
            <w:noWrap w:val="0"/>
            <w:vAlign w:val="center"/>
          </w:tcPr>
          <w:p w14:paraId="536BC3CC">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7F53E78B">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3489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00" w:type="dxa"/>
            <w:vMerge w:val="continue"/>
            <w:tcBorders>
              <w:tl2br w:val="nil"/>
              <w:tr2bl w:val="nil"/>
            </w:tcBorders>
            <w:noWrap w:val="0"/>
            <w:vAlign w:val="center"/>
          </w:tcPr>
          <w:p w14:paraId="3A576DD2">
            <w:pPr>
              <w:ind w:right="119" w:firstLine="480" w:firstLineChars="200"/>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03A194C0">
            <w:pPr>
              <w:spacing w:line="380" w:lineRule="exact"/>
              <w:ind w:right="119"/>
              <w:jc w:val="center"/>
              <w:rPr>
                <w:rFonts w:ascii="宋体" w:hAnsi="宋体" w:cs="宋体"/>
                <w:color w:val="auto"/>
                <w:sz w:val="24"/>
                <w:highlight w:val="none"/>
              </w:rPr>
            </w:pPr>
          </w:p>
        </w:tc>
        <w:tc>
          <w:tcPr>
            <w:tcW w:w="5893" w:type="dxa"/>
            <w:tcBorders>
              <w:tl2br w:val="nil"/>
              <w:tr2bl w:val="nil"/>
            </w:tcBorders>
            <w:noWrap w:val="0"/>
            <w:vAlign w:val="center"/>
          </w:tcPr>
          <w:p w14:paraId="22D8ACC9">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3.未将管理制度和管理员上墙公示的，或者有制度但未将制度有效落实的，扣1分。未落实“所长制”，“一牌一本”不规范的，每发现一处扣1分。</w:t>
            </w:r>
          </w:p>
        </w:tc>
        <w:tc>
          <w:tcPr>
            <w:tcW w:w="867" w:type="dxa"/>
            <w:tcBorders>
              <w:tl2br w:val="nil"/>
              <w:tr2bl w:val="nil"/>
            </w:tcBorders>
            <w:noWrap w:val="0"/>
            <w:vAlign w:val="center"/>
          </w:tcPr>
          <w:p w14:paraId="6EE69AF0">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6A06211C">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2A42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000" w:type="dxa"/>
            <w:vMerge w:val="restart"/>
            <w:tcBorders>
              <w:tl2br w:val="nil"/>
              <w:tr2bl w:val="nil"/>
            </w:tcBorders>
            <w:noWrap w:val="0"/>
            <w:vAlign w:val="center"/>
          </w:tcPr>
          <w:p w14:paraId="117750A7">
            <w:pPr>
              <w:ind w:right="119"/>
              <w:jc w:val="center"/>
              <w:rPr>
                <w:rFonts w:ascii="宋体" w:hAnsi="宋体" w:cs="宋体"/>
                <w:color w:val="auto"/>
                <w:sz w:val="24"/>
                <w:highlight w:val="none"/>
              </w:rPr>
            </w:pPr>
            <w:r>
              <w:rPr>
                <w:rFonts w:hint="eastAsia" w:ascii="宋体" w:hAnsi="宋体" w:cs="宋体"/>
                <w:color w:val="auto"/>
                <w:sz w:val="24"/>
                <w:highlight w:val="none"/>
              </w:rPr>
              <w:t>“三线”序化（10分）</w:t>
            </w:r>
          </w:p>
        </w:tc>
        <w:tc>
          <w:tcPr>
            <w:tcW w:w="1307" w:type="dxa"/>
            <w:tcBorders>
              <w:tl2br w:val="nil"/>
              <w:tr2bl w:val="nil"/>
            </w:tcBorders>
            <w:noWrap w:val="0"/>
            <w:vAlign w:val="center"/>
          </w:tcPr>
          <w:p w14:paraId="56A65A26">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“三线”序化</w:t>
            </w:r>
          </w:p>
        </w:tc>
        <w:tc>
          <w:tcPr>
            <w:tcW w:w="5893" w:type="dxa"/>
            <w:tcBorders>
              <w:tl2br w:val="nil"/>
              <w:tr2bl w:val="nil"/>
            </w:tcBorders>
            <w:noWrap w:val="0"/>
            <w:vAlign w:val="center"/>
          </w:tcPr>
          <w:p w14:paraId="4DE82FFE">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有发现倾斜、断裂、杂乱、废弃杆线和管线乱接乱牵、乱拉乱挂、接户不规范的“空中蜘蛛网”现象等影响安全和村容村貌现象的，每发现一处扣0.5分。未建立长效管理机制，每村扣3分。</w:t>
            </w:r>
          </w:p>
        </w:tc>
        <w:tc>
          <w:tcPr>
            <w:tcW w:w="867" w:type="dxa"/>
            <w:tcBorders>
              <w:tl2br w:val="nil"/>
              <w:tr2bl w:val="nil"/>
            </w:tcBorders>
            <w:noWrap w:val="0"/>
            <w:vAlign w:val="center"/>
          </w:tcPr>
          <w:p w14:paraId="1F6BDAFB">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6A9D66C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7B3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00" w:type="dxa"/>
            <w:vMerge w:val="continue"/>
            <w:tcBorders>
              <w:tl2br w:val="nil"/>
              <w:tr2bl w:val="nil"/>
            </w:tcBorders>
            <w:noWrap w:val="0"/>
            <w:vAlign w:val="center"/>
          </w:tcPr>
          <w:p w14:paraId="2573F740">
            <w:pPr>
              <w:ind w:right="119" w:firstLine="480" w:firstLineChars="200"/>
              <w:jc w:val="center"/>
              <w:rPr>
                <w:rFonts w:ascii="宋体" w:hAnsi="宋体" w:cs="宋体"/>
                <w:color w:val="auto"/>
                <w:sz w:val="24"/>
                <w:highlight w:val="none"/>
              </w:rPr>
            </w:pPr>
          </w:p>
        </w:tc>
        <w:tc>
          <w:tcPr>
            <w:tcW w:w="1307" w:type="dxa"/>
            <w:tcBorders>
              <w:tl2br w:val="nil"/>
              <w:tr2bl w:val="nil"/>
            </w:tcBorders>
            <w:noWrap w:val="0"/>
            <w:vAlign w:val="center"/>
          </w:tcPr>
          <w:p w14:paraId="261CCAF3">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设备管理</w:t>
            </w:r>
          </w:p>
        </w:tc>
        <w:tc>
          <w:tcPr>
            <w:tcW w:w="5893" w:type="dxa"/>
            <w:tcBorders>
              <w:tl2br w:val="nil"/>
              <w:tr2bl w:val="nil"/>
            </w:tcBorders>
            <w:noWrap w:val="0"/>
            <w:vAlign w:val="center"/>
          </w:tcPr>
          <w:p w14:paraId="01648DBE">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考察室外电力、通信设施维护情况，有发现陈旧、坏损设备，每发现一处扣0.2分。</w:t>
            </w:r>
          </w:p>
        </w:tc>
        <w:tc>
          <w:tcPr>
            <w:tcW w:w="867" w:type="dxa"/>
            <w:tcBorders>
              <w:tl2br w:val="nil"/>
              <w:tr2bl w:val="nil"/>
            </w:tcBorders>
            <w:noWrap w:val="0"/>
            <w:vAlign w:val="center"/>
          </w:tcPr>
          <w:p w14:paraId="25861765">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5948C80D">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51C6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A2DD80">
            <w:pPr>
              <w:ind w:right="119"/>
              <w:jc w:val="center"/>
              <w:rPr>
                <w:rFonts w:ascii="宋体" w:hAnsi="宋体" w:cs="宋体"/>
                <w:color w:val="auto"/>
                <w:sz w:val="24"/>
                <w:highlight w:val="none"/>
              </w:rPr>
            </w:pPr>
            <w:r>
              <w:rPr>
                <w:rFonts w:hint="eastAsia" w:ascii="宋体" w:hAnsi="宋体" w:cs="宋体"/>
                <w:color w:val="auto"/>
                <w:sz w:val="24"/>
                <w:highlight w:val="none"/>
              </w:rPr>
              <w:t>庭院美化（10分）</w:t>
            </w:r>
          </w:p>
        </w:tc>
        <w:tc>
          <w:tcPr>
            <w:tcW w:w="1307" w:type="dxa"/>
            <w:tcBorders>
              <w:tl2br w:val="nil"/>
              <w:tr2bl w:val="nil"/>
            </w:tcBorders>
            <w:noWrap w:val="0"/>
            <w:vAlign w:val="center"/>
          </w:tcPr>
          <w:p w14:paraId="6E996FB6">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美丽庭院</w:t>
            </w:r>
          </w:p>
        </w:tc>
        <w:tc>
          <w:tcPr>
            <w:tcW w:w="5893" w:type="dxa"/>
            <w:tcBorders>
              <w:tl2br w:val="nil"/>
              <w:tr2bl w:val="nil"/>
            </w:tcBorders>
            <w:noWrap w:val="0"/>
            <w:vAlign w:val="center"/>
          </w:tcPr>
          <w:p w14:paraId="483B9F1E">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随机走访10户庭院，庭院不整洁、堆放不整齐等，每户扣0.5分，有乱搭乱建、散养家禽等现象，每户扣0.5分。</w:t>
            </w:r>
          </w:p>
        </w:tc>
        <w:tc>
          <w:tcPr>
            <w:tcW w:w="867" w:type="dxa"/>
            <w:tcBorders>
              <w:tl2br w:val="nil"/>
              <w:tr2bl w:val="nil"/>
            </w:tcBorders>
            <w:noWrap w:val="0"/>
            <w:vAlign w:val="center"/>
          </w:tcPr>
          <w:p w14:paraId="79795AF4">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1D8ABA71">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30A8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0" w:type="dxa"/>
            <w:vMerge w:val="restart"/>
            <w:tcBorders>
              <w:top w:val="single" w:color="auto" w:sz="4" w:space="0"/>
              <w:left w:val="single" w:color="auto" w:sz="4" w:space="0"/>
              <w:right w:val="single" w:color="auto" w:sz="4" w:space="0"/>
              <w:tl2br w:val="nil"/>
              <w:tr2bl w:val="nil"/>
            </w:tcBorders>
            <w:noWrap w:val="0"/>
            <w:vAlign w:val="center"/>
          </w:tcPr>
          <w:p w14:paraId="4D4EC51F">
            <w:pPr>
              <w:ind w:right="119"/>
              <w:jc w:val="center"/>
              <w:rPr>
                <w:rFonts w:ascii="宋体" w:hAnsi="宋体" w:cs="宋体"/>
                <w:color w:val="auto"/>
                <w:sz w:val="24"/>
                <w:highlight w:val="none"/>
              </w:rPr>
            </w:pPr>
            <w:r>
              <w:rPr>
                <w:rFonts w:hint="eastAsia" w:ascii="宋体" w:hAnsi="宋体" w:cs="宋体"/>
                <w:color w:val="auto"/>
                <w:sz w:val="24"/>
                <w:highlight w:val="none"/>
              </w:rPr>
              <w:t>其他（10分）</w:t>
            </w:r>
          </w:p>
        </w:tc>
        <w:tc>
          <w:tcPr>
            <w:tcW w:w="1307" w:type="dxa"/>
            <w:vMerge w:val="restart"/>
            <w:tcBorders>
              <w:tl2br w:val="nil"/>
              <w:tr2bl w:val="nil"/>
            </w:tcBorders>
            <w:noWrap w:val="0"/>
            <w:vAlign w:val="center"/>
          </w:tcPr>
          <w:p w14:paraId="3896FF06">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村庄其他环境</w:t>
            </w:r>
          </w:p>
        </w:tc>
        <w:tc>
          <w:tcPr>
            <w:tcW w:w="5893" w:type="dxa"/>
            <w:tcBorders>
              <w:tl2br w:val="nil"/>
              <w:tr2bl w:val="nil"/>
            </w:tcBorders>
            <w:noWrap w:val="0"/>
            <w:vAlign w:val="center"/>
          </w:tcPr>
          <w:p w14:paraId="52C03B43">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1.路面破损、绿化缺失等每发现一处扣0.5分。</w:t>
            </w:r>
          </w:p>
        </w:tc>
        <w:tc>
          <w:tcPr>
            <w:tcW w:w="867" w:type="dxa"/>
            <w:tcBorders>
              <w:tl2br w:val="nil"/>
              <w:tr2bl w:val="nil"/>
            </w:tcBorders>
            <w:noWrap w:val="0"/>
            <w:vAlign w:val="center"/>
          </w:tcPr>
          <w:p w14:paraId="23ECF296">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36616181">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6863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0" w:type="dxa"/>
            <w:vMerge w:val="continue"/>
            <w:tcBorders>
              <w:left w:val="single" w:color="auto" w:sz="4" w:space="0"/>
              <w:right w:val="single" w:color="auto" w:sz="4" w:space="0"/>
              <w:tl2br w:val="nil"/>
              <w:tr2bl w:val="nil"/>
            </w:tcBorders>
            <w:noWrap w:val="0"/>
            <w:vAlign w:val="center"/>
          </w:tcPr>
          <w:p w14:paraId="6C821CA4">
            <w:pPr>
              <w:ind w:right="119"/>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0804D542">
            <w:pPr>
              <w:spacing w:line="380" w:lineRule="exact"/>
              <w:ind w:right="119"/>
              <w:jc w:val="center"/>
              <w:rPr>
                <w:rFonts w:ascii="宋体" w:hAnsi="宋体" w:cs="宋体"/>
                <w:color w:val="auto"/>
                <w:sz w:val="24"/>
                <w:highlight w:val="none"/>
              </w:rPr>
            </w:pPr>
          </w:p>
        </w:tc>
        <w:tc>
          <w:tcPr>
            <w:tcW w:w="5893" w:type="dxa"/>
            <w:tcBorders>
              <w:tl2br w:val="nil"/>
              <w:tr2bl w:val="nil"/>
            </w:tcBorders>
            <w:noWrap w:val="0"/>
            <w:vAlign w:val="center"/>
          </w:tcPr>
          <w:p w14:paraId="131C05FB">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2.以村道两旁、背街小巷为重点，墙面上张贴、喷涂各种非法小广告、牛皮癣、废弃宣传标语等，每发现一处扣0.2分。</w:t>
            </w:r>
          </w:p>
        </w:tc>
        <w:tc>
          <w:tcPr>
            <w:tcW w:w="867" w:type="dxa"/>
            <w:tcBorders>
              <w:tl2br w:val="nil"/>
              <w:tr2bl w:val="nil"/>
            </w:tcBorders>
            <w:noWrap w:val="0"/>
            <w:vAlign w:val="center"/>
          </w:tcPr>
          <w:p w14:paraId="748C2AD3">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0DEFAAE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1BD0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00" w:type="dxa"/>
            <w:vMerge w:val="continue"/>
            <w:tcBorders>
              <w:left w:val="single" w:color="auto" w:sz="4" w:space="0"/>
              <w:right w:val="single" w:color="auto" w:sz="4" w:space="0"/>
              <w:tl2br w:val="nil"/>
              <w:tr2bl w:val="nil"/>
            </w:tcBorders>
            <w:noWrap w:val="0"/>
            <w:vAlign w:val="center"/>
          </w:tcPr>
          <w:p w14:paraId="7C2E0D4F">
            <w:pPr>
              <w:ind w:right="119"/>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15A3DB87">
            <w:pPr>
              <w:spacing w:line="380" w:lineRule="exact"/>
              <w:ind w:right="119"/>
              <w:jc w:val="center"/>
              <w:rPr>
                <w:rFonts w:ascii="宋体" w:hAnsi="宋体" w:cs="宋体"/>
                <w:color w:val="auto"/>
                <w:sz w:val="24"/>
                <w:highlight w:val="none"/>
              </w:rPr>
            </w:pPr>
          </w:p>
        </w:tc>
        <w:tc>
          <w:tcPr>
            <w:tcW w:w="5893" w:type="dxa"/>
            <w:tcBorders>
              <w:tl2br w:val="nil"/>
              <w:tr2bl w:val="nil"/>
            </w:tcBorders>
            <w:noWrap w:val="0"/>
            <w:vAlign w:val="center"/>
          </w:tcPr>
          <w:p w14:paraId="1DF3C1F4">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3.河塘沟渠有沉船、地笼、水体障碍物，水面、岸坡有垃圾，水体黑臭，枯萎水生植物未及时清理，每处扣0.5分。</w:t>
            </w:r>
          </w:p>
        </w:tc>
        <w:tc>
          <w:tcPr>
            <w:tcW w:w="867" w:type="dxa"/>
            <w:tcBorders>
              <w:tl2br w:val="nil"/>
              <w:tr2bl w:val="nil"/>
            </w:tcBorders>
            <w:noWrap w:val="0"/>
            <w:vAlign w:val="center"/>
          </w:tcPr>
          <w:p w14:paraId="4DE6F721">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41F4F369">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1162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0" w:type="dxa"/>
            <w:vMerge w:val="continue"/>
            <w:tcBorders>
              <w:left w:val="single" w:color="auto" w:sz="4" w:space="0"/>
              <w:right w:val="single" w:color="auto" w:sz="4" w:space="0"/>
              <w:tl2br w:val="nil"/>
              <w:tr2bl w:val="nil"/>
            </w:tcBorders>
            <w:noWrap w:val="0"/>
            <w:vAlign w:val="center"/>
          </w:tcPr>
          <w:p w14:paraId="4457F259">
            <w:pPr>
              <w:ind w:right="119"/>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24943E02">
            <w:pPr>
              <w:spacing w:line="380" w:lineRule="exact"/>
              <w:ind w:right="119"/>
              <w:jc w:val="center"/>
              <w:rPr>
                <w:rFonts w:ascii="宋体" w:hAnsi="宋体" w:cs="宋体"/>
                <w:color w:val="auto"/>
                <w:sz w:val="24"/>
                <w:highlight w:val="none"/>
              </w:rPr>
            </w:pPr>
          </w:p>
        </w:tc>
        <w:tc>
          <w:tcPr>
            <w:tcW w:w="5893" w:type="dxa"/>
            <w:tcBorders>
              <w:tl2br w:val="nil"/>
              <w:tr2bl w:val="nil"/>
            </w:tcBorders>
            <w:noWrap w:val="0"/>
            <w:vAlign w:val="center"/>
          </w:tcPr>
          <w:p w14:paraId="2C824953">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4.污水直排，污水管网和终端、公共体育器材等基础设施管护不到位，每发现一处扣0.5分。</w:t>
            </w:r>
          </w:p>
        </w:tc>
        <w:tc>
          <w:tcPr>
            <w:tcW w:w="867" w:type="dxa"/>
            <w:tcBorders>
              <w:tl2br w:val="nil"/>
              <w:tr2bl w:val="nil"/>
            </w:tcBorders>
            <w:noWrap w:val="0"/>
            <w:vAlign w:val="center"/>
          </w:tcPr>
          <w:p w14:paraId="2C5E8F26">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0E86114C">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0BA9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0" w:type="dxa"/>
            <w:vMerge w:val="continue"/>
            <w:tcBorders>
              <w:left w:val="single" w:color="auto" w:sz="4" w:space="0"/>
              <w:right w:val="single" w:color="auto" w:sz="4" w:space="0"/>
              <w:tl2br w:val="nil"/>
              <w:tr2bl w:val="nil"/>
            </w:tcBorders>
            <w:noWrap w:val="0"/>
            <w:vAlign w:val="center"/>
          </w:tcPr>
          <w:p w14:paraId="0DDD2B39">
            <w:pPr>
              <w:ind w:right="119"/>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569FD37D">
            <w:pPr>
              <w:spacing w:line="380" w:lineRule="exact"/>
              <w:ind w:right="119"/>
              <w:jc w:val="center"/>
              <w:rPr>
                <w:rFonts w:ascii="宋体" w:hAnsi="宋体" w:cs="宋体"/>
                <w:color w:val="auto"/>
                <w:sz w:val="24"/>
                <w:highlight w:val="none"/>
              </w:rPr>
            </w:pPr>
          </w:p>
        </w:tc>
        <w:tc>
          <w:tcPr>
            <w:tcW w:w="5893" w:type="dxa"/>
            <w:tcBorders>
              <w:tl2br w:val="nil"/>
              <w:tr2bl w:val="nil"/>
            </w:tcBorders>
            <w:noWrap w:val="0"/>
            <w:vAlign w:val="center"/>
          </w:tcPr>
          <w:p w14:paraId="3C6B3766">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5.发现非正规垃圾堆放点，病死禽畜、宠物等，每处扣5分。</w:t>
            </w:r>
          </w:p>
        </w:tc>
        <w:tc>
          <w:tcPr>
            <w:tcW w:w="867" w:type="dxa"/>
            <w:tcBorders>
              <w:tl2br w:val="nil"/>
              <w:tr2bl w:val="nil"/>
            </w:tcBorders>
            <w:noWrap w:val="0"/>
            <w:vAlign w:val="center"/>
          </w:tcPr>
          <w:p w14:paraId="6C85E15C">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15E27A23">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460E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00" w:type="dxa"/>
            <w:vMerge w:val="continue"/>
            <w:tcBorders>
              <w:left w:val="single" w:color="auto" w:sz="4" w:space="0"/>
              <w:right w:val="single" w:color="auto" w:sz="4" w:space="0"/>
              <w:tl2br w:val="nil"/>
              <w:tr2bl w:val="nil"/>
            </w:tcBorders>
            <w:noWrap w:val="0"/>
            <w:vAlign w:val="center"/>
          </w:tcPr>
          <w:p w14:paraId="64EC13A8">
            <w:pPr>
              <w:ind w:right="119"/>
              <w:jc w:val="center"/>
              <w:rPr>
                <w:rFonts w:ascii="宋体" w:hAnsi="宋体" w:cs="宋体"/>
                <w:color w:val="auto"/>
                <w:sz w:val="24"/>
                <w:highlight w:val="none"/>
              </w:rPr>
            </w:pPr>
          </w:p>
        </w:tc>
        <w:tc>
          <w:tcPr>
            <w:tcW w:w="1307" w:type="dxa"/>
            <w:vMerge w:val="continue"/>
            <w:tcBorders>
              <w:tl2br w:val="nil"/>
              <w:tr2bl w:val="nil"/>
            </w:tcBorders>
            <w:noWrap w:val="0"/>
            <w:vAlign w:val="center"/>
          </w:tcPr>
          <w:p w14:paraId="22F468D8">
            <w:pPr>
              <w:spacing w:line="380" w:lineRule="exact"/>
              <w:ind w:right="119"/>
              <w:jc w:val="center"/>
              <w:rPr>
                <w:rFonts w:ascii="宋体" w:hAnsi="宋体" w:cs="宋体"/>
                <w:color w:val="auto"/>
                <w:sz w:val="24"/>
                <w:highlight w:val="none"/>
              </w:rPr>
            </w:pPr>
          </w:p>
        </w:tc>
        <w:tc>
          <w:tcPr>
            <w:tcW w:w="5893" w:type="dxa"/>
            <w:tcBorders>
              <w:tl2br w:val="nil"/>
              <w:tr2bl w:val="nil"/>
            </w:tcBorders>
            <w:noWrap w:val="0"/>
            <w:vAlign w:val="center"/>
          </w:tcPr>
          <w:p w14:paraId="07928D83">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6.其他农村人居环境未整治现象，每发现一处扣0.5分。</w:t>
            </w:r>
          </w:p>
        </w:tc>
        <w:tc>
          <w:tcPr>
            <w:tcW w:w="867" w:type="dxa"/>
            <w:tcBorders>
              <w:tl2br w:val="nil"/>
              <w:tr2bl w:val="nil"/>
            </w:tcBorders>
            <w:noWrap w:val="0"/>
            <w:vAlign w:val="center"/>
          </w:tcPr>
          <w:p w14:paraId="4E7DD529">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586BDCB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7D89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00" w:type="dxa"/>
            <w:vMerge w:val="restart"/>
            <w:tcBorders>
              <w:left w:val="single" w:color="auto" w:sz="4" w:space="0"/>
              <w:right w:val="single" w:color="auto" w:sz="4" w:space="0"/>
              <w:tl2br w:val="nil"/>
              <w:tr2bl w:val="nil"/>
            </w:tcBorders>
            <w:noWrap w:val="0"/>
            <w:vAlign w:val="center"/>
          </w:tcPr>
          <w:p w14:paraId="762D35F2">
            <w:pPr>
              <w:ind w:right="119"/>
              <w:jc w:val="center"/>
              <w:rPr>
                <w:rFonts w:ascii="宋体" w:hAnsi="宋体" w:cs="宋体"/>
                <w:color w:val="auto"/>
                <w:sz w:val="24"/>
                <w:highlight w:val="none"/>
              </w:rPr>
            </w:pPr>
            <w:r>
              <w:rPr>
                <w:rFonts w:hint="eastAsia" w:ascii="宋体" w:hAnsi="宋体" w:cs="宋体"/>
                <w:color w:val="auto"/>
                <w:sz w:val="24"/>
                <w:highlight w:val="none"/>
              </w:rPr>
              <w:t>综合赋分（5分）</w:t>
            </w:r>
          </w:p>
        </w:tc>
        <w:tc>
          <w:tcPr>
            <w:tcW w:w="1307" w:type="dxa"/>
            <w:tcBorders>
              <w:tl2br w:val="nil"/>
              <w:tr2bl w:val="nil"/>
            </w:tcBorders>
            <w:noWrap w:val="0"/>
            <w:vAlign w:val="center"/>
          </w:tcPr>
          <w:p w14:paraId="5EB1E55B">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总体村庄印象</w:t>
            </w:r>
          </w:p>
        </w:tc>
        <w:tc>
          <w:tcPr>
            <w:tcW w:w="5893" w:type="dxa"/>
            <w:tcBorders>
              <w:tl2br w:val="nil"/>
              <w:tr2bl w:val="nil"/>
            </w:tcBorders>
            <w:noWrap w:val="0"/>
            <w:vAlign w:val="center"/>
          </w:tcPr>
          <w:p w14:paraId="7CC62B08">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检查人员现场评估综合打分，以一般、较好、好分别赋1-3分。</w:t>
            </w:r>
          </w:p>
        </w:tc>
        <w:tc>
          <w:tcPr>
            <w:tcW w:w="867" w:type="dxa"/>
            <w:tcBorders>
              <w:tl2br w:val="nil"/>
              <w:tr2bl w:val="nil"/>
            </w:tcBorders>
            <w:noWrap w:val="0"/>
            <w:vAlign w:val="center"/>
          </w:tcPr>
          <w:p w14:paraId="747CEF8C">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34D185A4">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否</w:t>
            </w:r>
          </w:p>
        </w:tc>
      </w:tr>
      <w:tr w14:paraId="2C4E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00" w:type="dxa"/>
            <w:vMerge w:val="continue"/>
            <w:tcBorders>
              <w:left w:val="single" w:color="auto" w:sz="4" w:space="0"/>
              <w:right w:val="single" w:color="auto" w:sz="4" w:space="0"/>
              <w:tl2br w:val="nil"/>
              <w:tr2bl w:val="nil"/>
            </w:tcBorders>
            <w:noWrap w:val="0"/>
            <w:vAlign w:val="center"/>
          </w:tcPr>
          <w:p w14:paraId="3118E91B">
            <w:pPr>
              <w:ind w:right="119"/>
              <w:jc w:val="center"/>
              <w:rPr>
                <w:rFonts w:ascii="宋体" w:hAnsi="宋体" w:cs="宋体"/>
                <w:color w:val="auto"/>
                <w:sz w:val="24"/>
                <w:highlight w:val="none"/>
              </w:rPr>
            </w:pPr>
          </w:p>
        </w:tc>
        <w:tc>
          <w:tcPr>
            <w:tcW w:w="1307" w:type="dxa"/>
            <w:tcBorders>
              <w:tl2br w:val="nil"/>
              <w:tr2bl w:val="nil"/>
            </w:tcBorders>
            <w:noWrap w:val="0"/>
            <w:vAlign w:val="center"/>
          </w:tcPr>
          <w:p w14:paraId="7DF1A0C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村级常态管理</w:t>
            </w:r>
          </w:p>
        </w:tc>
        <w:tc>
          <w:tcPr>
            <w:tcW w:w="5893" w:type="dxa"/>
            <w:tcBorders>
              <w:tl2br w:val="nil"/>
              <w:tr2bl w:val="nil"/>
            </w:tcBorders>
            <w:noWrap w:val="0"/>
            <w:vAlign w:val="center"/>
          </w:tcPr>
          <w:p w14:paraId="46FD907E">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检查村级常态管理落实情况，未落实常态管理相关工作扣2分。</w:t>
            </w:r>
          </w:p>
        </w:tc>
        <w:tc>
          <w:tcPr>
            <w:tcW w:w="867" w:type="dxa"/>
            <w:tcBorders>
              <w:tl2br w:val="nil"/>
              <w:tr2bl w:val="nil"/>
            </w:tcBorders>
            <w:noWrap w:val="0"/>
            <w:vAlign w:val="center"/>
          </w:tcPr>
          <w:p w14:paraId="62D00040">
            <w:pPr>
              <w:spacing w:line="380" w:lineRule="exact"/>
              <w:ind w:right="119"/>
              <w:rPr>
                <w:rFonts w:ascii="宋体" w:hAnsi="宋体" w:cs="宋体"/>
                <w:color w:val="auto"/>
                <w:szCs w:val="21"/>
                <w:highlight w:val="none"/>
              </w:rPr>
            </w:pPr>
          </w:p>
        </w:tc>
        <w:tc>
          <w:tcPr>
            <w:tcW w:w="1083" w:type="dxa"/>
            <w:tcBorders>
              <w:tl2br w:val="nil"/>
              <w:tr2bl w:val="nil"/>
            </w:tcBorders>
            <w:noWrap w:val="0"/>
            <w:vAlign w:val="center"/>
          </w:tcPr>
          <w:p w14:paraId="048E1825">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否</w:t>
            </w:r>
          </w:p>
        </w:tc>
      </w:tr>
      <w:tr w14:paraId="591A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50" w:type="dxa"/>
            <w:gridSpan w:val="5"/>
            <w:tcBorders>
              <w:left w:val="single" w:color="auto" w:sz="4" w:space="0"/>
              <w:tl2br w:val="nil"/>
              <w:tr2bl w:val="nil"/>
            </w:tcBorders>
            <w:noWrap w:val="0"/>
            <w:vAlign w:val="center"/>
          </w:tcPr>
          <w:p w14:paraId="2A9778F1">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现场评估得分（100分）</w:t>
            </w:r>
          </w:p>
        </w:tc>
      </w:tr>
      <w:tr w14:paraId="0CB5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150" w:type="dxa"/>
            <w:gridSpan w:val="5"/>
            <w:tcBorders>
              <w:left w:val="single" w:color="auto" w:sz="4" w:space="0"/>
              <w:bottom w:val="single" w:color="auto" w:sz="4" w:space="0"/>
              <w:tl2br w:val="nil"/>
              <w:tr2bl w:val="nil"/>
            </w:tcBorders>
            <w:noWrap w:val="0"/>
            <w:vAlign w:val="center"/>
          </w:tcPr>
          <w:p w14:paraId="39011C66">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有效整改得分（30分）=整改率</w:t>
            </w:r>
            <w:r>
              <w:rPr>
                <w:rFonts w:ascii="Arial" w:hAnsi="Arial" w:cs="Arial"/>
                <w:color w:val="auto"/>
                <w:sz w:val="24"/>
                <w:highlight w:val="none"/>
              </w:rPr>
              <w:t>×</w:t>
            </w:r>
            <w:r>
              <w:rPr>
                <w:rFonts w:hint="eastAsia" w:ascii="宋体" w:hAnsi="宋体" w:cs="宋体"/>
                <w:color w:val="auto"/>
                <w:sz w:val="24"/>
                <w:highlight w:val="none"/>
              </w:rPr>
              <w:t>30分【所有检查问题（整改项）将全部上线整改】，需在规定时间内完成</w:t>
            </w:r>
          </w:p>
        </w:tc>
      </w:tr>
    </w:tbl>
    <w:p w14:paraId="495FE70F">
      <w:pPr>
        <w:pStyle w:val="12"/>
        <w:rPr>
          <w:rFonts w:hint="eastAsia"/>
          <w:color w:val="auto"/>
          <w:highlight w:val="none"/>
        </w:rPr>
      </w:pPr>
    </w:p>
    <w:p w14:paraId="07D6B54D">
      <w:pPr>
        <w:pStyle w:val="5"/>
        <w:numPr>
          <w:ilvl w:val="0"/>
          <w:numId w:val="39"/>
        </w:numPr>
        <w:spacing w:line="360" w:lineRule="auto"/>
        <w:jc w:val="center"/>
        <w:rPr>
          <w:rFonts w:hint="eastAsia"/>
          <w:b/>
          <w:bCs/>
          <w:color w:val="auto"/>
          <w:kern w:val="0"/>
          <w:szCs w:val="28"/>
          <w:highlight w:val="none"/>
          <w:lang w:val="zh-CN" w:eastAsia="zh-CN"/>
        </w:rPr>
      </w:pPr>
      <w:bookmarkStart w:id="465" w:name="_Toc2564"/>
      <w:bookmarkStart w:id="466" w:name="_Toc23485"/>
      <w:bookmarkStart w:id="467" w:name="_Toc14908812"/>
      <w:bookmarkStart w:id="468" w:name="_Toc514333568"/>
      <w:bookmarkStart w:id="469" w:name="_Toc5105"/>
      <w:bookmarkStart w:id="470" w:name="_Toc13305"/>
      <w:r>
        <w:rPr>
          <w:rFonts w:hint="eastAsia"/>
          <w:b/>
          <w:bCs/>
          <w:color w:val="auto"/>
          <w:kern w:val="0"/>
          <w:szCs w:val="28"/>
          <w:highlight w:val="none"/>
          <w:lang w:val="zh-CN" w:eastAsia="zh-CN"/>
        </w:rPr>
        <w:t>付款方式及要求</w:t>
      </w:r>
      <w:bookmarkEnd w:id="465"/>
      <w:bookmarkEnd w:id="466"/>
      <w:bookmarkEnd w:id="467"/>
      <w:bookmarkEnd w:id="468"/>
      <w:bookmarkEnd w:id="469"/>
      <w:bookmarkEnd w:id="470"/>
    </w:p>
    <w:p w14:paraId="7E38E791">
      <w:pPr>
        <w:numPr>
          <w:ilvl w:val="0"/>
          <w:numId w:val="43"/>
        </w:num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付款方式</w:t>
      </w:r>
    </w:p>
    <w:p w14:paraId="2D18C58F">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本项目采取的付款方式为一个</w:t>
      </w:r>
      <w:r>
        <w:rPr>
          <w:rFonts w:hint="eastAsia" w:ascii="宋体" w:hAnsi="宋体" w:eastAsia="宋体" w:cs="宋体"/>
          <w:color w:val="auto"/>
          <w:kern w:val="2"/>
          <w:sz w:val="24"/>
          <w:szCs w:val="24"/>
          <w:highlight w:val="none"/>
          <w:lang w:val="en-US" w:eastAsia="zh-CN" w:bidi="ar-SA"/>
        </w:rPr>
        <w:t>季度一付（三个月为一季度）：在合同生效后服务期每满一个季度，在十五个工作日内支付合同价的1/4（具体服务费按考核结果和奖罚制度按实支付）。</w:t>
      </w:r>
    </w:p>
    <w:p w14:paraId="2F72B8DC">
      <w:pPr>
        <w:numPr>
          <w:ilvl w:val="0"/>
          <w:numId w:val="43"/>
        </w:num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付款要求</w:t>
      </w:r>
    </w:p>
    <w:p w14:paraId="207ADB2E">
      <w:pPr>
        <w:spacing w:line="360" w:lineRule="auto"/>
        <w:ind w:firstLine="480" w:firstLineChars="200"/>
        <w:rPr>
          <w:color w:val="auto"/>
          <w:sz w:val="24"/>
          <w:szCs w:val="32"/>
          <w:highlight w:val="none"/>
        </w:rPr>
      </w:pPr>
      <w:r>
        <w:rPr>
          <w:rFonts w:hint="eastAsia" w:ascii="宋体"/>
          <w:color w:val="auto"/>
          <w:kern w:val="0"/>
          <w:sz w:val="24"/>
          <w:szCs w:val="68"/>
          <w:highlight w:val="none"/>
        </w:rPr>
        <w:t>中标人在收款之前，应向采购人提供等额、合法、有效的</w:t>
      </w:r>
      <w:r>
        <w:rPr>
          <w:rFonts w:hint="eastAsia" w:ascii="宋体"/>
          <w:color w:val="auto"/>
          <w:kern w:val="0"/>
          <w:sz w:val="24"/>
          <w:szCs w:val="68"/>
          <w:highlight w:val="none"/>
          <w:lang w:eastAsia="zh-CN"/>
        </w:rPr>
        <w:t>发票</w:t>
      </w:r>
      <w:r>
        <w:rPr>
          <w:rFonts w:hint="eastAsia" w:ascii="宋体"/>
          <w:color w:val="auto"/>
          <w:kern w:val="0"/>
          <w:sz w:val="24"/>
          <w:szCs w:val="68"/>
          <w:highlight w:val="none"/>
        </w:rPr>
        <w:t>，采购人凭发票付款。如中标人未按约定提供</w:t>
      </w:r>
      <w:r>
        <w:rPr>
          <w:rFonts w:hint="eastAsia" w:ascii="宋体"/>
          <w:color w:val="auto"/>
          <w:kern w:val="0"/>
          <w:sz w:val="24"/>
          <w:szCs w:val="68"/>
          <w:highlight w:val="none"/>
          <w:lang w:eastAsia="zh-CN"/>
        </w:rPr>
        <w:t>发票</w:t>
      </w:r>
      <w:r>
        <w:rPr>
          <w:rFonts w:hint="eastAsia" w:ascii="宋体"/>
          <w:color w:val="auto"/>
          <w:kern w:val="0"/>
          <w:sz w:val="24"/>
          <w:szCs w:val="68"/>
          <w:highlight w:val="none"/>
        </w:rPr>
        <w:t>的，采购人有权拒绝付款，直至收到中标人提交的相应</w:t>
      </w:r>
      <w:r>
        <w:rPr>
          <w:rFonts w:hint="eastAsia" w:ascii="宋体"/>
          <w:color w:val="auto"/>
          <w:kern w:val="0"/>
          <w:sz w:val="24"/>
          <w:szCs w:val="68"/>
          <w:highlight w:val="none"/>
          <w:lang w:eastAsia="zh-CN"/>
        </w:rPr>
        <w:t>发票</w:t>
      </w:r>
      <w:r>
        <w:rPr>
          <w:rFonts w:hint="eastAsia" w:ascii="宋体"/>
          <w:color w:val="auto"/>
          <w:kern w:val="0"/>
          <w:sz w:val="24"/>
          <w:szCs w:val="68"/>
          <w:highlight w:val="none"/>
        </w:rPr>
        <w:t>为止，在此情况下，采购人不承担逾期付款违约责任。</w:t>
      </w:r>
    </w:p>
    <w:p w14:paraId="2FF4E38B">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AD2FC1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采购合同</w:t>
      </w:r>
      <w:bookmarkEnd w:id="444"/>
    </w:p>
    <w:bookmarkEnd w:id="445"/>
    <w:p w14:paraId="3BC347C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4543C1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签约日期：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A6B21DA">
      <w:pPr>
        <w:pStyle w:val="3"/>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委托方：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（甲方)</w:t>
      </w:r>
    </w:p>
    <w:p w14:paraId="7D268B0F">
      <w:pPr>
        <w:pStyle w:val="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受托方：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（乙方)</w:t>
      </w:r>
    </w:p>
    <w:p w14:paraId="068420F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甲方经公开、公平、公正招标，乙方中标，根据《中华人民共和国民法典》、编号为</w:t>
      </w:r>
      <w:r>
        <w:rPr>
          <w:rFonts w:hint="eastAsia" w:ascii="宋体" w:hAnsi="宋体" w:cs="宋体"/>
          <w:color w:val="auto"/>
          <w:sz w:val="24"/>
          <w:highlight w:val="none"/>
          <w:lang w:eastAsia="zh-CN"/>
        </w:rPr>
        <w:t>YK2025030X</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文件，签订本合同。</w:t>
      </w:r>
    </w:p>
    <w:p w14:paraId="6DB71405">
      <w:pPr>
        <w:keepNext w:val="0"/>
        <w:keepLines w:val="0"/>
        <w:pageBreakBefore w:val="0"/>
        <w:widowControl w:val="0"/>
        <w:numPr>
          <w:ilvl w:val="0"/>
          <w:numId w:val="44"/>
        </w:numPr>
        <w:tabs>
          <w:tab w:val="left" w:pos="772"/>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napToGrid w:val="0"/>
          <w:color w:val="auto"/>
          <w:sz w:val="24"/>
          <w:szCs w:val="24"/>
          <w:highlight w:val="none"/>
          <w:lang w:val="en-US" w:eastAsia="zh-CN" w:bidi="ar-SA"/>
        </w:rPr>
      </w:pPr>
      <w:bookmarkStart w:id="471" w:name="_Toc7026"/>
      <w:bookmarkStart w:id="472" w:name="_Toc19848"/>
      <w:bookmarkStart w:id="473" w:name="_Toc12352"/>
      <w:r>
        <w:rPr>
          <w:rFonts w:hint="eastAsia" w:ascii="宋体" w:hAnsi="宋体" w:eastAsia="宋体" w:cs="宋体"/>
          <w:b/>
          <w:bCs/>
          <w:snapToGrid w:val="0"/>
          <w:color w:val="auto"/>
          <w:sz w:val="24"/>
          <w:szCs w:val="24"/>
          <w:highlight w:val="none"/>
          <w:lang w:val="en-US" w:eastAsia="zh-CN" w:bidi="ar-SA"/>
        </w:rPr>
        <w:t>基本情况</w:t>
      </w:r>
    </w:p>
    <w:p w14:paraId="7AFCEC98">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白米堰</w:t>
      </w:r>
      <w:r>
        <w:rPr>
          <w:rFonts w:hint="eastAsia" w:ascii="宋体" w:hAnsi="宋体" w:eastAsia="宋体" w:cs="宋体"/>
          <w:color w:val="auto"/>
          <w:sz w:val="24"/>
          <w:szCs w:val="24"/>
          <w:highlight w:val="none"/>
        </w:rPr>
        <w:t>全村</w:t>
      </w:r>
      <w:r>
        <w:rPr>
          <w:rFonts w:hint="eastAsia" w:ascii="宋体" w:hAnsi="宋体" w:eastAsia="宋体" w:cs="宋体"/>
          <w:color w:val="auto"/>
          <w:sz w:val="24"/>
          <w:szCs w:val="24"/>
          <w:highlight w:val="none"/>
          <w:lang w:eastAsia="zh-CN"/>
        </w:rPr>
        <w:t>范围内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所有道路</w:t>
      </w:r>
      <w:r>
        <w:rPr>
          <w:rFonts w:hint="eastAsia" w:ascii="宋体" w:hAnsi="宋体" w:eastAsia="宋体" w:cs="宋体"/>
          <w:color w:val="auto"/>
          <w:sz w:val="24"/>
          <w:szCs w:val="24"/>
          <w:highlight w:val="none"/>
        </w:rPr>
        <w:t>路面</w:t>
      </w:r>
      <w:r>
        <w:rPr>
          <w:rFonts w:hint="eastAsia" w:ascii="宋体" w:hAnsi="宋体" w:eastAsia="宋体" w:cs="宋体"/>
          <w:color w:val="auto"/>
          <w:sz w:val="24"/>
          <w:szCs w:val="24"/>
          <w:highlight w:val="none"/>
          <w:lang w:eastAsia="zh-CN"/>
        </w:rPr>
        <w:t>及绿化带</w:t>
      </w:r>
      <w:r>
        <w:rPr>
          <w:rFonts w:hint="eastAsia" w:ascii="宋体" w:hAnsi="宋体" w:eastAsia="宋体" w:cs="宋体"/>
          <w:color w:val="auto"/>
          <w:sz w:val="24"/>
          <w:szCs w:val="24"/>
          <w:highlight w:val="none"/>
        </w:rPr>
        <w:t>清扫</w:t>
      </w:r>
      <w:r>
        <w:rPr>
          <w:rFonts w:hint="eastAsia" w:ascii="宋体" w:hAnsi="宋体" w:eastAsia="宋体" w:cs="宋体"/>
          <w:color w:val="auto"/>
          <w:sz w:val="24"/>
          <w:szCs w:val="24"/>
          <w:highlight w:val="none"/>
          <w:lang w:eastAsia="zh-CN"/>
        </w:rPr>
        <w:t>；公园、广场、市场清扫；三线整理；绿化管理及养护（修剪、除草、补种、杀虫等）；</w:t>
      </w:r>
      <w:r>
        <w:rPr>
          <w:rFonts w:hint="eastAsia" w:ascii="宋体" w:hAnsi="宋体" w:eastAsia="宋体" w:cs="宋体"/>
          <w:color w:val="auto"/>
          <w:sz w:val="24"/>
          <w:szCs w:val="24"/>
          <w:highlight w:val="none"/>
        </w:rPr>
        <w:t>河道保洁、</w:t>
      </w:r>
      <w:r>
        <w:rPr>
          <w:rFonts w:hint="eastAsia" w:ascii="宋体" w:hAnsi="宋体" w:eastAsia="宋体" w:cs="宋体"/>
          <w:color w:val="auto"/>
          <w:sz w:val="24"/>
          <w:szCs w:val="24"/>
          <w:highlight w:val="none"/>
          <w:lang w:eastAsia="zh-CN"/>
        </w:rPr>
        <w:t>河长牌及排水口标识标牌巡查、管护、更换；</w:t>
      </w:r>
      <w:r>
        <w:rPr>
          <w:rFonts w:hint="eastAsia" w:ascii="宋体" w:hAnsi="宋体" w:eastAsia="宋体" w:cs="宋体"/>
          <w:color w:val="auto"/>
          <w:sz w:val="24"/>
          <w:szCs w:val="24"/>
          <w:highlight w:val="none"/>
        </w:rPr>
        <w:t>建筑</w:t>
      </w:r>
      <w:r>
        <w:rPr>
          <w:rFonts w:hint="eastAsia" w:ascii="宋体" w:hAnsi="宋体" w:eastAsia="宋体" w:cs="宋体"/>
          <w:color w:val="auto"/>
          <w:sz w:val="24"/>
          <w:szCs w:val="24"/>
          <w:highlight w:val="none"/>
          <w:lang w:eastAsia="zh-CN"/>
        </w:rPr>
        <w:t>垃圾、大件垃圾、园林垃圾收集清运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农作物秸秆</w:t>
      </w:r>
      <w:r>
        <w:rPr>
          <w:rFonts w:hint="eastAsia" w:ascii="宋体" w:hAnsi="宋体" w:eastAsia="宋体" w:cs="宋体"/>
          <w:color w:val="auto"/>
          <w:sz w:val="24"/>
          <w:szCs w:val="24"/>
          <w:highlight w:val="none"/>
          <w:lang w:eastAsia="zh-CN"/>
        </w:rPr>
        <w:t>收集；</w:t>
      </w:r>
      <w:r>
        <w:rPr>
          <w:rFonts w:hint="eastAsia" w:ascii="宋体" w:hAnsi="宋体" w:eastAsia="宋体" w:cs="宋体"/>
          <w:color w:val="auto"/>
          <w:sz w:val="24"/>
          <w:szCs w:val="24"/>
          <w:highlight w:val="none"/>
        </w:rPr>
        <w:t>生活垃圾上门收集并按</w:t>
      </w:r>
      <w:r>
        <w:rPr>
          <w:rFonts w:hint="eastAsia" w:ascii="宋体" w:hAnsi="宋体" w:eastAsia="宋体" w:cs="宋体"/>
          <w:color w:val="auto"/>
          <w:sz w:val="24"/>
          <w:szCs w:val="24"/>
          <w:highlight w:val="none"/>
          <w:lang w:eastAsia="zh-CN"/>
        </w:rPr>
        <w:t>四分</w:t>
      </w:r>
      <w:r>
        <w:rPr>
          <w:rFonts w:hint="eastAsia" w:ascii="宋体" w:hAnsi="宋体" w:eastAsia="宋体" w:cs="宋体"/>
          <w:color w:val="auto"/>
          <w:sz w:val="24"/>
          <w:szCs w:val="24"/>
          <w:highlight w:val="none"/>
        </w:rPr>
        <w:t>法分类</w:t>
      </w:r>
      <w:r>
        <w:rPr>
          <w:rFonts w:hint="eastAsia" w:ascii="宋体" w:hAnsi="宋体" w:eastAsia="宋体" w:cs="宋体"/>
          <w:color w:val="auto"/>
          <w:sz w:val="24"/>
          <w:szCs w:val="24"/>
          <w:highlight w:val="none"/>
          <w:lang w:eastAsia="zh-CN"/>
        </w:rPr>
        <w:t>；乱堆乱放清理；</w:t>
      </w:r>
      <w:r>
        <w:rPr>
          <w:rFonts w:hint="eastAsia" w:ascii="宋体" w:hAnsi="宋体" w:eastAsia="宋体" w:cs="宋体"/>
          <w:color w:val="auto"/>
          <w:sz w:val="24"/>
          <w:szCs w:val="24"/>
          <w:highlight w:val="none"/>
        </w:rPr>
        <w:t>庭院</w:t>
      </w:r>
      <w:r>
        <w:rPr>
          <w:rFonts w:hint="eastAsia" w:ascii="宋体" w:hAnsi="宋体" w:eastAsia="宋体" w:cs="宋体"/>
          <w:color w:val="auto"/>
          <w:sz w:val="24"/>
          <w:szCs w:val="24"/>
          <w:highlight w:val="none"/>
          <w:lang w:eastAsia="zh-CN"/>
        </w:rPr>
        <w:t>内及房前屋后</w:t>
      </w:r>
      <w:r>
        <w:rPr>
          <w:rFonts w:hint="eastAsia" w:ascii="宋体" w:hAnsi="宋体" w:eastAsia="宋体" w:cs="宋体"/>
          <w:color w:val="auto"/>
          <w:sz w:val="24"/>
          <w:szCs w:val="24"/>
          <w:highlight w:val="none"/>
        </w:rPr>
        <w:t>整治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公厕保洁</w:t>
      </w:r>
      <w:r>
        <w:rPr>
          <w:rFonts w:hint="eastAsia" w:ascii="宋体" w:hAnsi="宋体" w:eastAsia="宋体" w:cs="宋体"/>
          <w:color w:val="auto"/>
          <w:sz w:val="24"/>
          <w:szCs w:val="24"/>
          <w:highlight w:val="none"/>
          <w:lang w:eastAsia="zh-CN"/>
        </w:rPr>
        <w:t>；小广告、</w:t>
      </w:r>
      <w:r>
        <w:rPr>
          <w:rFonts w:hint="eastAsia" w:ascii="宋体" w:hAnsi="宋体" w:eastAsia="宋体" w:cs="宋体"/>
          <w:color w:val="auto"/>
          <w:sz w:val="24"/>
          <w:szCs w:val="24"/>
          <w:highlight w:val="none"/>
        </w:rPr>
        <w:t>牛皮癣清理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公共</w:t>
      </w:r>
      <w:r>
        <w:rPr>
          <w:rFonts w:hint="eastAsia" w:ascii="宋体" w:hAnsi="宋体" w:eastAsia="宋体" w:cs="宋体"/>
          <w:color w:val="auto"/>
          <w:sz w:val="24"/>
          <w:szCs w:val="24"/>
          <w:highlight w:val="none"/>
        </w:rPr>
        <w:t>设施设备维护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空倒房、乱搭乱建巡查</w:t>
      </w:r>
      <w:r>
        <w:rPr>
          <w:rFonts w:hint="eastAsia" w:ascii="宋体" w:hAnsi="宋体" w:eastAsia="宋体" w:cs="宋体"/>
          <w:color w:val="auto"/>
          <w:sz w:val="24"/>
          <w:szCs w:val="24"/>
          <w:highlight w:val="none"/>
        </w:rPr>
        <w:t>等。具体范围请投标人实地考察，费用自理。</w:t>
      </w:r>
    </w:p>
    <w:p w14:paraId="0E5B585A">
      <w:pPr>
        <w:keepNext w:val="0"/>
        <w:keepLines w:val="0"/>
        <w:pageBreakBefore w:val="0"/>
        <w:widowControl w:val="0"/>
        <w:numPr>
          <w:ilvl w:val="0"/>
          <w:numId w:val="44"/>
        </w:numPr>
        <w:tabs>
          <w:tab w:val="left" w:pos="772"/>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napToGrid w:val="0"/>
          <w:color w:val="auto"/>
          <w:sz w:val="24"/>
          <w:szCs w:val="24"/>
          <w:highlight w:val="none"/>
          <w:lang w:val="en-US" w:eastAsia="zh-CN" w:bidi="ar-SA"/>
        </w:rPr>
      </w:pPr>
      <w:r>
        <w:rPr>
          <w:rFonts w:hint="eastAsia" w:ascii="宋体" w:hAnsi="宋体" w:eastAsia="宋体" w:cs="宋体"/>
          <w:b/>
          <w:bCs/>
          <w:snapToGrid w:val="0"/>
          <w:color w:val="auto"/>
          <w:sz w:val="24"/>
          <w:szCs w:val="24"/>
          <w:highlight w:val="none"/>
          <w:lang w:val="en-US" w:eastAsia="zh-CN" w:bidi="ar-SA"/>
        </w:rPr>
        <w:t>服务内容及要求</w:t>
      </w:r>
    </w:p>
    <w:p w14:paraId="159B989C">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道路路面及绿化带清扫：分区域定人定岗，每天早晚各普扫一次，其余时间巡回保洁，保持地面干净整洁，地面无污迹、无积水、无果核、无杂物等，路面侧石边无杂草，边沟无垃圾、污水等。根据需要对路面进行洒水、冲洗作业，解决扬尘问题。</w:t>
      </w:r>
    </w:p>
    <w:p w14:paraId="48D544C2">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公园、广场、市场地面保洁：落实专人进行巡回保洁，清扫道路及排水沟，及时清理果皮、塑料袋、烟蒂、石块等各类垃圾。根据需要对路面进行洒水、冲洗作业，解决扬尘问题。</w:t>
      </w:r>
    </w:p>
    <w:p w14:paraId="2B787970">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三线整理：弱电线管护到位，无“蜘蛛网”、及时清理下垂废线，强弱电电箱加盖，发现凌乱、闲置杆线及时报告村委并按村委指令处理。</w:t>
      </w:r>
    </w:p>
    <w:p w14:paraId="5F86817B">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绿化管理及养护：定期做好绿化养护工作，如浇水，施肥，修剪，除草、补种、绿地清洁卫生、病虫害防治，防涝防旱等各项工作。</w:t>
      </w:r>
    </w:p>
    <w:p w14:paraId="2E195346">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河道保洁：每天巡回保洁，清理河道、池塘、灌溉沟等水面及岸边、河底的各类垃圾、漂浮物，清除沉船、地笼等，河长牌及排水口标识标牌巡查、管护、更换。发现污水排放及时报告村委。</w:t>
      </w:r>
    </w:p>
    <w:p w14:paraId="752CA9C3">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建筑垃圾、大件垃圾、园林垃圾：每天收集村域范围内各类建筑垃圾、大件垃圾、园林垃圾，分类清运至街道垃圾中转站。加强巡查及时发现并制止垃圾偷倒行为，如发生垃圾偷倒行为中标单位未巡查发现或者制止，由中标单位负责将偷倒垃圾清理干净；</w:t>
      </w:r>
    </w:p>
    <w:p w14:paraId="3FFAA65C">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农作物秸秆收集：农田秸秆收集并及时清运。加强秸秆焚烧的巡查、管控，如有秸秆焚烧现象，及时扑灭。</w:t>
      </w:r>
    </w:p>
    <w:p w14:paraId="0656F758">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生活垃圾上门收集并按四分法分类（若上级有垃圾分类新模式，按新模式执行）：规范使用农村垃圾分类智能化设施设备，根据实际情况合理安排人员开展村民生活垃圾一天两次（上下午各一次）上门收集，并按四分法分类收运，并做好监管平台信息录入工作；村内大桶垃圾按每天两次及时清运，避免垃圾满溢（若上级有垃圾分类新模式，按新模式执行）。村集中收集点和投放点必须保持环境整洁、分类容器外观整洁、标识规范、容器不得损坏、垃圾不得外溢。</w:t>
      </w:r>
    </w:p>
    <w:p w14:paraId="7F79EF59">
      <w:pPr>
        <w:keepLines w:val="0"/>
        <w:pageBreakBefore w:val="0"/>
        <w:widowControl w:val="0"/>
        <w:numPr>
          <w:ilvl w:val="0"/>
          <w:numId w:val="0"/>
        </w:numPr>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8.1可回收物：再生利用价值较高，能进入废品回收渠道的垃圾。</w:t>
      </w:r>
    </w:p>
    <w:p w14:paraId="18302E10">
      <w:pPr>
        <w:keepLines w:val="0"/>
        <w:pageBreakBefore w:val="0"/>
        <w:widowControl w:val="0"/>
        <w:numPr>
          <w:ilvl w:val="0"/>
          <w:numId w:val="0"/>
        </w:numPr>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主要包括:纸类(报纸、传单、</w:t>
      </w:r>
      <w:r>
        <w:rPr>
          <w:rFonts w:hint="eastAsia" w:ascii="宋体" w:hAnsi="宋体" w:eastAsia="宋体" w:cs="宋体"/>
          <w:color w:val="auto"/>
          <w:sz w:val="24"/>
          <w:szCs w:val="24"/>
          <w:highlight w:val="none"/>
          <w:lang w:eastAsia="zh-CN"/>
        </w:rPr>
        <w:t>杂志、旧书、纸板及其它没受污染的纸制品等)金属(铁、铜、铝等制品)玻璃(玻璃瓶罐、平板玻璃及其它玻璃制品)除塑料袋外的塑料制品(泡沫塑料、塑料瓶、硬塑料等)橡胶及橡胶制品、牛奶盒等利乐包装、饮料瓶(可乐瓶、塑料饮料瓶、啤酒瓶等)等。</w:t>
      </w:r>
    </w:p>
    <w:p w14:paraId="5A9F8DB1">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lang w:eastAsia="zh-CN"/>
        </w:rPr>
        <w:t>易腐垃圾:厨房产生的食物类垃圾及果皮等。</w:t>
      </w:r>
    </w:p>
    <w:p w14:paraId="2979B1F8">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主要包括:剩菜剩饭与西餐糕点等食物残余、菜梗菜叶、动物骨骼内脏、茶叶渣、水果残余、果壳瓜皮、盆景等植物的残枝落叶、废弃食用油等。</w:t>
      </w:r>
    </w:p>
    <w:p w14:paraId="2395E7F0">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lang w:eastAsia="zh-CN"/>
        </w:rPr>
        <w:t>有害垃圾:含有毒有害化学物质的垃圾。</w:t>
      </w:r>
    </w:p>
    <w:p w14:paraId="72B54FF7">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主要包括:电池(蓄电池、纽扣电池等)废旧电子产品、废旧灯管灯泡、过期药品、过期日用化妆品、染发剂、杀虫剂容器、除草剂容器、废弃水银温度计、废弃漆桶、废打印机墨盒、硒鼓等。</w:t>
      </w:r>
    </w:p>
    <w:p w14:paraId="75B608B4">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8.4</w:t>
      </w:r>
      <w:r>
        <w:rPr>
          <w:rFonts w:hint="eastAsia" w:ascii="宋体" w:hAnsi="宋体" w:eastAsia="宋体" w:cs="宋体"/>
          <w:color w:val="auto"/>
          <w:sz w:val="24"/>
          <w:szCs w:val="24"/>
          <w:highlight w:val="none"/>
          <w:lang w:eastAsia="zh-CN"/>
        </w:rPr>
        <w:t>其他垃圾:除去易腐垃圾、可回收物、有害垃圾之外的所有垃圾的总称。</w:t>
      </w:r>
    </w:p>
    <w:p w14:paraId="4FE8C119">
      <w:pPr>
        <w:keepLines w:val="0"/>
        <w:pageBreakBefore w:val="0"/>
        <w:widowControl w:val="0"/>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eastAsia="zh-CN"/>
        </w:rPr>
        <w:t>主要包括:受污染与无法再生的纸张(纸杯、照片、复写纸、压敏纸、收据用纸、明信片、相册、卫生纸、尿片等)受污染或其它不可回收的玻璃、塑料袋与其它</w:t>
      </w:r>
      <w:r>
        <w:rPr>
          <w:rFonts w:hint="eastAsia" w:ascii="宋体" w:hAnsi="宋体" w:eastAsia="宋体" w:cs="宋体"/>
          <w:b w:val="0"/>
          <w:bCs w:val="0"/>
          <w:color w:val="auto"/>
          <w:sz w:val="24"/>
          <w:szCs w:val="24"/>
          <w:highlight w:val="none"/>
          <w:lang w:eastAsia="zh-CN"/>
        </w:rPr>
        <w:t>塑料制品、废旧衣物与其它纺织品、破旧陶瓷品、妇女卫生用品、一次性餐具、烟头等。</w:t>
      </w:r>
    </w:p>
    <w:p w14:paraId="46FCA1A2">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乱堆乱放清理：每天开展村域内巡查检查，对房前屋后、弄堂弄尾等各处乱堆乱放、田间地头白色垃圾进行清理；因施工等需要的临时堆放，及时设置提示牌。</w:t>
      </w:r>
    </w:p>
    <w:p w14:paraId="23E7DB7C">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庭院内及房前屋后整治：处理庭院及房前屋后乱堆乱放，做到庭院及房前屋后整洁。包含下水道和地面排污管道疏通及破损修复工作。</w:t>
      </w:r>
    </w:p>
    <w:p w14:paraId="3DBF6580">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公厕保洁：村域内公厕每日两次冲洗消毒，便槽无粪便及其他杂物积淀；公厕内外整洁干净，无严重异味，无满溢；无小广告、牛皮癣；做好厕所疏通、水龙头维修、化粪池加盖等日常维护工作；每只厕所由专人保洁，男女标识牌、制度牌等如有脱落及时更换、上墙，并做好保洁记录。公厕设备维修和更换的材料均由中标单位承担（比如水龙头、门、洁具等）。</w:t>
      </w:r>
    </w:p>
    <w:p w14:paraId="12C7698D">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公厕保洁：村域内公厕每日两次冲洗消毒，便槽无粪便及其他杂物积淀；公厕内外整洁干净、无严重异味；做好厕所疏通、水龙头维修、化粪池加盖等日常维护工作；每只厕所由专人保洁，男女标识牌、制度牌等如有脱落及时更换、上墙，并做好保洁记录。</w:t>
      </w:r>
    </w:p>
    <w:p w14:paraId="368C559E">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小广告、牛皮癣清理：每天巡查及时清理村域道路两边电线杆、建筑墙体外立面小广告及破旧横幅。</w:t>
      </w:r>
    </w:p>
    <w:p w14:paraId="4230852D">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设施设备维护：做好窨井、消防栓、路灯杆、健身器材、花坛围栏、村牌等维护、保洁，有破损及时上报村委；简易窨井盖维修、更换工作由</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承担。</w:t>
      </w:r>
    </w:p>
    <w:p w14:paraId="3702A3C8">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空倒房：开展日常巡查，若发现有村容村貌、影响公共安全的残垣断壁、危房及时做好安全措施，危房牌子上墙并报告村委。</w:t>
      </w:r>
    </w:p>
    <w:p w14:paraId="79BD8186">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乱搭乱建：开展日常巡查，如发现乱搭乱建，及时报告村委。</w:t>
      </w:r>
    </w:p>
    <w:p w14:paraId="71943F26">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按上级要求，做好相关的工作台账（如：道路清扫记录、公厕保洁记录、河道保洁记录等）。</w:t>
      </w:r>
    </w:p>
    <w:p w14:paraId="67D1DF13">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其他：其他：秸秆焚烧巡查管控，若发生秸秆焚烧现象且被街道查处三次及以上的，处罚款300元/次</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被区级相关部门查处的，处罚款500元/次，被市级相关部门查处的，处罚款800元/次，被省级及以上相关部门查</w:t>
      </w:r>
      <w:r>
        <w:rPr>
          <w:rFonts w:hint="eastAsia" w:ascii="宋体" w:hAnsi="宋体" w:cs="宋体"/>
          <w:b w:val="0"/>
          <w:bCs w:val="0"/>
          <w:color w:val="auto"/>
          <w:kern w:val="2"/>
          <w:sz w:val="24"/>
          <w:szCs w:val="24"/>
          <w:highlight w:val="none"/>
          <w:lang w:val="en-US" w:eastAsia="zh-CN" w:bidi="ar-SA"/>
        </w:rPr>
        <w:t>处</w:t>
      </w:r>
      <w:r>
        <w:rPr>
          <w:rFonts w:hint="eastAsia" w:ascii="宋体" w:hAnsi="宋体" w:eastAsia="宋体" w:cs="宋体"/>
          <w:b w:val="0"/>
          <w:bCs w:val="0"/>
          <w:color w:val="auto"/>
          <w:kern w:val="2"/>
          <w:sz w:val="24"/>
          <w:szCs w:val="24"/>
          <w:highlight w:val="none"/>
          <w:lang w:val="en-US" w:eastAsia="zh-CN" w:bidi="ar-SA"/>
        </w:rPr>
        <w:t>的，处罚款1000元/次</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以街道查处照片为依据。村域内的露天粪缸、粪桶的巡查清理，散养家禽劝导。</w:t>
      </w:r>
    </w:p>
    <w:p w14:paraId="6AD02B92">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如遇重要活动、重大节日、上级检查等临时性需突击作业的，</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必须服从招标方的工作调整，及时增加人员、机械并开展集中整治。做好上级下发的问题清单的反馈工作，并确保保洁范围内的整改率达到100%（拆违等工作任务之外的除外）。</w:t>
      </w:r>
    </w:p>
    <w:p w14:paraId="24B4431E">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工作时间：10小时工作制，5月至10月时间早上6:00-11:30，下午1:00-5:30，11月至4月时间早上6:30-11:30，下午12:30-5:30</w:t>
      </w:r>
    </w:p>
    <w:p w14:paraId="42367AAB">
      <w:pPr>
        <w:keepLines w:val="0"/>
        <w:pageBreakBefore w:val="0"/>
        <w:widowControl w:val="0"/>
        <w:numPr>
          <w:ilvl w:val="0"/>
          <w:numId w:val="45"/>
        </w:numPr>
        <w:tabs>
          <w:tab w:val="left" w:pos="772"/>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人员及设备：</w:t>
      </w:r>
    </w:p>
    <w:p w14:paraId="384D8D97">
      <w:pPr>
        <w:keepLines w:val="0"/>
        <w:pageBreakBefore w:val="0"/>
        <w:widowControl w:val="0"/>
        <w:numPr>
          <w:ilvl w:val="0"/>
          <w:numId w:val="0"/>
        </w:numPr>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基本要求：道路清扫</w:t>
      </w: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人,公厕保洁1人，河道保洁2</w:t>
      </w:r>
      <w:r>
        <w:rPr>
          <w:rFonts w:hint="eastAsia" w:ascii="宋体" w:hAnsi="宋体" w:cs="宋体"/>
          <w:b w:val="0"/>
          <w:bCs w:val="0"/>
          <w:color w:val="auto"/>
          <w:kern w:val="2"/>
          <w:sz w:val="24"/>
          <w:szCs w:val="24"/>
          <w:highlight w:val="none"/>
          <w:lang w:val="en-US" w:eastAsia="zh-CN" w:bidi="ar-SA"/>
        </w:rPr>
        <w:t>人</w:t>
      </w:r>
      <w:r>
        <w:rPr>
          <w:rFonts w:hint="eastAsia" w:ascii="宋体" w:hAnsi="宋体" w:eastAsia="宋体" w:cs="宋体"/>
          <w:b w:val="0"/>
          <w:bCs w:val="0"/>
          <w:color w:val="auto"/>
          <w:kern w:val="2"/>
          <w:sz w:val="24"/>
          <w:szCs w:val="24"/>
          <w:highlight w:val="none"/>
          <w:lang w:val="en-US" w:eastAsia="zh-CN" w:bidi="ar-SA"/>
        </w:rPr>
        <w:t>，生活垃圾收集4人，房前屋后乱堆乱放巡查及清理2人，管理人员1人。</w:t>
      </w:r>
    </w:p>
    <w:p w14:paraId="16BD1070">
      <w:pPr>
        <w:keepLines w:val="0"/>
        <w:pageBreakBefore w:val="0"/>
        <w:widowControl w:val="0"/>
        <w:numPr>
          <w:ilvl w:val="0"/>
          <w:numId w:val="0"/>
        </w:numPr>
        <w:tabs>
          <w:tab w:val="left" w:pos="772"/>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具体</w:t>
      </w:r>
      <w:r>
        <w:rPr>
          <w:rFonts w:hint="eastAsia" w:ascii="宋体" w:hAnsi="宋体" w:eastAsia="宋体" w:cs="宋体"/>
          <w:color w:val="auto"/>
          <w:sz w:val="24"/>
          <w:szCs w:val="24"/>
          <w:highlight w:val="none"/>
          <w:lang w:eastAsia="zh-CN"/>
        </w:rPr>
        <w:t>作业人员由中标单位自行安排，总人数（包括调班）不得少于</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，工作人员年龄原则要求在65周岁以下（其中管理人员要求在</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周岁以下），所有人员应身体健康，形象端正，具有一定的政治文化素养和基本的服务素质，符合相应用工需求并具备相应技能和资质。</w:t>
      </w:r>
    </w:p>
    <w:p w14:paraId="75076B1E">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1"/>
          <w:highlight w:val="none"/>
        </w:rPr>
        <w:t>★</w:t>
      </w:r>
      <w:r>
        <w:rPr>
          <w:rFonts w:hint="eastAsia" w:ascii="宋体" w:hAnsi="宋体" w:eastAsia="宋体" w:cs="宋体"/>
          <w:b/>
          <w:bCs/>
          <w:color w:val="auto"/>
          <w:kern w:val="0"/>
          <w:sz w:val="24"/>
          <w:szCs w:val="24"/>
          <w:highlight w:val="none"/>
          <w:lang w:eastAsia="zh-CN"/>
        </w:rPr>
        <w:t>注</w:t>
      </w:r>
      <w:r>
        <w:rPr>
          <w:rFonts w:hint="eastAsia" w:ascii="宋体" w:hAnsi="宋体" w:eastAsia="宋体" w:cs="宋体"/>
          <w:b/>
          <w:bCs/>
          <w:color w:val="auto"/>
          <w:kern w:val="0"/>
          <w:sz w:val="24"/>
          <w:szCs w:val="24"/>
          <w:highlight w:val="none"/>
        </w:rPr>
        <w:t>：投标单位需在</w:t>
      </w:r>
      <w:r>
        <w:rPr>
          <w:rFonts w:hint="eastAsia" w:ascii="宋体" w:hAnsi="宋体" w:eastAsia="宋体" w:cs="宋体"/>
          <w:b/>
          <w:bCs/>
          <w:color w:val="auto"/>
          <w:kern w:val="0"/>
          <w:sz w:val="24"/>
          <w:szCs w:val="24"/>
          <w:highlight w:val="none"/>
          <w:lang w:eastAsia="zh-CN"/>
        </w:rPr>
        <w:t>响应文件</w:t>
      </w:r>
      <w:r>
        <w:rPr>
          <w:rFonts w:hint="eastAsia" w:ascii="宋体" w:hAnsi="宋体" w:eastAsia="宋体" w:cs="宋体"/>
          <w:b/>
          <w:bCs/>
          <w:color w:val="auto"/>
          <w:kern w:val="0"/>
          <w:sz w:val="24"/>
          <w:szCs w:val="24"/>
          <w:highlight w:val="none"/>
        </w:rPr>
        <w:t>中对中标后提供的服务人员数量和人身保险(雇主责任险)</w:t>
      </w:r>
      <w:r>
        <w:rPr>
          <w:rFonts w:hint="eastAsia" w:ascii="宋体" w:hAnsi="宋体" w:eastAsia="宋体" w:cs="宋体"/>
          <w:b/>
          <w:bCs/>
          <w:color w:val="auto"/>
          <w:kern w:val="0"/>
          <w:sz w:val="24"/>
          <w:szCs w:val="24"/>
          <w:highlight w:val="none"/>
          <w:lang w:val="en-US" w:eastAsia="zh-CN" w:bidi="ar-SA"/>
        </w:rPr>
        <w:t>参保进行承诺，否则作无效投标处理。</w:t>
      </w:r>
    </w:p>
    <w:p w14:paraId="2C8BCAAA">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bidi="ar-SA"/>
        </w:rPr>
        <w:t>甲方</w:t>
      </w:r>
      <w:r>
        <w:rPr>
          <w:rFonts w:hint="eastAsia" w:ascii="宋体" w:hAnsi="宋体" w:eastAsia="宋体" w:cs="宋体"/>
          <w:b/>
          <w:bCs/>
          <w:color w:val="auto"/>
          <w:kern w:val="0"/>
          <w:sz w:val="24"/>
          <w:szCs w:val="24"/>
          <w:highlight w:val="none"/>
          <w:lang w:val="en-US" w:eastAsia="zh-CN" w:bidi="ar-SA"/>
        </w:rPr>
        <w:t>负责村域内垃圾桶、垃圾车的配备与完善，</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无偿使用现有垃圾桶及清运车辆，日常保养、维修及保险费由</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承担。清运车辆因人为原因导致无法使用或遗失的，由</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配足或赔偿。投标单位需</w:t>
      </w:r>
      <w:r>
        <w:rPr>
          <w:rFonts w:hint="eastAsia" w:ascii="宋体" w:hAnsi="宋体" w:eastAsia="宋体" w:cs="宋体"/>
          <w:b/>
          <w:bCs/>
          <w:color w:val="auto"/>
          <w:kern w:val="0"/>
          <w:sz w:val="24"/>
          <w:szCs w:val="24"/>
          <w:highlight w:val="none"/>
        </w:rPr>
        <w:t>提供农用车、洒水车和扫路车及其他必要的一切作业用具（维修、保养、配件等费用由中标单位负责）</w:t>
      </w:r>
      <w:r>
        <w:rPr>
          <w:rFonts w:hint="eastAsia" w:ascii="宋体" w:hAnsi="宋体" w:eastAsia="宋体" w:cs="宋体"/>
          <w:b/>
          <w:bCs/>
          <w:color w:val="auto"/>
          <w:kern w:val="0"/>
          <w:sz w:val="24"/>
          <w:szCs w:val="24"/>
          <w:highlight w:val="none"/>
          <w:lang w:val="en-US" w:eastAsia="zh-CN"/>
        </w:rPr>
        <w:t>。</w:t>
      </w:r>
    </w:p>
    <w:p w14:paraId="29CF511B">
      <w:pPr>
        <w:pStyle w:val="5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合同期内，</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对村民垃圾桶（户桶）的完整性负责，垃圾桶年更换率不得高于该村已配备数的10%，超过10%的部分，由</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负责配足。中标后，</w:t>
      </w:r>
      <w:r>
        <w:rPr>
          <w:rFonts w:hint="eastAsia" w:ascii="宋体" w:hAnsi="宋体" w:cs="宋体"/>
          <w:b/>
          <w:bCs/>
          <w:color w:val="auto"/>
          <w:kern w:val="0"/>
          <w:sz w:val="24"/>
          <w:szCs w:val="24"/>
          <w:highlight w:val="none"/>
          <w:lang w:val="en-US" w:eastAsia="zh-CN" w:bidi="ar-SA"/>
        </w:rPr>
        <w:t>乙方</w:t>
      </w:r>
      <w:r>
        <w:rPr>
          <w:rFonts w:hint="eastAsia" w:ascii="宋体" w:hAnsi="宋体" w:eastAsia="宋体" w:cs="宋体"/>
          <w:b/>
          <w:bCs/>
          <w:color w:val="auto"/>
          <w:kern w:val="0"/>
          <w:sz w:val="24"/>
          <w:szCs w:val="24"/>
          <w:highlight w:val="none"/>
          <w:lang w:val="en-US" w:eastAsia="zh-CN" w:bidi="ar-SA"/>
        </w:rPr>
        <w:t>、招标方需对现有车辆、户桶等设施设备进行清点并做好移交工作。</w:t>
      </w:r>
    </w:p>
    <w:bookmarkEnd w:id="471"/>
    <w:bookmarkEnd w:id="472"/>
    <w:bookmarkEnd w:id="473"/>
    <w:p w14:paraId="2CF2E06C">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auto"/>
          <w:sz w:val="24"/>
          <w:szCs w:val="18"/>
          <w:highlight w:val="none"/>
          <w:lang w:eastAsia="zh-CN"/>
        </w:rPr>
      </w:pPr>
      <w:r>
        <w:rPr>
          <w:rFonts w:hint="eastAsia" w:ascii="宋体" w:hAnsi="宋体" w:eastAsia="宋体" w:cs="宋体"/>
          <w:b/>
          <w:color w:val="auto"/>
          <w:sz w:val="24"/>
          <w:szCs w:val="18"/>
          <w:highlight w:val="none"/>
          <w:lang w:val="en-US" w:eastAsia="zh-CN"/>
        </w:rPr>
        <w:t>三、</w:t>
      </w:r>
      <w:r>
        <w:rPr>
          <w:rFonts w:hint="eastAsia" w:ascii="宋体" w:hAnsi="宋体" w:eastAsia="宋体" w:cs="宋体"/>
          <w:b/>
          <w:color w:val="auto"/>
          <w:sz w:val="24"/>
          <w:szCs w:val="18"/>
          <w:highlight w:val="none"/>
          <w:lang w:eastAsia="zh-CN"/>
        </w:rPr>
        <w:t>承包期限：</w:t>
      </w:r>
    </w:p>
    <w:p w14:paraId="3CF0CAC6">
      <w:pPr>
        <w:keepNext w:val="0"/>
        <w:keepLines w:val="0"/>
        <w:pageBreakBefore w:val="0"/>
        <w:widowControl w:val="0"/>
        <w:numPr>
          <w:ilvl w:val="0"/>
          <w:numId w:val="0"/>
        </w:numPr>
        <w:kinsoku/>
        <w:overflowPunct/>
        <w:bidi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项目服务期限为一年，（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日至</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日）</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lang w:val="en-US" w:eastAsia="zh-CN"/>
        </w:rPr>
        <w:t>不得转包或分包。</w:t>
      </w:r>
    </w:p>
    <w:p w14:paraId="4F7CDF9B">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auto"/>
          <w:sz w:val="24"/>
          <w:szCs w:val="18"/>
          <w:highlight w:val="none"/>
          <w:lang w:eastAsia="zh-CN"/>
        </w:rPr>
      </w:pPr>
      <w:bookmarkStart w:id="474" w:name="_Toc26827"/>
      <w:bookmarkStart w:id="475" w:name="_Toc16450"/>
      <w:bookmarkStart w:id="476" w:name="_Toc9233"/>
      <w:bookmarkStart w:id="477" w:name="_Toc18665"/>
      <w:bookmarkStart w:id="478" w:name="_Toc27001"/>
      <w:r>
        <w:rPr>
          <w:rFonts w:hint="eastAsia" w:ascii="宋体" w:hAnsi="宋体" w:cs="宋体"/>
          <w:b/>
          <w:color w:val="auto"/>
          <w:sz w:val="24"/>
          <w:szCs w:val="18"/>
          <w:highlight w:val="none"/>
          <w:lang w:val="en-US" w:eastAsia="zh-CN"/>
        </w:rPr>
        <w:t>四、</w:t>
      </w:r>
      <w:r>
        <w:rPr>
          <w:rFonts w:hint="eastAsia" w:ascii="宋体" w:hAnsi="宋体" w:eastAsia="宋体" w:cs="宋体"/>
          <w:b/>
          <w:color w:val="auto"/>
          <w:sz w:val="24"/>
          <w:szCs w:val="18"/>
          <w:highlight w:val="none"/>
          <w:lang w:eastAsia="zh-CN"/>
        </w:rPr>
        <w:t>合同金额及付款方式：</w:t>
      </w:r>
      <w:bookmarkEnd w:id="474"/>
      <w:bookmarkEnd w:id="475"/>
      <w:bookmarkEnd w:id="476"/>
      <w:bookmarkEnd w:id="477"/>
      <w:bookmarkEnd w:id="478"/>
    </w:p>
    <w:p w14:paraId="1EEB8260">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color w:val="auto"/>
          <w:sz w:val="24"/>
          <w:szCs w:val="24"/>
          <w:highlight w:val="none"/>
        </w:rPr>
      </w:pPr>
      <w:bookmarkStart w:id="479" w:name="_Toc6874"/>
      <w:bookmarkStart w:id="480" w:name="_Toc23821"/>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本服务费为人民币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），包括人员费用（保洁人员、垃圾清理人员及管理人员等）、按规定缴纳的各类保险、福利费、管理费用、税费、劳保用品、保洁用具、</w:t>
      </w:r>
      <w:r>
        <w:rPr>
          <w:rFonts w:hint="eastAsia" w:ascii="宋体" w:hAnsi="宋体" w:eastAsia="宋体" w:cs="宋体"/>
          <w:bCs/>
          <w:color w:val="auto"/>
          <w:sz w:val="24"/>
          <w:szCs w:val="24"/>
          <w:highlight w:val="none"/>
          <w:lang w:eastAsia="zh-CN"/>
        </w:rPr>
        <w:t>垃圾清运及处置费、设施设备维护及材料、招标代理费</w:t>
      </w:r>
      <w:r>
        <w:rPr>
          <w:rFonts w:hint="eastAsia" w:ascii="宋体" w:hAnsi="宋体" w:eastAsia="宋体" w:cs="宋体"/>
          <w:bCs/>
          <w:color w:val="auto"/>
          <w:sz w:val="24"/>
          <w:szCs w:val="24"/>
          <w:highlight w:val="none"/>
        </w:rPr>
        <w:t>等本项目所需的一切费用。凡投标人在报价中未列明但又为本次</w:t>
      </w:r>
      <w:r>
        <w:rPr>
          <w:rFonts w:hint="eastAsia" w:cs="宋体"/>
          <w:bCs/>
          <w:color w:val="auto"/>
          <w:sz w:val="24"/>
          <w:szCs w:val="24"/>
          <w:highlight w:val="none"/>
          <w:lang w:eastAsia="zh-CN"/>
        </w:rPr>
        <w:t>甲方</w:t>
      </w:r>
      <w:r>
        <w:rPr>
          <w:rFonts w:hint="eastAsia" w:ascii="宋体" w:hAnsi="宋体" w:eastAsia="宋体" w:cs="宋体"/>
          <w:bCs/>
          <w:color w:val="auto"/>
          <w:sz w:val="24"/>
          <w:szCs w:val="24"/>
          <w:highlight w:val="none"/>
        </w:rPr>
        <w:t>所必须的项目或遗漏项目，甲方将一律视为已包括在合同价中，在合同执行中将不再另行支付。</w:t>
      </w:r>
    </w:p>
    <w:p w14:paraId="63EAA031">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bookmarkStart w:id="481" w:name="_Toc16204"/>
      <w:bookmarkStart w:id="482" w:name="_Toc11701"/>
      <w:bookmarkStart w:id="483" w:name="_Toc31187"/>
      <w:bookmarkStart w:id="484" w:name="_Toc23817"/>
      <w:bookmarkStart w:id="485" w:name="_Toc41330206"/>
      <w:bookmarkStart w:id="486" w:name="_Toc14703"/>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付款方式</w:t>
      </w:r>
      <w:bookmarkEnd w:id="479"/>
      <w:bookmarkEnd w:id="480"/>
      <w:bookmarkEnd w:id="481"/>
      <w:bookmarkEnd w:id="482"/>
      <w:bookmarkEnd w:id="483"/>
      <w:bookmarkEnd w:id="484"/>
      <w:bookmarkEnd w:id="485"/>
      <w:bookmarkEnd w:id="486"/>
    </w:p>
    <w:p w14:paraId="03FE91BE">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本项目采取的付款方式为一个季度一付（三个月为一季度）：在合同生效后服务期每满一个季度，在十五个工作日内支付合同价的1/4（具体服务费按考核结果和奖罚制度按实支付）。</w:t>
      </w:r>
    </w:p>
    <w:p w14:paraId="5BDA6266">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付款要求</w:t>
      </w:r>
    </w:p>
    <w:p w14:paraId="0447C960">
      <w:pPr>
        <w:spacing w:line="348" w:lineRule="auto"/>
        <w:ind w:firstLine="480" w:firstLineChars="200"/>
        <w:jc w:val="left"/>
        <w:rPr>
          <w:rFonts w:hint="eastAsia" w:ascii="宋体"/>
          <w:color w:val="auto"/>
          <w:kern w:val="0"/>
          <w:sz w:val="24"/>
          <w:szCs w:val="68"/>
          <w:highlight w:val="none"/>
        </w:rPr>
      </w:pPr>
      <w:r>
        <w:rPr>
          <w:rFonts w:hint="eastAsia" w:ascii="宋体"/>
          <w:color w:val="auto"/>
          <w:kern w:val="0"/>
          <w:sz w:val="24"/>
          <w:szCs w:val="68"/>
          <w:highlight w:val="none"/>
          <w:lang w:eastAsia="zh-CN"/>
        </w:rPr>
        <w:t>乙方</w:t>
      </w:r>
      <w:r>
        <w:rPr>
          <w:rFonts w:hint="eastAsia" w:ascii="宋体"/>
          <w:color w:val="auto"/>
          <w:kern w:val="0"/>
          <w:sz w:val="24"/>
          <w:szCs w:val="68"/>
          <w:highlight w:val="none"/>
        </w:rPr>
        <w:t>在收款之前，应向</w:t>
      </w:r>
      <w:r>
        <w:rPr>
          <w:rFonts w:hint="eastAsia" w:ascii="宋体"/>
          <w:color w:val="auto"/>
          <w:kern w:val="0"/>
          <w:sz w:val="24"/>
          <w:szCs w:val="68"/>
          <w:highlight w:val="none"/>
          <w:lang w:eastAsia="zh-CN"/>
        </w:rPr>
        <w:t>甲方</w:t>
      </w:r>
      <w:r>
        <w:rPr>
          <w:rFonts w:hint="eastAsia" w:ascii="宋体"/>
          <w:color w:val="auto"/>
          <w:kern w:val="0"/>
          <w:sz w:val="24"/>
          <w:szCs w:val="68"/>
          <w:highlight w:val="none"/>
        </w:rPr>
        <w:t>提供等额、合法、有效的</w:t>
      </w:r>
      <w:r>
        <w:rPr>
          <w:rFonts w:hint="eastAsia" w:ascii="宋体"/>
          <w:color w:val="auto"/>
          <w:kern w:val="0"/>
          <w:sz w:val="24"/>
          <w:szCs w:val="68"/>
          <w:highlight w:val="none"/>
          <w:lang w:eastAsia="zh-CN"/>
        </w:rPr>
        <w:t>发票</w:t>
      </w:r>
      <w:r>
        <w:rPr>
          <w:rFonts w:hint="eastAsia" w:ascii="宋体"/>
          <w:color w:val="auto"/>
          <w:kern w:val="0"/>
          <w:sz w:val="24"/>
          <w:szCs w:val="68"/>
          <w:highlight w:val="none"/>
        </w:rPr>
        <w:t>，</w:t>
      </w:r>
      <w:r>
        <w:rPr>
          <w:rFonts w:hint="eastAsia" w:ascii="宋体"/>
          <w:color w:val="auto"/>
          <w:kern w:val="0"/>
          <w:sz w:val="24"/>
          <w:szCs w:val="68"/>
          <w:highlight w:val="none"/>
          <w:lang w:eastAsia="zh-CN"/>
        </w:rPr>
        <w:t>甲方</w:t>
      </w:r>
      <w:r>
        <w:rPr>
          <w:rFonts w:hint="eastAsia" w:ascii="宋体"/>
          <w:color w:val="auto"/>
          <w:kern w:val="0"/>
          <w:sz w:val="24"/>
          <w:szCs w:val="68"/>
          <w:highlight w:val="none"/>
        </w:rPr>
        <w:t>凭发票付款。如</w:t>
      </w:r>
      <w:r>
        <w:rPr>
          <w:rFonts w:hint="eastAsia" w:ascii="宋体"/>
          <w:color w:val="auto"/>
          <w:kern w:val="0"/>
          <w:sz w:val="24"/>
          <w:szCs w:val="68"/>
          <w:highlight w:val="none"/>
          <w:lang w:eastAsia="zh-CN"/>
        </w:rPr>
        <w:t>乙方</w:t>
      </w:r>
      <w:r>
        <w:rPr>
          <w:rFonts w:hint="eastAsia" w:ascii="宋体"/>
          <w:color w:val="auto"/>
          <w:kern w:val="0"/>
          <w:sz w:val="24"/>
          <w:szCs w:val="68"/>
          <w:highlight w:val="none"/>
        </w:rPr>
        <w:t>未按约定提供</w:t>
      </w:r>
      <w:r>
        <w:rPr>
          <w:rFonts w:hint="eastAsia" w:ascii="宋体"/>
          <w:color w:val="auto"/>
          <w:kern w:val="0"/>
          <w:sz w:val="24"/>
          <w:szCs w:val="68"/>
          <w:highlight w:val="none"/>
          <w:lang w:eastAsia="zh-CN"/>
        </w:rPr>
        <w:t>发票</w:t>
      </w:r>
      <w:r>
        <w:rPr>
          <w:rFonts w:hint="eastAsia" w:ascii="宋体"/>
          <w:color w:val="auto"/>
          <w:kern w:val="0"/>
          <w:sz w:val="24"/>
          <w:szCs w:val="68"/>
          <w:highlight w:val="none"/>
        </w:rPr>
        <w:t>的，</w:t>
      </w:r>
      <w:r>
        <w:rPr>
          <w:rFonts w:hint="eastAsia" w:ascii="宋体"/>
          <w:color w:val="auto"/>
          <w:kern w:val="0"/>
          <w:sz w:val="24"/>
          <w:szCs w:val="68"/>
          <w:highlight w:val="none"/>
          <w:lang w:eastAsia="zh-CN"/>
        </w:rPr>
        <w:t>甲方</w:t>
      </w:r>
      <w:r>
        <w:rPr>
          <w:rFonts w:hint="eastAsia" w:ascii="宋体"/>
          <w:color w:val="auto"/>
          <w:kern w:val="0"/>
          <w:sz w:val="24"/>
          <w:szCs w:val="68"/>
          <w:highlight w:val="none"/>
        </w:rPr>
        <w:t>有权拒绝付款，直至收到</w:t>
      </w:r>
      <w:r>
        <w:rPr>
          <w:rFonts w:hint="eastAsia" w:ascii="宋体"/>
          <w:color w:val="auto"/>
          <w:kern w:val="0"/>
          <w:sz w:val="24"/>
          <w:szCs w:val="68"/>
          <w:highlight w:val="none"/>
          <w:lang w:eastAsia="zh-CN"/>
        </w:rPr>
        <w:t>乙方</w:t>
      </w:r>
      <w:r>
        <w:rPr>
          <w:rFonts w:hint="eastAsia" w:ascii="宋体"/>
          <w:color w:val="auto"/>
          <w:kern w:val="0"/>
          <w:sz w:val="24"/>
          <w:szCs w:val="68"/>
          <w:highlight w:val="none"/>
        </w:rPr>
        <w:t>提交的相应</w:t>
      </w:r>
      <w:r>
        <w:rPr>
          <w:rFonts w:hint="eastAsia" w:ascii="宋体"/>
          <w:color w:val="auto"/>
          <w:kern w:val="0"/>
          <w:sz w:val="24"/>
          <w:szCs w:val="68"/>
          <w:highlight w:val="none"/>
          <w:lang w:eastAsia="zh-CN"/>
        </w:rPr>
        <w:t>发票</w:t>
      </w:r>
      <w:r>
        <w:rPr>
          <w:rFonts w:hint="eastAsia" w:ascii="宋体"/>
          <w:color w:val="auto"/>
          <w:kern w:val="0"/>
          <w:sz w:val="24"/>
          <w:szCs w:val="68"/>
          <w:highlight w:val="none"/>
        </w:rPr>
        <w:t>为止，在此情况下，</w:t>
      </w:r>
      <w:r>
        <w:rPr>
          <w:rFonts w:hint="eastAsia" w:ascii="宋体"/>
          <w:color w:val="auto"/>
          <w:kern w:val="0"/>
          <w:sz w:val="24"/>
          <w:szCs w:val="68"/>
          <w:highlight w:val="none"/>
          <w:lang w:eastAsia="zh-CN"/>
        </w:rPr>
        <w:t>甲方</w:t>
      </w:r>
      <w:r>
        <w:rPr>
          <w:rFonts w:hint="eastAsia" w:ascii="宋体"/>
          <w:color w:val="auto"/>
          <w:kern w:val="0"/>
          <w:sz w:val="24"/>
          <w:szCs w:val="68"/>
          <w:highlight w:val="none"/>
        </w:rPr>
        <w:t>不承担逾期付款违约责任。</w:t>
      </w:r>
    </w:p>
    <w:p w14:paraId="7D95B7E5">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auto"/>
          <w:sz w:val="24"/>
          <w:szCs w:val="18"/>
          <w:highlight w:val="none"/>
          <w:lang w:eastAsia="zh-CN"/>
        </w:rPr>
      </w:pPr>
      <w:r>
        <w:rPr>
          <w:rFonts w:hint="eastAsia" w:ascii="宋体" w:hAnsi="宋体" w:cs="宋体"/>
          <w:b/>
          <w:color w:val="auto"/>
          <w:sz w:val="24"/>
          <w:szCs w:val="18"/>
          <w:highlight w:val="none"/>
          <w:lang w:val="en-US" w:eastAsia="zh-CN"/>
        </w:rPr>
        <w:t>五、</w:t>
      </w:r>
      <w:r>
        <w:rPr>
          <w:rFonts w:hint="eastAsia" w:ascii="宋体" w:hAnsi="宋体" w:eastAsia="宋体" w:cs="宋体"/>
          <w:b/>
          <w:color w:val="auto"/>
          <w:sz w:val="24"/>
          <w:szCs w:val="18"/>
          <w:highlight w:val="none"/>
          <w:lang w:eastAsia="zh-CN"/>
        </w:rPr>
        <w:t>履约保证金</w:t>
      </w:r>
    </w:p>
    <w:p w14:paraId="768B81FB">
      <w:pPr>
        <w:spacing w:line="348" w:lineRule="auto"/>
        <w:ind w:firstLine="480" w:firstLineChars="200"/>
        <w:jc w:val="left"/>
        <w:rPr>
          <w:rFonts w:hint="eastAsia" w:ascii="宋体" w:hAnsi="Times New Roman" w:eastAsia="宋体" w:cs="Times New Roman"/>
          <w:color w:val="auto"/>
          <w:kern w:val="0"/>
          <w:sz w:val="24"/>
          <w:szCs w:val="68"/>
          <w:highlight w:val="none"/>
          <w:lang w:val="en-US" w:eastAsia="zh-CN"/>
        </w:rPr>
      </w:pPr>
      <w:r>
        <w:rPr>
          <w:rFonts w:hint="eastAsia" w:ascii="宋体" w:cs="Times New Roman"/>
          <w:color w:val="auto"/>
          <w:kern w:val="0"/>
          <w:sz w:val="24"/>
          <w:szCs w:val="68"/>
          <w:highlight w:val="none"/>
          <w:lang w:val="en-US" w:eastAsia="zh-CN"/>
        </w:rPr>
        <w:t>乙方</w:t>
      </w:r>
      <w:r>
        <w:rPr>
          <w:rFonts w:hint="eastAsia" w:ascii="宋体" w:hAnsi="Times New Roman" w:eastAsia="宋体" w:cs="Times New Roman"/>
          <w:color w:val="auto"/>
          <w:kern w:val="0"/>
          <w:sz w:val="24"/>
          <w:szCs w:val="68"/>
          <w:highlight w:val="none"/>
          <w:lang w:eastAsia="zh-CN"/>
        </w:rPr>
        <w:t>在收到中标通知书后，需向</w:t>
      </w:r>
      <w:r>
        <w:rPr>
          <w:rFonts w:hint="eastAsia" w:ascii="宋体" w:hAnsi="Times New Roman" w:eastAsia="宋体" w:cs="Times New Roman"/>
          <w:color w:val="auto"/>
          <w:kern w:val="0"/>
          <w:sz w:val="24"/>
          <w:szCs w:val="68"/>
          <w:highlight w:val="none"/>
          <w:lang w:val="en-US" w:eastAsia="zh-CN"/>
        </w:rPr>
        <w:t>甲方</w:t>
      </w:r>
      <w:r>
        <w:rPr>
          <w:rFonts w:hint="eastAsia" w:ascii="宋体" w:hAnsi="Times New Roman" w:eastAsia="宋体" w:cs="Times New Roman"/>
          <w:color w:val="auto"/>
          <w:kern w:val="0"/>
          <w:sz w:val="24"/>
          <w:szCs w:val="68"/>
          <w:highlight w:val="none"/>
          <w:lang w:eastAsia="zh-CN"/>
        </w:rPr>
        <w:t>提供</w:t>
      </w:r>
      <w:r>
        <w:rPr>
          <w:rFonts w:hint="eastAsia" w:ascii="宋体" w:hAnsi="Times New Roman" w:eastAsia="宋体" w:cs="Times New Roman"/>
          <w:color w:val="auto"/>
          <w:kern w:val="0"/>
          <w:sz w:val="24"/>
          <w:szCs w:val="68"/>
          <w:highlight w:val="none"/>
          <w:lang w:val="en-US" w:eastAsia="zh-CN"/>
        </w:rPr>
        <w:t>合同总价的</w:t>
      </w:r>
      <w:r>
        <w:rPr>
          <w:rFonts w:hint="eastAsia" w:ascii="宋体" w:hAnsi="Times New Roman" w:eastAsia="宋体" w:cs="Times New Roman"/>
          <w:color w:val="auto"/>
          <w:kern w:val="0"/>
          <w:sz w:val="24"/>
          <w:szCs w:val="68"/>
          <w:highlight w:val="none"/>
          <w:u w:val="single"/>
          <w:lang w:val="en-US" w:eastAsia="zh-CN"/>
        </w:rPr>
        <w:t xml:space="preserve"> 1% </w:t>
      </w:r>
      <w:r>
        <w:rPr>
          <w:rFonts w:hint="eastAsia" w:ascii="宋体" w:hAnsi="Times New Roman" w:eastAsia="宋体" w:cs="Times New Roman"/>
          <w:color w:val="auto"/>
          <w:kern w:val="0"/>
          <w:sz w:val="24"/>
          <w:szCs w:val="68"/>
          <w:highlight w:val="none"/>
          <w:lang w:eastAsia="zh-CN"/>
        </w:rPr>
        <w:t>作为履约保证金，在服务期结束后根据考核情况一次性退还。（</w:t>
      </w:r>
      <w:r>
        <w:rPr>
          <w:rFonts w:hint="eastAsia" w:ascii="宋体" w:hAnsi="Times New Roman" w:eastAsia="宋体" w:cs="Times New Roman"/>
          <w:color w:val="auto"/>
          <w:kern w:val="0"/>
          <w:sz w:val="24"/>
          <w:szCs w:val="68"/>
          <w:highlight w:val="none"/>
          <w:lang w:val="en-US" w:eastAsia="zh-CN"/>
        </w:rPr>
        <w:t>乙方</w:t>
      </w:r>
      <w:r>
        <w:rPr>
          <w:rFonts w:hint="eastAsia" w:ascii="宋体" w:hAnsi="Times New Roman" w:eastAsia="宋体" w:cs="Times New Roman"/>
          <w:color w:val="auto"/>
          <w:kern w:val="0"/>
          <w:sz w:val="24"/>
          <w:szCs w:val="68"/>
          <w:highlight w:val="none"/>
          <w:lang w:eastAsia="zh-CN"/>
        </w:rPr>
        <w:t>应当以支票、汇票、本票或者金融机构、保险公司、担保机构出具的保函等非现金形式提交。）</w:t>
      </w:r>
      <w:r>
        <w:rPr>
          <w:rFonts w:hint="eastAsia" w:ascii="宋体" w:hAnsi="Times New Roman" w:eastAsia="宋体" w:cs="Times New Roman"/>
          <w:color w:val="auto"/>
          <w:kern w:val="0"/>
          <w:sz w:val="24"/>
          <w:szCs w:val="68"/>
          <w:highlight w:val="none"/>
          <w:lang w:val="en-US" w:eastAsia="zh-CN"/>
        </w:rPr>
        <w:t>甲方在合同期满后或提前终止合同后一个月内向乙方退还全额履约保证金。</w:t>
      </w:r>
    </w:p>
    <w:p w14:paraId="2D900212">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auto"/>
          <w:sz w:val="24"/>
          <w:szCs w:val="18"/>
          <w:highlight w:val="none"/>
          <w:lang w:eastAsia="zh-CN"/>
        </w:rPr>
      </w:pPr>
      <w:r>
        <w:rPr>
          <w:rFonts w:hint="eastAsia" w:ascii="宋体" w:hAnsi="宋体" w:eastAsia="宋体" w:cs="宋体"/>
          <w:b/>
          <w:color w:val="auto"/>
          <w:sz w:val="24"/>
          <w:szCs w:val="18"/>
          <w:highlight w:val="none"/>
          <w:lang w:val="en-US" w:eastAsia="zh-CN"/>
        </w:rPr>
        <w:t>六、</w:t>
      </w:r>
      <w:r>
        <w:rPr>
          <w:rFonts w:hint="eastAsia" w:ascii="宋体" w:hAnsi="宋体" w:eastAsia="宋体" w:cs="宋体"/>
          <w:b/>
          <w:color w:val="auto"/>
          <w:sz w:val="24"/>
          <w:szCs w:val="18"/>
          <w:highlight w:val="none"/>
          <w:lang w:eastAsia="zh-CN"/>
        </w:rPr>
        <w:t>考核标准及办法</w:t>
      </w:r>
    </w:p>
    <w:p w14:paraId="52C7A131">
      <w:pPr>
        <w:keepNext w:val="0"/>
        <w:keepLines w:val="0"/>
        <w:pageBreakBefore w:val="0"/>
        <w:widowControl w:val="0"/>
        <w:numPr>
          <w:ilvl w:val="0"/>
          <w:numId w:val="0"/>
        </w:numPr>
        <w:kinsoku/>
        <w:wordWrap w:val="0"/>
        <w:overflowPunct/>
        <w:topLinePunct/>
        <w:autoSpaceDE/>
        <w:autoSpaceDN/>
        <w:bidi w:val="0"/>
        <w:snapToGrid/>
        <w:spacing w:line="360"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考核方式</w:t>
      </w:r>
    </w:p>
    <w:p w14:paraId="25FFD01E">
      <w:pPr>
        <w:keepNext w:val="0"/>
        <w:keepLines w:val="0"/>
        <w:pageBreakBefore w:val="0"/>
        <w:widowControl w:val="0"/>
        <w:kinsoku/>
        <w:wordWrap w:val="0"/>
        <w:overflowPunct/>
        <w:topLinePunct/>
        <w:autoSpaceDE/>
        <w:autoSpaceDN/>
        <w:bidi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考核分数参照街道对村考核结果</w:t>
      </w:r>
      <w:r>
        <w:rPr>
          <w:rFonts w:hint="eastAsia" w:ascii="宋体" w:hAnsi="宋体" w:eastAsia="宋体" w:cs="宋体"/>
          <w:color w:val="auto"/>
          <w:sz w:val="24"/>
          <w:highlight w:val="none"/>
          <w:lang w:val="en-US" w:eastAsia="zh-CN"/>
        </w:rPr>
        <w:t>，考核内容以《农村人居环境长效保洁考核评分表》为准</w:t>
      </w:r>
      <w:r>
        <w:rPr>
          <w:rFonts w:hint="eastAsia" w:ascii="宋体" w:hAnsi="宋体" w:eastAsia="宋体" w:cs="宋体"/>
          <w:color w:val="auto"/>
          <w:sz w:val="24"/>
          <w:highlight w:val="none"/>
        </w:rPr>
        <w:t xml:space="preserve">。 </w:t>
      </w:r>
    </w:p>
    <w:p w14:paraId="4E3981D5">
      <w:pPr>
        <w:keepNext w:val="0"/>
        <w:keepLines w:val="0"/>
        <w:pageBreakBefore w:val="0"/>
        <w:widowControl w:val="0"/>
        <w:kinsoku/>
        <w:wordWrap w:val="0"/>
        <w:overflowPunct/>
        <w:topLinePunct/>
        <w:autoSpaceDE/>
        <w:autoSpaceDN/>
        <w:bidi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lang w:eastAsia="zh-CN"/>
        </w:rPr>
        <w:t>人对</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lang w:eastAsia="zh-CN"/>
        </w:rPr>
        <w:t>工作人员到岗到位情况进行不定期抽查，抽查时如发现实际工作人数没有达到投标时承诺的人数，在月考核基础上每少一人加扣</w:t>
      </w:r>
      <w:r>
        <w:rPr>
          <w:rFonts w:hint="eastAsia" w:ascii="宋体" w:hAnsi="宋体" w:eastAsia="宋体" w:cs="宋体"/>
          <w:color w:val="auto"/>
          <w:sz w:val="24"/>
          <w:highlight w:val="none"/>
          <w:lang w:val="en-US" w:eastAsia="zh-CN"/>
        </w:rPr>
        <w:t>2000元</w:t>
      </w:r>
      <w:r>
        <w:rPr>
          <w:rFonts w:hint="eastAsia" w:ascii="宋体" w:hAnsi="宋体" w:eastAsia="宋体" w:cs="宋体"/>
          <w:color w:val="auto"/>
          <w:sz w:val="24"/>
          <w:highlight w:val="none"/>
        </w:rPr>
        <w:t>。</w:t>
      </w:r>
    </w:p>
    <w:p w14:paraId="665169E2">
      <w:pPr>
        <w:keepNext w:val="0"/>
        <w:keepLines w:val="0"/>
        <w:pageBreakBefore w:val="0"/>
        <w:widowControl w:val="0"/>
        <w:kinsoku/>
        <w:wordWrap w:val="0"/>
        <w:overflowPunct/>
        <w:topLinePunct/>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当月在区级或以上人居环境检查中排名全区后三位，全市后十位，当月月考核成绩直接定为不合格</w:t>
      </w:r>
      <w:r>
        <w:rPr>
          <w:rFonts w:hint="eastAsia" w:ascii="宋体" w:hAnsi="宋体" w:eastAsia="宋体" w:cs="宋体"/>
          <w:b/>
          <w:bCs/>
          <w:color w:val="auto"/>
          <w:sz w:val="24"/>
          <w:highlight w:val="none"/>
          <w:lang w:val="en-US" w:eastAsia="zh-CN"/>
        </w:rPr>
        <w:t>。</w:t>
      </w:r>
    </w:p>
    <w:p w14:paraId="450050E3">
      <w:pPr>
        <w:keepNext w:val="0"/>
        <w:keepLines w:val="0"/>
        <w:pageBreakBefore w:val="0"/>
        <w:widowControl w:val="0"/>
        <w:numPr>
          <w:ilvl w:val="0"/>
          <w:numId w:val="0"/>
        </w:numPr>
        <w:kinsoku/>
        <w:overflowPunct/>
        <w:bidi w:val="0"/>
        <w:snapToGrid/>
        <w:spacing w:line="360" w:lineRule="auto"/>
        <w:ind w:left="0" w:leftChars="0" w:firstLine="482" w:firstLineChars="200"/>
        <w:textAlignment w:val="auto"/>
        <w:rPr>
          <w:rFonts w:hint="eastAsia" w:ascii="宋体" w:hAnsi="宋体" w:eastAsia="宋体" w:cs="宋体"/>
          <w:color w:val="auto"/>
          <w:highlight w:val="none"/>
          <w:lang w:val="en-US"/>
        </w:rPr>
      </w:pPr>
      <w:r>
        <w:rPr>
          <w:rFonts w:hint="eastAsia" w:ascii="宋体" w:hAnsi="宋体" w:eastAsia="宋体" w:cs="宋体"/>
          <w:b/>
          <w:bCs/>
          <w:color w:val="auto"/>
          <w:sz w:val="24"/>
          <w:szCs w:val="24"/>
          <w:highlight w:val="none"/>
          <w:lang w:val="en-US" w:eastAsia="zh-CN"/>
        </w:rPr>
        <w:t>（二）考核评分表</w:t>
      </w:r>
    </w:p>
    <w:p w14:paraId="6D10BD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考核</w:t>
      </w:r>
      <w:r>
        <w:rPr>
          <w:rFonts w:hint="eastAsia" w:ascii="宋体" w:hAnsi="宋体" w:eastAsia="宋体" w:cs="宋体"/>
          <w:color w:val="auto"/>
          <w:sz w:val="24"/>
          <w:highlight w:val="none"/>
        </w:rPr>
        <w:t>满分100分</w:t>
      </w:r>
      <w:r>
        <w:rPr>
          <w:rFonts w:hint="eastAsia" w:ascii="宋体" w:hAnsi="宋体" w:eastAsia="宋体" w:cs="宋体"/>
          <w:color w:val="auto"/>
          <w:sz w:val="24"/>
          <w:highlight w:val="none"/>
          <w:lang w:val="en-US" w:eastAsia="zh-CN"/>
        </w:rPr>
        <w:t>。</w:t>
      </w:r>
    </w:p>
    <w:p w14:paraId="1A96DC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1、月</w:t>
      </w:r>
      <w:r>
        <w:rPr>
          <w:rFonts w:hint="eastAsia" w:ascii="宋体" w:hAnsi="宋体" w:eastAsia="宋体" w:cs="宋体"/>
          <w:color w:val="auto"/>
          <w:sz w:val="24"/>
          <w:szCs w:val="24"/>
          <w:highlight w:val="none"/>
        </w:rPr>
        <w:t>考核</w:t>
      </w:r>
      <w:r>
        <w:rPr>
          <w:rFonts w:hint="eastAsia" w:ascii="宋体" w:hAnsi="宋体" w:eastAsia="宋体" w:cs="宋体"/>
          <w:bCs/>
          <w:color w:val="auto"/>
          <w:sz w:val="24"/>
          <w:szCs w:val="24"/>
          <w:highlight w:val="none"/>
        </w:rPr>
        <w:t>成绩在</w:t>
      </w:r>
      <w:r>
        <w:rPr>
          <w:rFonts w:hint="eastAsia" w:ascii="宋体" w:hAnsi="宋体" w:eastAsia="宋体" w:cs="宋体"/>
          <w:color w:val="auto"/>
          <w:sz w:val="24"/>
          <w:szCs w:val="24"/>
          <w:highlight w:val="none"/>
        </w:rPr>
        <w:t>80分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含80分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及以上为优秀，</w:t>
      </w:r>
      <w:r>
        <w:rPr>
          <w:rFonts w:hint="eastAsia" w:ascii="宋体" w:hAnsi="宋体" w:eastAsia="宋体" w:cs="宋体"/>
          <w:color w:val="auto"/>
          <w:sz w:val="24"/>
          <w:szCs w:val="24"/>
          <w:highlight w:val="none"/>
          <w:lang w:eastAsia="zh-CN"/>
        </w:rPr>
        <w:t>得每月承包款的</w:t>
      </w:r>
      <w:r>
        <w:rPr>
          <w:rFonts w:hint="eastAsia" w:ascii="宋体" w:hAnsi="宋体" w:eastAsia="宋体" w:cs="宋体"/>
          <w:color w:val="auto"/>
          <w:sz w:val="24"/>
          <w:szCs w:val="24"/>
          <w:highlight w:val="none"/>
        </w:rPr>
        <w:t>100%；</w:t>
      </w:r>
    </w:p>
    <w:p w14:paraId="0B86F0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2、月</w:t>
      </w:r>
      <w:r>
        <w:rPr>
          <w:rFonts w:hint="eastAsia" w:ascii="宋体" w:hAnsi="宋体" w:eastAsia="宋体" w:cs="宋体"/>
          <w:color w:val="auto"/>
          <w:sz w:val="24"/>
          <w:szCs w:val="24"/>
          <w:highlight w:val="none"/>
        </w:rPr>
        <w:t>考核</w:t>
      </w:r>
      <w:r>
        <w:rPr>
          <w:rFonts w:hint="eastAsia" w:ascii="宋体" w:hAnsi="宋体" w:eastAsia="宋体" w:cs="宋体"/>
          <w:bCs/>
          <w:color w:val="auto"/>
          <w:sz w:val="24"/>
          <w:szCs w:val="24"/>
          <w:highlight w:val="none"/>
        </w:rPr>
        <w:t>成绩在</w:t>
      </w:r>
      <w:r>
        <w:rPr>
          <w:rFonts w:hint="eastAsia" w:ascii="宋体" w:hAnsi="宋体" w:eastAsia="宋体" w:cs="宋体"/>
          <w:color w:val="auto"/>
          <w:sz w:val="24"/>
          <w:szCs w:val="24"/>
          <w:highlight w:val="none"/>
        </w:rPr>
        <w:t>70分（含70分）至80分为良好，</w:t>
      </w:r>
      <w:r>
        <w:rPr>
          <w:rFonts w:hint="eastAsia" w:ascii="宋体" w:hAnsi="宋体" w:eastAsia="宋体" w:cs="宋体"/>
          <w:color w:val="auto"/>
          <w:sz w:val="24"/>
          <w:szCs w:val="24"/>
          <w:highlight w:val="none"/>
          <w:lang w:eastAsia="zh-CN"/>
        </w:rPr>
        <w:t>得每月承包款的</w:t>
      </w:r>
      <w:r>
        <w:rPr>
          <w:rFonts w:hint="eastAsia" w:ascii="宋体" w:hAnsi="宋体" w:eastAsia="宋体" w:cs="宋体"/>
          <w:color w:val="auto"/>
          <w:sz w:val="24"/>
          <w:szCs w:val="24"/>
          <w:highlight w:val="none"/>
        </w:rPr>
        <w:t>90%；</w:t>
      </w:r>
    </w:p>
    <w:p w14:paraId="4396B1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3、月</w:t>
      </w:r>
      <w:r>
        <w:rPr>
          <w:rFonts w:hint="eastAsia" w:ascii="宋体" w:hAnsi="宋体" w:eastAsia="宋体" w:cs="宋体"/>
          <w:color w:val="auto"/>
          <w:sz w:val="24"/>
          <w:szCs w:val="24"/>
          <w:highlight w:val="none"/>
        </w:rPr>
        <w:t>考核</w:t>
      </w:r>
      <w:r>
        <w:rPr>
          <w:rFonts w:hint="eastAsia" w:ascii="宋体" w:hAnsi="宋体" w:eastAsia="宋体" w:cs="宋体"/>
          <w:bCs/>
          <w:color w:val="auto"/>
          <w:sz w:val="24"/>
          <w:szCs w:val="24"/>
          <w:highlight w:val="none"/>
        </w:rPr>
        <w:t>成绩在</w:t>
      </w:r>
      <w:r>
        <w:rPr>
          <w:rFonts w:hint="eastAsia" w:ascii="宋体" w:hAnsi="宋体" w:eastAsia="宋体" w:cs="宋体"/>
          <w:color w:val="auto"/>
          <w:sz w:val="24"/>
          <w:szCs w:val="24"/>
          <w:highlight w:val="none"/>
        </w:rPr>
        <w:t>60分（含60分）至70分为合格，</w:t>
      </w:r>
      <w:r>
        <w:rPr>
          <w:rFonts w:hint="eastAsia" w:ascii="宋体" w:hAnsi="宋体" w:eastAsia="宋体" w:cs="宋体"/>
          <w:color w:val="auto"/>
          <w:sz w:val="24"/>
          <w:szCs w:val="24"/>
          <w:highlight w:val="none"/>
          <w:lang w:eastAsia="zh-CN"/>
        </w:rPr>
        <w:t>得每月承包款的</w:t>
      </w:r>
      <w:r>
        <w:rPr>
          <w:rFonts w:hint="eastAsia" w:ascii="宋体" w:hAnsi="宋体" w:eastAsia="宋体" w:cs="宋体"/>
          <w:color w:val="auto"/>
          <w:sz w:val="24"/>
          <w:szCs w:val="24"/>
          <w:highlight w:val="none"/>
        </w:rPr>
        <w:t>80%；</w:t>
      </w:r>
    </w:p>
    <w:p w14:paraId="2EF72B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4、月</w:t>
      </w:r>
      <w:r>
        <w:rPr>
          <w:rFonts w:hint="eastAsia" w:ascii="宋体" w:hAnsi="宋体" w:eastAsia="宋体" w:cs="宋体"/>
          <w:color w:val="auto"/>
          <w:sz w:val="24"/>
          <w:szCs w:val="24"/>
          <w:highlight w:val="none"/>
        </w:rPr>
        <w:t>考核</w:t>
      </w:r>
      <w:r>
        <w:rPr>
          <w:rFonts w:hint="eastAsia" w:ascii="宋体" w:hAnsi="宋体" w:eastAsia="宋体" w:cs="宋体"/>
          <w:bCs/>
          <w:color w:val="auto"/>
          <w:sz w:val="24"/>
          <w:szCs w:val="24"/>
          <w:highlight w:val="none"/>
        </w:rPr>
        <w:t>成绩在</w:t>
      </w:r>
      <w:r>
        <w:rPr>
          <w:rFonts w:hint="eastAsia" w:ascii="宋体" w:hAnsi="宋体" w:eastAsia="宋体" w:cs="宋体"/>
          <w:color w:val="auto"/>
          <w:sz w:val="24"/>
          <w:szCs w:val="24"/>
          <w:highlight w:val="none"/>
        </w:rPr>
        <w:t>60分以下为不合格，</w:t>
      </w:r>
      <w:r>
        <w:rPr>
          <w:rFonts w:hint="eastAsia" w:ascii="宋体" w:hAnsi="宋体" w:eastAsia="宋体" w:cs="宋体"/>
          <w:color w:val="auto"/>
          <w:sz w:val="24"/>
          <w:szCs w:val="24"/>
          <w:highlight w:val="none"/>
          <w:lang w:eastAsia="zh-CN"/>
        </w:rPr>
        <w:t>得每月承包款的</w:t>
      </w:r>
      <w:r>
        <w:rPr>
          <w:rFonts w:hint="eastAsia" w:ascii="宋体" w:hAnsi="宋体" w:eastAsia="宋体" w:cs="宋体"/>
          <w:color w:val="auto"/>
          <w:sz w:val="24"/>
          <w:szCs w:val="24"/>
          <w:highlight w:val="none"/>
        </w:rPr>
        <w:t>50%。</w:t>
      </w:r>
    </w:p>
    <w:p w14:paraId="0B2CEE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p>
    <w:p w14:paraId="722692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1、连续两个月定为不合格的，扣除第二个月全部承包款；连续三个月定为不合格的，</w:t>
      </w:r>
      <w:r>
        <w:rPr>
          <w:rFonts w:hint="eastAsia" w:ascii="宋体" w:hAnsi="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lang w:val="en-US" w:eastAsia="zh-CN"/>
        </w:rPr>
        <w:t>人有权终止服务合同，取消中标资格，</w:t>
      </w:r>
      <w:r>
        <w:rPr>
          <w:rFonts w:hint="eastAsia" w:ascii="宋体" w:hAnsi="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lang w:val="en-US" w:eastAsia="zh-CN"/>
        </w:rPr>
        <w:t>无条件直接退场并上报上级主管部门拉入黑名单。</w:t>
      </w:r>
    </w:p>
    <w:p w14:paraId="1B9FFA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bookmarkStart w:id="487" w:name="_Toc2053"/>
      <w:r>
        <w:rPr>
          <w:rFonts w:hint="eastAsia" w:ascii="宋体" w:hAnsi="宋体" w:eastAsia="宋体" w:cs="宋体"/>
          <w:b/>
          <w:bCs/>
          <w:color w:val="auto"/>
          <w:sz w:val="24"/>
          <w:szCs w:val="24"/>
          <w:highlight w:val="none"/>
          <w:lang w:val="en-US" w:eastAsia="zh-CN"/>
        </w:rPr>
        <w:t>2、涉及上虞美丽乡村PPP项目委托运维的：</w:t>
      </w:r>
      <w:bookmarkEnd w:id="487"/>
    </w:p>
    <w:p w14:paraId="5448CF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（1）上级部门随机安排对</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的日常工作进行检查，如检查</w:t>
      </w:r>
      <w:r>
        <w:rPr>
          <w:rFonts w:hint="eastAsia" w:ascii="宋体" w:hAnsi="宋体" w:eastAsia="宋体" w:cs="宋体"/>
          <w:bCs/>
          <w:color w:val="auto"/>
          <w:sz w:val="24"/>
          <w:szCs w:val="24"/>
          <w:highlight w:val="none"/>
          <w:lang w:val="en-US" w:eastAsia="zh-CN"/>
        </w:rPr>
        <w:t>情况不达标，上级部门可开出整改通知单，中标应按通知要求内容整改，如整改不及时、不到位，上级部门有权开具罚款单，如拒绝整改的，上级部门有权派施工人员进驻现场整改，并按双倍工程款计取并在年度养护费中扣除。</w:t>
      </w:r>
    </w:p>
    <w:p w14:paraId="0E6910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乙方</w:t>
      </w:r>
      <w:r>
        <w:rPr>
          <w:rFonts w:hint="eastAsia" w:ascii="宋体" w:hAnsi="宋体" w:eastAsia="宋体" w:cs="宋体"/>
          <w:bCs/>
          <w:color w:val="auto"/>
          <w:sz w:val="24"/>
          <w:szCs w:val="24"/>
          <w:highlight w:val="none"/>
          <w:lang w:val="en-US" w:eastAsia="zh-CN"/>
        </w:rPr>
        <w:t>养护范围内若在每月考核、季度考核中未达到85分以上（折算后），上级部门按当年度养护费的5%至30%进行处罚，若年度考核中考核评分未能在85分及以上的（折算后），上级部门有权按年度养护费的50%以上扣除，并由</w:t>
      </w:r>
      <w:r>
        <w:rPr>
          <w:rFonts w:hint="eastAsia" w:ascii="宋体" w:hAnsi="宋体" w:cs="宋体"/>
          <w:bCs/>
          <w:color w:val="auto"/>
          <w:sz w:val="24"/>
          <w:szCs w:val="24"/>
          <w:highlight w:val="none"/>
          <w:lang w:val="en-US" w:eastAsia="zh-CN"/>
        </w:rPr>
        <w:t>乙方</w:t>
      </w:r>
      <w:r>
        <w:rPr>
          <w:rFonts w:hint="eastAsia" w:ascii="宋体" w:hAnsi="宋体" w:eastAsia="宋体" w:cs="宋体"/>
          <w:bCs/>
          <w:color w:val="auto"/>
          <w:sz w:val="24"/>
          <w:szCs w:val="24"/>
          <w:highlight w:val="none"/>
          <w:lang w:val="en-US" w:eastAsia="zh-CN"/>
        </w:rPr>
        <w:t>承担全部整改费用，甲方视情况有权终止合同。</w:t>
      </w:r>
    </w:p>
    <w:p w14:paraId="6C3B739A">
      <w:pPr>
        <w:spacing w:line="560" w:lineRule="exact"/>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附件1</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2"/>
          <w:szCs w:val="32"/>
          <w:highlight w:val="none"/>
        </w:rPr>
        <w:t>农村</w:t>
      </w:r>
      <w:r>
        <w:rPr>
          <w:rFonts w:hint="eastAsia" w:ascii="宋体" w:hAnsi="宋体" w:eastAsia="宋体" w:cs="宋体"/>
          <w:b/>
          <w:bCs/>
          <w:color w:val="auto"/>
          <w:sz w:val="32"/>
          <w:szCs w:val="32"/>
          <w:highlight w:val="none"/>
          <w:lang w:eastAsia="zh-CN"/>
        </w:rPr>
        <w:t>人居环境</w:t>
      </w:r>
      <w:r>
        <w:rPr>
          <w:rFonts w:hint="eastAsia" w:ascii="宋体" w:hAnsi="宋体" w:eastAsia="宋体" w:cs="宋体"/>
          <w:b/>
          <w:bCs/>
          <w:color w:val="auto"/>
          <w:sz w:val="32"/>
          <w:szCs w:val="32"/>
          <w:highlight w:val="none"/>
        </w:rPr>
        <w:t>长效保洁考核评分表</w:t>
      </w:r>
    </w:p>
    <w:tbl>
      <w:tblPr>
        <w:tblStyle w:val="32"/>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00"/>
        <w:gridCol w:w="5750"/>
        <w:gridCol w:w="867"/>
        <w:gridCol w:w="1133"/>
      </w:tblGrid>
      <w:tr w14:paraId="4949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00" w:type="dxa"/>
            <w:tcBorders>
              <w:tl2br w:val="nil"/>
              <w:tr2bl w:val="nil"/>
            </w:tcBorders>
            <w:noWrap w:val="0"/>
            <w:vAlign w:val="center"/>
          </w:tcPr>
          <w:p w14:paraId="0D5154C0">
            <w:pPr>
              <w:tabs>
                <w:tab w:val="left" w:pos="274"/>
                <w:tab w:val="center" w:pos="1081"/>
              </w:tabs>
              <w:spacing w:line="380" w:lineRule="exact"/>
              <w:ind w:right="119"/>
              <w:jc w:val="center"/>
              <w:rPr>
                <w:rFonts w:ascii="宋体" w:hAnsi="宋体" w:cs="宋体"/>
                <w:b/>
                <w:bCs/>
                <w:color w:val="auto"/>
                <w:sz w:val="24"/>
                <w:highlight w:val="none"/>
              </w:rPr>
            </w:pPr>
            <w:r>
              <w:rPr>
                <w:rFonts w:hint="eastAsia" w:ascii="宋体" w:hAnsi="宋体" w:cs="宋体"/>
                <w:b/>
                <w:bCs/>
                <w:color w:val="auto"/>
                <w:sz w:val="24"/>
                <w:highlight w:val="none"/>
              </w:rPr>
              <w:t>评估类别</w:t>
            </w:r>
          </w:p>
        </w:tc>
        <w:tc>
          <w:tcPr>
            <w:tcW w:w="1400" w:type="dxa"/>
            <w:tcBorders>
              <w:tl2br w:val="nil"/>
              <w:tr2bl w:val="nil"/>
            </w:tcBorders>
            <w:noWrap w:val="0"/>
            <w:vAlign w:val="center"/>
          </w:tcPr>
          <w:p w14:paraId="0E824C37">
            <w:pPr>
              <w:spacing w:line="380" w:lineRule="exact"/>
              <w:ind w:right="119"/>
              <w:jc w:val="center"/>
              <w:rPr>
                <w:rFonts w:ascii="宋体" w:hAnsi="宋体" w:cs="宋体"/>
                <w:b/>
                <w:bCs/>
                <w:color w:val="auto"/>
                <w:sz w:val="24"/>
                <w:highlight w:val="none"/>
              </w:rPr>
            </w:pPr>
            <w:r>
              <w:rPr>
                <w:rFonts w:hint="eastAsia" w:ascii="宋体" w:hAnsi="宋体" w:cs="宋体"/>
                <w:b/>
                <w:bCs/>
                <w:color w:val="auto"/>
                <w:sz w:val="24"/>
                <w:highlight w:val="none"/>
              </w:rPr>
              <w:t>评估项目</w:t>
            </w:r>
          </w:p>
        </w:tc>
        <w:tc>
          <w:tcPr>
            <w:tcW w:w="5750" w:type="dxa"/>
            <w:tcBorders>
              <w:tl2br w:val="nil"/>
              <w:tr2bl w:val="nil"/>
            </w:tcBorders>
            <w:noWrap w:val="0"/>
            <w:vAlign w:val="center"/>
          </w:tcPr>
          <w:p w14:paraId="07258025">
            <w:pPr>
              <w:spacing w:line="380" w:lineRule="exact"/>
              <w:ind w:right="119"/>
              <w:jc w:val="center"/>
              <w:rPr>
                <w:rFonts w:ascii="宋体" w:hAnsi="宋体" w:cs="宋体"/>
                <w:b/>
                <w:bCs/>
                <w:color w:val="auto"/>
                <w:sz w:val="24"/>
                <w:highlight w:val="none"/>
              </w:rPr>
            </w:pPr>
            <w:r>
              <w:rPr>
                <w:rFonts w:hint="eastAsia" w:ascii="宋体" w:hAnsi="宋体" w:cs="宋体"/>
                <w:b/>
                <w:bCs/>
                <w:color w:val="auto"/>
                <w:sz w:val="24"/>
                <w:highlight w:val="none"/>
              </w:rPr>
              <w:t>评估细则</w:t>
            </w:r>
          </w:p>
        </w:tc>
        <w:tc>
          <w:tcPr>
            <w:tcW w:w="867" w:type="dxa"/>
            <w:tcBorders>
              <w:tl2br w:val="nil"/>
              <w:tr2bl w:val="nil"/>
            </w:tcBorders>
            <w:noWrap w:val="0"/>
            <w:vAlign w:val="center"/>
          </w:tcPr>
          <w:p w14:paraId="4C7893BD">
            <w:pPr>
              <w:spacing w:line="380" w:lineRule="exact"/>
              <w:ind w:right="119"/>
              <w:jc w:val="center"/>
              <w:rPr>
                <w:rFonts w:ascii="宋体" w:hAnsi="宋体" w:cs="宋体"/>
                <w:b/>
                <w:bCs/>
                <w:color w:val="auto"/>
                <w:sz w:val="24"/>
                <w:highlight w:val="none"/>
              </w:rPr>
            </w:pPr>
            <w:r>
              <w:rPr>
                <w:rFonts w:hint="eastAsia" w:ascii="宋体" w:hAnsi="宋体" w:cs="宋体"/>
                <w:b/>
                <w:bCs/>
                <w:color w:val="auto"/>
                <w:sz w:val="24"/>
                <w:highlight w:val="none"/>
              </w:rPr>
              <w:t>扣分</w:t>
            </w:r>
          </w:p>
        </w:tc>
        <w:tc>
          <w:tcPr>
            <w:tcW w:w="1133" w:type="dxa"/>
            <w:tcBorders>
              <w:tl2br w:val="nil"/>
              <w:tr2bl w:val="nil"/>
            </w:tcBorders>
            <w:noWrap w:val="0"/>
            <w:vAlign w:val="center"/>
          </w:tcPr>
          <w:p w14:paraId="5A02454C">
            <w:pPr>
              <w:spacing w:line="380" w:lineRule="exact"/>
              <w:ind w:right="119"/>
              <w:jc w:val="center"/>
              <w:rPr>
                <w:rFonts w:ascii="宋体" w:hAnsi="宋体" w:cs="宋体"/>
                <w:b/>
                <w:bCs/>
                <w:color w:val="auto"/>
                <w:sz w:val="24"/>
                <w:highlight w:val="none"/>
              </w:rPr>
            </w:pPr>
            <w:r>
              <w:rPr>
                <w:rFonts w:hint="eastAsia" w:ascii="宋体" w:hAnsi="宋体" w:cs="宋体"/>
                <w:b/>
                <w:bCs/>
                <w:color w:val="auto"/>
                <w:sz w:val="24"/>
                <w:highlight w:val="none"/>
              </w:rPr>
              <w:t>整改项核算</w:t>
            </w:r>
          </w:p>
        </w:tc>
      </w:tr>
      <w:tr w14:paraId="408A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00" w:type="dxa"/>
            <w:vMerge w:val="restart"/>
            <w:tcBorders>
              <w:tl2br w:val="nil"/>
              <w:tr2bl w:val="nil"/>
            </w:tcBorders>
            <w:noWrap w:val="0"/>
            <w:vAlign w:val="center"/>
          </w:tcPr>
          <w:p w14:paraId="3CC650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农村生活垃圾分类（30分）</w:t>
            </w:r>
          </w:p>
        </w:tc>
        <w:tc>
          <w:tcPr>
            <w:tcW w:w="1400" w:type="dxa"/>
            <w:vMerge w:val="restart"/>
            <w:tcBorders>
              <w:tl2br w:val="nil"/>
              <w:tr2bl w:val="nil"/>
            </w:tcBorders>
            <w:noWrap w:val="0"/>
            <w:vAlign w:val="center"/>
          </w:tcPr>
          <w:p w14:paraId="7BA84CD6">
            <w:pPr>
              <w:jc w:val="center"/>
              <w:rPr>
                <w:rFonts w:ascii="宋体" w:hAnsi="宋体" w:cs="宋体"/>
                <w:color w:val="auto"/>
                <w:sz w:val="24"/>
                <w:highlight w:val="none"/>
              </w:rPr>
            </w:pPr>
            <w:r>
              <w:rPr>
                <w:rFonts w:hint="eastAsia" w:ascii="宋体" w:hAnsi="宋体" w:cs="宋体"/>
                <w:color w:val="auto"/>
                <w:sz w:val="24"/>
                <w:highlight w:val="none"/>
              </w:rPr>
              <w:t>宣传工作</w:t>
            </w:r>
          </w:p>
        </w:tc>
        <w:tc>
          <w:tcPr>
            <w:tcW w:w="5750" w:type="dxa"/>
            <w:tcBorders>
              <w:tl2br w:val="nil"/>
              <w:tr2bl w:val="nil"/>
            </w:tcBorders>
            <w:noWrap w:val="0"/>
            <w:vAlign w:val="center"/>
          </w:tcPr>
          <w:p w14:paraId="269ED43F">
            <w:pPr>
              <w:spacing w:line="320" w:lineRule="exact"/>
              <w:rPr>
                <w:rFonts w:ascii="宋体" w:hAnsi="宋体" w:cs="宋体"/>
                <w:color w:val="auto"/>
                <w:sz w:val="24"/>
                <w:highlight w:val="none"/>
              </w:rPr>
            </w:pPr>
            <w:r>
              <w:rPr>
                <w:rFonts w:hint="eastAsia" w:ascii="宋体" w:hAnsi="宋体" w:cs="宋体"/>
                <w:color w:val="auto"/>
                <w:sz w:val="24"/>
                <w:highlight w:val="none"/>
              </w:rPr>
              <w:t>1.村规民约（含垃圾分类内容）未上墙，或已上墙但没有垃圾分类内容，扣1分，无奖惩措施或未落实奖惩措施（如红黑榜、积分制等），扣1分。</w:t>
            </w:r>
          </w:p>
        </w:tc>
        <w:tc>
          <w:tcPr>
            <w:tcW w:w="867" w:type="dxa"/>
            <w:tcBorders>
              <w:tl2br w:val="nil"/>
              <w:tr2bl w:val="nil"/>
            </w:tcBorders>
            <w:noWrap w:val="0"/>
            <w:vAlign w:val="center"/>
          </w:tcPr>
          <w:p w14:paraId="7A3F30A5">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1B1F8B9E">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75D5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0" w:type="dxa"/>
            <w:vMerge w:val="continue"/>
            <w:tcBorders>
              <w:tl2br w:val="nil"/>
              <w:tr2bl w:val="nil"/>
            </w:tcBorders>
            <w:noWrap w:val="0"/>
            <w:vAlign w:val="center"/>
          </w:tcPr>
          <w:p w14:paraId="111CCB4B">
            <w:pPr>
              <w:spacing w:line="360" w:lineRule="auto"/>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6A936B4E">
            <w:pPr>
              <w:jc w:val="center"/>
              <w:rPr>
                <w:rFonts w:ascii="宋体" w:hAnsi="宋体" w:cs="宋体"/>
                <w:color w:val="auto"/>
                <w:sz w:val="24"/>
                <w:highlight w:val="none"/>
              </w:rPr>
            </w:pPr>
          </w:p>
        </w:tc>
        <w:tc>
          <w:tcPr>
            <w:tcW w:w="5750" w:type="dxa"/>
            <w:tcBorders>
              <w:tl2br w:val="nil"/>
              <w:tr2bl w:val="nil"/>
            </w:tcBorders>
            <w:noWrap w:val="0"/>
            <w:vAlign w:val="center"/>
          </w:tcPr>
          <w:p w14:paraId="13A809EC">
            <w:pPr>
              <w:spacing w:line="320" w:lineRule="exact"/>
              <w:rPr>
                <w:rFonts w:ascii="宋体" w:hAnsi="宋体" w:cs="宋体"/>
                <w:color w:val="auto"/>
                <w:sz w:val="24"/>
                <w:highlight w:val="none"/>
              </w:rPr>
            </w:pPr>
            <w:r>
              <w:rPr>
                <w:rFonts w:hint="eastAsia" w:ascii="宋体" w:hAnsi="宋体" w:cs="宋体"/>
                <w:color w:val="auto"/>
                <w:sz w:val="24"/>
                <w:highlight w:val="none"/>
              </w:rPr>
              <w:t>2.宣传氛围浓厚，采用广播、宣传栏、墙画、宣传牌、宣传手册等多种形式开展垃圾分类宣传活动，视整村宣传氛围酌情扣1-2分。</w:t>
            </w:r>
          </w:p>
        </w:tc>
        <w:tc>
          <w:tcPr>
            <w:tcW w:w="867" w:type="dxa"/>
            <w:tcBorders>
              <w:tl2br w:val="nil"/>
              <w:tr2bl w:val="nil"/>
            </w:tcBorders>
            <w:noWrap w:val="0"/>
            <w:vAlign w:val="center"/>
          </w:tcPr>
          <w:p w14:paraId="61BA063F">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695EF5F7">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6CB5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tcBorders>
              <w:tl2br w:val="nil"/>
              <w:tr2bl w:val="nil"/>
            </w:tcBorders>
            <w:noWrap w:val="0"/>
            <w:vAlign w:val="center"/>
          </w:tcPr>
          <w:p w14:paraId="1226A756">
            <w:pPr>
              <w:spacing w:line="360" w:lineRule="auto"/>
              <w:ind w:right="119" w:firstLine="480" w:firstLineChars="200"/>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2018A045">
            <w:pPr>
              <w:jc w:val="center"/>
              <w:rPr>
                <w:rFonts w:ascii="宋体" w:hAnsi="宋体" w:cs="宋体"/>
                <w:color w:val="auto"/>
                <w:sz w:val="24"/>
                <w:highlight w:val="none"/>
              </w:rPr>
            </w:pPr>
          </w:p>
        </w:tc>
        <w:tc>
          <w:tcPr>
            <w:tcW w:w="5750" w:type="dxa"/>
            <w:tcBorders>
              <w:tl2br w:val="nil"/>
              <w:tr2bl w:val="nil"/>
            </w:tcBorders>
            <w:noWrap w:val="0"/>
            <w:vAlign w:val="center"/>
          </w:tcPr>
          <w:p w14:paraId="60D634F5">
            <w:pPr>
              <w:spacing w:line="320" w:lineRule="exact"/>
              <w:rPr>
                <w:rFonts w:ascii="宋体" w:hAnsi="宋体" w:cs="宋体"/>
                <w:color w:val="auto"/>
                <w:sz w:val="24"/>
                <w:highlight w:val="none"/>
              </w:rPr>
            </w:pPr>
            <w:r>
              <w:rPr>
                <w:rFonts w:hint="eastAsia" w:ascii="宋体" w:hAnsi="宋体" w:cs="宋体"/>
                <w:color w:val="auto"/>
                <w:sz w:val="24"/>
                <w:highlight w:val="none"/>
              </w:rPr>
              <w:t>3.开展“敲门行动”，宣传农村生活垃圾分类相关知识，每季度上门宣传引导应做到全覆盖。每发现一户未落实扣0.2分。</w:t>
            </w:r>
          </w:p>
        </w:tc>
        <w:tc>
          <w:tcPr>
            <w:tcW w:w="867" w:type="dxa"/>
            <w:tcBorders>
              <w:tl2br w:val="nil"/>
              <w:tr2bl w:val="nil"/>
            </w:tcBorders>
            <w:noWrap w:val="0"/>
            <w:vAlign w:val="center"/>
          </w:tcPr>
          <w:p w14:paraId="65407241">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57A869C9">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否</w:t>
            </w:r>
          </w:p>
        </w:tc>
      </w:tr>
      <w:tr w14:paraId="3908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0" w:type="dxa"/>
            <w:vMerge w:val="continue"/>
            <w:tcBorders>
              <w:tl2br w:val="nil"/>
              <w:tr2bl w:val="nil"/>
            </w:tcBorders>
            <w:noWrap w:val="0"/>
            <w:vAlign w:val="center"/>
          </w:tcPr>
          <w:p w14:paraId="35239D4B">
            <w:pPr>
              <w:spacing w:line="360" w:lineRule="auto"/>
              <w:ind w:right="119" w:firstLine="480" w:firstLineChars="200"/>
              <w:jc w:val="center"/>
              <w:rPr>
                <w:rFonts w:ascii="宋体" w:hAnsi="宋体" w:cs="宋体"/>
                <w:color w:val="auto"/>
                <w:sz w:val="24"/>
                <w:highlight w:val="none"/>
              </w:rPr>
            </w:pPr>
          </w:p>
        </w:tc>
        <w:tc>
          <w:tcPr>
            <w:tcW w:w="1400" w:type="dxa"/>
            <w:vMerge w:val="restart"/>
            <w:tcBorders>
              <w:tl2br w:val="nil"/>
              <w:tr2bl w:val="nil"/>
            </w:tcBorders>
            <w:noWrap w:val="0"/>
            <w:vAlign w:val="center"/>
          </w:tcPr>
          <w:p w14:paraId="43E78B20">
            <w:pPr>
              <w:jc w:val="center"/>
              <w:rPr>
                <w:rFonts w:ascii="宋体" w:hAnsi="宋体" w:cs="宋体"/>
                <w:color w:val="auto"/>
                <w:sz w:val="24"/>
                <w:highlight w:val="none"/>
              </w:rPr>
            </w:pPr>
            <w:r>
              <w:rPr>
                <w:rFonts w:hint="eastAsia" w:ascii="宋体" w:hAnsi="宋体" w:cs="宋体"/>
                <w:color w:val="auto"/>
                <w:sz w:val="24"/>
                <w:highlight w:val="none"/>
              </w:rPr>
              <w:t>分类设施</w:t>
            </w:r>
          </w:p>
        </w:tc>
        <w:tc>
          <w:tcPr>
            <w:tcW w:w="5750" w:type="dxa"/>
            <w:tcBorders>
              <w:tl2br w:val="nil"/>
              <w:tr2bl w:val="nil"/>
            </w:tcBorders>
            <w:noWrap w:val="0"/>
            <w:vAlign w:val="center"/>
          </w:tcPr>
          <w:p w14:paraId="289B31C1">
            <w:pPr>
              <w:spacing w:line="320" w:lineRule="exact"/>
              <w:rPr>
                <w:rFonts w:ascii="宋体" w:hAnsi="宋体" w:cs="宋体"/>
                <w:color w:val="auto"/>
                <w:sz w:val="24"/>
                <w:highlight w:val="none"/>
              </w:rPr>
            </w:pPr>
            <w:r>
              <w:rPr>
                <w:rFonts w:hint="eastAsia" w:ascii="宋体" w:hAnsi="宋体" w:cs="宋体"/>
                <w:color w:val="auto"/>
                <w:sz w:val="24"/>
                <w:highlight w:val="none"/>
              </w:rPr>
              <w:t>1.每个自然村至少一处四分类投放点，未设置扣1分。</w:t>
            </w:r>
          </w:p>
        </w:tc>
        <w:tc>
          <w:tcPr>
            <w:tcW w:w="867" w:type="dxa"/>
            <w:tcBorders>
              <w:tl2br w:val="nil"/>
              <w:tr2bl w:val="nil"/>
            </w:tcBorders>
            <w:noWrap w:val="0"/>
            <w:vAlign w:val="center"/>
          </w:tcPr>
          <w:p w14:paraId="3CD9D534">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62D60A6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2E9C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0" w:type="dxa"/>
            <w:vMerge w:val="continue"/>
            <w:tcBorders>
              <w:tl2br w:val="nil"/>
              <w:tr2bl w:val="nil"/>
            </w:tcBorders>
            <w:noWrap w:val="0"/>
            <w:vAlign w:val="center"/>
          </w:tcPr>
          <w:p w14:paraId="122F1C6A">
            <w:pPr>
              <w:spacing w:line="360" w:lineRule="auto"/>
              <w:ind w:right="119" w:firstLine="480" w:firstLineChars="200"/>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7D6E1241">
            <w:pPr>
              <w:jc w:val="center"/>
              <w:rPr>
                <w:rFonts w:ascii="宋体" w:hAnsi="宋体" w:cs="宋体"/>
                <w:color w:val="auto"/>
                <w:sz w:val="24"/>
                <w:highlight w:val="none"/>
              </w:rPr>
            </w:pPr>
          </w:p>
        </w:tc>
        <w:tc>
          <w:tcPr>
            <w:tcW w:w="5750" w:type="dxa"/>
            <w:tcBorders>
              <w:tl2br w:val="nil"/>
              <w:tr2bl w:val="nil"/>
            </w:tcBorders>
            <w:noWrap w:val="0"/>
            <w:vAlign w:val="center"/>
          </w:tcPr>
          <w:p w14:paraId="0B961562">
            <w:pPr>
              <w:spacing w:line="320" w:lineRule="exact"/>
              <w:rPr>
                <w:rFonts w:ascii="宋体" w:hAnsi="宋体" w:cs="宋体"/>
                <w:color w:val="auto"/>
                <w:sz w:val="24"/>
                <w:highlight w:val="none"/>
              </w:rPr>
            </w:pPr>
            <w:r>
              <w:rPr>
                <w:rFonts w:hint="eastAsia" w:ascii="宋体" w:hAnsi="宋体" w:cs="宋体"/>
                <w:color w:val="auto"/>
                <w:sz w:val="24"/>
                <w:highlight w:val="none"/>
              </w:rPr>
              <w:t>2.投放点分类容器设置不规范，每处扣1分。</w:t>
            </w:r>
          </w:p>
        </w:tc>
        <w:tc>
          <w:tcPr>
            <w:tcW w:w="867" w:type="dxa"/>
            <w:tcBorders>
              <w:tl2br w:val="nil"/>
              <w:tr2bl w:val="nil"/>
            </w:tcBorders>
            <w:noWrap w:val="0"/>
            <w:vAlign w:val="center"/>
          </w:tcPr>
          <w:p w14:paraId="4517D5C2">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3F582063">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757F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0" w:type="dxa"/>
            <w:vMerge w:val="continue"/>
            <w:tcBorders>
              <w:tl2br w:val="nil"/>
              <w:tr2bl w:val="nil"/>
            </w:tcBorders>
            <w:noWrap w:val="0"/>
            <w:vAlign w:val="center"/>
          </w:tcPr>
          <w:p w14:paraId="4DF3D020">
            <w:pPr>
              <w:spacing w:line="360" w:lineRule="auto"/>
              <w:ind w:right="119" w:firstLine="480" w:firstLineChars="200"/>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3FE12FDB">
            <w:pPr>
              <w:jc w:val="center"/>
              <w:rPr>
                <w:rFonts w:ascii="宋体" w:hAnsi="宋体" w:cs="宋体"/>
                <w:color w:val="auto"/>
                <w:sz w:val="24"/>
                <w:highlight w:val="none"/>
              </w:rPr>
            </w:pPr>
          </w:p>
        </w:tc>
        <w:tc>
          <w:tcPr>
            <w:tcW w:w="5750" w:type="dxa"/>
            <w:tcBorders>
              <w:tl2br w:val="nil"/>
              <w:tr2bl w:val="nil"/>
            </w:tcBorders>
            <w:noWrap w:val="0"/>
            <w:vAlign w:val="center"/>
          </w:tcPr>
          <w:p w14:paraId="0F165E44">
            <w:pPr>
              <w:spacing w:line="320" w:lineRule="exact"/>
              <w:rPr>
                <w:rFonts w:ascii="宋体" w:hAnsi="宋体" w:cs="宋体"/>
                <w:color w:val="auto"/>
                <w:sz w:val="24"/>
                <w:highlight w:val="none"/>
              </w:rPr>
            </w:pPr>
            <w:r>
              <w:rPr>
                <w:rFonts w:hint="eastAsia" w:ascii="宋体" w:hAnsi="宋体" w:cs="宋体"/>
                <w:color w:val="auto"/>
                <w:sz w:val="24"/>
                <w:highlight w:val="none"/>
              </w:rPr>
              <w:t>3.村集中收集点和投放点环境脏乱、分类容器外观不整洁、标识不规范、标识模糊不清、容器损坏、垃圾外溢等现象，每处扣0.5分。</w:t>
            </w:r>
          </w:p>
        </w:tc>
        <w:tc>
          <w:tcPr>
            <w:tcW w:w="867" w:type="dxa"/>
            <w:tcBorders>
              <w:tl2br w:val="nil"/>
              <w:tr2bl w:val="nil"/>
            </w:tcBorders>
            <w:noWrap w:val="0"/>
            <w:vAlign w:val="center"/>
          </w:tcPr>
          <w:p w14:paraId="2B1B351D">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65FD0351">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56F5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0" w:type="dxa"/>
            <w:vMerge w:val="continue"/>
            <w:tcBorders>
              <w:tl2br w:val="nil"/>
              <w:tr2bl w:val="nil"/>
            </w:tcBorders>
            <w:noWrap w:val="0"/>
            <w:vAlign w:val="center"/>
          </w:tcPr>
          <w:p w14:paraId="69BCFAC8">
            <w:pPr>
              <w:spacing w:line="360" w:lineRule="auto"/>
              <w:ind w:right="119"/>
              <w:jc w:val="center"/>
              <w:rPr>
                <w:rFonts w:ascii="宋体" w:hAnsi="宋体" w:cs="宋体"/>
                <w:color w:val="auto"/>
                <w:sz w:val="24"/>
                <w:highlight w:val="none"/>
              </w:rPr>
            </w:pPr>
          </w:p>
        </w:tc>
        <w:tc>
          <w:tcPr>
            <w:tcW w:w="1400" w:type="dxa"/>
            <w:vMerge w:val="restart"/>
            <w:tcBorders>
              <w:tl2br w:val="nil"/>
              <w:tr2bl w:val="nil"/>
            </w:tcBorders>
            <w:noWrap w:val="0"/>
            <w:vAlign w:val="center"/>
          </w:tcPr>
          <w:p w14:paraId="0349E62C">
            <w:pPr>
              <w:jc w:val="center"/>
              <w:rPr>
                <w:rFonts w:ascii="宋体" w:hAnsi="宋体" w:cs="宋体"/>
                <w:color w:val="auto"/>
                <w:sz w:val="24"/>
                <w:highlight w:val="none"/>
              </w:rPr>
            </w:pPr>
            <w:r>
              <w:rPr>
                <w:rFonts w:hint="eastAsia" w:ascii="宋体" w:hAnsi="宋体" w:cs="宋体"/>
                <w:color w:val="auto"/>
                <w:sz w:val="24"/>
                <w:highlight w:val="none"/>
              </w:rPr>
              <w:t>分类质量</w:t>
            </w:r>
          </w:p>
        </w:tc>
        <w:tc>
          <w:tcPr>
            <w:tcW w:w="5750" w:type="dxa"/>
            <w:tcBorders>
              <w:tl2br w:val="nil"/>
              <w:tr2bl w:val="nil"/>
            </w:tcBorders>
            <w:noWrap w:val="0"/>
            <w:vAlign w:val="center"/>
          </w:tcPr>
          <w:p w14:paraId="02436A2D">
            <w:pPr>
              <w:spacing w:line="320" w:lineRule="exact"/>
              <w:rPr>
                <w:rFonts w:ascii="宋体" w:hAnsi="宋体" w:cs="宋体"/>
                <w:color w:val="auto"/>
                <w:sz w:val="24"/>
                <w:highlight w:val="none"/>
              </w:rPr>
            </w:pPr>
            <w:r>
              <w:rPr>
                <w:rFonts w:hint="eastAsia" w:ascii="宋体" w:hAnsi="宋体" w:cs="宋体"/>
                <w:color w:val="auto"/>
                <w:sz w:val="24"/>
                <w:highlight w:val="none"/>
              </w:rPr>
              <w:t>1.清运车收集、运输过程中有垃圾混收、混运现象，每发现一次扣3分。</w:t>
            </w:r>
          </w:p>
        </w:tc>
        <w:tc>
          <w:tcPr>
            <w:tcW w:w="867" w:type="dxa"/>
            <w:tcBorders>
              <w:tl2br w:val="nil"/>
              <w:tr2bl w:val="nil"/>
            </w:tcBorders>
            <w:noWrap w:val="0"/>
            <w:vAlign w:val="center"/>
          </w:tcPr>
          <w:p w14:paraId="094BC5F4">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15C0AE66">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64D1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0" w:type="dxa"/>
            <w:vMerge w:val="continue"/>
            <w:tcBorders>
              <w:tl2br w:val="nil"/>
              <w:tr2bl w:val="nil"/>
            </w:tcBorders>
            <w:noWrap w:val="0"/>
            <w:vAlign w:val="center"/>
          </w:tcPr>
          <w:p w14:paraId="040A8BAE">
            <w:pPr>
              <w:spacing w:line="360" w:lineRule="auto"/>
              <w:ind w:right="119" w:firstLine="480" w:firstLineChars="200"/>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19E77ACF">
            <w:pPr>
              <w:spacing w:line="320" w:lineRule="exact"/>
              <w:jc w:val="center"/>
              <w:rPr>
                <w:rFonts w:ascii="宋体" w:hAnsi="宋体" w:cs="宋体"/>
                <w:color w:val="auto"/>
                <w:sz w:val="24"/>
                <w:highlight w:val="none"/>
              </w:rPr>
            </w:pPr>
          </w:p>
        </w:tc>
        <w:tc>
          <w:tcPr>
            <w:tcW w:w="5750" w:type="dxa"/>
            <w:tcBorders>
              <w:tl2br w:val="nil"/>
              <w:tr2bl w:val="nil"/>
            </w:tcBorders>
            <w:noWrap w:val="0"/>
            <w:vAlign w:val="center"/>
          </w:tcPr>
          <w:p w14:paraId="4B211F66">
            <w:pPr>
              <w:spacing w:line="320" w:lineRule="exact"/>
              <w:rPr>
                <w:rFonts w:ascii="宋体" w:hAnsi="宋体" w:cs="宋体"/>
                <w:color w:val="auto"/>
                <w:sz w:val="24"/>
                <w:highlight w:val="none"/>
              </w:rPr>
            </w:pPr>
            <w:r>
              <w:rPr>
                <w:rFonts w:hint="eastAsia" w:ascii="宋体" w:hAnsi="宋体" w:cs="宋体"/>
                <w:color w:val="auto"/>
                <w:sz w:val="24"/>
                <w:highlight w:val="none"/>
              </w:rPr>
              <w:t>2.逐步推行“定时定点”，集中收集点、投放点分类不正确，每发现一处扣1分。（随机抽查5处，数量不足以入户桶代替）</w:t>
            </w:r>
          </w:p>
        </w:tc>
        <w:tc>
          <w:tcPr>
            <w:tcW w:w="867" w:type="dxa"/>
            <w:tcBorders>
              <w:tl2br w:val="nil"/>
              <w:tr2bl w:val="nil"/>
            </w:tcBorders>
            <w:noWrap w:val="0"/>
            <w:vAlign w:val="center"/>
          </w:tcPr>
          <w:p w14:paraId="37B73927">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01D6A26C">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38A5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00" w:type="dxa"/>
            <w:vMerge w:val="continue"/>
            <w:tcBorders>
              <w:tl2br w:val="nil"/>
              <w:tr2bl w:val="nil"/>
            </w:tcBorders>
            <w:noWrap w:val="0"/>
            <w:vAlign w:val="center"/>
          </w:tcPr>
          <w:p w14:paraId="18C7B288">
            <w:pPr>
              <w:spacing w:line="360" w:lineRule="auto"/>
              <w:ind w:right="119" w:firstLine="480" w:firstLineChars="200"/>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0AF520E8">
            <w:pPr>
              <w:spacing w:line="320" w:lineRule="exact"/>
              <w:jc w:val="center"/>
              <w:rPr>
                <w:rFonts w:ascii="宋体" w:hAnsi="宋体" w:cs="宋体"/>
                <w:color w:val="auto"/>
                <w:sz w:val="24"/>
                <w:highlight w:val="none"/>
              </w:rPr>
            </w:pPr>
          </w:p>
        </w:tc>
        <w:tc>
          <w:tcPr>
            <w:tcW w:w="5750" w:type="dxa"/>
            <w:tcBorders>
              <w:tl2br w:val="nil"/>
              <w:tr2bl w:val="nil"/>
            </w:tcBorders>
            <w:noWrap w:val="0"/>
            <w:vAlign w:val="center"/>
          </w:tcPr>
          <w:p w14:paraId="1776C141">
            <w:pPr>
              <w:spacing w:line="320" w:lineRule="exact"/>
              <w:rPr>
                <w:rFonts w:ascii="宋体" w:hAnsi="宋体" w:cs="宋体"/>
                <w:color w:val="auto"/>
                <w:sz w:val="24"/>
                <w:highlight w:val="none"/>
              </w:rPr>
            </w:pPr>
            <w:r>
              <w:rPr>
                <w:rFonts w:hint="eastAsia" w:ascii="宋体" w:hAnsi="宋体" w:cs="宋体"/>
                <w:color w:val="auto"/>
                <w:sz w:val="24"/>
                <w:highlight w:val="none"/>
              </w:rPr>
              <w:t>3.随机抽查农户分类质量（入户检查或者户外桶），分类不正确，每户扣0.2分。（共计抽查20户，其中三类人员5户）</w:t>
            </w:r>
          </w:p>
        </w:tc>
        <w:tc>
          <w:tcPr>
            <w:tcW w:w="867" w:type="dxa"/>
            <w:tcBorders>
              <w:tl2br w:val="nil"/>
              <w:tr2bl w:val="nil"/>
            </w:tcBorders>
            <w:noWrap w:val="0"/>
            <w:vAlign w:val="center"/>
          </w:tcPr>
          <w:p w14:paraId="26FDDCBE">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5E8A94BF">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否</w:t>
            </w:r>
          </w:p>
        </w:tc>
      </w:tr>
      <w:tr w14:paraId="2E53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00" w:type="dxa"/>
            <w:vMerge w:val="restart"/>
            <w:tcBorders>
              <w:tl2br w:val="nil"/>
              <w:tr2bl w:val="nil"/>
            </w:tcBorders>
            <w:noWrap w:val="0"/>
            <w:vAlign w:val="center"/>
          </w:tcPr>
          <w:p w14:paraId="0A2C90B0">
            <w:pPr>
              <w:spacing w:line="360" w:lineRule="auto"/>
              <w:ind w:right="119"/>
              <w:jc w:val="center"/>
              <w:rPr>
                <w:rFonts w:ascii="宋体" w:hAnsi="宋体" w:cs="宋体"/>
                <w:color w:val="auto"/>
                <w:sz w:val="24"/>
                <w:highlight w:val="none"/>
              </w:rPr>
            </w:pPr>
            <w:r>
              <w:rPr>
                <w:rFonts w:hint="eastAsia" w:ascii="宋体" w:hAnsi="宋体" w:cs="宋体"/>
                <w:color w:val="auto"/>
                <w:sz w:val="24"/>
                <w:highlight w:val="none"/>
              </w:rPr>
              <w:t>清理乱堆乱放（20分）</w:t>
            </w:r>
          </w:p>
        </w:tc>
        <w:tc>
          <w:tcPr>
            <w:tcW w:w="1400" w:type="dxa"/>
            <w:vMerge w:val="restart"/>
            <w:tcBorders>
              <w:tl2br w:val="nil"/>
              <w:tr2bl w:val="nil"/>
            </w:tcBorders>
            <w:noWrap w:val="0"/>
            <w:vAlign w:val="center"/>
          </w:tcPr>
          <w:p w14:paraId="77EE005F">
            <w:pPr>
              <w:jc w:val="center"/>
              <w:rPr>
                <w:rFonts w:ascii="宋体" w:hAnsi="宋体" w:cs="宋体"/>
                <w:color w:val="auto"/>
                <w:sz w:val="24"/>
                <w:highlight w:val="none"/>
              </w:rPr>
            </w:pPr>
            <w:r>
              <w:rPr>
                <w:rFonts w:hint="eastAsia" w:ascii="宋体" w:hAnsi="宋体" w:cs="宋体"/>
                <w:color w:val="auto"/>
                <w:sz w:val="24"/>
                <w:highlight w:val="none"/>
              </w:rPr>
              <w:t>主要道路</w:t>
            </w:r>
          </w:p>
        </w:tc>
        <w:tc>
          <w:tcPr>
            <w:tcW w:w="5750" w:type="dxa"/>
            <w:tcBorders>
              <w:tl2br w:val="nil"/>
              <w:tr2bl w:val="nil"/>
            </w:tcBorders>
            <w:noWrap w:val="0"/>
            <w:vAlign w:val="center"/>
          </w:tcPr>
          <w:p w14:paraId="087EE554">
            <w:pPr>
              <w:spacing w:line="320" w:lineRule="exact"/>
              <w:rPr>
                <w:rFonts w:ascii="宋体" w:hAnsi="宋体" w:cs="宋体"/>
                <w:color w:val="auto"/>
                <w:sz w:val="24"/>
                <w:highlight w:val="none"/>
              </w:rPr>
            </w:pPr>
            <w:r>
              <w:rPr>
                <w:rFonts w:hint="eastAsia" w:ascii="宋体" w:hAnsi="宋体" w:cs="宋体"/>
                <w:color w:val="auto"/>
                <w:sz w:val="24"/>
                <w:highlight w:val="none"/>
              </w:rPr>
              <w:t>1.村内主要道路、村内巷道、河道岸坡、绿化带、花坛、公共场所，每发现一处乱堆建筑垃圾、乱放生产生活用具、乱丢旧家具等乱堆乱放现场扣0.5分。</w:t>
            </w:r>
          </w:p>
        </w:tc>
        <w:tc>
          <w:tcPr>
            <w:tcW w:w="867" w:type="dxa"/>
            <w:tcBorders>
              <w:tl2br w:val="nil"/>
              <w:tr2bl w:val="nil"/>
            </w:tcBorders>
            <w:noWrap w:val="0"/>
            <w:vAlign w:val="center"/>
          </w:tcPr>
          <w:p w14:paraId="65CE604C">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1C44DBD2">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1FA9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00" w:type="dxa"/>
            <w:vMerge w:val="continue"/>
            <w:tcBorders>
              <w:tl2br w:val="nil"/>
              <w:tr2bl w:val="nil"/>
            </w:tcBorders>
            <w:noWrap w:val="0"/>
            <w:vAlign w:val="center"/>
          </w:tcPr>
          <w:p w14:paraId="619F1C78">
            <w:pPr>
              <w:spacing w:line="360" w:lineRule="auto"/>
              <w:ind w:left="240" w:right="119" w:hanging="240" w:hangingChars="100"/>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0E5B616E">
            <w:pPr>
              <w:jc w:val="center"/>
              <w:rPr>
                <w:rFonts w:ascii="宋体" w:hAnsi="宋体" w:cs="宋体"/>
                <w:color w:val="auto"/>
                <w:sz w:val="24"/>
                <w:highlight w:val="none"/>
              </w:rPr>
            </w:pPr>
          </w:p>
        </w:tc>
        <w:tc>
          <w:tcPr>
            <w:tcW w:w="5750" w:type="dxa"/>
            <w:tcBorders>
              <w:tl2br w:val="nil"/>
              <w:tr2bl w:val="nil"/>
            </w:tcBorders>
            <w:noWrap w:val="0"/>
            <w:vAlign w:val="center"/>
          </w:tcPr>
          <w:p w14:paraId="59B4E397">
            <w:pPr>
              <w:spacing w:line="320" w:lineRule="exact"/>
              <w:rPr>
                <w:rFonts w:ascii="宋体" w:hAnsi="宋体" w:cs="宋体"/>
                <w:color w:val="auto"/>
                <w:sz w:val="24"/>
                <w:highlight w:val="none"/>
              </w:rPr>
            </w:pPr>
            <w:r>
              <w:rPr>
                <w:rFonts w:hint="eastAsia" w:ascii="宋体" w:hAnsi="宋体" w:cs="宋体"/>
                <w:color w:val="auto"/>
                <w:sz w:val="24"/>
                <w:highlight w:val="none"/>
              </w:rPr>
              <w:t>2.村内主干道、空余场地、公共停车场（泊位），车辆乱停放每发现一处扣0.2分，僵尸车每发现一辆扣0.5分。</w:t>
            </w:r>
          </w:p>
        </w:tc>
        <w:tc>
          <w:tcPr>
            <w:tcW w:w="867" w:type="dxa"/>
            <w:tcBorders>
              <w:tl2br w:val="nil"/>
              <w:tr2bl w:val="nil"/>
            </w:tcBorders>
            <w:noWrap w:val="0"/>
            <w:vAlign w:val="center"/>
          </w:tcPr>
          <w:p w14:paraId="56C9874E">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291A9BFB">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5043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Merge w:val="continue"/>
            <w:tcBorders>
              <w:tl2br w:val="nil"/>
              <w:tr2bl w:val="nil"/>
            </w:tcBorders>
            <w:noWrap w:val="0"/>
            <w:vAlign w:val="center"/>
          </w:tcPr>
          <w:p w14:paraId="010D0EF9">
            <w:pPr>
              <w:spacing w:line="360" w:lineRule="auto"/>
              <w:ind w:right="119" w:firstLine="480" w:firstLineChars="200"/>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6375CAA0">
            <w:pPr>
              <w:jc w:val="center"/>
              <w:rPr>
                <w:rFonts w:ascii="宋体" w:hAnsi="宋体" w:cs="宋体"/>
                <w:color w:val="auto"/>
                <w:sz w:val="24"/>
                <w:highlight w:val="none"/>
              </w:rPr>
            </w:pPr>
          </w:p>
        </w:tc>
        <w:tc>
          <w:tcPr>
            <w:tcW w:w="5750" w:type="dxa"/>
            <w:tcBorders>
              <w:tl2br w:val="nil"/>
              <w:tr2bl w:val="nil"/>
            </w:tcBorders>
            <w:noWrap w:val="0"/>
            <w:vAlign w:val="center"/>
          </w:tcPr>
          <w:p w14:paraId="0799A5EA">
            <w:pPr>
              <w:spacing w:line="320" w:lineRule="exact"/>
              <w:rPr>
                <w:rFonts w:ascii="宋体" w:hAnsi="宋体" w:cs="宋体"/>
                <w:color w:val="auto"/>
                <w:sz w:val="24"/>
                <w:highlight w:val="none"/>
              </w:rPr>
            </w:pPr>
            <w:r>
              <w:rPr>
                <w:rFonts w:hint="eastAsia" w:ascii="宋体" w:hAnsi="宋体" w:cs="宋体"/>
                <w:color w:val="auto"/>
                <w:sz w:val="24"/>
                <w:highlight w:val="none"/>
              </w:rPr>
              <w:t>3.主要道路和公共区域发现散养家禽等，每发现一处扣0.2分，最多扣2处。</w:t>
            </w:r>
          </w:p>
        </w:tc>
        <w:tc>
          <w:tcPr>
            <w:tcW w:w="867" w:type="dxa"/>
            <w:tcBorders>
              <w:tl2br w:val="nil"/>
              <w:tr2bl w:val="nil"/>
            </w:tcBorders>
            <w:noWrap w:val="0"/>
            <w:vAlign w:val="center"/>
          </w:tcPr>
          <w:p w14:paraId="687A0E57">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24E6D1D4">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556F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0" w:type="dxa"/>
            <w:vMerge w:val="continue"/>
            <w:tcBorders>
              <w:tl2br w:val="nil"/>
              <w:tr2bl w:val="nil"/>
            </w:tcBorders>
            <w:noWrap w:val="0"/>
            <w:vAlign w:val="center"/>
          </w:tcPr>
          <w:p w14:paraId="4290628C">
            <w:pPr>
              <w:spacing w:line="360" w:lineRule="auto"/>
              <w:ind w:left="240" w:right="119" w:hanging="240" w:hangingChars="100"/>
              <w:jc w:val="center"/>
              <w:rPr>
                <w:rFonts w:ascii="宋体" w:hAnsi="宋体" w:cs="宋体"/>
                <w:color w:val="auto"/>
                <w:sz w:val="24"/>
                <w:highlight w:val="none"/>
              </w:rPr>
            </w:pPr>
          </w:p>
        </w:tc>
        <w:tc>
          <w:tcPr>
            <w:tcW w:w="1400" w:type="dxa"/>
            <w:tcBorders>
              <w:tl2br w:val="nil"/>
              <w:tr2bl w:val="nil"/>
            </w:tcBorders>
            <w:noWrap w:val="0"/>
            <w:vAlign w:val="center"/>
          </w:tcPr>
          <w:p w14:paraId="29598794">
            <w:pPr>
              <w:jc w:val="center"/>
              <w:rPr>
                <w:rFonts w:ascii="宋体" w:hAnsi="宋体" w:cs="宋体"/>
                <w:color w:val="auto"/>
                <w:sz w:val="24"/>
                <w:highlight w:val="none"/>
              </w:rPr>
            </w:pPr>
            <w:r>
              <w:rPr>
                <w:rFonts w:hint="eastAsia" w:ascii="宋体" w:hAnsi="宋体" w:cs="宋体"/>
                <w:color w:val="auto"/>
                <w:sz w:val="24"/>
                <w:highlight w:val="none"/>
              </w:rPr>
              <w:t>房前屋后</w:t>
            </w:r>
          </w:p>
        </w:tc>
        <w:tc>
          <w:tcPr>
            <w:tcW w:w="5750" w:type="dxa"/>
            <w:tcBorders>
              <w:tl2br w:val="nil"/>
              <w:tr2bl w:val="nil"/>
            </w:tcBorders>
            <w:noWrap w:val="0"/>
            <w:vAlign w:val="center"/>
          </w:tcPr>
          <w:p w14:paraId="77121346">
            <w:pPr>
              <w:spacing w:line="320" w:lineRule="exact"/>
              <w:rPr>
                <w:rFonts w:ascii="宋体" w:hAnsi="宋体" w:cs="宋体"/>
                <w:color w:val="auto"/>
                <w:sz w:val="24"/>
                <w:highlight w:val="none"/>
              </w:rPr>
            </w:pPr>
            <w:r>
              <w:rPr>
                <w:rFonts w:hint="eastAsia" w:ascii="宋体" w:hAnsi="宋体" w:cs="宋体"/>
                <w:color w:val="auto"/>
                <w:sz w:val="24"/>
                <w:highlight w:val="none"/>
              </w:rPr>
              <w:t>检查房前屋后环境，有存在柴草、生产用具、废弃物资等生产生活用具堆放混乱每发现一处扣0.5分。</w:t>
            </w:r>
          </w:p>
        </w:tc>
        <w:tc>
          <w:tcPr>
            <w:tcW w:w="867" w:type="dxa"/>
            <w:tcBorders>
              <w:tl2br w:val="nil"/>
              <w:tr2bl w:val="nil"/>
            </w:tcBorders>
            <w:noWrap w:val="0"/>
            <w:vAlign w:val="center"/>
          </w:tcPr>
          <w:p w14:paraId="4F112024">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0D853A27">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17CE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00" w:type="dxa"/>
            <w:vMerge w:val="continue"/>
            <w:tcBorders>
              <w:tl2br w:val="nil"/>
              <w:tr2bl w:val="nil"/>
            </w:tcBorders>
            <w:noWrap w:val="0"/>
            <w:vAlign w:val="center"/>
          </w:tcPr>
          <w:p w14:paraId="1A2AE9B9">
            <w:pPr>
              <w:spacing w:line="360" w:lineRule="auto"/>
              <w:ind w:right="119"/>
              <w:jc w:val="center"/>
              <w:rPr>
                <w:rFonts w:ascii="宋体" w:hAnsi="宋体" w:cs="宋体"/>
                <w:color w:val="auto"/>
                <w:sz w:val="24"/>
                <w:highlight w:val="none"/>
              </w:rPr>
            </w:pPr>
          </w:p>
        </w:tc>
        <w:tc>
          <w:tcPr>
            <w:tcW w:w="1400" w:type="dxa"/>
            <w:vMerge w:val="restart"/>
            <w:tcBorders>
              <w:tl2br w:val="nil"/>
              <w:tr2bl w:val="nil"/>
            </w:tcBorders>
            <w:noWrap w:val="0"/>
            <w:vAlign w:val="center"/>
          </w:tcPr>
          <w:p w14:paraId="1D582467">
            <w:pPr>
              <w:jc w:val="center"/>
              <w:rPr>
                <w:rFonts w:ascii="宋体" w:hAnsi="宋体" w:cs="宋体"/>
                <w:color w:val="auto"/>
                <w:sz w:val="24"/>
                <w:highlight w:val="none"/>
              </w:rPr>
            </w:pPr>
            <w:r>
              <w:rPr>
                <w:rFonts w:hint="eastAsia" w:ascii="宋体" w:hAnsi="宋体" w:cs="宋体"/>
                <w:color w:val="auto"/>
                <w:sz w:val="24"/>
                <w:highlight w:val="none"/>
              </w:rPr>
              <w:t>经营市场和田间地头</w:t>
            </w:r>
          </w:p>
        </w:tc>
        <w:tc>
          <w:tcPr>
            <w:tcW w:w="5750" w:type="dxa"/>
            <w:tcBorders>
              <w:tl2br w:val="nil"/>
              <w:tr2bl w:val="nil"/>
            </w:tcBorders>
            <w:noWrap w:val="0"/>
            <w:vAlign w:val="center"/>
          </w:tcPr>
          <w:p w14:paraId="6CC878B5">
            <w:pPr>
              <w:spacing w:line="320" w:lineRule="exact"/>
              <w:rPr>
                <w:rFonts w:ascii="宋体" w:hAnsi="宋体" w:cs="宋体"/>
                <w:color w:val="auto"/>
                <w:sz w:val="24"/>
                <w:highlight w:val="none"/>
              </w:rPr>
            </w:pPr>
            <w:r>
              <w:rPr>
                <w:rFonts w:hint="eastAsia" w:ascii="宋体" w:hAnsi="宋体" w:cs="宋体"/>
                <w:color w:val="auto"/>
                <w:sz w:val="24"/>
                <w:highlight w:val="none"/>
              </w:rPr>
              <w:t>1.走访村内农贸市场商铺和营业房，物品乱堆乱放、破蓬散架、占道和跨门经营的每发现一处扣0.5分。</w:t>
            </w:r>
          </w:p>
        </w:tc>
        <w:tc>
          <w:tcPr>
            <w:tcW w:w="867" w:type="dxa"/>
            <w:tcBorders>
              <w:tl2br w:val="nil"/>
              <w:tr2bl w:val="nil"/>
            </w:tcBorders>
            <w:noWrap w:val="0"/>
            <w:vAlign w:val="center"/>
          </w:tcPr>
          <w:p w14:paraId="74A3A03D">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743F29B4">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5C2D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tcBorders>
              <w:tl2br w:val="nil"/>
              <w:tr2bl w:val="nil"/>
            </w:tcBorders>
            <w:noWrap w:val="0"/>
            <w:vAlign w:val="center"/>
          </w:tcPr>
          <w:p w14:paraId="525D41C6">
            <w:pPr>
              <w:spacing w:line="360" w:lineRule="auto"/>
              <w:ind w:right="119" w:firstLine="240" w:firstLineChars="100"/>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0A744AB5">
            <w:pPr>
              <w:jc w:val="center"/>
              <w:rPr>
                <w:rFonts w:ascii="宋体" w:hAnsi="宋体" w:cs="宋体"/>
                <w:color w:val="auto"/>
                <w:sz w:val="24"/>
                <w:highlight w:val="none"/>
              </w:rPr>
            </w:pPr>
          </w:p>
        </w:tc>
        <w:tc>
          <w:tcPr>
            <w:tcW w:w="5750" w:type="dxa"/>
            <w:tcBorders>
              <w:tl2br w:val="nil"/>
              <w:tr2bl w:val="nil"/>
            </w:tcBorders>
            <w:noWrap w:val="0"/>
            <w:vAlign w:val="center"/>
          </w:tcPr>
          <w:p w14:paraId="741F94E5">
            <w:pPr>
              <w:spacing w:line="320" w:lineRule="exact"/>
              <w:rPr>
                <w:rFonts w:ascii="宋体" w:hAnsi="宋体" w:cs="宋体"/>
                <w:color w:val="auto"/>
                <w:sz w:val="24"/>
                <w:highlight w:val="none"/>
              </w:rPr>
            </w:pPr>
            <w:r>
              <w:rPr>
                <w:rFonts w:hint="eastAsia" w:ascii="宋体" w:hAnsi="宋体" w:cs="宋体"/>
                <w:color w:val="auto"/>
                <w:sz w:val="24"/>
                <w:highlight w:val="none"/>
              </w:rPr>
              <w:t>2.田间地头有农药化肥废弃包装物、废弃农膜等乱堆放现象，每发现一处扣0.5分。</w:t>
            </w:r>
          </w:p>
        </w:tc>
        <w:tc>
          <w:tcPr>
            <w:tcW w:w="867" w:type="dxa"/>
            <w:tcBorders>
              <w:tl2br w:val="nil"/>
              <w:tr2bl w:val="nil"/>
            </w:tcBorders>
            <w:noWrap w:val="0"/>
            <w:vAlign w:val="center"/>
          </w:tcPr>
          <w:p w14:paraId="14460289">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1D531FA2">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2D78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tcBorders>
              <w:tl2br w:val="nil"/>
              <w:tr2bl w:val="nil"/>
            </w:tcBorders>
            <w:noWrap w:val="0"/>
            <w:vAlign w:val="center"/>
          </w:tcPr>
          <w:p w14:paraId="360E282A">
            <w:pPr>
              <w:spacing w:line="360" w:lineRule="auto"/>
              <w:ind w:right="119"/>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1DF8CFEE">
            <w:pPr>
              <w:jc w:val="center"/>
              <w:rPr>
                <w:rFonts w:ascii="宋体" w:hAnsi="宋体" w:cs="宋体"/>
                <w:color w:val="auto"/>
                <w:sz w:val="24"/>
                <w:highlight w:val="none"/>
              </w:rPr>
            </w:pPr>
          </w:p>
        </w:tc>
        <w:tc>
          <w:tcPr>
            <w:tcW w:w="5750" w:type="dxa"/>
            <w:tcBorders>
              <w:tl2br w:val="nil"/>
              <w:tr2bl w:val="nil"/>
            </w:tcBorders>
            <w:noWrap w:val="0"/>
            <w:vAlign w:val="center"/>
          </w:tcPr>
          <w:p w14:paraId="43F218D8">
            <w:pPr>
              <w:spacing w:line="320" w:lineRule="exact"/>
              <w:rPr>
                <w:rFonts w:ascii="宋体" w:hAnsi="宋体" w:cs="宋体"/>
                <w:color w:val="auto"/>
                <w:sz w:val="24"/>
                <w:highlight w:val="none"/>
              </w:rPr>
            </w:pPr>
            <w:r>
              <w:rPr>
                <w:rFonts w:hint="eastAsia" w:ascii="宋体" w:hAnsi="宋体" w:cs="宋体"/>
                <w:color w:val="auto"/>
                <w:sz w:val="24"/>
                <w:highlight w:val="none"/>
              </w:rPr>
              <w:t>3.菜园围栏、各类棚架实用美观，有广告布缠绕，季节性枯枝蔓藤未及时清理等现象，每处扣0.5分。</w:t>
            </w:r>
          </w:p>
        </w:tc>
        <w:tc>
          <w:tcPr>
            <w:tcW w:w="867" w:type="dxa"/>
            <w:tcBorders>
              <w:tl2br w:val="nil"/>
              <w:tr2bl w:val="nil"/>
            </w:tcBorders>
            <w:noWrap w:val="0"/>
            <w:vAlign w:val="center"/>
          </w:tcPr>
          <w:p w14:paraId="751EF949">
            <w:pPr>
              <w:spacing w:line="380" w:lineRule="exact"/>
              <w:ind w:right="119" w:firstLine="420" w:firstLineChars="200"/>
              <w:jc w:val="center"/>
              <w:rPr>
                <w:rFonts w:ascii="宋体" w:hAnsi="宋体" w:cs="宋体"/>
                <w:color w:val="auto"/>
                <w:szCs w:val="21"/>
                <w:highlight w:val="none"/>
              </w:rPr>
            </w:pPr>
          </w:p>
        </w:tc>
        <w:tc>
          <w:tcPr>
            <w:tcW w:w="1133" w:type="dxa"/>
            <w:tcBorders>
              <w:tl2br w:val="nil"/>
              <w:tr2bl w:val="nil"/>
            </w:tcBorders>
            <w:noWrap w:val="0"/>
            <w:vAlign w:val="center"/>
          </w:tcPr>
          <w:p w14:paraId="46569BD2">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2C52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00" w:type="dxa"/>
            <w:vMerge w:val="restart"/>
            <w:tcBorders>
              <w:tl2br w:val="nil"/>
              <w:tr2bl w:val="nil"/>
            </w:tcBorders>
            <w:noWrap w:val="0"/>
            <w:vAlign w:val="center"/>
          </w:tcPr>
          <w:p w14:paraId="6078AF33">
            <w:pPr>
              <w:ind w:right="119"/>
              <w:jc w:val="center"/>
              <w:rPr>
                <w:rFonts w:ascii="宋体" w:hAnsi="宋体" w:cs="宋体"/>
                <w:color w:val="auto"/>
                <w:sz w:val="24"/>
                <w:highlight w:val="none"/>
              </w:rPr>
            </w:pPr>
            <w:r>
              <w:rPr>
                <w:rFonts w:hint="eastAsia" w:ascii="宋体" w:hAnsi="宋体" w:cs="宋体"/>
                <w:color w:val="auto"/>
                <w:sz w:val="24"/>
                <w:highlight w:val="none"/>
              </w:rPr>
              <w:t>清理空倒房（5分）</w:t>
            </w:r>
          </w:p>
        </w:tc>
        <w:tc>
          <w:tcPr>
            <w:tcW w:w="1400" w:type="dxa"/>
            <w:tcBorders>
              <w:tl2br w:val="nil"/>
              <w:tr2bl w:val="nil"/>
            </w:tcBorders>
            <w:noWrap w:val="0"/>
            <w:vAlign w:val="center"/>
          </w:tcPr>
          <w:p w14:paraId="67F43365">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空倒房</w:t>
            </w:r>
          </w:p>
        </w:tc>
        <w:tc>
          <w:tcPr>
            <w:tcW w:w="5750" w:type="dxa"/>
            <w:tcBorders>
              <w:tl2br w:val="nil"/>
              <w:tr2bl w:val="nil"/>
            </w:tcBorders>
            <w:noWrap w:val="0"/>
            <w:vAlign w:val="center"/>
          </w:tcPr>
          <w:p w14:paraId="43963154">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走访村容村貌整体情况，每发现一处影响村容村貌、有碍观瞻及影响公共安全的残垣断壁、危房等空倒房，每发现一处扣0.5分。</w:t>
            </w:r>
          </w:p>
        </w:tc>
        <w:tc>
          <w:tcPr>
            <w:tcW w:w="867" w:type="dxa"/>
            <w:tcBorders>
              <w:tl2br w:val="nil"/>
              <w:tr2bl w:val="nil"/>
            </w:tcBorders>
            <w:noWrap w:val="0"/>
            <w:vAlign w:val="center"/>
          </w:tcPr>
          <w:p w14:paraId="508A8639">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09772DC1">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否</w:t>
            </w:r>
          </w:p>
        </w:tc>
      </w:tr>
      <w:tr w14:paraId="4212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0" w:type="dxa"/>
            <w:vMerge w:val="continue"/>
            <w:tcBorders>
              <w:tl2br w:val="nil"/>
              <w:tr2bl w:val="nil"/>
            </w:tcBorders>
            <w:noWrap w:val="0"/>
            <w:vAlign w:val="center"/>
          </w:tcPr>
          <w:p w14:paraId="519E0309">
            <w:pPr>
              <w:ind w:right="119" w:firstLine="480" w:firstLineChars="200"/>
              <w:jc w:val="center"/>
              <w:rPr>
                <w:rFonts w:ascii="宋体" w:hAnsi="宋体" w:cs="宋体"/>
                <w:color w:val="auto"/>
                <w:sz w:val="24"/>
                <w:highlight w:val="none"/>
              </w:rPr>
            </w:pPr>
          </w:p>
        </w:tc>
        <w:tc>
          <w:tcPr>
            <w:tcW w:w="1400" w:type="dxa"/>
            <w:tcBorders>
              <w:tl2br w:val="nil"/>
              <w:tr2bl w:val="nil"/>
            </w:tcBorders>
            <w:noWrap w:val="0"/>
            <w:vAlign w:val="center"/>
          </w:tcPr>
          <w:p w14:paraId="11417B76">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拆后利用</w:t>
            </w:r>
          </w:p>
        </w:tc>
        <w:tc>
          <w:tcPr>
            <w:tcW w:w="5750" w:type="dxa"/>
            <w:tcBorders>
              <w:tl2br w:val="nil"/>
              <w:tr2bl w:val="nil"/>
            </w:tcBorders>
            <w:noWrap w:val="0"/>
            <w:vAlign w:val="center"/>
          </w:tcPr>
          <w:p w14:paraId="3D0BFA70">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空倒房拆除后，未进行有效利用的，每发现一处扣0.5分。</w:t>
            </w:r>
          </w:p>
        </w:tc>
        <w:tc>
          <w:tcPr>
            <w:tcW w:w="867" w:type="dxa"/>
            <w:tcBorders>
              <w:tl2br w:val="nil"/>
              <w:tr2bl w:val="nil"/>
            </w:tcBorders>
            <w:noWrap w:val="0"/>
            <w:vAlign w:val="center"/>
          </w:tcPr>
          <w:p w14:paraId="7FC1F46C">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0F8237AD">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28FD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0" w:type="dxa"/>
            <w:vMerge w:val="continue"/>
            <w:tcBorders>
              <w:tl2br w:val="nil"/>
              <w:tr2bl w:val="nil"/>
            </w:tcBorders>
            <w:noWrap w:val="0"/>
            <w:vAlign w:val="center"/>
          </w:tcPr>
          <w:p w14:paraId="4026BF79">
            <w:pPr>
              <w:ind w:right="119" w:firstLine="480" w:firstLineChars="200"/>
              <w:jc w:val="center"/>
              <w:rPr>
                <w:rFonts w:ascii="宋体" w:hAnsi="宋体" w:cs="宋体"/>
                <w:color w:val="auto"/>
                <w:sz w:val="24"/>
                <w:highlight w:val="none"/>
              </w:rPr>
            </w:pPr>
          </w:p>
        </w:tc>
        <w:tc>
          <w:tcPr>
            <w:tcW w:w="1400" w:type="dxa"/>
            <w:tcBorders>
              <w:tl2br w:val="nil"/>
              <w:tr2bl w:val="nil"/>
            </w:tcBorders>
            <w:noWrap w:val="0"/>
            <w:vAlign w:val="center"/>
          </w:tcPr>
          <w:p w14:paraId="1859FA85">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违章搭建</w:t>
            </w:r>
          </w:p>
        </w:tc>
        <w:tc>
          <w:tcPr>
            <w:tcW w:w="5750" w:type="dxa"/>
            <w:tcBorders>
              <w:tl2br w:val="nil"/>
              <w:tr2bl w:val="nil"/>
            </w:tcBorders>
            <w:noWrap w:val="0"/>
            <w:vAlign w:val="center"/>
          </w:tcPr>
          <w:p w14:paraId="2D0AF53D">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查看是否有影响村容村貌的违章搭建或非法“一户多宅”，每发现一处扣0.5分。</w:t>
            </w:r>
          </w:p>
        </w:tc>
        <w:tc>
          <w:tcPr>
            <w:tcW w:w="867" w:type="dxa"/>
            <w:tcBorders>
              <w:tl2br w:val="nil"/>
              <w:tr2bl w:val="nil"/>
            </w:tcBorders>
            <w:noWrap w:val="0"/>
            <w:vAlign w:val="center"/>
          </w:tcPr>
          <w:p w14:paraId="72AF5A1D">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56EAD09C">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5E94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00" w:type="dxa"/>
            <w:vMerge w:val="restart"/>
            <w:tcBorders>
              <w:tl2br w:val="nil"/>
              <w:tr2bl w:val="nil"/>
            </w:tcBorders>
            <w:noWrap w:val="0"/>
            <w:vAlign w:val="center"/>
          </w:tcPr>
          <w:p w14:paraId="20CECD8A">
            <w:pPr>
              <w:ind w:right="119"/>
              <w:jc w:val="center"/>
              <w:rPr>
                <w:rFonts w:ascii="宋体" w:hAnsi="宋体" w:cs="宋体"/>
                <w:color w:val="auto"/>
                <w:sz w:val="24"/>
                <w:highlight w:val="none"/>
              </w:rPr>
            </w:pPr>
            <w:r>
              <w:rPr>
                <w:rFonts w:hint="eastAsia" w:ascii="宋体" w:hAnsi="宋体" w:cs="宋体"/>
                <w:color w:val="auto"/>
                <w:sz w:val="24"/>
                <w:highlight w:val="none"/>
              </w:rPr>
              <w:t>公厕洁化（10分）</w:t>
            </w:r>
          </w:p>
        </w:tc>
        <w:tc>
          <w:tcPr>
            <w:tcW w:w="1400" w:type="dxa"/>
            <w:tcBorders>
              <w:tl2br w:val="nil"/>
              <w:tr2bl w:val="nil"/>
            </w:tcBorders>
            <w:noWrap w:val="0"/>
            <w:vAlign w:val="center"/>
          </w:tcPr>
          <w:p w14:paraId="081AE146">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旱厕排查</w:t>
            </w:r>
          </w:p>
        </w:tc>
        <w:tc>
          <w:tcPr>
            <w:tcW w:w="5750" w:type="dxa"/>
            <w:tcBorders>
              <w:tl2br w:val="nil"/>
              <w:tr2bl w:val="nil"/>
            </w:tcBorders>
            <w:noWrap w:val="0"/>
            <w:vAlign w:val="center"/>
          </w:tcPr>
          <w:p w14:paraId="427F9F3D">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村内有露天粪缸、粪桶、简易棚厕、直排厕所、旱厕等，每发现一处扣2分。</w:t>
            </w:r>
          </w:p>
        </w:tc>
        <w:tc>
          <w:tcPr>
            <w:tcW w:w="867" w:type="dxa"/>
            <w:tcBorders>
              <w:tl2br w:val="nil"/>
              <w:tr2bl w:val="nil"/>
            </w:tcBorders>
            <w:noWrap w:val="0"/>
            <w:vAlign w:val="center"/>
          </w:tcPr>
          <w:p w14:paraId="4D14D3CF">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2DB9C541">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0AA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00" w:type="dxa"/>
            <w:vMerge w:val="continue"/>
            <w:tcBorders>
              <w:tl2br w:val="nil"/>
              <w:tr2bl w:val="nil"/>
            </w:tcBorders>
            <w:noWrap w:val="0"/>
            <w:vAlign w:val="center"/>
          </w:tcPr>
          <w:p w14:paraId="0B09355B">
            <w:pPr>
              <w:ind w:right="119" w:firstLine="480" w:firstLineChars="200"/>
              <w:jc w:val="center"/>
              <w:rPr>
                <w:rFonts w:ascii="宋体" w:hAnsi="宋体" w:cs="宋体"/>
                <w:color w:val="auto"/>
                <w:sz w:val="24"/>
                <w:highlight w:val="none"/>
              </w:rPr>
            </w:pPr>
          </w:p>
        </w:tc>
        <w:tc>
          <w:tcPr>
            <w:tcW w:w="1400" w:type="dxa"/>
            <w:vMerge w:val="restart"/>
            <w:tcBorders>
              <w:tl2br w:val="nil"/>
              <w:tr2bl w:val="nil"/>
            </w:tcBorders>
            <w:noWrap w:val="0"/>
            <w:vAlign w:val="center"/>
          </w:tcPr>
          <w:p w14:paraId="548AE9C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公厕管理</w:t>
            </w:r>
          </w:p>
        </w:tc>
        <w:tc>
          <w:tcPr>
            <w:tcW w:w="5750" w:type="dxa"/>
            <w:tcBorders>
              <w:tl2br w:val="nil"/>
              <w:tr2bl w:val="nil"/>
            </w:tcBorders>
            <w:noWrap w:val="0"/>
            <w:vAlign w:val="center"/>
          </w:tcPr>
          <w:p w14:paraId="7BE30F5D">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1.随机走访村内公厕（2座以上），发现卫生不整洁，每座扣1分。</w:t>
            </w:r>
          </w:p>
        </w:tc>
        <w:tc>
          <w:tcPr>
            <w:tcW w:w="867" w:type="dxa"/>
            <w:tcBorders>
              <w:tl2br w:val="nil"/>
              <w:tr2bl w:val="nil"/>
            </w:tcBorders>
            <w:noWrap w:val="0"/>
            <w:vAlign w:val="center"/>
          </w:tcPr>
          <w:p w14:paraId="20C045FD">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7A0ADFCD">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64B1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00" w:type="dxa"/>
            <w:vMerge w:val="continue"/>
            <w:tcBorders>
              <w:tl2br w:val="nil"/>
              <w:tr2bl w:val="nil"/>
            </w:tcBorders>
            <w:noWrap w:val="0"/>
            <w:vAlign w:val="center"/>
          </w:tcPr>
          <w:p w14:paraId="012AC4D2">
            <w:pPr>
              <w:ind w:right="119" w:firstLine="480" w:firstLineChars="200"/>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6DB1E71A">
            <w:pPr>
              <w:spacing w:line="380" w:lineRule="exact"/>
              <w:ind w:right="119"/>
              <w:jc w:val="center"/>
              <w:rPr>
                <w:rFonts w:ascii="宋体" w:hAnsi="宋体" w:cs="宋体"/>
                <w:color w:val="auto"/>
                <w:sz w:val="24"/>
                <w:highlight w:val="none"/>
              </w:rPr>
            </w:pPr>
          </w:p>
        </w:tc>
        <w:tc>
          <w:tcPr>
            <w:tcW w:w="5750" w:type="dxa"/>
            <w:tcBorders>
              <w:tl2br w:val="nil"/>
              <w:tr2bl w:val="nil"/>
            </w:tcBorders>
            <w:noWrap w:val="0"/>
            <w:vAlign w:val="center"/>
          </w:tcPr>
          <w:p w14:paraId="0F1E88B5">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2.公厕外立面或周边环境较差的，每座扣1分，公厕内没水或没电，每座扣1分，出粪口安全措施、污水处置不到位，每座扣1分。</w:t>
            </w:r>
          </w:p>
        </w:tc>
        <w:tc>
          <w:tcPr>
            <w:tcW w:w="867" w:type="dxa"/>
            <w:tcBorders>
              <w:tl2br w:val="nil"/>
              <w:tr2bl w:val="nil"/>
            </w:tcBorders>
            <w:noWrap w:val="0"/>
            <w:vAlign w:val="center"/>
          </w:tcPr>
          <w:p w14:paraId="409D6D9E">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097BDA23">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28C7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00" w:type="dxa"/>
            <w:vMerge w:val="continue"/>
            <w:tcBorders>
              <w:tl2br w:val="nil"/>
              <w:tr2bl w:val="nil"/>
            </w:tcBorders>
            <w:noWrap w:val="0"/>
            <w:vAlign w:val="center"/>
          </w:tcPr>
          <w:p w14:paraId="79599F08">
            <w:pPr>
              <w:ind w:right="119" w:firstLine="480" w:firstLineChars="200"/>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03D5154A">
            <w:pPr>
              <w:spacing w:line="380" w:lineRule="exact"/>
              <w:ind w:right="119"/>
              <w:jc w:val="center"/>
              <w:rPr>
                <w:rFonts w:ascii="宋体" w:hAnsi="宋体" w:cs="宋体"/>
                <w:color w:val="auto"/>
                <w:sz w:val="24"/>
                <w:highlight w:val="none"/>
              </w:rPr>
            </w:pPr>
          </w:p>
        </w:tc>
        <w:tc>
          <w:tcPr>
            <w:tcW w:w="5750" w:type="dxa"/>
            <w:tcBorders>
              <w:tl2br w:val="nil"/>
              <w:tr2bl w:val="nil"/>
            </w:tcBorders>
            <w:noWrap w:val="0"/>
            <w:vAlign w:val="center"/>
          </w:tcPr>
          <w:p w14:paraId="036ECD17">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3.未将管理制度和管理员上墙公示的，或者有制度但未将制度有效落实的，扣1分。未落实“所长制”，“一牌一本”不规范的，每发现一处扣1分。</w:t>
            </w:r>
          </w:p>
        </w:tc>
        <w:tc>
          <w:tcPr>
            <w:tcW w:w="867" w:type="dxa"/>
            <w:tcBorders>
              <w:tl2br w:val="nil"/>
              <w:tr2bl w:val="nil"/>
            </w:tcBorders>
            <w:noWrap w:val="0"/>
            <w:vAlign w:val="center"/>
          </w:tcPr>
          <w:p w14:paraId="24F16FA9">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23B2D763">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0593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00" w:type="dxa"/>
            <w:vMerge w:val="restart"/>
            <w:tcBorders>
              <w:tl2br w:val="nil"/>
              <w:tr2bl w:val="nil"/>
            </w:tcBorders>
            <w:noWrap w:val="0"/>
            <w:vAlign w:val="center"/>
          </w:tcPr>
          <w:p w14:paraId="2C9A494B">
            <w:pPr>
              <w:ind w:right="119"/>
              <w:jc w:val="center"/>
              <w:rPr>
                <w:rFonts w:ascii="宋体" w:hAnsi="宋体" w:cs="宋体"/>
                <w:color w:val="auto"/>
                <w:sz w:val="24"/>
                <w:highlight w:val="none"/>
              </w:rPr>
            </w:pPr>
            <w:r>
              <w:rPr>
                <w:rFonts w:hint="eastAsia" w:ascii="宋体" w:hAnsi="宋体" w:cs="宋体"/>
                <w:color w:val="auto"/>
                <w:sz w:val="24"/>
                <w:highlight w:val="none"/>
              </w:rPr>
              <w:t>“三线”序化（10分）</w:t>
            </w:r>
          </w:p>
        </w:tc>
        <w:tc>
          <w:tcPr>
            <w:tcW w:w="1400" w:type="dxa"/>
            <w:tcBorders>
              <w:tl2br w:val="nil"/>
              <w:tr2bl w:val="nil"/>
            </w:tcBorders>
            <w:noWrap w:val="0"/>
            <w:vAlign w:val="center"/>
          </w:tcPr>
          <w:p w14:paraId="3654BDBD">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“三线”序化</w:t>
            </w:r>
          </w:p>
        </w:tc>
        <w:tc>
          <w:tcPr>
            <w:tcW w:w="5750" w:type="dxa"/>
            <w:tcBorders>
              <w:tl2br w:val="nil"/>
              <w:tr2bl w:val="nil"/>
            </w:tcBorders>
            <w:noWrap w:val="0"/>
            <w:vAlign w:val="center"/>
          </w:tcPr>
          <w:p w14:paraId="62568094">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有发现倾斜、断裂、杂乱、废弃杆线和管线乱接乱牵、乱拉乱挂、接户不规范的“空中蜘蛛网”现象等影响安全和村容村貌现象的，每发现一处扣0.5分。未建立长效管理机制，每村扣3分。</w:t>
            </w:r>
          </w:p>
        </w:tc>
        <w:tc>
          <w:tcPr>
            <w:tcW w:w="867" w:type="dxa"/>
            <w:tcBorders>
              <w:tl2br w:val="nil"/>
              <w:tr2bl w:val="nil"/>
            </w:tcBorders>
            <w:noWrap w:val="0"/>
            <w:vAlign w:val="center"/>
          </w:tcPr>
          <w:p w14:paraId="499C2507">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208C1989">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7695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00" w:type="dxa"/>
            <w:vMerge w:val="continue"/>
            <w:tcBorders>
              <w:tl2br w:val="nil"/>
              <w:tr2bl w:val="nil"/>
            </w:tcBorders>
            <w:noWrap w:val="0"/>
            <w:vAlign w:val="center"/>
          </w:tcPr>
          <w:p w14:paraId="42057B13">
            <w:pPr>
              <w:ind w:right="119" w:firstLine="480" w:firstLineChars="200"/>
              <w:jc w:val="center"/>
              <w:rPr>
                <w:rFonts w:ascii="宋体" w:hAnsi="宋体" w:cs="宋体"/>
                <w:color w:val="auto"/>
                <w:sz w:val="24"/>
                <w:highlight w:val="none"/>
              </w:rPr>
            </w:pPr>
          </w:p>
        </w:tc>
        <w:tc>
          <w:tcPr>
            <w:tcW w:w="1400" w:type="dxa"/>
            <w:tcBorders>
              <w:tl2br w:val="nil"/>
              <w:tr2bl w:val="nil"/>
            </w:tcBorders>
            <w:noWrap w:val="0"/>
            <w:vAlign w:val="center"/>
          </w:tcPr>
          <w:p w14:paraId="12CB7F8C">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设备管理</w:t>
            </w:r>
          </w:p>
        </w:tc>
        <w:tc>
          <w:tcPr>
            <w:tcW w:w="5750" w:type="dxa"/>
            <w:tcBorders>
              <w:tl2br w:val="nil"/>
              <w:tr2bl w:val="nil"/>
            </w:tcBorders>
            <w:noWrap w:val="0"/>
            <w:vAlign w:val="center"/>
          </w:tcPr>
          <w:p w14:paraId="57666807">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考察室外电力、通信设施维护情况，有发现陈旧、坏损设备，每发现一处扣0.2分。</w:t>
            </w:r>
          </w:p>
        </w:tc>
        <w:tc>
          <w:tcPr>
            <w:tcW w:w="867" w:type="dxa"/>
            <w:tcBorders>
              <w:tl2br w:val="nil"/>
              <w:tr2bl w:val="nil"/>
            </w:tcBorders>
            <w:noWrap w:val="0"/>
            <w:vAlign w:val="center"/>
          </w:tcPr>
          <w:p w14:paraId="3E182946">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0B861336">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07DE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148589">
            <w:pPr>
              <w:ind w:right="119"/>
              <w:jc w:val="center"/>
              <w:rPr>
                <w:rFonts w:ascii="宋体" w:hAnsi="宋体" w:cs="宋体"/>
                <w:color w:val="auto"/>
                <w:sz w:val="24"/>
                <w:highlight w:val="none"/>
              </w:rPr>
            </w:pPr>
            <w:r>
              <w:rPr>
                <w:rFonts w:hint="eastAsia" w:ascii="宋体" w:hAnsi="宋体" w:cs="宋体"/>
                <w:color w:val="auto"/>
                <w:sz w:val="24"/>
                <w:highlight w:val="none"/>
              </w:rPr>
              <w:t>庭院美化（10分）</w:t>
            </w:r>
          </w:p>
        </w:tc>
        <w:tc>
          <w:tcPr>
            <w:tcW w:w="1400" w:type="dxa"/>
            <w:tcBorders>
              <w:tl2br w:val="nil"/>
              <w:tr2bl w:val="nil"/>
            </w:tcBorders>
            <w:noWrap w:val="0"/>
            <w:vAlign w:val="center"/>
          </w:tcPr>
          <w:p w14:paraId="05DDA17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美丽庭院</w:t>
            </w:r>
          </w:p>
        </w:tc>
        <w:tc>
          <w:tcPr>
            <w:tcW w:w="5750" w:type="dxa"/>
            <w:tcBorders>
              <w:tl2br w:val="nil"/>
              <w:tr2bl w:val="nil"/>
            </w:tcBorders>
            <w:noWrap w:val="0"/>
            <w:vAlign w:val="center"/>
          </w:tcPr>
          <w:p w14:paraId="37114EFE">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随机走访10户庭院，庭院不整洁、堆放不整齐等，每户扣0.5分，有乱搭乱建、散养家禽等现象，每户扣0.5分。</w:t>
            </w:r>
          </w:p>
        </w:tc>
        <w:tc>
          <w:tcPr>
            <w:tcW w:w="867" w:type="dxa"/>
            <w:tcBorders>
              <w:tl2br w:val="nil"/>
              <w:tr2bl w:val="nil"/>
            </w:tcBorders>
            <w:noWrap w:val="0"/>
            <w:vAlign w:val="center"/>
          </w:tcPr>
          <w:p w14:paraId="086F0625">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054CB7A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6847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0" w:type="dxa"/>
            <w:vMerge w:val="restart"/>
            <w:tcBorders>
              <w:top w:val="single" w:color="auto" w:sz="4" w:space="0"/>
              <w:left w:val="single" w:color="auto" w:sz="4" w:space="0"/>
              <w:right w:val="single" w:color="auto" w:sz="4" w:space="0"/>
              <w:tl2br w:val="nil"/>
              <w:tr2bl w:val="nil"/>
            </w:tcBorders>
            <w:noWrap w:val="0"/>
            <w:vAlign w:val="center"/>
          </w:tcPr>
          <w:p w14:paraId="276DF7A3">
            <w:pPr>
              <w:ind w:right="119"/>
              <w:jc w:val="center"/>
              <w:rPr>
                <w:rFonts w:ascii="宋体" w:hAnsi="宋体" w:cs="宋体"/>
                <w:color w:val="auto"/>
                <w:sz w:val="24"/>
                <w:highlight w:val="none"/>
              </w:rPr>
            </w:pPr>
            <w:r>
              <w:rPr>
                <w:rFonts w:hint="eastAsia" w:ascii="宋体" w:hAnsi="宋体" w:cs="宋体"/>
                <w:color w:val="auto"/>
                <w:sz w:val="24"/>
                <w:highlight w:val="none"/>
              </w:rPr>
              <w:t>其他（10分）</w:t>
            </w:r>
          </w:p>
        </w:tc>
        <w:tc>
          <w:tcPr>
            <w:tcW w:w="1400" w:type="dxa"/>
            <w:vMerge w:val="restart"/>
            <w:tcBorders>
              <w:tl2br w:val="nil"/>
              <w:tr2bl w:val="nil"/>
            </w:tcBorders>
            <w:noWrap w:val="0"/>
            <w:vAlign w:val="center"/>
          </w:tcPr>
          <w:p w14:paraId="7122B613">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村庄其他环境</w:t>
            </w:r>
          </w:p>
        </w:tc>
        <w:tc>
          <w:tcPr>
            <w:tcW w:w="5750" w:type="dxa"/>
            <w:tcBorders>
              <w:tl2br w:val="nil"/>
              <w:tr2bl w:val="nil"/>
            </w:tcBorders>
            <w:noWrap w:val="0"/>
            <w:vAlign w:val="center"/>
          </w:tcPr>
          <w:p w14:paraId="1B5283FE">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1.路面破损、绿化缺失等每发现一处扣0.5分。</w:t>
            </w:r>
          </w:p>
        </w:tc>
        <w:tc>
          <w:tcPr>
            <w:tcW w:w="867" w:type="dxa"/>
            <w:tcBorders>
              <w:tl2br w:val="nil"/>
              <w:tr2bl w:val="nil"/>
            </w:tcBorders>
            <w:noWrap w:val="0"/>
            <w:vAlign w:val="center"/>
          </w:tcPr>
          <w:p w14:paraId="54F994D3">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018A38B5">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4335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00" w:type="dxa"/>
            <w:vMerge w:val="continue"/>
            <w:tcBorders>
              <w:left w:val="single" w:color="auto" w:sz="4" w:space="0"/>
              <w:right w:val="single" w:color="auto" w:sz="4" w:space="0"/>
              <w:tl2br w:val="nil"/>
              <w:tr2bl w:val="nil"/>
            </w:tcBorders>
            <w:noWrap w:val="0"/>
            <w:vAlign w:val="center"/>
          </w:tcPr>
          <w:p w14:paraId="16875FB0">
            <w:pPr>
              <w:ind w:right="119"/>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6ED5358D">
            <w:pPr>
              <w:spacing w:line="380" w:lineRule="exact"/>
              <w:ind w:right="119"/>
              <w:jc w:val="center"/>
              <w:rPr>
                <w:rFonts w:ascii="宋体" w:hAnsi="宋体" w:cs="宋体"/>
                <w:color w:val="auto"/>
                <w:sz w:val="24"/>
                <w:highlight w:val="none"/>
              </w:rPr>
            </w:pPr>
          </w:p>
        </w:tc>
        <w:tc>
          <w:tcPr>
            <w:tcW w:w="5750" w:type="dxa"/>
            <w:tcBorders>
              <w:tl2br w:val="nil"/>
              <w:tr2bl w:val="nil"/>
            </w:tcBorders>
            <w:noWrap w:val="0"/>
            <w:vAlign w:val="center"/>
          </w:tcPr>
          <w:p w14:paraId="3F82DA3F">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2.以村道两旁、背街小巷为重点，墙面上张贴、喷涂各种非法小广告、牛皮癣、废弃宣传标语等，每发现一处扣0.2分。</w:t>
            </w:r>
          </w:p>
        </w:tc>
        <w:tc>
          <w:tcPr>
            <w:tcW w:w="867" w:type="dxa"/>
            <w:tcBorders>
              <w:tl2br w:val="nil"/>
              <w:tr2bl w:val="nil"/>
            </w:tcBorders>
            <w:noWrap w:val="0"/>
            <w:vAlign w:val="center"/>
          </w:tcPr>
          <w:p w14:paraId="6B01E373">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6C52F9CB">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5D8A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00" w:type="dxa"/>
            <w:vMerge w:val="continue"/>
            <w:tcBorders>
              <w:left w:val="single" w:color="auto" w:sz="4" w:space="0"/>
              <w:right w:val="single" w:color="auto" w:sz="4" w:space="0"/>
              <w:tl2br w:val="nil"/>
              <w:tr2bl w:val="nil"/>
            </w:tcBorders>
            <w:noWrap w:val="0"/>
            <w:vAlign w:val="center"/>
          </w:tcPr>
          <w:p w14:paraId="7E3685F3">
            <w:pPr>
              <w:ind w:right="119"/>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16A29C74">
            <w:pPr>
              <w:spacing w:line="380" w:lineRule="exact"/>
              <w:ind w:right="119"/>
              <w:jc w:val="center"/>
              <w:rPr>
                <w:rFonts w:ascii="宋体" w:hAnsi="宋体" w:cs="宋体"/>
                <w:color w:val="auto"/>
                <w:sz w:val="24"/>
                <w:highlight w:val="none"/>
              </w:rPr>
            </w:pPr>
          </w:p>
        </w:tc>
        <w:tc>
          <w:tcPr>
            <w:tcW w:w="5750" w:type="dxa"/>
            <w:tcBorders>
              <w:tl2br w:val="nil"/>
              <w:tr2bl w:val="nil"/>
            </w:tcBorders>
            <w:noWrap w:val="0"/>
            <w:vAlign w:val="center"/>
          </w:tcPr>
          <w:p w14:paraId="08D1BCBE">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3.河塘沟渠有沉船、地笼、水体障碍物，水面、岸坡有垃圾，水体黑臭，枯萎水生植物未及时清理，每处扣0.5分。</w:t>
            </w:r>
          </w:p>
        </w:tc>
        <w:tc>
          <w:tcPr>
            <w:tcW w:w="867" w:type="dxa"/>
            <w:tcBorders>
              <w:tl2br w:val="nil"/>
              <w:tr2bl w:val="nil"/>
            </w:tcBorders>
            <w:noWrap w:val="0"/>
            <w:vAlign w:val="center"/>
          </w:tcPr>
          <w:p w14:paraId="2E54876D">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7466DBF1">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3C62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00" w:type="dxa"/>
            <w:vMerge w:val="continue"/>
            <w:tcBorders>
              <w:left w:val="single" w:color="auto" w:sz="4" w:space="0"/>
              <w:right w:val="single" w:color="auto" w:sz="4" w:space="0"/>
              <w:tl2br w:val="nil"/>
              <w:tr2bl w:val="nil"/>
            </w:tcBorders>
            <w:noWrap w:val="0"/>
            <w:vAlign w:val="center"/>
          </w:tcPr>
          <w:p w14:paraId="00D2B7B5">
            <w:pPr>
              <w:ind w:right="119"/>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79254792">
            <w:pPr>
              <w:spacing w:line="380" w:lineRule="exact"/>
              <w:ind w:right="119"/>
              <w:jc w:val="center"/>
              <w:rPr>
                <w:rFonts w:ascii="宋体" w:hAnsi="宋体" w:cs="宋体"/>
                <w:color w:val="auto"/>
                <w:sz w:val="24"/>
                <w:highlight w:val="none"/>
              </w:rPr>
            </w:pPr>
          </w:p>
        </w:tc>
        <w:tc>
          <w:tcPr>
            <w:tcW w:w="5750" w:type="dxa"/>
            <w:tcBorders>
              <w:tl2br w:val="nil"/>
              <w:tr2bl w:val="nil"/>
            </w:tcBorders>
            <w:noWrap w:val="0"/>
            <w:vAlign w:val="center"/>
          </w:tcPr>
          <w:p w14:paraId="32AA25F6">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4.污水直排，污水管网和终端、公共体育器材等基础设施管护不到位，每发现一处扣0.5分。</w:t>
            </w:r>
          </w:p>
        </w:tc>
        <w:tc>
          <w:tcPr>
            <w:tcW w:w="867" w:type="dxa"/>
            <w:tcBorders>
              <w:tl2br w:val="nil"/>
              <w:tr2bl w:val="nil"/>
            </w:tcBorders>
            <w:noWrap w:val="0"/>
            <w:vAlign w:val="center"/>
          </w:tcPr>
          <w:p w14:paraId="6AD7C8F7">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0138D126">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3197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0" w:type="dxa"/>
            <w:vMerge w:val="continue"/>
            <w:tcBorders>
              <w:left w:val="single" w:color="auto" w:sz="4" w:space="0"/>
              <w:right w:val="single" w:color="auto" w:sz="4" w:space="0"/>
              <w:tl2br w:val="nil"/>
              <w:tr2bl w:val="nil"/>
            </w:tcBorders>
            <w:noWrap w:val="0"/>
            <w:vAlign w:val="center"/>
          </w:tcPr>
          <w:p w14:paraId="50D97344">
            <w:pPr>
              <w:ind w:right="119"/>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797778C9">
            <w:pPr>
              <w:spacing w:line="380" w:lineRule="exact"/>
              <w:ind w:right="119"/>
              <w:jc w:val="center"/>
              <w:rPr>
                <w:rFonts w:ascii="宋体" w:hAnsi="宋体" w:cs="宋体"/>
                <w:color w:val="auto"/>
                <w:sz w:val="24"/>
                <w:highlight w:val="none"/>
              </w:rPr>
            </w:pPr>
          </w:p>
        </w:tc>
        <w:tc>
          <w:tcPr>
            <w:tcW w:w="5750" w:type="dxa"/>
            <w:tcBorders>
              <w:tl2br w:val="nil"/>
              <w:tr2bl w:val="nil"/>
            </w:tcBorders>
            <w:noWrap w:val="0"/>
            <w:vAlign w:val="center"/>
          </w:tcPr>
          <w:p w14:paraId="77C2E8F8">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5.发现非正规垃圾堆放点，病死禽畜、宠物等，每处扣5分。</w:t>
            </w:r>
          </w:p>
        </w:tc>
        <w:tc>
          <w:tcPr>
            <w:tcW w:w="867" w:type="dxa"/>
            <w:tcBorders>
              <w:tl2br w:val="nil"/>
              <w:tr2bl w:val="nil"/>
            </w:tcBorders>
            <w:noWrap w:val="0"/>
            <w:vAlign w:val="center"/>
          </w:tcPr>
          <w:p w14:paraId="74112B24">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207F017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091E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00" w:type="dxa"/>
            <w:vMerge w:val="continue"/>
            <w:tcBorders>
              <w:left w:val="single" w:color="auto" w:sz="4" w:space="0"/>
              <w:right w:val="single" w:color="auto" w:sz="4" w:space="0"/>
              <w:tl2br w:val="nil"/>
              <w:tr2bl w:val="nil"/>
            </w:tcBorders>
            <w:noWrap w:val="0"/>
            <w:vAlign w:val="center"/>
          </w:tcPr>
          <w:p w14:paraId="1CB533E2">
            <w:pPr>
              <w:ind w:right="119"/>
              <w:jc w:val="center"/>
              <w:rPr>
                <w:rFonts w:ascii="宋体" w:hAnsi="宋体" w:cs="宋体"/>
                <w:color w:val="auto"/>
                <w:sz w:val="24"/>
                <w:highlight w:val="none"/>
              </w:rPr>
            </w:pPr>
          </w:p>
        </w:tc>
        <w:tc>
          <w:tcPr>
            <w:tcW w:w="1400" w:type="dxa"/>
            <w:vMerge w:val="continue"/>
            <w:tcBorders>
              <w:tl2br w:val="nil"/>
              <w:tr2bl w:val="nil"/>
            </w:tcBorders>
            <w:noWrap w:val="0"/>
            <w:vAlign w:val="center"/>
          </w:tcPr>
          <w:p w14:paraId="619D27A5">
            <w:pPr>
              <w:spacing w:line="380" w:lineRule="exact"/>
              <w:ind w:right="119"/>
              <w:jc w:val="center"/>
              <w:rPr>
                <w:rFonts w:ascii="宋体" w:hAnsi="宋体" w:cs="宋体"/>
                <w:color w:val="auto"/>
                <w:sz w:val="24"/>
                <w:highlight w:val="none"/>
              </w:rPr>
            </w:pPr>
          </w:p>
        </w:tc>
        <w:tc>
          <w:tcPr>
            <w:tcW w:w="5750" w:type="dxa"/>
            <w:tcBorders>
              <w:tl2br w:val="nil"/>
              <w:tr2bl w:val="nil"/>
            </w:tcBorders>
            <w:noWrap w:val="0"/>
            <w:vAlign w:val="center"/>
          </w:tcPr>
          <w:p w14:paraId="50831FE3">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6.其他农村人居环境未整治现象，每发现一处扣0.5分。</w:t>
            </w:r>
          </w:p>
        </w:tc>
        <w:tc>
          <w:tcPr>
            <w:tcW w:w="867" w:type="dxa"/>
            <w:tcBorders>
              <w:tl2br w:val="nil"/>
              <w:tr2bl w:val="nil"/>
            </w:tcBorders>
            <w:noWrap w:val="0"/>
            <w:vAlign w:val="center"/>
          </w:tcPr>
          <w:p w14:paraId="3C16070B">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7BA96F72">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是</w:t>
            </w:r>
          </w:p>
        </w:tc>
      </w:tr>
      <w:tr w14:paraId="15B6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0" w:type="dxa"/>
            <w:vMerge w:val="restart"/>
            <w:tcBorders>
              <w:left w:val="single" w:color="auto" w:sz="4" w:space="0"/>
              <w:right w:val="single" w:color="auto" w:sz="4" w:space="0"/>
              <w:tl2br w:val="nil"/>
              <w:tr2bl w:val="nil"/>
            </w:tcBorders>
            <w:noWrap w:val="0"/>
            <w:vAlign w:val="center"/>
          </w:tcPr>
          <w:p w14:paraId="51E0C223">
            <w:pPr>
              <w:ind w:right="119"/>
              <w:jc w:val="center"/>
              <w:rPr>
                <w:rFonts w:ascii="宋体" w:hAnsi="宋体" w:cs="宋体"/>
                <w:color w:val="auto"/>
                <w:sz w:val="24"/>
                <w:highlight w:val="none"/>
              </w:rPr>
            </w:pPr>
            <w:r>
              <w:rPr>
                <w:rFonts w:hint="eastAsia" w:ascii="宋体" w:hAnsi="宋体" w:cs="宋体"/>
                <w:color w:val="auto"/>
                <w:sz w:val="24"/>
                <w:highlight w:val="none"/>
              </w:rPr>
              <w:t>综合赋分（5分）</w:t>
            </w:r>
          </w:p>
        </w:tc>
        <w:tc>
          <w:tcPr>
            <w:tcW w:w="1400" w:type="dxa"/>
            <w:tcBorders>
              <w:tl2br w:val="nil"/>
              <w:tr2bl w:val="nil"/>
            </w:tcBorders>
            <w:noWrap w:val="0"/>
            <w:vAlign w:val="center"/>
          </w:tcPr>
          <w:p w14:paraId="13730C41">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总体村庄印象</w:t>
            </w:r>
          </w:p>
        </w:tc>
        <w:tc>
          <w:tcPr>
            <w:tcW w:w="5750" w:type="dxa"/>
            <w:tcBorders>
              <w:tl2br w:val="nil"/>
              <w:tr2bl w:val="nil"/>
            </w:tcBorders>
            <w:noWrap w:val="0"/>
            <w:vAlign w:val="center"/>
          </w:tcPr>
          <w:p w14:paraId="3AD1771A">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检查人员现场评估综合打分，以一般、较好、好分别赋1-3分。</w:t>
            </w:r>
          </w:p>
        </w:tc>
        <w:tc>
          <w:tcPr>
            <w:tcW w:w="867" w:type="dxa"/>
            <w:tcBorders>
              <w:tl2br w:val="nil"/>
              <w:tr2bl w:val="nil"/>
            </w:tcBorders>
            <w:noWrap w:val="0"/>
            <w:vAlign w:val="center"/>
          </w:tcPr>
          <w:p w14:paraId="0BC34511">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518FEF8D">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否</w:t>
            </w:r>
          </w:p>
        </w:tc>
      </w:tr>
      <w:tr w14:paraId="5214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00" w:type="dxa"/>
            <w:vMerge w:val="continue"/>
            <w:tcBorders>
              <w:left w:val="single" w:color="auto" w:sz="4" w:space="0"/>
              <w:right w:val="single" w:color="auto" w:sz="4" w:space="0"/>
              <w:tl2br w:val="nil"/>
              <w:tr2bl w:val="nil"/>
            </w:tcBorders>
            <w:noWrap w:val="0"/>
            <w:vAlign w:val="center"/>
          </w:tcPr>
          <w:p w14:paraId="1483CB1A">
            <w:pPr>
              <w:ind w:right="119"/>
              <w:jc w:val="center"/>
              <w:rPr>
                <w:rFonts w:ascii="宋体" w:hAnsi="宋体" w:cs="宋体"/>
                <w:color w:val="auto"/>
                <w:sz w:val="24"/>
                <w:highlight w:val="none"/>
              </w:rPr>
            </w:pPr>
          </w:p>
        </w:tc>
        <w:tc>
          <w:tcPr>
            <w:tcW w:w="1400" w:type="dxa"/>
            <w:tcBorders>
              <w:tl2br w:val="nil"/>
              <w:tr2bl w:val="nil"/>
            </w:tcBorders>
            <w:noWrap w:val="0"/>
            <w:vAlign w:val="center"/>
          </w:tcPr>
          <w:p w14:paraId="4998B32A">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村级常态管理</w:t>
            </w:r>
          </w:p>
        </w:tc>
        <w:tc>
          <w:tcPr>
            <w:tcW w:w="5750" w:type="dxa"/>
            <w:tcBorders>
              <w:tl2br w:val="nil"/>
              <w:tr2bl w:val="nil"/>
            </w:tcBorders>
            <w:noWrap w:val="0"/>
            <w:vAlign w:val="center"/>
          </w:tcPr>
          <w:p w14:paraId="6CE79E13">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检查村级常态管理落实情况，未落实常态管理相关工作扣2分。</w:t>
            </w:r>
          </w:p>
        </w:tc>
        <w:tc>
          <w:tcPr>
            <w:tcW w:w="867" w:type="dxa"/>
            <w:tcBorders>
              <w:tl2br w:val="nil"/>
              <w:tr2bl w:val="nil"/>
            </w:tcBorders>
            <w:noWrap w:val="0"/>
            <w:vAlign w:val="center"/>
          </w:tcPr>
          <w:p w14:paraId="5ACEE543">
            <w:pPr>
              <w:spacing w:line="380" w:lineRule="exact"/>
              <w:ind w:right="119"/>
              <w:rPr>
                <w:rFonts w:ascii="宋体" w:hAnsi="宋体" w:cs="宋体"/>
                <w:color w:val="auto"/>
                <w:szCs w:val="21"/>
                <w:highlight w:val="none"/>
              </w:rPr>
            </w:pPr>
          </w:p>
        </w:tc>
        <w:tc>
          <w:tcPr>
            <w:tcW w:w="1133" w:type="dxa"/>
            <w:tcBorders>
              <w:tl2br w:val="nil"/>
              <w:tr2bl w:val="nil"/>
            </w:tcBorders>
            <w:noWrap w:val="0"/>
            <w:vAlign w:val="center"/>
          </w:tcPr>
          <w:p w14:paraId="7D9B01BC">
            <w:pPr>
              <w:spacing w:line="380" w:lineRule="exact"/>
              <w:ind w:right="119"/>
              <w:jc w:val="center"/>
              <w:rPr>
                <w:rFonts w:ascii="宋体" w:hAnsi="宋体" w:cs="宋体"/>
                <w:color w:val="auto"/>
                <w:sz w:val="24"/>
                <w:highlight w:val="none"/>
              </w:rPr>
            </w:pPr>
            <w:r>
              <w:rPr>
                <w:rFonts w:hint="eastAsia" w:ascii="宋体" w:hAnsi="宋体" w:cs="宋体"/>
                <w:color w:val="auto"/>
                <w:sz w:val="24"/>
                <w:highlight w:val="none"/>
              </w:rPr>
              <w:t>否</w:t>
            </w:r>
          </w:p>
        </w:tc>
      </w:tr>
      <w:tr w14:paraId="1B3F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050" w:type="dxa"/>
            <w:gridSpan w:val="5"/>
            <w:tcBorders>
              <w:left w:val="single" w:color="auto" w:sz="4" w:space="0"/>
              <w:tl2br w:val="nil"/>
              <w:tr2bl w:val="nil"/>
            </w:tcBorders>
            <w:noWrap w:val="0"/>
            <w:vAlign w:val="center"/>
          </w:tcPr>
          <w:p w14:paraId="6773EF5D">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现场评估得分（100分）</w:t>
            </w:r>
          </w:p>
        </w:tc>
      </w:tr>
      <w:tr w14:paraId="291C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50" w:type="dxa"/>
            <w:gridSpan w:val="5"/>
            <w:tcBorders>
              <w:left w:val="single" w:color="auto" w:sz="4" w:space="0"/>
              <w:bottom w:val="single" w:color="auto" w:sz="4" w:space="0"/>
              <w:tl2br w:val="nil"/>
              <w:tr2bl w:val="nil"/>
            </w:tcBorders>
            <w:noWrap w:val="0"/>
            <w:vAlign w:val="center"/>
          </w:tcPr>
          <w:p w14:paraId="717069ED">
            <w:pPr>
              <w:spacing w:line="380" w:lineRule="exact"/>
              <w:ind w:right="119"/>
              <w:rPr>
                <w:rFonts w:ascii="宋体" w:hAnsi="宋体" w:cs="宋体"/>
                <w:color w:val="auto"/>
                <w:sz w:val="24"/>
                <w:highlight w:val="none"/>
              </w:rPr>
            </w:pPr>
            <w:r>
              <w:rPr>
                <w:rFonts w:hint="eastAsia" w:ascii="宋体" w:hAnsi="宋体" w:cs="宋体"/>
                <w:color w:val="auto"/>
                <w:sz w:val="24"/>
                <w:highlight w:val="none"/>
              </w:rPr>
              <w:t>有效整改得分（30分）=整改率</w:t>
            </w:r>
            <w:r>
              <w:rPr>
                <w:rFonts w:ascii="Arial" w:hAnsi="Arial" w:cs="Arial"/>
                <w:color w:val="auto"/>
                <w:sz w:val="24"/>
                <w:highlight w:val="none"/>
              </w:rPr>
              <w:t>×</w:t>
            </w:r>
            <w:r>
              <w:rPr>
                <w:rFonts w:hint="eastAsia" w:ascii="宋体" w:hAnsi="宋体" w:cs="宋体"/>
                <w:color w:val="auto"/>
                <w:sz w:val="24"/>
                <w:highlight w:val="none"/>
              </w:rPr>
              <w:t>30分【所有检查问题（整改项）将全部上线整改】，需在规定时间内完成</w:t>
            </w:r>
          </w:p>
        </w:tc>
      </w:tr>
    </w:tbl>
    <w:p w14:paraId="16AD9AED">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auto"/>
          <w:sz w:val="24"/>
          <w:szCs w:val="18"/>
          <w:highlight w:val="none"/>
          <w:lang w:eastAsia="zh-CN"/>
        </w:rPr>
      </w:pPr>
      <w:r>
        <w:rPr>
          <w:rFonts w:hint="eastAsia" w:ascii="宋体" w:hAnsi="宋体" w:cs="宋体"/>
          <w:b/>
          <w:color w:val="auto"/>
          <w:sz w:val="24"/>
          <w:szCs w:val="18"/>
          <w:highlight w:val="none"/>
          <w:lang w:val="en-US" w:eastAsia="zh-CN"/>
        </w:rPr>
        <w:t>七、</w:t>
      </w:r>
      <w:r>
        <w:rPr>
          <w:rFonts w:hint="eastAsia" w:ascii="宋体" w:hAnsi="宋体" w:eastAsia="宋体" w:cs="宋体"/>
          <w:b/>
          <w:color w:val="auto"/>
          <w:sz w:val="24"/>
          <w:szCs w:val="18"/>
          <w:highlight w:val="none"/>
          <w:lang w:eastAsia="zh-CN"/>
        </w:rPr>
        <w:t>双方的权利和义务</w:t>
      </w:r>
    </w:p>
    <w:p w14:paraId="4A81A90D">
      <w:pPr>
        <w:tabs>
          <w:tab w:val="left" w:pos="840"/>
          <w:tab w:val="left" w:pos="1020"/>
        </w:tabs>
        <w:spacing w:line="360" w:lineRule="auto"/>
        <w:ind w:left="482"/>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甲方的权利义务</w:t>
      </w:r>
    </w:p>
    <w:p w14:paraId="01A13618">
      <w:pPr>
        <w:pStyle w:val="11"/>
        <w:numPr>
          <w:ilvl w:val="0"/>
          <w:numId w:val="46"/>
        </w:numPr>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甲方按照考核办法对乙方工作情况定期或不定期的进行日常监督和管理。</w:t>
      </w:r>
    </w:p>
    <w:p w14:paraId="220EAC64">
      <w:pPr>
        <w:pStyle w:val="11"/>
        <w:numPr>
          <w:ilvl w:val="0"/>
          <w:numId w:val="46"/>
        </w:numPr>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如遇重要活动、重要节日需突击作业的，应提前通知乙方并负责做好业务指导工作。</w:t>
      </w:r>
    </w:p>
    <w:p w14:paraId="22C75ED2">
      <w:pPr>
        <w:pStyle w:val="11"/>
        <w:numPr>
          <w:ilvl w:val="0"/>
          <w:numId w:val="46"/>
        </w:numPr>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做好安全检査及宣传、教育、培训等工作，督促乙方做好安全生产工作。</w:t>
      </w:r>
    </w:p>
    <w:p w14:paraId="6EE3F656">
      <w:pPr>
        <w:pStyle w:val="11"/>
        <w:numPr>
          <w:ilvl w:val="0"/>
          <w:numId w:val="46"/>
        </w:numPr>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涉及承包外的环卫相关任务，乙方应按甲方的要求保质保量完成，服务费协商解决。</w:t>
      </w:r>
    </w:p>
    <w:p w14:paraId="30A08B25">
      <w:pPr>
        <w:pStyle w:val="11"/>
        <w:numPr>
          <w:ilvl w:val="0"/>
          <w:numId w:val="46"/>
        </w:numPr>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凡遇环卫体制改革或上级指示，甲方有权按实调整作业方式、道路面积及承包费用。如根据环卫体制改革或上级指示需要终止承包协议的，甲方根据乙方已履行合同实际情况，对月保洁服务费按已履行天数进行折算，并一次性支付给乙方，甲方不再额外补偿费用及其它损失。</w:t>
      </w:r>
    </w:p>
    <w:p w14:paraId="7C197956">
      <w:pPr>
        <w:pStyle w:val="11"/>
        <w:numPr>
          <w:ilvl w:val="0"/>
          <w:numId w:val="46"/>
        </w:numPr>
        <w:spacing w:after="0" w:line="360" w:lineRule="auto"/>
        <w:ind w:left="0" w:leftChars="0"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在人居环境整治过程中，甲方须切实担负起主体责任和管理责任，做好群众思想工作，如有证据显示因甲方工作未到位，由于甲方责任导致的扣分，该分数不在乙方考核中扣分。</w:t>
      </w:r>
    </w:p>
    <w:p w14:paraId="6E35E453">
      <w:pPr>
        <w:tabs>
          <w:tab w:val="left" w:pos="840"/>
          <w:tab w:val="left" w:pos="1020"/>
        </w:tabs>
        <w:spacing w:line="360" w:lineRule="auto"/>
        <w:ind w:left="482"/>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乙方的权利义务</w:t>
      </w:r>
    </w:p>
    <w:p w14:paraId="35496140">
      <w:pPr>
        <w:numPr>
          <w:ilvl w:val="0"/>
          <w:numId w:val="47"/>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要加强对工作人员的培训和教育，爱护公共财物，确保安全工作，社绝各类事故。甲方如临时紧急工作任务，乙方必须无条件调动人员，保证完成工作。乙方要按时做好卫生工作台账资料及各种记录本，三方检查的整改及整改后的拍照，做好资料后由村委上报。</w:t>
      </w:r>
    </w:p>
    <w:p w14:paraId="45ED6BF5">
      <w:pPr>
        <w:numPr>
          <w:ilvl w:val="0"/>
          <w:numId w:val="47"/>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按要求配</w:t>
      </w:r>
      <w:r>
        <w:rPr>
          <w:rFonts w:hint="eastAsia" w:ascii="宋体" w:hAnsi="宋体" w:eastAsia="宋体" w:cs="宋体"/>
          <w:color w:val="auto"/>
          <w:sz w:val="24"/>
          <w:highlight w:val="none"/>
          <w:lang w:eastAsia="zh-CN"/>
        </w:rPr>
        <w:t>合</w:t>
      </w:r>
      <w:r>
        <w:rPr>
          <w:rFonts w:hint="eastAsia" w:ascii="宋体" w:hAnsi="宋体" w:eastAsia="宋体" w:cs="宋体"/>
          <w:color w:val="auto"/>
          <w:sz w:val="24"/>
          <w:highlight w:val="none"/>
        </w:rPr>
        <w:t>好工作人员，确保工作质量，若甲方提出任何需要整改的意见，乙方应立即予以整改，乙方也可向甲方提出合理化意见和建议;乙方在签约之日自行购齐必需的劳动用具，并自行落实好保洁人员每天到岗人数不得少于投标承诺人员数。</w:t>
      </w:r>
    </w:p>
    <w:p w14:paraId="04A3DFB0">
      <w:pPr>
        <w:numPr>
          <w:ilvl w:val="0"/>
          <w:numId w:val="47"/>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乙方工作人员要穿统一工作服装，以示上岗，接受公众监督遵守甲方各项内部规章制度:作业人员必须穿有安全标志的反光服，规范文明作业，不与路人发生争执。</w:t>
      </w:r>
    </w:p>
    <w:p w14:paraId="35368CD2">
      <w:pPr>
        <w:numPr>
          <w:ilvl w:val="0"/>
          <w:numId w:val="47"/>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在被委托期间，发生人员伤亡由乙方承担一切费用，甲方概不承担任何责任。乙方用工应签订劳动协议，并办理各种用工手续，如因用工不当，给甲方造成损失由乙方承担一切责任。乙方要落实好安全防范措施，所有一线作业人员，必须参加意外伤害保险。在承包期内的各种伤亡、安全、赔偿事故，无论工伤、非工伤一律自负，甲方均不负任何责任。</w:t>
      </w:r>
    </w:p>
    <w:p w14:paraId="0222081A">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对某些需紧急处置的情况，在接到甲方通知后，乙方应无条件在规定时间内完成，乙方如处置不及时，甲方有权指派其他人员突击工作，费用在乙方承包款和履约保证金中扣除。</w:t>
      </w:r>
    </w:p>
    <w:p w14:paraId="2260492C">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乙方必须健全机构，完备制度，制订详细管理制度和监督考核办法，加强日常监督考核工作。</w:t>
      </w:r>
    </w:p>
    <w:p w14:paraId="73A253D3">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乙方应自觉接受甲方的管理和指导，服从甲方的检查。</w:t>
      </w:r>
    </w:p>
    <w:p w14:paraId="4FD34BAD">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乙方必须有固定的办公场所、值班电话和工具停放场所，必须落实专职管理人员进行日常管理。</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小时保洁清扫人员在路段内不得出现有空档现象，特殊情况根据甲方要求可延长工作时间。</w:t>
      </w:r>
    </w:p>
    <w:p w14:paraId="681EF57B">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乙方承包期间，如有保洁面积、垃圾桶、公则保洁数量的增减，</w:t>
      </w:r>
      <w:r>
        <w:rPr>
          <w:rFonts w:hint="eastAsia" w:ascii="宋体" w:hAnsi="宋体" w:eastAsia="宋体" w:cs="宋体"/>
          <w:color w:val="auto"/>
          <w:sz w:val="24"/>
          <w:highlight w:val="none"/>
          <w:lang w:eastAsia="zh-CN"/>
        </w:rPr>
        <w:t>承包费用</w:t>
      </w:r>
      <w:r>
        <w:rPr>
          <w:rFonts w:hint="eastAsia" w:ascii="宋体" w:hAnsi="宋体" w:eastAsia="宋体" w:cs="宋体"/>
          <w:color w:val="auto"/>
          <w:sz w:val="24"/>
          <w:highlight w:val="none"/>
        </w:rPr>
        <w:t>将不再进行调整。</w:t>
      </w:r>
    </w:p>
    <w:p w14:paraId="60539B42">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乙方必须按时支付作业人员工资，所支付的工资不低于</w:t>
      </w:r>
      <w:r>
        <w:rPr>
          <w:rFonts w:hint="eastAsia" w:ascii="宋体" w:hAnsi="宋体" w:eastAsia="宋体" w:cs="宋体"/>
          <w:color w:val="auto"/>
          <w:sz w:val="24"/>
          <w:highlight w:val="none"/>
          <w:lang w:val="en-US" w:eastAsia="zh-CN"/>
        </w:rPr>
        <w:t>绍兴市</w:t>
      </w:r>
      <w:r>
        <w:rPr>
          <w:rFonts w:hint="eastAsia" w:ascii="宋体" w:hAnsi="宋体" w:eastAsia="宋体" w:cs="宋体"/>
          <w:color w:val="auto"/>
          <w:sz w:val="24"/>
          <w:highlight w:val="none"/>
        </w:rPr>
        <w:t>劳动部门发布的最低工资标准，不得克扣或者无故拖欠一线作业人员的工资，如不按时支付工资，甲方有权履约保证金或承包款中</w:t>
      </w:r>
      <w:r>
        <w:rPr>
          <w:rFonts w:hint="eastAsia" w:ascii="宋体" w:hAnsi="宋体" w:eastAsia="宋体" w:cs="宋体"/>
          <w:color w:val="auto"/>
          <w:sz w:val="24"/>
          <w:highlight w:val="none"/>
          <w:lang w:eastAsia="zh-CN"/>
        </w:rPr>
        <w:t>扣除相应费用，</w:t>
      </w:r>
      <w:r>
        <w:rPr>
          <w:rFonts w:hint="eastAsia" w:ascii="宋体" w:hAnsi="宋体" w:eastAsia="宋体" w:cs="宋体"/>
          <w:color w:val="auto"/>
          <w:sz w:val="24"/>
          <w:highlight w:val="none"/>
        </w:rPr>
        <w:t>向作业人员直接支付工资。</w:t>
      </w:r>
    </w:p>
    <w:p w14:paraId="60A30727">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乙方有合理化的建议，经甲方认可后方可执行。</w:t>
      </w:r>
    </w:p>
    <w:p w14:paraId="577C5915">
      <w:pPr>
        <w:keepNext w:val="0"/>
        <w:keepLines w:val="0"/>
        <w:pageBreakBefore w:val="0"/>
        <w:widowControl w:val="0"/>
        <w:tabs>
          <w:tab w:val="left" w:pos="840"/>
          <w:tab w:val="left" w:pos="102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合同中涉及的所有垃圾乙方必须处置到位，处置费用全部由乙方负责。</w:t>
      </w:r>
    </w:p>
    <w:p w14:paraId="1764BA59">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auto"/>
          <w:sz w:val="24"/>
          <w:szCs w:val="18"/>
          <w:highlight w:val="none"/>
          <w:lang w:eastAsia="zh-CN"/>
        </w:rPr>
      </w:pPr>
      <w:r>
        <w:rPr>
          <w:rFonts w:hint="eastAsia" w:ascii="宋体" w:hAnsi="宋体" w:cs="宋体"/>
          <w:b/>
          <w:color w:val="auto"/>
          <w:sz w:val="24"/>
          <w:szCs w:val="18"/>
          <w:highlight w:val="none"/>
          <w:lang w:val="en-US" w:eastAsia="zh-CN"/>
        </w:rPr>
        <w:t>八、</w:t>
      </w:r>
      <w:r>
        <w:rPr>
          <w:rFonts w:hint="eastAsia" w:ascii="宋体" w:hAnsi="宋体" w:eastAsia="宋体" w:cs="宋体"/>
          <w:b/>
          <w:color w:val="auto"/>
          <w:sz w:val="24"/>
          <w:szCs w:val="18"/>
          <w:highlight w:val="none"/>
          <w:lang w:eastAsia="zh-CN"/>
        </w:rPr>
        <w:t>违约责任</w:t>
      </w:r>
    </w:p>
    <w:p w14:paraId="10A9ACF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如乙方未能按合同要求（考核标准）进行服务，给甲方造成恶劣影响和损失时，甲方有权扣除</w:t>
      </w:r>
      <w:r>
        <w:rPr>
          <w:rFonts w:hint="eastAsia" w:ascii="宋体" w:hAnsi="宋体" w:eastAsia="宋体" w:cs="宋体"/>
          <w:color w:val="auto"/>
          <w:sz w:val="24"/>
          <w:highlight w:val="none"/>
        </w:rPr>
        <w:t>履约保证金</w:t>
      </w:r>
      <w:r>
        <w:rPr>
          <w:rFonts w:hint="eastAsia" w:ascii="宋体" w:hAnsi="宋体" w:eastAsia="宋体" w:cs="宋体"/>
          <w:color w:val="auto"/>
          <w:kern w:val="0"/>
          <w:sz w:val="24"/>
          <w:highlight w:val="none"/>
        </w:rPr>
        <w:t>。</w:t>
      </w:r>
    </w:p>
    <w:p w14:paraId="21CC9CE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在承包期内，乙方无充分理由终止承包或到岗少于规定人数造成不良社会影响，甲方有权终止承包协议，同时履约保证金不予退还。</w:t>
      </w:r>
    </w:p>
    <w:p w14:paraId="5912C67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3.乙方不得转包或分包，如发现转包或分包，甲方有权解除合同，没收履约保证金并追究乙方的违约责任。</w:t>
      </w:r>
    </w:p>
    <w:p w14:paraId="7FD2C54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由于政策或不可抗力等因素引起承包中断，甲方终止承包合同应提前15天通知乙方。经主管部门同意后，履约保证金予以退还。</w:t>
      </w:r>
    </w:p>
    <w:p w14:paraId="33992D44">
      <w:pPr>
        <w:keepNext w:val="0"/>
        <w:keepLines w:val="0"/>
        <w:pageBreakBefore w:val="0"/>
        <w:widowControl w:val="0"/>
        <w:numPr>
          <w:ilvl w:val="0"/>
          <w:numId w:val="0"/>
        </w:numPr>
        <w:tabs>
          <w:tab w:val="left" w:pos="772"/>
        </w:tabs>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auto"/>
          <w:sz w:val="24"/>
          <w:szCs w:val="18"/>
          <w:highlight w:val="none"/>
          <w:lang w:eastAsia="zh-CN"/>
        </w:rPr>
      </w:pPr>
      <w:r>
        <w:rPr>
          <w:rFonts w:hint="eastAsia" w:ascii="宋体" w:hAnsi="宋体" w:cs="宋体"/>
          <w:b/>
          <w:color w:val="auto"/>
          <w:sz w:val="24"/>
          <w:szCs w:val="18"/>
          <w:highlight w:val="none"/>
          <w:lang w:val="en-US" w:eastAsia="zh-CN"/>
        </w:rPr>
        <w:t>九、</w:t>
      </w:r>
      <w:r>
        <w:rPr>
          <w:rFonts w:hint="eastAsia" w:ascii="宋体" w:hAnsi="宋体" w:eastAsia="宋体" w:cs="宋体"/>
          <w:b/>
          <w:color w:val="auto"/>
          <w:sz w:val="24"/>
          <w:szCs w:val="18"/>
          <w:highlight w:val="none"/>
          <w:lang w:eastAsia="zh-CN"/>
        </w:rPr>
        <w:t>其他事项</w:t>
      </w:r>
    </w:p>
    <w:p w14:paraId="28B4F82F">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村范围内的国家机关及企事业单位环境卫生保洁不包括在内，按相关政策执行</w:t>
      </w:r>
      <w:r>
        <w:rPr>
          <w:rFonts w:hint="eastAsia" w:ascii="宋体" w:hAnsi="宋体" w:eastAsia="宋体" w:cs="宋体"/>
          <w:color w:val="auto"/>
          <w:sz w:val="24"/>
          <w:highlight w:val="none"/>
        </w:rPr>
        <w:t>。</w:t>
      </w:r>
    </w:p>
    <w:p w14:paraId="3208FA74">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乙方必须按规定落实在册人员的人身意外保险，保险合同及相关资料需报甲方备案；同时乙方必须加强安全教育及采取安全作业措施，如有伤害事故发生均有乙方承担，与甲方无涉。</w:t>
      </w:r>
    </w:p>
    <w:p w14:paraId="27130FFA">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保证作业车辆符合上路运输条件，并按相关规定投保（甲方提供的垃圾分类所需车辆由甲方负责投保）。乙方应配备合格、合法的车辆驾驶人员，并加强安全教育及采取安全作业措施，规范用车，禁止利用车辆从事与本职工作无关的事项，发生交通及意外事故均有乙方负责，与甲方无涉。</w:t>
      </w:r>
    </w:p>
    <w:p w14:paraId="5D5C4D9F">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本合同附件属于本合同不可分割部分，具有同等效力。</w:t>
      </w:r>
    </w:p>
    <w:p w14:paraId="0ECE3FCB">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甲乙双方经协商后，可对本合同的条款进行修订、补充，并以书面形式签订补充协议，补充协议与本合同具有同等法律效力。</w:t>
      </w:r>
    </w:p>
    <w:p w14:paraId="7148304B">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本合同未尽事宜，甲乙双方友好协商解决，协商不成提交上虞区人民法院裁决。</w:t>
      </w:r>
    </w:p>
    <w:p w14:paraId="15514721">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本合同一式肆份，甲、乙方执贰份，经双方签字盖章后生效。</w:t>
      </w:r>
    </w:p>
    <w:tbl>
      <w:tblPr>
        <w:tblStyle w:val="32"/>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397"/>
        <w:gridCol w:w="1661"/>
        <w:gridCol w:w="2767"/>
      </w:tblGrid>
      <w:tr w14:paraId="698D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06EECB1A">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6703466A">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（盖章）</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542D8013">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59A09A0F">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（盖章）</w:t>
            </w:r>
          </w:p>
        </w:tc>
      </w:tr>
      <w:tr w14:paraId="6984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5F75043C">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代表签名</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3F84A23C">
            <w:pPr>
              <w:spacing w:line="460" w:lineRule="exact"/>
              <w:jc w:val="center"/>
              <w:rPr>
                <w:rFonts w:hint="eastAsia" w:ascii="宋体" w:hAnsi="宋体" w:eastAsia="宋体" w:cs="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469AAFEA">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代表签名</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73165EEA">
            <w:pPr>
              <w:spacing w:line="460" w:lineRule="exact"/>
              <w:jc w:val="center"/>
              <w:rPr>
                <w:rFonts w:hint="eastAsia" w:ascii="宋体" w:hAnsi="宋体" w:eastAsia="宋体" w:cs="宋体"/>
                <w:color w:val="auto"/>
                <w:kern w:val="0"/>
                <w:sz w:val="24"/>
                <w:highlight w:val="none"/>
              </w:rPr>
            </w:pPr>
          </w:p>
        </w:tc>
      </w:tr>
      <w:tr w14:paraId="08C1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12F9550E">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6E26F42B">
            <w:pPr>
              <w:spacing w:line="460" w:lineRule="exact"/>
              <w:jc w:val="center"/>
              <w:rPr>
                <w:rFonts w:hint="eastAsia" w:ascii="宋体" w:hAnsi="宋体" w:eastAsia="宋体" w:cs="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E504563">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5FBBE259">
            <w:pPr>
              <w:spacing w:line="460" w:lineRule="exact"/>
              <w:jc w:val="center"/>
              <w:rPr>
                <w:rFonts w:hint="eastAsia" w:ascii="宋体" w:hAnsi="宋体" w:eastAsia="宋体" w:cs="宋体"/>
                <w:color w:val="auto"/>
                <w:kern w:val="0"/>
                <w:sz w:val="24"/>
                <w:highlight w:val="none"/>
              </w:rPr>
            </w:pPr>
          </w:p>
        </w:tc>
      </w:tr>
      <w:tr w14:paraId="62F3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19F770AC">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2E161F61">
            <w:pPr>
              <w:spacing w:line="460" w:lineRule="exact"/>
              <w:jc w:val="center"/>
              <w:rPr>
                <w:rFonts w:hint="eastAsia" w:ascii="宋体" w:hAnsi="宋体" w:eastAsia="宋体" w:cs="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4F322727">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47569D77">
            <w:pPr>
              <w:spacing w:line="460" w:lineRule="exact"/>
              <w:jc w:val="center"/>
              <w:rPr>
                <w:rFonts w:hint="eastAsia" w:ascii="宋体" w:hAnsi="宋体" w:eastAsia="宋体" w:cs="宋体"/>
                <w:color w:val="auto"/>
                <w:kern w:val="0"/>
                <w:sz w:val="24"/>
                <w:highlight w:val="none"/>
              </w:rPr>
            </w:pPr>
          </w:p>
        </w:tc>
      </w:tr>
      <w:tr w14:paraId="25AE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34D5D563">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4DD339A1">
            <w:pPr>
              <w:spacing w:line="460" w:lineRule="exact"/>
              <w:jc w:val="center"/>
              <w:rPr>
                <w:rFonts w:hint="eastAsia" w:ascii="宋体" w:hAnsi="宋体" w:eastAsia="宋体" w:cs="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051DBB5">
            <w:pPr>
              <w:spacing w:line="4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38D83DC0">
            <w:pPr>
              <w:spacing w:line="460" w:lineRule="exact"/>
              <w:jc w:val="center"/>
              <w:rPr>
                <w:rFonts w:hint="eastAsia" w:ascii="宋体" w:hAnsi="宋体" w:eastAsia="宋体" w:cs="宋体"/>
                <w:color w:val="auto"/>
                <w:kern w:val="0"/>
                <w:sz w:val="24"/>
                <w:highlight w:val="none"/>
              </w:rPr>
            </w:pPr>
          </w:p>
        </w:tc>
      </w:tr>
      <w:tr w14:paraId="0F96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76" w:type="dxa"/>
            <w:tcBorders>
              <w:top w:val="single" w:color="auto" w:sz="4" w:space="0"/>
              <w:left w:val="single" w:color="auto" w:sz="4" w:space="0"/>
              <w:bottom w:val="single" w:color="auto" w:sz="4" w:space="0"/>
              <w:right w:val="single" w:color="auto" w:sz="4" w:space="0"/>
            </w:tcBorders>
            <w:noWrap w:val="0"/>
            <w:vAlign w:val="center"/>
          </w:tcPr>
          <w:p w14:paraId="27307D86">
            <w:pPr>
              <w:spacing w:line="4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账号</w:t>
            </w:r>
          </w:p>
        </w:tc>
        <w:tc>
          <w:tcPr>
            <w:tcW w:w="2397" w:type="dxa"/>
            <w:tcBorders>
              <w:top w:val="single" w:color="auto" w:sz="4" w:space="0"/>
              <w:left w:val="single" w:color="auto" w:sz="4" w:space="0"/>
              <w:bottom w:val="single" w:color="auto" w:sz="4" w:space="0"/>
              <w:right w:val="single" w:color="auto" w:sz="4" w:space="0"/>
            </w:tcBorders>
            <w:noWrap w:val="0"/>
            <w:vAlign w:val="center"/>
          </w:tcPr>
          <w:p w14:paraId="732703CB">
            <w:pPr>
              <w:spacing w:line="460" w:lineRule="exact"/>
              <w:jc w:val="center"/>
              <w:rPr>
                <w:rFonts w:hint="eastAsia" w:ascii="宋体" w:hAnsi="宋体" w:eastAsia="宋体" w:cs="宋体"/>
                <w:color w:val="auto"/>
                <w:kern w:val="0"/>
                <w:sz w:val="24"/>
                <w:highlight w:val="none"/>
              </w:rPr>
            </w:pP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7328D4A">
            <w:pPr>
              <w:spacing w:line="4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账号</w:t>
            </w:r>
          </w:p>
        </w:tc>
        <w:tc>
          <w:tcPr>
            <w:tcW w:w="2767" w:type="dxa"/>
            <w:tcBorders>
              <w:top w:val="single" w:color="auto" w:sz="4" w:space="0"/>
              <w:left w:val="single" w:color="auto" w:sz="4" w:space="0"/>
              <w:bottom w:val="single" w:color="auto" w:sz="4" w:space="0"/>
              <w:right w:val="single" w:color="auto" w:sz="4" w:space="0"/>
            </w:tcBorders>
            <w:noWrap w:val="0"/>
            <w:vAlign w:val="center"/>
          </w:tcPr>
          <w:p w14:paraId="260E3E30">
            <w:pPr>
              <w:spacing w:line="460" w:lineRule="exact"/>
              <w:jc w:val="center"/>
              <w:rPr>
                <w:rFonts w:hint="eastAsia" w:ascii="宋体" w:hAnsi="宋体" w:eastAsia="宋体" w:cs="宋体"/>
                <w:color w:val="auto"/>
                <w:kern w:val="0"/>
                <w:sz w:val="24"/>
                <w:highlight w:val="none"/>
              </w:rPr>
            </w:pPr>
          </w:p>
        </w:tc>
      </w:tr>
    </w:tbl>
    <w:p w14:paraId="458FE328">
      <w:pPr>
        <w:rPr>
          <w:color w:val="auto"/>
          <w:highlight w:val="none"/>
        </w:rPr>
      </w:pPr>
    </w:p>
    <w:p w14:paraId="66E4A4F8">
      <w:pPr>
        <w:rPr>
          <w:color w:val="auto"/>
          <w:highlight w:val="none"/>
        </w:rPr>
      </w:pPr>
    </w:p>
    <w:p w14:paraId="00A72BC1">
      <w:pPr>
        <w:rPr>
          <w:color w:val="auto"/>
          <w:highlight w:val="none"/>
        </w:rPr>
      </w:pPr>
    </w:p>
    <w:p w14:paraId="6324BED2">
      <w:pPr>
        <w:pStyle w:val="4"/>
        <w:spacing w:line="360" w:lineRule="auto"/>
        <w:jc w:val="both"/>
        <w:rPr>
          <w:rFonts w:cs="宋体"/>
          <w:color w:val="auto"/>
          <w:sz w:val="36"/>
          <w:szCs w:val="21"/>
          <w:highlight w:val="none"/>
        </w:rPr>
      </w:pPr>
    </w:p>
    <w:p w14:paraId="2D680E60">
      <w:pPr>
        <w:spacing w:line="360" w:lineRule="auto"/>
        <w:jc w:val="center"/>
        <w:outlineLvl w:val="0"/>
        <w:rPr>
          <w:rFonts w:ascii="宋体" w:hAnsi="宋体" w:cs="宋体"/>
          <w:b/>
          <w:color w:val="auto"/>
          <w:sz w:val="36"/>
          <w:szCs w:val="36"/>
          <w:highlight w:val="none"/>
        </w:rPr>
      </w:pPr>
    </w:p>
    <w:bookmarkEnd w:id="446"/>
    <w:bookmarkEnd w:id="447"/>
    <w:p w14:paraId="17E18137">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4832ED50">
      <w:pPr>
        <w:spacing w:line="360" w:lineRule="auto"/>
        <w:jc w:val="center"/>
        <w:outlineLvl w:val="0"/>
        <w:rPr>
          <w:rFonts w:ascii="宋体" w:hAnsi="宋体" w:cs="宋体"/>
          <w:b/>
          <w:color w:val="auto"/>
          <w:sz w:val="36"/>
          <w:szCs w:val="36"/>
          <w:highlight w:val="none"/>
        </w:rPr>
      </w:pPr>
      <w:bookmarkStart w:id="488" w:name="_Toc13109"/>
      <w:r>
        <w:rPr>
          <w:rFonts w:hint="eastAsia" w:ascii="宋体" w:hAnsi="宋体" w:cs="宋体"/>
          <w:b/>
          <w:color w:val="auto"/>
          <w:sz w:val="36"/>
          <w:szCs w:val="36"/>
          <w:highlight w:val="none"/>
        </w:rPr>
        <w:t>第六部分 应提交的有关格式范例</w:t>
      </w:r>
      <w:bookmarkEnd w:id="488"/>
    </w:p>
    <w:p w14:paraId="19E31614">
      <w:pPr>
        <w:spacing w:line="360" w:lineRule="auto"/>
        <w:ind w:firstLine="480" w:firstLineChars="200"/>
        <w:outlineLvl w:val="0"/>
        <w:rPr>
          <w:rFonts w:ascii="宋体" w:hAnsi="宋体" w:cs="宋体"/>
          <w:color w:val="auto"/>
          <w:sz w:val="24"/>
          <w:highlight w:val="none"/>
        </w:rPr>
      </w:pPr>
    </w:p>
    <w:p w14:paraId="7C9694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投标人按照以下格式编制投标文件，并将资格文件、商务技术文件、报价文件分别上传，并与招标文件的评分要点准确设置关联点。</w:t>
      </w:r>
    </w:p>
    <w:p w14:paraId="51A31B7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此格式内容仅为参考模板，具体内容投标人应根据招标文件要求进行调整。未按以下格式编制投标文件或因格式不规范、页码不清等原因引发的一切后果由投标人自行承担。</w:t>
      </w:r>
    </w:p>
    <w:p w14:paraId="0B4FBD0D">
      <w:pPr>
        <w:spacing w:line="360" w:lineRule="auto"/>
        <w:jc w:val="center"/>
        <w:rPr>
          <w:rFonts w:ascii="宋体" w:hAnsi="宋体" w:cs="宋体"/>
          <w:b/>
          <w:color w:val="auto"/>
          <w:kern w:val="0"/>
          <w:sz w:val="36"/>
          <w:szCs w:val="36"/>
          <w:highlight w:val="none"/>
        </w:rPr>
      </w:pPr>
      <w:r>
        <w:rPr>
          <w:rFonts w:hint="eastAsia" w:ascii="宋体" w:hAnsi="宋体" w:cs="宋体"/>
          <w:b/>
          <w:color w:val="auto"/>
          <w:sz w:val="24"/>
          <w:highlight w:val="none"/>
        </w:rPr>
        <w:br w:type="page"/>
      </w:r>
      <w:r>
        <w:rPr>
          <w:rFonts w:hint="eastAsia" w:ascii="宋体" w:hAnsi="宋体" w:cs="宋体"/>
          <w:b/>
          <w:color w:val="auto"/>
          <w:kern w:val="0"/>
          <w:sz w:val="36"/>
          <w:szCs w:val="36"/>
          <w:highlight w:val="none"/>
        </w:rPr>
        <w:t>资格文件部分</w:t>
      </w:r>
    </w:p>
    <w:p w14:paraId="45D12EDD">
      <w:pPr>
        <w:spacing w:line="360" w:lineRule="auto"/>
        <w:jc w:val="center"/>
        <w:rPr>
          <w:rFonts w:ascii="宋体" w:hAnsi="宋体" w:cs="宋体"/>
          <w:b/>
          <w:color w:val="auto"/>
          <w:kern w:val="0"/>
          <w:sz w:val="36"/>
          <w:szCs w:val="36"/>
          <w:highlight w:val="none"/>
        </w:rPr>
      </w:pPr>
    </w:p>
    <w:p w14:paraId="39143F90">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D740BF6">
      <w:pPr>
        <w:pStyle w:val="45"/>
        <w:numPr>
          <w:ilvl w:val="0"/>
          <w:numId w:val="4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法定代表人授权书（格式见附件）；如法定代表人直接参加谈判并对相应文件签字的（签字是指线下签字扫描后上传或者线上进行电子签章），只需提供其身份证复印件，否则则应提供授权代表身份证复印件；</w:t>
      </w:r>
    </w:p>
    <w:p w14:paraId="01E819B7">
      <w:pPr>
        <w:pStyle w:val="45"/>
        <w:numPr>
          <w:ilvl w:val="0"/>
          <w:numId w:val="49"/>
        </w:numP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483C1177">
      <w:pPr>
        <w:pStyle w:val="4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谈判响应文件中提供相关材料），证明其具备实际承担责任的能力和法定的缔结合同能力，可以独立参加政府采购活动，由单位负责人签署相关文件材料；</w:t>
      </w:r>
    </w:p>
    <w:p w14:paraId="2FCADD01">
      <w:pPr>
        <w:pStyle w:val="45"/>
        <w:numPr>
          <w:ilvl w:val="0"/>
          <w:numId w:val="49"/>
        </w:numP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具有履行合同所必需的产品和专业技术能力的承诺函；</w:t>
      </w:r>
    </w:p>
    <w:p w14:paraId="1A5EF5FA">
      <w:pPr>
        <w:pStyle w:val="45"/>
        <w:numPr>
          <w:ilvl w:val="0"/>
          <w:numId w:val="49"/>
        </w:numPr>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投标人承诺函</w:t>
      </w:r>
      <w:r>
        <w:rPr>
          <w:rFonts w:hint="eastAsia" w:ascii="宋体" w:hAnsi="宋体" w:eastAsia="宋体" w:cs="宋体"/>
          <w:color w:val="auto"/>
          <w:highlight w:val="none"/>
          <w:lang w:eastAsia="zh-CN"/>
        </w:rPr>
        <w:t>（格式见附件）。</w:t>
      </w:r>
    </w:p>
    <w:p w14:paraId="0049D59A">
      <w:pPr>
        <w:pStyle w:val="11"/>
        <w:ind w:firstLine="486"/>
        <w:rPr>
          <w:rFonts w:ascii="宋体" w:hAnsi="宋体" w:cs="宋体"/>
          <w:color w:val="auto"/>
          <w:highlight w:val="none"/>
        </w:rPr>
      </w:pPr>
    </w:p>
    <w:p w14:paraId="31CBBC0A">
      <w:pPr>
        <w:pStyle w:val="11"/>
        <w:ind w:firstLine="486"/>
        <w:rPr>
          <w:rFonts w:ascii="宋体" w:hAnsi="宋体" w:cs="宋体"/>
          <w:color w:val="auto"/>
          <w:highlight w:val="none"/>
        </w:rPr>
      </w:pPr>
    </w:p>
    <w:p w14:paraId="357B3F5A">
      <w:pPr>
        <w:rPr>
          <w:rFonts w:hint="eastAsia" w:hAnsi="宋体" w:cs="宋体"/>
          <w:color w:val="auto"/>
          <w:sz w:val="24"/>
          <w:szCs w:val="24"/>
          <w:highlight w:val="none"/>
        </w:rPr>
      </w:pPr>
      <w:r>
        <w:rPr>
          <w:rFonts w:hint="eastAsia" w:hAnsi="宋体" w:cs="宋体"/>
          <w:color w:val="auto"/>
          <w:sz w:val="24"/>
          <w:szCs w:val="24"/>
          <w:highlight w:val="none"/>
        </w:rPr>
        <w:br w:type="page"/>
      </w:r>
    </w:p>
    <w:p w14:paraId="7AFEE5F1">
      <w:pPr>
        <w:pStyle w:val="5"/>
        <w:jc w:val="left"/>
        <w:rPr>
          <w:rFonts w:hAnsi="宋体" w:cs="宋体"/>
          <w:b w:val="0"/>
          <w:color w:val="auto"/>
          <w:sz w:val="24"/>
          <w:szCs w:val="24"/>
          <w:highlight w:val="none"/>
        </w:rPr>
      </w:pPr>
      <w:r>
        <w:rPr>
          <w:rFonts w:hint="eastAsia" w:hAnsi="宋体" w:cs="宋体"/>
          <w:color w:val="auto"/>
          <w:sz w:val="24"/>
          <w:szCs w:val="24"/>
          <w:highlight w:val="none"/>
        </w:rPr>
        <w:t>附件一：</w:t>
      </w:r>
    </w:p>
    <w:p w14:paraId="6D67DF9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法定代表人授权书</w:t>
      </w:r>
    </w:p>
    <w:p w14:paraId="0A020DEF">
      <w:pPr>
        <w:pStyle w:val="3"/>
        <w:spacing w:line="360" w:lineRule="auto"/>
        <w:rPr>
          <w:rFonts w:ascii="宋体" w:hAnsi="宋体" w:cs="宋体"/>
          <w:color w:val="auto"/>
          <w:highlight w:val="none"/>
        </w:rPr>
      </w:pPr>
    </w:p>
    <w:p w14:paraId="3E35C7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绍兴市上虞区曹娥街道白米堰股份经济合作社</w:t>
      </w:r>
      <w:r>
        <w:rPr>
          <w:rFonts w:hint="eastAsia" w:ascii="宋体" w:hAnsi="宋体" w:cs="宋体"/>
          <w:color w:val="auto"/>
          <w:sz w:val="24"/>
          <w:highlight w:val="none"/>
        </w:rPr>
        <w:t>：</w:t>
      </w:r>
    </w:p>
    <w:p w14:paraId="37C1A0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浙江宇康工程管理咨询有限公司</w:t>
      </w:r>
      <w:r>
        <w:rPr>
          <w:rFonts w:hint="eastAsia" w:ascii="宋体" w:hAnsi="宋体" w:cs="宋体"/>
          <w:color w:val="auto"/>
          <w:sz w:val="24"/>
          <w:highlight w:val="none"/>
        </w:rPr>
        <w:t>：</w:t>
      </w:r>
    </w:p>
    <w:p w14:paraId="296867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（投标人全称） </w:t>
      </w: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授权</w:t>
      </w:r>
      <w:r>
        <w:rPr>
          <w:rFonts w:hint="eastAsia" w:ascii="宋体" w:hAnsi="宋体" w:cs="宋体"/>
          <w:color w:val="auto"/>
          <w:sz w:val="24"/>
          <w:highlight w:val="none"/>
          <w:u w:val="single"/>
        </w:rPr>
        <w:t>（授权代表名称）</w:t>
      </w:r>
      <w:r>
        <w:rPr>
          <w:rFonts w:hint="eastAsia" w:ascii="宋体" w:hAnsi="宋体" w:cs="宋体"/>
          <w:color w:val="auto"/>
          <w:sz w:val="24"/>
          <w:highlight w:val="none"/>
        </w:rPr>
        <w:t>为授权代表，参加贵处组织的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w:t>
      </w:r>
      <w:r>
        <w:rPr>
          <w:rFonts w:hint="eastAsia" w:ascii="宋体" w:hAnsi="宋体" w:cs="宋体"/>
          <w:color w:val="auto"/>
          <w:sz w:val="24"/>
          <w:highlight w:val="none"/>
          <w:u w:val="single"/>
        </w:rPr>
        <w:t>（括号内填写招标编号）</w:t>
      </w:r>
      <w:r>
        <w:rPr>
          <w:rFonts w:hint="eastAsia" w:ascii="宋体" w:hAnsi="宋体" w:cs="宋体"/>
          <w:color w:val="auto"/>
          <w:sz w:val="24"/>
          <w:highlight w:val="none"/>
        </w:rPr>
        <w:t>，授权处理招投标活动中的一切事宜。</w:t>
      </w:r>
    </w:p>
    <w:p w14:paraId="1962D060">
      <w:pPr>
        <w:spacing w:line="360" w:lineRule="auto"/>
        <w:ind w:firstLine="480" w:firstLineChars="200"/>
        <w:rPr>
          <w:rFonts w:ascii="宋体" w:hAnsi="宋体" w:cs="宋体"/>
          <w:color w:val="auto"/>
          <w:sz w:val="24"/>
          <w:highlight w:val="none"/>
        </w:rPr>
      </w:pPr>
    </w:p>
    <w:p w14:paraId="2EC3DE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w:t>
      </w:r>
    </w:p>
    <w:p w14:paraId="5F12A9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投标人全称：（盖章）</w:t>
      </w:r>
    </w:p>
    <w:p w14:paraId="464362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p>
    <w:p w14:paraId="650EEF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p>
    <w:p w14:paraId="2C7B26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授权代表姓名：</w:t>
      </w:r>
    </w:p>
    <w:p w14:paraId="40851B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职务：</w:t>
      </w:r>
    </w:p>
    <w:p w14:paraId="2B687D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详细通讯地址：</w:t>
      </w:r>
    </w:p>
    <w:p w14:paraId="61DCDB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14:paraId="5FC48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14:paraId="2400E6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p>
    <w:p w14:paraId="0149AAE5">
      <w:pPr>
        <w:pStyle w:val="16"/>
        <w:snapToGrid w:val="0"/>
        <w:spacing w:line="360" w:lineRule="auto"/>
        <w:rPr>
          <w:rFonts w:hAnsi="宋体" w:cs="宋体"/>
          <w:color w:val="auto"/>
          <w:sz w:val="24"/>
          <w:highlight w:val="none"/>
        </w:rPr>
      </w:pPr>
    </w:p>
    <w:p w14:paraId="4301ADDE">
      <w:pPr>
        <w:pStyle w:val="16"/>
        <w:snapToGrid w:val="0"/>
        <w:spacing w:line="360" w:lineRule="auto"/>
        <w:rPr>
          <w:rFonts w:hAnsi="宋体" w:cs="宋体"/>
          <w:color w:val="auto"/>
          <w:sz w:val="24"/>
          <w:highlight w:val="none"/>
        </w:rPr>
      </w:pPr>
    </w:p>
    <w:p w14:paraId="3673236C">
      <w:pPr>
        <w:pStyle w:val="16"/>
        <w:snapToGrid w:val="0"/>
        <w:spacing w:line="360" w:lineRule="auto"/>
        <w:rPr>
          <w:rFonts w:hAnsi="宋体" w:cs="宋体"/>
          <w:color w:val="auto"/>
          <w:sz w:val="24"/>
          <w:highlight w:val="none"/>
        </w:rPr>
      </w:pPr>
    </w:p>
    <w:p w14:paraId="24729F4C">
      <w:pPr>
        <w:spacing w:line="360" w:lineRule="auto"/>
        <w:rPr>
          <w:rFonts w:ascii="宋体" w:hAnsi="宋体" w:cs="宋体"/>
          <w:b/>
          <w:color w:val="auto"/>
          <w:sz w:val="24"/>
          <w:highlight w:val="none"/>
        </w:rPr>
      </w:pPr>
      <w:r>
        <w:rPr>
          <w:rFonts w:hint="eastAsia" w:ascii="宋体" w:hAnsi="宋体" w:cs="宋体"/>
          <w:b/>
          <w:color w:val="auto"/>
          <w:sz w:val="24"/>
          <w:highlight w:val="none"/>
        </w:rPr>
        <w:t>附：授权代表身份证复印件（正反面）</w:t>
      </w:r>
    </w:p>
    <w:p w14:paraId="403DCC5B">
      <w:pPr>
        <w:spacing w:line="360" w:lineRule="auto"/>
        <w:rPr>
          <w:rFonts w:ascii="宋体" w:hAnsi="宋体" w:cs="宋体"/>
          <w:b/>
          <w:color w:val="auto"/>
          <w:sz w:val="24"/>
          <w:highlight w:val="none"/>
        </w:rPr>
      </w:pPr>
    </w:p>
    <w:p w14:paraId="62E26221">
      <w:pPr>
        <w:pStyle w:val="11"/>
        <w:ind w:firstLine="486"/>
        <w:rPr>
          <w:rFonts w:ascii="宋体" w:hAnsi="宋体" w:cs="宋体"/>
          <w:color w:val="auto"/>
          <w:highlight w:val="none"/>
        </w:rPr>
      </w:pPr>
    </w:p>
    <w:p w14:paraId="0AB47B33">
      <w:pPr>
        <w:snapToGrid w:val="0"/>
        <w:spacing w:before="50" w:afterLines="50"/>
        <w:jc w:val="left"/>
        <w:rPr>
          <w:rFonts w:ascii="宋体" w:hAnsi="宋体" w:cs="宋体"/>
          <w:b/>
          <w:bCs/>
          <w:color w:val="auto"/>
          <w:sz w:val="24"/>
          <w:highlight w:val="none"/>
          <w:lang w:val="zh-CN"/>
        </w:rPr>
      </w:pPr>
      <w:r>
        <w:rPr>
          <w:rFonts w:hint="eastAsia" w:ascii="宋体" w:hAnsi="宋体" w:cs="宋体"/>
          <w:b/>
          <w:bCs/>
          <w:color w:val="auto"/>
          <w:sz w:val="24"/>
          <w:highlight w:val="none"/>
        </w:rPr>
        <w:br w:type="page"/>
      </w:r>
      <w:r>
        <w:rPr>
          <w:rFonts w:hint="eastAsia" w:ascii="宋体" w:hAnsi="宋体" w:cs="宋体"/>
          <w:b/>
          <w:bCs/>
          <w:color w:val="auto"/>
          <w:sz w:val="24"/>
          <w:highlight w:val="none"/>
          <w:lang w:val="zh-CN"/>
        </w:rPr>
        <w:t>附件二：</w:t>
      </w:r>
    </w:p>
    <w:p w14:paraId="6F57142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投标人承诺函</w:t>
      </w:r>
    </w:p>
    <w:p w14:paraId="03489A35">
      <w:pPr>
        <w:spacing w:line="360" w:lineRule="auto"/>
        <w:ind w:firstLine="420" w:firstLineChars="200"/>
        <w:rPr>
          <w:rFonts w:ascii="宋体" w:hAnsi="宋体" w:cs="宋体"/>
          <w:color w:val="auto"/>
          <w:highlight w:val="none"/>
        </w:rPr>
      </w:pPr>
    </w:p>
    <w:p w14:paraId="60487E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绍兴市上虞区曹娥街道白米堰股份经济合作社</w:t>
      </w:r>
      <w:r>
        <w:rPr>
          <w:rFonts w:hint="eastAsia" w:ascii="宋体" w:hAnsi="宋体" w:cs="宋体"/>
          <w:color w:val="auto"/>
          <w:sz w:val="24"/>
          <w:highlight w:val="none"/>
        </w:rPr>
        <w:t>：</w:t>
      </w:r>
    </w:p>
    <w:p w14:paraId="1145DC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浙江宇康工程管理咨询有限公司</w:t>
      </w:r>
      <w:r>
        <w:rPr>
          <w:rFonts w:hint="eastAsia" w:ascii="宋体" w:hAnsi="宋体" w:cs="宋体"/>
          <w:color w:val="auto"/>
          <w:sz w:val="24"/>
          <w:highlight w:val="none"/>
        </w:rPr>
        <w:t>：</w:t>
      </w:r>
    </w:p>
    <w:p w14:paraId="7DB14F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p>
    <w:p w14:paraId="37CFAF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7D2370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3C3756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1B391C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2012B7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523EF8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6ADAA9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328F18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6EE0FC31">
      <w:pPr>
        <w:pStyle w:val="45"/>
        <w:numPr>
          <w:ilvl w:val="0"/>
          <w:numId w:val="0"/>
        </w:numPr>
        <w:spacing w:before="0"/>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eastAsia="宋体" w:cs="宋体"/>
          <w:color w:val="auto"/>
          <w:szCs w:val="24"/>
          <w:highlight w:val="none"/>
          <w:lang w:val="en-US" w:eastAsia="zh-CN"/>
        </w:rPr>
        <w:t>具有良好的商业信誉和健全的财务会计制度；</w:t>
      </w:r>
    </w:p>
    <w:p w14:paraId="581F48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593846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1A826257">
      <w:pPr>
        <w:pStyle w:val="11"/>
        <w:rPr>
          <w:rFonts w:ascii="宋体" w:hAnsi="宋体" w:cs="宋体"/>
          <w:color w:val="auto"/>
          <w:highlight w:val="none"/>
        </w:rPr>
      </w:pPr>
    </w:p>
    <w:p w14:paraId="26E12669">
      <w:pPr>
        <w:pStyle w:val="11"/>
        <w:rPr>
          <w:rFonts w:ascii="宋体" w:hAnsi="宋体" w:cs="宋体"/>
          <w:color w:val="auto"/>
          <w:highlight w:val="none"/>
        </w:rPr>
      </w:pPr>
    </w:p>
    <w:p w14:paraId="553C6C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或被授权委托人</w:t>
      </w:r>
      <w:r>
        <w:rPr>
          <w:rFonts w:hint="eastAsia" w:ascii="宋体" w:hAnsi="宋体" w:eastAsia="宋体" w:cs="宋体"/>
          <w:color w:val="auto"/>
          <w:sz w:val="24"/>
          <w:highlight w:val="none"/>
        </w:rPr>
        <w:t xml:space="preserve">签名（或签名章）：                       </w:t>
      </w:r>
    </w:p>
    <w:p w14:paraId="148F1F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E9605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p>
    <w:p w14:paraId="6D5E2905">
      <w:pPr>
        <w:pStyle w:val="11"/>
        <w:ind w:firstLine="566"/>
        <w:rPr>
          <w:rFonts w:ascii="宋体" w:hAnsi="宋体" w:cs="宋体"/>
          <w:color w:val="auto"/>
          <w:sz w:val="28"/>
          <w:szCs w:val="28"/>
          <w:highlight w:val="none"/>
        </w:rPr>
      </w:pPr>
    </w:p>
    <w:p w14:paraId="75F47B3C">
      <w:pPr>
        <w:pStyle w:val="3"/>
        <w:rPr>
          <w:rFonts w:ascii="宋体" w:hAnsi="宋体" w:cs="宋体"/>
          <w:color w:val="auto"/>
          <w:highlight w:val="none"/>
        </w:rPr>
      </w:pPr>
    </w:p>
    <w:p w14:paraId="49352B55">
      <w:pPr>
        <w:widowControl/>
        <w:jc w:val="left"/>
        <w:rPr>
          <w:rFonts w:ascii="宋体" w:hAnsi="宋体" w:cs="宋体"/>
          <w:b/>
          <w:bCs/>
          <w:color w:val="auto"/>
          <w:sz w:val="24"/>
          <w:highlight w:val="none"/>
          <w:lang w:val="zh-CN"/>
        </w:rPr>
      </w:pPr>
    </w:p>
    <w:p w14:paraId="4208DBC0">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w:t>
      </w:r>
    </w:p>
    <w:p w14:paraId="31476A5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07A5E3">
      <w:pPr>
        <w:pStyle w:val="45"/>
        <w:numPr>
          <w:ilvl w:val="0"/>
          <w:numId w:val="5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评分对应表（格式见附件，主要用于评委对应评分内容）</w:t>
      </w:r>
      <w:r>
        <w:rPr>
          <w:rFonts w:hint="eastAsia" w:ascii="宋体" w:hAnsi="宋体" w:cs="宋体"/>
          <w:color w:val="auto"/>
          <w:szCs w:val="24"/>
          <w:highlight w:val="none"/>
          <w:lang w:eastAsia="zh-CN"/>
        </w:rPr>
        <w:t>；</w:t>
      </w:r>
    </w:p>
    <w:p w14:paraId="32DD68F8">
      <w:pPr>
        <w:pStyle w:val="45"/>
        <w:numPr>
          <w:ilvl w:val="0"/>
          <w:numId w:val="5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投标人商务技术文件中资信分自评表（格式见附件）；</w:t>
      </w:r>
    </w:p>
    <w:p w14:paraId="20ACC252">
      <w:pPr>
        <w:pStyle w:val="45"/>
        <w:numPr>
          <w:ilvl w:val="0"/>
          <w:numId w:val="5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en-US" w:eastAsia="zh-CN"/>
        </w:rPr>
        <w:t>投标</w:t>
      </w:r>
      <w:r>
        <w:rPr>
          <w:rFonts w:hint="eastAsia" w:ascii="宋体" w:hAnsi="宋体" w:cs="宋体"/>
          <w:color w:val="auto"/>
          <w:szCs w:val="24"/>
          <w:highlight w:val="none"/>
        </w:rPr>
        <w:t>项目明细清单（格式见附件）；</w:t>
      </w:r>
    </w:p>
    <w:p w14:paraId="1BB5FBB2">
      <w:pPr>
        <w:pStyle w:val="45"/>
        <w:numPr>
          <w:ilvl w:val="0"/>
          <w:numId w:val="50"/>
        </w:numPr>
        <w:spacing w:before="0"/>
        <w:ind w:firstLine="480"/>
        <w:rPr>
          <w:rFonts w:ascii="宋体" w:hAnsi="宋体" w:cs="宋体"/>
          <w:color w:val="auto"/>
          <w:szCs w:val="24"/>
          <w:highlight w:val="none"/>
        </w:rPr>
      </w:pPr>
      <w:r>
        <w:rPr>
          <w:rFonts w:hint="eastAsia" w:ascii="宋体" w:hAnsi="宋体" w:cs="宋体"/>
          <w:color w:val="auto"/>
          <w:szCs w:val="24"/>
          <w:highlight w:val="none"/>
        </w:rPr>
        <w:t>商务响应表（格式见附件）；</w:t>
      </w:r>
    </w:p>
    <w:p w14:paraId="4C8277D7">
      <w:pPr>
        <w:pStyle w:val="45"/>
        <w:numPr>
          <w:ilvl w:val="0"/>
          <w:numId w:val="5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eastAsia="zh-CN"/>
        </w:rPr>
        <w:t>服务方案；</w:t>
      </w:r>
    </w:p>
    <w:p w14:paraId="3759F24F">
      <w:pPr>
        <w:pStyle w:val="45"/>
        <w:numPr>
          <w:ilvl w:val="0"/>
          <w:numId w:val="5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eastAsia="zh-CN"/>
        </w:rPr>
        <w:t>重点、难点及解决措施；</w:t>
      </w:r>
    </w:p>
    <w:p w14:paraId="2E1679C3">
      <w:pPr>
        <w:pStyle w:val="45"/>
        <w:numPr>
          <w:ilvl w:val="0"/>
          <w:numId w:val="50"/>
        </w:numPr>
        <w:spacing w:before="0"/>
        <w:ind w:firstLine="480"/>
        <w:rPr>
          <w:rFonts w:ascii="宋体" w:hAnsi="宋体" w:cs="宋体"/>
          <w:color w:val="auto"/>
          <w:szCs w:val="24"/>
          <w:highlight w:val="none"/>
        </w:rPr>
      </w:pPr>
      <w:r>
        <w:rPr>
          <w:rFonts w:hint="eastAsia" w:ascii="宋体" w:hAnsi="宋体" w:cs="宋体"/>
          <w:color w:val="auto"/>
          <w:szCs w:val="24"/>
          <w:highlight w:val="none"/>
        </w:rPr>
        <w:t>设备投入；</w:t>
      </w:r>
    </w:p>
    <w:p w14:paraId="14B4D39E">
      <w:pPr>
        <w:pStyle w:val="45"/>
        <w:numPr>
          <w:ilvl w:val="0"/>
          <w:numId w:val="50"/>
        </w:numPr>
        <w:spacing w:before="0"/>
        <w:ind w:firstLine="480"/>
        <w:rPr>
          <w:rFonts w:ascii="宋体" w:hAnsi="宋体" w:cs="宋体"/>
          <w:color w:val="auto"/>
          <w:szCs w:val="24"/>
          <w:highlight w:val="none"/>
        </w:rPr>
      </w:pPr>
      <w:r>
        <w:rPr>
          <w:rFonts w:hint="eastAsia" w:ascii="宋体" w:hAnsi="宋体" w:cs="宋体"/>
          <w:color w:val="auto"/>
          <w:szCs w:val="24"/>
          <w:highlight w:val="none"/>
        </w:rPr>
        <w:t>人员配</w:t>
      </w:r>
      <w:r>
        <w:rPr>
          <w:rFonts w:hint="eastAsia" w:ascii="宋体" w:hAnsi="宋体" w:cs="宋体"/>
          <w:color w:val="auto"/>
          <w:szCs w:val="24"/>
          <w:highlight w:val="none"/>
          <w:lang w:val="en-US" w:eastAsia="zh-CN"/>
        </w:rPr>
        <w:t>备</w:t>
      </w:r>
      <w:r>
        <w:rPr>
          <w:rFonts w:hint="eastAsia" w:ascii="宋体" w:hAnsi="宋体" w:cs="宋体"/>
          <w:color w:val="auto"/>
          <w:szCs w:val="24"/>
          <w:highlight w:val="none"/>
        </w:rPr>
        <w:t>；</w:t>
      </w:r>
    </w:p>
    <w:p w14:paraId="060D8D2C">
      <w:pPr>
        <w:pStyle w:val="45"/>
        <w:numPr>
          <w:ilvl w:val="0"/>
          <w:numId w:val="50"/>
        </w:numPr>
        <w:spacing w:before="0"/>
        <w:ind w:firstLine="480"/>
        <w:rPr>
          <w:rFonts w:ascii="宋体" w:hAnsi="宋体" w:cs="宋体"/>
          <w:color w:val="auto"/>
          <w:szCs w:val="24"/>
          <w:highlight w:val="none"/>
        </w:rPr>
      </w:pPr>
      <w:r>
        <w:rPr>
          <w:rFonts w:hint="eastAsia" w:ascii="宋体" w:hAnsi="宋体" w:cs="宋体"/>
          <w:color w:val="auto"/>
          <w:szCs w:val="24"/>
          <w:highlight w:val="none"/>
          <w:lang w:val="en-US" w:eastAsia="zh-CN"/>
        </w:rPr>
        <w:t>管理制度</w:t>
      </w:r>
      <w:r>
        <w:rPr>
          <w:rFonts w:hint="eastAsia" w:ascii="宋体" w:hAnsi="宋体" w:cs="宋体"/>
          <w:color w:val="auto"/>
          <w:szCs w:val="24"/>
          <w:highlight w:val="none"/>
        </w:rPr>
        <w:t>；</w:t>
      </w:r>
    </w:p>
    <w:p w14:paraId="5CF21FFA">
      <w:pPr>
        <w:pStyle w:val="45"/>
        <w:numPr>
          <w:ilvl w:val="0"/>
          <w:numId w:val="5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eastAsia="zh-CN"/>
        </w:rPr>
        <w:t>保证措施；</w:t>
      </w:r>
    </w:p>
    <w:p w14:paraId="555910CB">
      <w:pPr>
        <w:pStyle w:val="45"/>
        <w:numPr>
          <w:ilvl w:val="0"/>
          <w:numId w:val="5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eastAsia="zh-CN"/>
        </w:rPr>
        <w:t>特殊时期的应急保障措施；</w:t>
      </w:r>
    </w:p>
    <w:p w14:paraId="25037456">
      <w:pPr>
        <w:pStyle w:val="45"/>
        <w:numPr>
          <w:ilvl w:val="0"/>
          <w:numId w:val="5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en-US" w:eastAsia="zh-CN"/>
        </w:rPr>
        <w:t>增值服务</w:t>
      </w:r>
      <w:r>
        <w:rPr>
          <w:rFonts w:hint="eastAsia" w:ascii="宋体" w:hAnsi="宋体" w:cs="宋体"/>
          <w:color w:val="auto"/>
          <w:szCs w:val="24"/>
          <w:highlight w:val="none"/>
          <w:lang w:eastAsia="zh-CN"/>
        </w:rPr>
        <w:t>；</w:t>
      </w:r>
    </w:p>
    <w:p w14:paraId="050D2357">
      <w:pPr>
        <w:pStyle w:val="45"/>
        <w:numPr>
          <w:ilvl w:val="0"/>
          <w:numId w:val="5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en-US" w:eastAsia="zh-CN"/>
        </w:rPr>
        <w:t>应急服务响应；</w:t>
      </w:r>
    </w:p>
    <w:p w14:paraId="0AC82A99">
      <w:pPr>
        <w:pStyle w:val="45"/>
        <w:numPr>
          <w:ilvl w:val="0"/>
          <w:numId w:val="5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val="en-US" w:eastAsia="zh-CN"/>
        </w:rPr>
        <w:t>类似</w:t>
      </w:r>
      <w:r>
        <w:rPr>
          <w:rFonts w:hint="eastAsia" w:ascii="宋体" w:hAnsi="宋体" w:cs="宋体"/>
          <w:color w:val="auto"/>
          <w:szCs w:val="24"/>
          <w:highlight w:val="none"/>
        </w:rPr>
        <w:t>业绩</w:t>
      </w:r>
      <w:r>
        <w:rPr>
          <w:rFonts w:hint="eastAsia" w:ascii="宋体" w:hAnsi="宋体" w:cs="宋体"/>
          <w:color w:val="auto"/>
          <w:szCs w:val="24"/>
          <w:highlight w:val="none"/>
          <w:lang w:eastAsia="zh-CN"/>
        </w:rPr>
        <w:t>；</w:t>
      </w:r>
    </w:p>
    <w:p w14:paraId="3C1B111B">
      <w:pPr>
        <w:pStyle w:val="45"/>
        <w:numPr>
          <w:ilvl w:val="0"/>
          <w:numId w:val="50"/>
        </w:numPr>
        <w:spacing w:before="0"/>
        <w:ind w:firstLine="480"/>
        <w:rPr>
          <w:rFonts w:hint="eastAsia" w:ascii="宋体" w:hAnsi="宋体" w:cs="宋体"/>
          <w:color w:val="auto"/>
          <w:szCs w:val="24"/>
          <w:highlight w:val="none"/>
        </w:rPr>
      </w:pPr>
      <w:r>
        <w:rPr>
          <w:rFonts w:hint="eastAsia" w:ascii="宋体" w:hAnsi="宋体" w:cs="宋体"/>
          <w:color w:val="auto"/>
          <w:szCs w:val="24"/>
          <w:highlight w:val="none"/>
          <w:lang w:eastAsia="zh-CN"/>
        </w:rPr>
        <w:t>企业</w:t>
      </w:r>
      <w:r>
        <w:rPr>
          <w:rFonts w:hint="eastAsia" w:ascii="宋体" w:hAnsi="宋体" w:cs="宋体"/>
          <w:color w:val="auto"/>
          <w:szCs w:val="24"/>
          <w:highlight w:val="none"/>
        </w:rPr>
        <w:t>认证</w:t>
      </w:r>
      <w:r>
        <w:rPr>
          <w:rFonts w:hint="eastAsia" w:ascii="宋体" w:hAnsi="宋体" w:cs="宋体"/>
          <w:color w:val="auto"/>
          <w:szCs w:val="24"/>
          <w:highlight w:val="none"/>
          <w:lang w:eastAsia="zh-CN"/>
        </w:rPr>
        <w:t>；</w:t>
      </w:r>
    </w:p>
    <w:p w14:paraId="5649F656">
      <w:pPr>
        <w:pStyle w:val="45"/>
        <w:numPr>
          <w:ilvl w:val="0"/>
          <w:numId w:val="50"/>
        </w:numPr>
        <w:spacing w:before="0"/>
        <w:ind w:firstLine="480"/>
        <w:rPr>
          <w:rFonts w:ascii="宋体" w:hAnsi="宋体" w:cs="宋体"/>
          <w:color w:val="auto"/>
          <w:szCs w:val="24"/>
          <w:highlight w:val="none"/>
        </w:rPr>
      </w:pPr>
      <w:r>
        <w:rPr>
          <w:rFonts w:hint="eastAsia" w:ascii="宋体" w:hAnsi="宋体" w:cs="宋体"/>
          <w:color w:val="auto"/>
          <w:szCs w:val="24"/>
          <w:highlight w:val="none"/>
        </w:rPr>
        <w:t>其他与本项目有关的证明文件：商务技术文件中要求递交的其他相关文件。</w:t>
      </w:r>
    </w:p>
    <w:p w14:paraId="0FC61FCA">
      <w:pPr>
        <w:rPr>
          <w:rFonts w:hint="eastAsia" w:ascii="宋体" w:hAnsi="宋体" w:cs="宋体"/>
          <w:b/>
          <w:bCs/>
          <w:color w:val="auto"/>
          <w:sz w:val="24"/>
          <w:highlight w:val="none"/>
          <w:lang w:val="zh-CN"/>
        </w:rPr>
      </w:pPr>
      <w:bookmarkStart w:id="489" w:name="_Toc10131"/>
      <w:r>
        <w:rPr>
          <w:rFonts w:hint="eastAsia" w:ascii="宋体" w:hAnsi="宋体" w:cs="宋体"/>
          <w:b/>
          <w:bCs/>
          <w:color w:val="auto"/>
          <w:sz w:val="24"/>
          <w:highlight w:val="none"/>
          <w:lang w:val="zh-CN"/>
        </w:rPr>
        <w:br w:type="page"/>
      </w:r>
    </w:p>
    <w:p w14:paraId="3BDAECB1">
      <w:pPr>
        <w:snapToGrid w:val="0"/>
        <w:spacing w:before="50" w:after="50"/>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附件三：</w:t>
      </w:r>
    </w:p>
    <w:p w14:paraId="27EFB33B">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评分对应表</w:t>
      </w:r>
    </w:p>
    <w:p w14:paraId="25D20057">
      <w:pPr>
        <w:snapToGrid w:val="0"/>
        <w:spacing w:before="50"/>
        <w:jc w:val="center"/>
        <w:rPr>
          <w:rFonts w:ascii="宋体" w:hAnsi="宋体" w:cs="宋体"/>
          <w:b/>
          <w:color w:val="auto"/>
          <w:sz w:val="32"/>
          <w:szCs w:val="32"/>
          <w:highlight w:val="none"/>
        </w:rPr>
      </w:pPr>
    </w:p>
    <w:p w14:paraId="72D6EA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0FD1F3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32"/>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5F97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07C895FB">
            <w:pPr>
              <w:jc w:val="center"/>
              <w:rPr>
                <w:rFonts w:ascii="宋体" w:hAnsi="宋体" w:cs="宋体"/>
                <w:color w:val="auto"/>
                <w:sz w:val="24"/>
                <w:highlight w:val="none"/>
              </w:rPr>
            </w:pPr>
            <w:r>
              <w:rPr>
                <w:rFonts w:hint="eastAsia" w:ascii="宋体" w:hAnsi="宋体" w:cs="宋体"/>
                <w:color w:val="auto"/>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1DCAA63">
            <w:pPr>
              <w:jc w:val="center"/>
              <w:rPr>
                <w:rFonts w:ascii="宋体" w:hAnsi="宋体" w:cs="宋体"/>
                <w:color w:val="auto"/>
                <w:sz w:val="24"/>
                <w:highlight w:val="none"/>
              </w:rPr>
            </w:pPr>
            <w:r>
              <w:rPr>
                <w:rFonts w:hint="eastAsia" w:ascii="宋体" w:hAnsi="宋体" w:cs="宋体"/>
                <w:color w:val="auto"/>
                <w:sz w:val="24"/>
                <w:highlight w:val="none"/>
              </w:rPr>
              <w:t>投标文件对应资料</w:t>
            </w:r>
          </w:p>
        </w:tc>
        <w:tc>
          <w:tcPr>
            <w:tcW w:w="1977" w:type="dxa"/>
            <w:tcBorders>
              <w:top w:val="single" w:color="auto" w:sz="4" w:space="0"/>
              <w:left w:val="single" w:color="auto" w:sz="4" w:space="0"/>
              <w:bottom w:val="single" w:color="auto" w:sz="4" w:space="0"/>
              <w:right w:val="single" w:color="auto" w:sz="4" w:space="0"/>
            </w:tcBorders>
            <w:vAlign w:val="center"/>
          </w:tcPr>
          <w:p w14:paraId="7A2062C2">
            <w:pPr>
              <w:jc w:val="center"/>
              <w:rPr>
                <w:rFonts w:ascii="宋体" w:hAnsi="宋体" w:cs="宋体"/>
                <w:color w:val="auto"/>
                <w:sz w:val="24"/>
                <w:highlight w:val="none"/>
              </w:rPr>
            </w:pPr>
            <w:r>
              <w:rPr>
                <w:rFonts w:hint="eastAsia" w:ascii="宋体" w:hAnsi="宋体" w:cs="宋体"/>
                <w:color w:val="auto"/>
                <w:sz w:val="24"/>
                <w:highlight w:val="none"/>
              </w:rPr>
              <w:t>投标文件页码</w:t>
            </w:r>
          </w:p>
        </w:tc>
      </w:tr>
      <w:tr w14:paraId="3E2CB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9906F31">
            <w:pPr>
              <w:jc w:val="center"/>
              <w:rPr>
                <w:rFonts w:ascii="宋体" w:hAnsi="宋体" w:cs="宋体"/>
                <w:color w:val="auto"/>
                <w:sz w:val="24"/>
                <w:highlight w:val="none"/>
              </w:rPr>
            </w:pPr>
            <w:r>
              <w:rPr>
                <w:rFonts w:hint="eastAsia" w:ascii="宋体" w:hAnsi="宋体" w:cs="宋体"/>
                <w:color w:val="auto"/>
                <w:sz w:val="24"/>
                <w:highlight w:val="none"/>
              </w:rPr>
              <w:t>对应评分办法及评分标准</w:t>
            </w:r>
          </w:p>
          <w:p w14:paraId="3DBBCD1A">
            <w:pPr>
              <w:jc w:val="center"/>
              <w:rPr>
                <w:rFonts w:ascii="宋体" w:hAnsi="宋体" w:cs="宋体"/>
                <w:color w:val="auto"/>
                <w:sz w:val="24"/>
                <w:highlight w:val="none"/>
              </w:rPr>
            </w:pPr>
            <w:r>
              <w:rPr>
                <w:rFonts w:hint="eastAsia" w:ascii="宋体" w:hAnsi="宋体" w:cs="宋体"/>
                <w:color w:val="auto"/>
                <w:sz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4F6AC160">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5AF76B2E">
            <w:pPr>
              <w:jc w:val="center"/>
              <w:rPr>
                <w:rFonts w:ascii="宋体" w:hAnsi="宋体" w:cs="宋体"/>
                <w:color w:val="auto"/>
                <w:sz w:val="24"/>
                <w:highlight w:val="none"/>
              </w:rPr>
            </w:pPr>
          </w:p>
        </w:tc>
      </w:tr>
      <w:tr w14:paraId="43293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6BE9AA16">
            <w:pPr>
              <w:jc w:val="center"/>
              <w:rPr>
                <w:rFonts w:ascii="宋体" w:hAnsi="宋体" w:cs="宋体"/>
                <w:color w:val="auto"/>
                <w:sz w:val="24"/>
                <w:highlight w:val="none"/>
              </w:rPr>
            </w:pPr>
            <w:r>
              <w:rPr>
                <w:rFonts w:hint="eastAsia" w:ascii="宋体" w:hAnsi="宋体" w:cs="宋体"/>
                <w:color w:val="auto"/>
                <w:sz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63AFE31B">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F4916BC">
            <w:pPr>
              <w:jc w:val="center"/>
              <w:rPr>
                <w:rFonts w:ascii="宋体" w:hAnsi="宋体" w:cs="宋体"/>
                <w:color w:val="auto"/>
                <w:sz w:val="24"/>
                <w:highlight w:val="none"/>
              </w:rPr>
            </w:pPr>
          </w:p>
        </w:tc>
      </w:tr>
      <w:tr w14:paraId="21152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0AB44606">
            <w:pPr>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96EC37A">
            <w:pPr>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505DD58F">
            <w:pPr>
              <w:jc w:val="center"/>
              <w:rPr>
                <w:rFonts w:ascii="宋体" w:hAnsi="宋体" w:cs="宋体"/>
                <w:color w:val="auto"/>
                <w:sz w:val="24"/>
                <w:highlight w:val="none"/>
              </w:rPr>
            </w:pPr>
          </w:p>
        </w:tc>
      </w:tr>
      <w:tr w14:paraId="3A592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00FB1922">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8E4B31F">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7556E0DD">
            <w:pPr>
              <w:spacing w:line="360" w:lineRule="auto"/>
              <w:ind w:firstLine="480" w:firstLineChars="200"/>
              <w:jc w:val="center"/>
              <w:rPr>
                <w:rFonts w:ascii="宋体" w:hAnsi="宋体" w:cs="宋体"/>
                <w:color w:val="auto"/>
                <w:sz w:val="24"/>
                <w:highlight w:val="none"/>
              </w:rPr>
            </w:pPr>
          </w:p>
        </w:tc>
      </w:tr>
      <w:tr w14:paraId="5773C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19E03523">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30C7106">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07F1CDA0">
            <w:pPr>
              <w:spacing w:line="360" w:lineRule="auto"/>
              <w:ind w:firstLine="480" w:firstLineChars="200"/>
              <w:jc w:val="center"/>
              <w:rPr>
                <w:rFonts w:ascii="宋体" w:hAnsi="宋体" w:cs="宋体"/>
                <w:color w:val="auto"/>
                <w:sz w:val="24"/>
                <w:highlight w:val="none"/>
              </w:rPr>
            </w:pPr>
          </w:p>
        </w:tc>
      </w:tr>
      <w:tr w14:paraId="515FB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37A9153E">
            <w:pPr>
              <w:spacing w:line="360" w:lineRule="auto"/>
              <w:ind w:firstLine="480" w:firstLineChars="200"/>
              <w:jc w:val="center"/>
              <w:rPr>
                <w:rFonts w:ascii="宋体" w:hAnsi="宋体" w:cs="宋体"/>
                <w:color w:val="auto"/>
                <w:sz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F37C3B9">
            <w:pPr>
              <w:spacing w:line="360" w:lineRule="auto"/>
              <w:ind w:firstLine="480" w:firstLineChars="200"/>
              <w:jc w:val="center"/>
              <w:rPr>
                <w:rFonts w:ascii="宋体" w:hAnsi="宋体" w:cs="宋体"/>
                <w:color w:val="auto"/>
                <w:sz w:val="24"/>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14:paraId="3747F6BC">
            <w:pPr>
              <w:spacing w:line="360" w:lineRule="auto"/>
              <w:ind w:firstLine="480" w:firstLineChars="200"/>
              <w:jc w:val="center"/>
              <w:rPr>
                <w:rFonts w:ascii="宋体" w:hAnsi="宋体" w:cs="宋体"/>
                <w:color w:val="auto"/>
                <w:sz w:val="24"/>
                <w:highlight w:val="none"/>
              </w:rPr>
            </w:pPr>
          </w:p>
        </w:tc>
      </w:tr>
    </w:tbl>
    <w:p w14:paraId="7F793BA3">
      <w:pPr>
        <w:spacing w:line="360" w:lineRule="auto"/>
        <w:ind w:firstLine="480" w:firstLineChars="200"/>
        <w:rPr>
          <w:rFonts w:ascii="宋体" w:hAnsi="宋体" w:cs="宋体"/>
          <w:color w:val="auto"/>
          <w:sz w:val="24"/>
          <w:highlight w:val="none"/>
        </w:rPr>
      </w:pPr>
    </w:p>
    <w:p w14:paraId="19D2F010">
      <w:pPr>
        <w:spacing w:line="360" w:lineRule="auto"/>
        <w:ind w:left="3780" w:leftChars="1800" w:firstLine="480" w:firstLineChars="200"/>
        <w:rPr>
          <w:rFonts w:ascii="宋体" w:hAnsi="宋体" w:cs="宋体"/>
          <w:color w:val="auto"/>
          <w:sz w:val="24"/>
          <w:highlight w:val="none"/>
        </w:rPr>
      </w:pPr>
    </w:p>
    <w:p w14:paraId="338C9E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或被授权委托人</w:t>
      </w:r>
      <w:r>
        <w:rPr>
          <w:rFonts w:hint="eastAsia" w:ascii="宋体" w:hAnsi="宋体" w:eastAsia="宋体" w:cs="宋体"/>
          <w:color w:val="auto"/>
          <w:sz w:val="24"/>
          <w:highlight w:val="none"/>
        </w:rPr>
        <w:t xml:space="preserve">签名（或签名章）：                       </w:t>
      </w:r>
    </w:p>
    <w:p w14:paraId="5DC39D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7EE6E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p>
    <w:p w14:paraId="7A5235EA">
      <w:pPr>
        <w:snapToGrid w:val="0"/>
        <w:spacing w:before="50" w:afterLines="50"/>
        <w:jc w:val="left"/>
        <w:rPr>
          <w:rFonts w:ascii="宋体" w:hAnsi="宋体" w:cs="宋体"/>
          <w:color w:val="auto"/>
          <w:sz w:val="30"/>
          <w:szCs w:val="30"/>
          <w:highlight w:val="none"/>
        </w:rPr>
      </w:pPr>
    </w:p>
    <w:p w14:paraId="48C66F3F">
      <w:pPr>
        <w:pStyle w:val="5"/>
        <w:jc w:val="left"/>
        <w:rPr>
          <w:rFonts w:hAnsi="宋体" w:cs="宋体"/>
          <w:bCs/>
          <w:color w:val="auto"/>
          <w:sz w:val="24"/>
          <w:szCs w:val="24"/>
          <w:highlight w:val="none"/>
        </w:rPr>
      </w:pPr>
      <w:r>
        <w:rPr>
          <w:rFonts w:hint="eastAsia" w:hAnsi="宋体" w:cs="宋体"/>
          <w:color w:val="auto"/>
          <w:sz w:val="30"/>
          <w:szCs w:val="30"/>
          <w:highlight w:val="none"/>
        </w:rPr>
        <w:br w:type="page"/>
      </w:r>
      <w:r>
        <w:rPr>
          <w:rFonts w:hint="eastAsia" w:hAnsi="宋体" w:cs="宋体"/>
          <w:bCs/>
          <w:color w:val="auto"/>
          <w:sz w:val="24"/>
          <w:szCs w:val="24"/>
          <w:highlight w:val="none"/>
        </w:rPr>
        <w:t>附件四：</w:t>
      </w:r>
    </w:p>
    <w:p w14:paraId="26798636">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资信分自评表</w:t>
      </w:r>
      <w:bookmarkEnd w:id="489"/>
    </w:p>
    <w:p w14:paraId="5C11971B">
      <w:pPr>
        <w:snapToGrid w:val="0"/>
        <w:spacing w:before="50"/>
        <w:jc w:val="center"/>
        <w:rPr>
          <w:rFonts w:ascii="宋体" w:hAnsi="宋体" w:cs="宋体"/>
          <w:b/>
          <w:color w:val="auto"/>
          <w:sz w:val="32"/>
          <w:szCs w:val="32"/>
          <w:highlight w:val="none"/>
        </w:rPr>
      </w:pPr>
    </w:p>
    <w:p w14:paraId="3A5DC4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7B425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28F43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79A2B5C">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387" w:type="dxa"/>
            <w:vAlign w:val="center"/>
          </w:tcPr>
          <w:p w14:paraId="1FC26CD7">
            <w:pPr>
              <w:jc w:val="center"/>
              <w:rPr>
                <w:rFonts w:ascii="宋体" w:hAnsi="宋体" w:cs="宋体"/>
                <w:color w:val="auto"/>
                <w:sz w:val="24"/>
                <w:highlight w:val="none"/>
              </w:rPr>
            </w:pPr>
            <w:r>
              <w:rPr>
                <w:rFonts w:hint="eastAsia" w:ascii="宋体" w:hAnsi="宋体" w:cs="宋体"/>
                <w:color w:val="auto"/>
                <w:sz w:val="24"/>
                <w:highlight w:val="none"/>
              </w:rPr>
              <w:t>资信分内容</w:t>
            </w:r>
          </w:p>
        </w:tc>
        <w:tc>
          <w:tcPr>
            <w:tcW w:w="1462" w:type="dxa"/>
            <w:vAlign w:val="center"/>
          </w:tcPr>
          <w:p w14:paraId="09700840">
            <w:pPr>
              <w:jc w:val="center"/>
              <w:rPr>
                <w:rFonts w:ascii="宋体" w:hAnsi="宋体" w:cs="宋体"/>
                <w:color w:val="auto"/>
                <w:sz w:val="24"/>
                <w:highlight w:val="none"/>
              </w:rPr>
            </w:pPr>
            <w:r>
              <w:rPr>
                <w:rFonts w:hint="eastAsia" w:ascii="宋体" w:hAnsi="宋体" w:cs="宋体"/>
                <w:color w:val="auto"/>
                <w:sz w:val="24"/>
                <w:highlight w:val="none"/>
              </w:rPr>
              <w:t>自评得分</w:t>
            </w:r>
          </w:p>
        </w:tc>
        <w:tc>
          <w:tcPr>
            <w:tcW w:w="2415" w:type="dxa"/>
            <w:tcBorders>
              <w:right w:val="single" w:color="auto" w:sz="4" w:space="0"/>
            </w:tcBorders>
            <w:vAlign w:val="center"/>
          </w:tcPr>
          <w:p w14:paraId="5EBA709E">
            <w:pPr>
              <w:jc w:val="center"/>
              <w:rPr>
                <w:rFonts w:ascii="宋体" w:hAnsi="宋体" w:cs="宋体"/>
                <w:color w:val="auto"/>
                <w:sz w:val="24"/>
                <w:highlight w:val="none"/>
              </w:rPr>
            </w:pPr>
            <w:r>
              <w:rPr>
                <w:rFonts w:hint="eastAsia" w:ascii="宋体" w:hAnsi="宋体" w:cs="宋体"/>
                <w:color w:val="auto"/>
                <w:sz w:val="24"/>
                <w:highlight w:val="none"/>
              </w:rPr>
              <w:t>投标文件对应资料</w:t>
            </w:r>
          </w:p>
        </w:tc>
        <w:tc>
          <w:tcPr>
            <w:tcW w:w="1746" w:type="dxa"/>
            <w:tcBorders>
              <w:left w:val="single" w:color="auto" w:sz="4" w:space="0"/>
            </w:tcBorders>
            <w:vAlign w:val="center"/>
          </w:tcPr>
          <w:p w14:paraId="57B07822">
            <w:pPr>
              <w:jc w:val="center"/>
              <w:rPr>
                <w:rFonts w:ascii="宋体" w:hAnsi="宋体" w:cs="宋体"/>
                <w:color w:val="auto"/>
                <w:sz w:val="24"/>
                <w:highlight w:val="none"/>
              </w:rPr>
            </w:pPr>
            <w:r>
              <w:rPr>
                <w:rFonts w:hint="eastAsia" w:ascii="宋体" w:hAnsi="宋体" w:cs="宋体"/>
                <w:color w:val="auto"/>
                <w:sz w:val="24"/>
                <w:highlight w:val="none"/>
              </w:rPr>
              <w:t>投标文件页码</w:t>
            </w:r>
          </w:p>
        </w:tc>
      </w:tr>
      <w:tr w14:paraId="141B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D9768CC">
            <w:pPr>
              <w:jc w:val="center"/>
              <w:rPr>
                <w:rFonts w:ascii="宋体" w:hAnsi="宋体" w:cs="宋体"/>
                <w:color w:val="auto"/>
                <w:sz w:val="24"/>
                <w:highlight w:val="none"/>
              </w:rPr>
            </w:pPr>
            <w:r>
              <w:rPr>
                <w:rFonts w:hint="eastAsia" w:ascii="宋体" w:hAnsi="宋体" w:cs="宋体"/>
                <w:color w:val="auto"/>
                <w:sz w:val="24"/>
                <w:highlight w:val="none"/>
              </w:rPr>
              <w:t>1</w:t>
            </w:r>
          </w:p>
        </w:tc>
        <w:tc>
          <w:tcPr>
            <w:tcW w:w="2387" w:type="dxa"/>
          </w:tcPr>
          <w:p w14:paraId="14C3D227">
            <w:pPr>
              <w:jc w:val="center"/>
              <w:rPr>
                <w:rFonts w:ascii="宋体" w:hAnsi="宋体" w:cs="宋体"/>
                <w:color w:val="auto"/>
                <w:sz w:val="24"/>
                <w:highlight w:val="none"/>
              </w:rPr>
            </w:pPr>
          </w:p>
        </w:tc>
        <w:tc>
          <w:tcPr>
            <w:tcW w:w="1462" w:type="dxa"/>
          </w:tcPr>
          <w:p w14:paraId="17216CFD">
            <w:pPr>
              <w:jc w:val="center"/>
              <w:rPr>
                <w:rFonts w:ascii="宋体" w:hAnsi="宋体" w:cs="宋体"/>
                <w:color w:val="auto"/>
                <w:sz w:val="24"/>
                <w:highlight w:val="none"/>
              </w:rPr>
            </w:pPr>
          </w:p>
        </w:tc>
        <w:tc>
          <w:tcPr>
            <w:tcW w:w="2415" w:type="dxa"/>
            <w:tcBorders>
              <w:right w:val="single" w:color="auto" w:sz="4" w:space="0"/>
            </w:tcBorders>
          </w:tcPr>
          <w:p w14:paraId="56B72B77">
            <w:pPr>
              <w:jc w:val="center"/>
              <w:rPr>
                <w:rFonts w:ascii="宋体" w:hAnsi="宋体" w:cs="宋体"/>
                <w:color w:val="auto"/>
                <w:sz w:val="24"/>
                <w:highlight w:val="none"/>
              </w:rPr>
            </w:pPr>
          </w:p>
        </w:tc>
        <w:tc>
          <w:tcPr>
            <w:tcW w:w="1746" w:type="dxa"/>
            <w:tcBorders>
              <w:left w:val="single" w:color="auto" w:sz="4" w:space="0"/>
            </w:tcBorders>
          </w:tcPr>
          <w:p w14:paraId="41172855">
            <w:pPr>
              <w:jc w:val="center"/>
              <w:rPr>
                <w:rFonts w:ascii="宋体" w:hAnsi="宋体" w:cs="宋体"/>
                <w:color w:val="auto"/>
                <w:sz w:val="24"/>
                <w:highlight w:val="none"/>
              </w:rPr>
            </w:pPr>
          </w:p>
        </w:tc>
      </w:tr>
      <w:tr w14:paraId="308C1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9F1C175">
            <w:pPr>
              <w:jc w:val="center"/>
              <w:rPr>
                <w:rFonts w:ascii="宋体" w:hAnsi="宋体" w:cs="宋体"/>
                <w:color w:val="auto"/>
                <w:sz w:val="24"/>
                <w:highlight w:val="none"/>
              </w:rPr>
            </w:pPr>
            <w:r>
              <w:rPr>
                <w:rFonts w:hint="eastAsia" w:ascii="宋体" w:hAnsi="宋体" w:cs="宋体"/>
                <w:color w:val="auto"/>
                <w:sz w:val="24"/>
                <w:highlight w:val="none"/>
              </w:rPr>
              <w:t>2</w:t>
            </w:r>
          </w:p>
        </w:tc>
        <w:tc>
          <w:tcPr>
            <w:tcW w:w="2387" w:type="dxa"/>
          </w:tcPr>
          <w:p w14:paraId="0E9A158D">
            <w:pPr>
              <w:jc w:val="center"/>
              <w:rPr>
                <w:rFonts w:ascii="宋体" w:hAnsi="宋体" w:cs="宋体"/>
                <w:color w:val="auto"/>
                <w:sz w:val="24"/>
                <w:highlight w:val="none"/>
              </w:rPr>
            </w:pPr>
          </w:p>
        </w:tc>
        <w:tc>
          <w:tcPr>
            <w:tcW w:w="1462" w:type="dxa"/>
          </w:tcPr>
          <w:p w14:paraId="07E762DC">
            <w:pPr>
              <w:jc w:val="center"/>
              <w:rPr>
                <w:rFonts w:ascii="宋体" w:hAnsi="宋体" w:cs="宋体"/>
                <w:color w:val="auto"/>
                <w:sz w:val="24"/>
                <w:highlight w:val="none"/>
              </w:rPr>
            </w:pPr>
          </w:p>
        </w:tc>
        <w:tc>
          <w:tcPr>
            <w:tcW w:w="2415" w:type="dxa"/>
            <w:tcBorders>
              <w:right w:val="single" w:color="auto" w:sz="4" w:space="0"/>
            </w:tcBorders>
          </w:tcPr>
          <w:p w14:paraId="20622252">
            <w:pPr>
              <w:jc w:val="center"/>
              <w:rPr>
                <w:rFonts w:ascii="宋体" w:hAnsi="宋体" w:cs="宋体"/>
                <w:color w:val="auto"/>
                <w:sz w:val="24"/>
                <w:highlight w:val="none"/>
              </w:rPr>
            </w:pPr>
          </w:p>
        </w:tc>
        <w:tc>
          <w:tcPr>
            <w:tcW w:w="1746" w:type="dxa"/>
            <w:tcBorders>
              <w:left w:val="single" w:color="auto" w:sz="4" w:space="0"/>
            </w:tcBorders>
          </w:tcPr>
          <w:p w14:paraId="2260597D">
            <w:pPr>
              <w:jc w:val="center"/>
              <w:rPr>
                <w:rFonts w:ascii="宋体" w:hAnsi="宋体" w:cs="宋体"/>
                <w:color w:val="auto"/>
                <w:sz w:val="24"/>
                <w:highlight w:val="none"/>
              </w:rPr>
            </w:pPr>
          </w:p>
        </w:tc>
      </w:tr>
      <w:tr w14:paraId="75896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99D9FA8">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87" w:type="dxa"/>
          </w:tcPr>
          <w:p w14:paraId="43B5DE5C">
            <w:pPr>
              <w:jc w:val="center"/>
              <w:rPr>
                <w:rFonts w:ascii="宋体" w:hAnsi="宋体" w:cs="宋体"/>
                <w:color w:val="auto"/>
                <w:sz w:val="24"/>
                <w:highlight w:val="none"/>
              </w:rPr>
            </w:pPr>
          </w:p>
        </w:tc>
        <w:tc>
          <w:tcPr>
            <w:tcW w:w="1462" w:type="dxa"/>
          </w:tcPr>
          <w:p w14:paraId="50069140">
            <w:pPr>
              <w:jc w:val="center"/>
              <w:rPr>
                <w:rFonts w:ascii="宋体" w:hAnsi="宋体" w:cs="宋体"/>
                <w:color w:val="auto"/>
                <w:sz w:val="24"/>
                <w:highlight w:val="none"/>
              </w:rPr>
            </w:pPr>
          </w:p>
        </w:tc>
        <w:tc>
          <w:tcPr>
            <w:tcW w:w="2415" w:type="dxa"/>
            <w:tcBorders>
              <w:right w:val="single" w:color="auto" w:sz="4" w:space="0"/>
            </w:tcBorders>
          </w:tcPr>
          <w:p w14:paraId="5C593ADB">
            <w:pPr>
              <w:jc w:val="center"/>
              <w:rPr>
                <w:rFonts w:ascii="宋体" w:hAnsi="宋体" w:cs="宋体"/>
                <w:color w:val="auto"/>
                <w:sz w:val="24"/>
                <w:highlight w:val="none"/>
              </w:rPr>
            </w:pPr>
          </w:p>
        </w:tc>
        <w:tc>
          <w:tcPr>
            <w:tcW w:w="1746" w:type="dxa"/>
            <w:tcBorders>
              <w:left w:val="single" w:color="auto" w:sz="4" w:space="0"/>
            </w:tcBorders>
          </w:tcPr>
          <w:p w14:paraId="3BA6365D">
            <w:pPr>
              <w:jc w:val="center"/>
              <w:rPr>
                <w:rFonts w:ascii="宋体" w:hAnsi="宋体" w:cs="宋体"/>
                <w:color w:val="auto"/>
                <w:sz w:val="24"/>
                <w:highlight w:val="none"/>
              </w:rPr>
            </w:pPr>
          </w:p>
        </w:tc>
      </w:tr>
      <w:tr w14:paraId="16A6D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21714D9">
            <w:pPr>
              <w:jc w:val="center"/>
              <w:rPr>
                <w:rFonts w:ascii="宋体" w:hAnsi="宋体" w:cs="宋体"/>
                <w:color w:val="auto"/>
                <w:sz w:val="24"/>
                <w:highlight w:val="none"/>
              </w:rPr>
            </w:pPr>
            <w:r>
              <w:rPr>
                <w:rFonts w:hint="eastAsia" w:ascii="宋体" w:hAnsi="宋体" w:cs="宋体"/>
                <w:color w:val="auto"/>
                <w:sz w:val="24"/>
                <w:highlight w:val="none"/>
              </w:rPr>
              <w:t>4</w:t>
            </w:r>
          </w:p>
        </w:tc>
        <w:tc>
          <w:tcPr>
            <w:tcW w:w="2387" w:type="dxa"/>
          </w:tcPr>
          <w:p w14:paraId="4570C4BF">
            <w:pPr>
              <w:jc w:val="center"/>
              <w:rPr>
                <w:rFonts w:ascii="宋体" w:hAnsi="宋体" w:cs="宋体"/>
                <w:color w:val="auto"/>
                <w:sz w:val="24"/>
                <w:highlight w:val="none"/>
              </w:rPr>
            </w:pPr>
          </w:p>
        </w:tc>
        <w:tc>
          <w:tcPr>
            <w:tcW w:w="1462" w:type="dxa"/>
          </w:tcPr>
          <w:p w14:paraId="3CC016C4">
            <w:pPr>
              <w:jc w:val="center"/>
              <w:rPr>
                <w:rFonts w:ascii="宋体" w:hAnsi="宋体" w:cs="宋体"/>
                <w:color w:val="auto"/>
                <w:sz w:val="24"/>
                <w:highlight w:val="none"/>
              </w:rPr>
            </w:pPr>
          </w:p>
        </w:tc>
        <w:tc>
          <w:tcPr>
            <w:tcW w:w="2415" w:type="dxa"/>
            <w:tcBorders>
              <w:right w:val="single" w:color="auto" w:sz="4" w:space="0"/>
            </w:tcBorders>
          </w:tcPr>
          <w:p w14:paraId="4F1F1142">
            <w:pPr>
              <w:jc w:val="center"/>
              <w:rPr>
                <w:rFonts w:ascii="宋体" w:hAnsi="宋体" w:cs="宋体"/>
                <w:color w:val="auto"/>
                <w:sz w:val="24"/>
                <w:highlight w:val="none"/>
              </w:rPr>
            </w:pPr>
          </w:p>
        </w:tc>
        <w:tc>
          <w:tcPr>
            <w:tcW w:w="1746" w:type="dxa"/>
            <w:tcBorders>
              <w:left w:val="single" w:color="auto" w:sz="4" w:space="0"/>
            </w:tcBorders>
          </w:tcPr>
          <w:p w14:paraId="3536DB43">
            <w:pPr>
              <w:jc w:val="center"/>
              <w:rPr>
                <w:rFonts w:ascii="宋体" w:hAnsi="宋体" w:cs="宋体"/>
                <w:color w:val="auto"/>
                <w:sz w:val="24"/>
                <w:highlight w:val="none"/>
              </w:rPr>
            </w:pPr>
          </w:p>
        </w:tc>
      </w:tr>
      <w:tr w14:paraId="30310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787DA7D">
            <w:pPr>
              <w:jc w:val="center"/>
              <w:rPr>
                <w:rFonts w:ascii="宋体" w:hAnsi="宋体" w:cs="宋体"/>
                <w:color w:val="auto"/>
                <w:sz w:val="24"/>
                <w:highlight w:val="none"/>
              </w:rPr>
            </w:pPr>
            <w:r>
              <w:rPr>
                <w:rFonts w:hint="eastAsia" w:ascii="宋体" w:hAnsi="宋体" w:cs="宋体"/>
                <w:color w:val="auto"/>
                <w:sz w:val="24"/>
                <w:highlight w:val="none"/>
              </w:rPr>
              <w:t>5</w:t>
            </w:r>
          </w:p>
        </w:tc>
        <w:tc>
          <w:tcPr>
            <w:tcW w:w="2387" w:type="dxa"/>
          </w:tcPr>
          <w:p w14:paraId="2D1C0CA3">
            <w:pPr>
              <w:jc w:val="center"/>
              <w:rPr>
                <w:rFonts w:ascii="宋体" w:hAnsi="宋体" w:cs="宋体"/>
                <w:color w:val="auto"/>
                <w:sz w:val="24"/>
                <w:highlight w:val="none"/>
              </w:rPr>
            </w:pPr>
          </w:p>
        </w:tc>
        <w:tc>
          <w:tcPr>
            <w:tcW w:w="1462" w:type="dxa"/>
          </w:tcPr>
          <w:p w14:paraId="2E4764EF">
            <w:pPr>
              <w:jc w:val="center"/>
              <w:rPr>
                <w:rFonts w:ascii="宋体" w:hAnsi="宋体" w:cs="宋体"/>
                <w:color w:val="auto"/>
                <w:sz w:val="24"/>
                <w:highlight w:val="none"/>
              </w:rPr>
            </w:pPr>
          </w:p>
        </w:tc>
        <w:tc>
          <w:tcPr>
            <w:tcW w:w="2415" w:type="dxa"/>
            <w:tcBorders>
              <w:right w:val="single" w:color="auto" w:sz="4" w:space="0"/>
            </w:tcBorders>
          </w:tcPr>
          <w:p w14:paraId="17EA937E">
            <w:pPr>
              <w:jc w:val="center"/>
              <w:rPr>
                <w:rFonts w:ascii="宋体" w:hAnsi="宋体" w:cs="宋体"/>
                <w:color w:val="auto"/>
                <w:sz w:val="24"/>
                <w:highlight w:val="none"/>
              </w:rPr>
            </w:pPr>
          </w:p>
        </w:tc>
        <w:tc>
          <w:tcPr>
            <w:tcW w:w="1746" w:type="dxa"/>
            <w:tcBorders>
              <w:left w:val="single" w:color="auto" w:sz="4" w:space="0"/>
            </w:tcBorders>
          </w:tcPr>
          <w:p w14:paraId="19F47719">
            <w:pPr>
              <w:jc w:val="center"/>
              <w:rPr>
                <w:rFonts w:ascii="宋体" w:hAnsi="宋体" w:cs="宋体"/>
                <w:color w:val="auto"/>
                <w:sz w:val="24"/>
                <w:highlight w:val="none"/>
              </w:rPr>
            </w:pPr>
          </w:p>
        </w:tc>
      </w:tr>
      <w:tr w14:paraId="47EC7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5EB4304">
            <w:pPr>
              <w:jc w:val="center"/>
              <w:rPr>
                <w:rFonts w:ascii="宋体" w:hAnsi="宋体" w:cs="宋体"/>
                <w:color w:val="auto"/>
                <w:sz w:val="24"/>
                <w:highlight w:val="none"/>
              </w:rPr>
            </w:pPr>
            <w:r>
              <w:rPr>
                <w:rFonts w:hint="eastAsia" w:ascii="宋体" w:hAnsi="宋体" w:cs="宋体"/>
                <w:color w:val="auto"/>
                <w:sz w:val="24"/>
                <w:highlight w:val="none"/>
              </w:rPr>
              <w:t>6</w:t>
            </w:r>
          </w:p>
        </w:tc>
        <w:tc>
          <w:tcPr>
            <w:tcW w:w="2387" w:type="dxa"/>
          </w:tcPr>
          <w:p w14:paraId="551B60AE">
            <w:pPr>
              <w:jc w:val="center"/>
              <w:rPr>
                <w:rFonts w:ascii="宋体" w:hAnsi="宋体" w:cs="宋体"/>
                <w:color w:val="auto"/>
                <w:sz w:val="24"/>
                <w:highlight w:val="none"/>
              </w:rPr>
            </w:pPr>
          </w:p>
        </w:tc>
        <w:tc>
          <w:tcPr>
            <w:tcW w:w="1462" w:type="dxa"/>
          </w:tcPr>
          <w:p w14:paraId="2AE45CF3">
            <w:pPr>
              <w:jc w:val="center"/>
              <w:rPr>
                <w:rFonts w:ascii="宋体" w:hAnsi="宋体" w:cs="宋体"/>
                <w:color w:val="auto"/>
                <w:sz w:val="24"/>
                <w:highlight w:val="none"/>
              </w:rPr>
            </w:pPr>
          </w:p>
        </w:tc>
        <w:tc>
          <w:tcPr>
            <w:tcW w:w="2415" w:type="dxa"/>
            <w:tcBorders>
              <w:right w:val="single" w:color="auto" w:sz="4" w:space="0"/>
            </w:tcBorders>
          </w:tcPr>
          <w:p w14:paraId="6D887CD5">
            <w:pPr>
              <w:jc w:val="center"/>
              <w:rPr>
                <w:rFonts w:ascii="宋体" w:hAnsi="宋体" w:cs="宋体"/>
                <w:color w:val="auto"/>
                <w:sz w:val="24"/>
                <w:highlight w:val="none"/>
              </w:rPr>
            </w:pPr>
          </w:p>
        </w:tc>
        <w:tc>
          <w:tcPr>
            <w:tcW w:w="1746" w:type="dxa"/>
            <w:tcBorders>
              <w:left w:val="single" w:color="auto" w:sz="4" w:space="0"/>
            </w:tcBorders>
          </w:tcPr>
          <w:p w14:paraId="085D674C">
            <w:pPr>
              <w:jc w:val="center"/>
              <w:rPr>
                <w:rFonts w:ascii="宋体" w:hAnsi="宋体" w:cs="宋体"/>
                <w:color w:val="auto"/>
                <w:sz w:val="24"/>
                <w:highlight w:val="none"/>
              </w:rPr>
            </w:pPr>
          </w:p>
        </w:tc>
      </w:tr>
      <w:tr w14:paraId="68224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AC89AA8">
            <w:pPr>
              <w:jc w:val="center"/>
              <w:rPr>
                <w:rFonts w:ascii="宋体" w:hAnsi="宋体" w:cs="宋体"/>
                <w:color w:val="auto"/>
                <w:sz w:val="24"/>
                <w:highlight w:val="none"/>
              </w:rPr>
            </w:pPr>
            <w:r>
              <w:rPr>
                <w:rFonts w:hint="eastAsia" w:ascii="宋体" w:hAnsi="宋体" w:cs="宋体"/>
                <w:color w:val="auto"/>
                <w:sz w:val="24"/>
                <w:highlight w:val="none"/>
              </w:rPr>
              <w:t>7</w:t>
            </w:r>
          </w:p>
        </w:tc>
        <w:tc>
          <w:tcPr>
            <w:tcW w:w="2387" w:type="dxa"/>
          </w:tcPr>
          <w:p w14:paraId="75E7D1AB">
            <w:pPr>
              <w:jc w:val="center"/>
              <w:rPr>
                <w:rFonts w:ascii="宋体" w:hAnsi="宋体" w:cs="宋体"/>
                <w:color w:val="auto"/>
                <w:sz w:val="24"/>
                <w:highlight w:val="none"/>
              </w:rPr>
            </w:pPr>
          </w:p>
        </w:tc>
        <w:tc>
          <w:tcPr>
            <w:tcW w:w="1462" w:type="dxa"/>
          </w:tcPr>
          <w:p w14:paraId="3D7EA709">
            <w:pPr>
              <w:jc w:val="center"/>
              <w:rPr>
                <w:rFonts w:ascii="宋体" w:hAnsi="宋体" w:cs="宋体"/>
                <w:color w:val="auto"/>
                <w:sz w:val="24"/>
                <w:highlight w:val="none"/>
              </w:rPr>
            </w:pPr>
          </w:p>
        </w:tc>
        <w:tc>
          <w:tcPr>
            <w:tcW w:w="2415" w:type="dxa"/>
            <w:tcBorders>
              <w:right w:val="single" w:color="auto" w:sz="4" w:space="0"/>
            </w:tcBorders>
          </w:tcPr>
          <w:p w14:paraId="5B67D798">
            <w:pPr>
              <w:jc w:val="center"/>
              <w:rPr>
                <w:rFonts w:ascii="宋体" w:hAnsi="宋体" w:cs="宋体"/>
                <w:color w:val="auto"/>
                <w:sz w:val="24"/>
                <w:highlight w:val="none"/>
              </w:rPr>
            </w:pPr>
          </w:p>
        </w:tc>
        <w:tc>
          <w:tcPr>
            <w:tcW w:w="1746" w:type="dxa"/>
            <w:tcBorders>
              <w:left w:val="single" w:color="auto" w:sz="4" w:space="0"/>
            </w:tcBorders>
          </w:tcPr>
          <w:p w14:paraId="063A7327">
            <w:pPr>
              <w:jc w:val="center"/>
              <w:rPr>
                <w:rFonts w:ascii="宋体" w:hAnsi="宋体" w:cs="宋体"/>
                <w:color w:val="auto"/>
                <w:sz w:val="24"/>
                <w:highlight w:val="none"/>
              </w:rPr>
            </w:pPr>
          </w:p>
        </w:tc>
      </w:tr>
      <w:tr w14:paraId="704E8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0CB9077">
            <w:pPr>
              <w:jc w:val="center"/>
              <w:rPr>
                <w:rFonts w:ascii="宋体" w:hAnsi="宋体" w:cs="宋体"/>
                <w:color w:val="auto"/>
                <w:sz w:val="24"/>
                <w:highlight w:val="none"/>
              </w:rPr>
            </w:pPr>
            <w:r>
              <w:rPr>
                <w:rFonts w:hint="eastAsia" w:ascii="宋体" w:hAnsi="宋体" w:cs="宋体"/>
                <w:color w:val="auto"/>
                <w:sz w:val="24"/>
                <w:highlight w:val="none"/>
              </w:rPr>
              <w:t>8</w:t>
            </w:r>
          </w:p>
        </w:tc>
        <w:tc>
          <w:tcPr>
            <w:tcW w:w="2387" w:type="dxa"/>
          </w:tcPr>
          <w:p w14:paraId="7E5E96FF">
            <w:pPr>
              <w:jc w:val="center"/>
              <w:rPr>
                <w:rFonts w:ascii="宋体" w:hAnsi="宋体" w:cs="宋体"/>
                <w:color w:val="auto"/>
                <w:sz w:val="24"/>
                <w:highlight w:val="none"/>
              </w:rPr>
            </w:pPr>
          </w:p>
        </w:tc>
        <w:tc>
          <w:tcPr>
            <w:tcW w:w="1462" w:type="dxa"/>
          </w:tcPr>
          <w:p w14:paraId="17ECBAC0">
            <w:pPr>
              <w:jc w:val="center"/>
              <w:rPr>
                <w:rFonts w:ascii="宋体" w:hAnsi="宋体" w:cs="宋体"/>
                <w:color w:val="auto"/>
                <w:sz w:val="24"/>
                <w:highlight w:val="none"/>
              </w:rPr>
            </w:pPr>
          </w:p>
        </w:tc>
        <w:tc>
          <w:tcPr>
            <w:tcW w:w="2415" w:type="dxa"/>
            <w:tcBorders>
              <w:right w:val="single" w:color="auto" w:sz="4" w:space="0"/>
            </w:tcBorders>
          </w:tcPr>
          <w:p w14:paraId="4DF214AD">
            <w:pPr>
              <w:jc w:val="center"/>
              <w:rPr>
                <w:rFonts w:ascii="宋体" w:hAnsi="宋体" w:cs="宋体"/>
                <w:color w:val="auto"/>
                <w:sz w:val="24"/>
                <w:highlight w:val="none"/>
              </w:rPr>
            </w:pPr>
          </w:p>
        </w:tc>
        <w:tc>
          <w:tcPr>
            <w:tcW w:w="1746" w:type="dxa"/>
            <w:tcBorders>
              <w:left w:val="single" w:color="auto" w:sz="4" w:space="0"/>
            </w:tcBorders>
          </w:tcPr>
          <w:p w14:paraId="13CDF549">
            <w:pPr>
              <w:jc w:val="center"/>
              <w:rPr>
                <w:rFonts w:ascii="宋体" w:hAnsi="宋体" w:cs="宋体"/>
                <w:color w:val="auto"/>
                <w:sz w:val="24"/>
                <w:highlight w:val="none"/>
              </w:rPr>
            </w:pPr>
          </w:p>
        </w:tc>
      </w:tr>
      <w:tr w14:paraId="4DFC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1A95C14">
            <w:pPr>
              <w:jc w:val="center"/>
              <w:rPr>
                <w:rFonts w:ascii="宋体" w:hAnsi="宋体" w:cs="宋体"/>
                <w:color w:val="auto"/>
                <w:sz w:val="24"/>
                <w:highlight w:val="none"/>
              </w:rPr>
            </w:pPr>
            <w:r>
              <w:rPr>
                <w:rFonts w:hint="eastAsia" w:ascii="宋体" w:hAnsi="宋体" w:cs="宋体"/>
                <w:color w:val="auto"/>
                <w:sz w:val="24"/>
                <w:highlight w:val="none"/>
              </w:rPr>
              <w:t>合计</w:t>
            </w:r>
          </w:p>
        </w:tc>
        <w:tc>
          <w:tcPr>
            <w:tcW w:w="2387" w:type="dxa"/>
          </w:tcPr>
          <w:p w14:paraId="74CBC90C">
            <w:pPr>
              <w:jc w:val="center"/>
              <w:rPr>
                <w:rFonts w:ascii="宋体" w:hAnsi="宋体" w:cs="宋体"/>
                <w:color w:val="auto"/>
                <w:sz w:val="24"/>
                <w:highlight w:val="none"/>
              </w:rPr>
            </w:pPr>
          </w:p>
        </w:tc>
        <w:tc>
          <w:tcPr>
            <w:tcW w:w="1462" w:type="dxa"/>
          </w:tcPr>
          <w:p w14:paraId="7B6F7D80">
            <w:pPr>
              <w:jc w:val="center"/>
              <w:rPr>
                <w:rFonts w:ascii="宋体" w:hAnsi="宋体" w:cs="宋体"/>
                <w:color w:val="auto"/>
                <w:sz w:val="24"/>
                <w:highlight w:val="none"/>
              </w:rPr>
            </w:pPr>
          </w:p>
        </w:tc>
        <w:tc>
          <w:tcPr>
            <w:tcW w:w="2415" w:type="dxa"/>
            <w:tcBorders>
              <w:right w:val="single" w:color="auto" w:sz="4" w:space="0"/>
            </w:tcBorders>
          </w:tcPr>
          <w:p w14:paraId="47A1E18F">
            <w:pPr>
              <w:jc w:val="center"/>
              <w:rPr>
                <w:rFonts w:ascii="宋体" w:hAnsi="宋体" w:cs="宋体"/>
                <w:color w:val="auto"/>
                <w:sz w:val="24"/>
                <w:highlight w:val="none"/>
              </w:rPr>
            </w:pPr>
          </w:p>
        </w:tc>
        <w:tc>
          <w:tcPr>
            <w:tcW w:w="1746" w:type="dxa"/>
            <w:tcBorders>
              <w:left w:val="single" w:color="auto" w:sz="4" w:space="0"/>
            </w:tcBorders>
          </w:tcPr>
          <w:p w14:paraId="16CD2F22">
            <w:pPr>
              <w:jc w:val="center"/>
              <w:rPr>
                <w:rFonts w:ascii="宋体" w:hAnsi="宋体" w:cs="宋体"/>
                <w:color w:val="auto"/>
                <w:sz w:val="24"/>
                <w:highlight w:val="none"/>
              </w:rPr>
            </w:pPr>
          </w:p>
        </w:tc>
      </w:tr>
    </w:tbl>
    <w:p w14:paraId="4C9CFD03">
      <w:pPr>
        <w:spacing w:line="360" w:lineRule="auto"/>
        <w:ind w:firstLine="480" w:firstLineChars="200"/>
        <w:rPr>
          <w:rFonts w:ascii="宋体" w:hAnsi="宋体" w:cs="宋体"/>
          <w:color w:val="auto"/>
          <w:sz w:val="24"/>
          <w:highlight w:val="none"/>
        </w:rPr>
      </w:pPr>
    </w:p>
    <w:p w14:paraId="69AAD1B5">
      <w:pPr>
        <w:spacing w:line="360" w:lineRule="auto"/>
        <w:ind w:left="3780" w:leftChars="1800" w:firstLine="480" w:firstLineChars="200"/>
        <w:rPr>
          <w:rFonts w:ascii="宋体" w:hAnsi="宋体" w:cs="宋体"/>
          <w:color w:val="auto"/>
          <w:sz w:val="24"/>
          <w:highlight w:val="none"/>
        </w:rPr>
      </w:pPr>
    </w:p>
    <w:p w14:paraId="455103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或被授权委托人</w:t>
      </w:r>
      <w:r>
        <w:rPr>
          <w:rFonts w:hint="eastAsia" w:ascii="宋体" w:hAnsi="宋体" w:eastAsia="宋体" w:cs="宋体"/>
          <w:color w:val="auto"/>
          <w:sz w:val="24"/>
          <w:highlight w:val="none"/>
        </w:rPr>
        <w:t xml:space="preserve">签名（或签名章）：                       </w:t>
      </w:r>
    </w:p>
    <w:p w14:paraId="6AB463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13777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p>
    <w:p w14:paraId="5EEA5436">
      <w:pPr>
        <w:pStyle w:val="11"/>
        <w:ind w:firstLine="566"/>
        <w:rPr>
          <w:rFonts w:ascii="宋体" w:hAnsi="宋体" w:cs="宋体"/>
          <w:color w:val="auto"/>
          <w:sz w:val="28"/>
          <w:szCs w:val="28"/>
          <w:highlight w:val="none"/>
        </w:rPr>
      </w:pPr>
    </w:p>
    <w:p w14:paraId="06B0D6EA">
      <w:pPr>
        <w:snapToGrid w:val="0"/>
        <w:spacing w:before="50" w:afterLines="50"/>
        <w:jc w:val="left"/>
        <w:rPr>
          <w:rFonts w:ascii="宋体" w:hAnsi="宋体" w:cs="宋体"/>
          <w:b/>
          <w:bCs/>
          <w:color w:val="auto"/>
          <w:sz w:val="24"/>
          <w:highlight w:val="none"/>
          <w:lang w:val="zh-CN"/>
        </w:rPr>
      </w:pPr>
      <w:r>
        <w:rPr>
          <w:rFonts w:hint="eastAsia" w:ascii="宋体" w:hAnsi="宋体" w:cs="宋体"/>
          <w:b/>
          <w:bCs/>
          <w:color w:val="auto"/>
          <w:sz w:val="30"/>
          <w:szCs w:val="30"/>
          <w:highlight w:val="none"/>
        </w:rPr>
        <w:br w:type="page"/>
      </w:r>
      <w:r>
        <w:rPr>
          <w:rFonts w:hint="eastAsia" w:ascii="宋体" w:hAnsi="宋体" w:cs="宋体"/>
          <w:b/>
          <w:bCs/>
          <w:color w:val="auto"/>
          <w:sz w:val="24"/>
          <w:highlight w:val="none"/>
          <w:lang w:val="zh-CN"/>
        </w:rPr>
        <w:t>附件五：</w:t>
      </w:r>
    </w:p>
    <w:p w14:paraId="7E4B391D">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投标项目明细清单</w:t>
      </w:r>
    </w:p>
    <w:p w14:paraId="4AD77800">
      <w:pPr>
        <w:spacing w:line="360" w:lineRule="auto"/>
        <w:ind w:firstLine="480" w:firstLineChars="200"/>
        <w:rPr>
          <w:rFonts w:ascii="宋体" w:hAnsi="宋体" w:cs="宋体"/>
          <w:color w:val="auto"/>
          <w:sz w:val="24"/>
          <w:highlight w:val="none"/>
        </w:rPr>
      </w:pPr>
    </w:p>
    <w:p w14:paraId="70F244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4A6F43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32"/>
        <w:tblW w:w="9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456"/>
        <w:gridCol w:w="3734"/>
        <w:gridCol w:w="1186"/>
        <w:gridCol w:w="1170"/>
        <w:gridCol w:w="1554"/>
      </w:tblGrid>
      <w:tr w14:paraId="7F59E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0F33E624">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56" w:type="dxa"/>
            <w:tcBorders>
              <w:top w:val="single" w:color="auto" w:sz="4" w:space="0"/>
              <w:left w:val="single" w:color="auto" w:sz="4" w:space="0"/>
              <w:bottom w:val="single" w:color="auto" w:sz="4" w:space="0"/>
              <w:right w:val="single" w:color="auto" w:sz="4" w:space="0"/>
            </w:tcBorders>
            <w:vAlign w:val="center"/>
          </w:tcPr>
          <w:p w14:paraId="7236D333">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3734" w:type="dxa"/>
            <w:tcBorders>
              <w:top w:val="single" w:color="auto" w:sz="4" w:space="0"/>
              <w:left w:val="single" w:color="auto" w:sz="4" w:space="0"/>
              <w:bottom w:val="single" w:color="auto" w:sz="4" w:space="0"/>
              <w:right w:val="single" w:color="auto" w:sz="4" w:space="0"/>
            </w:tcBorders>
            <w:vAlign w:val="center"/>
          </w:tcPr>
          <w:p w14:paraId="1763C0C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186" w:type="dxa"/>
            <w:tcBorders>
              <w:top w:val="single" w:color="auto" w:sz="4" w:space="0"/>
              <w:left w:val="single" w:color="auto" w:sz="4" w:space="0"/>
              <w:bottom w:val="single" w:color="auto" w:sz="4" w:space="0"/>
              <w:right w:val="single" w:color="auto" w:sz="4" w:space="0"/>
            </w:tcBorders>
            <w:vAlign w:val="center"/>
          </w:tcPr>
          <w:p w14:paraId="24712FC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70" w:type="dxa"/>
            <w:tcBorders>
              <w:top w:val="single" w:color="auto" w:sz="4" w:space="0"/>
              <w:left w:val="single" w:color="auto" w:sz="4" w:space="0"/>
              <w:bottom w:val="single" w:color="auto" w:sz="4" w:space="0"/>
              <w:right w:val="single" w:color="auto" w:sz="4" w:space="0"/>
            </w:tcBorders>
            <w:vAlign w:val="center"/>
          </w:tcPr>
          <w:p w14:paraId="2EFC446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单位</w:t>
            </w:r>
          </w:p>
        </w:tc>
        <w:tc>
          <w:tcPr>
            <w:tcW w:w="1554" w:type="dxa"/>
            <w:tcBorders>
              <w:top w:val="single" w:color="auto" w:sz="4" w:space="0"/>
              <w:left w:val="single" w:color="auto" w:sz="4" w:space="0"/>
              <w:bottom w:val="single" w:color="auto" w:sz="4" w:space="0"/>
              <w:right w:val="single" w:color="auto" w:sz="4" w:space="0"/>
            </w:tcBorders>
            <w:vAlign w:val="center"/>
          </w:tcPr>
          <w:p w14:paraId="4CE024A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备注</w:t>
            </w:r>
          </w:p>
        </w:tc>
      </w:tr>
      <w:tr w14:paraId="56923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3EFDEA1F">
            <w:pPr>
              <w:snapToGrid w:val="0"/>
              <w:spacing w:before="50" w:after="50"/>
              <w:jc w:val="center"/>
              <w:rPr>
                <w:rFonts w:ascii="宋体" w:hAnsi="宋体" w:cs="宋体"/>
                <w:color w:val="auto"/>
                <w:sz w:val="24"/>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46C7625A">
            <w:pPr>
              <w:snapToGrid w:val="0"/>
              <w:spacing w:before="50" w:after="50"/>
              <w:jc w:val="center"/>
              <w:rPr>
                <w:rFonts w:ascii="宋体" w:hAnsi="宋体" w:cs="宋体"/>
                <w:color w:val="auto"/>
                <w:sz w:val="24"/>
                <w:highlight w:val="none"/>
              </w:rPr>
            </w:pPr>
          </w:p>
        </w:tc>
        <w:tc>
          <w:tcPr>
            <w:tcW w:w="3734" w:type="dxa"/>
            <w:tcBorders>
              <w:top w:val="single" w:color="auto" w:sz="4" w:space="0"/>
              <w:left w:val="single" w:color="auto" w:sz="4" w:space="0"/>
              <w:bottom w:val="single" w:color="auto" w:sz="4" w:space="0"/>
              <w:right w:val="single" w:color="auto" w:sz="4" w:space="0"/>
            </w:tcBorders>
            <w:vAlign w:val="center"/>
          </w:tcPr>
          <w:p w14:paraId="59EEEAA7">
            <w:pPr>
              <w:snapToGrid w:val="0"/>
              <w:spacing w:before="50" w:after="50"/>
              <w:jc w:val="center"/>
              <w:rPr>
                <w:rFonts w:ascii="宋体" w:hAnsi="宋体" w:cs="宋体"/>
                <w:color w:val="auto"/>
                <w:sz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ED3E3A2">
            <w:pPr>
              <w:snapToGrid w:val="0"/>
              <w:spacing w:before="50" w:after="50"/>
              <w:rPr>
                <w:rFonts w:ascii="宋体" w:hAnsi="宋体" w:cs="宋体"/>
                <w:color w:val="auto"/>
                <w:sz w:val="24"/>
                <w:highlight w:val="none"/>
              </w:rPr>
            </w:pPr>
            <w:r>
              <w:rPr>
                <w:rFonts w:hint="eastAsia" w:ascii="宋体" w:hAnsi="宋体" w:cs="宋体"/>
                <w:color w:val="auto"/>
                <w:sz w:val="24"/>
                <w:highlight w:val="none"/>
              </w:rPr>
              <w:t>（人员或设备）</w:t>
            </w:r>
          </w:p>
        </w:tc>
        <w:tc>
          <w:tcPr>
            <w:tcW w:w="1170" w:type="dxa"/>
            <w:tcBorders>
              <w:top w:val="single" w:color="auto" w:sz="4" w:space="0"/>
              <w:left w:val="single" w:color="auto" w:sz="4" w:space="0"/>
              <w:bottom w:val="single" w:color="auto" w:sz="4" w:space="0"/>
              <w:right w:val="single" w:color="auto" w:sz="4" w:space="0"/>
            </w:tcBorders>
            <w:vAlign w:val="center"/>
          </w:tcPr>
          <w:p w14:paraId="19554EA5">
            <w:pPr>
              <w:snapToGrid w:val="0"/>
              <w:spacing w:before="50" w:after="50"/>
              <w:jc w:val="center"/>
              <w:rPr>
                <w:rFonts w:ascii="宋体" w:hAnsi="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15CD3C45">
            <w:pPr>
              <w:snapToGrid w:val="0"/>
              <w:spacing w:before="50" w:after="50"/>
              <w:jc w:val="center"/>
              <w:rPr>
                <w:rFonts w:ascii="宋体" w:hAnsi="宋体" w:cs="宋体"/>
                <w:color w:val="auto"/>
                <w:sz w:val="24"/>
                <w:highlight w:val="none"/>
              </w:rPr>
            </w:pPr>
          </w:p>
        </w:tc>
      </w:tr>
      <w:tr w14:paraId="6C442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0225B892">
            <w:pPr>
              <w:snapToGrid w:val="0"/>
              <w:spacing w:before="50" w:after="50"/>
              <w:jc w:val="center"/>
              <w:rPr>
                <w:rFonts w:ascii="宋体" w:hAnsi="宋体" w:cs="宋体"/>
                <w:color w:val="auto"/>
                <w:sz w:val="24"/>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5CADD7B1">
            <w:pPr>
              <w:snapToGrid w:val="0"/>
              <w:spacing w:before="50" w:after="50"/>
              <w:jc w:val="center"/>
              <w:rPr>
                <w:rFonts w:ascii="宋体" w:hAnsi="宋体" w:cs="宋体"/>
                <w:color w:val="auto"/>
                <w:sz w:val="24"/>
                <w:highlight w:val="none"/>
              </w:rPr>
            </w:pPr>
          </w:p>
        </w:tc>
        <w:tc>
          <w:tcPr>
            <w:tcW w:w="3734" w:type="dxa"/>
            <w:tcBorders>
              <w:top w:val="single" w:color="auto" w:sz="4" w:space="0"/>
              <w:left w:val="single" w:color="auto" w:sz="4" w:space="0"/>
              <w:bottom w:val="single" w:color="auto" w:sz="4" w:space="0"/>
              <w:right w:val="single" w:color="auto" w:sz="4" w:space="0"/>
            </w:tcBorders>
            <w:vAlign w:val="center"/>
          </w:tcPr>
          <w:p w14:paraId="44CD20BF">
            <w:pPr>
              <w:snapToGrid w:val="0"/>
              <w:spacing w:before="50" w:after="50"/>
              <w:jc w:val="center"/>
              <w:rPr>
                <w:rFonts w:ascii="宋体" w:hAnsi="宋体" w:cs="宋体"/>
                <w:color w:val="auto"/>
                <w:sz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EB086DA">
            <w:pPr>
              <w:snapToGrid w:val="0"/>
              <w:spacing w:before="50" w:after="50"/>
              <w:ind w:left="480" w:hanging="480"/>
              <w:jc w:val="center"/>
              <w:rPr>
                <w:rFonts w:ascii="宋体" w:hAnsi="宋体" w:cs="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6DDFA6A">
            <w:pPr>
              <w:snapToGrid w:val="0"/>
              <w:spacing w:before="50" w:after="50"/>
              <w:jc w:val="center"/>
              <w:rPr>
                <w:rFonts w:ascii="宋体" w:hAnsi="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14:paraId="14E88F38">
            <w:pPr>
              <w:snapToGrid w:val="0"/>
              <w:spacing w:before="50" w:after="50"/>
              <w:jc w:val="center"/>
              <w:rPr>
                <w:rFonts w:ascii="宋体" w:hAnsi="宋体" w:cs="宋体"/>
                <w:color w:val="auto"/>
                <w:sz w:val="24"/>
                <w:highlight w:val="none"/>
              </w:rPr>
            </w:pPr>
          </w:p>
        </w:tc>
      </w:tr>
    </w:tbl>
    <w:p w14:paraId="65C28682">
      <w:pPr>
        <w:snapToGrid w:val="0"/>
        <w:spacing w:before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注：在填写时，如上表不适合本项目的实际情况，可在确保投标明细内容完整的情况下，根据上表格式自行划表填写。</w:t>
      </w:r>
    </w:p>
    <w:p w14:paraId="0EA24FB4">
      <w:pPr>
        <w:pStyle w:val="11"/>
        <w:rPr>
          <w:rFonts w:ascii="宋体" w:hAnsi="宋体" w:cs="宋体"/>
          <w:color w:val="auto"/>
          <w:sz w:val="24"/>
          <w:highlight w:val="none"/>
        </w:rPr>
      </w:pPr>
    </w:p>
    <w:p w14:paraId="47B39BF0">
      <w:pPr>
        <w:pStyle w:val="11"/>
        <w:rPr>
          <w:rFonts w:ascii="宋体" w:hAnsi="宋体" w:cs="宋体"/>
          <w:color w:val="auto"/>
          <w:sz w:val="24"/>
          <w:highlight w:val="none"/>
        </w:rPr>
      </w:pPr>
    </w:p>
    <w:p w14:paraId="7FA2EDFC">
      <w:pPr>
        <w:pStyle w:val="11"/>
        <w:rPr>
          <w:rFonts w:ascii="宋体" w:hAnsi="宋体" w:cs="宋体"/>
          <w:color w:val="auto"/>
          <w:sz w:val="24"/>
          <w:highlight w:val="none"/>
        </w:rPr>
      </w:pPr>
    </w:p>
    <w:p w14:paraId="353FD952">
      <w:pPr>
        <w:snapToGrid w:val="0"/>
        <w:spacing w:beforeLines="50"/>
        <w:rPr>
          <w:rFonts w:ascii="宋体" w:hAnsi="宋体" w:cs="宋体"/>
          <w:color w:val="auto"/>
          <w:sz w:val="24"/>
          <w:highlight w:val="none"/>
        </w:rPr>
      </w:pPr>
    </w:p>
    <w:p w14:paraId="4D8EAF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或被授权委托人</w:t>
      </w:r>
      <w:r>
        <w:rPr>
          <w:rFonts w:hint="eastAsia" w:ascii="宋体" w:hAnsi="宋体" w:eastAsia="宋体" w:cs="宋体"/>
          <w:color w:val="auto"/>
          <w:sz w:val="24"/>
          <w:highlight w:val="none"/>
        </w:rPr>
        <w:t xml:space="preserve">签名（或签名章）：                       </w:t>
      </w:r>
    </w:p>
    <w:p w14:paraId="0ED29C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BAA23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p>
    <w:p w14:paraId="029FBB07">
      <w:pPr>
        <w:snapToGrid w:val="0"/>
        <w:spacing w:before="50" w:after="50"/>
        <w:rPr>
          <w:rFonts w:ascii="宋体" w:hAnsi="宋体" w:cs="宋体"/>
          <w:color w:val="auto"/>
          <w:spacing w:val="20"/>
          <w:sz w:val="24"/>
          <w:highlight w:val="none"/>
        </w:rPr>
      </w:pPr>
    </w:p>
    <w:p w14:paraId="2BE288EB">
      <w:pPr>
        <w:snapToGrid w:val="0"/>
        <w:spacing w:before="50" w:after="50"/>
        <w:rPr>
          <w:rFonts w:ascii="宋体" w:hAnsi="宋体" w:cs="宋体"/>
          <w:color w:val="auto"/>
          <w:spacing w:val="20"/>
          <w:sz w:val="30"/>
          <w:szCs w:val="30"/>
          <w:highlight w:val="none"/>
        </w:rPr>
      </w:pPr>
    </w:p>
    <w:p w14:paraId="36CCB8FE">
      <w:pPr>
        <w:pStyle w:val="11"/>
        <w:ind w:firstLine="686"/>
        <w:rPr>
          <w:rFonts w:ascii="宋体" w:hAnsi="宋体" w:cs="宋体"/>
          <w:color w:val="auto"/>
          <w:spacing w:val="20"/>
          <w:sz w:val="30"/>
          <w:szCs w:val="30"/>
          <w:highlight w:val="none"/>
        </w:rPr>
      </w:pPr>
    </w:p>
    <w:p w14:paraId="06B35652">
      <w:pPr>
        <w:pStyle w:val="11"/>
        <w:ind w:firstLine="686"/>
        <w:rPr>
          <w:rFonts w:ascii="宋体" w:hAnsi="宋体" w:cs="宋体"/>
          <w:color w:val="auto"/>
          <w:spacing w:val="20"/>
          <w:sz w:val="30"/>
          <w:szCs w:val="30"/>
          <w:highlight w:val="none"/>
        </w:rPr>
      </w:pPr>
    </w:p>
    <w:p w14:paraId="2DC4097B">
      <w:pPr>
        <w:pStyle w:val="11"/>
        <w:ind w:firstLine="686"/>
        <w:rPr>
          <w:rFonts w:ascii="宋体" w:hAnsi="宋体" w:cs="宋体"/>
          <w:color w:val="auto"/>
          <w:spacing w:val="20"/>
          <w:sz w:val="30"/>
          <w:szCs w:val="30"/>
          <w:highlight w:val="none"/>
        </w:rPr>
      </w:pPr>
    </w:p>
    <w:p w14:paraId="6676AF41">
      <w:pPr>
        <w:pStyle w:val="11"/>
        <w:ind w:firstLine="686"/>
        <w:rPr>
          <w:rFonts w:ascii="宋体" w:hAnsi="宋体" w:cs="宋体"/>
          <w:color w:val="auto"/>
          <w:spacing w:val="20"/>
          <w:sz w:val="30"/>
          <w:szCs w:val="30"/>
          <w:highlight w:val="none"/>
        </w:rPr>
      </w:pPr>
    </w:p>
    <w:p w14:paraId="45CA92B2">
      <w:pPr>
        <w:pStyle w:val="5"/>
        <w:jc w:val="left"/>
        <w:rPr>
          <w:rFonts w:hAnsi="宋体" w:cs="宋体"/>
          <w:bCs/>
          <w:color w:val="auto"/>
          <w:sz w:val="24"/>
          <w:szCs w:val="24"/>
          <w:highlight w:val="none"/>
        </w:rPr>
      </w:pPr>
      <w:bookmarkStart w:id="490" w:name="_Toc2823"/>
      <w:r>
        <w:rPr>
          <w:rFonts w:hint="eastAsia" w:hAnsi="宋体" w:cs="宋体"/>
          <w:bCs/>
          <w:color w:val="auto"/>
          <w:sz w:val="24"/>
          <w:szCs w:val="24"/>
          <w:highlight w:val="none"/>
        </w:rPr>
        <w:br w:type="page"/>
      </w:r>
      <w:bookmarkEnd w:id="490"/>
      <w:r>
        <w:rPr>
          <w:rFonts w:hint="eastAsia" w:hAnsi="宋体" w:cs="宋体"/>
          <w:bCs/>
          <w:color w:val="auto"/>
          <w:sz w:val="24"/>
          <w:szCs w:val="24"/>
          <w:highlight w:val="none"/>
        </w:rPr>
        <w:t>附件六：</w:t>
      </w:r>
    </w:p>
    <w:p w14:paraId="57455F8D">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w:t>
      </w:r>
    </w:p>
    <w:p w14:paraId="27B27DA8">
      <w:pPr>
        <w:snapToGrid w:val="0"/>
        <w:spacing w:before="50"/>
        <w:jc w:val="center"/>
        <w:rPr>
          <w:rFonts w:ascii="宋体" w:hAnsi="宋体" w:cs="宋体"/>
          <w:b/>
          <w:color w:val="auto"/>
          <w:sz w:val="32"/>
          <w:szCs w:val="32"/>
          <w:highlight w:val="none"/>
        </w:rPr>
      </w:pPr>
    </w:p>
    <w:p w14:paraId="0E77E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701AD6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7B31A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AD2F5B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1893B17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B54F961">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是否</w:t>
            </w:r>
          </w:p>
          <w:p w14:paraId="6E77B16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45E62A8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1B999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11DD7ED4">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E4BAC17">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5A3695">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1E6602D">
            <w:pPr>
              <w:snapToGrid w:val="0"/>
              <w:spacing w:before="50" w:after="50"/>
              <w:jc w:val="center"/>
              <w:rPr>
                <w:rFonts w:ascii="宋体" w:hAnsi="宋体" w:cs="宋体"/>
                <w:color w:val="auto"/>
                <w:sz w:val="24"/>
                <w:highlight w:val="none"/>
              </w:rPr>
            </w:pPr>
          </w:p>
        </w:tc>
      </w:tr>
      <w:tr w14:paraId="52F0B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ED2D42B">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4C163860">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352ADE">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14A7AE78">
            <w:pPr>
              <w:snapToGrid w:val="0"/>
              <w:spacing w:before="50" w:after="50"/>
              <w:jc w:val="center"/>
              <w:rPr>
                <w:rFonts w:ascii="宋体" w:hAnsi="宋体" w:cs="宋体"/>
                <w:color w:val="auto"/>
                <w:sz w:val="24"/>
                <w:highlight w:val="none"/>
              </w:rPr>
            </w:pPr>
          </w:p>
        </w:tc>
      </w:tr>
      <w:tr w14:paraId="31B7D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1F4E6FC">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12519E9">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27C506">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2D0278B3">
            <w:pPr>
              <w:snapToGrid w:val="0"/>
              <w:spacing w:before="50" w:after="50"/>
              <w:jc w:val="center"/>
              <w:rPr>
                <w:rFonts w:ascii="宋体" w:hAnsi="宋体" w:cs="宋体"/>
                <w:color w:val="auto"/>
                <w:sz w:val="24"/>
                <w:highlight w:val="none"/>
              </w:rPr>
            </w:pPr>
          </w:p>
        </w:tc>
      </w:tr>
      <w:tr w14:paraId="35219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58ADE73">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31889F4A">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2BF38D">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16287B36">
            <w:pPr>
              <w:snapToGrid w:val="0"/>
              <w:spacing w:before="50" w:after="50"/>
              <w:jc w:val="center"/>
              <w:rPr>
                <w:rFonts w:ascii="宋体" w:hAnsi="宋体" w:cs="宋体"/>
                <w:color w:val="auto"/>
                <w:sz w:val="24"/>
                <w:highlight w:val="none"/>
              </w:rPr>
            </w:pPr>
          </w:p>
        </w:tc>
      </w:tr>
      <w:tr w14:paraId="3F1CB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E79A0C5">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24495BAC">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F3A3E3">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24600603">
            <w:pPr>
              <w:snapToGrid w:val="0"/>
              <w:spacing w:before="50" w:after="50"/>
              <w:jc w:val="center"/>
              <w:rPr>
                <w:rFonts w:ascii="宋体" w:hAnsi="宋体" w:cs="宋体"/>
                <w:color w:val="auto"/>
                <w:sz w:val="24"/>
                <w:highlight w:val="none"/>
              </w:rPr>
            </w:pPr>
          </w:p>
        </w:tc>
      </w:tr>
      <w:tr w14:paraId="79021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4867E97F">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11D06535">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97198F">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78003C2A">
            <w:pPr>
              <w:snapToGrid w:val="0"/>
              <w:spacing w:before="50" w:after="50"/>
              <w:jc w:val="center"/>
              <w:rPr>
                <w:rFonts w:ascii="宋体" w:hAnsi="宋体" w:cs="宋体"/>
                <w:color w:val="auto"/>
                <w:sz w:val="24"/>
                <w:highlight w:val="none"/>
              </w:rPr>
            </w:pPr>
          </w:p>
        </w:tc>
      </w:tr>
      <w:tr w14:paraId="320CF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2B394818">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DC8DF85">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DDFB2B">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22B158D8">
            <w:pPr>
              <w:snapToGrid w:val="0"/>
              <w:spacing w:before="50" w:after="50"/>
              <w:jc w:val="center"/>
              <w:rPr>
                <w:rFonts w:ascii="宋体" w:hAnsi="宋体" w:cs="宋体"/>
                <w:color w:val="auto"/>
                <w:sz w:val="24"/>
                <w:highlight w:val="none"/>
              </w:rPr>
            </w:pPr>
          </w:p>
        </w:tc>
      </w:tr>
      <w:tr w14:paraId="07B62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139ED383">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1B2ECF1">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A4E66">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50B00BC4">
            <w:pPr>
              <w:snapToGrid w:val="0"/>
              <w:spacing w:before="50" w:after="50"/>
              <w:jc w:val="center"/>
              <w:rPr>
                <w:rFonts w:ascii="宋体" w:hAnsi="宋体" w:cs="宋体"/>
                <w:color w:val="auto"/>
                <w:sz w:val="24"/>
                <w:highlight w:val="none"/>
              </w:rPr>
            </w:pPr>
          </w:p>
        </w:tc>
      </w:tr>
      <w:tr w14:paraId="6F306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F5DE57E">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4FE96E2D">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C21045">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1644D7B2">
            <w:pPr>
              <w:snapToGrid w:val="0"/>
              <w:spacing w:before="50" w:after="50"/>
              <w:jc w:val="center"/>
              <w:rPr>
                <w:rFonts w:ascii="宋体" w:hAnsi="宋体" w:cs="宋体"/>
                <w:color w:val="auto"/>
                <w:sz w:val="24"/>
                <w:highlight w:val="none"/>
              </w:rPr>
            </w:pPr>
          </w:p>
        </w:tc>
      </w:tr>
      <w:tr w14:paraId="73BAE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3EF9333C">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B922868">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9B735E">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9AE6A21">
            <w:pPr>
              <w:snapToGrid w:val="0"/>
              <w:spacing w:before="50" w:after="50"/>
              <w:jc w:val="center"/>
              <w:rPr>
                <w:rFonts w:ascii="宋体" w:hAnsi="宋体" w:cs="宋体"/>
                <w:color w:val="auto"/>
                <w:sz w:val="24"/>
                <w:highlight w:val="none"/>
              </w:rPr>
            </w:pPr>
          </w:p>
        </w:tc>
      </w:tr>
      <w:tr w14:paraId="75015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vAlign w:val="center"/>
          </w:tcPr>
          <w:p w14:paraId="0D00E741">
            <w:pPr>
              <w:snapToGrid w:val="0"/>
              <w:spacing w:before="50" w:after="50"/>
              <w:jc w:val="center"/>
              <w:rPr>
                <w:rFonts w:ascii="宋体" w:hAnsi="宋体" w:cs="宋体"/>
                <w:color w:val="auto"/>
                <w:sz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1D43EF4">
            <w:pPr>
              <w:snapToGrid w:val="0"/>
              <w:spacing w:before="50" w:after="5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030F2D2">
            <w:pPr>
              <w:snapToGrid w:val="0"/>
              <w:spacing w:before="50" w:after="50"/>
              <w:jc w:val="center"/>
              <w:rPr>
                <w:rFonts w:ascii="宋体" w:hAnsi="宋体" w:cs="宋体"/>
                <w:color w:val="auto"/>
                <w:sz w:val="24"/>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4A39521E">
            <w:pPr>
              <w:snapToGrid w:val="0"/>
              <w:spacing w:before="50" w:after="50"/>
              <w:jc w:val="center"/>
              <w:rPr>
                <w:rFonts w:ascii="宋体" w:hAnsi="宋体" w:cs="宋体"/>
                <w:color w:val="auto"/>
                <w:sz w:val="24"/>
                <w:highlight w:val="none"/>
              </w:rPr>
            </w:pPr>
          </w:p>
        </w:tc>
      </w:tr>
    </w:tbl>
    <w:p w14:paraId="2C392F38">
      <w:pPr>
        <w:snapToGrid w:val="0"/>
        <w:spacing w:beforeLines="50" w:line="360" w:lineRule="auto"/>
        <w:rPr>
          <w:rFonts w:ascii="宋体" w:hAnsi="宋体" w:cs="宋体"/>
          <w:color w:val="auto"/>
          <w:sz w:val="24"/>
          <w:highlight w:val="none"/>
        </w:rPr>
      </w:pPr>
      <w:r>
        <w:rPr>
          <w:rFonts w:hint="eastAsia" w:ascii="宋体" w:hAnsi="宋体" w:cs="宋体"/>
          <w:color w:val="auto"/>
          <w:sz w:val="24"/>
          <w:highlight w:val="none"/>
        </w:rPr>
        <w:t>注：根据商务要求表及投标实际情况自行填写。</w:t>
      </w:r>
    </w:p>
    <w:p w14:paraId="09562FF5">
      <w:pPr>
        <w:spacing w:line="360" w:lineRule="auto"/>
        <w:ind w:left="3780" w:leftChars="1800" w:firstLine="480" w:firstLineChars="200"/>
        <w:rPr>
          <w:rFonts w:ascii="宋体" w:hAnsi="宋体" w:cs="宋体"/>
          <w:color w:val="auto"/>
          <w:sz w:val="24"/>
          <w:highlight w:val="none"/>
        </w:rPr>
      </w:pPr>
    </w:p>
    <w:p w14:paraId="4F48ACB7">
      <w:pPr>
        <w:spacing w:line="360" w:lineRule="auto"/>
        <w:ind w:left="3780" w:leftChars="1800" w:firstLine="480" w:firstLineChars="200"/>
        <w:rPr>
          <w:rFonts w:ascii="宋体" w:hAnsi="宋体" w:cs="宋体"/>
          <w:color w:val="auto"/>
          <w:sz w:val="24"/>
          <w:highlight w:val="none"/>
        </w:rPr>
      </w:pPr>
    </w:p>
    <w:p w14:paraId="23AB94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或被授权委托人</w:t>
      </w:r>
      <w:r>
        <w:rPr>
          <w:rFonts w:hint="eastAsia" w:ascii="宋体" w:hAnsi="宋体" w:eastAsia="宋体" w:cs="宋体"/>
          <w:color w:val="auto"/>
          <w:sz w:val="24"/>
          <w:highlight w:val="none"/>
        </w:rPr>
        <w:t xml:space="preserve">签名（或签名章）：                       </w:t>
      </w:r>
    </w:p>
    <w:p w14:paraId="7C099A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C68BF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p>
    <w:p w14:paraId="0938D593">
      <w:pPr>
        <w:snapToGrid w:val="0"/>
        <w:spacing w:before="50" w:after="50"/>
        <w:rPr>
          <w:rFonts w:ascii="宋体" w:hAnsi="宋体" w:cs="宋体"/>
          <w:b/>
          <w:bCs/>
          <w:color w:val="auto"/>
          <w:sz w:val="24"/>
          <w:highlight w:val="none"/>
          <w:lang w:val="zh-CN"/>
        </w:rPr>
      </w:pPr>
      <w:r>
        <w:rPr>
          <w:rFonts w:hint="eastAsia" w:ascii="宋体" w:hAnsi="宋体" w:cs="宋体"/>
          <w:color w:val="auto"/>
          <w:sz w:val="24"/>
          <w:highlight w:val="none"/>
        </w:rPr>
        <w:br w:type="page"/>
      </w:r>
      <w:r>
        <w:rPr>
          <w:rFonts w:hint="eastAsia" w:ascii="宋体" w:hAnsi="宋体" w:cs="宋体"/>
          <w:b/>
          <w:bCs/>
          <w:color w:val="auto"/>
          <w:sz w:val="24"/>
          <w:highlight w:val="none"/>
          <w:lang w:val="zh-CN"/>
        </w:rPr>
        <w:t>附件</w:t>
      </w:r>
      <w:r>
        <w:rPr>
          <w:rFonts w:hint="eastAsia" w:ascii="宋体" w:hAnsi="宋体" w:cs="宋体"/>
          <w:b/>
          <w:bCs/>
          <w:color w:val="auto"/>
          <w:sz w:val="24"/>
          <w:highlight w:val="none"/>
        </w:rPr>
        <w:t>七</w:t>
      </w:r>
      <w:r>
        <w:rPr>
          <w:rFonts w:hint="eastAsia" w:ascii="宋体" w:hAnsi="宋体" w:cs="宋体"/>
          <w:b/>
          <w:bCs/>
          <w:color w:val="auto"/>
          <w:sz w:val="24"/>
          <w:highlight w:val="none"/>
          <w:lang w:val="zh-CN"/>
        </w:rPr>
        <w:t>：</w:t>
      </w:r>
    </w:p>
    <w:p w14:paraId="445B6CF9">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项目组人员清单</w:t>
      </w:r>
    </w:p>
    <w:p w14:paraId="578A34C4">
      <w:pPr>
        <w:snapToGrid w:val="0"/>
        <w:spacing w:beforeLines="50" w:after="50"/>
        <w:jc w:val="center"/>
        <w:rPr>
          <w:rFonts w:ascii="宋体" w:hAnsi="宋体" w:cs="宋体"/>
          <w:b/>
          <w:color w:val="auto"/>
          <w:sz w:val="30"/>
          <w:szCs w:val="30"/>
          <w:highlight w:val="none"/>
        </w:rPr>
      </w:pPr>
    </w:p>
    <w:p w14:paraId="266DB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0A0E55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6ABD2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CE3B53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48AE483">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6CEAF4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1C89569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3928F23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4F05605E">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劳动合同编号</w:t>
            </w:r>
          </w:p>
        </w:tc>
      </w:tr>
      <w:tr w14:paraId="09BD2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42BBC1AD">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7CC0772">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86649D5">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844CE67">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E2FE75E">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BBD6F37">
            <w:pPr>
              <w:snapToGrid w:val="0"/>
              <w:spacing w:beforeLines="50" w:after="50" w:line="460" w:lineRule="exact"/>
              <w:rPr>
                <w:rFonts w:ascii="宋体" w:hAnsi="宋体" w:cs="宋体"/>
                <w:color w:val="auto"/>
                <w:sz w:val="24"/>
                <w:highlight w:val="none"/>
              </w:rPr>
            </w:pPr>
          </w:p>
        </w:tc>
      </w:tr>
      <w:tr w14:paraId="37CB9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6B4A93A7">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DFF893A">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5A550A7">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557B6FE">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E976D73">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E7B6207">
            <w:pPr>
              <w:snapToGrid w:val="0"/>
              <w:spacing w:beforeLines="50" w:after="50" w:line="460" w:lineRule="exact"/>
              <w:rPr>
                <w:rFonts w:ascii="宋体" w:hAnsi="宋体" w:cs="宋体"/>
                <w:color w:val="auto"/>
                <w:sz w:val="24"/>
                <w:highlight w:val="none"/>
              </w:rPr>
            </w:pPr>
          </w:p>
        </w:tc>
      </w:tr>
      <w:tr w14:paraId="0E2CB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FC3BFC3">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1341911">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178B484">
            <w:pPr>
              <w:pStyle w:val="18"/>
              <w:snapToGrid w:val="0"/>
              <w:spacing w:beforeLines="50" w:after="50" w:line="460" w:lineRule="exact"/>
              <w:ind w:left="5250"/>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14842A4D">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7EF7914">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2F47438">
            <w:pPr>
              <w:snapToGrid w:val="0"/>
              <w:spacing w:beforeLines="50" w:after="50" w:line="460" w:lineRule="exact"/>
              <w:rPr>
                <w:rFonts w:ascii="宋体" w:hAnsi="宋体" w:cs="宋体"/>
                <w:color w:val="auto"/>
                <w:sz w:val="24"/>
                <w:highlight w:val="none"/>
              </w:rPr>
            </w:pPr>
          </w:p>
        </w:tc>
      </w:tr>
      <w:tr w14:paraId="7369F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579EB6BE">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FC44C9E">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2D3BA25">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42F8919">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71E0BEE">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82DEE0C">
            <w:pPr>
              <w:snapToGrid w:val="0"/>
              <w:spacing w:beforeLines="50" w:after="50" w:line="460" w:lineRule="exact"/>
              <w:rPr>
                <w:rFonts w:ascii="宋体" w:hAnsi="宋体" w:cs="宋体"/>
                <w:color w:val="auto"/>
                <w:sz w:val="24"/>
                <w:highlight w:val="none"/>
              </w:rPr>
            </w:pPr>
          </w:p>
        </w:tc>
      </w:tr>
      <w:tr w14:paraId="41222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048BEF84">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14C16D6">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E445744">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F5E7A53">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7683FEE">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D56DCB0">
            <w:pPr>
              <w:snapToGrid w:val="0"/>
              <w:spacing w:beforeLines="50" w:after="50" w:line="460" w:lineRule="exact"/>
              <w:rPr>
                <w:rFonts w:ascii="宋体" w:hAnsi="宋体" w:cs="宋体"/>
                <w:color w:val="auto"/>
                <w:sz w:val="24"/>
                <w:highlight w:val="none"/>
              </w:rPr>
            </w:pPr>
          </w:p>
        </w:tc>
      </w:tr>
      <w:tr w14:paraId="41097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6ECB63DE">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2044393">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6B6F651">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21208D5">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242F564">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52A09AD">
            <w:pPr>
              <w:snapToGrid w:val="0"/>
              <w:spacing w:beforeLines="50" w:after="50" w:line="460" w:lineRule="exact"/>
              <w:rPr>
                <w:rFonts w:ascii="宋体" w:hAnsi="宋体" w:cs="宋体"/>
                <w:color w:val="auto"/>
                <w:sz w:val="24"/>
                <w:highlight w:val="none"/>
              </w:rPr>
            </w:pPr>
          </w:p>
        </w:tc>
      </w:tr>
      <w:tr w14:paraId="0FA2D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03DB7363">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5D53967">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D1BBCA0">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243EC51">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892D52A">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6D70B6D">
            <w:pPr>
              <w:snapToGrid w:val="0"/>
              <w:spacing w:beforeLines="50" w:after="50" w:line="460" w:lineRule="exact"/>
              <w:rPr>
                <w:rFonts w:ascii="宋体" w:hAnsi="宋体" w:cs="宋体"/>
                <w:color w:val="auto"/>
                <w:sz w:val="24"/>
                <w:highlight w:val="none"/>
              </w:rPr>
            </w:pPr>
          </w:p>
        </w:tc>
      </w:tr>
      <w:tr w14:paraId="5CE2C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08602ADE">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6CF0E02">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813BCD8">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CE4F2CA">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CE193E1">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47997B8">
            <w:pPr>
              <w:snapToGrid w:val="0"/>
              <w:spacing w:beforeLines="50" w:after="50" w:line="460" w:lineRule="exact"/>
              <w:rPr>
                <w:rFonts w:ascii="宋体" w:hAnsi="宋体" w:cs="宋体"/>
                <w:color w:val="auto"/>
                <w:sz w:val="24"/>
                <w:highlight w:val="none"/>
              </w:rPr>
            </w:pPr>
          </w:p>
        </w:tc>
      </w:tr>
      <w:tr w14:paraId="53728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tcPr>
          <w:p w14:paraId="7BB52B4D">
            <w:pPr>
              <w:snapToGrid w:val="0"/>
              <w:spacing w:beforeLines="50" w:after="50" w:line="460" w:lineRule="exact"/>
              <w:rPr>
                <w:rFonts w:ascii="宋体" w:hAnsi="宋体" w:cs="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9376B95">
            <w:pPr>
              <w:snapToGrid w:val="0"/>
              <w:spacing w:beforeLines="50" w:after="50" w:line="460" w:lineRule="exact"/>
              <w:rPr>
                <w:rFonts w:ascii="宋体" w:hAnsi="宋体" w:cs="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46E6685">
            <w:pPr>
              <w:snapToGrid w:val="0"/>
              <w:spacing w:beforeLines="50" w:after="50" w:line="460" w:lineRule="exact"/>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B7F2DB9">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A9C9F39">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D4F06AE">
            <w:pPr>
              <w:snapToGrid w:val="0"/>
              <w:spacing w:beforeLines="50" w:after="50" w:line="460" w:lineRule="exact"/>
              <w:rPr>
                <w:rFonts w:ascii="宋体" w:hAnsi="宋体" w:cs="宋体"/>
                <w:color w:val="auto"/>
                <w:sz w:val="24"/>
                <w:highlight w:val="none"/>
              </w:rPr>
            </w:pPr>
          </w:p>
        </w:tc>
      </w:tr>
    </w:tbl>
    <w:p w14:paraId="6F0B6706">
      <w:pPr>
        <w:adjustRightInd w:val="0"/>
        <w:snapToGrid w:val="0"/>
        <w:spacing w:line="360" w:lineRule="auto"/>
        <w:jc w:val="left"/>
        <w:rPr>
          <w:rFonts w:ascii="宋体" w:hAnsi="宋体" w:cs="宋体"/>
          <w:color w:val="auto"/>
          <w:sz w:val="24"/>
          <w:highlight w:val="none"/>
        </w:rPr>
      </w:pPr>
    </w:p>
    <w:p w14:paraId="32D11E7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注：在填写时，如本表格不适合投标单位的实际情况，可根据本表格式自行划表填写。 </w:t>
      </w:r>
    </w:p>
    <w:p w14:paraId="3629AE4B">
      <w:pPr>
        <w:snapToGrid w:val="0"/>
        <w:spacing w:before="50" w:afterLines="50" w:line="460" w:lineRule="exact"/>
        <w:jc w:val="left"/>
        <w:rPr>
          <w:rFonts w:ascii="宋体" w:hAnsi="宋体" w:cs="宋体"/>
          <w:color w:val="auto"/>
          <w:sz w:val="24"/>
          <w:highlight w:val="none"/>
        </w:rPr>
      </w:pPr>
    </w:p>
    <w:p w14:paraId="380D9057">
      <w:pPr>
        <w:spacing w:line="360" w:lineRule="auto"/>
        <w:rPr>
          <w:rFonts w:hint="eastAsia" w:ascii="宋体" w:hAnsi="宋体" w:eastAsia="宋体" w:cs="宋体"/>
          <w:color w:val="auto"/>
          <w:sz w:val="24"/>
          <w:highlight w:val="none"/>
        </w:rPr>
      </w:pPr>
      <w:bookmarkStart w:id="491" w:name="_Toc65422354"/>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或被授权委托人</w:t>
      </w:r>
      <w:r>
        <w:rPr>
          <w:rFonts w:hint="eastAsia" w:ascii="宋体" w:hAnsi="宋体" w:eastAsia="宋体" w:cs="宋体"/>
          <w:color w:val="auto"/>
          <w:sz w:val="24"/>
          <w:highlight w:val="none"/>
        </w:rPr>
        <w:t xml:space="preserve">签名（或签名章）：                       </w:t>
      </w:r>
    </w:p>
    <w:p w14:paraId="062788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AD963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p>
    <w:p w14:paraId="317C93D6">
      <w:pPr>
        <w:pStyle w:val="5"/>
        <w:spacing w:line="360" w:lineRule="auto"/>
        <w:jc w:val="left"/>
        <w:rPr>
          <w:rFonts w:cs="宋体"/>
          <w:color w:val="auto"/>
          <w:highlight w:val="none"/>
        </w:rPr>
      </w:pPr>
      <w:r>
        <w:rPr>
          <w:rFonts w:hint="eastAsia" w:ascii="Calibri" w:hAnsi="Calibri"/>
          <w:bCs/>
          <w:color w:val="auto"/>
          <w:szCs w:val="28"/>
          <w:highlight w:val="none"/>
          <w:lang w:val="zh-CN"/>
        </w:rPr>
        <w:t>附件</w:t>
      </w:r>
      <w:r>
        <w:rPr>
          <w:rFonts w:hint="eastAsia" w:ascii="Calibri" w:hAnsi="Calibri"/>
          <w:bCs/>
          <w:color w:val="auto"/>
          <w:szCs w:val="28"/>
          <w:highlight w:val="none"/>
        </w:rPr>
        <w:t>八</w:t>
      </w:r>
      <w:r>
        <w:rPr>
          <w:rFonts w:hint="eastAsia" w:ascii="Calibri" w:hAnsi="Calibri"/>
          <w:bCs/>
          <w:color w:val="auto"/>
          <w:szCs w:val="28"/>
          <w:highlight w:val="none"/>
          <w:lang w:val="zh-CN"/>
        </w:rPr>
        <w:t>：</w:t>
      </w:r>
    </w:p>
    <w:bookmarkEnd w:id="491"/>
    <w:p w14:paraId="30F1E49D">
      <w:pPr>
        <w:pStyle w:val="5"/>
        <w:spacing w:line="360" w:lineRule="auto"/>
        <w:jc w:val="center"/>
        <w:rPr>
          <w:rFonts w:hint="eastAsia" w:ascii="宋体" w:hAnsi="Times New Roman" w:eastAsia="宋体" w:cs="Times New Roman"/>
          <w:color w:val="auto"/>
          <w:highlight w:val="none"/>
        </w:rPr>
      </w:pPr>
      <w:bookmarkStart w:id="492" w:name="_Toc505929773"/>
      <w:bookmarkStart w:id="493" w:name="_Toc9189"/>
      <w:bookmarkStart w:id="494" w:name="_Toc65422355"/>
      <w:r>
        <w:rPr>
          <w:rFonts w:hint="eastAsia" w:ascii="宋体" w:hAnsi="Times New Roman" w:eastAsia="宋体" w:cs="Times New Roman"/>
          <w:color w:val="auto"/>
          <w:highlight w:val="none"/>
        </w:rPr>
        <w:t>项目负责人简历表</w:t>
      </w:r>
      <w:bookmarkEnd w:id="492"/>
      <w:bookmarkEnd w:id="493"/>
      <w:bookmarkEnd w:id="494"/>
      <w:r>
        <w:rPr>
          <w:rFonts w:hint="eastAsia" w:ascii="宋体" w:hAnsi="Times New Roman" w:eastAsia="宋体" w:cs="Times New Roman"/>
          <w:color w:val="auto"/>
          <w:highlight w:val="none"/>
        </w:rPr>
        <w:t xml:space="preserve">       </w:t>
      </w:r>
    </w:p>
    <w:p w14:paraId="4CC1BAE2">
      <w:pPr>
        <w:rPr>
          <w:rFonts w:ascii="宋体" w:hAnsi="宋体" w:cs="宋体"/>
          <w:color w:val="auto"/>
          <w:highlight w:val="none"/>
        </w:rPr>
      </w:pPr>
    </w:p>
    <w:p w14:paraId="3B32A7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4B37FD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p w14:paraId="55D9496E">
      <w:pPr>
        <w:pStyle w:val="12"/>
        <w:jc w:val="left"/>
        <w:rPr>
          <w:rFonts w:ascii="宋体" w:hAnsi="宋体"/>
          <w:color w:val="auto"/>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855"/>
        <w:gridCol w:w="1247"/>
        <w:gridCol w:w="1142"/>
        <w:gridCol w:w="726"/>
        <w:gridCol w:w="1361"/>
        <w:gridCol w:w="82"/>
        <w:gridCol w:w="1915"/>
      </w:tblGrid>
      <w:tr w14:paraId="4C6C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155" w:type="dxa"/>
            <w:gridSpan w:val="2"/>
            <w:vAlign w:val="center"/>
          </w:tcPr>
          <w:p w14:paraId="4527A05D">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姓  名</w:t>
            </w:r>
          </w:p>
        </w:tc>
        <w:tc>
          <w:tcPr>
            <w:tcW w:w="1316" w:type="dxa"/>
            <w:vAlign w:val="center"/>
          </w:tcPr>
          <w:p w14:paraId="54B82943">
            <w:pPr>
              <w:spacing w:line="336" w:lineRule="auto"/>
              <w:jc w:val="center"/>
              <w:rPr>
                <w:rFonts w:ascii="宋体" w:hAnsi="宋体" w:cs="宋体"/>
                <w:color w:val="auto"/>
                <w:sz w:val="24"/>
                <w:highlight w:val="none"/>
              </w:rPr>
            </w:pPr>
          </w:p>
        </w:tc>
        <w:tc>
          <w:tcPr>
            <w:tcW w:w="1188" w:type="dxa"/>
            <w:vAlign w:val="center"/>
          </w:tcPr>
          <w:p w14:paraId="1790A530">
            <w:pPr>
              <w:spacing w:line="336"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60" w:type="dxa"/>
            <w:vAlign w:val="center"/>
          </w:tcPr>
          <w:p w14:paraId="41D05930">
            <w:pPr>
              <w:spacing w:line="336" w:lineRule="auto"/>
              <w:jc w:val="center"/>
              <w:rPr>
                <w:rFonts w:ascii="宋体" w:hAnsi="宋体" w:cs="宋体"/>
                <w:color w:val="auto"/>
                <w:sz w:val="24"/>
                <w:highlight w:val="none"/>
              </w:rPr>
            </w:pPr>
          </w:p>
        </w:tc>
        <w:tc>
          <w:tcPr>
            <w:tcW w:w="1421" w:type="dxa"/>
            <w:vAlign w:val="center"/>
          </w:tcPr>
          <w:p w14:paraId="0F617698">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出生日期</w:t>
            </w:r>
          </w:p>
        </w:tc>
        <w:tc>
          <w:tcPr>
            <w:tcW w:w="2100" w:type="dxa"/>
            <w:gridSpan w:val="2"/>
            <w:vAlign w:val="center"/>
          </w:tcPr>
          <w:p w14:paraId="6386F327">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年  月  日</w:t>
            </w:r>
          </w:p>
        </w:tc>
      </w:tr>
      <w:tr w14:paraId="02C4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155" w:type="dxa"/>
            <w:gridSpan w:val="2"/>
            <w:vAlign w:val="center"/>
          </w:tcPr>
          <w:p w14:paraId="36A88041">
            <w:pPr>
              <w:spacing w:line="336" w:lineRule="auto"/>
              <w:jc w:val="center"/>
              <w:rPr>
                <w:rFonts w:ascii="宋体" w:hAnsi="宋体" w:cs="宋体"/>
                <w:color w:val="auto"/>
                <w:sz w:val="24"/>
                <w:highlight w:val="none"/>
              </w:rPr>
            </w:pPr>
            <w:r>
              <w:rPr>
                <w:rFonts w:hint="eastAsia" w:ascii="宋体" w:hAnsi="宋体" w:cs="宋体"/>
                <w:color w:val="auto"/>
                <w:sz w:val="24"/>
                <w:highlight w:val="none"/>
              </w:rPr>
              <w:t>毕业院校专业</w:t>
            </w:r>
          </w:p>
        </w:tc>
        <w:tc>
          <w:tcPr>
            <w:tcW w:w="3264" w:type="dxa"/>
            <w:gridSpan w:val="3"/>
            <w:vAlign w:val="center"/>
          </w:tcPr>
          <w:p w14:paraId="110F9B4D">
            <w:pPr>
              <w:spacing w:line="336" w:lineRule="auto"/>
              <w:jc w:val="center"/>
              <w:rPr>
                <w:rFonts w:ascii="宋体" w:hAnsi="宋体" w:cs="宋体"/>
                <w:color w:val="auto"/>
                <w:sz w:val="24"/>
                <w:highlight w:val="none"/>
              </w:rPr>
            </w:pPr>
          </w:p>
        </w:tc>
        <w:tc>
          <w:tcPr>
            <w:tcW w:w="1421" w:type="dxa"/>
            <w:vAlign w:val="center"/>
          </w:tcPr>
          <w:p w14:paraId="05069146">
            <w:pPr>
              <w:spacing w:line="336"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2100" w:type="dxa"/>
            <w:gridSpan w:val="2"/>
            <w:vAlign w:val="center"/>
          </w:tcPr>
          <w:p w14:paraId="025E576E">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年  月  日</w:t>
            </w:r>
          </w:p>
        </w:tc>
      </w:tr>
      <w:tr w14:paraId="6BED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155" w:type="dxa"/>
            <w:gridSpan w:val="2"/>
            <w:vAlign w:val="center"/>
          </w:tcPr>
          <w:p w14:paraId="7A1C55F4">
            <w:pPr>
              <w:spacing w:line="336" w:lineRule="auto"/>
              <w:jc w:val="center"/>
              <w:rPr>
                <w:rFonts w:ascii="宋体" w:hAnsi="宋体" w:cs="宋体"/>
                <w:color w:val="auto"/>
                <w:sz w:val="24"/>
                <w:highlight w:val="none"/>
              </w:rPr>
            </w:pPr>
            <w:r>
              <w:rPr>
                <w:rFonts w:hint="eastAsia" w:ascii="宋体" w:hAnsi="宋体" w:cs="宋体"/>
                <w:color w:val="auto"/>
                <w:sz w:val="24"/>
                <w:highlight w:val="none"/>
              </w:rPr>
              <w:t>从事本专业时间</w:t>
            </w:r>
          </w:p>
        </w:tc>
        <w:tc>
          <w:tcPr>
            <w:tcW w:w="2504" w:type="dxa"/>
            <w:gridSpan w:val="2"/>
            <w:vAlign w:val="center"/>
          </w:tcPr>
          <w:p w14:paraId="0F52C4AD">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年</w:t>
            </w:r>
          </w:p>
        </w:tc>
        <w:tc>
          <w:tcPr>
            <w:tcW w:w="2181" w:type="dxa"/>
            <w:gridSpan w:val="2"/>
            <w:vAlign w:val="center"/>
          </w:tcPr>
          <w:p w14:paraId="477DE9B0">
            <w:pPr>
              <w:spacing w:line="336" w:lineRule="auto"/>
              <w:jc w:val="center"/>
              <w:rPr>
                <w:rFonts w:ascii="宋体" w:hAnsi="宋体" w:cs="宋体"/>
                <w:color w:val="auto"/>
                <w:sz w:val="24"/>
                <w:highlight w:val="none"/>
              </w:rPr>
            </w:pPr>
            <w:r>
              <w:rPr>
                <w:rFonts w:hint="eastAsia" w:ascii="宋体" w:hAnsi="宋体" w:cs="宋体"/>
                <w:color w:val="auto"/>
                <w:sz w:val="24"/>
                <w:highlight w:val="none"/>
              </w:rPr>
              <w:t>为申请人</w:t>
            </w:r>
          </w:p>
          <w:p w14:paraId="699BF316">
            <w:pPr>
              <w:spacing w:line="336" w:lineRule="auto"/>
              <w:jc w:val="center"/>
              <w:rPr>
                <w:rFonts w:ascii="宋体" w:hAnsi="宋体" w:cs="宋体"/>
                <w:color w:val="auto"/>
                <w:sz w:val="24"/>
                <w:highlight w:val="none"/>
              </w:rPr>
            </w:pPr>
            <w:r>
              <w:rPr>
                <w:rFonts w:hint="eastAsia" w:ascii="宋体" w:hAnsi="宋体" w:cs="宋体"/>
                <w:color w:val="auto"/>
                <w:sz w:val="24"/>
                <w:highlight w:val="none"/>
              </w:rPr>
              <w:t>服务时间</w:t>
            </w:r>
          </w:p>
        </w:tc>
        <w:tc>
          <w:tcPr>
            <w:tcW w:w="2100" w:type="dxa"/>
            <w:gridSpan w:val="2"/>
            <w:vAlign w:val="center"/>
          </w:tcPr>
          <w:p w14:paraId="6D4CA1BC">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年</w:t>
            </w:r>
          </w:p>
        </w:tc>
      </w:tr>
      <w:tr w14:paraId="7A19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155" w:type="dxa"/>
            <w:gridSpan w:val="2"/>
            <w:vAlign w:val="center"/>
          </w:tcPr>
          <w:p w14:paraId="36A3209F">
            <w:pPr>
              <w:spacing w:line="336" w:lineRule="auto"/>
              <w:jc w:val="center"/>
              <w:rPr>
                <w:rFonts w:ascii="宋体" w:hAnsi="宋体" w:cs="宋体"/>
                <w:color w:val="auto"/>
                <w:sz w:val="24"/>
                <w:highlight w:val="none"/>
              </w:rPr>
            </w:pPr>
            <w:r>
              <w:rPr>
                <w:rFonts w:hint="eastAsia" w:ascii="宋体" w:hAnsi="宋体" w:cs="宋体"/>
                <w:color w:val="auto"/>
                <w:sz w:val="24"/>
                <w:highlight w:val="none"/>
              </w:rPr>
              <w:t>执业注册</w:t>
            </w:r>
          </w:p>
        </w:tc>
        <w:tc>
          <w:tcPr>
            <w:tcW w:w="2504" w:type="dxa"/>
            <w:gridSpan w:val="2"/>
            <w:vAlign w:val="center"/>
          </w:tcPr>
          <w:p w14:paraId="6EBE8AA3">
            <w:pPr>
              <w:spacing w:line="336" w:lineRule="auto"/>
              <w:jc w:val="center"/>
              <w:rPr>
                <w:rFonts w:ascii="宋体" w:hAnsi="宋体" w:cs="宋体"/>
                <w:color w:val="auto"/>
                <w:sz w:val="24"/>
                <w:highlight w:val="none"/>
              </w:rPr>
            </w:pPr>
          </w:p>
        </w:tc>
        <w:tc>
          <w:tcPr>
            <w:tcW w:w="2181" w:type="dxa"/>
            <w:gridSpan w:val="2"/>
            <w:vAlign w:val="center"/>
          </w:tcPr>
          <w:p w14:paraId="365D045E">
            <w:pPr>
              <w:spacing w:line="336" w:lineRule="auto"/>
              <w:jc w:val="center"/>
              <w:rPr>
                <w:rFonts w:ascii="宋体" w:hAnsi="宋体" w:cs="宋体"/>
                <w:color w:val="auto"/>
                <w:sz w:val="24"/>
                <w:highlight w:val="none"/>
              </w:rPr>
            </w:pPr>
            <w:r>
              <w:rPr>
                <w:rFonts w:hint="eastAsia" w:ascii="宋体" w:hAnsi="宋体" w:cs="宋体"/>
                <w:color w:val="auto"/>
                <w:sz w:val="24"/>
                <w:highlight w:val="none"/>
              </w:rPr>
              <w:t>职     称</w:t>
            </w:r>
          </w:p>
        </w:tc>
        <w:tc>
          <w:tcPr>
            <w:tcW w:w="2100" w:type="dxa"/>
            <w:gridSpan w:val="2"/>
            <w:vAlign w:val="center"/>
          </w:tcPr>
          <w:p w14:paraId="5FE5202A">
            <w:pPr>
              <w:spacing w:line="336" w:lineRule="auto"/>
              <w:jc w:val="center"/>
              <w:rPr>
                <w:rFonts w:ascii="宋体" w:hAnsi="宋体" w:cs="宋体"/>
                <w:color w:val="auto"/>
                <w:sz w:val="24"/>
                <w:highlight w:val="none"/>
              </w:rPr>
            </w:pPr>
          </w:p>
        </w:tc>
      </w:tr>
      <w:tr w14:paraId="7C4C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659" w:type="dxa"/>
            <w:gridSpan w:val="4"/>
            <w:vAlign w:val="center"/>
          </w:tcPr>
          <w:p w14:paraId="4B77EBF9">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在本项目拟任职务</w:t>
            </w:r>
          </w:p>
        </w:tc>
        <w:tc>
          <w:tcPr>
            <w:tcW w:w="4281" w:type="dxa"/>
            <w:gridSpan w:val="4"/>
            <w:vAlign w:val="center"/>
          </w:tcPr>
          <w:p w14:paraId="4B61A4FF">
            <w:pPr>
              <w:spacing w:line="336" w:lineRule="auto"/>
              <w:jc w:val="center"/>
              <w:rPr>
                <w:rFonts w:ascii="宋体" w:hAnsi="宋体" w:cs="宋体"/>
                <w:color w:val="auto"/>
                <w:sz w:val="24"/>
                <w:highlight w:val="none"/>
              </w:rPr>
            </w:pPr>
            <w:r>
              <w:rPr>
                <w:rFonts w:hint="eastAsia" w:ascii="宋体" w:hAnsi="宋体" w:cs="宋体"/>
                <w:color w:val="auto"/>
                <w:sz w:val="24"/>
                <w:highlight w:val="none"/>
              </w:rPr>
              <w:t>项目负责人</w:t>
            </w:r>
          </w:p>
        </w:tc>
      </w:tr>
      <w:tr w14:paraId="665D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940" w:type="dxa"/>
            <w:gridSpan w:val="8"/>
            <w:vAlign w:val="center"/>
          </w:tcPr>
          <w:p w14:paraId="66F7F007">
            <w:pPr>
              <w:spacing w:line="336" w:lineRule="auto"/>
              <w:jc w:val="center"/>
              <w:rPr>
                <w:rFonts w:ascii="宋体" w:hAnsi="宋体" w:cs="宋体"/>
                <w:color w:val="auto"/>
                <w:sz w:val="24"/>
                <w:highlight w:val="none"/>
              </w:rPr>
            </w:pPr>
            <w:r>
              <w:rPr>
                <w:rFonts w:hint="eastAsia" w:ascii="宋体" w:hAnsi="宋体" w:cs="宋体"/>
                <w:color w:val="auto"/>
                <w:sz w:val="24"/>
                <w:highlight w:val="none"/>
              </w:rPr>
              <w:t>主  要  经  历</w:t>
            </w:r>
          </w:p>
        </w:tc>
      </w:tr>
      <w:tr w14:paraId="6B68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3" w:type="dxa"/>
            <w:vAlign w:val="center"/>
          </w:tcPr>
          <w:p w14:paraId="3E76BDF1">
            <w:pPr>
              <w:spacing w:line="336" w:lineRule="auto"/>
              <w:jc w:val="center"/>
              <w:rPr>
                <w:rFonts w:ascii="宋体" w:hAnsi="宋体" w:cs="宋体"/>
                <w:color w:val="auto"/>
                <w:sz w:val="24"/>
                <w:highlight w:val="none"/>
              </w:rPr>
            </w:pPr>
            <w:r>
              <w:rPr>
                <w:rFonts w:hint="eastAsia" w:ascii="宋体" w:hAnsi="宋体" w:cs="宋体"/>
                <w:color w:val="auto"/>
                <w:sz w:val="24"/>
                <w:highlight w:val="none"/>
              </w:rPr>
              <w:t>时间</w:t>
            </w:r>
          </w:p>
        </w:tc>
        <w:tc>
          <w:tcPr>
            <w:tcW w:w="5684" w:type="dxa"/>
            <w:gridSpan w:val="6"/>
            <w:vAlign w:val="center"/>
          </w:tcPr>
          <w:p w14:paraId="2C7A5565">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参加过的类似项目名称及规模</w:t>
            </w:r>
          </w:p>
        </w:tc>
        <w:tc>
          <w:tcPr>
            <w:tcW w:w="2013" w:type="dxa"/>
            <w:vAlign w:val="center"/>
          </w:tcPr>
          <w:p w14:paraId="4D1B34B9">
            <w:pPr>
              <w:spacing w:line="336" w:lineRule="auto"/>
              <w:jc w:val="center"/>
              <w:rPr>
                <w:rFonts w:ascii="宋体" w:hAnsi="宋体" w:cs="宋体"/>
                <w:color w:val="auto"/>
                <w:sz w:val="24"/>
                <w:highlight w:val="none"/>
              </w:rPr>
            </w:pPr>
            <w:r>
              <w:rPr>
                <w:rFonts w:hint="eastAsia" w:ascii="宋体" w:hAnsi="宋体" w:cs="宋体"/>
                <w:color w:val="auto"/>
                <w:sz w:val="24"/>
                <w:highlight w:val="none"/>
              </w:rPr>
              <w:t>该项目中</w:t>
            </w:r>
          </w:p>
          <w:p w14:paraId="66513A66">
            <w:pPr>
              <w:spacing w:line="336" w:lineRule="auto"/>
              <w:jc w:val="center"/>
              <w:rPr>
                <w:rFonts w:ascii="宋体" w:hAnsi="宋体" w:cs="宋体"/>
                <w:color w:val="auto"/>
                <w:sz w:val="24"/>
                <w:highlight w:val="none"/>
              </w:rPr>
            </w:pPr>
            <w:r>
              <w:rPr>
                <w:rFonts w:hint="eastAsia" w:ascii="宋体" w:hAnsi="宋体" w:cs="宋体"/>
                <w:color w:val="auto"/>
                <w:sz w:val="24"/>
                <w:highlight w:val="none"/>
              </w:rPr>
              <w:t>担任职务</w:t>
            </w:r>
          </w:p>
        </w:tc>
      </w:tr>
      <w:tr w14:paraId="2FD1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Align w:val="center"/>
          </w:tcPr>
          <w:p w14:paraId="4AEE129D">
            <w:pPr>
              <w:spacing w:line="336" w:lineRule="auto"/>
              <w:jc w:val="center"/>
              <w:rPr>
                <w:rFonts w:ascii="宋体" w:hAnsi="宋体" w:cs="宋体"/>
                <w:color w:val="auto"/>
                <w:sz w:val="24"/>
                <w:highlight w:val="none"/>
              </w:rPr>
            </w:pPr>
          </w:p>
          <w:p w14:paraId="325E50A0">
            <w:pPr>
              <w:spacing w:line="336" w:lineRule="auto"/>
              <w:jc w:val="center"/>
              <w:rPr>
                <w:rFonts w:ascii="宋体" w:hAnsi="宋体" w:cs="宋体"/>
                <w:color w:val="auto"/>
                <w:sz w:val="24"/>
                <w:highlight w:val="none"/>
              </w:rPr>
            </w:pPr>
          </w:p>
          <w:p w14:paraId="53DCCE2F">
            <w:pPr>
              <w:spacing w:line="336" w:lineRule="auto"/>
              <w:jc w:val="center"/>
              <w:rPr>
                <w:rFonts w:ascii="宋体" w:hAnsi="宋体" w:cs="宋体"/>
                <w:color w:val="auto"/>
                <w:sz w:val="24"/>
                <w:highlight w:val="none"/>
              </w:rPr>
            </w:pPr>
          </w:p>
          <w:p w14:paraId="66DBF025">
            <w:pPr>
              <w:spacing w:line="336" w:lineRule="auto"/>
              <w:jc w:val="center"/>
              <w:rPr>
                <w:rFonts w:ascii="宋体" w:hAnsi="宋体" w:cs="宋体"/>
                <w:color w:val="auto"/>
                <w:sz w:val="24"/>
                <w:highlight w:val="none"/>
              </w:rPr>
            </w:pPr>
          </w:p>
          <w:p w14:paraId="39BFBFB8">
            <w:pPr>
              <w:spacing w:line="336" w:lineRule="auto"/>
              <w:jc w:val="center"/>
              <w:rPr>
                <w:rFonts w:ascii="宋体" w:hAnsi="宋体" w:cs="宋体"/>
                <w:color w:val="auto"/>
                <w:sz w:val="24"/>
                <w:highlight w:val="none"/>
              </w:rPr>
            </w:pPr>
          </w:p>
          <w:p w14:paraId="67A844F9">
            <w:pPr>
              <w:spacing w:line="336" w:lineRule="auto"/>
              <w:jc w:val="center"/>
              <w:rPr>
                <w:rFonts w:ascii="宋体" w:hAnsi="宋体" w:cs="宋体"/>
                <w:color w:val="auto"/>
                <w:sz w:val="24"/>
                <w:highlight w:val="none"/>
              </w:rPr>
            </w:pPr>
          </w:p>
        </w:tc>
        <w:tc>
          <w:tcPr>
            <w:tcW w:w="5684" w:type="dxa"/>
            <w:gridSpan w:val="6"/>
            <w:vAlign w:val="center"/>
          </w:tcPr>
          <w:p w14:paraId="2A5B1ACC">
            <w:pPr>
              <w:spacing w:line="336" w:lineRule="auto"/>
              <w:jc w:val="center"/>
              <w:rPr>
                <w:rFonts w:ascii="宋体" w:hAnsi="宋体" w:cs="宋体"/>
                <w:color w:val="auto"/>
                <w:sz w:val="24"/>
                <w:highlight w:val="none"/>
              </w:rPr>
            </w:pPr>
          </w:p>
          <w:p w14:paraId="52C1461B">
            <w:pPr>
              <w:spacing w:line="336" w:lineRule="auto"/>
              <w:jc w:val="center"/>
              <w:rPr>
                <w:rFonts w:ascii="宋体" w:hAnsi="宋体" w:cs="宋体"/>
                <w:color w:val="auto"/>
                <w:sz w:val="24"/>
                <w:highlight w:val="none"/>
              </w:rPr>
            </w:pPr>
          </w:p>
          <w:p w14:paraId="43CCA1E3">
            <w:pPr>
              <w:spacing w:line="336" w:lineRule="auto"/>
              <w:jc w:val="center"/>
              <w:rPr>
                <w:rFonts w:ascii="宋体" w:hAnsi="宋体" w:cs="宋体"/>
                <w:color w:val="auto"/>
                <w:sz w:val="24"/>
                <w:highlight w:val="none"/>
              </w:rPr>
            </w:pPr>
          </w:p>
          <w:p w14:paraId="54C6BDF1">
            <w:pPr>
              <w:spacing w:line="336" w:lineRule="auto"/>
              <w:jc w:val="center"/>
              <w:rPr>
                <w:rFonts w:ascii="宋体" w:hAnsi="宋体" w:cs="宋体"/>
                <w:color w:val="auto"/>
                <w:sz w:val="24"/>
                <w:highlight w:val="none"/>
              </w:rPr>
            </w:pPr>
          </w:p>
          <w:p w14:paraId="0E9A824E">
            <w:pPr>
              <w:spacing w:line="336" w:lineRule="auto"/>
              <w:jc w:val="center"/>
              <w:rPr>
                <w:rFonts w:ascii="宋体" w:hAnsi="宋体" w:cs="宋体"/>
                <w:color w:val="auto"/>
                <w:sz w:val="24"/>
                <w:highlight w:val="none"/>
              </w:rPr>
            </w:pPr>
          </w:p>
          <w:p w14:paraId="4598F17A">
            <w:pPr>
              <w:spacing w:line="336" w:lineRule="auto"/>
              <w:jc w:val="center"/>
              <w:rPr>
                <w:rFonts w:ascii="宋体" w:hAnsi="宋体" w:cs="宋体"/>
                <w:color w:val="auto"/>
                <w:sz w:val="24"/>
                <w:highlight w:val="none"/>
              </w:rPr>
            </w:pPr>
          </w:p>
          <w:p w14:paraId="15584E49">
            <w:pPr>
              <w:spacing w:line="336" w:lineRule="auto"/>
              <w:jc w:val="center"/>
              <w:rPr>
                <w:rFonts w:ascii="宋体" w:hAnsi="宋体" w:cs="宋体"/>
                <w:color w:val="auto"/>
                <w:sz w:val="24"/>
                <w:highlight w:val="none"/>
              </w:rPr>
            </w:pPr>
          </w:p>
        </w:tc>
        <w:tc>
          <w:tcPr>
            <w:tcW w:w="2013" w:type="dxa"/>
            <w:vAlign w:val="center"/>
          </w:tcPr>
          <w:p w14:paraId="3087AD8E">
            <w:pPr>
              <w:spacing w:line="336" w:lineRule="auto"/>
              <w:jc w:val="center"/>
              <w:rPr>
                <w:rFonts w:ascii="宋体" w:hAnsi="宋体" w:cs="宋体"/>
                <w:color w:val="auto"/>
                <w:sz w:val="24"/>
                <w:highlight w:val="none"/>
              </w:rPr>
            </w:pPr>
          </w:p>
        </w:tc>
      </w:tr>
    </w:tbl>
    <w:p w14:paraId="7204D201">
      <w:pPr>
        <w:spacing w:line="336" w:lineRule="auto"/>
        <w:jc w:val="left"/>
        <w:rPr>
          <w:rFonts w:ascii="宋体" w:hAnsi="宋体" w:cs="宋体"/>
          <w:color w:val="auto"/>
          <w:sz w:val="24"/>
          <w:highlight w:val="none"/>
        </w:rPr>
      </w:pPr>
    </w:p>
    <w:p w14:paraId="31226D5A">
      <w:pPr>
        <w:pStyle w:val="12"/>
        <w:jc w:val="left"/>
        <w:rPr>
          <w:rFonts w:ascii="宋体" w:hAnsi="宋体"/>
          <w:color w:val="auto"/>
          <w:highlight w:val="none"/>
        </w:rPr>
      </w:pPr>
    </w:p>
    <w:p w14:paraId="0DF2E4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或被授权委托人</w:t>
      </w:r>
      <w:r>
        <w:rPr>
          <w:rFonts w:hint="eastAsia" w:ascii="宋体" w:hAnsi="宋体" w:eastAsia="宋体" w:cs="宋体"/>
          <w:color w:val="auto"/>
          <w:sz w:val="24"/>
          <w:highlight w:val="none"/>
        </w:rPr>
        <w:t xml:space="preserve">签名（或签名章）：                       </w:t>
      </w:r>
    </w:p>
    <w:p w14:paraId="2BF52A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0FCE1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p>
    <w:p w14:paraId="5F4DA155">
      <w:pPr>
        <w:pStyle w:val="5"/>
        <w:spacing w:line="360" w:lineRule="auto"/>
        <w:jc w:val="left"/>
        <w:rPr>
          <w:rFonts w:hAnsi="宋体" w:cs="宋体"/>
          <w:bCs/>
          <w:color w:val="auto"/>
          <w:sz w:val="24"/>
          <w:highlight w:val="none"/>
          <w:lang w:val="zh-CN"/>
        </w:rPr>
      </w:pPr>
      <w:r>
        <w:rPr>
          <w:rFonts w:hint="eastAsia" w:cs="宋体"/>
          <w:color w:val="auto"/>
          <w:sz w:val="24"/>
          <w:highlight w:val="none"/>
        </w:rPr>
        <w:br w:type="page"/>
      </w:r>
      <w:bookmarkStart w:id="495" w:name="_Toc65422357"/>
      <w:r>
        <w:rPr>
          <w:rFonts w:hint="eastAsia" w:ascii="Calibri" w:hAnsi="Calibri"/>
          <w:bCs/>
          <w:color w:val="auto"/>
          <w:szCs w:val="28"/>
          <w:highlight w:val="none"/>
          <w:lang w:val="zh-CN"/>
        </w:rPr>
        <w:t>附件</w:t>
      </w:r>
      <w:r>
        <w:rPr>
          <w:rFonts w:hint="eastAsia" w:ascii="Calibri" w:hAnsi="Calibri"/>
          <w:bCs/>
          <w:color w:val="auto"/>
          <w:szCs w:val="28"/>
          <w:highlight w:val="none"/>
        </w:rPr>
        <w:t>九</w:t>
      </w:r>
      <w:r>
        <w:rPr>
          <w:rFonts w:hint="eastAsia" w:ascii="Calibri" w:hAnsi="Calibri"/>
          <w:bCs/>
          <w:color w:val="auto"/>
          <w:szCs w:val="28"/>
          <w:highlight w:val="none"/>
          <w:lang w:val="zh-CN"/>
        </w:rPr>
        <w:t>：</w:t>
      </w:r>
    </w:p>
    <w:p w14:paraId="6B08D82E">
      <w:pPr>
        <w:pStyle w:val="5"/>
        <w:spacing w:line="360" w:lineRule="auto"/>
        <w:jc w:val="center"/>
        <w:rPr>
          <w:color w:val="auto"/>
          <w:highlight w:val="none"/>
        </w:rPr>
      </w:pPr>
      <w:r>
        <w:rPr>
          <w:rFonts w:hint="eastAsia"/>
          <w:color w:val="auto"/>
          <w:highlight w:val="none"/>
        </w:rPr>
        <w:t>本项目拟投入设备情况表</w:t>
      </w:r>
      <w:bookmarkEnd w:id="495"/>
    </w:p>
    <w:p w14:paraId="05B689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657409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p w14:paraId="3FFD9E7A">
      <w:pPr>
        <w:pStyle w:val="16"/>
        <w:spacing w:line="360" w:lineRule="auto"/>
        <w:ind w:right="960"/>
        <w:rPr>
          <w:rFonts w:hAnsi="宋体"/>
          <w:color w:val="auto"/>
          <w:sz w:val="24"/>
          <w:highlight w:val="none"/>
        </w:rPr>
      </w:pPr>
    </w:p>
    <w:tbl>
      <w:tblPr>
        <w:tblStyle w:val="32"/>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957"/>
        <w:gridCol w:w="1753"/>
        <w:gridCol w:w="1670"/>
        <w:gridCol w:w="1905"/>
      </w:tblGrid>
      <w:tr w14:paraId="1088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9" w:type="dxa"/>
            <w:vAlign w:val="center"/>
          </w:tcPr>
          <w:p w14:paraId="0C4F519C">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957" w:type="dxa"/>
            <w:vAlign w:val="center"/>
          </w:tcPr>
          <w:p w14:paraId="157F1FDA">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1753" w:type="dxa"/>
            <w:vAlign w:val="center"/>
          </w:tcPr>
          <w:p w14:paraId="3A0EB875">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品牌</w:t>
            </w:r>
          </w:p>
        </w:tc>
        <w:tc>
          <w:tcPr>
            <w:tcW w:w="1670" w:type="dxa"/>
            <w:vAlign w:val="center"/>
          </w:tcPr>
          <w:p w14:paraId="134C4D76">
            <w:pPr>
              <w:spacing w:line="336"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905" w:type="dxa"/>
            <w:vAlign w:val="center"/>
          </w:tcPr>
          <w:p w14:paraId="461876B8">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456D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39" w:type="dxa"/>
          </w:tcPr>
          <w:p w14:paraId="65B49A6D">
            <w:pPr>
              <w:spacing w:line="360" w:lineRule="auto"/>
              <w:rPr>
                <w:color w:val="auto"/>
                <w:sz w:val="24"/>
                <w:highlight w:val="none"/>
              </w:rPr>
            </w:pPr>
          </w:p>
        </w:tc>
        <w:tc>
          <w:tcPr>
            <w:tcW w:w="2957" w:type="dxa"/>
          </w:tcPr>
          <w:p w14:paraId="0E64E9F6">
            <w:pPr>
              <w:spacing w:line="360" w:lineRule="auto"/>
              <w:rPr>
                <w:color w:val="auto"/>
                <w:sz w:val="24"/>
                <w:highlight w:val="none"/>
              </w:rPr>
            </w:pPr>
          </w:p>
        </w:tc>
        <w:tc>
          <w:tcPr>
            <w:tcW w:w="1753" w:type="dxa"/>
          </w:tcPr>
          <w:p w14:paraId="788B06FD">
            <w:pPr>
              <w:spacing w:line="360" w:lineRule="auto"/>
              <w:rPr>
                <w:color w:val="auto"/>
                <w:sz w:val="24"/>
                <w:highlight w:val="none"/>
              </w:rPr>
            </w:pPr>
          </w:p>
        </w:tc>
        <w:tc>
          <w:tcPr>
            <w:tcW w:w="1670" w:type="dxa"/>
          </w:tcPr>
          <w:p w14:paraId="65E3B432">
            <w:pPr>
              <w:spacing w:line="360" w:lineRule="auto"/>
              <w:rPr>
                <w:color w:val="auto"/>
                <w:sz w:val="24"/>
                <w:highlight w:val="none"/>
              </w:rPr>
            </w:pPr>
          </w:p>
        </w:tc>
        <w:tc>
          <w:tcPr>
            <w:tcW w:w="1905" w:type="dxa"/>
          </w:tcPr>
          <w:p w14:paraId="1B3F15A4">
            <w:pPr>
              <w:spacing w:line="360" w:lineRule="auto"/>
              <w:rPr>
                <w:color w:val="auto"/>
                <w:sz w:val="24"/>
                <w:highlight w:val="none"/>
              </w:rPr>
            </w:pPr>
          </w:p>
        </w:tc>
      </w:tr>
      <w:tr w14:paraId="719D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39" w:type="dxa"/>
          </w:tcPr>
          <w:p w14:paraId="760FB449">
            <w:pPr>
              <w:spacing w:line="360" w:lineRule="auto"/>
              <w:rPr>
                <w:color w:val="auto"/>
                <w:sz w:val="24"/>
                <w:highlight w:val="none"/>
              </w:rPr>
            </w:pPr>
          </w:p>
        </w:tc>
        <w:tc>
          <w:tcPr>
            <w:tcW w:w="2957" w:type="dxa"/>
          </w:tcPr>
          <w:p w14:paraId="26E97210">
            <w:pPr>
              <w:spacing w:line="360" w:lineRule="auto"/>
              <w:rPr>
                <w:color w:val="auto"/>
                <w:sz w:val="24"/>
                <w:highlight w:val="none"/>
              </w:rPr>
            </w:pPr>
          </w:p>
        </w:tc>
        <w:tc>
          <w:tcPr>
            <w:tcW w:w="1753" w:type="dxa"/>
          </w:tcPr>
          <w:p w14:paraId="263E1E00">
            <w:pPr>
              <w:spacing w:line="360" w:lineRule="auto"/>
              <w:rPr>
                <w:color w:val="auto"/>
                <w:sz w:val="24"/>
                <w:highlight w:val="none"/>
              </w:rPr>
            </w:pPr>
          </w:p>
        </w:tc>
        <w:tc>
          <w:tcPr>
            <w:tcW w:w="1670" w:type="dxa"/>
          </w:tcPr>
          <w:p w14:paraId="5A3BA226">
            <w:pPr>
              <w:spacing w:line="360" w:lineRule="auto"/>
              <w:rPr>
                <w:color w:val="auto"/>
                <w:sz w:val="24"/>
                <w:highlight w:val="none"/>
              </w:rPr>
            </w:pPr>
          </w:p>
        </w:tc>
        <w:tc>
          <w:tcPr>
            <w:tcW w:w="1905" w:type="dxa"/>
          </w:tcPr>
          <w:p w14:paraId="40A1F31F">
            <w:pPr>
              <w:spacing w:line="360" w:lineRule="auto"/>
              <w:rPr>
                <w:color w:val="auto"/>
                <w:sz w:val="24"/>
                <w:highlight w:val="none"/>
              </w:rPr>
            </w:pPr>
          </w:p>
        </w:tc>
      </w:tr>
      <w:tr w14:paraId="6A71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39" w:type="dxa"/>
          </w:tcPr>
          <w:p w14:paraId="0B566C85">
            <w:pPr>
              <w:spacing w:line="360" w:lineRule="auto"/>
              <w:rPr>
                <w:color w:val="auto"/>
                <w:sz w:val="24"/>
                <w:highlight w:val="none"/>
              </w:rPr>
            </w:pPr>
          </w:p>
        </w:tc>
        <w:tc>
          <w:tcPr>
            <w:tcW w:w="2957" w:type="dxa"/>
          </w:tcPr>
          <w:p w14:paraId="3D5071E0">
            <w:pPr>
              <w:spacing w:line="360" w:lineRule="auto"/>
              <w:rPr>
                <w:color w:val="auto"/>
                <w:sz w:val="24"/>
                <w:highlight w:val="none"/>
              </w:rPr>
            </w:pPr>
          </w:p>
        </w:tc>
        <w:tc>
          <w:tcPr>
            <w:tcW w:w="1753" w:type="dxa"/>
          </w:tcPr>
          <w:p w14:paraId="76FD8685">
            <w:pPr>
              <w:spacing w:line="360" w:lineRule="auto"/>
              <w:rPr>
                <w:color w:val="auto"/>
                <w:sz w:val="24"/>
                <w:highlight w:val="none"/>
              </w:rPr>
            </w:pPr>
          </w:p>
        </w:tc>
        <w:tc>
          <w:tcPr>
            <w:tcW w:w="1670" w:type="dxa"/>
          </w:tcPr>
          <w:p w14:paraId="035A019B">
            <w:pPr>
              <w:spacing w:line="360" w:lineRule="auto"/>
              <w:rPr>
                <w:color w:val="auto"/>
                <w:sz w:val="24"/>
                <w:highlight w:val="none"/>
              </w:rPr>
            </w:pPr>
          </w:p>
        </w:tc>
        <w:tc>
          <w:tcPr>
            <w:tcW w:w="1905" w:type="dxa"/>
          </w:tcPr>
          <w:p w14:paraId="631A6CEC">
            <w:pPr>
              <w:spacing w:line="360" w:lineRule="auto"/>
              <w:rPr>
                <w:color w:val="auto"/>
                <w:sz w:val="24"/>
                <w:highlight w:val="none"/>
              </w:rPr>
            </w:pPr>
          </w:p>
        </w:tc>
      </w:tr>
      <w:tr w14:paraId="632F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39" w:type="dxa"/>
          </w:tcPr>
          <w:p w14:paraId="2713D005">
            <w:pPr>
              <w:spacing w:line="360" w:lineRule="auto"/>
              <w:rPr>
                <w:color w:val="auto"/>
                <w:sz w:val="24"/>
                <w:highlight w:val="none"/>
              </w:rPr>
            </w:pPr>
          </w:p>
        </w:tc>
        <w:tc>
          <w:tcPr>
            <w:tcW w:w="2957" w:type="dxa"/>
          </w:tcPr>
          <w:p w14:paraId="472A9BAE">
            <w:pPr>
              <w:spacing w:line="360" w:lineRule="auto"/>
              <w:rPr>
                <w:color w:val="auto"/>
                <w:sz w:val="24"/>
                <w:highlight w:val="none"/>
              </w:rPr>
            </w:pPr>
          </w:p>
        </w:tc>
        <w:tc>
          <w:tcPr>
            <w:tcW w:w="1753" w:type="dxa"/>
          </w:tcPr>
          <w:p w14:paraId="695C9791">
            <w:pPr>
              <w:spacing w:line="360" w:lineRule="auto"/>
              <w:rPr>
                <w:color w:val="auto"/>
                <w:sz w:val="24"/>
                <w:highlight w:val="none"/>
              </w:rPr>
            </w:pPr>
          </w:p>
        </w:tc>
        <w:tc>
          <w:tcPr>
            <w:tcW w:w="1670" w:type="dxa"/>
          </w:tcPr>
          <w:p w14:paraId="06B4D4E0">
            <w:pPr>
              <w:spacing w:line="360" w:lineRule="auto"/>
              <w:rPr>
                <w:color w:val="auto"/>
                <w:sz w:val="24"/>
                <w:highlight w:val="none"/>
              </w:rPr>
            </w:pPr>
          </w:p>
        </w:tc>
        <w:tc>
          <w:tcPr>
            <w:tcW w:w="1905" w:type="dxa"/>
          </w:tcPr>
          <w:p w14:paraId="05FB5219">
            <w:pPr>
              <w:spacing w:line="360" w:lineRule="auto"/>
              <w:rPr>
                <w:color w:val="auto"/>
                <w:sz w:val="24"/>
                <w:highlight w:val="none"/>
              </w:rPr>
            </w:pPr>
          </w:p>
        </w:tc>
      </w:tr>
      <w:tr w14:paraId="5C5B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39" w:type="dxa"/>
          </w:tcPr>
          <w:p w14:paraId="13F76A9B">
            <w:pPr>
              <w:spacing w:line="360" w:lineRule="auto"/>
              <w:rPr>
                <w:color w:val="auto"/>
                <w:sz w:val="24"/>
                <w:highlight w:val="none"/>
              </w:rPr>
            </w:pPr>
          </w:p>
        </w:tc>
        <w:tc>
          <w:tcPr>
            <w:tcW w:w="2957" w:type="dxa"/>
          </w:tcPr>
          <w:p w14:paraId="7253BA40">
            <w:pPr>
              <w:spacing w:line="360" w:lineRule="auto"/>
              <w:rPr>
                <w:color w:val="auto"/>
                <w:sz w:val="24"/>
                <w:highlight w:val="none"/>
              </w:rPr>
            </w:pPr>
          </w:p>
        </w:tc>
        <w:tc>
          <w:tcPr>
            <w:tcW w:w="1753" w:type="dxa"/>
          </w:tcPr>
          <w:p w14:paraId="493736E6">
            <w:pPr>
              <w:spacing w:line="360" w:lineRule="auto"/>
              <w:rPr>
                <w:color w:val="auto"/>
                <w:sz w:val="24"/>
                <w:highlight w:val="none"/>
              </w:rPr>
            </w:pPr>
          </w:p>
        </w:tc>
        <w:tc>
          <w:tcPr>
            <w:tcW w:w="1670" w:type="dxa"/>
          </w:tcPr>
          <w:p w14:paraId="15DAB2AB">
            <w:pPr>
              <w:spacing w:line="360" w:lineRule="auto"/>
              <w:rPr>
                <w:color w:val="auto"/>
                <w:sz w:val="24"/>
                <w:highlight w:val="none"/>
              </w:rPr>
            </w:pPr>
          </w:p>
        </w:tc>
        <w:tc>
          <w:tcPr>
            <w:tcW w:w="1905" w:type="dxa"/>
          </w:tcPr>
          <w:p w14:paraId="5691E875">
            <w:pPr>
              <w:spacing w:line="360" w:lineRule="auto"/>
              <w:rPr>
                <w:color w:val="auto"/>
                <w:sz w:val="24"/>
                <w:highlight w:val="none"/>
              </w:rPr>
            </w:pPr>
          </w:p>
        </w:tc>
      </w:tr>
    </w:tbl>
    <w:p w14:paraId="4BA8C073">
      <w:pPr>
        <w:pStyle w:val="16"/>
        <w:spacing w:line="360" w:lineRule="auto"/>
        <w:jc w:val="right"/>
        <w:rPr>
          <w:rFonts w:hAnsi="宋体"/>
          <w:color w:val="auto"/>
          <w:sz w:val="24"/>
          <w:highlight w:val="none"/>
        </w:rPr>
      </w:pPr>
    </w:p>
    <w:p w14:paraId="2514E24C">
      <w:pPr>
        <w:spacing w:line="360" w:lineRule="auto"/>
        <w:rPr>
          <w:rFonts w:hint="eastAsia" w:ascii="宋体" w:hAnsi="宋体" w:eastAsia="宋体" w:cs="宋体"/>
          <w:color w:val="auto"/>
          <w:sz w:val="24"/>
          <w:highlight w:val="none"/>
        </w:rPr>
      </w:pPr>
    </w:p>
    <w:p w14:paraId="7A92F0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或被授权委托人</w:t>
      </w:r>
      <w:r>
        <w:rPr>
          <w:rFonts w:hint="eastAsia" w:ascii="宋体" w:hAnsi="宋体" w:eastAsia="宋体" w:cs="宋体"/>
          <w:color w:val="auto"/>
          <w:sz w:val="24"/>
          <w:highlight w:val="none"/>
        </w:rPr>
        <w:t xml:space="preserve">签名（或签名章）：                       </w:t>
      </w:r>
    </w:p>
    <w:p w14:paraId="377832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CDAC7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p>
    <w:p w14:paraId="2EF04DFC">
      <w:pPr>
        <w:pStyle w:val="3"/>
        <w:rPr>
          <w:color w:val="auto"/>
          <w:highlight w:val="none"/>
        </w:rPr>
      </w:pPr>
    </w:p>
    <w:p w14:paraId="4D4B25A7">
      <w:pPr>
        <w:spacing w:line="360" w:lineRule="auto"/>
        <w:jc w:val="center"/>
        <w:rPr>
          <w:rFonts w:ascii="宋体" w:hAnsi="宋体" w:cs="宋体"/>
          <w:b/>
          <w:color w:val="auto"/>
          <w:kern w:val="0"/>
          <w:sz w:val="36"/>
          <w:szCs w:val="36"/>
          <w:highlight w:val="none"/>
        </w:rPr>
      </w:pPr>
      <w:r>
        <w:rPr>
          <w:rFonts w:hint="eastAsia" w:ascii="宋体" w:hAnsi="宋体" w:cs="宋体"/>
          <w:color w:val="auto"/>
          <w:spacing w:val="20"/>
          <w:sz w:val="30"/>
          <w:szCs w:val="30"/>
          <w:highlight w:val="none"/>
        </w:rPr>
        <w:br w:type="page"/>
      </w:r>
      <w:r>
        <w:rPr>
          <w:rFonts w:hint="eastAsia" w:ascii="宋体" w:hAnsi="宋体" w:cs="宋体"/>
          <w:b/>
          <w:color w:val="auto"/>
          <w:kern w:val="0"/>
          <w:sz w:val="36"/>
          <w:szCs w:val="36"/>
          <w:highlight w:val="none"/>
        </w:rPr>
        <w:t>报价文件</w:t>
      </w:r>
    </w:p>
    <w:p w14:paraId="6CA2B19A">
      <w:pPr>
        <w:spacing w:line="360" w:lineRule="auto"/>
        <w:jc w:val="center"/>
        <w:rPr>
          <w:rFonts w:ascii="宋体" w:hAnsi="宋体" w:cs="宋体"/>
          <w:b/>
          <w:color w:val="auto"/>
          <w:kern w:val="0"/>
          <w:sz w:val="36"/>
          <w:szCs w:val="36"/>
          <w:highlight w:val="none"/>
        </w:rPr>
      </w:pPr>
    </w:p>
    <w:p w14:paraId="6FDC19B3">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62C2F8B">
      <w:pPr>
        <w:pStyle w:val="11"/>
        <w:ind w:firstLine="723"/>
        <w:rPr>
          <w:rFonts w:ascii="宋体" w:hAnsi="宋体" w:cs="宋体"/>
          <w:b/>
          <w:color w:val="auto"/>
          <w:kern w:val="0"/>
          <w:sz w:val="36"/>
          <w:szCs w:val="36"/>
          <w:highlight w:val="none"/>
        </w:rPr>
      </w:pPr>
    </w:p>
    <w:p w14:paraId="1C1E36F4">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highlight w:val="none"/>
        </w:rPr>
      </w:pPr>
      <w:r>
        <w:rPr>
          <w:rFonts w:hint="eastAsia" w:ascii="宋体" w:hAnsi="宋体" w:cs="宋体"/>
          <w:color w:val="auto"/>
          <w:sz w:val="24"/>
          <w:highlight w:val="none"/>
        </w:rPr>
        <w:t>（1）投标函（格式见附件）；</w:t>
      </w:r>
    </w:p>
    <w:p w14:paraId="762F2FBE">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highlight w:val="none"/>
        </w:rPr>
      </w:pPr>
      <w:r>
        <w:rPr>
          <w:rFonts w:hint="eastAsia" w:ascii="宋体" w:hAnsi="宋体" w:cs="宋体"/>
          <w:color w:val="auto"/>
          <w:sz w:val="24"/>
          <w:highlight w:val="none"/>
        </w:rPr>
        <w:t>（2）开标一览表（格式见附件）；</w:t>
      </w:r>
    </w:p>
    <w:p w14:paraId="7698924B">
      <w:pPr>
        <w:tabs>
          <w:tab w:val="left" w:pos="1440"/>
          <w:tab w:val="left" w:pos="1620"/>
          <w:tab w:val="left" w:pos="1800"/>
          <w:tab w:val="left" w:pos="1980"/>
        </w:tabs>
        <w:autoSpaceDE w:val="0"/>
        <w:autoSpaceDN w:val="0"/>
        <w:spacing w:line="360" w:lineRule="auto"/>
        <w:ind w:left="420" w:leftChars="200"/>
        <w:textAlignment w:val="bottom"/>
        <w:rPr>
          <w:rFonts w:ascii="宋体" w:hAnsi="宋体" w:cs="宋体"/>
          <w:color w:val="auto"/>
          <w:sz w:val="24"/>
          <w:highlight w:val="none"/>
        </w:rPr>
      </w:pPr>
      <w:r>
        <w:rPr>
          <w:rFonts w:hint="eastAsia" w:ascii="宋体" w:hAnsi="宋体" w:cs="宋体"/>
          <w:color w:val="auto"/>
          <w:sz w:val="24"/>
          <w:highlight w:val="none"/>
        </w:rPr>
        <w:t>（3）投标报价明细表（格式见附件）。</w:t>
      </w:r>
    </w:p>
    <w:p w14:paraId="7E51A617">
      <w:pPr>
        <w:pStyle w:val="11"/>
        <w:ind w:firstLine="560"/>
        <w:rPr>
          <w:rFonts w:ascii="宋体" w:hAnsi="宋体" w:cs="宋体"/>
          <w:color w:val="auto"/>
          <w:sz w:val="28"/>
          <w:szCs w:val="28"/>
          <w:highlight w:val="none"/>
        </w:rPr>
      </w:pPr>
    </w:p>
    <w:p w14:paraId="254D3D3E">
      <w:pPr>
        <w:pStyle w:val="11"/>
        <w:ind w:firstLine="560"/>
        <w:rPr>
          <w:rFonts w:ascii="宋体" w:hAnsi="宋体" w:cs="宋体"/>
          <w:color w:val="auto"/>
          <w:sz w:val="28"/>
          <w:szCs w:val="28"/>
          <w:highlight w:val="none"/>
        </w:rPr>
      </w:pPr>
    </w:p>
    <w:p w14:paraId="0C19BAE1">
      <w:pPr>
        <w:pStyle w:val="11"/>
        <w:ind w:firstLine="560"/>
        <w:rPr>
          <w:rFonts w:ascii="宋体" w:hAnsi="宋体" w:cs="宋体"/>
          <w:color w:val="auto"/>
          <w:sz w:val="28"/>
          <w:szCs w:val="28"/>
          <w:highlight w:val="none"/>
        </w:rPr>
      </w:pPr>
    </w:p>
    <w:p w14:paraId="337B17F3">
      <w:pPr>
        <w:pStyle w:val="11"/>
        <w:ind w:firstLine="560"/>
        <w:rPr>
          <w:rFonts w:ascii="宋体" w:hAnsi="宋体" w:cs="宋体"/>
          <w:color w:val="auto"/>
          <w:sz w:val="28"/>
          <w:szCs w:val="28"/>
          <w:highlight w:val="none"/>
        </w:rPr>
      </w:pPr>
    </w:p>
    <w:p w14:paraId="5962C22D">
      <w:pPr>
        <w:pStyle w:val="11"/>
        <w:ind w:firstLine="560"/>
        <w:rPr>
          <w:rFonts w:ascii="宋体" w:hAnsi="宋体" w:cs="宋体"/>
          <w:color w:val="auto"/>
          <w:sz w:val="28"/>
          <w:szCs w:val="28"/>
          <w:highlight w:val="none"/>
        </w:rPr>
      </w:pPr>
    </w:p>
    <w:p w14:paraId="4AEB6AC3">
      <w:pPr>
        <w:pStyle w:val="11"/>
        <w:ind w:firstLine="560"/>
        <w:rPr>
          <w:rFonts w:ascii="宋体" w:hAnsi="宋体" w:cs="宋体"/>
          <w:color w:val="auto"/>
          <w:sz w:val="28"/>
          <w:szCs w:val="28"/>
          <w:highlight w:val="none"/>
        </w:rPr>
      </w:pPr>
    </w:p>
    <w:p w14:paraId="5EEC082F">
      <w:pPr>
        <w:pStyle w:val="11"/>
        <w:ind w:firstLine="560"/>
        <w:rPr>
          <w:rFonts w:ascii="宋体" w:hAnsi="宋体" w:cs="宋体"/>
          <w:color w:val="auto"/>
          <w:sz w:val="28"/>
          <w:szCs w:val="28"/>
          <w:highlight w:val="none"/>
        </w:rPr>
      </w:pPr>
    </w:p>
    <w:p w14:paraId="3929177B">
      <w:pPr>
        <w:pStyle w:val="11"/>
        <w:ind w:firstLine="560"/>
        <w:rPr>
          <w:rFonts w:ascii="宋体" w:hAnsi="宋体" w:cs="宋体"/>
          <w:color w:val="auto"/>
          <w:sz w:val="28"/>
          <w:szCs w:val="28"/>
          <w:highlight w:val="none"/>
        </w:rPr>
      </w:pPr>
    </w:p>
    <w:p w14:paraId="5CD791A2">
      <w:pPr>
        <w:pStyle w:val="11"/>
        <w:ind w:firstLine="560"/>
        <w:rPr>
          <w:rFonts w:ascii="宋体" w:hAnsi="宋体" w:cs="宋体"/>
          <w:color w:val="auto"/>
          <w:sz w:val="28"/>
          <w:szCs w:val="28"/>
          <w:highlight w:val="none"/>
        </w:rPr>
      </w:pPr>
    </w:p>
    <w:p w14:paraId="4FAAA18C">
      <w:pPr>
        <w:pStyle w:val="11"/>
        <w:ind w:firstLine="560"/>
        <w:rPr>
          <w:rFonts w:ascii="宋体" w:hAnsi="宋体" w:cs="宋体"/>
          <w:color w:val="auto"/>
          <w:sz w:val="28"/>
          <w:szCs w:val="28"/>
          <w:highlight w:val="none"/>
        </w:rPr>
      </w:pPr>
    </w:p>
    <w:p w14:paraId="78EB68B7">
      <w:pPr>
        <w:pStyle w:val="11"/>
        <w:ind w:firstLine="560"/>
        <w:rPr>
          <w:rFonts w:ascii="宋体" w:hAnsi="宋体" w:cs="宋体"/>
          <w:color w:val="auto"/>
          <w:sz w:val="28"/>
          <w:szCs w:val="28"/>
          <w:highlight w:val="none"/>
        </w:rPr>
      </w:pPr>
    </w:p>
    <w:p w14:paraId="3D213256">
      <w:pPr>
        <w:pStyle w:val="11"/>
        <w:ind w:firstLine="560"/>
        <w:rPr>
          <w:rFonts w:ascii="宋体" w:hAnsi="宋体" w:cs="宋体"/>
          <w:color w:val="auto"/>
          <w:sz w:val="28"/>
          <w:szCs w:val="28"/>
          <w:highlight w:val="none"/>
        </w:rPr>
      </w:pPr>
    </w:p>
    <w:p w14:paraId="6705A2D9">
      <w:pPr>
        <w:pStyle w:val="11"/>
        <w:ind w:firstLine="560"/>
        <w:rPr>
          <w:rFonts w:ascii="宋体" w:hAnsi="宋体" w:cs="宋体"/>
          <w:color w:val="auto"/>
          <w:sz w:val="28"/>
          <w:szCs w:val="28"/>
          <w:highlight w:val="none"/>
        </w:rPr>
      </w:pPr>
      <w:bookmarkStart w:id="496" w:name="_Toc3094"/>
    </w:p>
    <w:p w14:paraId="6FB00EE1">
      <w:pPr>
        <w:pStyle w:val="5"/>
        <w:jc w:val="left"/>
        <w:rPr>
          <w:rFonts w:hAnsi="宋体" w:cs="宋体"/>
          <w:bCs/>
          <w:color w:val="auto"/>
          <w:sz w:val="24"/>
          <w:szCs w:val="24"/>
          <w:highlight w:val="none"/>
          <w:lang w:val="zh-CN"/>
        </w:rPr>
      </w:pPr>
      <w:r>
        <w:rPr>
          <w:rFonts w:hint="eastAsia" w:hAnsi="宋体" w:cs="宋体"/>
          <w:bCs/>
          <w:color w:val="auto"/>
          <w:sz w:val="24"/>
          <w:szCs w:val="24"/>
          <w:highlight w:val="none"/>
          <w:lang w:val="zh-CN"/>
        </w:rPr>
        <w:t>附件</w:t>
      </w:r>
      <w:bookmarkStart w:id="497" w:name="_Toc98731770"/>
      <w:bookmarkStart w:id="498" w:name="_Toc130094924"/>
      <w:r>
        <w:rPr>
          <w:rFonts w:hint="eastAsia" w:hAnsi="宋体" w:cs="宋体"/>
          <w:bCs/>
          <w:color w:val="auto"/>
          <w:sz w:val="24"/>
          <w:szCs w:val="24"/>
          <w:highlight w:val="none"/>
        </w:rPr>
        <w:t>十：</w:t>
      </w:r>
    </w:p>
    <w:p w14:paraId="18C295FB">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 标 函</w:t>
      </w:r>
      <w:bookmarkEnd w:id="496"/>
      <w:bookmarkEnd w:id="497"/>
      <w:bookmarkEnd w:id="498"/>
    </w:p>
    <w:p w14:paraId="7AFC19BB">
      <w:pPr>
        <w:spacing w:line="360" w:lineRule="auto"/>
        <w:ind w:firstLine="480" w:firstLineChars="200"/>
        <w:rPr>
          <w:rFonts w:ascii="宋体" w:hAnsi="宋体" w:cs="宋体"/>
          <w:color w:val="auto"/>
          <w:sz w:val="24"/>
          <w:highlight w:val="none"/>
          <w:u w:val="single"/>
        </w:rPr>
      </w:pPr>
    </w:p>
    <w:p w14:paraId="08FC4E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绍兴市上虞区曹娥街道白米堰股份经济合作社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AB2F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浙江宇康工程管理咨询有限公司</w:t>
      </w:r>
      <w:r>
        <w:rPr>
          <w:rFonts w:hint="eastAsia" w:ascii="宋体" w:hAnsi="宋体" w:cs="宋体"/>
          <w:color w:val="auto"/>
          <w:sz w:val="24"/>
          <w:highlight w:val="none"/>
        </w:rPr>
        <w:t>：</w:t>
      </w:r>
    </w:p>
    <w:p w14:paraId="223672EB">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我单位认真研究了关于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14:paraId="27BF4480">
      <w:pPr>
        <w:spacing w:line="360" w:lineRule="auto"/>
        <w:ind w:firstLine="576" w:firstLineChars="24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hint="eastAsia" w:ascii="宋体" w:hAnsi="宋体" w:cs="宋体"/>
          <w:color w:val="auto"/>
          <w:sz w:val="24"/>
          <w:highlight w:val="none"/>
        </w:rPr>
        <w:t>1、一旦我单位中标，我单位愿意承接开标一览表中所列的技术服务，服务期为：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p>
    <w:p w14:paraId="208154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2、我单位同意提供按照</w:t>
      </w:r>
      <w:r>
        <w:rPr>
          <w:rFonts w:hint="eastAsia" w:ascii="宋体" w:hAnsi="宋体" w:cs="宋体"/>
          <w:bCs/>
          <w:color w:val="auto"/>
          <w:sz w:val="24"/>
          <w:highlight w:val="none"/>
        </w:rPr>
        <w:t>采购人的可能要求与其投标有关的一切数据和资料，完全理解采购人不一定要接受最低价者作为中标人</w:t>
      </w:r>
      <w:r>
        <w:rPr>
          <w:rFonts w:hint="eastAsia" w:ascii="宋体" w:hAnsi="宋体" w:cs="宋体"/>
          <w:color w:val="auto"/>
          <w:sz w:val="24"/>
          <w:highlight w:val="none"/>
        </w:rPr>
        <w:t>。</w:t>
      </w:r>
    </w:p>
    <w:p w14:paraId="2E08A8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3、一旦我单位中标，我们保证按照招标文件的要求，完成服务。</w:t>
      </w:r>
    </w:p>
    <w:p w14:paraId="76CE51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4、如果我单位中标，我方将按照要求提交履约保证金，严格履行合同义务。</w:t>
      </w:r>
    </w:p>
    <w:p w14:paraId="2407B7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5、除非另行达成协议并生效，你方的中标通知书和本投标函将构成约束你我双方的合同。</w:t>
      </w:r>
    </w:p>
    <w:p w14:paraId="675A1A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6、我单位承诺，一旦发生招标文件第二部分第12条规定情形之一的，承担该条款约定的责任。</w:t>
      </w:r>
    </w:p>
    <w:p w14:paraId="15A9C4B6">
      <w:pPr>
        <w:pStyle w:val="16"/>
        <w:snapToGrid w:val="0"/>
        <w:spacing w:line="360" w:lineRule="auto"/>
        <w:ind w:left="480"/>
        <w:jc w:val="left"/>
        <w:rPr>
          <w:rFonts w:hAnsi="宋体" w:cs="宋体"/>
          <w:color w:val="auto"/>
          <w:sz w:val="24"/>
          <w:highlight w:val="none"/>
        </w:rPr>
      </w:pPr>
      <w:r>
        <w:rPr>
          <w:rFonts w:hint="eastAsia" w:hAnsi="宋体" w:cs="宋体"/>
          <w:color w:val="auto"/>
          <w:sz w:val="24"/>
          <w:highlight w:val="none"/>
        </w:rPr>
        <w:t xml:space="preserve"> </w:t>
      </w:r>
    </w:p>
    <w:p w14:paraId="2F594B58">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地址：</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邮编：</w:t>
      </w:r>
      <w:r>
        <w:rPr>
          <w:rFonts w:hint="eastAsia" w:ascii="宋体" w:hAnsi="宋体" w:cs="宋体"/>
          <w:bCs/>
          <w:color w:val="auto"/>
          <w:sz w:val="24"/>
          <w:szCs w:val="21"/>
          <w:highlight w:val="none"/>
          <w:u w:val="single"/>
        </w:rPr>
        <w:t xml:space="preserve">                 </w:t>
      </w:r>
    </w:p>
    <w:p w14:paraId="6A6C21B6">
      <w:pPr>
        <w:spacing w:line="360" w:lineRule="auto"/>
        <w:ind w:firstLine="480" w:firstLineChars="200"/>
        <w:rPr>
          <w:rFonts w:ascii="宋体" w:hAnsi="宋体" w:cs="宋体"/>
          <w:bCs/>
          <w:color w:val="auto"/>
          <w:sz w:val="24"/>
          <w:szCs w:val="21"/>
          <w:highlight w:val="none"/>
          <w:u w:val="single"/>
        </w:rPr>
      </w:pPr>
      <w:r>
        <w:rPr>
          <w:rFonts w:hint="eastAsia" w:ascii="宋体" w:hAnsi="宋体" w:cs="宋体"/>
          <w:bCs/>
          <w:color w:val="auto"/>
          <w:sz w:val="24"/>
          <w:szCs w:val="21"/>
          <w:highlight w:val="none"/>
        </w:rPr>
        <w:t>电话：</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传真：</w:t>
      </w:r>
      <w:r>
        <w:rPr>
          <w:rFonts w:hint="eastAsia" w:ascii="宋体" w:hAnsi="宋体" w:cs="宋体"/>
          <w:bCs/>
          <w:color w:val="auto"/>
          <w:sz w:val="24"/>
          <w:szCs w:val="21"/>
          <w:highlight w:val="none"/>
          <w:u w:val="single"/>
        </w:rPr>
        <w:t xml:space="preserve">                 </w:t>
      </w:r>
    </w:p>
    <w:p w14:paraId="4A6EE6F0">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供应商代表姓名：</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职务：</w:t>
      </w:r>
      <w:r>
        <w:rPr>
          <w:rFonts w:hint="eastAsia" w:ascii="宋体" w:hAnsi="宋体" w:cs="宋体"/>
          <w:bCs/>
          <w:color w:val="auto"/>
          <w:sz w:val="24"/>
          <w:szCs w:val="21"/>
          <w:highlight w:val="none"/>
          <w:u w:val="single"/>
        </w:rPr>
        <w:t xml:space="preserve">                 </w:t>
      </w:r>
    </w:p>
    <w:p w14:paraId="57CF275F">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供应商名称</w:t>
      </w:r>
      <w:r>
        <w:rPr>
          <w:rFonts w:hint="eastAsia" w:ascii="宋体" w:hAnsi="宋体" w:cs="宋体"/>
          <w:bCs/>
          <w:color w:val="auto"/>
          <w:sz w:val="24"/>
          <w:szCs w:val="21"/>
          <w:highlight w:val="none"/>
          <w:u w:val="single"/>
        </w:rPr>
        <w:t>：                   　　　</w:t>
      </w:r>
    </w:p>
    <w:p w14:paraId="23D6AC25">
      <w:pPr>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（公章）：                   </w:t>
      </w:r>
    </w:p>
    <w:p w14:paraId="5AA59404">
      <w:pPr>
        <w:spacing w:line="360" w:lineRule="auto"/>
        <w:rPr>
          <w:rFonts w:hint="eastAsia" w:ascii="宋体" w:hAnsi="宋体" w:eastAsia="宋体" w:cs="宋体"/>
          <w:color w:val="auto"/>
          <w:sz w:val="24"/>
          <w:highlight w:val="none"/>
        </w:rPr>
      </w:pPr>
    </w:p>
    <w:p w14:paraId="68B340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或被授权委托人</w:t>
      </w:r>
      <w:r>
        <w:rPr>
          <w:rFonts w:hint="eastAsia" w:ascii="宋体" w:hAnsi="宋体" w:eastAsia="宋体" w:cs="宋体"/>
          <w:color w:val="auto"/>
          <w:sz w:val="24"/>
          <w:highlight w:val="none"/>
        </w:rPr>
        <w:t xml:space="preserve">签名（或签名章）：                       </w:t>
      </w:r>
    </w:p>
    <w:p w14:paraId="53EEAC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091CDAD">
      <w:pPr>
        <w:spacing w:line="360" w:lineRule="auto"/>
        <w:ind w:firstLine="5280" w:firstLineChars="2200"/>
        <w:rPr>
          <w:rFonts w:ascii="宋体" w:hAnsi="宋体" w:cs="宋体"/>
          <w:bCs/>
          <w:color w:val="auto"/>
          <w:sz w:val="24"/>
          <w:szCs w:val="21"/>
          <w:highlight w:val="none"/>
        </w:rPr>
      </w:pPr>
    </w:p>
    <w:p w14:paraId="10DF6319">
      <w:pPr>
        <w:pStyle w:val="5"/>
        <w:jc w:val="left"/>
        <w:rPr>
          <w:rFonts w:hAnsi="宋体" w:cs="宋体"/>
          <w:bCs/>
          <w:color w:val="auto"/>
          <w:sz w:val="24"/>
          <w:szCs w:val="24"/>
          <w:highlight w:val="none"/>
          <w:lang w:val="zh-CN"/>
        </w:rPr>
      </w:pPr>
      <w:bookmarkStart w:id="499" w:name="_Toc12011"/>
      <w:r>
        <w:rPr>
          <w:rFonts w:hint="eastAsia" w:hAnsi="宋体" w:cs="宋体"/>
          <w:bCs/>
          <w:color w:val="auto"/>
          <w:sz w:val="24"/>
          <w:szCs w:val="24"/>
          <w:highlight w:val="none"/>
          <w:lang w:val="zh-CN"/>
        </w:rPr>
        <w:br w:type="page"/>
      </w:r>
      <w:r>
        <w:rPr>
          <w:rFonts w:hint="eastAsia" w:hAnsi="宋体" w:cs="宋体"/>
          <w:bCs/>
          <w:color w:val="auto"/>
          <w:sz w:val="24"/>
          <w:szCs w:val="24"/>
          <w:highlight w:val="none"/>
          <w:lang w:val="zh-CN"/>
        </w:rPr>
        <w:t>附件</w:t>
      </w:r>
      <w:bookmarkStart w:id="500" w:name="_Toc98731771"/>
      <w:bookmarkStart w:id="501" w:name="_Toc130094925"/>
      <w:r>
        <w:rPr>
          <w:rFonts w:hint="eastAsia" w:hAnsi="宋体" w:cs="宋体"/>
          <w:bCs/>
          <w:color w:val="auto"/>
          <w:sz w:val="24"/>
          <w:szCs w:val="24"/>
          <w:highlight w:val="none"/>
        </w:rPr>
        <w:t>十一：</w:t>
      </w:r>
    </w:p>
    <w:p w14:paraId="5B38E62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开标一览表</w:t>
      </w:r>
      <w:bookmarkEnd w:id="499"/>
      <w:bookmarkEnd w:id="500"/>
      <w:bookmarkEnd w:id="501"/>
    </w:p>
    <w:p w14:paraId="6229DE6D">
      <w:pPr>
        <w:pStyle w:val="16"/>
        <w:spacing w:line="360" w:lineRule="auto"/>
        <w:rPr>
          <w:rFonts w:hAnsi="宋体" w:cs="宋体"/>
          <w:color w:val="auto"/>
          <w:sz w:val="24"/>
          <w:highlight w:val="none"/>
        </w:rPr>
      </w:pPr>
    </w:p>
    <w:p w14:paraId="6A5881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163704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采购编号：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66E9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67080103">
            <w:pPr>
              <w:pStyle w:val="16"/>
              <w:spacing w:line="360" w:lineRule="auto"/>
              <w:jc w:val="center"/>
              <w:rPr>
                <w:rFonts w:hAnsi="宋体" w:cs="宋体"/>
                <w:b/>
                <w:bCs/>
                <w:color w:val="auto"/>
                <w:sz w:val="24"/>
                <w:highlight w:val="none"/>
              </w:rPr>
            </w:pPr>
            <w:r>
              <w:rPr>
                <w:rFonts w:hint="eastAsia" w:hAnsi="宋体" w:cs="宋体"/>
                <w:b/>
                <w:bCs/>
                <w:color w:val="auto"/>
                <w:sz w:val="24"/>
                <w:highlight w:val="none"/>
              </w:rPr>
              <w:t>投标总价</w:t>
            </w:r>
          </w:p>
        </w:tc>
        <w:tc>
          <w:tcPr>
            <w:tcW w:w="6707" w:type="dxa"/>
            <w:vAlign w:val="center"/>
          </w:tcPr>
          <w:p w14:paraId="0214B415">
            <w:pPr>
              <w:pStyle w:val="16"/>
              <w:spacing w:line="360" w:lineRule="auto"/>
              <w:jc w:val="center"/>
              <w:rPr>
                <w:rFonts w:hAnsi="宋体" w:cs="宋体"/>
                <w:b/>
                <w:bCs/>
                <w:color w:val="auto"/>
                <w:sz w:val="24"/>
                <w:highlight w:val="none"/>
              </w:rPr>
            </w:pPr>
            <w:r>
              <w:rPr>
                <w:rFonts w:hint="eastAsia" w:hAnsi="宋体" w:cs="宋体"/>
                <w:b/>
                <w:bCs/>
                <w:color w:val="auto"/>
                <w:sz w:val="24"/>
                <w:highlight w:val="none"/>
              </w:rPr>
              <w:t>大写：</w:t>
            </w:r>
            <w:r>
              <w:rPr>
                <w:rFonts w:hint="eastAsia" w:hAnsi="宋体" w:cs="宋体"/>
                <w:b/>
                <w:bCs/>
                <w:color w:val="auto"/>
                <w:sz w:val="24"/>
                <w:highlight w:val="none"/>
                <w:u w:val="single"/>
              </w:rPr>
              <w:t xml:space="preserve">　　　　        </w:t>
            </w:r>
            <w:r>
              <w:rPr>
                <w:rFonts w:hint="eastAsia" w:hAnsi="宋体" w:cs="宋体"/>
                <w:b/>
                <w:bCs/>
                <w:color w:val="auto"/>
                <w:sz w:val="24"/>
                <w:highlight w:val="none"/>
              </w:rPr>
              <w:t>元（小写：</w:t>
            </w:r>
            <w:r>
              <w:rPr>
                <w:rFonts w:hint="eastAsia" w:hAnsi="宋体" w:cs="宋体"/>
                <w:b/>
                <w:bCs/>
                <w:color w:val="auto"/>
                <w:sz w:val="24"/>
                <w:highlight w:val="none"/>
                <w:u w:val="single"/>
              </w:rPr>
              <w:t>　</w:t>
            </w:r>
            <w:r>
              <w:rPr>
                <w:rFonts w:hint="eastAsia" w:hAnsi="宋体" w:cs="宋体"/>
                <w:b/>
                <w:bCs/>
                <w:color w:val="auto"/>
                <w:sz w:val="24"/>
                <w:highlight w:val="none"/>
                <w:u w:val="single"/>
                <w:lang w:val="en-US" w:eastAsia="zh-CN"/>
              </w:rPr>
              <w:t xml:space="preserve">   </w:t>
            </w:r>
            <w:r>
              <w:rPr>
                <w:rFonts w:hint="eastAsia" w:hAnsi="宋体" w:cs="宋体"/>
                <w:b/>
                <w:bCs/>
                <w:color w:val="auto"/>
                <w:sz w:val="24"/>
                <w:highlight w:val="none"/>
                <w:u w:val="single"/>
              </w:rPr>
              <w:t xml:space="preserve">　 </w:t>
            </w:r>
            <w:r>
              <w:rPr>
                <w:rFonts w:hint="eastAsia" w:hAnsi="宋体" w:cs="宋体"/>
                <w:b/>
                <w:bCs/>
                <w:color w:val="auto"/>
                <w:sz w:val="24"/>
                <w:highlight w:val="none"/>
              </w:rPr>
              <w:t>元）</w:t>
            </w:r>
          </w:p>
        </w:tc>
      </w:tr>
      <w:tr w14:paraId="3749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323A6F8E">
            <w:pPr>
              <w:pStyle w:val="16"/>
              <w:spacing w:line="360" w:lineRule="auto"/>
              <w:ind w:firstLine="482" w:firstLineChars="200"/>
              <w:rPr>
                <w:rFonts w:hAnsi="宋体" w:cs="宋体"/>
                <w:b/>
                <w:bCs/>
                <w:color w:val="auto"/>
                <w:sz w:val="24"/>
                <w:highlight w:val="none"/>
              </w:rPr>
            </w:pPr>
            <w:r>
              <w:rPr>
                <w:rFonts w:hint="eastAsia" w:ascii="宋体" w:hAnsi="宋体" w:cs="宋体"/>
                <w:b/>
                <w:color w:val="auto"/>
                <w:sz w:val="24"/>
                <w:highlight w:val="none"/>
              </w:rPr>
              <w:t>本次报价应包括</w:t>
            </w:r>
            <w:r>
              <w:rPr>
                <w:rFonts w:hint="eastAsia" w:hAnsi="宋体" w:cs="宋体"/>
                <w:b/>
                <w:color w:val="auto"/>
                <w:sz w:val="24"/>
                <w:highlight w:val="none"/>
                <w:lang w:val="en-US" w:eastAsia="zh-CN"/>
              </w:rPr>
              <w:t>但不限于</w:t>
            </w:r>
            <w:r>
              <w:rPr>
                <w:rFonts w:hint="eastAsia" w:ascii="宋体" w:hAnsi="宋体" w:cs="宋体"/>
                <w:b/>
                <w:color w:val="auto"/>
                <w:sz w:val="24"/>
                <w:highlight w:val="none"/>
              </w:rPr>
              <w:t>人员费用（保洁人员、垃圾清理人员及管理人员等）、按规定缴纳的各类保险、福利费、管理费用、税费、劳保用品、保洁用具、</w:t>
            </w:r>
            <w:r>
              <w:rPr>
                <w:rFonts w:hint="eastAsia" w:ascii="宋体" w:hAnsi="宋体" w:cs="宋体"/>
                <w:b/>
                <w:color w:val="auto"/>
                <w:sz w:val="24"/>
                <w:highlight w:val="none"/>
                <w:lang w:eastAsia="zh-CN"/>
              </w:rPr>
              <w:t>垃圾清运及处置费、设施设备维护及材料、招标代理费</w:t>
            </w:r>
            <w:r>
              <w:rPr>
                <w:rFonts w:hint="eastAsia" w:ascii="宋体" w:hAnsi="宋体" w:cs="宋体"/>
                <w:b/>
                <w:color w:val="auto"/>
                <w:sz w:val="24"/>
                <w:highlight w:val="none"/>
              </w:rPr>
              <w:t>等本项目所需的一切费用。凡投标方在报价中未列明但又为本次采购所必备的项目或遗漏项目，采购方将一律视为已包括在合同价中，在合同执行中将不予考虑。</w:t>
            </w:r>
          </w:p>
        </w:tc>
      </w:tr>
    </w:tbl>
    <w:p w14:paraId="4863B067">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777DE94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报价一经涂改，应在涂改处加盖单位公章或者由法定代表人或授权委托人签字或盖章，否则其投标作无效标处理。</w:t>
      </w:r>
    </w:p>
    <w:p w14:paraId="500866D9">
      <w:pPr>
        <w:pStyle w:val="16"/>
        <w:spacing w:line="360" w:lineRule="auto"/>
        <w:rPr>
          <w:rFonts w:hAnsi="宋体" w:cs="宋体"/>
          <w:color w:val="auto"/>
          <w:sz w:val="24"/>
          <w:highlight w:val="none"/>
        </w:rPr>
      </w:pPr>
    </w:p>
    <w:p w14:paraId="6E01C78B">
      <w:pPr>
        <w:pStyle w:val="16"/>
        <w:spacing w:line="360" w:lineRule="auto"/>
        <w:rPr>
          <w:rFonts w:hAnsi="宋体" w:cs="宋体"/>
          <w:color w:val="auto"/>
          <w:sz w:val="24"/>
          <w:highlight w:val="none"/>
        </w:rPr>
      </w:pPr>
    </w:p>
    <w:p w14:paraId="48E966A9">
      <w:pPr>
        <w:pStyle w:val="16"/>
        <w:spacing w:line="360" w:lineRule="auto"/>
        <w:rPr>
          <w:rFonts w:hAnsi="宋体" w:cs="宋体"/>
          <w:color w:val="auto"/>
          <w:sz w:val="24"/>
          <w:highlight w:val="none"/>
        </w:rPr>
      </w:pPr>
    </w:p>
    <w:p w14:paraId="6A8123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或被授权委托人</w:t>
      </w:r>
      <w:r>
        <w:rPr>
          <w:rFonts w:hint="eastAsia" w:ascii="宋体" w:hAnsi="宋体" w:eastAsia="宋体" w:cs="宋体"/>
          <w:color w:val="auto"/>
          <w:sz w:val="24"/>
          <w:highlight w:val="none"/>
        </w:rPr>
        <w:t xml:space="preserve">签名（或签名章）：                       </w:t>
      </w:r>
    </w:p>
    <w:p w14:paraId="017C29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2A849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p>
    <w:p w14:paraId="7F4AD902">
      <w:pPr>
        <w:snapToGrid w:val="0"/>
        <w:spacing w:line="360" w:lineRule="auto"/>
        <w:ind w:firstLine="435"/>
        <w:rPr>
          <w:rFonts w:ascii="宋体" w:hAnsi="宋体" w:cs="宋体"/>
          <w:color w:val="auto"/>
          <w:highlight w:val="none"/>
        </w:rPr>
      </w:pPr>
    </w:p>
    <w:p w14:paraId="4365BBC6">
      <w:pPr>
        <w:snapToGrid w:val="0"/>
        <w:spacing w:line="360" w:lineRule="auto"/>
        <w:ind w:firstLine="435"/>
        <w:rPr>
          <w:rFonts w:ascii="宋体" w:hAnsi="宋体" w:cs="宋体"/>
          <w:color w:val="auto"/>
          <w:highlight w:val="none"/>
        </w:rPr>
      </w:pPr>
    </w:p>
    <w:p w14:paraId="00DDCC83">
      <w:pPr>
        <w:snapToGrid w:val="0"/>
        <w:spacing w:line="360" w:lineRule="auto"/>
        <w:ind w:firstLine="435"/>
        <w:rPr>
          <w:rFonts w:ascii="宋体" w:hAnsi="宋体" w:cs="宋体"/>
          <w:color w:val="auto"/>
          <w:highlight w:val="none"/>
        </w:rPr>
      </w:pPr>
    </w:p>
    <w:p w14:paraId="6A75CFBB">
      <w:pPr>
        <w:snapToGrid w:val="0"/>
        <w:spacing w:line="360" w:lineRule="auto"/>
        <w:ind w:firstLine="435"/>
        <w:rPr>
          <w:rFonts w:ascii="宋体" w:hAnsi="宋体" w:cs="宋体"/>
          <w:color w:val="auto"/>
          <w:highlight w:val="none"/>
        </w:rPr>
      </w:pPr>
    </w:p>
    <w:p w14:paraId="0A96039E">
      <w:pPr>
        <w:snapToGrid w:val="0"/>
        <w:spacing w:line="360" w:lineRule="auto"/>
        <w:ind w:firstLine="435"/>
        <w:rPr>
          <w:rFonts w:ascii="宋体" w:hAnsi="宋体" w:cs="宋体"/>
          <w:color w:val="auto"/>
          <w:highlight w:val="none"/>
        </w:rPr>
      </w:pPr>
    </w:p>
    <w:p w14:paraId="4974B820">
      <w:pPr>
        <w:pStyle w:val="5"/>
        <w:rPr>
          <w:rFonts w:hAnsi="宋体" w:cs="宋体"/>
          <w:bCs/>
          <w:color w:val="auto"/>
          <w:sz w:val="24"/>
          <w:szCs w:val="24"/>
          <w:highlight w:val="none"/>
          <w:lang w:val="zh-CN"/>
        </w:rPr>
      </w:pPr>
      <w:bookmarkStart w:id="502" w:name="_Toc7196"/>
    </w:p>
    <w:p w14:paraId="1A79445D">
      <w:pPr>
        <w:pStyle w:val="3"/>
        <w:rPr>
          <w:rFonts w:ascii="宋体" w:hAnsi="宋体" w:cs="宋体"/>
          <w:b/>
          <w:bCs/>
          <w:color w:val="auto"/>
          <w:sz w:val="24"/>
          <w:szCs w:val="24"/>
          <w:highlight w:val="none"/>
          <w:lang w:val="zh-CN"/>
        </w:rPr>
      </w:pPr>
    </w:p>
    <w:p w14:paraId="50EAE834">
      <w:pPr>
        <w:pStyle w:val="3"/>
        <w:rPr>
          <w:rFonts w:ascii="宋体" w:hAnsi="宋体" w:cs="宋体"/>
          <w:b/>
          <w:bCs/>
          <w:color w:val="auto"/>
          <w:sz w:val="24"/>
          <w:szCs w:val="24"/>
          <w:highlight w:val="none"/>
          <w:lang w:val="zh-CN"/>
        </w:rPr>
      </w:pPr>
    </w:p>
    <w:p w14:paraId="62D364A1">
      <w:pPr>
        <w:pStyle w:val="5"/>
        <w:jc w:val="left"/>
        <w:rPr>
          <w:rFonts w:hAnsi="宋体" w:cs="宋体"/>
          <w:bCs/>
          <w:color w:val="auto"/>
          <w:sz w:val="24"/>
          <w:szCs w:val="24"/>
          <w:highlight w:val="none"/>
          <w:lang w:val="zh-CN"/>
        </w:rPr>
      </w:pPr>
      <w:r>
        <w:rPr>
          <w:rFonts w:hint="eastAsia" w:hAnsi="宋体" w:cs="宋体"/>
          <w:bCs/>
          <w:color w:val="auto"/>
          <w:sz w:val="24"/>
          <w:szCs w:val="24"/>
          <w:highlight w:val="none"/>
          <w:lang w:val="zh-CN"/>
        </w:rPr>
        <w:t>附件</w:t>
      </w:r>
      <w:r>
        <w:rPr>
          <w:rFonts w:hint="eastAsia" w:hAnsi="宋体" w:cs="宋体"/>
          <w:bCs/>
          <w:color w:val="auto"/>
          <w:sz w:val="24"/>
          <w:szCs w:val="24"/>
          <w:highlight w:val="none"/>
        </w:rPr>
        <w:t>十二：</w:t>
      </w:r>
    </w:p>
    <w:p w14:paraId="17526F40">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投标报价明细表</w:t>
      </w:r>
      <w:bookmarkEnd w:id="502"/>
    </w:p>
    <w:p w14:paraId="5D093C64">
      <w:pPr>
        <w:pStyle w:val="16"/>
        <w:spacing w:line="360" w:lineRule="auto"/>
        <w:rPr>
          <w:rFonts w:hAnsi="宋体" w:cs="宋体"/>
          <w:color w:val="auto"/>
          <w:sz w:val="24"/>
          <w:highlight w:val="none"/>
        </w:rPr>
      </w:pPr>
    </w:p>
    <w:p w14:paraId="683088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4EDDF8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采购编号：               </w:t>
      </w:r>
    </w:p>
    <w:tbl>
      <w:tblPr>
        <w:tblStyle w:val="3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714"/>
        <w:gridCol w:w="1285"/>
        <w:gridCol w:w="1161"/>
        <w:gridCol w:w="965"/>
        <w:gridCol w:w="2338"/>
      </w:tblGrid>
      <w:tr w14:paraId="74E6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0AFEE981">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14" w:type="dxa"/>
            <w:vAlign w:val="center"/>
          </w:tcPr>
          <w:p w14:paraId="0BC12369">
            <w:pPr>
              <w:spacing w:line="336" w:lineRule="auto"/>
              <w:jc w:val="center"/>
              <w:rPr>
                <w:rFonts w:ascii="宋体" w:hAnsi="宋体" w:cs="宋体"/>
                <w:color w:val="auto"/>
                <w:sz w:val="24"/>
                <w:highlight w:val="none"/>
              </w:rPr>
            </w:pPr>
            <w:r>
              <w:rPr>
                <w:rFonts w:hint="eastAsia" w:ascii="宋体" w:hAnsi="宋体" w:cs="宋体"/>
                <w:color w:val="auto"/>
                <w:sz w:val="24"/>
                <w:highlight w:val="none"/>
              </w:rPr>
              <w:t>费 用 名 称</w:t>
            </w:r>
          </w:p>
        </w:tc>
        <w:tc>
          <w:tcPr>
            <w:tcW w:w="1285" w:type="dxa"/>
            <w:vAlign w:val="center"/>
          </w:tcPr>
          <w:p w14:paraId="4A161A91">
            <w:pPr>
              <w:spacing w:line="336" w:lineRule="auto"/>
              <w:jc w:val="center"/>
              <w:rPr>
                <w:rFonts w:ascii="宋体" w:hAnsi="宋体" w:cs="宋体"/>
                <w:color w:val="auto"/>
                <w:sz w:val="24"/>
                <w:highlight w:val="none"/>
              </w:rPr>
            </w:pPr>
            <w:r>
              <w:rPr>
                <w:rFonts w:hint="eastAsia" w:ascii="宋体" w:hAnsi="宋体" w:cs="宋体"/>
                <w:color w:val="auto"/>
                <w:sz w:val="24"/>
                <w:highlight w:val="none"/>
              </w:rPr>
              <w:t>计价单位</w:t>
            </w:r>
          </w:p>
        </w:tc>
        <w:tc>
          <w:tcPr>
            <w:tcW w:w="1161" w:type="dxa"/>
            <w:vAlign w:val="center"/>
          </w:tcPr>
          <w:p w14:paraId="15A6A0F9">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965" w:type="dxa"/>
            <w:vAlign w:val="center"/>
          </w:tcPr>
          <w:p w14:paraId="7FEC797C">
            <w:pPr>
              <w:spacing w:line="33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总价</w:t>
            </w:r>
          </w:p>
        </w:tc>
        <w:tc>
          <w:tcPr>
            <w:tcW w:w="2338" w:type="dxa"/>
            <w:vAlign w:val="center"/>
          </w:tcPr>
          <w:p w14:paraId="07A561EF">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7959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40201B55">
            <w:pPr>
              <w:spacing w:line="33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714" w:type="dxa"/>
            <w:vAlign w:val="center"/>
          </w:tcPr>
          <w:p w14:paraId="43AD7352">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tc>
        <w:tc>
          <w:tcPr>
            <w:tcW w:w="1285" w:type="dxa"/>
            <w:vAlign w:val="center"/>
          </w:tcPr>
          <w:p w14:paraId="14044F88">
            <w:pPr>
              <w:spacing w:line="336" w:lineRule="auto"/>
              <w:jc w:val="center"/>
              <w:rPr>
                <w:rFonts w:ascii="宋体" w:hAnsi="宋体" w:cs="宋体"/>
                <w:color w:val="auto"/>
                <w:sz w:val="24"/>
                <w:highlight w:val="none"/>
              </w:rPr>
            </w:pPr>
          </w:p>
        </w:tc>
        <w:tc>
          <w:tcPr>
            <w:tcW w:w="1161" w:type="dxa"/>
            <w:vAlign w:val="center"/>
          </w:tcPr>
          <w:p w14:paraId="3BC4DF6F">
            <w:pPr>
              <w:spacing w:line="336" w:lineRule="auto"/>
              <w:jc w:val="center"/>
              <w:rPr>
                <w:rFonts w:ascii="宋体" w:hAnsi="宋体" w:cs="宋体"/>
                <w:color w:val="auto"/>
                <w:sz w:val="24"/>
                <w:highlight w:val="none"/>
              </w:rPr>
            </w:pPr>
          </w:p>
        </w:tc>
        <w:tc>
          <w:tcPr>
            <w:tcW w:w="965" w:type="dxa"/>
            <w:vAlign w:val="center"/>
          </w:tcPr>
          <w:p w14:paraId="32237B29">
            <w:pPr>
              <w:spacing w:line="336" w:lineRule="auto"/>
              <w:jc w:val="center"/>
              <w:rPr>
                <w:rFonts w:ascii="宋体" w:hAnsi="宋体" w:cs="宋体"/>
                <w:color w:val="auto"/>
                <w:sz w:val="24"/>
                <w:highlight w:val="none"/>
              </w:rPr>
            </w:pPr>
          </w:p>
        </w:tc>
        <w:tc>
          <w:tcPr>
            <w:tcW w:w="2338" w:type="dxa"/>
            <w:vAlign w:val="center"/>
          </w:tcPr>
          <w:p w14:paraId="491F5E81">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tc>
      </w:tr>
      <w:tr w14:paraId="1F3C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0EA1599B">
            <w:pPr>
              <w:spacing w:line="33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714" w:type="dxa"/>
            <w:vAlign w:val="center"/>
          </w:tcPr>
          <w:p w14:paraId="265EBBCF">
            <w:pPr>
              <w:spacing w:line="336" w:lineRule="auto"/>
              <w:jc w:val="center"/>
              <w:rPr>
                <w:rFonts w:ascii="宋体" w:hAnsi="宋体" w:cs="宋体"/>
                <w:color w:val="auto"/>
                <w:sz w:val="24"/>
                <w:highlight w:val="none"/>
              </w:rPr>
            </w:pPr>
          </w:p>
        </w:tc>
        <w:tc>
          <w:tcPr>
            <w:tcW w:w="1285" w:type="dxa"/>
            <w:vAlign w:val="center"/>
          </w:tcPr>
          <w:p w14:paraId="15AD1BBA">
            <w:pPr>
              <w:spacing w:line="336" w:lineRule="auto"/>
              <w:jc w:val="center"/>
              <w:rPr>
                <w:rFonts w:ascii="宋体" w:hAnsi="宋体" w:cs="宋体"/>
                <w:color w:val="auto"/>
                <w:sz w:val="24"/>
                <w:highlight w:val="none"/>
              </w:rPr>
            </w:pPr>
          </w:p>
        </w:tc>
        <w:tc>
          <w:tcPr>
            <w:tcW w:w="1161" w:type="dxa"/>
            <w:vAlign w:val="center"/>
          </w:tcPr>
          <w:p w14:paraId="79E00997">
            <w:pPr>
              <w:spacing w:line="336" w:lineRule="auto"/>
              <w:jc w:val="center"/>
              <w:rPr>
                <w:rFonts w:ascii="宋体" w:hAnsi="宋体" w:cs="宋体"/>
                <w:color w:val="auto"/>
                <w:sz w:val="24"/>
                <w:highlight w:val="none"/>
              </w:rPr>
            </w:pPr>
          </w:p>
        </w:tc>
        <w:tc>
          <w:tcPr>
            <w:tcW w:w="965" w:type="dxa"/>
            <w:vAlign w:val="center"/>
          </w:tcPr>
          <w:p w14:paraId="7A4C78E1">
            <w:pPr>
              <w:spacing w:line="336" w:lineRule="auto"/>
              <w:jc w:val="center"/>
              <w:rPr>
                <w:rFonts w:ascii="宋体" w:hAnsi="宋体" w:cs="宋体"/>
                <w:color w:val="auto"/>
                <w:sz w:val="24"/>
                <w:highlight w:val="none"/>
              </w:rPr>
            </w:pPr>
          </w:p>
        </w:tc>
        <w:tc>
          <w:tcPr>
            <w:tcW w:w="2338" w:type="dxa"/>
            <w:vAlign w:val="center"/>
          </w:tcPr>
          <w:p w14:paraId="3EB5773C">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tc>
      </w:tr>
      <w:tr w14:paraId="3C13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04BF7306">
            <w:pPr>
              <w:spacing w:line="33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714" w:type="dxa"/>
            <w:vAlign w:val="center"/>
          </w:tcPr>
          <w:p w14:paraId="0428F3E6">
            <w:pPr>
              <w:spacing w:line="336" w:lineRule="auto"/>
              <w:jc w:val="center"/>
              <w:rPr>
                <w:rFonts w:ascii="宋体" w:hAnsi="宋体" w:cs="宋体"/>
                <w:color w:val="auto"/>
                <w:sz w:val="24"/>
                <w:highlight w:val="none"/>
              </w:rPr>
            </w:pPr>
          </w:p>
        </w:tc>
        <w:tc>
          <w:tcPr>
            <w:tcW w:w="1285" w:type="dxa"/>
            <w:vAlign w:val="center"/>
          </w:tcPr>
          <w:p w14:paraId="25E29687">
            <w:pPr>
              <w:spacing w:line="336" w:lineRule="auto"/>
              <w:jc w:val="center"/>
              <w:rPr>
                <w:rFonts w:ascii="宋体" w:hAnsi="宋体" w:cs="宋体"/>
                <w:color w:val="auto"/>
                <w:sz w:val="24"/>
                <w:highlight w:val="none"/>
              </w:rPr>
            </w:pPr>
          </w:p>
        </w:tc>
        <w:tc>
          <w:tcPr>
            <w:tcW w:w="1161" w:type="dxa"/>
            <w:vAlign w:val="center"/>
          </w:tcPr>
          <w:p w14:paraId="7B10037F">
            <w:pPr>
              <w:spacing w:line="336" w:lineRule="auto"/>
              <w:jc w:val="center"/>
              <w:rPr>
                <w:rFonts w:ascii="宋体" w:hAnsi="宋体" w:cs="宋体"/>
                <w:color w:val="auto"/>
                <w:sz w:val="24"/>
                <w:highlight w:val="none"/>
              </w:rPr>
            </w:pPr>
          </w:p>
        </w:tc>
        <w:tc>
          <w:tcPr>
            <w:tcW w:w="965" w:type="dxa"/>
            <w:vAlign w:val="center"/>
          </w:tcPr>
          <w:p w14:paraId="0056DA7E">
            <w:pPr>
              <w:spacing w:line="336" w:lineRule="auto"/>
              <w:jc w:val="center"/>
              <w:rPr>
                <w:rFonts w:ascii="宋体" w:hAnsi="宋体" w:cs="宋体"/>
                <w:color w:val="auto"/>
                <w:sz w:val="24"/>
                <w:highlight w:val="none"/>
              </w:rPr>
            </w:pPr>
          </w:p>
        </w:tc>
        <w:tc>
          <w:tcPr>
            <w:tcW w:w="2338" w:type="dxa"/>
            <w:vAlign w:val="center"/>
          </w:tcPr>
          <w:p w14:paraId="56F92422">
            <w:pPr>
              <w:spacing w:line="336" w:lineRule="auto"/>
              <w:jc w:val="center"/>
              <w:rPr>
                <w:rFonts w:ascii="宋体" w:hAnsi="宋体" w:cs="宋体"/>
                <w:color w:val="auto"/>
                <w:sz w:val="24"/>
                <w:highlight w:val="none"/>
              </w:rPr>
            </w:pPr>
          </w:p>
        </w:tc>
      </w:tr>
      <w:tr w14:paraId="4E03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6BC90BEB">
            <w:pPr>
              <w:spacing w:line="336"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714" w:type="dxa"/>
            <w:vAlign w:val="center"/>
          </w:tcPr>
          <w:p w14:paraId="70C7CFC2">
            <w:pPr>
              <w:spacing w:line="336" w:lineRule="auto"/>
              <w:jc w:val="center"/>
              <w:rPr>
                <w:rFonts w:ascii="宋体" w:hAnsi="宋体" w:cs="宋体"/>
                <w:color w:val="auto"/>
                <w:sz w:val="24"/>
                <w:highlight w:val="none"/>
              </w:rPr>
            </w:pPr>
          </w:p>
        </w:tc>
        <w:tc>
          <w:tcPr>
            <w:tcW w:w="1285" w:type="dxa"/>
            <w:vAlign w:val="center"/>
          </w:tcPr>
          <w:p w14:paraId="0EB9B7C7">
            <w:pPr>
              <w:spacing w:line="336" w:lineRule="auto"/>
              <w:jc w:val="center"/>
              <w:rPr>
                <w:rFonts w:ascii="宋体" w:hAnsi="宋体" w:cs="宋体"/>
                <w:color w:val="auto"/>
                <w:sz w:val="24"/>
                <w:highlight w:val="none"/>
              </w:rPr>
            </w:pPr>
          </w:p>
        </w:tc>
        <w:tc>
          <w:tcPr>
            <w:tcW w:w="1161" w:type="dxa"/>
            <w:vAlign w:val="center"/>
          </w:tcPr>
          <w:p w14:paraId="69ED3AE6">
            <w:pPr>
              <w:spacing w:line="336" w:lineRule="auto"/>
              <w:jc w:val="center"/>
              <w:rPr>
                <w:rFonts w:ascii="宋体" w:hAnsi="宋体" w:cs="宋体"/>
                <w:color w:val="auto"/>
                <w:sz w:val="24"/>
                <w:highlight w:val="none"/>
              </w:rPr>
            </w:pPr>
          </w:p>
        </w:tc>
        <w:tc>
          <w:tcPr>
            <w:tcW w:w="965" w:type="dxa"/>
            <w:vAlign w:val="center"/>
          </w:tcPr>
          <w:p w14:paraId="02946F57">
            <w:pPr>
              <w:spacing w:line="336" w:lineRule="auto"/>
              <w:jc w:val="center"/>
              <w:rPr>
                <w:rFonts w:ascii="宋体" w:hAnsi="宋体" w:cs="宋体"/>
                <w:color w:val="auto"/>
                <w:sz w:val="24"/>
                <w:highlight w:val="none"/>
              </w:rPr>
            </w:pPr>
          </w:p>
        </w:tc>
        <w:tc>
          <w:tcPr>
            <w:tcW w:w="2338" w:type="dxa"/>
            <w:vAlign w:val="center"/>
          </w:tcPr>
          <w:p w14:paraId="4F1D87DB">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tc>
      </w:tr>
      <w:tr w14:paraId="1D1C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3DFC31F3">
            <w:pPr>
              <w:spacing w:line="336"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714" w:type="dxa"/>
            <w:vAlign w:val="center"/>
          </w:tcPr>
          <w:p w14:paraId="4C872E6C">
            <w:pPr>
              <w:spacing w:line="336" w:lineRule="auto"/>
              <w:jc w:val="center"/>
              <w:rPr>
                <w:rFonts w:ascii="宋体" w:hAnsi="宋体" w:cs="宋体"/>
                <w:color w:val="auto"/>
                <w:sz w:val="24"/>
                <w:highlight w:val="none"/>
              </w:rPr>
            </w:pPr>
          </w:p>
        </w:tc>
        <w:tc>
          <w:tcPr>
            <w:tcW w:w="1285" w:type="dxa"/>
            <w:vAlign w:val="center"/>
          </w:tcPr>
          <w:p w14:paraId="4A876239">
            <w:pPr>
              <w:spacing w:line="336" w:lineRule="auto"/>
              <w:jc w:val="center"/>
              <w:rPr>
                <w:rFonts w:ascii="宋体" w:hAnsi="宋体" w:cs="宋体"/>
                <w:color w:val="auto"/>
                <w:sz w:val="24"/>
                <w:highlight w:val="none"/>
              </w:rPr>
            </w:pPr>
          </w:p>
        </w:tc>
        <w:tc>
          <w:tcPr>
            <w:tcW w:w="1161" w:type="dxa"/>
            <w:vAlign w:val="center"/>
          </w:tcPr>
          <w:p w14:paraId="76CED26B">
            <w:pPr>
              <w:spacing w:line="336" w:lineRule="auto"/>
              <w:jc w:val="center"/>
              <w:rPr>
                <w:rFonts w:ascii="宋体" w:hAnsi="宋体" w:cs="宋体"/>
                <w:color w:val="auto"/>
                <w:sz w:val="24"/>
                <w:highlight w:val="none"/>
              </w:rPr>
            </w:pPr>
          </w:p>
        </w:tc>
        <w:tc>
          <w:tcPr>
            <w:tcW w:w="965" w:type="dxa"/>
            <w:vAlign w:val="center"/>
          </w:tcPr>
          <w:p w14:paraId="3959DA96">
            <w:pPr>
              <w:spacing w:line="336" w:lineRule="auto"/>
              <w:jc w:val="center"/>
              <w:rPr>
                <w:rFonts w:ascii="宋体" w:hAnsi="宋体" w:cs="宋体"/>
                <w:color w:val="auto"/>
                <w:sz w:val="24"/>
                <w:highlight w:val="none"/>
              </w:rPr>
            </w:pPr>
          </w:p>
        </w:tc>
        <w:tc>
          <w:tcPr>
            <w:tcW w:w="2338" w:type="dxa"/>
            <w:vAlign w:val="center"/>
          </w:tcPr>
          <w:p w14:paraId="2CF937E4">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tc>
      </w:tr>
      <w:tr w14:paraId="3638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638102C0">
            <w:pPr>
              <w:spacing w:line="336"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714" w:type="dxa"/>
            <w:vAlign w:val="center"/>
          </w:tcPr>
          <w:p w14:paraId="4BAF435C">
            <w:pPr>
              <w:spacing w:line="336" w:lineRule="auto"/>
              <w:jc w:val="center"/>
              <w:rPr>
                <w:rFonts w:ascii="宋体" w:hAnsi="宋体" w:cs="宋体"/>
                <w:color w:val="auto"/>
                <w:sz w:val="24"/>
                <w:highlight w:val="none"/>
              </w:rPr>
            </w:pPr>
          </w:p>
        </w:tc>
        <w:tc>
          <w:tcPr>
            <w:tcW w:w="1285" w:type="dxa"/>
            <w:vAlign w:val="center"/>
          </w:tcPr>
          <w:p w14:paraId="526546E1">
            <w:pPr>
              <w:spacing w:line="336" w:lineRule="auto"/>
              <w:jc w:val="center"/>
              <w:rPr>
                <w:rFonts w:ascii="宋体" w:hAnsi="宋体" w:cs="宋体"/>
                <w:color w:val="auto"/>
                <w:sz w:val="24"/>
                <w:highlight w:val="none"/>
              </w:rPr>
            </w:pPr>
          </w:p>
        </w:tc>
        <w:tc>
          <w:tcPr>
            <w:tcW w:w="1161" w:type="dxa"/>
            <w:vAlign w:val="center"/>
          </w:tcPr>
          <w:p w14:paraId="09E4DDDA">
            <w:pPr>
              <w:spacing w:line="336" w:lineRule="auto"/>
              <w:jc w:val="center"/>
              <w:rPr>
                <w:rFonts w:ascii="宋体" w:hAnsi="宋体" w:cs="宋体"/>
                <w:color w:val="auto"/>
                <w:sz w:val="24"/>
                <w:highlight w:val="none"/>
              </w:rPr>
            </w:pPr>
          </w:p>
        </w:tc>
        <w:tc>
          <w:tcPr>
            <w:tcW w:w="965" w:type="dxa"/>
            <w:vAlign w:val="center"/>
          </w:tcPr>
          <w:p w14:paraId="7FC5AA97">
            <w:pPr>
              <w:spacing w:line="336" w:lineRule="auto"/>
              <w:jc w:val="center"/>
              <w:rPr>
                <w:rFonts w:ascii="宋体" w:hAnsi="宋体" w:cs="宋体"/>
                <w:color w:val="auto"/>
                <w:sz w:val="24"/>
                <w:highlight w:val="none"/>
              </w:rPr>
            </w:pPr>
          </w:p>
        </w:tc>
        <w:tc>
          <w:tcPr>
            <w:tcW w:w="2338" w:type="dxa"/>
            <w:vAlign w:val="center"/>
          </w:tcPr>
          <w:p w14:paraId="447FBC87">
            <w:pPr>
              <w:spacing w:line="336" w:lineRule="auto"/>
              <w:jc w:val="center"/>
              <w:rPr>
                <w:rFonts w:ascii="宋体" w:hAnsi="宋体" w:cs="宋体"/>
                <w:color w:val="auto"/>
                <w:sz w:val="24"/>
                <w:highlight w:val="none"/>
              </w:rPr>
            </w:pPr>
          </w:p>
        </w:tc>
      </w:tr>
      <w:tr w14:paraId="6B70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141C2479">
            <w:pPr>
              <w:spacing w:line="336"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714" w:type="dxa"/>
            <w:vAlign w:val="center"/>
          </w:tcPr>
          <w:p w14:paraId="173CEAA4">
            <w:pPr>
              <w:spacing w:line="336" w:lineRule="auto"/>
              <w:jc w:val="center"/>
              <w:rPr>
                <w:rFonts w:ascii="宋体" w:hAnsi="宋体" w:cs="宋体"/>
                <w:color w:val="auto"/>
                <w:sz w:val="24"/>
                <w:highlight w:val="none"/>
              </w:rPr>
            </w:pPr>
          </w:p>
        </w:tc>
        <w:tc>
          <w:tcPr>
            <w:tcW w:w="1285" w:type="dxa"/>
            <w:vAlign w:val="center"/>
          </w:tcPr>
          <w:p w14:paraId="6EF41519">
            <w:pPr>
              <w:spacing w:line="336" w:lineRule="auto"/>
              <w:jc w:val="center"/>
              <w:rPr>
                <w:rFonts w:ascii="宋体" w:hAnsi="宋体" w:cs="宋体"/>
                <w:color w:val="auto"/>
                <w:sz w:val="24"/>
                <w:highlight w:val="none"/>
              </w:rPr>
            </w:pPr>
          </w:p>
        </w:tc>
        <w:tc>
          <w:tcPr>
            <w:tcW w:w="1161" w:type="dxa"/>
            <w:vAlign w:val="center"/>
          </w:tcPr>
          <w:p w14:paraId="6A1DD19C">
            <w:pPr>
              <w:spacing w:line="336" w:lineRule="auto"/>
              <w:jc w:val="center"/>
              <w:rPr>
                <w:rFonts w:ascii="宋体" w:hAnsi="宋体" w:cs="宋体"/>
                <w:color w:val="auto"/>
                <w:sz w:val="24"/>
                <w:highlight w:val="none"/>
              </w:rPr>
            </w:pPr>
          </w:p>
        </w:tc>
        <w:tc>
          <w:tcPr>
            <w:tcW w:w="965" w:type="dxa"/>
            <w:vAlign w:val="center"/>
          </w:tcPr>
          <w:p w14:paraId="4FCD1137">
            <w:pPr>
              <w:spacing w:line="336" w:lineRule="auto"/>
              <w:jc w:val="center"/>
              <w:rPr>
                <w:rFonts w:ascii="宋体" w:hAnsi="宋体" w:cs="宋体"/>
                <w:color w:val="auto"/>
                <w:sz w:val="24"/>
                <w:highlight w:val="none"/>
              </w:rPr>
            </w:pPr>
          </w:p>
        </w:tc>
        <w:tc>
          <w:tcPr>
            <w:tcW w:w="2338" w:type="dxa"/>
            <w:vAlign w:val="center"/>
          </w:tcPr>
          <w:p w14:paraId="79AD749A">
            <w:pPr>
              <w:spacing w:line="336" w:lineRule="auto"/>
              <w:jc w:val="center"/>
              <w:rPr>
                <w:rFonts w:ascii="宋体" w:hAnsi="宋体" w:cs="宋体"/>
                <w:color w:val="auto"/>
                <w:sz w:val="24"/>
                <w:highlight w:val="none"/>
              </w:rPr>
            </w:pPr>
          </w:p>
        </w:tc>
      </w:tr>
      <w:tr w14:paraId="241C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13B9D424">
            <w:pPr>
              <w:spacing w:line="336"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714" w:type="dxa"/>
            <w:vAlign w:val="center"/>
          </w:tcPr>
          <w:p w14:paraId="7ED99F9F">
            <w:pPr>
              <w:spacing w:line="336" w:lineRule="auto"/>
              <w:jc w:val="center"/>
              <w:rPr>
                <w:rFonts w:ascii="宋体" w:hAnsi="宋体" w:cs="宋体"/>
                <w:color w:val="auto"/>
                <w:sz w:val="24"/>
                <w:highlight w:val="none"/>
              </w:rPr>
            </w:pPr>
          </w:p>
        </w:tc>
        <w:tc>
          <w:tcPr>
            <w:tcW w:w="1285" w:type="dxa"/>
            <w:vAlign w:val="center"/>
          </w:tcPr>
          <w:p w14:paraId="690CBDCA">
            <w:pPr>
              <w:spacing w:line="336" w:lineRule="auto"/>
              <w:jc w:val="center"/>
              <w:rPr>
                <w:rFonts w:ascii="宋体" w:hAnsi="宋体" w:cs="宋体"/>
                <w:color w:val="auto"/>
                <w:sz w:val="24"/>
                <w:highlight w:val="none"/>
              </w:rPr>
            </w:pPr>
          </w:p>
        </w:tc>
        <w:tc>
          <w:tcPr>
            <w:tcW w:w="1161" w:type="dxa"/>
            <w:vAlign w:val="center"/>
          </w:tcPr>
          <w:p w14:paraId="3A2FC201">
            <w:pPr>
              <w:spacing w:line="336" w:lineRule="auto"/>
              <w:jc w:val="center"/>
              <w:rPr>
                <w:rFonts w:ascii="宋体" w:hAnsi="宋体" w:cs="宋体"/>
                <w:color w:val="auto"/>
                <w:sz w:val="24"/>
                <w:highlight w:val="none"/>
              </w:rPr>
            </w:pPr>
          </w:p>
        </w:tc>
        <w:tc>
          <w:tcPr>
            <w:tcW w:w="965" w:type="dxa"/>
            <w:vAlign w:val="center"/>
          </w:tcPr>
          <w:p w14:paraId="4E9A5729">
            <w:pPr>
              <w:spacing w:line="336" w:lineRule="auto"/>
              <w:jc w:val="center"/>
              <w:rPr>
                <w:rFonts w:ascii="宋体" w:hAnsi="宋体" w:cs="宋体"/>
                <w:color w:val="auto"/>
                <w:sz w:val="24"/>
                <w:highlight w:val="none"/>
              </w:rPr>
            </w:pPr>
          </w:p>
        </w:tc>
        <w:tc>
          <w:tcPr>
            <w:tcW w:w="2338" w:type="dxa"/>
            <w:vAlign w:val="center"/>
          </w:tcPr>
          <w:p w14:paraId="1C3DCB54">
            <w:pPr>
              <w:spacing w:line="336" w:lineRule="auto"/>
              <w:jc w:val="center"/>
              <w:rPr>
                <w:rFonts w:ascii="宋体" w:hAnsi="宋体" w:cs="宋体"/>
                <w:color w:val="auto"/>
                <w:sz w:val="24"/>
                <w:highlight w:val="none"/>
              </w:rPr>
            </w:pPr>
          </w:p>
        </w:tc>
      </w:tr>
      <w:tr w14:paraId="5590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7ED3B711">
            <w:pPr>
              <w:spacing w:line="336"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714" w:type="dxa"/>
            <w:vAlign w:val="center"/>
          </w:tcPr>
          <w:p w14:paraId="5D97C2E3">
            <w:pPr>
              <w:spacing w:line="336" w:lineRule="auto"/>
              <w:jc w:val="center"/>
              <w:rPr>
                <w:rFonts w:ascii="宋体" w:hAnsi="宋体" w:cs="宋体"/>
                <w:color w:val="auto"/>
                <w:sz w:val="24"/>
                <w:highlight w:val="none"/>
              </w:rPr>
            </w:pPr>
          </w:p>
        </w:tc>
        <w:tc>
          <w:tcPr>
            <w:tcW w:w="1285" w:type="dxa"/>
            <w:vAlign w:val="center"/>
          </w:tcPr>
          <w:p w14:paraId="37F71246">
            <w:pPr>
              <w:spacing w:line="336" w:lineRule="auto"/>
              <w:jc w:val="center"/>
              <w:rPr>
                <w:rFonts w:ascii="宋体" w:hAnsi="宋体" w:cs="宋体"/>
                <w:color w:val="auto"/>
                <w:sz w:val="24"/>
                <w:highlight w:val="none"/>
              </w:rPr>
            </w:pPr>
          </w:p>
        </w:tc>
        <w:tc>
          <w:tcPr>
            <w:tcW w:w="1161" w:type="dxa"/>
            <w:vAlign w:val="center"/>
          </w:tcPr>
          <w:p w14:paraId="34F1EE5C">
            <w:pPr>
              <w:spacing w:line="336" w:lineRule="auto"/>
              <w:jc w:val="center"/>
              <w:rPr>
                <w:rFonts w:ascii="宋体" w:hAnsi="宋体" w:cs="宋体"/>
                <w:color w:val="auto"/>
                <w:sz w:val="24"/>
                <w:highlight w:val="none"/>
              </w:rPr>
            </w:pPr>
          </w:p>
        </w:tc>
        <w:tc>
          <w:tcPr>
            <w:tcW w:w="965" w:type="dxa"/>
            <w:vAlign w:val="center"/>
          </w:tcPr>
          <w:p w14:paraId="0DDF5990">
            <w:pPr>
              <w:spacing w:line="336" w:lineRule="auto"/>
              <w:jc w:val="center"/>
              <w:rPr>
                <w:rFonts w:ascii="宋体" w:hAnsi="宋体" w:cs="宋体"/>
                <w:color w:val="auto"/>
                <w:sz w:val="24"/>
                <w:highlight w:val="none"/>
              </w:rPr>
            </w:pPr>
          </w:p>
        </w:tc>
        <w:tc>
          <w:tcPr>
            <w:tcW w:w="2338" w:type="dxa"/>
            <w:vAlign w:val="center"/>
          </w:tcPr>
          <w:p w14:paraId="6CB29AA0">
            <w:pPr>
              <w:spacing w:line="336" w:lineRule="auto"/>
              <w:jc w:val="center"/>
              <w:rPr>
                <w:rFonts w:ascii="宋体" w:hAnsi="宋体" w:cs="宋体"/>
                <w:color w:val="auto"/>
                <w:sz w:val="24"/>
                <w:highlight w:val="none"/>
              </w:rPr>
            </w:pPr>
          </w:p>
        </w:tc>
      </w:tr>
      <w:tr w14:paraId="6230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7B9142D3">
            <w:pPr>
              <w:spacing w:line="336"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714" w:type="dxa"/>
            <w:vAlign w:val="center"/>
          </w:tcPr>
          <w:p w14:paraId="6DE3EC96">
            <w:pPr>
              <w:spacing w:line="336" w:lineRule="auto"/>
              <w:jc w:val="center"/>
              <w:rPr>
                <w:rFonts w:ascii="宋体" w:hAnsi="宋体" w:cs="宋体"/>
                <w:color w:val="auto"/>
                <w:sz w:val="24"/>
                <w:highlight w:val="none"/>
              </w:rPr>
            </w:pPr>
            <w:r>
              <w:rPr>
                <w:rFonts w:hint="eastAsia" w:ascii="宋体" w:hAnsi="宋体" w:cs="宋体"/>
                <w:color w:val="auto"/>
                <w:sz w:val="24"/>
                <w:highlight w:val="none"/>
              </w:rPr>
              <w:t>其他</w:t>
            </w:r>
          </w:p>
        </w:tc>
        <w:tc>
          <w:tcPr>
            <w:tcW w:w="1285" w:type="dxa"/>
            <w:vAlign w:val="center"/>
          </w:tcPr>
          <w:p w14:paraId="1BB03EA9">
            <w:pPr>
              <w:spacing w:line="336" w:lineRule="auto"/>
              <w:jc w:val="center"/>
              <w:rPr>
                <w:rFonts w:ascii="宋体" w:hAnsi="宋体" w:cs="宋体"/>
                <w:color w:val="auto"/>
                <w:sz w:val="24"/>
                <w:highlight w:val="none"/>
              </w:rPr>
            </w:pPr>
          </w:p>
        </w:tc>
        <w:tc>
          <w:tcPr>
            <w:tcW w:w="1161" w:type="dxa"/>
            <w:vAlign w:val="center"/>
          </w:tcPr>
          <w:p w14:paraId="323076B6">
            <w:pPr>
              <w:spacing w:line="336" w:lineRule="auto"/>
              <w:jc w:val="center"/>
              <w:rPr>
                <w:rFonts w:ascii="宋体" w:hAnsi="宋体" w:cs="宋体"/>
                <w:color w:val="auto"/>
                <w:sz w:val="24"/>
                <w:highlight w:val="none"/>
              </w:rPr>
            </w:pPr>
          </w:p>
        </w:tc>
        <w:tc>
          <w:tcPr>
            <w:tcW w:w="965" w:type="dxa"/>
            <w:vAlign w:val="center"/>
          </w:tcPr>
          <w:p w14:paraId="67DFB735">
            <w:pPr>
              <w:spacing w:line="336" w:lineRule="auto"/>
              <w:jc w:val="center"/>
              <w:rPr>
                <w:rFonts w:ascii="宋体" w:hAnsi="宋体" w:cs="宋体"/>
                <w:color w:val="auto"/>
                <w:sz w:val="24"/>
                <w:highlight w:val="none"/>
              </w:rPr>
            </w:pPr>
          </w:p>
        </w:tc>
        <w:tc>
          <w:tcPr>
            <w:tcW w:w="2338" w:type="dxa"/>
            <w:vAlign w:val="center"/>
          </w:tcPr>
          <w:p w14:paraId="27A3587C">
            <w:pPr>
              <w:spacing w:line="336" w:lineRule="auto"/>
              <w:jc w:val="center"/>
              <w:rPr>
                <w:rFonts w:ascii="宋体" w:hAnsi="宋体" w:cs="宋体"/>
                <w:color w:val="auto"/>
                <w:sz w:val="24"/>
                <w:highlight w:val="none"/>
              </w:rPr>
            </w:pPr>
          </w:p>
        </w:tc>
      </w:tr>
      <w:tr w14:paraId="64A0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59D986CD">
            <w:pPr>
              <w:spacing w:line="336"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714" w:type="dxa"/>
            <w:vAlign w:val="center"/>
          </w:tcPr>
          <w:p w14:paraId="272041F8">
            <w:pPr>
              <w:spacing w:line="336" w:lineRule="auto"/>
              <w:jc w:val="center"/>
              <w:rPr>
                <w:rFonts w:ascii="宋体" w:hAnsi="宋体" w:cs="宋体"/>
                <w:color w:val="auto"/>
                <w:sz w:val="24"/>
                <w:highlight w:val="none"/>
              </w:rPr>
            </w:pPr>
            <w:r>
              <w:rPr>
                <w:rFonts w:hint="eastAsia" w:ascii="宋体" w:hAnsi="宋体" w:cs="宋体"/>
                <w:color w:val="auto"/>
                <w:sz w:val="24"/>
                <w:highlight w:val="none"/>
              </w:rPr>
              <w:t>税金</w:t>
            </w:r>
          </w:p>
        </w:tc>
        <w:tc>
          <w:tcPr>
            <w:tcW w:w="1285" w:type="dxa"/>
            <w:vAlign w:val="center"/>
          </w:tcPr>
          <w:p w14:paraId="66113712">
            <w:pPr>
              <w:spacing w:line="336" w:lineRule="auto"/>
              <w:jc w:val="center"/>
              <w:rPr>
                <w:rFonts w:ascii="宋体" w:hAnsi="宋体" w:cs="宋体"/>
                <w:color w:val="auto"/>
                <w:sz w:val="24"/>
                <w:highlight w:val="none"/>
              </w:rPr>
            </w:pPr>
          </w:p>
        </w:tc>
        <w:tc>
          <w:tcPr>
            <w:tcW w:w="1161" w:type="dxa"/>
            <w:vAlign w:val="center"/>
          </w:tcPr>
          <w:p w14:paraId="559B3EC1">
            <w:pPr>
              <w:spacing w:line="336" w:lineRule="auto"/>
              <w:jc w:val="center"/>
              <w:rPr>
                <w:rFonts w:ascii="宋体" w:hAnsi="宋体" w:cs="宋体"/>
                <w:color w:val="auto"/>
                <w:sz w:val="24"/>
                <w:highlight w:val="none"/>
              </w:rPr>
            </w:pPr>
          </w:p>
        </w:tc>
        <w:tc>
          <w:tcPr>
            <w:tcW w:w="965" w:type="dxa"/>
            <w:vAlign w:val="center"/>
          </w:tcPr>
          <w:p w14:paraId="6E800BC2">
            <w:pPr>
              <w:spacing w:line="336" w:lineRule="auto"/>
              <w:jc w:val="center"/>
              <w:rPr>
                <w:rFonts w:ascii="宋体" w:hAnsi="宋体" w:cs="宋体"/>
                <w:color w:val="auto"/>
                <w:sz w:val="24"/>
                <w:highlight w:val="none"/>
              </w:rPr>
            </w:pPr>
          </w:p>
        </w:tc>
        <w:tc>
          <w:tcPr>
            <w:tcW w:w="2338" w:type="dxa"/>
            <w:vAlign w:val="center"/>
          </w:tcPr>
          <w:p w14:paraId="797B9874">
            <w:pPr>
              <w:spacing w:line="336" w:lineRule="auto"/>
              <w:jc w:val="center"/>
              <w:rPr>
                <w:rFonts w:ascii="宋体" w:hAnsi="宋体" w:cs="宋体"/>
                <w:color w:val="auto"/>
                <w:sz w:val="24"/>
                <w:highlight w:val="none"/>
              </w:rPr>
            </w:pPr>
          </w:p>
        </w:tc>
      </w:tr>
      <w:tr w14:paraId="7D64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0E202EFA">
            <w:pPr>
              <w:spacing w:line="336"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714" w:type="dxa"/>
            <w:vAlign w:val="center"/>
          </w:tcPr>
          <w:p w14:paraId="138D1904">
            <w:pPr>
              <w:spacing w:line="33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285" w:type="dxa"/>
            <w:vAlign w:val="center"/>
          </w:tcPr>
          <w:p w14:paraId="04E18D0A">
            <w:pPr>
              <w:spacing w:line="336" w:lineRule="auto"/>
              <w:jc w:val="center"/>
              <w:rPr>
                <w:rFonts w:ascii="宋体" w:hAnsi="宋体" w:cs="宋体"/>
                <w:color w:val="auto"/>
                <w:sz w:val="24"/>
                <w:highlight w:val="none"/>
              </w:rPr>
            </w:pPr>
          </w:p>
        </w:tc>
        <w:tc>
          <w:tcPr>
            <w:tcW w:w="1161" w:type="dxa"/>
            <w:vAlign w:val="center"/>
          </w:tcPr>
          <w:p w14:paraId="6193A6E8">
            <w:pPr>
              <w:spacing w:line="336" w:lineRule="auto"/>
              <w:jc w:val="center"/>
              <w:rPr>
                <w:rFonts w:ascii="宋体" w:hAnsi="宋体" w:cs="宋体"/>
                <w:color w:val="auto"/>
                <w:sz w:val="24"/>
                <w:highlight w:val="none"/>
              </w:rPr>
            </w:pPr>
          </w:p>
        </w:tc>
        <w:tc>
          <w:tcPr>
            <w:tcW w:w="965" w:type="dxa"/>
            <w:vAlign w:val="center"/>
          </w:tcPr>
          <w:p w14:paraId="1693AAE7">
            <w:pPr>
              <w:spacing w:line="336" w:lineRule="auto"/>
              <w:jc w:val="center"/>
              <w:rPr>
                <w:rFonts w:ascii="宋体" w:hAnsi="宋体" w:cs="宋体"/>
                <w:color w:val="auto"/>
                <w:sz w:val="24"/>
                <w:highlight w:val="none"/>
              </w:rPr>
            </w:pPr>
          </w:p>
        </w:tc>
        <w:tc>
          <w:tcPr>
            <w:tcW w:w="2338" w:type="dxa"/>
            <w:vAlign w:val="center"/>
          </w:tcPr>
          <w:p w14:paraId="24160895">
            <w:pPr>
              <w:spacing w:line="336" w:lineRule="auto"/>
              <w:jc w:val="center"/>
              <w:rPr>
                <w:rFonts w:ascii="宋体" w:hAnsi="宋体" w:cs="宋体"/>
                <w:color w:val="auto"/>
                <w:sz w:val="24"/>
                <w:highlight w:val="none"/>
              </w:rPr>
            </w:pPr>
          </w:p>
        </w:tc>
      </w:tr>
      <w:tr w14:paraId="4B84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3E87E4C1">
            <w:pPr>
              <w:spacing w:line="336"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714" w:type="dxa"/>
            <w:vAlign w:val="center"/>
          </w:tcPr>
          <w:p w14:paraId="1555CD62">
            <w:pPr>
              <w:spacing w:line="33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285" w:type="dxa"/>
            <w:vAlign w:val="center"/>
          </w:tcPr>
          <w:p w14:paraId="7FEFE237">
            <w:pPr>
              <w:spacing w:line="336" w:lineRule="auto"/>
              <w:jc w:val="center"/>
              <w:rPr>
                <w:rFonts w:ascii="宋体" w:hAnsi="宋体" w:cs="宋体"/>
                <w:color w:val="auto"/>
                <w:sz w:val="24"/>
                <w:highlight w:val="none"/>
              </w:rPr>
            </w:pPr>
          </w:p>
        </w:tc>
        <w:tc>
          <w:tcPr>
            <w:tcW w:w="1161" w:type="dxa"/>
            <w:vAlign w:val="center"/>
          </w:tcPr>
          <w:p w14:paraId="48B93679">
            <w:pPr>
              <w:spacing w:line="336" w:lineRule="auto"/>
              <w:jc w:val="center"/>
              <w:rPr>
                <w:rFonts w:ascii="宋体" w:hAnsi="宋体" w:cs="宋体"/>
                <w:color w:val="auto"/>
                <w:sz w:val="24"/>
                <w:highlight w:val="none"/>
              </w:rPr>
            </w:pPr>
          </w:p>
        </w:tc>
        <w:tc>
          <w:tcPr>
            <w:tcW w:w="965" w:type="dxa"/>
            <w:vAlign w:val="center"/>
          </w:tcPr>
          <w:p w14:paraId="5A5B78EC">
            <w:pPr>
              <w:spacing w:line="336" w:lineRule="auto"/>
              <w:jc w:val="center"/>
              <w:rPr>
                <w:rFonts w:ascii="宋体" w:hAnsi="宋体" w:cs="宋体"/>
                <w:color w:val="auto"/>
                <w:sz w:val="24"/>
                <w:highlight w:val="none"/>
              </w:rPr>
            </w:pPr>
          </w:p>
        </w:tc>
        <w:tc>
          <w:tcPr>
            <w:tcW w:w="2338" w:type="dxa"/>
            <w:vAlign w:val="center"/>
          </w:tcPr>
          <w:p w14:paraId="66D7A04F">
            <w:pPr>
              <w:spacing w:line="336" w:lineRule="auto"/>
              <w:jc w:val="center"/>
              <w:rPr>
                <w:rFonts w:ascii="宋体" w:hAnsi="宋体" w:cs="宋体"/>
                <w:color w:val="auto"/>
                <w:sz w:val="24"/>
                <w:highlight w:val="none"/>
              </w:rPr>
            </w:pPr>
          </w:p>
        </w:tc>
      </w:tr>
      <w:tr w14:paraId="22F7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214" w:type="dxa"/>
            <w:gridSpan w:val="6"/>
            <w:vAlign w:val="center"/>
          </w:tcPr>
          <w:p w14:paraId="18270E3B">
            <w:pPr>
              <w:spacing w:line="440" w:lineRule="exact"/>
              <w:jc w:val="left"/>
              <w:rPr>
                <w:rFonts w:ascii="宋体" w:hAnsi="宋体"/>
                <w:color w:val="auto"/>
                <w:sz w:val="24"/>
                <w:highlight w:val="none"/>
              </w:rPr>
            </w:pPr>
            <w:r>
              <w:rPr>
                <w:rFonts w:hint="eastAsia" w:ascii="宋体" w:hAnsi="宋体"/>
                <w:color w:val="auto"/>
                <w:sz w:val="24"/>
                <w:highlight w:val="none"/>
              </w:rPr>
              <w:t xml:space="preserve">   合计：（大写）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p>
        </w:tc>
      </w:tr>
      <w:tr w14:paraId="13AD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9214" w:type="dxa"/>
            <w:gridSpan w:val="6"/>
          </w:tcPr>
          <w:p w14:paraId="5E2F5D12">
            <w:pPr>
              <w:tabs>
                <w:tab w:val="left" w:pos="4905"/>
              </w:tabs>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本次报价应包括</w:t>
            </w:r>
            <w:r>
              <w:rPr>
                <w:rFonts w:hint="eastAsia" w:hAnsi="宋体" w:cs="宋体"/>
                <w:b/>
                <w:color w:val="auto"/>
                <w:sz w:val="24"/>
                <w:highlight w:val="none"/>
                <w:lang w:val="en-US" w:eastAsia="zh-CN"/>
              </w:rPr>
              <w:t>但不限于</w:t>
            </w:r>
            <w:r>
              <w:rPr>
                <w:rFonts w:hint="eastAsia" w:ascii="宋体" w:hAnsi="宋体" w:cs="宋体"/>
                <w:b/>
                <w:color w:val="auto"/>
                <w:sz w:val="24"/>
                <w:highlight w:val="none"/>
              </w:rPr>
              <w:t>人员费用（保洁人员、垃圾清理人员及管理人员等）、按规定缴纳的各类保险、福利费、管理费用、税费、劳保用品、保洁用具、</w:t>
            </w:r>
            <w:r>
              <w:rPr>
                <w:rFonts w:hint="eastAsia" w:ascii="宋体" w:hAnsi="宋体" w:cs="宋体"/>
                <w:b/>
                <w:color w:val="auto"/>
                <w:sz w:val="24"/>
                <w:highlight w:val="none"/>
                <w:lang w:eastAsia="zh-CN"/>
              </w:rPr>
              <w:t>垃圾清运及处置费、设施设备维护及材料、招标代理费</w:t>
            </w:r>
            <w:r>
              <w:rPr>
                <w:rFonts w:hint="eastAsia" w:ascii="宋体" w:hAnsi="宋体" w:cs="宋体"/>
                <w:b/>
                <w:color w:val="auto"/>
                <w:sz w:val="24"/>
                <w:highlight w:val="none"/>
              </w:rPr>
              <w:t>等本项目所需的一切费用。凡投标方在报价中未列明但又为本次采购所必备的项目或遗漏项目，采购方将一律视为已包括在合同价中，在合同执行中将不予考虑。</w:t>
            </w:r>
          </w:p>
        </w:tc>
      </w:tr>
    </w:tbl>
    <w:p w14:paraId="5CF1AD84">
      <w:pPr>
        <w:pStyle w:val="16"/>
        <w:spacing w:line="360" w:lineRule="auto"/>
        <w:rPr>
          <w:rFonts w:hAnsi="宋体" w:cs="宋体"/>
          <w:color w:val="auto"/>
          <w:sz w:val="24"/>
          <w:highlight w:val="none"/>
        </w:rPr>
      </w:pPr>
    </w:p>
    <w:p w14:paraId="55AD06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或被授权委托人</w:t>
      </w:r>
      <w:r>
        <w:rPr>
          <w:rFonts w:hint="eastAsia" w:ascii="宋体" w:hAnsi="宋体" w:eastAsia="宋体" w:cs="宋体"/>
          <w:color w:val="auto"/>
          <w:sz w:val="24"/>
          <w:highlight w:val="none"/>
        </w:rPr>
        <w:t xml:space="preserve">签名（或签名章）：                       </w:t>
      </w:r>
    </w:p>
    <w:p w14:paraId="429E72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FB14D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p>
    <w:p w14:paraId="541D004A">
      <w:pPr>
        <w:spacing w:line="360" w:lineRule="auto"/>
        <w:ind w:left="3780" w:leftChars="1800" w:firstLine="720" w:firstLineChars="200"/>
        <w:rPr>
          <w:color w:val="auto"/>
          <w:sz w:val="36"/>
          <w:highlight w:val="none"/>
        </w:rPr>
      </w:pPr>
    </w:p>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EE320">
    <w:pPr>
      <w:pStyle w:val="20"/>
      <w:framePr w:wrap="around" w:vAnchor="text" w:hAnchor="margin" w:xAlign="right" w:y="1"/>
      <w:rPr>
        <w:rStyle w:val="34"/>
      </w:rPr>
    </w:pPr>
  </w:p>
  <w:p w14:paraId="5A07DD3E">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B6E7">
    <w:pPr>
      <w:pStyle w:val="20"/>
      <w:framePr w:wrap="around" w:vAnchor="text" w:hAnchor="margin" w:xAlign="right" w:y="1"/>
      <w:rPr>
        <w:rStyle w:val="34"/>
      </w:rPr>
    </w:pPr>
  </w:p>
  <w:p w14:paraId="2698B49D">
    <w:pPr>
      <w:pStyle w:val="20"/>
      <w:ind w:right="360"/>
      <w:jc w:val="center"/>
    </w:pPr>
    <w:r>
      <w:fldChar w:fldCharType="begin"/>
    </w:r>
    <w:r>
      <w:rPr>
        <w:rStyle w:val="34"/>
      </w:rPr>
      <w:instrText xml:space="preserve"> PAGE </w:instrText>
    </w:r>
    <w:r>
      <w:fldChar w:fldCharType="separate"/>
    </w:r>
    <w:r>
      <w:rPr>
        <w:rStyle w:val="34"/>
      </w:rP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8901C">
    <w:pPr>
      <w:pStyle w:val="21"/>
      <w:pBdr>
        <w:bottom w:val="none" w:color="auto" w:sz="0" w:space="1"/>
      </w:pBdr>
      <w:ind w:left="1080" w:hanging="1080" w:hangingChars="600"/>
      <w:jc w:val="both"/>
      <w:rPr>
        <w:color w:val="FF0000"/>
      </w:rPr>
    </w:pPr>
    <w:r>
      <w:rPr>
        <w:rFonts w:hint="eastAsia"/>
        <w:color w:val="FF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F24F4">
    <w:pPr>
      <w:pStyle w:val="21"/>
      <w:pBdr>
        <w:bottom w:val="none" w:color="auto" w:sz="0" w:space="1"/>
      </w:pBdr>
      <w:ind w:left="1080" w:hanging="1080" w:hangingChars="600"/>
      <w:jc w:val="both"/>
      <w:rPr>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A219160"/>
    <w:multiLevelType w:val="singleLevel"/>
    <w:tmpl w:val="8A219160"/>
    <w:lvl w:ilvl="0" w:tentative="0">
      <w:start w:val="1"/>
      <w:numFmt w:val="decimal"/>
      <w:suff w:val="nothing"/>
      <w:lvlText w:val="%1．"/>
      <w:lvlJc w:val="left"/>
      <w:pPr>
        <w:ind w:left="0" w:firstLine="400"/>
      </w:pPr>
      <w:rPr>
        <w:rFonts w:hint="default"/>
      </w:rPr>
    </w:lvl>
  </w:abstractNum>
  <w:abstractNum w:abstractNumId="2">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3">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4">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5">
    <w:nsid w:val="9A3BCA9F"/>
    <w:multiLevelType w:val="singleLevel"/>
    <w:tmpl w:val="9A3BCA9F"/>
    <w:lvl w:ilvl="0" w:tentative="0">
      <w:start w:val="1"/>
      <w:numFmt w:val="chineseCounting"/>
      <w:suff w:val="nothing"/>
      <w:lvlText w:val="%1、"/>
      <w:lvlJc w:val="left"/>
      <w:pPr>
        <w:ind w:left="0" w:firstLine="420"/>
      </w:pPr>
      <w:rPr>
        <w:rFonts w:hint="eastAsia"/>
      </w:rPr>
    </w:lvl>
  </w:abstractNum>
  <w:abstractNum w:abstractNumId="6">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7">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8">
    <w:nsid w:val="BD61D6C0"/>
    <w:multiLevelType w:val="singleLevel"/>
    <w:tmpl w:val="BD61D6C0"/>
    <w:lvl w:ilvl="0" w:tentative="0">
      <w:start w:val="1"/>
      <w:numFmt w:val="decimal"/>
      <w:suff w:val="nothing"/>
      <w:lvlText w:val="%1．"/>
      <w:lvlJc w:val="left"/>
      <w:pPr>
        <w:ind w:left="0" w:firstLine="400"/>
      </w:pPr>
      <w:rPr>
        <w:rFonts w:hint="default"/>
      </w:rPr>
    </w:lvl>
  </w:abstractNum>
  <w:abstractNum w:abstractNumId="9">
    <w:nsid w:val="BF819798"/>
    <w:multiLevelType w:val="singleLevel"/>
    <w:tmpl w:val="BF819798"/>
    <w:lvl w:ilvl="0" w:tentative="0">
      <w:start w:val="1"/>
      <w:numFmt w:val="chineseCounting"/>
      <w:suff w:val="nothing"/>
      <w:lvlText w:val="%1、"/>
      <w:lvlJc w:val="left"/>
      <w:pPr>
        <w:ind w:left="0" w:firstLine="397"/>
      </w:pPr>
      <w:rPr>
        <w:rFonts w:hint="eastAsia"/>
      </w:rPr>
    </w:lvl>
  </w:abstractNum>
  <w:abstractNum w:abstractNumId="10">
    <w:nsid w:val="C0C2BCF5"/>
    <w:multiLevelType w:val="singleLevel"/>
    <w:tmpl w:val="C0C2BCF5"/>
    <w:lvl w:ilvl="0" w:tentative="0">
      <w:start w:val="1"/>
      <w:numFmt w:val="decimal"/>
      <w:suff w:val="nothing"/>
      <w:lvlText w:val="%1、"/>
      <w:lvlJc w:val="left"/>
    </w:lvl>
  </w:abstractNum>
  <w:abstractNum w:abstractNumId="11">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12">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3">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4">
    <w:nsid w:val="D1361A06"/>
    <w:multiLevelType w:val="singleLevel"/>
    <w:tmpl w:val="D1361A06"/>
    <w:lvl w:ilvl="0" w:tentative="0">
      <w:start w:val="2"/>
      <w:numFmt w:val="decimal"/>
      <w:lvlText w:val="%1."/>
      <w:lvlJc w:val="left"/>
      <w:pPr>
        <w:tabs>
          <w:tab w:val="left" w:pos="312"/>
        </w:tabs>
      </w:pPr>
    </w:lvl>
  </w:abstractNum>
  <w:abstractNum w:abstractNumId="15">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6">
    <w:nsid w:val="DBAB7F37"/>
    <w:multiLevelType w:val="singleLevel"/>
    <w:tmpl w:val="DBAB7F37"/>
    <w:lvl w:ilvl="0" w:tentative="0">
      <w:start w:val="1"/>
      <w:numFmt w:val="decimal"/>
      <w:suff w:val="nothing"/>
      <w:lvlText w:val="24.16.%1 "/>
      <w:lvlJc w:val="left"/>
      <w:pPr>
        <w:tabs>
          <w:tab w:val="left" w:pos="0"/>
        </w:tabs>
        <w:ind w:left="0" w:firstLine="40"/>
      </w:pPr>
      <w:rPr>
        <w:rFonts w:hint="default" w:ascii="宋体" w:hAnsi="宋体" w:eastAsia="宋体" w:cs="宋体"/>
      </w:rPr>
    </w:lvl>
  </w:abstractNum>
  <w:abstractNum w:abstractNumId="17">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8">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9">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20">
    <w:nsid w:val="F4C8C89A"/>
    <w:multiLevelType w:val="singleLevel"/>
    <w:tmpl w:val="F4C8C89A"/>
    <w:lvl w:ilvl="0" w:tentative="0">
      <w:start w:val="1"/>
      <w:numFmt w:val="decimal"/>
      <w:suff w:val="nothing"/>
      <w:lvlText w:val="%1．"/>
      <w:lvlJc w:val="left"/>
      <w:pPr>
        <w:ind w:left="0" w:firstLine="400"/>
      </w:pPr>
      <w:rPr>
        <w:rFonts w:hint="default"/>
      </w:rPr>
    </w:lvl>
  </w:abstractNum>
  <w:abstractNum w:abstractNumId="21">
    <w:nsid w:val="022CD587"/>
    <w:multiLevelType w:val="singleLevel"/>
    <w:tmpl w:val="022CD587"/>
    <w:lvl w:ilvl="0" w:tentative="0">
      <w:start w:val="1"/>
      <w:numFmt w:val="decimalEnclosedCircleChinese"/>
      <w:suff w:val="nothing"/>
      <w:lvlText w:val="%1　"/>
      <w:lvlJc w:val="left"/>
      <w:pPr>
        <w:ind w:left="0" w:firstLine="1134"/>
      </w:pPr>
      <w:rPr>
        <w:rFonts w:hint="eastAsia"/>
      </w:rPr>
    </w:lvl>
  </w:abstractNum>
  <w:abstractNum w:abstractNumId="22">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23">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24">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5">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6">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7">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8">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9">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30">
    <w:nsid w:val="2F63EF1B"/>
    <w:multiLevelType w:val="singleLevel"/>
    <w:tmpl w:val="2F63EF1B"/>
    <w:lvl w:ilvl="0" w:tentative="0">
      <w:start w:val="1"/>
      <w:numFmt w:val="decimal"/>
      <w:suff w:val="nothing"/>
      <w:lvlText w:val="%1．"/>
      <w:lvlJc w:val="left"/>
      <w:pPr>
        <w:ind w:left="0" w:firstLine="400"/>
      </w:pPr>
      <w:rPr>
        <w:rFonts w:hint="default"/>
      </w:rPr>
    </w:lvl>
  </w:abstractNum>
  <w:abstractNum w:abstractNumId="31">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32">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33">
    <w:nsid w:val="396D7E01"/>
    <w:multiLevelType w:val="singleLevel"/>
    <w:tmpl w:val="396D7E01"/>
    <w:lvl w:ilvl="0" w:tentative="0">
      <w:start w:val="1"/>
      <w:numFmt w:val="chineseCounting"/>
      <w:suff w:val="nothing"/>
      <w:lvlText w:val="%1、"/>
      <w:lvlJc w:val="left"/>
      <w:pPr>
        <w:ind w:left="0" w:firstLine="420"/>
      </w:pPr>
      <w:rPr>
        <w:rFonts w:hint="eastAsia"/>
      </w:rPr>
    </w:lvl>
  </w:abstractNum>
  <w:abstractNum w:abstractNumId="34">
    <w:nsid w:val="3A23D3DE"/>
    <w:multiLevelType w:val="singleLevel"/>
    <w:tmpl w:val="3A23D3DE"/>
    <w:lvl w:ilvl="0" w:tentative="0">
      <w:start w:val="1"/>
      <w:numFmt w:val="chineseCounting"/>
      <w:suff w:val="nothing"/>
      <w:lvlText w:val="%1、"/>
      <w:lvlJc w:val="left"/>
      <w:pPr>
        <w:ind w:left="0" w:firstLine="420"/>
      </w:pPr>
      <w:rPr>
        <w:rFonts w:hint="eastAsia"/>
      </w:rPr>
    </w:lvl>
  </w:abstractNum>
  <w:abstractNum w:abstractNumId="35">
    <w:nsid w:val="3D2337F2"/>
    <w:multiLevelType w:val="multilevel"/>
    <w:tmpl w:val="3D2337F2"/>
    <w:lvl w:ilvl="0" w:tentative="0">
      <w:start w:val="1"/>
      <w:numFmt w:val="japaneseCounting"/>
      <w:lvlText w:val="第%1章"/>
      <w:lvlJc w:val="left"/>
      <w:pPr>
        <w:tabs>
          <w:tab w:val="left" w:pos="1140"/>
        </w:tabs>
        <w:ind w:left="1140" w:hanging="114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37">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38">
    <w:nsid w:val="466C6E1F"/>
    <w:multiLevelType w:val="multilevel"/>
    <w:tmpl w:val="466C6E1F"/>
    <w:lvl w:ilvl="0" w:tentative="0">
      <w:start w:val="1"/>
      <w:numFmt w:val="upperLetter"/>
      <w:pStyle w:val="2"/>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39">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40">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41">
    <w:nsid w:val="55B19D59"/>
    <w:multiLevelType w:val="singleLevel"/>
    <w:tmpl w:val="55B19D59"/>
    <w:lvl w:ilvl="0" w:tentative="0">
      <w:start w:val="1"/>
      <w:numFmt w:val="decimal"/>
      <w:suff w:val="nothing"/>
      <w:lvlText w:val="%1．"/>
      <w:lvlJc w:val="left"/>
      <w:pPr>
        <w:ind w:left="0" w:firstLine="400"/>
      </w:pPr>
      <w:rPr>
        <w:rFonts w:hint="default"/>
      </w:rPr>
    </w:lvl>
  </w:abstractNum>
  <w:abstractNum w:abstractNumId="42">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43">
    <w:nsid w:val="5952463F"/>
    <w:multiLevelType w:val="singleLevel"/>
    <w:tmpl w:val="5952463F"/>
    <w:lvl w:ilvl="0" w:tentative="0">
      <w:start w:val="1"/>
      <w:numFmt w:val="decimalEnclosedCircleChinese"/>
      <w:suff w:val="nothing"/>
      <w:lvlText w:val="%1　"/>
      <w:lvlJc w:val="left"/>
      <w:pPr>
        <w:ind w:left="0" w:firstLine="1134"/>
      </w:pPr>
      <w:rPr>
        <w:rFonts w:hint="eastAsia"/>
      </w:rPr>
    </w:lvl>
  </w:abstractNum>
  <w:abstractNum w:abstractNumId="44">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45">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46">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abstractNum w:abstractNumId="47">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48">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4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38"/>
  </w:num>
  <w:num w:numId="2">
    <w:abstractNumId w:val="46"/>
  </w:num>
  <w:num w:numId="3">
    <w:abstractNumId w:val="10"/>
  </w:num>
  <w:num w:numId="4">
    <w:abstractNumId w:val="40"/>
  </w:num>
  <w:num w:numId="5">
    <w:abstractNumId w:val="24"/>
  </w:num>
  <w:num w:numId="6">
    <w:abstractNumId w:val="49"/>
  </w:num>
  <w:num w:numId="7">
    <w:abstractNumId w:val="25"/>
  </w:num>
  <w:num w:numId="8">
    <w:abstractNumId w:val="44"/>
  </w:num>
  <w:num w:numId="9">
    <w:abstractNumId w:val="0"/>
  </w:num>
  <w:num w:numId="10">
    <w:abstractNumId w:val="29"/>
  </w:num>
  <w:num w:numId="11">
    <w:abstractNumId w:val="6"/>
  </w:num>
  <w:num w:numId="12">
    <w:abstractNumId w:val="7"/>
  </w:num>
  <w:num w:numId="13">
    <w:abstractNumId w:val="22"/>
  </w:num>
  <w:num w:numId="14">
    <w:abstractNumId w:val="45"/>
  </w:num>
  <w:num w:numId="15">
    <w:abstractNumId w:val="13"/>
  </w:num>
  <w:num w:numId="16">
    <w:abstractNumId w:val="47"/>
  </w:num>
  <w:num w:numId="17">
    <w:abstractNumId w:val="23"/>
  </w:num>
  <w:num w:numId="18">
    <w:abstractNumId w:val="39"/>
  </w:num>
  <w:num w:numId="19">
    <w:abstractNumId w:val="37"/>
  </w:num>
  <w:num w:numId="20">
    <w:abstractNumId w:val="15"/>
  </w:num>
  <w:num w:numId="21">
    <w:abstractNumId w:val="3"/>
  </w:num>
  <w:num w:numId="22">
    <w:abstractNumId w:val="28"/>
  </w:num>
  <w:num w:numId="23">
    <w:abstractNumId w:val="19"/>
  </w:num>
  <w:num w:numId="24">
    <w:abstractNumId w:val="4"/>
  </w:num>
  <w:num w:numId="25">
    <w:abstractNumId w:val="26"/>
  </w:num>
  <w:num w:numId="26">
    <w:abstractNumId w:val="32"/>
  </w:num>
  <w:num w:numId="27">
    <w:abstractNumId w:val="18"/>
  </w:num>
  <w:num w:numId="28">
    <w:abstractNumId w:val="11"/>
  </w:num>
  <w:num w:numId="29">
    <w:abstractNumId w:val="36"/>
  </w:num>
  <w:num w:numId="30">
    <w:abstractNumId w:val="12"/>
  </w:num>
  <w:num w:numId="31">
    <w:abstractNumId w:val="31"/>
  </w:num>
  <w:num w:numId="32">
    <w:abstractNumId w:val="42"/>
  </w:num>
  <w:num w:numId="33">
    <w:abstractNumId w:val="16"/>
  </w:num>
  <w:num w:numId="34">
    <w:abstractNumId w:val="17"/>
  </w:num>
  <w:num w:numId="35">
    <w:abstractNumId w:val="27"/>
  </w:num>
  <w:num w:numId="36">
    <w:abstractNumId w:val="48"/>
  </w:num>
  <w:num w:numId="37">
    <w:abstractNumId w:val="2"/>
  </w:num>
  <w:num w:numId="38">
    <w:abstractNumId w:val="14"/>
  </w:num>
  <w:num w:numId="39">
    <w:abstractNumId w:val="35"/>
  </w:num>
  <w:num w:numId="40">
    <w:abstractNumId w:val="34"/>
  </w:num>
  <w:num w:numId="41">
    <w:abstractNumId w:val="30"/>
  </w:num>
  <w:num w:numId="42">
    <w:abstractNumId w:val="9"/>
  </w:num>
  <w:num w:numId="43">
    <w:abstractNumId w:val="33"/>
  </w:num>
  <w:num w:numId="44">
    <w:abstractNumId w:val="5"/>
  </w:num>
  <w:num w:numId="45">
    <w:abstractNumId w:val="41"/>
  </w:num>
  <w:num w:numId="46">
    <w:abstractNumId w:val="8"/>
  </w:num>
  <w:num w:numId="47">
    <w:abstractNumId w:val="1"/>
  </w:num>
  <w:num w:numId="48">
    <w:abstractNumId w:val="20"/>
  </w:num>
  <w:num w:numId="49">
    <w:abstractNumId w:val="21"/>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NjM2ZGZkNzgwZTAyMTBhZjNhNGNhN2E3ZGRiYmUifQ=="/>
  </w:docVars>
  <w:rsids>
    <w:rsidRoot w:val="004B0811"/>
    <w:rsid w:val="00001DA3"/>
    <w:rsid w:val="00006818"/>
    <w:rsid w:val="000075DA"/>
    <w:rsid w:val="000077D0"/>
    <w:rsid w:val="000148D6"/>
    <w:rsid w:val="00015D59"/>
    <w:rsid w:val="00017390"/>
    <w:rsid w:val="00017802"/>
    <w:rsid w:val="00020033"/>
    <w:rsid w:val="000213B6"/>
    <w:rsid w:val="00024B66"/>
    <w:rsid w:val="00027239"/>
    <w:rsid w:val="000328AC"/>
    <w:rsid w:val="00045CF2"/>
    <w:rsid w:val="000464E5"/>
    <w:rsid w:val="0004792A"/>
    <w:rsid w:val="0004794A"/>
    <w:rsid w:val="00050858"/>
    <w:rsid w:val="000510A3"/>
    <w:rsid w:val="00052D30"/>
    <w:rsid w:val="00053264"/>
    <w:rsid w:val="000536AD"/>
    <w:rsid w:val="00055F1C"/>
    <w:rsid w:val="00056840"/>
    <w:rsid w:val="000611ED"/>
    <w:rsid w:val="00063E4F"/>
    <w:rsid w:val="00067276"/>
    <w:rsid w:val="00070161"/>
    <w:rsid w:val="000708A0"/>
    <w:rsid w:val="00070FE2"/>
    <w:rsid w:val="00071029"/>
    <w:rsid w:val="00071C5B"/>
    <w:rsid w:val="00074863"/>
    <w:rsid w:val="00076F53"/>
    <w:rsid w:val="000912C7"/>
    <w:rsid w:val="0009279F"/>
    <w:rsid w:val="0009767A"/>
    <w:rsid w:val="00097953"/>
    <w:rsid w:val="000A241D"/>
    <w:rsid w:val="000A5490"/>
    <w:rsid w:val="000B0DE4"/>
    <w:rsid w:val="000B1CDD"/>
    <w:rsid w:val="000B3611"/>
    <w:rsid w:val="000B4627"/>
    <w:rsid w:val="000B5F6E"/>
    <w:rsid w:val="000C2631"/>
    <w:rsid w:val="000C2AC6"/>
    <w:rsid w:val="000C663A"/>
    <w:rsid w:val="000C6E71"/>
    <w:rsid w:val="000D05CC"/>
    <w:rsid w:val="000D263B"/>
    <w:rsid w:val="000D2BAD"/>
    <w:rsid w:val="000D3604"/>
    <w:rsid w:val="000D3E6D"/>
    <w:rsid w:val="000D4E3C"/>
    <w:rsid w:val="000D504A"/>
    <w:rsid w:val="000E136C"/>
    <w:rsid w:val="000E1A92"/>
    <w:rsid w:val="000E1D06"/>
    <w:rsid w:val="000E21F5"/>
    <w:rsid w:val="000E38B1"/>
    <w:rsid w:val="000E4664"/>
    <w:rsid w:val="000E4978"/>
    <w:rsid w:val="000E526A"/>
    <w:rsid w:val="000E5496"/>
    <w:rsid w:val="000E57E4"/>
    <w:rsid w:val="000E730F"/>
    <w:rsid w:val="000F02FC"/>
    <w:rsid w:val="000F1FF4"/>
    <w:rsid w:val="000F45D5"/>
    <w:rsid w:val="000F50EA"/>
    <w:rsid w:val="000F5F2A"/>
    <w:rsid w:val="000F7138"/>
    <w:rsid w:val="000F7272"/>
    <w:rsid w:val="000F7D1F"/>
    <w:rsid w:val="00102B8C"/>
    <w:rsid w:val="001049C2"/>
    <w:rsid w:val="0010598A"/>
    <w:rsid w:val="00106DAD"/>
    <w:rsid w:val="00107709"/>
    <w:rsid w:val="00116DAA"/>
    <w:rsid w:val="001207CD"/>
    <w:rsid w:val="00120FD6"/>
    <w:rsid w:val="0012256C"/>
    <w:rsid w:val="001239D4"/>
    <w:rsid w:val="001306A4"/>
    <w:rsid w:val="00130B31"/>
    <w:rsid w:val="00131F44"/>
    <w:rsid w:val="00132490"/>
    <w:rsid w:val="001330B0"/>
    <w:rsid w:val="001346A9"/>
    <w:rsid w:val="00136306"/>
    <w:rsid w:val="00141DA5"/>
    <w:rsid w:val="00145D2A"/>
    <w:rsid w:val="00145DEA"/>
    <w:rsid w:val="001468A0"/>
    <w:rsid w:val="00154F16"/>
    <w:rsid w:val="00157B09"/>
    <w:rsid w:val="00164064"/>
    <w:rsid w:val="00167BCB"/>
    <w:rsid w:val="0017220F"/>
    <w:rsid w:val="0017302D"/>
    <w:rsid w:val="00175A80"/>
    <w:rsid w:val="00181AB5"/>
    <w:rsid w:val="001840F0"/>
    <w:rsid w:val="0018546D"/>
    <w:rsid w:val="00185753"/>
    <w:rsid w:val="00186A09"/>
    <w:rsid w:val="00187DD3"/>
    <w:rsid w:val="00191FD8"/>
    <w:rsid w:val="001940F2"/>
    <w:rsid w:val="00194D4C"/>
    <w:rsid w:val="0019559D"/>
    <w:rsid w:val="00196875"/>
    <w:rsid w:val="001A09BA"/>
    <w:rsid w:val="001A1935"/>
    <w:rsid w:val="001A493D"/>
    <w:rsid w:val="001A5F98"/>
    <w:rsid w:val="001B260D"/>
    <w:rsid w:val="001B2755"/>
    <w:rsid w:val="001B4867"/>
    <w:rsid w:val="001B6049"/>
    <w:rsid w:val="001B71A5"/>
    <w:rsid w:val="001B7285"/>
    <w:rsid w:val="001C22F6"/>
    <w:rsid w:val="001C26B1"/>
    <w:rsid w:val="001C462F"/>
    <w:rsid w:val="001C48E8"/>
    <w:rsid w:val="001C53F8"/>
    <w:rsid w:val="001C6443"/>
    <w:rsid w:val="001C770C"/>
    <w:rsid w:val="001D0151"/>
    <w:rsid w:val="001D0B98"/>
    <w:rsid w:val="001D3140"/>
    <w:rsid w:val="001E32A6"/>
    <w:rsid w:val="001E48F2"/>
    <w:rsid w:val="001E65BA"/>
    <w:rsid w:val="001E7840"/>
    <w:rsid w:val="001F0C21"/>
    <w:rsid w:val="001F201E"/>
    <w:rsid w:val="001F3F44"/>
    <w:rsid w:val="001F4C6E"/>
    <w:rsid w:val="001F596D"/>
    <w:rsid w:val="001F5E72"/>
    <w:rsid w:val="001F63FD"/>
    <w:rsid w:val="00201ADE"/>
    <w:rsid w:val="00204834"/>
    <w:rsid w:val="002054EF"/>
    <w:rsid w:val="00207B4A"/>
    <w:rsid w:val="0022084E"/>
    <w:rsid w:val="0022104A"/>
    <w:rsid w:val="00221186"/>
    <w:rsid w:val="00221F74"/>
    <w:rsid w:val="00226C15"/>
    <w:rsid w:val="00233994"/>
    <w:rsid w:val="002364CF"/>
    <w:rsid w:val="00236ADE"/>
    <w:rsid w:val="002375BB"/>
    <w:rsid w:val="0024409C"/>
    <w:rsid w:val="00244106"/>
    <w:rsid w:val="00245C61"/>
    <w:rsid w:val="00247E15"/>
    <w:rsid w:val="00252A03"/>
    <w:rsid w:val="00254070"/>
    <w:rsid w:val="0025652F"/>
    <w:rsid w:val="002606EC"/>
    <w:rsid w:val="00260EDD"/>
    <w:rsid w:val="00270E2D"/>
    <w:rsid w:val="002737DE"/>
    <w:rsid w:val="00274F9A"/>
    <w:rsid w:val="00275072"/>
    <w:rsid w:val="00275157"/>
    <w:rsid w:val="002751D8"/>
    <w:rsid w:val="00280D86"/>
    <w:rsid w:val="00284635"/>
    <w:rsid w:val="00285F7E"/>
    <w:rsid w:val="0029041C"/>
    <w:rsid w:val="0029087D"/>
    <w:rsid w:val="002916B1"/>
    <w:rsid w:val="00295155"/>
    <w:rsid w:val="00296D5E"/>
    <w:rsid w:val="002972FE"/>
    <w:rsid w:val="002A2ACF"/>
    <w:rsid w:val="002A50C8"/>
    <w:rsid w:val="002A64CA"/>
    <w:rsid w:val="002B17BF"/>
    <w:rsid w:val="002B7653"/>
    <w:rsid w:val="002C5223"/>
    <w:rsid w:val="002C7A2D"/>
    <w:rsid w:val="002D11D9"/>
    <w:rsid w:val="002D6869"/>
    <w:rsid w:val="002D6B41"/>
    <w:rsid w:val="002E2739"/>
    <w:rsid w:val="002E35E9"/>
    <w:rsid w:val="002F08B1"/>
    <w:rsid w:val="002F097F"/>
    <w:rsid w:val="002F1C58"/>
    <w:rsid w:val="002F2E8D"/>
    <w:rsid w:val="002F378A"/>
    <w:rsid w:val="002F4F8D"/>
    <w:rsid w:val="003072EC"/>
    <w:rsid w:val="0031129B"/>
    <w:rsid w:val="00311554"/>
    <w:rsid w:val="00317185"/>
    <w:rsid w:val="0032106B"/>
    <w:rsid w:val="0032607A"/>
    <w:rsid w:val="00327130"/>
    <w:rsid w:val="0033593F"/>
    <w:rsid w:val="00335F6A"/>
    <w:rsid w:val="00336801"/>
    <w:rsid w:val="00343AD4"/>
    <w:rsid w:val="00346F9B"/>
    <w:rsid w:val="003503F3"/>
    <w:rsid w:val="003510DB"/>
    <w:rsid w:val="0035370E"/>
    <w:rsid w:val="00354D93"/>
    <w:rsid w:val="00355E84"/>
    <w:rsid w:val="00355E89"/>
    <w:rsid w:val="00361B43"/>
    <w:rsid w:val="00363BE4"/>
    <w:rsid w:val="0036471B"/>
    <w:rsid w:val="00365265"/>
    <w:rsid w:val="00365DEC"/>
    <w:rsid w:val="00366048"/>
    <w:rsid w:val="003666A9"/>
    <w:rsid w:val="00370309"/>
    <w:rsid w:val="0037377A"/>
    <w:rsid w:val="0038062E"/>
    <w:rsid w:val="00380EBB"/>
    <w:rsid w:val="00381BBB"/>
    <w:rsid w:val="00383AA4"/>
    <w:rsid w:val="00392324"/>
    <w:rsid w:val="00392CCA"/>
    <w:rsid w:val="00395EFF"/>
    <w:rsid w:val="003B254E"/>
    <w:rsid w:val="003B5E1A"/>
    <w:rsid w:val="003C045D"/>
    <w:rsid w:val="003C05AC"/>
    <w:rsid w:val="003C2615"/>
    <w:rsid w:val="003C2BEF"/>
    <w:rsid w:val="003D54F9"/>
    <w:rsid w:val="003E03D0"/>
    <w:rsid w:val="003E0923"/>
    <w:rsid w:val="003E2076"/>
    <w:rsid w:val="003E4A85"/>
    <w:rsid w:val="003E650C"/>
    <w:rsid w:val="003E724B"/>
    <w:rsid w:val="003E75CD"/>
    <w:rsid w:val="003F6C24"/>
    <w:rsid w:val="00403983"/>
    <w:rsid w:val="00411B98"/>
    <w:rsid w:val="00412A01"/>
    <w:rsid w:val="0042158E"/>
    <w:rsid w:val="00423F56"/>
    <w:rsid w:val="00431075"/>
    <w:rsid w:val="0043130F"/>
    <w:rsid w:val="00432945"/>
    <w:rsid w:val="00432A66"/>
    <w:rsid w:val="0043576F"/>
    <w:rsid w:val="0044078E"/>
    <w:rsid w:val="00442E77"/>
    <w:rsid w:val="00445CAB"/>
    <w:rsid w:val="0044612F"/>
    <w:rsid w:val="004544B9"/>
    <w:rsid w:val="00455B4C"/>
    <w:rsid w:val="00463657"/>
    <w:rsid w:val="00464C4C"/>
    <w:rsid w:val="00465A05"/>
    <w:rsid w:val="004707ED"/>
    <w:rsid w:val="00470C83"/>
    <w:rsid w:val="004738DF"/>
    <w:rsid w:val="00473C43"/>
    <w:rsid w:val="00477C97"/>
    <w:rsid w:val="00480341"/>
    <w:rsid w:val="004811FE"/>
    <w:rsid w:val="00481376"/>
    <w:rsid w:val="00481EE1"/>
    <w:rsid w:val="00482174"/>
    <w:rsid w:val="004821D3"/>
    <w:rsid w:val="00483ECB"/>
    <w:rsid w:val="00484007"/>
    <w:rsid w:val="004840E1"/>
    <w:rsid w:val="00485252"/>
    <w:rsid w:val="00487344"/>
    <w:rsid w:val="004875E1"/>
    <w:rsid w:val="0049055D"/>
    <w:rsid w:val="00490DDE"/>
    <w:rsid w:val="00490F49"/>
    <w:rsid w:val="0049797C"/>
    <w:rsid w:val="004A4142"/>
    <w:rsid w:val="004A6F58"/>
    <w:rsid w:val="004B05F4"/>
    <w:rsid w:val="004B0811"/>
    <w:rsid w:val="004B3910"/>
    <w:rsid w:val="004B46C4"/>
    <w:rsid w:val="004B5330"/>
    <w:rsid w:val="004B6001"/>
    <w:rsid w:val="004B6A5A"/>
    <w:rsid w:val="004B7EA3"/>
    <w:rsid w:val="004C1318"/>
    <w:rsid w:val="004C1BA6"/>
    <w:rsid w:val="004C267F"/>
    <w:rsid w:val="004D35C6"/>
    <w:rsid w:val="004D57AE"/>
    <w:rsid w:val="004E3A69"/>
    <w:rsid w:val="004E3F19"/>
    <w:rsid w:val="004E52B0"/>
    <w:rsid w:val="004E60DF"/>
    <w:rsid w:val="004F1B98"/>
    <w:rsid w:val="004F1EF6"/>
    <w:rsid w:val="004F4A0C"/>
    <w:rsid w:val="004F675C"/>
    <w:rsid w:val="004F6D1A"/>
    <w:rsid w:val="00500D57"/>
    <w:rsid w:val="00503B44"/>
    <w:rsid w:val="00503EAE"/>
    <w:rsid w:val="00511898"/>
    <w:rsid w:val="00511D3E"/>
    <w:rsid w:val="00517C29"/>
    <w:rsid w:val="00521532"/>
    <w:rsid w:val="005245BA"/>
    <w:rsid w:val="00525303"/>
    <w:rsid w:val="00525C33"/>
    <w:rsid w:val="0052677F"/>
    <w:rsid w:val="005306F4"/>
    <w:rsid w:val="00531CDE"/>
    <w:rsid w:val="00532809"/>
    <w:rsid w:val="00533931"/>
    <w:rsid w:val="00533DC9"/>
    <w:rsid w:val="00536C08"/>
    <w:rsid w:val="00537173"/>
    <w:rsid w:val="005378CB"/>
    <w:rsid w:val="005404A5"/>
    <w:rsid w:val="00540CB5"/>
    <w:rsid w:val="005445DF"/>
    <w:rsid w:val="00546A76"/>
    <w:rsid w:val="005500A4"/>
    <w:rsid w:val="005514E6"/>
    <w:rsid w:val="00554E93"/>
    <w:rsid w:val="00557696"/>
    <w:rsid w:val="00560B4F"/>
    <w:rsid w:val="00560EA2"/>
    <w:rsid w:val="00561E6A"/>
    <w:rsid w:val="005648E0"/>
    <w:rsid w:val="00564E8F"/>
    <w:rsid w:val="00571B49"/>
    <w:rsid w:val="0057210E"/>
    <w:rsid w:val="00575F6F"/>
    <w:rsid w:val="00577904"/>
    <w:rsid w:val="0058006C"/>
    <w:rsid w:val="00581BE5"/>
    <w:rsid w:val="00582FCE"/>
    <w:rsid w:val="0058535A"/>
    <w:rsid w:val="005853D2"/>
    <w:rsid w:val="005900B5"/>
    <w:rsid w:val="00591734"/>
    <w:rsid w:val="00591FA1"/>
    <w:rsid w:val="00592DF2"/>
    <w:rsid w:val="00594041"/>
    <w:rsid w:val="00594F19"/>
    <w:rsid w:val="00594F8E"/>
    <w:rsid w:val="005965F2"/>
    <w:rsid w:val="005A02D2"/>
    <w:rsid w:val="005A61F4"/>
    <w:rsid w:val="005A6DCA"/>
    <w:rsid w:val="005B61AE"/>
    <w:rsid w:val="005B7C66"/>
    <w:rsid w:val="005C1EDC"/>
    <w:rsid w:val="005C40A5"/>
    <w:rsid w:val="005C515B"/>
    <w:rsid w:val="005C7DA4"/>
    <w:rsid w:val="005D3369"/>
    <w:rsid w:val="005D44DD"/>
    <w:rsid w:val="005D4538"/>
    <w:rsid w:val="005D509B"/>
    <w:rsid w:val="005D59F7"/>
    <w:rsid w:val="005D6FDE"/>
    <w:rsid w:val="005E2379"/>
    <w:rsid w:val="005E435B"/>
    <w:rsid w:val="005E45D4"/>
    <w:rsid w:val="005E5B93"/>
    <w:rsid w:val="005E781A"/>
    <w:rsid w:val="005F0902"/>
    <w:rsid w:val="005F20C3"/>
    <w:rsid w:val="005F3EA6"/>
    <w:rsid w:val="005F4076"/>
    <w:rsid w:val="005F5C9B"/>
    <w:rsid w:val="005F7D07"/>
    <w:rsid w:val="0060337E"/>
    <w:rsid w:val="006037E7"/>
    <w:rsid w:val="00605B60"/>
    <w:rsid w:val="00605B63"/>
    <w:rsid w:val="00607067"/>
    <w:rsid w:val="00607DF3"/>
    <w:rsid w:val="006108E4"/>
    <w:rsid w:val="00610BEB"/>
    <w:rsid w:val="00626AD6"/>
    <w:rsid w:val="0062753E"/>
    <w:rsid w:val="00627BE7"/>
    <w:rsid w:val="00627CD0"/>
    <w:rsid w:val="00627E2D"/>
    <w:rsid w:val="0063140B"/>
    <w:rsid w:val="00633569"/>
    <w:rsid w:val="00635132"/>
    <w:rsid w:val="00642080"/>
    <w:rsid w:val="006435A9"/>
    <w:rsid w:val="00644CB6"/>
    <w:rsid w:val="006503B5"/>
    <w:rsid w:val="0065060D"/>
    <w:rsid w:val="00657F9C"/>
    <w:rsid w:val="00665413"/>
    <w:rsid w:val="006708AA"/>
    <w:rsid w:val="00670DA8"/>
    <w:rsid w:val="006733B7"/>
    <w:rsid w:val="00684CC6"/>
    <w:rsid w:val="00684E9E"/>
    <w:rsid w:val="00691327"/>
    <w:rsid w:val="00692449"/>
    <w:rsid w:val="00693E45"/>
    <w:rsid w:val="006951A4"/>
    <w:rsid w:val="00695EAD"/>
    <w:rsid w:val="006974EF"/>
    <w:rsid w:val="006A1152"/>
    <w:rsid w:val="006A545D"/>
    <w:rsid w:val="006B16D2"/>
    <w:rsid w:val="006B18A5"/>
    <w:rsid w:val="006B464F"/>
    <w:rsid w:val="006B5750"/>
    <w:rsid w:val="006B6948"/>
    <w:rsid w:val="006B6E7A"/>
    <w:rsid w:val="006C0A94"/>
    <w:rsid w:val="006C0D27"/>
    <w:rsid w:val="006C252F"/>
    <w:rsid w:val="006C7BC3"/>
    <w:rsid w:val="006D0D78"/>
    <w:rsid w:val="006D127E"/>
    <w:rsid w:val="006D31BD"/>
    <w:rsid w:val="006D6D42"/>
    <w:rsid w:val="006D79C2"/>
    <w:rsid w:val="006E03F0"/>
    <w:rsid w:val="006E132F"/>
    <w:rsid w:val="006E5766"/>
    <w:rsid w:val="006E62AA"/>
    <w:rsid w:val="006F16AA"/>
    <w:rsid w:val="006F770E"/>
    <w:rsid w:val="00702AEC"/>
    <w:rsid w:val="00703C8C"/>
    <w:rsid w:val="00703F26"/>
    <w:rsid w:val="00704022"/>
    <w:rsid w:val="00705C4B"/>
    <w:rsid w:val="0071043E"/>
    <w:rsid w:val="007120A5"/>
    <w:rsid w:val="0071212F"/>
    <w:rsid w:val="00720140"/>
    <w:rsid w:val="00720ECC"/>
    <w:rsid w:val="00722047"/>
    <w:rsid w:val="007266DF"/>
    <w:rsid w:val="007317F3"/>
    <w:rsid w:val="007318D9"/>
    <w:rsid w:val="00732283"/>
    <w:rsid w:val="00733A0A"/>
    <w:rsid w:val="0073530B"/>
    <w:rsid w:val="007353C8"/>
    <w:rsid w:val="00735F37"/>
    <w:rsid w:val="007400BE"/>
    <w:rsid w:val="00741801"/>
    <w:rsid w:val="0074230B"/>
    <w:rsid w:val="00743CE7"/>
    <w:rsid w:val="00745BBA"/>
    <w:rsid w:val="00750AE3"/>
    <w:rsid w:val="00751C16"/>
    <w:rsid w:val="00752348"/>
    <w:rsid w:val="00753F62"/>
    <w:rsid w:val="0075462D"/>
    <w:rsid w:val="00757337"/>
    <w:rsid w:val="00757800"/>
    <w:rsid w:val="00757915"/>
    <w:rsid w:val="00762B3D"/>
    <w:rsid w:val="00766552"/>
    <w:rsid w:val="00770F92"/>
    <w:rsid w:val="00771B65"/>
    <w:rsid w:val="007731A3"/>
    <w:rsid w:val="007742D0"/>
    <w:rsid w:val="00776940"/>
    <w:rsid w:val="007800A5"/>
    <w:rsid w:val="00780F42"/>
    <w:rsid w:val="00785BE9"/>
    <w:rsid w:val="00786247"/>
    <w:rsid w:val="00786F83"/>
    <w:rsid w:val="007877D6"/>
    <w:rsid w:val="00796F96"/>
    <w:rsid w:val="00797CAE"/>
    <w:rsid w:val="007A5FA8"/>
    <w:rsid w:val="007B2FF7"/>
    <w:rsid w:val="007B33BF"/>
    <w:rsid w:val="007B70B3"/>
    <w:rsid w:val="007C2B64"/>
    <w:rsid w:val="007C5553"/>
    <w:rsid w:val="007D16EC"/>
    <w:rsid w:val="007D3620"/>
    <w:rsid w:val="007D4799"/>
    <w:rsid w:val="007E3946"/>
    <w:rsid w:val="007E4563"/>
    <w:rsid w:val="007E66C4"/>
    <w:rsid w:val="007F3D48"/>
    <w:rsid w:val="007F455F"/>
    <w:rsid w:val="0080010D"/>
    <w:rsid w:val="0080289B"/>
    <w:rsid w:val="0080361E"/>
    <w:rsid w:val="008068C4"/>
    <w:rsid w:val="008112C2"/>
    <w:rsid w:val="0081686A"/>
    <w:rsid w:val="00817FD3"/>
    <w:rsid w:val="00824F2B"/>
    <w:rsid w:val="0083040C"/>
    <w:rsid w:val="00833198"/>
    <w:rsid w:val="00833BF9"/>
    <w:rsid w:val="008341CE"/>
    <w:rsid w:val="0083519D"/>
    <w:rsid w:val="00836471"/>
    <w:rsid w:val="00843413"/>
    <w:rsid w:val="008509B5"/>
    <w:rsid w:val="00851F7A"/>
    <w:rsid w:val="00856F40"/>
    <w:rsid w:val="00865AF7"/>
    <w:rsid w:val="008660C6"/>
    <w:rsid w:val="008705F0"/>
    <w:rsid w:val="00876D91"/>
    <w:rsid w:val="00881169"/>
    <w:rsid w:val="00881590"/>
    <w:rsid w:val="00882269"/>
    <w:rsid w:val="00884273"/>
    <w:rsid w:val="0089235D"/>
    <w:rsid w:val="00894884"/>
    <w:rsid w:val="008948CC"/>
    <w:rsid w:val="00894E12"/>
    <w:rsid w:val="008963A2"/>
    <w:rsid w:val="008964D5"/>
    <w:rsid w:val="008A02CC"/>
    <w:rsid w:val="008A19FB"/>
    <w:rsid w:val="008A220C"/>
    <w:rsid w:val="008B0B06"/>
    <w:rsid w:val="008B598D"/>
    <w:rsid w:val="008C0D07"/>
    <w:rsid w:val="008C2010"/>
    <w:rsid w:val="008C429A"/>
    <w:rsid w:val="008C516E"/>
    <w:rsid w:val="008C6CE7"/>
    <w:rsid w:val="008C767C"/>
    <w:rsid w:val="008D11F5"/>
    <w:rsid w:val="008E1011"/>
    <w:rsid w:val="008E1905"/>
    <w:rsid w:val="008E2A88"/>
    <w:rsid w:val="008E57DF"/>
    <w:rsid w:val="008E6CC5"/>
    <w:rsid w:val="008F0B77"/>
    <w:rsid w:val="008F290B"/>
    <w:rsid w:val="008F62A7"/>
    <w:rsid w:val="00904FB2"/>
    <w:rsid w:val="009072F4"/>
    <w:rsid w:val="00913166"/>
    <w:rsid w:val="009210AE"/>
    <w:rsid w:val="00922517"/>
    <w:rsid w:val="009227B3"/>
    <w:rsid w:val="00925172"/>
    <w:rsid w:val="0093191A"/>
    <w:rsid w:val="00933187"/>
    <w:rsid w:val="009332A3"/>
    <w:rsid w:val="009373F5"/>
    <w:rsid w:val="00937B5B"/>
    <w:rsid w:val="0094293E"/>
    <w:rsid w:val="00953B72"/>
    <w:rsid w:val="00955691"/>
    <w:rsid w:val="009557E9"/>
    <w:rsid w:val="00956B6F"/>
    <w:rsid w:val="00963254"/>
    <w:rsid w:val="009636B7"/>
    <w:rsid w:val="00967340"/>
    <w:rsid w:val="009701C5"/>
    <w:rsid w:val="009702FB"/>
    <w:rsid w:val="00970487"/>
    <w:rsid w:val="00970B38"/>
    <w:rsid w:val="0097133A"/>
    <w:rsid w:val="0097423A"/>
    <w:rsid w:val="00977D16"/>
    <w:rsid w:val="0098205C"/>
    <w:rsid w:val="00983B0B"/>
    <w:rsid w:val="00984340"/>
    <w:rsid w:val="009932DC"/>
    <w:rsid w:val="00993C5B"/>
    <w:rsid w:val="00993D04"/>
    <w:rsid w:val="009944AC"/>
    <w:rsid w:val="0099788C"/>
    <w:rsid w:val="009A1276"/>
    <w:rsid w:val="009A194B"/>
    <w:rsid w:val="009A485A"/>
    <w:rsid w:val="009A588B"/>
    <w:rsid w:val="009B0797"/>
    <w:rsid w:val="009B19A2"/>
    <w:rsid w:val="009B1A96"/>
    <w:rsid w:val="009C05E8"/>
    <w:rsid w:val="009C4D08"/>
    <w:rsid w:val="009C5701"/>
    <w:rsid w:val="009C663B"/>
    <w:rsid w:val="009C7B33"/>
    <w:rsid w:val="009D0791"/>
    <w:rsid w:val="009D20A7"/>
    <w:rsid w:val="009D219F"/>
    <w:rsid w:val="009D258E"/>
    <w:rsid w:val="009D2BEA"/>
    <w:rsid w:val="009D4EFC"/>
    <w:rsid w:val="009E227A"/>
    <w:rsid w:val="009E5D1E"/>
    <w:rsid w:val="009E79A0"/>
    <w:rsid w:val="009F0C7C"/>
    <w:rsid w:val="009F1C9F"/>
    <w:rsid w:val="009F3362"/>
    <w:rsid w:val="009F50B7"/>
    <w:rsid w:val="009F75D9"/>
    <w:rsid w:val="00A0323C"/>
    <w:rsid w:val="00A032AD"/>
    <w:rsid w:val="00A04CD8"/>
    <w:rsid w:val="00A0624B"/>
    <w:rsid w:val="00A0765D"/>
    <w:rsid w:val="00A11C4E"/>
    <w:rsid w:val="00A14C4D"/>
    <w:rsid w:val="00A165B8"/>
    <w:rsid w:val="00A16B1D"/>
    <w:rsid w:val="00A20580"/>
    <w:rsid w:val="00A20B8C"/>
    <w:rsid w:val="00A242F2"/>
    <w:rsid w:val="00A317D3"/>
    <w:rsid w:val="00A32040"/>
    <w:rsid w:val="00A32A2B"/>
    <w:rsid w:val="00A3757F"/>
    <w:rsid w:val="00A42993"/>
    <w:rsid w:val="00A44BBB"/>
    <w:rsid w:val="00A44E69"/>
    <w:rsid w:val="00A4589E"/>
    <w:rsid w:val="00A46C58"/>
    <w:rsid w:val="00A477A6"/>
    <w:rsid w:val="00A4785E"/>
    <w:rsid w:val="00A52293"/>
    <w:rsid w:val="00A5304B"/>
    <w:rsid w:val="00A53BE4"/>
    <w:rsid w:val="00A55163"/>
    <w:rsid w:val="00A556D4"/>
    <w:rsid w:val="00A56108"/>
    <w:rsid w:val="00A5762D"/>
    <w:rsid w:val="00A6065D"/>
    <w:rsid w:val="00A606DD"/>
    <w:rsid w:val="00A610E5"/>
    <w:rsid w:val="00A61583"/>
    <w:rsid w:val="00A624EC"/>
    <w:rsid w:val="00A62BB5"/>
    <w:rsid w:val="00A653FA"/>
    <w:rsid w:val="00A67145"/>
    <w:rsid w:val="00A755D2"/>
    <w:rsid w:val="00A82586"/>
    <w:rsid w:val="00A82743"/>
    <w:rsid w:val="00A8307D"/>
    <w:rsid w:val="00A85F63"/>
    <w:rsid w:val="00A87E79"/>
    <w:rsid w:val="00A90C66"/>
    <w:rsid w:val="00A927FA"/>
    <w:rsid w:val="00A95870"/>
    <w:rsid w:val="00A974CC"/>
    <w:rsid w:val="00AA4B4A"/>
    <w:rsid w:val="00AB0897"/>
    <w:rsid w:val="00AB102C"/>
    <w:rsid w:val="00AB2FF7"/>
    <w:rsid w:val="00AB5CA2"/>
    <w:rsid w:val="00AB6F1F"/>
    <w:rsid w:val="00AC092A"/>
    <w:rsid w:val="00AD26A9"/>
    <w:rsid w:val="00AD43C6"/>
    <w:rsid w:val="00AD4406"/>
    <w:rsid w:val="00AD5D1C"/>
    <w:rsid w:val="00AD7E80"/>
    <w:rsid w:val="00AE3C10"/>
    <w:rsid w:val="00AE5BC0"/>
    <w:rsid w:val="00AE5DA8"/>
    <w:rsid w:val="00AE73C1"/>
    <w:rsid w:val="00AF1A06"/>
    <w:rsid w:val="00AF3BED"/>
    <w:rsid w:val="00AF4C7A"/>
    <w:rsid w:val="00AF593E"/>
    <w:rsid w:val="00AF62F6"/>
    <w:rsid w:val="00B00DB3"/>
    <w:rsid w:val="00B0166D"/>
    <w:rsid w:val="00B01E5E"/>
    <w:rsid w:val="00B045E2"/>
    <w:rsid w:val="00B05835"/>
    <w:rsid w:val="00B11163"/>
    <w:rsid w:val="00B146C2"/>
    <w:rsid w:val="00B238AF"/>
    <w:rsid w:val="00B33CCF"/>
    <w:rsid w:val="00B354EC"/>
    <w:rsid w:val="00B4109D"/>
    <w:rsid w:val="00B42597"/>
    <w:rsid w:val="00B43764"/>
    <w:rsid w:val="00B445CF"/>
    <w:rsid w:val="00B463C0"/>
    <w:rsid w:val="00B4652A"/>
    <w:rsid w:val="00B4657A"/>
    <w:rsid w:val="00B54777"/>
    <w:rsid w:val="00B54848"/>
    <w:rsid w:val="00B5518D"/>
    <w:rsid w:val="00B565DB"/>
    <w:rsid w:val="00B56E8A"/>
    <w:rsid w:val="00B57128"/>
    <w:rsid w:val="00B5726D"/>
    <w:rsid w:val="00B574CB"/>
    <w:rsid w:val="00B5798E"/>
    <w:rsid w:val="00B60381"/>
    <w:rsid w:val="00B61F4E"/>
    <w:rsid w:val="00B6276A"/>
    <w:rsid w:val="00B62B53"/>
    <w:rsid w:val="00B63F41"/>
    <w:rsid w:val="00B64F6F"/>
    <w:rsid w:val="00B74938"/>
    <w:rsid w:val="00B75C85"/>
    <w:rsid w:val="00B7625E"/>
    <w:rsid w:val="00B774BB"/>
    <w:rsid w:val="00B81257"/>
    <w:rsid w:val="00B81D00"/>
    <w:rsid w:val="00B83083"/>
    <w:rsid w:val="00B836F0"/>
    <w:rsid w:val="00B83F65"/>
    <w:rsid w:val="00B84B09"/>
    <w:rsid w:val="00B86D8A"/>
    <w:rsid w:val="00B91637"/>
    <w:rsid w:val="00B91765"/>
    <w:rsid w:val="00B91C43"/>
    <w:rsid w:val="00B922A9"/>
    <w:rsid w:val="00B92D96"/>
    <w:rsid w:val="00B9312D"/>
    <w:rsid w:val="00B9367D"/>
    <w:rsid w:val="00B93C16"/>
    <w:rsid w:val="00B95556"/>
    <w:rsid w:val="00B97E0A"/>
    <w:rsid w:val="00BA05F5"/>
    <w:rsid w:val="00BA06A5"/>
    <w:rsid w:val="00BB5E15"/>
    <w:rsid w:val="00BB6002"/>
    <w:rsid w:val="00BC1753"/>
    <w:rsid w:val="00BC2423"/>
    <w:rsid w:val="00BC3EB7"/>
    <w:rsid w:val="00BC42E7"/>
    <w:rsid w:val="00BC6A23"/>
    <w:rsid w:val="00BD0B30"/>
    <w:rsid w:val="00BD1053"/>
    <w:rsid w:val="00BD1B50"/>
    <w:rsid w:val="00BD306A"/>
    <w:rsid w:val="00BD37A0"/>
    <w:rsid w:val="00BD4A1A"/>
    <w:rsid w:val="00BD5A7B"/>
    <w:rsid w:val="00BD5A9C"/>
    <w:rsid w:val="00BE0BE0"/>
    <w:rsid w:val="00BE5318"/>
    <w:rsid w:val="00BE58B5"/>
    <w:rsid w:val="00BE5A1F"/>
    <w:rsid w:val="00BE5F32"/>
    <w:rsid w:val="00BE6365"/>
    <w:rsid w:val="00BE723C"/>
    <w:rsid w:val="00BE7689"/>
    <w:rsid w:val="00BF1D92"/>
    <w:rsid w:val="00BF3D26"/>
    <w:rsid w:val="00BF579F"/>
    <w:rsid w:val="00BF57DA"/>
    <w:rsid w:val="00C03E5B"/>
    <w:rsid w:val="00C04267"/>
    <w:rsid w:val="00C050B7"/>
    <w:rsid w:val="00C0689F"/>
    <w:rsid w:val="00C071CF"/>
    <w:rsid w:val="00C1315D"/>
    <w:rsid w:val="00C15AF4"/>
    <w:rsid w:val="00C17640"/>
    <w:rsid w:val="00C21BD6"/>
    <w:rsid w:val="00C237B0"/>
    <w:rsid w:val="00C23838"/>
    <w:rsid w:val="00C26131"/>
    <w:rsid w:val="00C27086"/>
    <w:rsid w:val="00C3078D"/>
    <w:rsid w:val="00C3475E"/>
    <w:rsid w:val="00C34A70"/>
    <w:rsid w:val="00C35FF3"/>
    <w:rsid w:val="00C367BC"/>
    <w:rsid w:val="00C43F77"/>
    <w:rsid w:val="00C50119"/>
    <w:rsid w:val="00C53A8C"/>
    <w:rsid w:val="00C54622"/>
    <w:rsid w:val="00C55F10"/>
    <w:rsid w:val="00C56885"/>
    <w:rsid w:val="00C6104B"/>
    <w:rsid w:val="00C6418C"/>
    <w:rsid w:val="00C645E3"/>
    <w:rsid w:val="00C8309F"/>
    <w:rsid w:val="00C847E4"/>
    <w:rsid w:val="00C85369"/>
    <w:rsid w:val="00C86D93"/>
    <w:rsid w:val="00C92459"/>
    <w:rsid w:val="00C93AF7"/>
    <w:rsid w:val="00C94501"/>
    <w:rsid w:val="00C95CBB"/>
    <w:rsid w:val="00C95FF4"/>
    <w:rsid w:val="00CA599F"/>
    <w:rsid w:val="00CA5DCF"/>
    <w:rsid w:val="00CA6A63"/>
    <w:rsid w:val="00CB5F36"/>
    <w:rsid w:val="00CC276A"/>
    <w:rsid w:val="00CD022A"/>
    <w:rsid w:val="00CD4DC4"/>
    <w:rsid w:val="00CD518F"/>
    <w:rsid w:val="00CD5B6D"/>
    <w:rsid w:val="00CD68FE"/>
    <w:rsid w:val="00CD7C7A"/>
    <w:rsid w:val="00CE1964"/>
    <w:rsid w:val="00CE3ED8"/>
    <w:rsid w:val="00CF0E38"/>
    <w:rsid w:val="00CF0E55"/>
    <w:rsid w:val="00CF2226"/>
    <w:rsid w:val="00CF2712"/>
    <w:rsid w:val="00D0165B"/>
    <w:rsid w:val="00D01A14"/>
    <w:rsid w:val="00D036E4"/>
    <w:rsid w:val="00D0576E"/>
    <w:rsid w:val="00D1174A"/>
    <w:rsid w:val="00D12C4D"/>
    <w:rsid w:val="00D20B2B"/>
    <w:rsid w:val="00D228FE"/>
    <w:rsid w:val="00D229E6"/>
    <w:rsid w:val="00D23330"/>
    <w:rsid w:val="00D23990"/>
    <w:rsid w:val="00D251F6"/>
    <w:rsid w:val="00D3456D"/>
    <w:rsid w:val="00D35025"/>
    <w:rsid w:val="00D35822"/>
    <w:rsid w:val="00D3624E"/>
    <w:rsid w:val="00D37FD7"/>
    <w:rsid w:val="00D41189"/>
    <w:rsid w:val="00D41480"/>
    <w:rsid w:val="00D45133"/>
    <w:rsid w:val="00D45255"/>
    <w:rsid w:val="00D4583C"/>
    <w:rsid w:val="00D46EE0"/>
    <w:rsid w:val="00D47747"/>
    <w:rsid w:val="00D503DD"/>
    <w:rsid w:val="00D523E4"/>
    <w:rsid w:val="00D53CC4"/>
    <w:rsid w:val="00D56715"/>
    <w:rsid w:val="00D56D0C"/>
    <w:rsid w:val="00D57D37"/>
    <w:rsid w:val="00D57D6E"/>
    <w:rsid w:val="00D641C9"/>
    <w:rsid w:val="00D70B53"/>
    <w:rsid w:val="00D72882"/>
    <w:rsid w:val="00D75178"/>
    <w:rsid w:val="00D75556"/>
    <w:rsid w:val="00D76264"/>
    <w:rsid w:val="00D765E6"/>
    <w:rsid w:val="00D8416F"/>
    <w:rsid w:val="00D859BC"/>
    <w:rsid w:val="00D8634B"/>
    <w:rsid w:val="00D87875"/>
    <w:rsid w:val="00D92227"/>
    <w:rsid w:val="00D94783"/>
    <w:rsid w:val="00D9530D"/>
    <w:rsid w:val="00D978B3"/>
    <w:rsid w:val="00DA124D"/>
    <w:rsid w:val="00DA18FA"/>
    <w:rsid w:val="00DA32AB"/>
    <w:rsid w:val="00DA54A3"/>
    <w:rsid w:val="00DA720F"/>
    <w:rsid w:val="00DB1105"/>
    <w:rsid w:val="00DB1B29"/>
    <w:rsid w:val="00DB6309"/>
    <w:rsid w:val="00DC0050"/>
    <w:rsid w:val="00DC0FBD"/>
    <w:rsid w:val="00DC2CC3"/>
    <w:rsid w:val="00DC4473"/>
    <w:rsid w:val="00DD17C0"/>
    <w:rsid w:val="00DD3B2B"/>
    <w:rsid w:val="00DD7A26"/>
    <w:rsid w:val="00DE0587"/>
    <w:rsid w:val="00DE1AF9"/>
    <w:rsid w:val="00DE230E"/>
    <w:rsid w:val="00DE5804"/>
    <w:rsid w:val="00DE6D72"/>
    <w:rsid w:val="00DF0906"/>
    <w:rsid w:val="00DF35CA"/>
    <w:rsid w:val="00DF521F"/>
    <w:rsid w:val="00DF5D57"/>
    <w:rsid w:val="00DF60A0"/>
    <w:rsid w:val="00E030DA"/>
    <w:rsid w:val="00E03173"/>
    <w:rsid w:val="00E049D9"/>
    <w:rsid w:val="00E04B46"/>
    <w:rsid w:val="00E109E1"/>
    <w:rsid w:val="00E16EDD"/>
    <w:rsid w:val="00E16F3D"/>
    <w:rsid w:val="00E172C2"/>
    <w:rsid w:val="00E219AA"/>
    <w:rsid w:val="00E22793"/>
    <w:rsid w:val="00E25BD8"/>
    <w:rsid w:val="00E25C36"/>
    <w:rsid w:val="00E2645F"/>
    <w:rsid w:val="00E2696D"/>
    <w:rsid w:val="00E30DB3"/>
    <w:rsid w:val="00E332DC"/>
    <w:rsid w:val="00E37368"/>
    <w:rsid w:val="00E4084C"/>
    <w:rsid w:val="00E42EC5"/>
    <w:rsid w:val="00E50A7F"/>
    <w:rsid w:val="00E51FBF"/>
    <w:rsid w:val="00E52540"/>
    <w:rsid w:val="00E542E0"/>
    <w:rsid w:val="00E55034"/>
    <w:rsid w:val="00E664F1"/>
    <w:rsid w:val="00E76BC1"/>
    <w:rsid w:val="00E84803"/>
    <w:rsid w:val="00E851BE"/>
    <w:rsid w:val="00E8674F"/>
    <w:rsid w:val="00E943A5"/>
    <w:rsid w:val="00E960B8"/>
    <w:rsid w:val="00E967F2"/>
    <w:rsid w:val="00EA1381"/>
    <w:rsid w:val="00EA4340"/>
    <w:rsid w:val="00EB0543"/>
    <w:rsid w:val="00EB32B5"/>
    <w:rsid w:val="00EC1976"/>
    <w:rsid w:val="00EC2995"/>
    <w:rsid w:val="00EC670D"/>
    <w:rsid w:val="00ED0948"/>
    <w:rsid w:val="00ED1489"/>
    <w:rsid w:val="00ED3018"/>
    <w:rsid w:val="00ED5FE2"/>
    <w:rsid w:val="00ED7899"/>
    <w:rsid w:val="00EE0A8D"/>
    <w:rsid w:val="00EE4218"/>
    <w:rsid w:val="00EE447F"/>
    <w:rsid w:val="00EE5DCB"/>
    <w:rsid w:val="00EE74D4"/>
    <w:rsid w:val="00EF03DF"/>
    <w:rsid w:val="00F0176E"/>
    <w:rsid w:val="00F01C18"/>
    <w:rsid w:val="00F032AD"/>
    <w:rsid w:val="00F03993"/>
    <w:rsid w:val="00F12CA2"/>
    <w:rsid w:val="00F13964"/>
    <w:rsid w:val="00F14408"/>
    <w:rsid w:val="00F16A4E"/>
    <w:rsid w:val="00F17B15"/>
    <w:rsid w:val="00F2370C"/>
    <w:rsid w:val="00F24468"/>
    <w:rsid w:val="00F2693B"/>
    <w:rsid w:val="00F27222"/>
    <w:rsid w:val="00F319C7"/>
    <w:rsid w:val="00F31F40"/>
    <w:rsid w:val="00F3330E"/>
    <w:rsid w:val="00F35275"/>
    <w:rsid w:val="00F3782F"/>
    <w:rsid w:val="00F37C74"/>
    <w:rsid w:val="00F40C38"/>
    <w:rsid w:val="00F42B6B"/>
    <w:rsid w:val="00F4329C"/>
    <w:rsid w:val="00F439FF"/>
    <w:rsid w:val="00F43EC8"/>
    <w:rsid w:val="00F511A3"/>
    <w:rsid w:val="00F54D4C"/>
    <w:rsid w:val="00F5718E"/>
    <w:rsid w:val="00F57A53"/>
    <w:rsid w:val="00F60D25"/>
    <w:rsid w:val="00F66168"/>
    <w:rsid w:val="00F6758C"/>
    <w:rsid w:val="00F6784C"/>
    <w:rsid w:val="00F703CA"/>
    <w:rsid w:val="00F72E39"/>
    <w:rsid w:val="00F74C4C"/>
    <w:rsid w:val="00F754A9"/>
    <w:rsid w:val="00F76235"/>
    <w:rsid w:val="00F76AE2"/>
    <w:rsid w:val="00F76F09"/>
    <w:rsid w:val="00F76F45"/>
    <w:rsid w:val="00F8178D"/>
    <w:rsid w:val="00F84444"/>
    <w:rsid w:val="00F8526C"/>
    <w:rsid w:val="00F8799E"/>
    <w:rsid w:val="00F91AD6"/>
    <w:rsid w:val="00F93C2E"/>
    <w:rsid w:val="00F93CCD"/>
    <w:rsid w:val="00F967F2"/>
    <w:rsid w:val="00FB2B85"/>
    <w:rsid w:val="00FB61C1"/>
    <w:rsid w:val="00FC2987"/>
    <w:rsid w:val="00FC6A2D"/>
    <w:rsid w:val="00FC76DA"/>
    <w:rsid w:val="00FC7A6E"/>
    <w:rsid w:val="00FD0622"/>
    <w:rsid w:val="00FD26FC"/>
    <w:rsid w:val="00FD7A6D"/>
    <w:rsid w:val="00FE0BD4"/>
    <w:rsid w:val="00FE1C26"/>
    <w:rsid w:val="00FE2073"/>
    <w:rsid w:val="00FE20F7"/>
    <w:rsid w:val="00FE42AB"/>
    <w:rsid w:val="00FE5C9D"/>
    <w:rsid w:val="00FE5DF6"/>
    <w:rsid w:val="00FE71A9"/>
    <w:rsid w:val="00FF2C73"/>
    <w:rsid w:val="00FF6BAA"/>
    <w:rsid w:val="00FF6C58"/>
    <w:rsid w:val="01143E5D"/>
    <w:rsid w:val="01245C17"/>
    <w:rsid w:val="01FE504C"/>
    <w:rsid w:val="020636EB"/>
    <w:rsid w:val="03083F54"/>
    <w:rsid w:val="03A00A3F"/>
    <w:rsid w:val="048A2AE0"/>
    <w:rsid w:val="049024F0"/>
    <w:rsid w:val="06334523"/>
    <w:rsid w:val="0698724A"/>
    <w:rsid w:val="0701192F"/>
    <w:rsid w:val="078F26B9"/>
    <w:rsid w:val="07C057CB"/>
    <w:rsid w:val="07F50FAC"/>
    <w:rsid w:val="07FE29AD"/>
    <w:rsid w:val="08D527AC"/>
    <w:rsid w:val="08E46FFA"/>
    <w:rsid w:val="08F21980"/>
    <w:rsid w:val="0925511C"/>
    <w:rsid w:val="0A6E3934"/>
    <w:rsid w:val="0A782AE6"/>
    <w:rsid w:val="0AC00944"/>
    <w:rsid w:val="0B09531E"/>
    <w:rsid w:val="0C5808DC"/>
    <w:rsid w:val="0C66483F"/>
    <w:rsid w:val="0D4A316C"/>
    <w:rsid w:val="0E2308C2"/>
    <w:rsid w:val="0E743A31"/>
    <w:rsid w:val="0ED17DB9"/>
    <w:rsid w:val="0ED434D5"/>
    <w:rsid w:val="0F2C7CDB"/>
    <w:rsid w:val="0F2D1F0B"/>
    <w:rsid w:val="0F346ECB"/>
    <w:rsid w:val="0F956C90"/>
    <w:rsid w:val="0FE85723"/>
    <w:rsid w:val="0FFE6A1E"/>
    <w:rsid w:val="1007251B"/>
    <w:rsid w:val="101120DC"/>
    <w:rsid w:val="10283D19"/>
    <w:rsid w:val="12086526"/>
    <w:rsid w:val="120E6DBF"/>
    <w:rsid w:val="1232350F"/>
    <w:rsid w:val="123676F6"/>
    <w:rsid w:val="12E658A9"/>
    <w:rsid w:val="12F21B5B"/>
    <w:rsid w:val="12F66148"/>
    <w:rsid w:val="140E0142"/>
    <w:rsid w:val="14D12EDA"/>
    <w:rsid w:val="155950DF"/>
    <w:rsid w:val="15681D19"/>
    <w:rsid w:val="159E4436"/>
    <w:rsid w:val="15A2155B"/>
    <w:rsid w:val="161861DE"/>
    <w:rsid w:val="1707280A"/>
    <w:rsid w:val="17420AFE"/>
    <w:rsid w:val="175C3BA1"/>
    <w:rsid w:val="17CC7AF5"/>
    <w:rsid w:val="1A0C2356"/>
    <w:rsid w:val="1A5B0F6C"/>
    <w:rsid w:val="1AC123F5"/>
    <w:rsid w:val="1AFA150E"/>
    <w:rsid w:val="1B801D2C"/>
    <w:rsid w:val="1BFC314F"/>
    <w:rsid w:val="1C5776A1"/>
    <w:rsid w:val="1C5F5B5A"/>
    <w:rsid w:val="1C9E1B58"/>
    <w:rsid w:val="1CE11AE5"/>
    <w:rsid w:val="1D1C08BA"/>
    <w:rsid w:val="1D7F3F3C"/>
    <w:rsid w:val="1EB75C39"/>
    <w:rsid w:val="1FA94357"/>
    <w:rsid w:val="21456A1F"/>
    <w:rsid w:val="21BF0647"/>
    <w:rsid w:val="22131B6D"/>
    <w:rsid w:val="22517CB1"/>
    <w:rsid w:val="225E730C"/>
    <w:rsid w:val="22756956"/>
    <w:rsid w:val="23AC2606"/>
    <w:rsid w:val="23BF0E1F"/>
    <w:rsid w:val="23ED656B"/>
    <w:rsid w:val="23FC3B97"/>
    <w:rsid w:val="244424B4"/>
    <w:rsid w:val="244A2186"/>
    <w:rsid w:val="245F681E"/>
    <w:rsid w:val="24863E3C"/>
    <w:rsid w:val="24D85EE9"/>
    <w:rsid w:val="26CD196A"/>
    <w:rsid w:val="27171126"/>
    <w:rsid w:val="27190CAB"/>
    <w:rsid w:val="27550FA4"/>
    <w:rsid w:val="275C532C"/>
    <w:rsid w:val="27705E61"/>
    <w:rsid w:val="27832B59"/>
    <w:rsid w:val="27E268E7"/>
    <w:rsid w:val="282C050C"/>
    <w:rsid w:val="288E4D43"/>
    <w:rsid w:val="290A4C20"/>
    <w:rsid w:val="29A23BD4"/>
    <w:rsid w:val="29C9293B"/>
    <w:rsid w:val="29F62207"/>
    <w:rsid w:val="2A251233"/>
    <w:rsid w:val="2A6D04C4"/>
    <w:rsid w:val="2B27650D"/>
    <w:rsid w:val="2BA01B00"/>
    <w:rsid w:val="2BF54A7B"/>
    <w:rsid w:val="2C37335C"/>
    <w:rsid w:val="2C45620F"/>
    <w:rsid w:val="2C5C3886"/>
    <w:rsid w:val="2C8E044F"/>
    <w:rsid w:val="2CBF08D0"/>
    <w:rsid w:val="2DE67921"/>
    <w:rsid w:val="2E056583"/>
    <w:rsid w:val="2E2D19E1"/>
    <w:rsid w:val="2E357C8D"/>
    <w:rsid w:val="2E954E11"/>
    <w:rsid w:val="2EFF5261"/>
    <w:rsid w:val="2F2041C5"/>
    <w:rsid w:val="2F733FFF"/>
    <w:rsid w:val="304113D5"/>
    <w:rsid w:val="3098796C"/>
    <w:rsid w:val="30FE666C"/>
    <w:rsid w:val="31655605"/>
    <w:rsid w:val="3196072F"/>
    <w:rsid w:val="324F1054"/>
    <w:rsid w:val="33837E11"/>
    <w:rsid w:val="33E06739"/>
    <w:rsid w:val="342200CF"/>
    <w:rsid w:val="342A07E1"/>
    <w:rsid w:val="34860130"/>
    <w:rsid w:val="34F97AD0"/>
    <w:rsid w:val="355777DC"/>
    <w:rsid w:val="359F0F01"/>
    <w:rsid w:val="35AE3E83"/>
    <w:rsid w:val="35CE1576"/>
    <w:rsid w:val="35D901BD"/>
    <w:rsid w:val="363B60FF"/>
    <w:rsid w:val="36461ED7"/>
    <w:rsid w:val="36C357A4"/>
    <w:rsid w:val="37343F01"/>
    <w:rsid w:val="37792110"/>
    <w:rsid w:val="37E45315"/>
    <w:rsid w:val="384C284D"/>
    <w:rsid w:val="393557C2"/>
    <w:rsid w:val="399D130B"/>
    <w:rsid w:val="3AA868F8"/>
    <w:rsid w:val="3AD34569"/>
    <w:rsid w:val="3BD72577"/>
    <w:rsid w:val="3C0D25BB"/>
    <w:rsid w:val="3C1A7662"/>
    <w:rsid w:val="3CC45C11"/>
    <w:rsid w:val="3CE2587C"/>
    <w:rsid w:val="3D290A17"/>
    <w:rsid w:val="3D3711B6"/>
    <w:rsid w:val="3DA13109"/>
    <w:rsid w:val="3DEB40E4"/>
    <w:rsid w:val="3DF87E6E"/>
    <w:rsid w:val="3E944995"/>
    <w:rsid w:val="3EA04FF3"/>
    <w:rsid w:val="3F31580E"/>
    <w:rsid w:val="3F3E7126"/>
    <w:rsid w:val="400F37BF"/>
    <w:rsid w:val="4075729F"/>
    <w:rsid w:val="40B43400"/>
    <w:rsid w:val="40C352CE"/>
    <w:rsid w:val="40D16DF1"/>
    <w:rsid w:val="40E72E1D"/>
    <w:rsid w:val="41232676"/>
    <w:rsid w:val="41781F41"/>
    <w:rsid w:val="419C0EF3"/>
    <w:rsid w:val="428D2785"/>
    <w:rsid w:val="436F7DD9"/>
    <w:rsid w:val="43AE272A"/>
    <w:rsid w:val="43B90901"/>
    <w:rsid w:val="44572895"/>
    <w:rsid w:val="448E0CDD"/>
    <w:rsid w:val="457B5CAA"/>
    <w:rsid w:val="45B86092"/>
    <w:rsid w:val="46EC7171"/>
    <w:rsid w:val="46F63E3C"/>
    <w:rsid w:val="46FC0DD5"/>
    <w:rsid w:val="480D19CC"/>
    <w:rsid w:val="48266846"/>
    <w:rsid w:val="48C06C85"/>
    <w:rsid w:val="48FB448C"/>
    <w:rsid w:val="49005330"/>
    <w:rsid w:val="49A84354"/>
    <w:rsid w:val="49C94D25"/>
    <w:rsid w:val="4A032FCD"/>
    <w:rsid w:val="4A216DB7"/>
    <w:rsid w:val="4AD9745F"/>
    <w:rsid w:val="4BEE0F7D"/>
    <w:rsid w:val="4D4974B5"/>
    <w:rsid w:val="4D6825F5"/>
    <w:rsid w:val="4EA17396"/>
    <w:rsid w:val="4EE169FF"/>
    <w:rsid w:val="4F1C5139"/>
    <w:rsid w:val="4F61304F"/>
    <w:rsid w:val="4FCE2DFD"/>
    <w:rsid w:val="4FCF06B5"/>
    <w:rsid w:val="4FFF3D21"/>
    <w:rsid w:val="50A06216"/>
    <w:rsid w:val="51043ACA"/>
    <w:rsid w:val="511A51B3"/>
    <w:rsid w:val="51A82E25"/>
    <w:rsid w:val="51B21929"/>
    <w:rsid w:val="51B804CE"/>
    <w:rsid w:val="520C7D4A"/>
    <w:rsid w:val="52C40803"/>
    <w:rsid w:val="52D47449"/>
    <w:rsid w:val="534A70A8"/>
    <w:rsid w:val="534D6540"/>
    <w:rsid w:val="539E07FC"/>
    <w:rsid w:val="53A40654"/>
    <w:rsid w:val="53E3487C"/>
    <w:rsid w:val="542C72E8"/>
    <w:rsid w:val="5572737D"/>
    <w:rsid w:val="55D6054B"/>
    <w:rsid w:val="55F6681C"/>
    <w:rsid w:val="56970D0F"/>
    <w:rsid w:val="571A77DF"/>
    <w:rsid w:val="572D508C"/>
    <w:rsid w:val="57654A31"/>
    <w:rsid w:val="57886AF0"/>
    <w:rsid w:val="578E53C8"/>
    <w:rsid w:val="57BA3436"/>
    <w:rsid w:val="580E264B"/>
    <w:rsid w:val="58F72B4E"/>
    <w:rsid w:val="594E7704"/>
    <w:rsid w:val="59825B0C"/>
    <w:rsid w:val="59DA3ECF"/>
    <w:rsid w:val="59F17E7C"/>
    <w:rsid w:val="5B135597"/>
    <w:rsid w:val="5B22484B"/>
    <w:rsid w:val="5B356EE0"/>
    <w:rsid w:val="5B4B5BCA"/>
    <w:rsid w:val="5B7406A2"/>
    <w:rsid w:val="5BB22859"/>
    <w:rsid w:val="5C1275A8"/>
    <w:rsid w:val="5C171C63"/>
    <w:rsid w:val="5C693D90"/>
    <w:rsid w:val="5C9B21DE"/>
    <w:rsid w:val="5CF179B0"/>
    <w:rsid w:val="5D29719A"/>
    <w:rsid w:val="5ECF136A"/>
    <w:rsid w:val="5EE33AF2"/>
    <w:rsid w:val="5F630AD3"/>
    <w:rsid w:val="5F9A5D46"/>
    <w:rsid w:val="605D0E03"/>
    <w:rsid w:val="60616135"/>
    <w:rsid w:val="60B357D4"/>
    <w:rsid w:val="62165DE7"/>
    <w:rsid w:val="62905AF7"/>
    <w:rsid w:val="62AD08FA"/>
    <w:rsid w:val="63617019"/>
    <w:rsid w:val="638A0A2F"/>
    <w:rsid w:val="63C40913"/>
    <w:rsid w:val="63D551B0"/>
    <w:rsid w:val="6428747C"/>
    <w:rsid w:val="6441618F"/>
    <w:rsid w:val="644A7263"/>
    <w:rsid w:val="657C6AA7"/>
    <w:rsid w:val="6637200F"/>
    <w:rsid w:val="66A44562"/>
    <w:rsid w:val="66A95686"/>
    <w:rsid w:val="66EB739D"/>
    <w:rsid w:val="66F568E3"/>
    <w:rsid w:val="671375EC"/>
    <w:rsid w:val="67925388"/>
    <w:rsid w:val="682E2EC8"/>
    <w:rsid w:val="68330A3C"/>
    <w:rsid w:val="683C6833"/>
    <w:rsid w:val="68561AD3"/>
    <w:rsid w:val="6877748A"/>
    <w:rsid w:val="68A73651"/>
    <w:rsid w:val="68D8181C"/>
    <w:rsid w:val="68F22D2E"/>
    <w:rsid w:val="694113E1"/>
    <w:rsid w:val="69DA49A1"/>
    <w:rsid w:val="6A263282"/>
    <w:rsid w:val="6A430DFE"/>
    <w:rsid w:val="6A811E42"/>
    <w:rsid w:val="6AB30C77"/>
    <w:rsid w:val="6AEC44EE"/>
    <w:rsid w:val="6B1D37A3"/>
    <w:rsid w:val="6B4F481A"/>
    <w:rsid w:val="6BB73E72"/>
    <w:rsid w:val="6BD55655"/>
    <w:rsid w:val="6C0B71D9"/>
    <w:rsid w:val="6C6E3FED"/>
    <w:rsid w:val="6CCB64FE"/>
    <w:rsid w:val="6DC56E75"/>
    <w:rsid w:val="6E221A17"/>
    <w:rsid w:val="6E523AD2"/>
    <w:rsid w:val="6E5F2811"/>
    <w:rsid w:val="6E863529"/>
    <w:rsid w:val="6EB77565"/>
    <w:rsid w:val="6F053B1A"/>
    <w:rsid w:val="6F091D13"/>
    <w:rsid w:val="6F4D6995"/>
    <w:rsid w:val="6F513699"/>
    <w:rsid w:val="6F7C2BCA"/>
    <w:rsid w:val="704F5BE2"/>
    <w:rsid w:val="70607547"/>
    <w:rsid w:val="70EA2C9F"/>
    <w:rsid w:val="71D640B2"/>
    <w:rsid w:val="71EA50EF"/>
    <w:rsid w:val="72A4003F"/>
    <w:rsid w:val="72A76602"/>
    <w:rsid w:val="72B072F2"/>
    <w:rsid w:val="72BB74BB"/>
    <w:rsid w:val="72FC4EBC"/>
    <w:rsid w:val="732063E5"/>
    <w:rsid w:val="734E3FF8"/>
    <w:rsid w:val="734F6ADC"/>
    <w:rsid w:val="73577E87"/>
    <w:rsid w:val="73974677"/>
    <w:rsid w:val="74B27BCC"/>
    <w:rsid w:val="74D86FD2"/>
    <w:rsid w:val="75B467ED"/>
    <w:rsid w:val="76484006"/>
    <w:rsid w:val="76553B71"/>
    <w:rsid w:val="768D1F11"/>
    <w:rsid w:val="77086AC8"/>
    <w:rsid w:val="779C1096"/>
    <w:rsid w:val="781C0757"/>
    <w:rsid w:val="78327A5B"/>
    <w:rsid w:val="78D11888"/>
    <w:rsid w:val="78DC76BA"/>
    <w:rsid w:val="79154E31"/>
    <w:rsid w:val="792A5615"/>
    <w:rsid w:val="79483777"/>
    <w:rsid w:val="79E968A0"/>
    <w:rsid w:val="7A0E1947"/>
    <w:rsid w:val="7AFB0585"/>
    <w:rsid w:val="7B28363D"/>
    <w:rsid w:val="7B4351E9"/>
    <w:rsid w:val="7B587DC7"/>
    <w:rsid w:val="7B7758D8"/>
    <w:rsid w:val="7B78560B"/>
    <w:rsid w:val="7C031902"/>
    <w:rsid w:val="7C3D0F57"/>
    <w:rsid w:val="7C665B94"/>
    <w:rsid w:val="7CB451DB"/>
    <w:rsid w:val="7D54702D"/>
    <w:rsid w:val="7D5D77BB"/>
    <w:rsid w:val="7DB400CB"/>
    <w:rsid w:val="7DBF4249"/>
    <w:rsid w:val="7E0B2713"/>
    <w:rsid w:val="7E1507E5"/>
    <w:rsid w:val="7E1C15AE"/>
    <w:rsid w:val="7F043992"/>
    <w:rsid w:val="7F2A7EB1"/>
    <w:rsid w:val="7F346099"/>
    <w:rsid w:val="7F37303D"/>
    <w:rsid w:val="7F924BEC"/>
    <w:rsid w:val="7FB8716E"/>
    <w:rsid w:val="7FE50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autoRedefine/>
    <w:qFormat/>
    <w:uiPriority w:val="0"/>
    <w:pPr>
      <w:keepNext/>
      <w:spacing w:line="216" w:lineRule="auto"/>
      <w:jc w:val="center"/>
      <w:outlineLvl w:val="0"/>
    </w:pPr>
    <w:rPr>
      <w:rFonts w:ascii="宋体" w:hAnsi="宋体"/>
      <w:b/>
      <w:sz w:val="30"/>
      <w:szCs w:val="20"/>
    </w:rPr>
  </w:style>
  <w:style w:type="paragraph" w:styleId="5">
    <w:name w:val="heading 2"/>
    <w:basedOn w:val="1"/>
    <w:next w:val="3"/>
    <w:link w:val="37"/>
    <w:autoRedefine/>
    <w:qFormat/>
    <w:uiPriority w:val="0"/>
    <w:pPr>
      <w:keepNext/>
      <w:spacing w:line="216" w:lineRule="auto"/>
      <w:outlineLvl w:val="1"/>
    </w:pPr>
    <w:rPr>
      <w:rFonts w:ascii="宋体"/>
      <w:sz w:val="28"/>
      <w:szCs w:val="20"/>
    </w:rPr>
  </w:style>
  <w:style w:type="paragraph" w:styleId="2">
    <w:name w:val="heading 3"/>
    <w:basedOn w:val="1"/>
    <w:next w:val="3"/>
    <w:autoRedefine/>
    <w:qFormat/>
    <w:uiPriority w:val="0"/>
    <w:pPr>
      <w:keepNext/>
      <w:numPr>
        <w:ilvl w:val="0"/>
        <w:numId w:val="1"/>
      </w:numPr>
      <w:spacing w:line="216" w:lineRule="auto"/>
      <w:outlineLvl w:val="2"/>
    </w:pPr>
    <w:rPr>
      <w:rFonts w:ascii="宋体"/>
      <w:bCs/>
      <w:sz w:val="28"/>
      <w:szCs w:val="20"/>
    </w:rPr>
  </w:style>
  <w:style w:type="paragraph" w:styleId="6">
    <w:name w:val="heading 4"/>
    <w:basedOn w:val="1"/>
    <w:next w:val="3"/>
    <w:autoRedefine/>
    <w:qFormat/>
    <w:uiPriority w:val="0"/>
    <w:pPr>
      <w:keepNext/>
      <w:numPr>
        <w:ilvl w:val="0"/>
        <w:numId w:val="2"/>
      </w:numPr>
      <w:spacing w:line="216" w:lineRule="auto"/>
      <w:outlineLvl w:val="3"/>
    </w:pPr>
    <w:rPr>
      <w:rFonts w:ascii="黑体" w:eastAsia="黑体"/>
      <w:b/>
      <w:sz w:val="24"/>
      <w:szCs w:val="20"/>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7">
    <w:name w:val="toc 7"/>
    <w:basedOn w:val="1"/>
    <w:next w:val="1"/>
    <w:autoRedefine/>
    <w:semiHidden/>
    <w:qFormat/>
    <w:uiPriority w:val="0"/>
    <w:pPr>
      <w:ind w:left="2520" w:leftChars="1200"/>
    </w:pPr>
  </w:style>
  <w:style w:type="paragraph" w:styleId="8">
    <w:name w:val="annotation text"/>
    <w:basedOn w:val="1"/>
    <w:link w:val="39"/>
    <w:autoRedefine/>
    <w:qFormat/>
    <w:uiPriority w:val="0"/>
    <w:pPr>
      <w:adjustRightInd w:val="0"/>
      <w:jc w:val="left"/>
    </w:pPr>
  </w:style>
  <w:style w:type="paragraph" w:styleId="9">
    <w:name w:val="Body Text"/>
    <w:basedOn w:val="2"/>
    <w:next w:val="10"/>
    <w:autoRedefine/>
    <w:qFormat/>
    <w:uiPriority w:val="0"/>
    <w:pPr>
      <w:autoSpaceDE w:val="0"/>
      <w:autoSpaceDN w:val="0"/>
      <w:adjustRightInd w:val="0"/>
      <w:spacing w:line="360" w:lineRule="auto"/>
    </w:pPr>
    <w:rPr>
      <w:rFonts w:ascii="宋体" w:hAnsi="Arial" w:cs="Arial"/>
      <w:snapToGrid w:val="0"/>
      <w:sz w:val="24"/>
      <w:szCs w:val="21"/>
      <w:lang w:val="zh-CN"/>
    </w:rPr>
  </w:style>
  <w:style w:type="paragraph" w:customStyle="1" w:styleId="10">
    <w:name w:val="Body Text First Indent1"/>
    <w:basedOn w:val="9"/>
    <w:autoRedefine/>
    <w:qFormat/>
    <w:uiPriority w:val="0"/>
    <w:pPr>
      <w:ind w:firstLine="420" w:firstLineChars="100"/>
    </w:pPr>
  </w:style>
  <w:style w:type="paragraph" w:styleId="11">
    <w:name w:val="Body Text Indent"/>
    <w:basedOn w:val="1"/>
    <w:next w:val="12"/>
    <w:link w:val="40"/>
    <w:autoRedefine/>
    <w:qFormat/>
    <w:uiPriority w:val="0"/>
    <w:pPr>
      <w:spacing w:after="120"/>
      <w:ind w:left="420" w:leftChars="200"/>
    </w:pPr>
  </w:style>
  <w:style w:type="paragraph" w:styleId="12">
    <w:name w:val="Body Text First Indent 2"/>
    <w:basedOn w:val="11"/>
    <w:link w:val="42"/>
    <w:autoRedefine/>
    <w:qFormat/>
    <w:uiPriority w:val="0"/>
    <w:pPr>
      <w:ind w:firstLine="420" w:firstLineChars="200"/>
    </w:pPr>
  </w:style>
  <w:style w:type="paragraph" w:styleId="13">
    <w:name w:val="Block Text"/>
    <w:basedOn w:val="1"/>
    <w:autoRedefine/>
    <w:unhideWhenUsed/>
    <w:qFormat/>
    <w:uiPriority w:val="99"/>
    <w:pPr>
      <w:spacing w:after="120"/>
      <w:ind w:left="1440" w:leftChars="700" w:right="1440" w:rightChars="700"/>
    </w:pPr>
  </w:style>
  <w:style w:type="paragraph" w:styleId="14">
    <w:name w:val="toc 5"/>
    <w:basedOn w:val="1"/>
    <w:next w:val="1"/>
    <w:autoRedefine/>
    <w:semiHidden/>
    <w:qFormat/>
    <w:uiPriority w:val="0"/>
    <w:pPr>
      <w:ind w:left="1680" w:leftChars="800"/>
    </w:pPr>
  </w:style>
  <w:style w:type="paragraph" w:styleId="15">
    <w:name w:val="toc 3"/>
    <w:basedOn w:val="1"/>
    <w:next w:val="1"/>
    <w:autoRedefine/>
    <w:semiHidden/>
    <w:qFormat/>
    <w:uiPriority w:val="0"/>
    <w:pPr>
      <w:ind w:left="840" w:leftChars="400"/>
    </w:pPr>
  </w:style>
  <w:style w:type="paragraph" w:styleId="16">
    <w:name w:val="Plain Text"/>
    <w:basedOn w:val="1"/>
    <w:next w:val="1"/>
    <w:link w:val="41"/>
    <w:autoRedefine/>
    <w:qFormat/>
    <w:uiPriority w:val="0"/>
    <w:rPr>
      <w:rFonts w:ascii="宋体" w:hAnsi="Courier New" w:cs="Courier New"/>
      <w:szCs w:val="21"/>
    </w:rPr>
  </w:style>
  <w:style w:type="paragraph" w:styleId="17">
    <w:name w:val="toc 8"/>
    <w:basedOn w:val="1"/>
    <w:next w:val="1"/>
    <w:autoRedefine/>
    <w:semiHidden/>
    <w:qFormat/>
    <w:uiPriority w:val="0"/>
    <w:pPr>
      <w:ind w:left="2940" w:leftChars="1400"/>
    </w:pPr>
  </w:style>
  <w:style w:type="paragraph" w:styleId="18">
    <w:name w:val="Date"/>
    <w:basedOn w:val="1"/>
    <w:next w:val="1"/>
    <w:autoRedefine/>
    <w:qFormat/>
    <w:uiPriority w:val="0"/>
    <w:pPr>
      <w:ind w:left="100" w:leftChars="2500"/>
    </w:pPr>
    <w:rPr>
      <w:rFonts w:ascii="宋体" w:hAnsi="宋体"/>
      <w:color w:val="000000"/>
      <w:sz w:val="24"/>
    </w:rPr>
  </w:style>
  <w:style w:type="paragraph" w:styleId="19">
    <w:name w:val="Balloon Text"/>
    <w:basedOn w:val="1"/>
    <w:autoRedefine/>
    <w:semiHidden/>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2">
    <w:name w:val="toc 1"/>
    <w:basedOn w:val="1"/>
    <w:next w:val="1"/>
    <w:autoRedefine/>
    <w:semiHidden/>
    <w:qFormat/>
    <w:uiPriority w:val="0"/>
  </w:style>
  <w:style w:type="paragraph" w:styleId="23">
    <w:name w:val="toc 4"/>
    <w:basedOn w:val="1"/>
    <w:next w:val="1"/>
    <w:autoRedefine/>
    <w:semiHidden/>
    <w:qFormat/>
    <w:uiPriority w:val="0"/>
    <w:pPr>
      <w:ind w:left="1260" w:leftChars="600"/>
    </w:pPr>
  </w:style>
  <w:style w:type="paragraph" w:styleId="24">
    <w:name w:val="toc 6"/>
    <w:basedOn w:val="1"/>
    <w:next w:val="1"/>
    <w:autoRedefine/>
    <w:semiHidden/>
    <w:qFormat/>
    <w:uiPriority w:val="0"/>
    <w:pPr>
      <w:ind w:left="2100" w:leftChars="1000"/>
    </w:pPr>
  </w:style>
  <w:style w:type="paragraph" w:styleId="25">
    <w:name w:val="Body Text Indent 3"/>
    <w:basedOn w:val="1"/>
    <w:autoRedefine/>
    <w:qFormat/>
    <w:uiPriority w:val="0"/>
    <w:pPr>
      <w:spacing w:after="120"/>
      <w:ind w:left="420" w:leftChars="200"/>
    </w:pPr>
    <w:rPr>
      <w:sz w:val="16"/>
      <w:szCs w:val="16"/>
    </w:rPr>
  </w:style>
  <w:style w:type="paragraph" w:styleId="26">
    <w:name w:val="toc 2"/>
    <w:basedOn w:val="1"/>
    <w:next w:val="1"/>
    <w:autoRedefine/>
    <w:semiHidden/>
    <w:qFormat/>
    <w:uiPriority w:val="0"/>
    <w:pPr>
      <w:ind w:left="420" w:leftChars="200"/>
    </w:pPr>
  </w:style>
  <w:style w:type="paragraph" w:styleId="27">
    <w:name w:val="toc 9"/>
    <w:basedOn w:val="1"/>
    <w:next w:val="1"/>
    <w:autoRedefine/>
    <w:semiHidden/>
    <w:qFormat/>
    <w:uiPriority w:val="0"/>
    <w:pPr>
      <w:ind w:left="3360" w:leftChars="1600"/>
    </w:pPr>
  </w:style>
  <w:style w:type="paragraph" w:styleId="28">
    <w:name w:val="Body Text 2"/>
    <w:basedOn w:val="1"/>
    <w:autoRedefine/>
    <w:qFormat/>
    <w:uiPriority w:val="0"/>
    <w:pPr>
      <w:spacing w:after="120" w:line="480" w:lineRule="auto"/>
    </w:pPr>
    <w:rPr>
      <w:rFonts w:ascii="Times New Roman" w:hAnsi="Times New Roman"/>
      <w:szCs w:val="20"/>
    </w:rPr>
  </w:style>
  <w:style w:type="paragraph" w:styleId="2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31">
    <w:name w:val="Body Text First Indent"/>
    <w:basedOn w:val="9"/>
    <w:next w:val="24"/>
    <w:autoRedefine/>
    <w:qFormat/>
    <w:uiPriority w:val="99"/>
    <w:pPr>
      <w:ind w:firstLine="420" w:firstLineChars="100"/>
    </w:pPr>
  </w:style>
  <w:style w:type="character" w:styleId="34">
    <w:name w:val="page number"/>
    <w:basedOn w:val="33"/>
    <w:autoRedefine/>
    <w:qFormat/>
    <w:uiPriority w:val="0"/>
  </w:style>
  <w:style w:type="character" w:styleId="35">
    <w:name w:val="FollowedHyperlink"/>
    <w:autoRedefine/>
    <w:qFormat/>
    <w:uiPriority w:val="0"/>
    <w:rPr>
      <w:color w:val="800080"/>
      <w:u w:val="single"/>
    </w:rPr>
  </w:style>
  <w:style w:type="character" w:styleId="36">
    <w:name w:val="Hyperlink"/>
    <w:autoRedefine/>
    <w:qFormat/>
    <w:uiPriority w:val="0"/>
    <w:rPr>
      <w:color w:val="0000FF"/>
      <w:u w:val="single"/>
    </w:rPr>
  </w:style>
  <w:style w:type="character" w:customStyle="1" w:styleId="37">
    <w:name w:val="标题 2 Char"/>
    <w:basedOn w:val="33"/>
    <w:link w:val="5"/>
    <w:autoRedefine/>
    <w:qFormat/>
    <w:uiPriority w:val="0"/>
    <w:rPr>
      <w:rFonts w:ascii="宋体"/>
      <w:b/>
      <w:kern w:val="2"/>
      <w:sz w:val="28"/>
    </w:rPr>
  </w:style>
  <w:style w:type="character" w:customStyle="1" w:styleId="38">
    <w:name w:val="标题 1 Char"/>
    <w:basedOn w:val="33"/>
    <w:link w:val="4"/>
    <w:autoRedefine/>
    <w:qFormat/>
    <w:uiPriority w:val="0"/>
    <w:rPr>
      <w:rFonts w:ascii="宋体" w:hAnsi="宋体"/>
      <w:b/>
      <w:kern w:val="2"/>
      <w:sz w:val="30"/>
    </w:rPr>
  </w:style>
  <w:style w:type="character" w:customStyle="1" w:styleId="39">
    <w:name w:val="批注文字 Char"/>
    <w:link w:val="8"/>
    <w:autoRedefine/>
    <w:qFormat/>
    <w:uiPriority w:val="0"/>
    <w:rPr>
      <w:kern w:val="2"/>
      <w:sz w:val="21"/>
      <w:szCs w:val="24"/>
      <w:lang w:bidi="ar-SA"/>
    </w:rPr>
  </w:style>
  <w:style w:type="character" w:customStyle="1" w:styleId="40">
    <w:name w:val="正文文本缩进 Char"/>
    <w:basedOn w:val="33"/>
    <w:link w:val="11"/>
    <w:autoRedefine/>
    <w:qFormat/>
    <w:uiPriority w:val="0"/>
    <w:rPr>
      <w:kern w:val="2"/>
      <w:sz w:val="21"/>
      <w:szCs w:val="24"/>
    </w:rPr>
  </w:style>
  <w:style w:type="character" w:customStyle="1" w:styleId="41">
    <w:name w:val="纯文本 Char"/>
    <w:link w:val="16"/>
    <w:autoRedefine/>
    <w:qFormat/>
    <w:locked/>
    <w:uiPriority w:val="0"/>
    <w:rPr>
      <w:rFonts w:ascii="宋体" w:hAnsi="Courier New" w:eastAsia="宋体" w:cs="Courier New"/>
      <w:kern w:val="2"/>
      <w:sz w:val="21"/>
      <w:szCs w:val="21"/>
      <w:lang w:val="en-US" w:eastAsia="zh-CN" w:bidi="ar-SA"/>
    </w:rPr>
  </w:style>
  <w:style w:type="character" w:customStyle="1" w:styleId="42">
    <w:name w:val="正文首行缩进 2 Char"/>
    <w:basedOn w:val="40"/>
    <w:link w:val="12"/>
    <w:autoRedefine/>
    <w:qFormat/>
    <w:uiPriority w:val="0"/>
  </w:style>
  <w:style w:type="character" w:customStyle="1" w:styleId="43">
    <w:name w:val="Char Char26"/>
    <w:autoRedefine/>
    <w:qFormat/>
    <w:uiPriority w:val="0"/>
    <w:rPr>
      <w:rFonts w:ascii="宋体" w:hAnsi="Courier New" w:eastAsia="宋体" w:cs="Arial"/>
      <w:snapToGrid w:val="0"/>
      <w:kern w:val="2"/>
      <w:sz w:val="21"/>
      <w:szCs w:val="21"/>
      <w:lang w:val="en-US" w:eastAsia="zh-CN" w:bidi="ar-SA"/>
    </w:rPr>
  </w:style>
  <w:style w:type="character" w:customStyle="1" w:styleId="44">
    <w:name w:val="正文2 Char Char"/>
    <w:link w:val="45"/>
    <w:autoRedefine/>
    <w:qFormat/>
    <w:uiPriority w:val="0"/>
    <w:rPr>
      <w:rFonts w:eastAsia="宋体"/>
      <w:kern w:val="2"/>
      <w:sz w:val="24"/>
      <w:lang w:val="en-US" w:eastAsia="zh-CN" w:bidi="ar-SA"/>
    </w:rPr>
  </w:style>
  <w:style w:type="paragraph" w:customStyle="1" w:styleId="45">
    <w:name w:val="正文2"/>
    <w:basedOn w:val="28"/>
    <w:link w:val="44"/>
    <w:autoRedefine/>
    <w:qFormat/>
    <w:uiPriority w:val="0"/>
    <w:pPr>
      <w:adjustRightInd w:val="0"/>
      <w:spacing w:before="156" w:line="360" w:lineRule="auto"/>
      <w:ind w:firstLine="510" w:firstLineChars="200"/>
    </w:pPr>
    <w:rPr>
      <w:sz w:val="24"/>
      <w:szCs w:val="20"/>
    </w:rPr>
  </w:style>
  <w:style w:type="character" w:customStyle="1" w:styleId="46">
    <w:name w:val="普通文字 Char Char Char1"/>
    <w:autoRedefine/>
    <w:qFormat/>
    <w:uiPriority w:val="0"/>
    <w:rPr>
      <w:rFonts w:ascii="宋体" w:hAnsi="Courier New" w:eastAsia="宋体"/>
      <w:kern w:val="2"/>
      <w:sz w:val="21"/>
      <w:lang w:val="en-US" w:eastAsia="zh-CN" w:bidi="ar-SA"/>
    </w:rPr>
  </w:style>
  <w:style w:type="paragraph" w:customStyle="1" w:styleId="47">
    <w:name w:val="Char Char Char Char1"/>
    <w:basedOn w:val="1"/>
    <w:autoRedefine/>
    <w:qFormat/>
    <w:uiPriority w:val="0"/>
    <w:rPr>
      <w:rFonts w:ascii="Tahoma" w:hAnsi="Tahoma"/>
      <w:sz w:val="24"/>
      <w:szCs w:val="20"/>
    </w:rPr>
  </w:style>
  <w:style w:type="paragraph" w:customStyle="1" w:styleId="48">
    <w:name w:val="正文1"/>
    <w:basedOn w:val="1"/>
    <w:autoRedefine/>
    <w:qFormat/>
    <w:uiPriority w:val="0"/>
    <w:rPr>
      <w:rFonts w:ascii="宋体" w:hAnsi="宋体" w:cs="宋体"/>
      <w:szCs w:val="21"/>
    </w:rPr>
  </w:style>
  <w:style w:type="character" w:customStyle="1" w:styleId="49">
    <w:name w:val="NormalCharacter"/>
    <w:autoRedefine/>
    <w:semiHidden/>
    <w:qFormat/>
    <w:uiPriority w:val="0"/>
  </w:style>
  <w:style w:type="paragraph" w:customStyle="1" w:styleId="50">
    <w:name w:val="列出段落1"/>
    <w:basedOn w:val="1"/>
    <w:autoRedefine/>
    <w:qFormat/>
    <w:uiPriority w:val="0"/>
    <w:pPr>
      <w:ind w:firstLine="420" w:firstLineChars="200"/>
    </w:pPr>
    <w:rPr>
      <w:rFonts w:ascii="Calibri" w:hAnsi="Calibri"/>
      <w:szCs w:val="21"/>
    </w:rPr>
  </w:style>
  <w:style w:type="paragraph" w:customStyle="1" w:styleId="51">
    <w:name w:val="xl53"/>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52">
    <w:name w:val="*正文"/>
    <w:basedOn w:val="1"/>
    <w:autoRedefine/>
    <w:qFormat/>
    <w:uiPriority w:val="0"/>
    <w:pPr>
      <w:spacing w:line="300" w:lineRule="auto"/>
      <w:ind w:firstLine="480"/>
    </w:pPr>
    <w:rPr>
      <w:rFonts w:ascii="宋体" w:hAnsi="宋体" w:cs="仿宋_GB2312"/>
      <w:kern w:val="0"/>
      <w:sz w:val="20"/>
      <w:szCs w:val="21"/>
    </w:rPr>
  </w:style>
  <w:style w:type="character" w:customStyle="1" w:styleId="53">
    <w:name w:val="font21"/>
    <w:basedOn w:val="33"/>
    <w:autoRedefine/>
    <w:qFormat/>
    <w:uiPriority w:val="0"/>
    <w:rPr>
      <w:rFonts w:hint="eastAsia" w:ascii="宋体" w:hAnsi="宋体" w:eastAsia="宋体" w:cs="宋体"/>
      <w:color w:val="FF0000"/>
      <w:sz w:val="22"/>
      <w:szCs w:val="22"/>
      <w:u w:val="none"/>
    </w:rPr>
  </w:style>
  <w:style w:type="character" w:customStyle="1" w:styleId="54">
    <w:name w:val="font11"/>
    <w:basedOn w:val="33"/>
    <w:autoRedefine/>
    <w:qFormat/>
    <w:uiPriority w:val="0"/>
    <w:rPr>
      <w:rFonts w:hint="eastAsia" w:ascii="宋体" w:hAnsi="宋体" w:eastAsia="宋体" w:cs="宋体"/>
      <w:color w:val="FF0000"/>
      <w:sz w:val="20"/>
      <w:szCs w:val="20"/>
      <w:u w:val="none"/>
    </w:rPr>
  </w:style>
  <w:style w:type="paragraph" w:customStyle="1" w:styleId="55">
    <w:name w:val="列出段落2"/>
    <w:basedOn w:val="1"/>
    <w:autoRedefine/>
    <w:qFormat/>
    <w:uiPriority w:val="34"/>
    <w:pPr>
      <w:widowControl/>
      <w:spacing w:before="100" w:beforeAutospacing="1" w:after="100" w:afterAutospacing="1"/>
      <w:jc w:val="left"/>
    </w:pPr>
    <w:rPr>
      <w:rFonts w:ascii="黑体" w:hAnsi="黑体" w:eastAsia="黑体"/>
      <w:color w:val="000000"/>
      <w:kern w:val="0"/>
      <w:sz w:val="24"/>
    </w:rPr>
  </w:style>
  <w:style w:type="paragraph" w:customStyle="1" w:styleId="56">
    <w:name w:val="Heading1"/>
    <w:basedOn w:val="1"/>
    <w:next w:val="1"/>
    <w:autoRedefine/>
    <w:qFormat/>
    <w:uiPriority w:val="0"/>
    <w:pPr>
      <w:keepNext/>
      <w:keepLines/>
      <w:spacing w:line="360" w:lineRule="auto"/>
      <w:jc w:val="center"/>
    </w:pPr>
    <w:rPr>
      <w:b/>
      <w:bCs/>
      <w:kern w:val="44"/>
      <w:sz w:val="36"/>
      <w:szCs w:val="44"/>
    </w:rPr>
  </w:style>
  <w:style w:type="paragraph" w:customStyle="1" w:styleId="57">
    <w:name w:val="表格文字"/>
    <w:basedOn w:val="16"/>
    <w:next w:val="9"/>
    <w:autoRedefine/>
    <w:qFormat/>
    <w:uiPriority w:val="0"/>
    <w:pPr>
      <w:adjustRightInd w:val="0"/>
      <w:spacing w:line="420" w:lineRule="atLeast"/>
      <w:textAlignment w:val="baseline"/>
    </w:pPr>
    <w:rPr>
      <w:rFonts w:ascii="宋体" w:hAnsi="宋体" w:cs="宋体"/>
      <w:kern w:val="0"/>
      <w:sz w:val="20"/>
      <w:szCs w:val="21"/>
    </w:rPr>
  </w:style>
  <w:style w:type="paragraph" w:customStyle="1" w:styleId="58">
    <w:name w:val="List Paragraph"/>
    <w:basedOn w:val="1"/>
    <w:autoRedefine/>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62</Pages>
  <Words>20112</Words>
  <Characters>20942</Characters>
  <Lines>255</Lines>
  <Paragraphs>71</Paragraphs>
  <TotalTime>4</TotalTime>
  <ScaleCrop>false</ScaleCrop>
  <LinksUpToDate>false</LinksUpToDate>
  <CharactersWithSpaces>21163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2022-05-17T08:27:00Z</dcterms:created>
  <dc:creator>wxg</dc:creator>
  <cp:lastModifiedBy>胡佳菲</cp:lastModifiedBy>
  <cp:lastPrinted>2023-06-20T02:47:00Z</cp:lastPrinted>
  <dcterms:modified xsi:type="dcterms:W3CDTF">2025-02-19T01:07:32Z</dcterms:modified>
  <dc:title>采购单位：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D0FB2A403BD241D78C089C2CE23FD869_13</vt:lpwstr>
  </property>
  <property fmtid="{D5CDD505-2E9C-101B-9397-08002B2CF9AE}" pid="4" name="KSOTemplateDocerSaveRecord">
    <vt:lpwstr>eyJoZGlkIjoiMjEwNjM2ZGZkNzgwZTAyMTBhZjNhNGNhN2E3ZGRiYmUiLCJ1c2VySWQiOiIxMTM3OTIyODQzIn0=</vt:lpwstr>
  </property>
</Properties>
</file>