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38356B">
      <w:pPr>
        <w:spacing w:line="360" w:lineRule="auto"/>
        <w:jc w:val="center"/>
        <w:rPr>
          <w:rFonts w:ascii="宋体" w:hAnsi="宋体" w:cs="宋体"/>
          <w:b/>
          <w:color w:val="auto"/>
          <w:sz w:val="72"/>
          <w:szCs w:val="72"/>
          <w:highlight w:val="none"/>
        </w:rPr>
      </w:pPr>
    </w:p>
    <w:p w14:paraId="360C89C9">
      <w:pPr>
        <w:spacing w:line="240" w:lineRule="auto"/>
        <w:jc w:val="center"/>
        <w:rPr>
          <w:rFonts w:hint="eastAsia" w:ascii="宋体" w:hAnsi="宋体" w:cs="宋体"/>
          <w:b/>
          <w:color w:val="auto"/>
          <w:sz w:val="48"/>
          <w:szCs w:val="48"/>
          <w:highlight w:val="none"/>
        </w:rPr>
      </w:pPr>
      <w:r>
        <w:rPr>
          <w:rFonts w:hint="eastAsia" w:ascii="宋体" w:hAnsi="宋体" w:cs="宋体"/>
          <w:b/>
          <w:color w:val="auto"/>
          <w:sz w:val="48"/>
          <w:szCs w:val="48"/>
          <w:highlight w:val="none"/>
          <w:lang w:eastAsia="zh-CN"/>
        </w:rPr>
        <w:t>3方立轴搅拌机提升改造项目</w:t>
      </w:r>
    </w:p>
    <w:p w14:paraId="68131BAA">
      <w:pPr>
        <w:tabs>
          <w:tab w:val="left" w:pos="1050"/>
        </w:tabs>
        <w:spacing w:line="360" w:lineRule="auto"/>
        <w:jc w:val="center"/>
        <w:rPr>
          <w:rFonts w:hint="eastAsia" w:ascii="宋体" w:hAnsi="宋体" w:cs="宋体"/>
          <w:b/>
          <w:color w:val="auto"/>
          <w:sz w:val="56"/>
          <w:szCs w:val="56"/>
          <w:highlight w:val="none"/>
        </w:rPr>
      </w:pPr>
    </w:p>
    <w:p w14:paraId="1606A3D9">
      <w:pPr>
        <w:tabs>
          <w:tab w:val="left" w:pos="1050"/>
        </w:tabs>
        <w:spacing w:line="360" w:lineRule="auto"/>
        <w:jc w:val="center"/>
        <w:rPr>
          <w:rFonts w:ascii="宋体" w:hAnsi="宋体" w:cs="宋体"/>
          <w:b/>
          <w:color w:val="auto"/>
          <w:sz w:val="56"/>
          <w:szCs w:val="56"/>
          <w:highlight w:val="none"/>
        </w:rPr>
      </w:pPr>
      <w:r>
        <w:rPr>
          <w:rFonts w:hint="eastAsia" w:ascii="宋体" w:hAnsi="宋体" w:cs="宋体"/>
          <w:b/>
          <w:color w:val="auto"/>
          <w:sz w:val="56"/>
          <w:szCs w:val="56"/>
          <w:highlight w:val="none"/>
        </w:rPr>
        <w:t>招标文件</w:t>
      </w:r>
    </w:p>
    <w:p w14:paraId="3983D62B">
      <w:pPr>
        <w:spacing w:line="360" w:lineRule="auto"/>
        <w:jc w:val="center"/>
        <w:rPr>
          <w:rFonts w:ascii="宋体" w:hAnsi="宋体" w:cs="宋体"/>
          <w:b/>
          <w:color w:val="auto"/>
          <w:sz w:val="24"/>
          <w:highlight w:val="none"/>
        </w:rPr>
      </w:pPr>
    </w:p>
    <w:p w14:paraId="1A69B37B">
      <w:pPr>
        <w:pStyle w:val="4"/>
        <w:rPr>
          <w:color w:val="auto"/>
          <w:highlight w:val="none"/>
        </w:rPr>
      </w:pPr>
    </w:p>
    <w:p w14:paraId="42F925BD">
      <w:pPr>
        <w:spacing w:line="360" w:lineRule="auto"/>
        <w:jc w:val="center"/>
        <w:rPr>
          <w:rFonts w:ascii="宋体" w:hAnsi="宋体" w:cs="宋体"/>
          <w:b/>
          <w:color w:val="auto"/>
          <w:sz w:val="24"/>
          <w:highlight w:val="none"/>
        </w:rPr>
      </w:pPr>
    </w:p>
    <w:p w14:paraId="4E1B4021">
      <w:pPr>
        <w:snapToGrid w:val="0"/>
        <w:spacing w:line="360" w:lineRule="auto"/>
        <w:ind w:firstLine="2301" w:firstLineChars="767"/>
        <w:jc w:val="left"/>
        <w:rPr>
          <w:rFonts w:hint="eastAsia" w:ascii="宋体" w:hAnsi="宋体" w:cs="宋体"/>
          <w:color w:val="auto"/>
          <w:sz w:val="30"/>
          <w:szCs w:val="30"/>
          <w:highlight w:val="none"/>
          <w:u w:val="single"/>
          <w:lang w:val="en-US" w:eastAsia="zh-CN"/>
        </w:rPr>
      </w:pPr>
      <w:r>
        <w:rPr>
          <w:rFonts w:hint="eastAsia" w:ascii="宋体" w:hAnsi="宋体" w:cs="宋体"/>
          <w:color w:val="auto"/>
          <w:sz w:val="30"/>
          <w:szCs w:val="30"/>
          <w:highlight w:val="none"/>
        </w:rPr>
        <w:t>招标编号：YK2025148</w:t>
      </w:r>
    </w:p>
    <w:p w14:paraId="2FC0E9D3">
      <w:pPr>
        <w:snapToGrid w:val="0"/>
        <w:spacing w:line="360" w:lineRule="auto"/>
        <w:ind w:firstLine="2301" w:firstLineChars="767"/>
        <w:jc w:val="left"/>
        <w:rPr>
          <w:rFonts w:ascii="宋体" w:hAnsi="宋体" w:cs="宋体"/>
          <w:color w:val="auto"/>
          <w:sz w:val="30"/>
          <w:szCs w:val="30"/>
          <w:highlight w:val="none"/>
        </w:rPr>
      </w:pPr>
      <w:r>
        <w:rPr>
          <w:rFonts w:hint="eastAsia" w:ascii="宋体" w:hAnsi="宋体" w:cs="宋体"/>
          <w:color w:val="auto"/>
          <w:sz w:val="30"/>
          <w:szCs w:val="30"/>
          <w:highlight w:val="none"/>
        </w:rPr>
        <w:t>采购方式：公开招标</w:t>
      </w:r>
    </w:p>
    <w:p w14:paraId="623BFBC0">
      <w:pPr>
        <w:spacing w:line="360" w:lineRule="auto"/>
        <w:rPr>
          <w:rFonts w:ascii="宋体" w:hAnsi="宋体" w:cs="宋体"/>
          <w:color w:val="auto"/>
          <w:sz w:val="28"/>
          <w:szCs w:val="20"/>
          <w:highlight w:val="none"/>
        </w:rPr>
      </w:pPr>
    </w:p>
    <w:p w14:paraId="303EA94F">
      <w:pPr>
        <w:spacing w:line="360" w:lineRule="auto"/>
        <w:jc w:val="center"/>
        <w:rPr>
          <w:rFonts w:ascii="宋体" w:hAnsi="宋体" w:cs="宋体"/>
          <w:color w:val="auto"/>
          <w:sz w:val="24"/>
          <w:highlight w:val="none"/>
        </w:rPr>
      </w:pPr>
    </w:p>
    <w:p w14:paraId="34E542C0">
      <w:pPr>
        <w:spacing w:line="360" w:lineRule="auto"/>
        <w:jc w:val="both"/>
        <w:rPr>
          <w:rFonts w:ascii="宋体" w:hAnsi="宋体" w:cs="宋体"/>
          <w:color w:val="auto"/>
          <w:sz w:val="24"/>
          <w:highlight w:val="none"/>
        </w:rPr>
      </w:pPr>
    </w:p>
    <w:p w14:paraId="2DC70AC3">
      <w:pPr>
        <w:spacing w:line="360" w:lineRule="auto"/>
        <w:jc w:val="center"/>
        <w:rPr>
          <w:rFonts w:ascii="宋体" w:hAnsi="宋体" w:cs="宋体"/>
          <w:color w:val="auto"/>
          <w:sz w:val="24"/>
          <w:highlight w:val="none"/>
        </w:rPr>
      </w:pPr>
    </w:p>
    <w:p w14:paraId="45CFB605">
      <w:pPr>
        <w:spacing w:line="360" w:lineRule="auto"/>
        <w:jc w:val="center"/>
        <w:rPr>
          <w:rFonts w:ascii="宋体" w:hAnsi="宋体" w:cs="宋体"/>
          <w:color w:val="auto"/>
          <w:sz w:val="24"/>
          <w:highlight w:val="none"/>
        </w:rPr>
      </w:pPr>
    </w:p>
    <w:p w14:paraId="0CF7B9F3">
      <w:pPr>
        <w:spacing w:line="360" w:lineRule="auto"/>
        <w:jc w:val="center"/>
        <w:rPr>
          <w:rFonts w:ascii="宋体" w:hAnsi="宋体" w:cs="宋体"/>
          <w:color w:val="auto"/>
          <w:sz w:val="24"/>
          <w:highlight w:val="none"/>
        </w:rPr>
      </w:pPr>
    </w:p>
    <w:p w14:paraId="124ED8B8">
      <w:pPr>
        <w:snapToGrid w:val="0"/>
        <w:spacing w:line="360" w:lineRule="auto"/>
        <w:jc w:val="center"/>
        <w:rPr>
          <w:rFonts w:hint="eastAsia" w:ascii="宋体" w:hAnsi="宋体" w:eastAsia="宋体" w:cs="宋体"/>
          <w:color w:val="auto"/>
          <w:highlight w:val="none"/>
          <w:u w:val="single"/>
          <w:lang w:eastAsia="zh-CN"/>
        </w:rPr>
      </w:pPr>
      <w:r>
        <w:rPr>
          <w:rFonts w:hint="eastAsia" w:ascii="宋体" w:hAnsi="宋体" w:cs="宋体"/>
          <w:color w:val="auto"/>
          <w:sz w:val="30"/>
          <w:highlight w:val="none"/>
        </w:rPr>
        <w:t xml:space="preserve">  采购人：</w:t>
      </w:r>
      <w:r>
        <w:rPr>
          <w:rFonts w:hint="eastAsia" w:ascii="宋体" w:hAnsi="宋体" w:cs="宋体"/>
          <w:color w:val="auto"/>
          <w:sz w:val="30"/>
          <w:highlight w:val="none"/>
          <w:lang w:eastAsia="zh-CN"/>
        </w:rPr>
        <w:t>绍兴市上虞区交通产业发展有限公司</w:t>
      </w:r>
    </w:p>
    <w:p w14:paraId="7863A404">
      <w:pPr>
        <w:snapToGrid w:val="0"/>
        <w:spacing w:line="360" w:lineRule="auto"/>
        <w:jc w:val="center"/>
        <w:rPr>
          <w:rFonts w:ascii="宋体" w:hAnsi="宋体" w:cs="宋体"/>
          <w:bCs/>
          <w:color w:val="auto"/>
          <w:sz w:val="32"/>
          <w:szCs w:val="32"/>
          <w:highlight w:val="none"/>
        </w:rPr>
      </w:pPr>
      <w:r>
        <w:rPr>
          <w:rFonts w:hint="eastAsia" w:ascii="宋体" w:hAnsi="宋体" w:cs="宋体"/>
          <w:color w:val="auto"/>
          <w:sz w:val="30"/>
          <w:highlight w:val="none"/>
        </w:rPr>
        <w:t xml:space="preserve">   采购代理机构：浙江宇康工程管理咨询有限公司</w:t>
      </w:r>
    </w:p>
    <w:p w14:paraId="63852864">
      <w:pPr>
        <w:spacing w:line="360" w:lineRule="auto"/>
        <w:jc w:val="center"/>
        <w:rPr>
          <w:rFonts w:ascii="宋体" w:hAnsi="宋体" w:cs="宋体"/>
          <w:color w:val="auto"/>
          <w:sz w:val="24"/>
          <w:highlight w:val="none"/>
        </w:rPr>
        <w:sectPr>
          <w:headerReference r:id="rId3" w:type="default"/>
          <w:footerReference r:id="rId4" w:type="default"/>
          <w:pgSz w:w="11906" w:h="16838"/>
          <w:pgMar w:top="1440" w:right="1800" w:bottom="1440" w:left="1800" w:header="851" w:footer="992" w:gutter="0"/>
          <w:cols w:space="720" w:num="1"/>
          <w:docGrid w:type="lines" w:linePitch="312" w:charSpace="0"/>
        </w:sectPr>
      </w:pPr>
      <w:bookmarkStart w:id="0" w:name="_Hlt67893495"/>
      <w:bookmarkEnd w:id="0"/>
    </w:p>
    <w:p w14:paraId="143B32F6">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034C1D6A">
      <w:pPr>
        <w:spacing w:line="360" w:lineRule="auto"/>
        <w:rPr>
          <w:rFonts w:ascii="宋体" w:hAnsi="宋体" w:cs="宋体"/>
          <w:color w:val="auto"/>
          <w:sz w:val="32"/>
          <w:szCs w:val="32"/>
          <w:highlight w:val="none"/>
        </w:rPr>
      </w:pPr>
    </w:p>
    <w:p w14:paraId="182971A4">
      <w:pPr>
        <w:pStyle w:val="22"/>
        <w:tabs>
          <w:tab w:val="right" w:leader="dot" w:pos="8306"/>
        </w:tabs>
        <w:spacing w:line="360" w:lineRule="auto"/>
        <w:rPr>
          <w:color w:val="auto"/>
          <w:highlight w:val="none"/>
        </w:rPr>
      </w:pPr>
      <w:bookmarkStart w:id="1" w:name="_Hlt91233176"/>
      <w:bookmarkEnd w:id="1"/>
      <w:bookmarkStart w:id="2" w:name="_Toc91899869"/>
      <w:r>
        <w:rPr>
          <w:rFonts w:hint="eastAsia" w:ascii="宋体" w:hAnsi="宋体" w:cs="宋体"/>
          <w:b/>
          <w:snapToGrid w:val="0"/>
          <w:color w:val="auto"/>
          <w:kern w:val="0"/>
          <w:sz w:val="56"/>
          <w:szCs w:val="56"/>
          <w:highlight w:val="none"/>
        </w:rPr>
        <w:fldChar w:fldCharType="begin"/>
      </w:r>
      <w:r>
        <w:rPr>
          <w:rFonts w:hint="eastAsia" w:ascii="宋体" w:hAnsi="宋体" w:cs="宋体"/>
          <w:b/>
          <w:snapToGrid w:val="0"/>
          <w:color w:val="auto"/>
          <w:kern w:val="0"/>
          <w:sz w:val="56"/>
          <w:szCs w:val="56"/>
          <w:highlight w:val="none"/>
        </w:rPr>
        <w:instrText xml:space="preserve"> TOC \o "1-1" \h \z \u </w:instrText>
      </w:r>
      <w:r>
        <w:rPr>
          <w:rFonts w:hint="eastAsia" w:ascii="宋体" w:hAnsi="宋体" w:cs="宋体"/>
          <w:b/>
          <w:snapToGrid w:val="0"/>
          <w:color w:val="auto"/>
          <w:kern w:val="0"/>
          <w:sz w:val="56"/>
          <w:szCs w:val="56"/>
          <w:highlight w:val="none"/>
        </w:rPr>
        <w:fldChar w:fldCharType="separate"/>
      </w: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_Toc2420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szCs w:val="20"/>
          <w:highlight w:val="none"/>
        </w:rPr>
        <w:t>第一部分 招标公告</w:t>
      </w:r>
      <w:r>
        <w:rPr>
          <w:color w:val="auto"/>
          <w:highlight w:val="none"/>
        </w:rPr>
        <w:tab/>
      </w:r>
      <w:r>
        <w:rPr>
          <w:color w:val="auto"/>
          <w:highlight w:val="none"/>
        </w:rPr>
        <w:fldChar w:fldCharType="begin"/>
      </w:r>
      <w:r>
        <w:rPr>
          <w:color w:val="auto"/>
          <w:highlight w:val="none"/>
        </w:rPr>
        <w:instrText xml:space="preserve"> PAGEREF _Toc2420 \h </w:instrText>
      </w:r>
      <w:r>
        <w:rPr>
          <w:color w:val="auto"/>
          <w:highlight w:val="none"/>
        </w:rPr>
        <w:fldChar w:fldCharType="separate"/>
      </w:r>
      <w:r>
        <w:rPr>
          <w:color w:val="auto"/>
          <w:highlight w:val="none"/>
        </w:rPr>
        <w:t>2</w:t>
      </w:r>
      <w:r>
        <w:rPr>
          <w:color w:val="auto"/>
          <w:highlight w:val="none"/>
        </w:rPr>
        <w:fldChar w:fldCharType="end"/>
      </w:r>
      <w:r>
        <w:rPr>
          <w:rFonts w:hint="eastAsia" w:ascii="宋体" w:hAnsi="宋体" w:cs="宋体"/>
          <w:snapToGrid w:val="0"/>
          <w:color w:val="auto"/>
          <w:kern w:val="0"/>
          <w:szCs w:val="56"/>
          <w:highlight w:val="none"/>
        </w:rPr>
        <w:fldChar w:fldCharType="end"/>
      </w:r>
    </w:p>
    <w:p w14:paraId="749AC1F4">
      <w:pPr>
        <w:pStyle w:val="22"/>
        <w:tabs>
          <w:tab w:val="right" w:leader="dot" w:pos="8306"/>
        </w:tabs>
        <w:spacing w:line="360" w:lineRule="auto"/>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_Toc25814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szCs w:val="20"/>
          <w:highlight w:val="none"/>
        </w:rPr>
        <w:t>第二部分</w:t>
      </w:r>
      <w:r>
        <w:rPr>
          <w:rFonts w:hint="eastAsia" w:ascii="宋体" w:hAnsi="宋体" w:cs="宋体"/>
          <w:color w:val="auto"/>
          <w:szCs w:val="20"/>
          <w:highlight w:val="none"/>
          <w:lang w:val="en-US" w:eastAsia="zh-CN"/>
        </w:rPr>
        <w:t xml:space="preserve"> </w:t>
      </w:r>
      <w:r>
        <w:rPr>
          <w:rFonts w:hint="eastAsia" w:ascii="宋体" w:hAnsi="宋体" w:cs="宋体"/>
          <w:color w:val="auto"/>
          <w:szCs w:val="20"/>
          <w:highlight w:val="none"/>
        </w:rPr>
        <w:t>投标须知</w:t>
      </w:r>
      <w:r>
        <w:rPr>
          <w:color w:val="auto"/>
          <w:highlight w:val="none"/>
        </w:rPr>
        <w:tab/>
      </w:r>
      <w:r>
        <w:rPr>
          <w:color w:val="auto"/>
          <w:highlight w:val="none"/>
        </w:rPr>
        <w:fldChar w:fldCharType="begin"/>
      </w:r>
      <w:r>
        <w:rPr>
          <w:color w:val="auto"/>
          <w:highlight w:val="none"/>
        </w:rPr>
        <w:instrText xml:space="preserve"> PAGEREF _Toc25814 \h </w:instrText>
      </w:r>
      <w:r>
        <w:rPr>
          <w:color w:val="auto"/>
          <w:highlight w:val="none"/>
        </w:rPr>
        <w:fldChar w:fldCharType="separate"/>
      </w:r>
      <w:r>
        <w:rPr>
          <w:color w:val="auto"/>
          <w:highlight w:val="none"/>
        </w:rPr>
        <w:t>6</w:t>
      </w:r>
      <w:r>
        <w:rPr>
          <w:color w:val="auto"/>
          <w:highlight w:val="none"/>
        </w:rPr>
        <w:fldChar w:fldCharType="end"/>
      </w:r>
      <w:r>
        <w:rPr>
          <w:rFonts w:hint="eastAsia" w:ascii="宋体" w:hAnsi="宋体" w:cs="宋体"/>
          <w:snapToGrid w:val="0"/>
          <w:color w:val="auto"/>
          <w:kern w:val="0"/>
          <w:szCs w:val="56"/>
          <w:highlight w:val="none"/>
        </w:rPr>
        <w:fldChar w:fldCharType="end"/>
      </w:r>
    </w:p>
    <w:p w14:paraId="33460FBF">
      <w:pPr>
        <w:pStyle w:val="22"/>
        <w:tabs>
          <w:tab w:val="right" w:leader="dot" w:pos="8306"/>
        </w:tabs>
        <w:spacing w:line="360" w:lineRule="auto"/>
        <w:ind w:firstLine="210" w:firstLineChars="100"/>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_Toc20143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highlight w:val="none"/>
        </w:rPr>
        <w:t>一、总则</w:t>
      </w:r>
      <w:r>
        <w:rPr>
          <w:color w:val="auto"/>
          <w:highlight w:val="none"/>
        </w:rPr>
        <w:tab/>
      </w:r>
      <w:r>
        <w:rPr>
          <w:color w:val="auto"/>
          <w:highlight w:val="none"/>
        </w:rPr>
        <w:fldChar w:fldCharType="begin"/>
      </w:r>
      <w:r>
        <w:rPr>
          <w:color w:val="auto"/>
          <w:highlight w:val="none"/>
        </w:rPr>
        <w:instrText xml:space="preserve"> PAGEREF _Toc20143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cs="宋体"/>
          <w:snapToGrid w:val="0"/>
          <w:color w:val="auto"/>
          <w:kern w:val="0"/>
          <w:szCs w:val="56"/>
          <w:highlight w:val="none"/>
        </w:rPr>
        <w:fldChar w:fldCharType="end"/>
      </w:r>
    </w:p>
    <w:p w14:paraId="2426074B">
      <w:pPr>
        <w:pStyle w:val="22"/>
        <w:tabs>
          <w:tab w:val="right" w:leader="dot" w:pos="8306"/>
        </w:tabs>
        <w:spacing w:line="360" w:lineRule="auto"/>
        <w:ind w:firstLine="210" w:firstLineChars="100"/>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_Toc87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highlight w:val="none"/>
        </w:rPr>
        <w:t>二、招标文件</w:t>
      </w:r>
      <w:r>
        <w:rPr>
          <w:color w:val="auto"/>
          <w:highlight w:val="none"/>
        </w:rPr>
        <w:tab/>
      </w:r>
      <w:r>
        <w:rPr>
          <w:color w:val="auto"/>
          <w:highlight w:val="none"/>
        </w:rPr>
        <w:fldChar w:fldCharType="begin"/>
      </w:r>
      <w:r>
        <w:rPr>
          <w:color w:val="auto"/>
          <w:highlight w:val="none"/>
        </w:rPr>
        <w:instrText xml:space="preserve"> PAGEREF _Toc87 \h </w:instrText>
      </w:r>
      <w:r>
        <w:rPr>
          <w:color w:val="auto"/>
          <w:highlight w:val="none"/>
        </w:rPr>
        <w:fldChar w:fldCharType="separate"/>
      </w:r>
      <w:r>
        <w:rPr>
          <w:color w:val="auto"/>
          <w:highlight w:val="none"/>
        </w:rPr>
        <w:t>10</w:t>
      </w:r>
      <w:r>
        <w:rPr>
          <w:color w:val="auto"/>
          <w:highlight w:val="none"/>
        </w:rPr>
        <w:fldChar w:fldCharType="end"/>
      </w:r>
      <w:r>
        <w:rPr>
          <w:rFonts w:hint="eastAsia" w:ascii="宋体" w:hAnsi="宋体" w:cs="宋体"/>
          <w:snapToGrid w:val="0"/>
          <w:color w:val="auto"/>
          <w:kern w:val="0"/>
          <w:szCs w:val="56"/>
          <w:highlight w:val="none"/>
        </w:rPr>
        <w:fldChar w:fldCharType="end"/>
      </w:r>
    </w:p>
    <w:p w14:paraId="10F202F5">
      <w:pPr>
        <w:pStyle w:val="22"/>
        <w:tabs>
          <w:tab w:val="right" w:leader="dot" w:pos="8306"/>
        </w:tabs>
        <w:spacing w:line="360" w:lineRule="auto"/>
        <w:ind w:firstLine="210" w:firstLineChars="100"/>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_Toc13367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highlight w:val="none"/>
        </w:rPr>
        <w:t>三、投标文件的编制</w:t>
      </w:r>
      <w:r>
        <w:rPr>
          <w:color w:val="auto"/>
          <w:highlight w:val="none"/>
        </w:rPr>
        <w:tab/>
      </w:r>
      <w:r>
        <w:rPr>
          <w:color w:val="auto"/>
          <w:highlight w:val="none"/>
        </w:rPr>
        <w:fldChar w:fldCharType="begin"/>
      </w:r>
      <w:r>
        <w:rPr>
          <w:color w:val="auto"/>
          <w:highlight w:val="none"/>
        </w:rPr>
        <w:instrText xml:space="preserve"> PAGEREF _Toc13367 \h </w:instrText>
      </w:r>
      <w:r>
        <w:rPr>
          <w:color w:val="auto"/>
          <w:highlight w:val="none"/>
        </w:rPr>
        <w:fldChar w:fldCharType="separate"/>
      </w:r>
      <w:r>
        <w:rPr>
          <w:color w:val="auto"/>
          <w:highlight w:val="none"/>
        </w:rPr>
        <w:t>12</w:t>
      </w:r>
      <w:r>
        <w:rPr>
          <w:color w:val="auto"/>
          <w:highlight w:val="none"/>
        </w:rPr>
        <w:fldChar w:fldCharType="end"/>
      </w:r>
      <w:r>
        <w:rPr>
          <w:rFonts w:hint="eastAsia" w:ascii="宋体" w:hAnsi="宋体" w:cs="宋体"/>
          <w:snapToGrid w:val="0"/>
          <w:color w:val="auto"/>
          <w:kern w:val="0"/>
          <w:szCs w:val="56"/>
          <w:highlight w:val="none"/>
        </w:rPr>
        <w:fldChar w:fldCharType="end"/>
      </w:r>
    </w:p>
    <w:p w14:paraId="34DDDCA4">
      <w:pPr>
        <w:pStyle w:val="22"/>
        <w:tabs>
          <w:tab w:val="right" w:leader="dot" w:pos="8306"/>
        </w:tabs>
        <w:spacing w:line="360" w:lineRule="auto"/>
        <w:ind w:firstLine="210" w:firstLineChars="100"/>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_Toc15039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highlight w:val="none"/>
        </w:rPr>
        <w:t>四、投标文件的递交</w:t>
      </w:r>
      <w:r>
        <w:rPr>
          <w:color w:val="auto"/>
          <w:highlight w:val="none"/>
        </w:rPr>
        <w:tab/>
      </w:r>
      <w:r>
        <w:rPr>
          <w:color w:val="auto"/>
          <w:highlight w:val="none"/>
        </w:rPr>
        <w:fldChar w:fldCharType="begin"/>
      </w:r>
      <w:r>
        <w:rPr>
          <w:color w:val="auto"/>
          <w:highlight w:val="none"/>
        </w:rPr>
        <w:instrText xml:space="preserve"> PAGEREF _Toc15039 \h </w:instrText>
      </w:r>
      <w:r>
        <w:rPr>
          <w:color w:val="auto"/>
          <w:highlight w:val="none"/>
        </w:rPr>
        <w:fldChar w:fldCharType="separate"/>
      </w:r>
      <w:r>
        <w:rPr>
          <w:color w:val="auto"/>
          <w:highlight w:val="none"/>
        </w:rPr>
        <w:t>14</w:t>
      </w:r>
      <w:r>
        <w:rPr>
          <w:color w:val="auto"/>
          <w:highlight w:val="none"/>
        </w:rPr>
        <w:fldChar w:fldCharType="end"/>
      </w:r>
      <w:r>
        <w:rPr>
          <w:rFonts w:hint="eastAsia" w:ascii="宋体" w:hAnsi="宋体" w:cs="宋体"/>
          <w:snapToGrid w:val="0"/>
          <w:color w:val="auto"/>
          <w:kern w:val="0"/>
          <w:szCs w:val="56"/>
          <w:highlight w:val="none"/>
        </w:rPr>
        <w:fldChar w:fldCharType="end"/>
      </w:r>
    </w:p>
    <w:p w14:paraId="17B8DA29">
      <w:pPr>
        <w:pStyle w:val="22"/>
        <w:tabs>
          <w:tab w:val="right" w:leader="dot" w:pos="8306"/>
        </w:tabs>
        <w:spacing w:line="360" w:lineRule="auto"/>
        <w:ind w:firstLine="210" w:firstLineChars="100"/>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_Toc2715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highlight w:val="none"/>
        </w:rPr>
        <w:t>五、开标</w:t>
      </w:r>
      <w:r>
        <w:rPr>
          <w:color w:val="auto"/>
          <w:highlight w:val="none"/>
        </w:rPr>
        <w:tab/>
      </w:r>
      <w:r>
        <w:rPr>
          <w:color w:val="auto"/>
          <w:highlight w:val="none"/>
        </w:rPr>
        <w:fldChar w:fldCharType="begin"/>
      </w:r>
      <w:r>
        <w:rPr>
          <w:color w:val="auto"/>
          <w:highlight w:val="none"/>
        </w:rPr>
        <w:instrText xml:space="preserve"> PAGEREF _Toc2715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cs="宋体"/>
          <w:snapToGrid w:val="0"/>
          <w:color w:val="auto"/>
          <w:kern w:val="0"/>
          <w:szCs w:val="56"/>
          <w:highlight w:val="none"/>
        </w:rPr>
        <w:fldChar w:fldCharType="end"/>
      </w:r>
    </w:p>
    <w:p w14:paraId="7C8F7218">
      <w:pPr>
        <w:pStyle w:val="22"/>
        <w:tabs>
          <w:tab w:val="right" w:leader="dot" w:pos="8306"/>
        </w:tabs>
        <w:spacing w:line="360" w:lineRule="auto"/>
        <w:ind w:firstLine="210" w:firstLineChars="100"/>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_Toc21216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highlight w:val="none"/>
        </w:rPr>
        <w:t>六、资格审查</w:t>
      </w:r>
      <w:r>
        <w:rPr>
          <w:color w:val="auto"/>
          <w:highlight w:val="none"/>
        </w:rPr>
        <w:tab/>
      </w:r>
      <w:r>
        <w:rPr>
          <w:color w:val="auto"/>
          <w:highlight w:val="none"/>
        </w:rPr>
        <w:fldChar w:fldCharType="begin"/>
      </w:r>
      <w:r>
        <w:rPr>
          <w:color w:val="auto"/>
          <w:highlight w:val="none"/>
        </w:rPr>
        <w:instrText xml:space="preserve"> PAGEREF _Toc21216 \h </w:instrText>
      </w:r>
      <w:r>
        <w:rPr>
          <w:color w:val="auto"/>
          <w:highlight w:val="none"/>
        </w:rPr>
        <w:fldChar w:fldCharType="separate"/>
      </w:r>
      <w:r>
        <w:rPr>
          <w:color w:val="auto"/>
          <w:highlight w:val="none"/>
        </w:rPr>
        <w:t>15</w:t>
      </w:r>
      <w:r>
        <w:rPr>
          <w:color w:val="auto"/>
          <w:highlight w:val="none"/>
        </w:rPr>
        <w:fldChar w:fldCharType="end"/>
      </w:r>
      <w:r>
        <w:rPr>
          <w:rFonts w:hint="eastAsia" w:ascii="宋体" w:hAnsi="宋体" w:cs="宋体"/>
          <w:snapToGrid w:val="0"/>
          <w:color w:val="auto"/>
          <w:kern w:val="0"/>
          <w:szCs w:val="56"/>
          <w:highlight w:val="none"/>
        </w:rPr>
        <w:fldChar w:fldCharType="end"/>
      </w:r>
    </w:p>
    <w:p w14:paraId="4695BA5C">
      <w:pPr>
        <w:pStyle w:val="22"/>
        <w:tabs>
          <w:tab w:val="right" w:leader="dot" w:pos="8306"/>
        </w:tabs>
        <w:spacing w:line="360" w:lineRule="auto"/>
        <w:ind w:firstLine="210" w:firstLineChars="100"/>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_Toc27641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highlight w:val="none"/>
        </w:rPr>
        <w:t>七、评标</w:t>
      </w:r>
      <w:r>
        <w:rPr>
          <w:color w:val="auto"/>
          <w:highlight w:val="none"/>
        </w:rPr>
        <w:tab/>
      </w:r>
      <w:r>
        <w:rPr>
          <w:color w:val="auto"/>
          <w:highlight w:val="none"/>
        </w:rPr>
        <w:fldChar w:fldCharType="begin"/>
      </w:r>
      <w:r>
        <w:rPr>
          <w:color w:val="auto"/>
          <w:highlight w:val="none"/>
        </w:rPr>
        <w:instrText xml:space="preserve"> PAGEREF _Toc27641 \h </w:instrText>
      </w:r>
      <w:r>
        <w:rPr>
          <w:color w:val="auto"/>
          <w:highlight w:val="none"/>
        </w:rPr>
        <w:fldChar w:fldCharType="separate"/>
      </w:r>
      <w:r>
        <w:rPr>
          <w:color w:val="auto"/>
          <w:highlight w:val="none"/>
        </w:rPr>
        <w:t>16</w:t>
      </w:r>
      <w:r>
        <w:rPr>
          <w:color w:val="auto"/>
          <w:highlight w:val="none"/>
        </w:rPr>
        <w:fldChar w:fldCharType="end"/>
      </w:r>
      <w:r>
        <w:rPr>
          <w:rFonts w:hint="eastAsia" w:ascii="宋体" w:hAnsi="宋体" w:cs="宋体"/>
          <w:snapToGrid w:val="0"/>
          <w:color w:val="auto"/>
          <w:kern w:val="0"/>
          <w:szCs w:val="56"/>
          <w:highlight w:val="none"/>
        </w:rPr>
        <w:fldChar w:fldCharType="end"/>
      </w:r>
    </w:p>
    <w:p w14:paraId="58BB9A82">
      <w:pPr>
        <w:pStyle w:val="22"/>
        <w:tabs>
          <w:tab w:val="right" w:leader="dot" w:pos="8306"/>
        </w:tabs>
        <w:spacing w:line="360" w:lineRule="auto"/>
        <w:ind w:firstLine="210" w:firstLineChars="100"/>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_Toc16033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highlight w:val="none"/>
        </w:rPr>
        <w:t>八、定 标</w:t>
      </w:r>
      <w:r>
        <w:rPr>
          <w:color w:val="auto"/>
          <w:highlight w:val="none"/>
        </w:rPr>
        <w:tab/>
      </w:r>
      <w:r>
        <w:rPr>
          <w:color w:val="auto"/>
          <w:highlight w:val="none"/>
        </w:rPr>
        <w:fldChar w:fldCharType="begin"/>
      </w:r>
      <w:r>
        <w:rPr>
          <w:color w:val="auto"/>
          <w:highlight w:val="none"/>
        </w:rPr>
        <w:instrText xml:space="preserve"> PAGEREF _Toc16033 \h </w:instrText>
      </w:r>
      <w:r>
        <w:rPr>
          <w:color w:val="auto"/>
          <w:highlight w:val="none"/>
        </w:rPr>
        <w:fldChar w:fldCharType="separate"/>
      </w:r>
      <w:r>
        <w:rPr>
          <w:color w:val="auto"/>
          <w:highlight w:val="none"/>
        </w:rPr>
        <w:t>20</w:t>
      </w:r>
      <w:r>
        <w:rPr>
          <w:color w:val="auto"/>
          <w:highlight w:val="none"/>
        </w:rPr>
        <w:fldChar w:fldCharType="end"/>
      </w:r>
      <w:r>
        <w:rPr>
          <w:rFonts w:hint="eastAsia" w:ascii="宋体" w:hAnsi="宋体" w:cs="宋体"/>
          <w:snapToGrid w:val="0"/>
          <w:color w:val="auto"/>
          <w:kern w:val="0"/>
          <w:szCs w:val="56"/>
          <w:highlight w:val="none"/>
        </w:rPr>
        <w:fldChar w:fldCharType="end"/>
      </w:r>
    </w:p>
    <w:p w14:paraId="37451AC5">
      <w:pPr>
        <w:pStyle w:val="22"/>
        <w:tabs>
          <w:tab w:val="right" w:leader="dot" w:pos="8306"/>
        </w:tabs>
        <w:spacing w:line="360" w:lineRule="auto"/>
        <w:ind w:firstLine="210" w:firstLineChars="100"/>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_Toc20925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highlight w:val="none"/>
        </w:rPr>
        <w:t>九、合同签订及其他</w:t>
      </w:r>
      <w:r>
        <w:rPr>
          <w:color w:val="auto"/>
          <w:highlight w:val="none"/>
        </w:rPr>
        <w:tab/>
      </w:r>
      <w:r>
        <w:rPr>
          <w:color w:val="auto"/>
          <w:highlight w:val="none"/>
        </w:rPr>
        <w:fldChar w:fldCharType="begin"/>
      </w:r>
      <w:r>
        <w:rPr>
          <w:color w:val="auto"/>
          <w:highlight w:val="none"/>
        </w:rPr>
        <w:instrText xml:space="preserve"> PAGEREF _Toc20925 \h </w:instrText>
      </w:r>
      <w:r>
        <w:rPr>
          <w:color w:val="auto"/>
          <w:highlight w:val="none"/>
        </w:rPr>
        <w:fldChar w:fldCharType="separate"/>
      </w:r>
      <w:r>
        <w:rPr>
          <w:color w:val="auto"/>
          <w:highlight w:val="none"/>
        </w:rPr>
        <w:t>21</w:t>
      </w:r>
      <w:r>
        <w:rPr>
          <w:color w:val="auto"/>
          <w:highlight w:val="none"/>
        </w:rPr>
        <w:fldChar w:fldCharType="end"/>
      </w:r>
      <w:r>
        <w:rPr>
          <w:rFonts w:hint="eastAsia" w:ascii="宋体" w:hAnsi="宋体" w:cs="宋体"/>
          <w:snapToGrid w:val="0"/>
          <w:color w:val="auto"/>
          <w:kern w:val="0"/>
          <w:szCs w:val="56"/>
          <w:highlight w:val="none"/>
        </w:rPr>
        <w:fldChar w:fldCharType="end"/>
      </w:r>
    </w:p>
    <w:p w14:paraId="09EE5264">
      <w:pPr>
        <w:pStyle w:val="22"/>
        <w:tabs>
          <w:tab w:val="right" w:leader="dot" w:pos="8306"/>
        </w:tabs>
        <w:spacing w:line="360" w:lineRule="auto"/>
        <w:ind w:firstLine="210" w:firstLineChars="100"/>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_Toc2146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highlight w:val="none"/>
        </w:rPr>
        <w:t>十、质疑与投诉</w:t>
      </w:r>
      <w:r>
        <w:rPr>
          <w:color w:val="auto"/>
          <w:highlight w:val="none"/>
        </w:rPr>
        <w:tab/>
      </w:r>
      <w:r>
        <w:rPr>
          <w:color w:val="auto"/>
          <w:highlight w:val="none"/>
        </w:rPr>
        <w:fldChar w:fldCharType="begin"/>
      </w:r>
      <w:r>
        <w:rPr>
          <w:color w:val="auto"/>
          <w:highlight w:val="none"/>
        </w:rPr>
        <w:instrText xml:space="preserve"> PAGEREF _Toc2146 \h </w:instrText>
      </w:r>
      <w:r>
        <w:rPr>
          <w:color w:val="auto"/>
          <w:highlight w:val="none"/>
        </w:rPr>
        <w:fldChar w:fldCharType="separate"/>
      </w:r>
      <w:r>
        <w:rPr>
          <w:color w:val="auto"/>
          <w:highlight w:val="none"/>
        </w:rPr>
        <w:t>22</w:t>
      </w:r>
      <w:r>
        <w:rPr>
          <w:color w:val="auto"/>
          <w:highlight w:val="none"/>
        </w:rPr>
        <w:fldChar w:fldCharType="end"/>
      </w:r>
      <w:r>
        <w:rPr>
          <w:rFonts w:hint="eastAsia" w:ascii="宋体" w:hAnsi="宋体" w:cs="宋体"/>
          <w:snapToGrid w:val="0"/>
          <w:color w:val="auto"/>
          <w:kern w:val="0"/>
          <w:szCs w:val="56"/>
          <w:highlight w:val="none"/>
        </w:rPr>
        <w:fldChar w:fldCharType="end"/>
      </w:r>
    </w:p>
    <w:p w14:paraId="44C9F59F">
      <w:pPr>
        <w:pStyle w:val="22"/>
        <w:tabs>
          <w:tab w:val="right" w:leader="dot" w:pos="8306"/>
        </w:tabs>
        <w:spacing w:line="360" w:lineRule="auto"/>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_Toc8440 </w:instrText>
      </w:r>
      <w:r>
        <w:rPr>
          <w:rFonts w:hint="eastAsia" w:ascii="宋体" w:hAnsi="宋体" w:cs="宋体"/>
          <w:snapToGrid w:val="0"/>
          <w:color w:val="auto"/>
          <w:kern w:val="0"/>
          <w:szCs w:val="56"/>
          <w:highlight w:val="none"/>
        </w:rPr>
        <w:fldChar w:fldCharType="separate"/>
      </w:r>
      <w:r>
        <w:rPr>
          <w:rFonts w:hint="eastAsia" w:ascii="宋体" w:hAnsi="宋体" w:cs="宋体"/>
          <w:color w:val="auto"/>
          <w:szCs w:val="36"/>
          <w:highlight w:val="none"/>
        </w:rPr>
        <w:t>第三部分 评标办法及评分标准</w:t>
      </w:r>
      <w:r>
        <w:rPr>
          <w:color w:val="auto"/>
          <w:highlight w:val="none"/>
        </w:rPr>
        <w:tab/>
      </w:r>
      <w:r>
        <w:rPr>
          <w:color w:val="auto"/>
          <w:highlight w:val="none"/>
        </w:rPr>
        <w:fldChar w:fldCharType="begin"/>
      </w:r>
      <w:r>
        <w:rPr>
          <w:color w:val="auto"/>
          <w:highlight w:val="none"/>
        </w:rPr>
        <w:instrText xml:space="preserve"> PAGEREF _Toc8440 \h </w:instrText>
      </w:r>
      <w:r>
        <w:rPr>
          <w:color w:val="auto"/>
          <w:highlight w:val="none"/>
        </w:rPr>
        <w:fldChar w:fldCharType="separate"/>
      </w:r>
      <w:r>
        <w:rPr>
          <w:color w:val="auto"/>
          <w:highlight w:val="none"/>
        </w:rPr>
        <w:t>24</w:t>
      </w:r>
      <w:r>
        <w:rPr>
          <w:color w:val="auto"/>
          <w:highlight w:val="none"/>
        </w:rPr>
        <w:fldChar w:fldCharType="end"/>
      </w:r>
      <w:r>
        <w:rPr>
          <w:rFonts w:hint="eastAsia" w:ascii="宋体" w:hAnsi="宋体" w:cs="宋体"/>
          <w:snapToGrid w:val="0"/>
          <w:color w:val="auto"/>
          <w:kern w:val="0"/>
          <w:szCs w:val="56"/>
          <w:highlight w:val="none"/>
        </w:rPr>
        <w:fldChar w:fldCharType="end"/>
      </w:r>
    </w:p>
    <w:p w14:paraId="54A13D78">
      <w:pPr>
        <w:pStyle w:val="22"/>
        <w:tabs>
          <w:tab w:val="right" w:leader="dot" w:pos="8306"/>
        </w:tabs>
        <w:spacing w:line="360" w:lineRule="auto"/>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_Toc15442 </w:instrText>
      </w:r>
      <w:r>
        <w:rPr>
          <w:rFonts w:hint="eastAsia" w:ascii="宋体" w:hAnsi="宋体" w:cs="宋体"/>
          <w:snapToGrid w:val="0"/>
          <w:color w:val="auto"/>
          <w:kern w:val="0"/>
          <w:szCs w:val="56"/>
          <w:highlight w:val="none"/>
        </w:rPr>
        <w:fldChar w:fldCharType="separate"/>
      </w:r>
      <w:r>
        <w:rPr>
          <w:rFonts w:hint="eastAsia"/>
          <w:color w:val="auto"/>
          <w:szCs w:val="21"/>
          <w:highlight w:val="none"/>
        </w:rPr>
        <w:t>第四部分 采购需求</w:t>
      </w:r>
      <w:r>
        <w:rPr>
          <w:color w:val="auto"/>
          <w:highlight w:val="none"/>
        </w:rPr>
        <w:tab/>
      </w:r>
      <w:r>
        <w:rPr>
          <w:color w:val="auto"/>
          <w:highlight w:val="none"/>
        </w:rPr>
        <w:fldChar w:fldCharType="begin"/>
      </w:r>
      <w:r>
        <w:rPr>
          <w:color w:val="auto"/>
          <w:highlight w:val="none"/>
        </w:rPr>
        <w:instrText xml:space="preserve"> PAGEREF _Toc15442 \h </w:instrText>
      </w:r>
      <w:r>
        <w:rPr>
          <w:color w:val="auto"/>
          <w:highlight w:val="none"/>
        </w:rPr>
        <w:fldChar w:fldCharType="separate"/>
      </w:r>
      <w:r>
        <w:rPr>
          <w:color w:val="auto"/>
          <w:highlight w:val="none"/>
        </w:rPr>
        <w:t>27</w:t>
      </w:r>
      <w:r>
        <w:rPr>
          <w:color w:val="auto"/>
          <w:highlight w:val="none"/>
        </w:rPr>
        <w:fldChar w:fldCharType="end"/>
      </w:r>
      <w:r>
        <w:rPr>
          <w:rFonts w:hint="eastAsia" w:ascii="宋体" w:hAnsi="宋体" w:cs="宋体"/>
          <w:snapToGrid w:val="0"/>
          <w:color w:val="auto"/>
          <w:kern w:val="0"/>
          <w:szCs w:val="56"/>
          <w:highlight w:val="none"/>
        </w:rPr>
        <w:fldChar w:fldCharType="end"/>
      </w:r>
    </w:p>
    <w:p w14:paraId="2FC30AE0">
      <w:pPr>
        <w:pStyle w:val="22"/>
        <w:tabs>
          <w:tab w:val="right" w:leader="dot" w:pos="8306"/>
        </w:tabs>
        <w:spacing w:line="360" w:lineRule="auto"/>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_Toc10978 </w:instrText>
      </w:r>
      <w:r>
        <w:rPr>
          <w:rFonts w:hint="eastAsia" w:ascii="宋体" w:hAnsi="宋体" w:cs="宋体"/>
          <w:snapToGrid w:val="0"/>
          <w:color w:val="auto"/>
          <w:kern w:val="0"/>
          <w:szCs w:val="56"/>
          <w:highlight w:val="none"/>
        </w:rPr>
        <w:fldChar w:fldCharType="separate"/>
      </w:r>
      <w:r>
        <w:rPr>
          <w:rFonts w:hint="eastAsia" w:cs="宋体"/>
          <w:color w:val="auto"/>
          <w:highlight w:val="none"/>
        </w:rPr>
        <w:t>第五部分 采购合同</w:t>
      </w:r>
      <w:r>
        <w:rPr>
          <w:color w:val="auto"/>
          <w:highlight w:val="none"/>
        </w:rPr>
        <w:tab/>
      </w:r>
      <w:r>
        <w:rPr>
          <w:color w:val="auto"/>
          <w:highlight w:val="none"/>
        </w:rPr>
        <w:fldChar w:fldCharType="begin"/>
      </w:r>
      <w:r>
        <w:rPr>
          <w:color w:val="auto"/>
          <w:highlight w:val="none"/>
        </w:rPr>
        <w:instrText xml:space="preserve"> PAGEREF _Toc10978 \h </w:instrText>
      </w:r>
      <w:r>
        <w:rPr>
          <w:color w:val="auto"/>
          <w:highlight w:val="none"/>
        </w:rPr>
        <w:fldChar w:fldCharType="separate"/>
      </w:r>
      <w:r>
        <w:rPr>
          <w:color w:val="auto"/>
          <w:highlight w:val="none"/>
        </w:rPr>
        <w:t>34</w:t>
      </w:r>
      <w:r>
        <w:rPr>
          <w:color w:val="auto"/>
          <w:highlight w:val="none"/>
        </w:rPr>
        <w:fldChar w:fldCharType="end"/>
      </w:r>
      <w:r>
        <w:rPr>
          <w:rFonts w:hint="eastAsia" w:ascii="宋体" w:hAnsi="宋体" w:cs="宋体"/>
          <w:snapToGrid w:val="0"/>
          <w:color w:val="auto"/>
          <w:kern w:val="0"/>
          <w:szCs w:val="56"/>
          <w:highlight w:val="none"/>
        </w:rPr>
        <w:fldChar w:fldCharType="end"/>
      </w:r>
    </w:p>
    <w:p w14:paraId="1D3AD93A">
      <w:pPr>
        <w:pStyle w:val="22"/>
        <w:tabs>
          <w:tab w:val="right" w:leader="dot" w:pos="8306"/>
        </w:tabs>
        <w:spacing w:line="360" w:lineRule="auto"/>
        <w:rPr>
          <w:color w:val="auto"/>
          <w:highlight w:val="none"/>
        </w:rPr>
      </w:pPr>
      <w:r>
        <w:rPr>
          <w:rFonts w:hint="eastAsia" w:ascii="宋体" w:hAnsi="宋体" w:cs="宋体"/>
          <w:snapToGrid w:val="0"/>
          <w:color w:val="auto"/>
          <w:kern w:val="0"/>
          <w:szCs w:val="56"/>
          <w:highlight w:val="none"/>
        </w:rPr>
        <w:fldChar w:fldCharType="begin"/>
      </w:r>
      <w:r>
        <w:rPr>
          <w:rFonts w:hint="eastAsia" w:ascii="宋体" w:hAnsi="宋体" w:cs="宋体"/>
          <w:snapToGrid w:val="0"/>
          <w:color w:val="auto"/>
          <w:kern w:val="0"/>
          <w:szCs w:val="56"/>
          <w:highlight w:val="none"/>
        </w:rPr>
        <w:instrText xml:space="preserve"> HYPERLINK \l _Toc3463 </w:instrText>
      </w:r>
      <w:r>
        <w:rPr>
          <w:rFonts w:hint="eastAsia" w:ascii="宋体" w:hAnsi="宋体" w:cs="宋体"/>
          <w:snapToGrid w:val="0"/>
          <w:color w:val="auto"/>
          <w:kern w:val="0"/>
          <w:szCs w:val="56"/>
          <w:highlight w:val="none"/>
        </w:rPr>
        <w:fldChar w:fldCharType="separate"/>
      </w:r>
      <w:r>
        <w:rPr>
          <w:rFonts w:hint="eastAsia"/>
          <w:color w:val="auto"/>
          <w:szCs w:val="21"/>
          <w:highlight w:val="none"/>
        </w:rPr>
        <w:t>第六部分</w:t>
      </w:r>
      <w:r>
        <w:rPr>
          <w:rFonts w:hint="eastAsia"/>
          <w:color w:val="auto"/>
          <w:szCs w:val="21"/>
          <w:highlight w:val="none"/>
          <w:lang w:val="en-US" w:eastAsia="zh-CN"/>
        </w:rPr>
        <w:t xml:space="preserve"> </w:t>
      </w:r>
      <w:r>
        <w:rPr>
          <w:rFonts w:hint="eastAsia"/>
          <w:color w:val="auto"/>
          <w:szCs w:val="21"/>
          <w:highlight w:val="none"/>
        </w:rPr>
        <w:t>应提交的有关格式范例</w:t>
      </w:r>
      <w:r>
        <w:rPr>
          <w:color w:val="auto"/>
          <w:highlight w:val="none"/>
        </w:rPr>
        <w:tab/>
      </w:r>
      <w:r>
        <w:rPr>
          <w:color w:val="auto"/>
          <w:highlight w:val="none"/>
        </w:rPr>
        <w:fldChar w:fldCharType="begin"/>
      </w:r>
      <w:r>
        <w:rPr>
          <w:color w:val="auto"/>
          <w:highlight w:val="none"/>
        </w:rPr>
        <w:instrText xml:space="preserve"> PAGEREF _Toc3463 \h </w:instrText>
      </w:r>
      <w:r>
        <w:rPr>
          <w:color w:val="auto"/>
          <w:highlight w:val="none"/>
        </w:rPr>
        <w:fldChar w:fldCharType="separate"/>
      </w:r>
      <w:r>
        <w:rPr>
          <w:color w:val="auto"/>
          <w:highlight w:val="none"/>
        </w:rPr>
        <w:t>40</w:t>
      </w:r>
      <w:r>
        <w:rPr>
          <w:color w:val="auto"/>
          <w:highlight w:val="none"/>
        </w:rPr>
        <w:fldChar w:fldCharType="end"/>
      </w:r>
      <w:r>
        <w:rPr>
          <w:rFonts w:hint="eastAsia" w:ascii="宋体" w:hAnsi="宋体" w:cs="宋体"/>
          <w:snapToGrid w:val="0"/>
          <w:color w:val="auto"/>
          <w:kern w:val="0"/>
          <w:szCs w:val="56"/>
          <w:highlight w:val="none"/>
        </w:rPr>
        <w:fldChar w:fldCharType="end"/>
      </w:r>
    </w:p>
    <w:p w14:paraId="745821B5">
      <w:pPr>
        <w:spacing w:line="360" w:lineRule="auto"/>
        <w:ind w:firstLine="480" w:firstLineChars="229"/>
        <w:rPr>
          <w:rFonts w:ascii="宋体" w:hAnsi="宋体" w:cs="宋体"/>
          <w:color w:val="auto"/>
          <w:sz w:val="40"/>
          <w:szCs w:val="40"/>
          <w:highlight w:val="none"/>
        </w:rPr>
      </w:pPr>
      <w:r>
        <w:rPr>
          <w:rFonts w:hint="eastAsia" w:ascii="宋体" w:hAnsi="宋体" w:cs="宋体"/>
          <w:snapToGrid w:val="0"/>
          <w:color w:val="auto"/>
          <w:kern w:val="0"/>
          <w:szCs w:val="56"/>
          <w:highlight w:val="none"/>
        </w:rPr>
        <w:fldChar w:fldCharType="end"/>
      </w:r>
    </w:p>
    <w:p w14:paraId="394DA3E0">
      <w:pPr>
        <w:spacing w:line="360" w:lineRule="auto"/>
        <w:ind w:firstLine="549" w:firstLineChars="229"/>
        <w:rPr>
          <w:rFonts w:ascii="宋体" w:hAnsi="宋体" w:cs="宋体"/>
          <w:color w:val="auto"/>
          <w:sz w:val="24"/>
          <w:highlight w:val="none"/>
        </w:rPr>
      </w:pPr>
    </w:p>
    <w:p w14:paraId="10F9621F">
      <w:pPr>
        <w:spacing w:line="360" w:lineRule="auto"/>
        <w:rPr>
          <w:rFonts w:ascii="宋体" w:hAnsi="宋体" w:cs="宋体"/>
          <w:color w:val="auto"/>
          <w:sz w:val="24"/>
          <w:highlight w:val="none"/>
        </w:rPr>
      </w:pPr>
    </w:p>
    <w:bookmarkEnd w:id="2"/>
    <w:p w14:paraId="32428EAF">
      <w:pPr>
        <w:spacing w:line="360" w:lineRule="auto"/>
        <w:jc w:val="center"/>
        <w:outlineLvl w:val="0"/>
        <w:rPr>
          <w:rFonts w:ascii="宋体" w:hAnsi="宋体" w:cs="宋体"/>
          <w:b/>
          <w:color w:val="auto"/>
          <w:sz w:val="36"/>
          <w:szCs w:val="20"/>
          <w:highlight w:val="none"/>
        </w:rPr>
        <w:sectPr>
          <w:footerReference r:id="rId5" w:type="default"/>
          <w:pgSz w:w="11906" w:h="16838"/>
          <w:pgMar w:top="1440" w:right="1800" w:bottom="1440" w:left="1800" w:header="851" w:footer="992" w:gutter="0"/>
          <w:pgNumType w:start="1"/>
          <w:cols w:space="720" w:num="1"/>
          <w:docGrid w:type="lines" w:linePitch="312" w:charSpace="0"/>
        </w:sectPr>
      </w:pPr>
      <w:bookmarkStart w:id="3" w:name="_Hlt74707423"/>
      <w:bookmarkEnd w:id="3"/>
      <w:bookmarkStart w:id="4" w:name="_Hlt74649545"/>
      <w:bookmarkEnd w:id="4"/>
      <w:bookmarkStart w:id="5" w:name="_Hlt74729822"/>
      <w:bookmarkEnd w:id="5"/>
      <w:bookmarkStart w:id="6" w:name="_Hlt74728647"/>
      <w:bookmarkEnd w:id="6"/>
      <w:bookmarkStart w:id="7" w:name="_Toc91899870"/>
      <w:bookmarkStart w:id="8" w:name="第二部分"/>
      <w:bookmarkStart w:id="9" w:name="_Toc91899871"/>
    </w:p>
    <w:p w14:paraId="7013811C">
      <w:pPr>
        <w:spacing w:line="360" w:lineRule="auto"/>
        <w:jc w:val="center"/>
        <w:outlineLvl w:val="0"/>
        <w:rPr>
          <w:rFonts w:ascii="宋体" w:hAnsi="宋体" w:cs="宋体"/>
          <w:b/>
          <w:color w:val="auto"/>
          <w:sz w:val="36"/>
          <w:szCs w:val="20"/>
          <w:highlight w:val="none"/>
        </w:rPr>
      </w:pPr>
      <w:bookmarkStart w:id="10" w:name="_Toc2420"/>
      <w:r>
        <w:rPr>
          <w:rFonts w:hint="eastAsia" w:ascii="宋体" w:hAnsi="宋体" w:cs="宋体"/>
          <w:b/>
          <w:color w:val="auto"/>
          <w:sz w:val="36"/>
          <w:szCs w:val="20"/>
          <w:highlight w:val="none"/>
        </w:rPr>
        <w:t>第一部分 招标公告</w:t>
      </w:r>
      <w:bookmarkEnd w:id="10"/>
    </w:p>
    <w:p w14:paraId="669B9D42">
      <w:pPr>
        <w:adjustRightInd w:val="0"/>
        <w:spacing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浙江宇康工程管理咨询有限公司关于</w:t>
      </w:r>
      <w:r>
        <w:rPr>
          <w:rFonts w:hint="eastAsia" w:ascii="宋体" w:hAnsi="宋体" w:cs="宋体"/>
          <w:color w:val="auto"/>
          <w:sz w:val="28"/>
          <w:szCs w:val="28"/>
          <w:highlight w:val="none"/>
          <w:lang w:eastAsia="zh-CN"/>
        </w:rPr>
        <w:t>绍兴市上虞区交通产业发展有限公司3方立轴搅拌机提升改造项目</w:t>
      </w:r>
      <w:r>
        <w:rPr>
          <w:rFonts w:hint="eastAsia" w:ascii="宋体" w:hAnsi="宋体" w:cs="宋体"/>
          <w:color w:val="auto"/>
          <w:sz w:val="28"/>
          <w:szCs w:val="28"/>
          <w:highlight w:val="none"/>
        </w:rPr>
        <w:t>的非政府采购招标公告</w:t>
      </w:r>
    </w:p>
    <w:p w14:paraId="0297532A">
      <w:pPr>
        <w:adjustRightInd w:val="0"/>
        <w:spacing w:line="360" w:lineRule="auto"/>
        <w:jc w:val="center"/>
        <w:rPr>
          <w:rFonts w:ascii="宋体" w:hAnsi="宋体" w:cs="宋体"/>
          <w:color w:val="auto"/>
          <w:sz w:val="28"/>
          <w:szCs w:val="28"/>
          <w:highlight w:val="none"/>
        </w:rPr>
      </w:pPr>
      <w:r>
        <w:rPr>
          <w:rFonts w:hint="eastAsia" w:ascii="宋体" w:hAnsi="宋体" w:cs="宋体"/>
          <w:color w:val="auto"/>
          <w:sz w:val="28"/>
          <w:szCs w:val="28"/>
          <w:highlight w:val="none"/>
        </w:rPr>
        <w:t>公告日期：202</w:t>
      </w:r>
      <w:r>
        <w:rPr>
          <w:rFonts w:hint="eastAsia" w:ascii="宋体" w:hAnsi="宋体" w:cs="宋体"/>
          <w:color w:val="auto"/>
          <w:sz w:val="28"/>
          <w:szCs w:val="28"/>
          <w:highlight w:val="none"/>
          <w:lang w:val="en-US" w:eastAsia="zh-CN"/>
        </w:rPr>
        <w:t>5</w:t>
      </w:r>
      <w:r>
        <w:rPr>
          <w:rFonts w:hint="eastAsia" w:ascii="宋体" w:hAnsi="宋体" w:cs="宋体"/>
          <w:color w:val="auto"/>
          <w:sz w:val="28"/>
          <w:szCs w:val="28"/>
          <w:highlight w:val="none"/>
        </w:rPr>
        <w:t>年</w:t>
      </w:r>
      <w:r>
        <w:rPr>
          <w:rFonts w:hint="eastAsia" w:ascii="宋体" w:hAnsi="宋体" w:cs="宋体"/>
          <w:color w:val="auto"/>
          <w:sz w:val="28"/>
          <w:szCs w:val="28"/>
          <w:highlight w:val="none"/>
          <w:lang w:val="en-US" w:eastAsia="zh-CN"/>
        </w:rPr>
        <w:t>04</w:t>
      </w:r>
      <w:r>
        <w:rPr>
          <w:rFonts w:hint="eastAsia" w:ascii="宋体" w:hAnsi="宋体" w:cs="宋体"/>
          <w:color w:val="auto"/>
          <w:sz w:val="28"/>
          <w:szCs w:val="28"/>
          <w:highlight w:val="none"/>
        </w:rPr>
        <w:t>月</w:t>
      </w:r>
      <w:r>
        <w:rPr>
          <w:rFonts w:hint="eastAsia" w:ascii="宋体" w:hAnsi="宋体" w:cs="宋体"/>
          <w:color w:val="auto"/>
          <w:sz w:val="28"/>
          <w:szCs w:val="28"/>
          <w:highlight w:val="none"/>
          <w:lang w:val="en-US" w:eastAsia="zh-CN"/>
        </w:rPr>
        <w:t>24</w:t>
      </w:r>
      <w:r>
        <w:rPr>
          <w:rFonts w:hint="eastAsia" w:ascii="宋体" w:hAnsi="宋体" w:cs="宋体"/>
          <w:color w:val="auto"/>
          <w:sz w:val="28"/>
          <w:szCs w:val="28"/>
          <w:highlight w:val="none"/>
        </w:rPr>
        <w:t>日</w:t>
      </w:r>
    </w:p>
    <w:p w14:paraId="62341348">
      <w:pPr>
        <w:adjustRightIn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参照《上虞区区属国有企业货物和服务采购管理办法》等有关规定，</w:t>
      </w:r>
      <w:r>
        <w:rPr>
          <w:rFonts w:hint="eastAsia" w:ascii="宋体" w:hAnsi="宋体" w:cs="宋体"/>
          <w:color w:val="auto"/>
          <w:sz w:val="24"/>
          <w:highlight w:val="none"/>
          <w:u w:val="single"/>
        </w:rPr>
        <w:t xml:space="preserve">浙江宇康工程管理咨询有限公司 </w:t>
      </w:r>
      <w:r>
        <w:rPr>
          <w:rFonts w:hint="eastAsia" w:ascii="宋体" w:hAnsi="宋体" w:cs="宋体"/>
          <w:color w:val="auto"/>
          <w:sz w:val="24"/>
          <w:highlight w:val="none"/>
        </w:rPr>
        <w:t>受</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eastAsia="zh-CN"/>
        </w:rPr>
        <w:t>绍兴市上虞区交通产业发展有限公司</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委托，现就</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eastAsia="zh-CN"/>
        </w:rPr>
        <w:t>3方立轴搅拌机提升改造项目</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进行公开招标，欢迎国内合格的供应商前来投标。</w:t>
      </w:r>
    </w:p>
    <w:p w14:paraId="372C367B">
      <w:pPr>
        <w:adjustRightInd w:val="0"/>
        <w:spacing w:line="360" w:lineRule="auto"/>
        <w:ind w:firstLine="480" w:firstLineChars="200"/>
        <w:rPr>
          <w:rFonts w:hint="default" w:ascii="宋体" w:hAnsi="宋体" w:eastAsia="宋体" w:cs="宋体"/>
          <w:color w:val="auto"/>
          <w:sz w:val="24"/>
          <w:highlight w:val="none"/>
          <w:u w:val="single"/>
          <w:lang w:val="en-US" w:eastAsia="zh-CN"/>
        </w:rPr>
      </w:pPr>
      <w:r>
        <w:rPr>
          <w:rFonts w:hint="eastAsia" w:ascii="宋体" w:hAnsi="宋体" w:cs="宋体"/>
          <w:color w:val="auto"/>
          <w:sz w:val="24"/>
          <w:highlight w:val="none"/>
        </w:rPr>
        <w:t>一、招标项目编号：</w:t>
      </w:r>
      <w:r>
        <w:rPr>
          <w:rFonts w:hint="eastAsia" w:ascii="宋体" w:hAnsi="宋体" w:cs="宋体"/>
          <w:color w:val="auto"/>
          <w:sz w:val="24"/>
          <w:highlight w:val="none"/>
          <w:u w:val="single"/>
        </w:rPr>
        <w:t>YK2025148</w:t>
      </w:r>
    </w:p>
    <w:p w14:paraId="4EB265CE">
      <w:pPr>
        <w:adjustRightIn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二、采购组织类型：</w:t>
      </w:r>
      <w:r>
        <w:rPr>
          <w:rFonts w:hint="eastAsia" w:ascii="宋体" w:hAnsi="宋体" w:cs="宋体"/>
          <w:color w:val="auto"/>
          <w:sz w:val="24"/>
          <w:highlight w:val="none"/>
          <w:u w:val="single"/>
        </w:rPr>
        <w:t xml:space="preserve"> 国企采购 </w:t>
      </w:r>
    </w:p>
    <w:p w14:paraId="500FE962">
      <w:pPr>
        <w:adjustRightIn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三、招标项目概况:</w:t>
      </w:r>
    </w:p>
    <w:tbl>
      <w:tblPr>
        <w:tblStyle w:val="30"/>
        <w:tblW w:w="9208" w:type="dxa"/>
        <w:tblInd w:w="0" w:type="dxa"/>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Layout w:type="fixed"/>
        <w:tblCellMar>
          <w:top w:w="0" w:type="dxa"/>
          <w:left w:w="108" w:type="dxa"/>
          <w:bottom w:w="0" w:type="dxa"/>
          <w:right w:w="108" w:type="dxa"/>
        </w:tblCellMar>
      </w:tblPr>
      <w:tblGrid>
        <w:gridCol w:w="805"/>
        <w:gridCol w:w="1796"/>
        <w:gridCol w:w="696"/>
        <w:gridCol w:w="696"/>
        <w:gridCol w:w="2515"/>
        <w:gridCol w:w="1760"/>
        <w:gridCol w:w="940"/>
      </w:tblGrid>
      <w:tr w14:paraId="1CF4F804">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870" w:hRule="atLeast"/>
        </w:trPr>
        <w:tc>
          <w:tcPr>
            <w:tcW w:w="805" w:type="dxa"/>
            <w:noWrap/>
            <w:vAlign w:val="center"/>
          </w:tcPr>
          <w:p w14:paraId="6364A1AA">
            <w:pPr>
              <w:adjustRightInd w:val="0"/>
              <w:jc w:val="center"/>
              <w:rPr>
                <w:rFonts w:ascii="宋体" w:hAnsi="宋体" w:cs="宋体"/>
                <w:color w:val="auto"/>
                <w:sz w:val="24"/>
                <w:highlight w:val="none"/>
              </w:rPr>
            </w:pPr>
            <w:r>
              <w:rPr>
                <w:rFonts w:hint="eastAsia" w:ascii="宋体" w:hAnsi="宋体" w:cs="宋体"/>
                <w:color w:val="auto"/>
                <w:sz w:val="24"/>
                <w:highlight w:val="none"/>
              </w:rPr>
              <w:t>序号</w:t>
            </w:r>
          </w:p>
        </w:tc>
        <w:tc>
          <w:tcPr>
            <w:tcW w:w="1796" w:type="dxa"/>
            <w:noWrap/>
            <w:vAlign w:val="center"/>
          </w:tcPr>
          <w:p w14:paraId="4FFFF20E">
            <w:pPr>
              <w:adjustRightInd w:val="0"/>
              <w:jc w:val="center"/>
              <w:rPr>
                <w:rFonts w:ascii="宋体" w:hAnsi="宋体" w:cs="宋体"/>
                <w:color w:val="auto"/>
                <w:sz w:val="24"/>
                <w:highlight w:val="none"/>
              </w:rPr>
            </w:pPr>
            <w:r>
              <w:rPr>
                <w:rFonts w:hint="eastAsia" w:ascii="宋体" w:hAnsi="宋体" w:cs="宋体"/>
                <w:color w:val="auto"/>
                <w:sz w:val="24"/>
                <w:highlight w:val="none"/>
              </w:rPr>
              <w:t>项目名称</w:t>
            </w:r>
          </w:p>
        </w:tc>
        <w:tc>
          <w:tcPr>
            <w:tcW w:w="696" w:type="dxa"/>
            <w:noWrap/>
            <w:vAlign w:val="center"/>
          </w:tcPr>
          <w:p w14:paraId="671BF6A6">
            <w:pPr>
              <w:adjustRightInd w:val="0"/>
              <w:jc w:val="center"/>
              <w:rPr>
                <w:rFonts w:ascii="宋体" w:hAnsi="宋体" w:cs="宋体"/>
                <w:color w:val="auto"/>
                <w:sz w:val="24"/>
                <w:highlight w:val="none"/>
              </w:rPr>
            </w:pPr>
            <w:r>
              <w:rPr>
                <w:rFonts w:hint="eastAsia" w:ascii="宋体" w:hAnsi="宋体" w:cs="宋体"/>
                <w:color w:val="auto"/>
                <w:sz w:val="24"/>
                <w:highlight w:val="none"/>
              </w:rPr>
              <w:t>数量</w:t>
            </w:r>
          </w:p>
        </w:tc>
        <w:tc>
          <w:tcPr>
            <w:tcW w:w="696" w:type="dxa"/>
            <w:noWrap/>
            <w:vAlign w:val="center"/>
          </w:tcPr>
          <w:p w14:paraId="0C90E61A">
            <w:pPr>
              <w:adjustRightInd w:val="0"/>
              <w:jc w:val="center"/>
              <w:rPr>
                <w:rFonts w:ascii="宋体" w:hAnsi="宋体" w:cs="宋体"/>
                <w:color w:val="auto"/>
                <w:sz w:val="24"/>
                <w:highlight w:val="none"/>
              </w:rPr>
            </w:pPr>
            <w:r>
              <w:rPr>
                <w:rFonts w:hint="eastAsia" w:ascii="宋体" w:hAnsi="宋体" w:cs="宋体"/>
                <w:color w:val="auto"/>
                <w:sz w:val="24"/>
                <w:highlight w:val="none"/>
              </w:rPr>
              <w:t>单位</w:t>
            </w:r>
          </w:p>
        </w:tc>
        <w:tc>
          <w:tcPr>
            <w:tcW w:w="2515" w:type="dxa"/>
            <w:noWrap/>
            <w:vAlign w:val="center"/>
          </w:tcPr>
          <w:p w14:paraId="75445243">
            <w:pPr>
              <w:adjustRightInd w:val="0"/>
              <w:jc w:val="center"/>
              <w:rPr>
                <w:rFonts w:ascii="宋体" w:hAnsi="宋体" w:cs="宋体"/>
                <w:color w:val="auto"/>
                <w:sz w:val="24"/>
                <w:highlight w:val="none"/>
              </w:rPr>
            </w:pPr>
            <w:r>
              <w:rPr>
                <w:rFonts w:hint="eastAsia" w:ascii="宋体" w:hAnsi="宋体" w:cs="宋体"/>
                <w:color w:val="auto"/>
                <w:sz w:val="24"/>
                <w:highlight w:val="none"/>
              </w:rPr>
              <w:t>简要规格描述或标项基本概况介绍</w:t>
            </w:r>
          </w:p>
        </w:tc>
        <w:tc>
          <w:tcPr>
            <w:tcW w:w="1760" w:type="dxa"/>
            <w:noWrap/>
            <w:vAlign w:val="center"/>
          </w:tcPr>
          <w:p w14:paraId="5A46332E">
            <w:pPr>
              <w:adjustRightInd w:val="0"/>
              <w:jc w:val="center"/>
              <w:rPr>
                <w:rFonts w:ascii="宋体" w:hAnsi="宋体" w:cs="宋体"/>
                <w:color w:val="auto"/>
                <w:sz w:val="24"/>
                <w:highlight w:val="none"/>
              </w:rPr>
            </w:pPr>
            <w:r>
              <w:rPr>
                <w:rFonts w:hint="eastAsia" w:ascii="宋体" w:hAnsi="宋体" w:cs="宋体"/>
                <w:color w:val="auto"/>
                <w:sz w:val="24"/>
                <w:highlight w:val="none"/>
                <w:lang w:eastAsia="zh-CN"/>
              </w:rPr>
              <w:t>含税</w:t>
            </w:r>
            <w:r>
              <w:rPr>
                <w:rFonts w:hint="eastAsia" w:ascii="宋体" w:hAnsi="宋体" w:cs="宋体"/>
                <w:color w:val="auto"/>
                <w:sz w:val="24"/>
                <w:highlight w:val="none"/>
              </w:rPr>
              <w:t>最高限价</w:t>
            </w:r>
          </w:p>
          <w:p w14:paraId="130EB7CF">
            <w:pPr>
              <w:adjustRightInd w:val="0"/>
              <w:jc w:val="center"/>
              <w:rPr>
                <w:rFonts w:ascii="宋体" w:hAnsi="宋体" w:cs="宋体"/>
                <w:color w:val="auto"/>
                <w:sz w:val="24"/>
                <w:highlight w:val="none"/>
              </w:rPr>
            </w:pPr>
            <w:r>
              <w:rPr>
                <w:rFonts w:hint="eastAsia" w:ascii="宋体" w:hAnsi="宋体" w:cs="宋体"/>
                <w:color w:val="auto"/>
                <w:sz w:val="24"/>
                <w:highlight w:val="none"/>
              </w:rPr>
              <w:t>(万元)</w:t>
            </w:r>
          </w:p>
        </w:tc>
        <w:tc>
          <w:tcPr>
            <w:tcW w:w="940" w:type="dxa"/>
            <w:noWrap/>
            <w:vAlign w:val="center"/>
          </w:tcPr>
          <w:p w14:paraId="0154E08D">
            <w:pPr>
              <w:adjustRightInd w:val="0"/>
              <w:jc w:val="center"/>
              <w:rPr>
                <w:rFonts w:ascii="宋体" w:hAnsi="宋体" w:cs="宋体"/>
                <w:color w:val="auto"/>
                <w:sz w:val="24"/>
                <w:highlight w:val="none"/>
              </w:rPr>
            </w:pPr>
            <w:r>
              <w:rPr>
                <w:rFonts w:hint="eastAsia" w:ascii="宋体" w:hAnsi="宋体" w:cs="宋体"/>
                <w:color w:val="auto"/>
                <w:sz w:val="24"/>
                <w:highlight w:val="none"/>
              </w:rPr>
              <w:t>备注</w:t>
            </w:r>
          </w:p>
        </w:tc>
      </w:tr>
      <w:tr w14:paraId="601B402A">
        <w:tblPrEx>
          <w:tblBorders>
            <w:top w:val="single" w:color="000000" w:sz="4" w:space="0"/>
            <w:left w:val="single" w:color="000000" w:sz="4" w:space="0"/>
            <w:bottom w:val="single" w:color="000000" w:sz="4" w:space="0"/>
            <w:right w:val="single" w:color="000000" w:sz="4" w:space="0"/>
            <w:insideH w:val="single" w:color="A6A6A6" w:sz="4" w:space="0"/>
            <w:insideV w:val="single" w:color="A6A6A6" w:sz="4" w:space="0"/>
          </w:tblBorders>
          <w:tblCellMar>
            <w:top w:w="0" w:type="dxa"/>
            <w:left w:w="108" w:type="dxa"/>
            <w:bottom w:w="0" w:type="dxa"/>
            <w:right w:w="108" w:type="dxa"/>
          </w:tblCellMar>
        </w:tblPrEx>
        <w:trPr>
          <w:trHeight w:val="871" w:hRule="atLeast"/>
        </w:trPr>
        <w:tc>
          <w:tcPr>
            <w:tcW w:w="805" w:type="dxa"/>
            <w:noWrap/>
            <w:vAlign w:val="center"/>
          </w:tcPr>
          <w:p w14:paraId="6A5C26E1">
            <w:pPr>
              <w:widowControl/>
              <w:spacing w:before="100" w:after="100"/>
              <w:jc w:val="center"/>
              <w:rPr>
                <w:rFonts w:ascii="宋体" w:hAnsi="宋体" w:cs="宋体"/>
                <w:color w:val="auto"/>
                <w:sz w:val="24"/>
                <w:highlight w:val="none"/>
              </w:rPr>
            </w:pPr>
            <w:r>
              <w:rPr>
                <w:rFonts w:hint="eastAsia" w:ascii="宋体" w:hAnsi="宋体" w:cs="宋体"/>
                <w:color w:val="auto"/>
                <w:sz w:val="24"/>
                <w:highlight w:val="none"/>
              </w:rPr>
              <w:t>1</w:t>
            </w:r>
          </w:p>
        </w:tc>
        <w:tc>
          <w:tcPr>
            <w:tcW w:w="1796" w:type="dxa"/>
            <w:noWrap/>
            <w:vAlign w:val="center"/>
          </w:tcPr>
          <w:p w14:paraId="141136F3">
            <w:pPr>
              <w:widowControl/>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3方立轴搅拌机提升改造项目</w:t>
            </w:r>
          </w:p>
        </w:tc>
        <w:tc>
          <w:tcPr>
            <w:tcW w:w="696" w:type="dxa"/>
            <w:noWrap/>
            <w:vAlign w:val="center"/>
          </w:tcPr>
          <w:p w14:paraId="10E7C128">
            <w:pPr>
              <w:widowControl/>
              <w:spacing w:before="100" w:after="10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1</w:t>
            </w:r>
          </w:p>
        </w:tc>
        <w:tc>
          <w:tcPr>
            <w:tcW w:w="696" w:type="dxa"/>
            <w:noWrap/>
            <w:vAlign w:val="center"/>
          </w:tcPr>
          <w:p w14:paraId="673953C6">
            <w:pPr>
              <w:widowControl/>
              <w:spacing w:before="100" w:after="10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项</w:t>
            </w:r>
          </w:p>
        </w:tc>
        <w:tc>
          <w:tcPr>
            <w:tcW w:w="2515" w:type="dxa"/>
            <w:noWrap/>
            <w:vAlign w:val="center"/>
          </w:tcPr>
          <w:p w14:paraId="724F43CD">
            <w:pPr>
              <w:widowControl/>
              <w:spacing w:before="100" w:after="100"/>
              <w:jc w:val="center"/>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详见“</w:t>
            </w:r>
            <w:r>
              <w:rPr>
                <w:rFonts w:hint="eastAsia" w:ascii="宋体" w:hAnsi="宋体" w:eastAsia="宋体" w:cs="宋体"/>
                <w:color w:val="auto"/>
                <w:sz w:val="24"/>
                <w:szCs w:val="24"/>
                <w:highlight w:val="none"/>
              </w:rPr>
              <w:t>采购需求</w:t>
            </w:r>
            <w:r>
              <w:rPr>
                <w:rFonts w:hint="eastAsia" w:ascii="宋体" w:hAnsi="宋体" w:eastAsia="宋体" w:cs="宋体"/>
                <w:color w:val="auto"/>
                <w:sz w:val="24"/>
                <w:highlight w:val="none"/>
                <w:lang w:val="en-US" w:eastAsia="zh-CN"/>
              </w:rPr>
              <w:t>”</w:t>
            </w:r>
          </w:p>
        </w:tc>
        <w:tc>
          <w:tcPr>
            <w:tcW w:w="1760" w:type="dxa"/>
            <w:shd w:val="clear" w:color="auto" w:fill="auto"/>
            <w:noWrap/>
            <w:vAlign w:val="center"/>
          </w:tcPr>
          <w:p w14:paraId="62A1E86E">
            <w:pPr>
              <w:keepNext w:val="0"/>
              <w:keepLines w:val="0"/>
              <w:widowControl/>
              <w:suppressLineNumbers w:val="0"/>
              <w:jc w:val="center"/>
              <w:textAlignment w:val="center"/>
              <w:rPr>
                <w:rFonts w:hint="default" w:ascii="宋体" w:hAnsi="宋体" w:eastAsia="宋体" w:cs="宋体"/>
                <w:i w:val="0"/>
                <w:iCs w:val="0"/>
                <w:color w:val="000000"/>
                <w:kern w:val="2"/>
                <w:sz w:val="22"/>
                <w:szCs w:val="22"/>
                <w:u w:val="none"/>
                <w:lang w:val="en-US" w:eastAsia="zh-CN" w:bidi="ar-SA"/>
              </w:rPr>
            </w:pPr>
            <w:r>
              <w:rPr>
                <w:rFonts w:hint="eastAsia" w:ascii="宋体" w:hAnsi="宋体" w:cs="宋体"/>
                <w:i w:val="0"/>
                <w:iCs w:val="0"/>
                <w:color w:val="auto"/>
                <w:kern w:val="2"/>
                <w:sz w:val="24"/>
                <w:szCs w:val="24"/>
                <w:highlight w:val="none"/>
                <w:u w:val="none"/>
                <w:lang w:val="en-US" w:eastAsia="zh-CN" w:bidi="ar"/>
              </w:rPr>
              <w:t>113</w:t>
            </w:r>
          </w:p>
        </w:tc>
        <w:tc>
          <w:tcPr>
            <w:tcW w:w="940" w:type="dxa"/>
            <w:noWrap/>
            <w:vAlign w:val="center"/>
          </w:tcPr>
          <w:p w14:paraId="0C7C313D">
            <w:pPr>
              <w:adjustRightInd w:val="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2套</w:t>
            </w:r>
          </w:p>
        </w:tc>
      </w:tr>
    </w:tbl>
    <w:p w14:paraId="543FCE1B">
      <w:pPr>
        <w:adjustRightIn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四、投标供应商资格要求:</w:t>
      </w:r>
    </w:p>
    <w:p w14:paraId="4E0B5D54">
      <w:pPr>
        <w:pStyle w:val="27"/>
        <w:shd w:val="clear" w:color="auto"/>
        <w:spacing w:before="0" w:beforeAutospacing="0" w:after="0" w:afterAutospacing="0" w:line="360" w:lineRule="auto"/>
        <w:ind w:firstLine="480" w:firstLineChars="200"/>
        <w:rPr>
          <w:color w:val="auto"/>
          <w:highlight w:val="none"/>
          <w:shd w:val="clear" w:color="auto" w:fill="FFFFFF"/>
        </w:rPr>
      </w:pPr>
      <w:r>
        <w:rPr>
          <w:rFonts w:hint="eastAsia"/>
          <w:color w:val="auto"/>
          <w:highlight w:val="none"/>
          <w:shd w:val="clear" w:color="auto" w:fill="FFFFFF"/>
        </w:rPr>
        <w:t>1、符合《虞国资委〔2021〕42 号》第十八条</w:t>
      </w:r>
    </w:p>
    <w:p w14:paraId="24F26A76">
      <w:pPr>
        <w:pStyle w:val="27"/>
        <w:shd w:val="clear" w:color="auto"/>
        <w:spacing w:before="0" w:beforeAutospacing="0" w:after="0" w:afterAutospacing="0" w:line="360" w:lineRule="auto"/>
        <w:ind w:firstLine="480" w:firstLineChars="200"/>
        <w:rPr>
          <w:color w:val="auto"/>
          <w:highlight w:val="none"/>
        </w:rPr>
      </w:pPr>
      <w:r>
        <w:rPr>
          <w:rFonts w:hint="eastAsia"/>
          <w:color w:val="auto"/>
          <w:highlight w:val="none"/>
          <w:shd w:val="clear" w:color="auto" w:fill="FFFFFF"/>
        </w:rPr>
        <w:t>（1）具有独立承担民事责任能力；</w:t>
      </w:r>
    </w:p>
    <w:p w14:paraId="79BE8C90">
      <w:pPr>
        <w:pStyle w:val="27"/>
        <w:shd w:val="clear" w:color="auto"/>
        <w:spacing w:before="0" w:beforeAutospacing="0" w:after="0" w:afterAutospacing="0" w:line="360" w:lineRule="auto"/>
        <w:ind w:firstLine="480" w:firstLineChars="200"/>
        <w:rPr>
          <w:color w:val="auto"/>
          <w:highlight w:val="none"/>
        </w:rPr>
      </w:pPr>
      <w:r>
        <w:rPr>
          <w:rFonts w:hint="eastAsia"/>
          <w:color w:val="auto"/>
          <w:highlight w:val="none"/>
          <w:shd w:val="clear" w:color="auto" w:fill="FFFFFF"/>
        </w:rPr>
        <w:t>（2）具有良好的商业信誉；</w:t>
      </w:r>
    </w:p>
    <w:p w14:paraId="5EDD0706">
      <w:pPr>
        <w:pStyle w:val="27"/>
        <w:shd w:val="clear" w:color="auto"/>
        <w:spacing w:before="0" w:beforeAutospacing="0" w:after="0" w:afterAutospacing="0" w:line="360" w:lineRule="auto"/>
        <w:ind w:firstLine="480" w:firstLineChars="200"/>
        <w:rPr>
          <w:color w:val="auto"/>
          <w:highlight w:val="none"/>
        </w:rPr>
      </w:pPr>
      <w:r>
        <w:rPr>
          <w:rFonts w:hint="eastAsia"/>
          <w:color w:val="auto"/>
          <w:highlight w:val="none"/>
          <w:shd w:val="clear" w:color="auto" w:fill="FFFFFF"/>
        </w:rPr>
        <w:t>（3）具有履行合同所必需的设备和专业技术、售后保障等能力；</w:t>
      </w:r>
    </w:p>
    <w:p w14:paraId="74DC48C8">
      <w:pPr>
        <w:pStyle w:val="27"/>
        <w:shd w:val="clear" w:color="auto"/>
        <w:spacing w:before="0" w:beforeAutospacing="0" w:after="0" w:afterAutospacing="0" w:line="360" w:lineRule="auto"/>
        <w:ind w:firstLine="480" w:firstLineChars="200"/>
        <w:rPr>
          <w:color w:val="auto"/>
          <w:highlight w:val="none"/>
        </w:rPr>
      </w:pPr>
      <w:r>
        <w:rPr>
          <w:rFonts w:hint="eastAsia"/>
          <w:color w:val="auto"/>
          <w:highlight w:val="none"/>
          <w:shd w:val="clear" w:color="auto" w:fill="FFFFFF"/>
        </w:rPr>
        <w:t>（4）有依法缴纳税收和社会保障资金的良好记录；</w:t>
      </w:r>
    </w:p>
    <w:p w14:paraId="4E22C3FA">
      <w:pPr>
        <w:pStyle w:val="27"/>
        <w:shd w:val="clear" w:color="auto"/>
        <w:spacing w:before="0" w:beforeAutospacing="0" w:after="0" w:afterAutospacing="0" w:line="360" w:lineRule="auto"/>
        <w:ind w:firstLine="480" w:firstLineChars="200"/>
        <w:rPr>
          <w:color w:val="auto"/>
          <w:highlight w:val="none"/>
        </w:rPr>
      </w:pPr>
      <w:r>
        <w:rPr>
          <w:rFonts w:hint="eastAsia"/>
          <w:color w:val="auto"/>
          <w:highlight w:val="none"/>
          <w:shd w:val="clear" w:color="auto" w:fill="FFFFFF"/>
        </w:rPr>
        <w:t>（5）参加采购活动前三年内，没有重大违法记录、严重失信行为和行贿记录；</w:t>
      </w:r>
    </w:p>
    <w:p w14:paraId="26D8DE1F">
      <w:pPr>
        <w:pStyle w:val="27"/>
        <w:shd w:val="clear" w:color="auto"/>
        <w:spacing w:before="0" w:beforeAutospacing="0" w:after="0" w:afterAutospacing="0" w:line="360" w:lineRule="auto"/>
        <w:ind w:firstLine="480" w:firstLineChars="200"/>
        <w:rPr>
          <w:color w:val="auto"/>
          <w:highlight w:val="none"/>
          <w:shd w:val="clear" w:color="auto" w:fill="FFFFFF"/>
        </w:rPr>
      </w:pPr>
      <w:r>
        <w:rPr>
          <w:rFonts w:hint="eastAsia"/>
          <w:color w:val="auto"/>
          <w:highlight w:val="none"/>
          <w:shd w:val="clear" w:color="auto" w:fill="FFFFFF"/>
        </w:rPr>
        <w:t>（6）法律、行政法规规定的其他条件；</w:t>
      </w:r>
    </w:p>
    <w:p w14:paraId="39C3EE86">
      <w:pPr>
        <w:pStyle w:val="27"/>
        <w:shd w:val="clear" w:color="auto"/>
        <w:adjustRightInd w:val="0"/>
        <w:spacing w:beforeAutospacing="0" w:afterAutospacing="0" w:line="360" w:lineRule="auto"/>
        <w:ind w:left="0" w:leftChars="0" w:firstLine="480" w:firstLineChars="200"/>
        <w:rPr>
          <w:rFonts w:hint="eastAsia" w:ascii="宋体" w:hAnsi="宋体" w:eastAsia="宋体" w:cs="宋体"/>
          <w:color w:val="auto"/>
          <w:sz w:val="24"/>
          <w:highlight w:val="none"/>
          <w:shd w:val="clear" w:color="auto" w:fill="FFFFFF"/>
        </w:rPr>
      </w:pPr>
      <w:r>
        <w:rPr>
          <w:rFonts w:hint="eastAsia" w:ascii="宋体" w:hAnsi="宋体" w:eastAsia="宋体" w:cs="宋体"/>
          <w:color w:val="auto"/>
          <w:sz w:val="24"/>
          <w:highlight w:val="none"/>
          <w:shd w:val="clear" w:color="auto" w:fill="FFFFFF"/>
        </w:rPr>
        <w:t>2.不允许联合体投标；</w:t>
      </w:r>
    </w:p>
    <w:p w14:paraId="394381EB">
      <w:pPr>
        <w:keepNext w:val="0"/>
        <w:keepLines w:val="0"/>
        <w:pageBreakBefore w:val="0"/>
        <w:widowControl/>
        <w:shd w:val="clear" w:color="auto" w:fill="auto"/>
        <w:kinsoku/>
        <w:wordWrap/>
        <w:overflowPunct/>
        <w:topLinePunct w:val="0"/>
        <w:autoSpaceDE/>
        <w:autoSpaceDN/>
        <w:bidi w:val="0"/>
        <w:adjustRightInd w:val="0"/>
        <w:snapToGrid/>
        <w:spacing w:before="0" w:beforeAutospacing="0" w:after="0" w:afterAutospacing="0" w:line="360" w:lineRule="auto"/>
        <w:ind w:left="0" w:leftChars="0" w:firstLine="480" w:firstLineChars="200"/>
        <w:textAlignment w:val="auto"/>
        <w:outlineLvl w:val="0"/>
        <w:rPr>
          <w:rFonts w:hint="eastAsia" w:ascii="宋体" w:hAnsi="宋体" w:cs="宋体"/>
          <w:color w:val="auto"/>
          <w:sz w:val="24"/>
          <w:highlight w:val="none"/>
        </w:rPr>
      </w:pPr>
      <w:r>
        <w:rPr>
          <w:rFonts w:hint="eastAsia" w:ascii="宋体" w:hAnsi="宋体" w:cs="宋体"/>
          <w:color w:val="auto"/>
          <w:sz w:val="24"/>
          <w:highlight w:val="none"/>
        </w:rPr>
        <w:t>3.本次招标采用资格后审的审查方式，由采购人负责审查。</w:t>
      </w:r>
    </w:p>
    <w:p w14:paraId="107BF6B5">
      <w:pPr>
        <w:keepNext w:val="0"/>
        <w:keepLines w:val="0"/>
        <w:pageBreakBefore w:val="0"/>
        <w:widowControl/>
        <w:shd w:val="clear" w:color="auto" w:fill="auto"/>
        <w:kinsoku/>
        <w:wordWrap/>
        <w:overflowPunct/>
        <w:topLinePunct w:val="0"/>
        <w:autoSpaceDE/>
        <w:autoSpaceDN/>
        <w:bidi w:val="0"/>
        <w:adjustRightInd w:val="0"/>
        <w:snapToGrid/>
        <w:spacing w:before="0" w:beforeAutospacing="0" w:after="0" w:afterAutospacing="0" w:line="360" w:lineRule="auto"/>
        <w:ind w:left="0" w:leftChars="0" w:firstLineChars="200"/>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本项目的特定资格要求：</w:t>
      </w:r>
      <w:r>
        <w:rPr>
          <w:rFonts w:hint="eastAsia" w:ascii="宋体" w:hAnsi="宋体" w:cs="宋体"/>
          <w:color w:val="auto"/>
          <w:kern w:val="2"/>
          <w:sz w:val="24"/>
          <w:szCs w:val="24"/>
          <w:highlight w:val="none"/>
          <w:lang w:val="en-US" w:eastAsia="zh-CN" w:bidi="ar-SA"/>
        </w:rPr>
        <w:t>无</w:t>
      </w:r>
    </w:p>
    <w:p w14:paraId="135709A7">
      <w:pPr>
        <w:adjustRightInd w:val="0"/>
        <w:spacing w:line="360" w:lineRule="auto"/>
        <w:ind w:left="420" w:leftChars="200"/>
        <w:rPr>
          <w:rFonts w:hint="eastAsia" w:ascii="宋体" w:hAnsi="宋体" w:cs="宋体"/>
          <w:color w:val="auto"/>
          <w:sz w:val="24"/>
          <w:highlight w:val="none"/>
        </w:rPr>
      </w:pPr>
      <w:r>
        <w:rPr>
          <w:rFonts w:hint="eastAsia" w:ascii="宋体" w:hAnsi="宋体" w:cs="宋体"/>
          <w:color w:val="auto"/>
          <w:sz w:val="24"/>
          <w:highlight w:val="none"/>
        </w:rPr>
        <w:t>五、投标获取采购文件</w:t>
      </w:r>
    </w:p>
    <w:p w14:paraId="2D8BA2B8">
      <w:pPr>
        <w:numPr>
          <w:ilvl w:val="0"/>
          <w:numId w:val="1"/>
        </w:numPr>
        <w:adjustRightInd w:val="0"/>
        <w:spacing w:line="360" w:lineRule="auto"/>
        <w:ind w:firstLine="480" w:firstLineChars="200"/>
        <w:rPr>
          <w:rFonts w:hint="eastAsia" w:ascii="宋体" w:hAnsi="宋体" w:cs="宋体"/>
          <w:color w:val="FF0000"/>
          <w:sz w:val="24"/>
          <w:highlight w:val="none"/>
        </w:rPr>
      </w:pPr>
      <w:bookmarkStart w:id="11" w:name="报名开始时间1"/>
      <w:r>
        <w:rPr>
          <w:rFonts w:hint="eastAsia" w:ascii="宋体" w:hAnsi="宋体" w:cs="宋体"/>
          <w:color w:val="FF0000"/>
          <w:sz w:val="24"/>
          <w:highlight w:val="none"/>
        </w:rPr>
        <w:t>获取采购文件时间</w:t>
      </w:r>
      <w:r>
        <w:rPr>
          <w:rFonts w:hint="eastAsia" w:ascii="宋体" w:hAnsi="宋体" w:cs="宋体"/>
          <w:color w:val="FF0000"/>
          <w:sz w:val="24"/>
          <w:highlight w:val="none"/>
          <w:lang w:eastAsia="zh-CN"/>
        </w:rPr>
        <w:t>：</w:t>
      </w:r>
      <w:bookmarkEnd w:id="11"/>
      <w:r>
        <w:rPr>
          <w:rFonts w:hint="eastAsia" w:ascii="宋体" w:hAnsi="宋体" w:cs="宋体"/>
          <w:color w:val="FF0000"/>
          <w:sz w:val="24"/>
          <w:highlight w:val="none"/>
        </w:rPr>
        <w:t>202</w:t>
      </w:r>
      <w:r>
        <w:rPr>
          <w:rFonts w:hint="eastAsia" w:ascii="宋体" w:hAnsi="宋体" w:cs="宋体"/>
          <w:color w:val="FF0000"/>
          <w:sz w:val="24"/>
          <w:highlight w:val="none"/>
          <w:lang w:val="en-US" w:eastAsia="zh-CN"/>
        </w:rPr>
        <w:t>5</w:t>
      </w:r>
      <w:r>
        <w:rPr>
          <w:rFonts w:hint="eastAsia" w:ascii="宋体" w:hAnsi="宋体" w:cs="宋体"/>
          <w:color w:val="FF0000"/>
          <w:sz w:val="24"/>
          <w:highlight w:val="none"/>
        </w:rPr>
        <w:t>年</w:t>
      </w:r>
      <w:r>
        <w:rPr>
          <w:rFonts w:hint="eastAsia" w:ascii="宋体" w:hAnsi="宋体" w:cs="宋体"/>
          <w:color w:val="FF0000"/>
          <w:sz w:val="24"/>
          <w:highlight w:val="none"/>
          <w:lang w:val="en-US" w:eastAsia="zh-CN"/>
        </w:rPr>
        <w:t>05</w:t>
      </w:r>
      <w:r>
        <w:rPr>
          <w:rFonts w:hint="eastAsia" w:ascii="宋体" w:hAnsi="宋体" w:cs="宋体"/>
          <w:color w:val="FF0000"/>
          <w:sz w:val="24"/>
          <w:highlight w:val="none"/>
        </w:rPr>
        <w:t>月</w:t>
      </w:r>
      <w:r>
        <w:rPr>
          <w:rFonts w:hint="eastAsia" w:ascii="宋体" w:hAnsi="宋体" w:cs="宋体"/>
          <w:color w:val="FF0000"/>
          <w:sz w:val="24"/>
          <w:highlight w:val="none"/>
          <w:lang w:val="en-US" w:eastAsia="zh-CN"/>
        </w:rPr>
        <w:t xml:space="preserve"> 14 </w:t>
      </w:r>
      <w:r>
        <w:rPr>
          <w:rFonts w:hint="eastAsia" w:ascii="宋体" w:hAnsi="宋体" w:cs="宋体"/>
          <w:color w:val="FF0000"/>
          <w:sz w:val="24"/>
          <w:highlight w:val="none"/>
        </w:rPr>
        <w:t>日上午9:30之前获取。</w:t>
      </w:r>
    </w:p>
    <w:p w14:paraId="66ECAF50">
      <w:pPr>
        <w:numPr>
          <w:ilvl w:val="0"/>
          <w:numId w:val="1"/>
        </w:numPr>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获取采购文件方式：供应商登陆乐采云平台www.lecaiyun.com，在线申请获取采购文件（进入“项目采购”应用，在获取采购文件菜单中选择项目，申请获取采购文件）。</w:t>
      </w:r>
    </w:p>
    <w:p w14:paraId="11BE8A28">
      <w:pPr>
        <w:numPr>
          <w:ilvl w:val="0"/>
          <w:numId w:val="1"/>
        </w:numPr>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提示：</w:t>
      </w:r>
    </w:p>
    <w:p w14:paraId="00898F99">
      <w:pPr>
        <w:numPr>
          <w:ilvl w:val="0"/>
          <w:numId w:val="2"/>
        </w:numPr>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将拒绝接受未获取采购文件供应商的投标文件。</w:t>
      </w:r>
    </w:p>
    <w:p w14:paraId="7D8F0218">
      <w:pPr>
        <w:numPr>
          <w:ilvl w:val="0"/>
          <w:numId w:val="2"/>
        </w:numPr>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招标文件及更正补充公告请自行登录浙江政府采购网或绍兴市上虞区公共资源交易中心网站，在采购公告页面中下载。</w:t>
      </w:r>
    </w:p>
    <w:p w14:paraId="39C67203">
      <w:pPr>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六、投标与开标注意事项：</w:t>
      </w:r>
    </w:p>
    <w:p w14:paraId="7E84A3D4">
      <w:pPr>
        <w:numPr>
          <w:ilvl w:val="0"/>
          <w:numId w:val="0"/>
        </w:numPr>
        <w:adjustRightInd w:val="0"/>
        <w:spacing w:line="360" w:lineRule="auto"/>
        <w:ind w:firstLine="480" w:firstLineChars="200"/>
        <w:rPr>
          <w:rFonts w:hint="eastAsia" w:ascii="宋体" w:hAnsi="宋体" w:cs="宋体"/>
          <w:color w:val="auto"/>
          <w:sz w:val="24"/>
          <w:highlight w:val="none"/>
        </w:rPr>
      </w:pPr>
      <w:r>
        <w:rPr>
          <w:rFonts w:hint="default" w:ascii="宋体" w:hAnsi="宋体" w:eastAsia="宋体" w:cs="宋体"/>
          <w:color w:val="auto"/>
          <w:kern w:val="2"/>
          <w:sz w:val="24"/>
          <w:szCs w:val="24"/>
          <w:lang w:val="en-US" w:eastAsia="zh-CN" w:bidi="ar-SA"/>
        </w:rPr>
        <w:t>1．</w:t>
      </w:r>
      <w:r>
        <w:rPr>
          <w:rFonts w:hint="eastAsia" w:ascii="宋体" w:hAnsi="宋体" w:cs="宋体"/>
          <w:color w:val="auto"/>
          <w:sz w:val="24"/>
          <w:highlight w:val="none"/>
        </w:rPr>
        <w:t>本项目实行</w:t>
      </w:r>
      <w:r>
        <w:rPr>
          <w:rFonts w:hint="eastAsia" w:ascii="宋体" w:hAnsi="宋体" w:cs="宋体"/>
          <w:b/>
          <w:bCs/>
          <w:color w:val="auto"/>
          <w:sz w:val="24"/>
          <w:highlight w:val="none"/>
        </w:rPr>
        <w:t>网上投标</w:t>
      </w:r>
      <w:r>
        <w:rPr>
          <w:rFonts w:hint="eastAsia" w:ascii="宋体" w:hAnsi="宋体" w:cs="宋体"/>
          <w:color w:val="auto"/>
          <w:sz w:val="24"/>
          <w:highlight w:val="none"/>
        </w:rPr>
        <w:t>，采用电子投标文件，若供应商参与投标，自行承担投标一切费用。</w:t>
      </w:r>
    </w:p>
    <w:p w14:paraId="16BA5805">
      <w:pPr>
        <w:numPr>
          <w:ilvl w:val="0"/>
          <w:numId w:val="0"/>
        </w:numPr>
        <w:wordWrap w:val="0"/>
        <w:adjustRightInd w:val="0"/>
        <w:spacing w:line="360" w:lineRule="auto"/>
        <w:ind w:firstLine="480" w:firstLineChars="200"/>
        <w:rPr>
          <w:rFonts w:hint="eastAsia" w:ascii="宋体" w:hAnsi="宋体" w:cs="宋体"/>
          <w:color w:val="auto"/>
          <w:sz w:val="24"/>
          <w:highlight w:val="none"/>
        </w:rPr>
      </w:pPr>
      <w:r>
        <w:rPr>
          <w:rFonts w:hint="default" w:ascii="宋体" w:hAnsi="宋体" w:eastAsia="宋体" w:cs="宋体"/>
          <w:color w:val="auto"/>
          <w:kern w:val="2"/>
          <w:sz w:val="24"/>
          <w:szCs w:val="24"/>
          <w:lang w:val="en-US" w:eastAsia="zh-CN" w:bidi="ar-SA"/>
        </w:rPr>
        <w:t>2．</w:t>
      </w:r>
      <w:r>
        <w:rPr>
          <w:rFonts w:hint="eastAsia" w:ascii="宋体" w:hAnsi="宋体" w:cs="宋体"/>
          <w:color w:val="auto"/>
          <w:sz w:val="24"/>
          <w:highlight w:val="none"/>
        </w:rPr>
        <w:t>标前准备：各供应商应在开标前应确保成为浙江省政府采购网正式注册入库供应商，并完成CA数字证书办理。因未注册入库、未办理CA数字证书等原因造成无法投标或投标失败等后果由供应商自行承担。</w:t>
      </w:r>
    </w:p>
    <w:p w14:paraId="18450FB4">
      <w:pPr>
        <w:autoSpaceDE w:val="0"/>
        <w:autoSpaceDN w:val="0"/>
        <w:spacing w:line="360" w:lineRule="auto"/>
        <w:ind w:firstLine="480" w:firstLineChars="200"/>
        <w:textAlignment w:val="bottom"/>
        <w:rPr>
          <w:rFonts w:hint="eastAsia" w:ascii="宋体" w:hAnsi="宋体" w:cs="宋体"/>
          <w:color w:val="auto"/>
          <w:sz w:val="24"/>
          <w:szCs w:val="21"/>
          <w:highlight w:val="none"/>
        </w:rPr>
      </w:pPr>
      <w:r>
        <w:rPr>
          <w:rFonts w:hint="eastAsia" w:ascii="宋体" w:hAnsi="宋体" w:cs="宋体"/>
          <w:color w:val="auto"/>
          <w:sz w:val="24"/>
          <w:szCs w:val="21"/>
          <w:highlight w:val="none"/>
        </w:rPr>
        <w:t>供应商将乐采云投标客户端下载、安装完成后（下载链接：https://b.zhengcaiyun.cn/luban/category?parentId=550045&amp;childrenCode=qicaiCategory17&amp;utm=luban.luban-PC-39026.959-pc-websitegroup-navBar-front.8.c8789bc0520b11efb86dbfa49a87be0d），可通过账号密码或CA登录客户端进行投标文件制作。在使用</w:t>
      </w:r>
      <w:r>
        <w:rPr>
          <w:rFonts w:hint="eastAsia" w:ascii="宋体" w:hAnsi="宋体" w:cs="宋体"/>
          <w:color w:val="auto"/>
          <w:sz w:val="24"/>
          <w:szCs w:val="21"/>
          <w:highlight w:val="none"/>
          <w:lang w:eastAsia="zh-CN"/>
        </w:rPr>
        <w:t>乐采云</w:t>
      </w:r>
      <w:r>
        <w:rPr>
          <w:rFonts w:hint="eastAsia" w:ascii="宋体" w:hAnsi="宋体" w:cs="宋体"/>
          <w:color w:val="auto"/>
          <w:sz w:val="24"/>
          <w:szCs w:val="21"/>
          <w:highlight w:val="none"/>
        </w:rPr>
        <w:t>投标客户端时，建议使用WIN7及以上操作系统。</w:t>
      </w:r>
    </w:p>
    <w:p w14:paraId="524EA741">
      <w:pPr>
        <w:autoSpaceDE w:val="0"/>
        <w:autoSpaceDN w:val="0"/>
        <w:spacing w:line="360" w:lineRule="auto"/>
        <w:ind w:firstLine="480" w:firstLineChars="200"/>
        <w:textAlignment w:val="bottom"/>
        <w:rPr>
          <w:rFonts w:hint="eastAsia" w:ascii="宋体" w:hAnsi="宋体" w:cs="宋体"/>
          <w:color w:val="auto"/>
          <w:sz w:val="24"/>
          <w:szCs w:val="21"/>
          <w:highlight w:val="none"/>
        </w:rPr>
      </w:pPr>
      <w:r>
        <w:rPr>
          <w:rFonts w:hint="eastAsia" w:ascii="宋体" w:hAnsi="宋体" w:cs="宋体"/>
          <w:color w:val="auto"/>
          <w:sz w:val="24"/>
          <w:szCs w:val="21"/>
          <w:highlight w:val="none"/>
        </w:rPr>
        <w:t>注：供应商先要申领CA，取得CA后需要在</w:t>
      </w:r>
      <w:r>
        <w:rPr>
          <w:rFonts w:hint="eastAsia" w:ascii="宋体" w:hAnsi="宋体" w:cs="宋体"/>
          <w:color w:val="auto"/>
          <w:sz w:val="24"/>
          <w:szCs w:val="21"/>
          <w:highlight w:val="none"/>
          <w:lang w:eastAsia="zh-CN"/>
        </w:rPr>
        <w:t>乐采云</w:t>
      </w:r>
      <w:r>
        <w:rPr>
          <w:rFonts w:hint="eastAsia" w:ascii="宋体" w:hAnsi="宋体" w:cs="宋体"/>
          <w:color w:val="auto"/>
          <w:sz w:val="24"/>
          <w:szCs w:val="21"/>
          <w:highlight w:val="none"/>
        </w:rPr>
        <w:t>平台进行绑定，CA相关操作可参考《CA管理学习专题》。完成CA数字证书办理在资料齐全的情况下预计7个工作日左右，建议供应商获取招标文件后立即办理。</w:t>
      </w:r>
    </w:p>
    <w:p w14:paraId="54AD790C">
      <w:pPr>
        <w:adjustRightInd w:val="0"/>
        <w:spacing w:line="360" w:lineRule="auto"/>
        <w:ind w:left="420" w:leftChars="200"/>
        <w:rPr>
          <w:rFonts w:hint="eastAsia" w:ascii="宋体" w:hAnsi="宋体" w:cs="宋体"/>
          <w:color w:val="auto"/>
          <w:sz w:val="24"/>
          <w:szCs w:val="21"/>
          <w:highlight w:val="none"/>
        </w:rPr>
      </w:pPr>
      <w:r>
        <w:rPr>
          <w:rFonts w:hint="eastAsia" w:ascii="宋体" w:hAnsi="宋体" w:cs="宋体"/>
          <w:color w:val="auto"/>
          <w:sz w:val="24"/>
          <w:szCs w:val="21"/>
          <w:highlight w:val="none"/>
        </w:rPr>
        <w:t>《CA管理学习专题》：</w:t>
      </w:r>
    </w:p>
    <w:p w14:paraId="24526D30">
      <w:pPr>
        <w:adjustRightInd w:val="0"/>
        <w:spacing w:line="360" w:lineRule="auto"/>
        <w:ind w:left="420" w:leftChars="200"/>
        <w:rPr>
          <w:rFonts w:hint="eastAsia" w:ascii="宋体" w:hAnsi="宋体" w:cs="宋体"/>
          <w:color w:val="auto"/>
          <w:sz w:val="24"/>
          <w:szCs w:val="21"/>
          <w:highlight w:val="none"/>
        </w:rPr>
      </w:pPr>
      <w:r>
        <w:rPr>
          <w:rFonts w:hint="eastAsia" w:ascii="宋体" w:hAnsi="宋体" w:cs="宋体"/>
          <w:color w:val="auto"/>
          <w:sz w:val="24"/>
          <w:szCs w:val="21"/>
          <w:highlight w:val="none"/>
        </w:rPr>
        <w:t>https://edu.zcygov.cn/luban/ca?utm=web-government-front.380aac0a.0.0.fc2b6aa0b6e211ebbdb0dd007730dd44</w:t>
      </w:r>
    </w:p>
    <w:p w14:paraId="09001F44">
      <w:pPr>
        <w:adjustRightInd w:val="0"/>
        <w:spacing w:line="360" w:lineRule="auto"/>
        <w:ind w:left="420" w:leftChars="200"/>
        <w:rPr>
          <w:rFonts w:hint="eastAsia" w:ascii="宋体" w:hAnsi="宋体" w:cs="宋体"/>
          <w:color w:val="auto"/>
          <w:sz w:val="24"/>
          <w:szCs w:val="21"/>
          <w:highlight w:val="none"/>
        </w:rPr>
      </w:pPr>
      <w:r>
        <w:rPr>
          <w:rFonts w:hint="eastAsia" w:ascii="宋体" w:hAnsi="宋体" w:cs="宋体"/>
          <w:color w:val="auto"/>
          <w:sz w:val="24"/>
          <w:szCs w:val="21"/>
          <w:highlight w:val="none"/>
        </w:rPr>
        <w:t>《CA驱动和申领流程》:</w:t>
      </w:r>
    </w:p>
    <w:p w14:paraId="0AA12366">
      <w:pPr>
        <w:adjustRightInd w:val="0"/>
        <w:spacing w:line="360" w:lineRule="auto"/>
        <w:ind w:left="420" w:leftChars="200"/>
        <w:rPr>
          <w:rFonts w:hint="eastAsia" w:ascii="宋体" w:hAnsi="宋体" w:cs="宋体"/>
          <w:color w:val="auto"/>
          <w:sz w:val="24"/>
          <w:highlight w:val="none"/>
        </w:rPr>
      </w:pPr>
      <w:r>
        <w:rPr>
          <w:rFonts w:hint="eastAsia" w:ascii="宋体" w:hAnsi="宋体" w:cs="宋体"/>
          <w:color w:val="auto"/>
          <w:sz w:val="24"/>
          <w:szCs w:val="21"/>
          <w:highlight w:val="none"/>
        </w:rPr>
        <w:fldChar w:fldCharType="begin"/>
      </w:r>
      <w:r>
        <w:rPr>
          <w:rFonts w:hint="eastAsia" w:ascii="宋体" w:hAnsi="宋体" w:cs="宋体"/>
          <w:color w:val="auto"/>
          <w:sz w:val="24"/>
          <w:szCs w:val="21"/>
          <w:highlight w:val="none"/>
        </w:rPr>
        <w:instrText xml:space="preserve"> HYPERLINK "http://zfcg.czt.zj.gov.cn/bidClientTemplate/2019-05-27/12945.html" </w:instrText>
      </w:r>
      <w:r>
        <w:rPr>
          <w:rFonts w:hint="eastAsia" w:ascii="宋体" w:hAnsi="宋体" w:cs="宋体"/>
          <w:color w:val="auto"/>
          <w:sz w:val="24"/>
          <w:szCs w:val="21"/>
          <w:highlight w:val="none"/>
        </w:rPr>
        <w:fldChar w:fldCharType="separate"/>
      </w:r>
      <w:r>
        <w:rPr>
          <w:rFonts w:hint="eastAsia" w:ascii="宋体" w:hAnsi="宋体" w:cs="宋体"/>
          <w:color w:val="auto"/>
          <w:sz w:val="24"/>
          <w:szCs w:val="21"/>
          <w:highlight w:val="none"/>
        </w:rPr>
        <w:t>http://zfcg.czt.zj.gov.cn/bidClientTemplate/2019-05-27/12945.html</w:t>
      </w:r>
      <w:r>
        <w:rPr>
          <w:rFonts w:hint="eastAsia" w:ascii="宋体" w:hAnsi="宋体" w:cs="宋体"/>
          <w:color w:val="auto"/>
          <w:sz w:val="24"/>
          <w:szCs w:val="21"/>
          <w:highlight w:val="none"/>
        </w:rPr>
        <w:fldChar w:fldCharType="end"/>
      </w:r>
    </w:p>
    <w:p w14:paraId="0675F7A4">
      <w:pPr>
        <w:numPr>
          <w:ilvl w:val="0"/>
          <w:numId w:val="0"/>
        </w:numPr>
        <w:adjustRightInd w:val="0"/>
        <w:spacing w:line="360" w:lineRule="auto"/>
        <w:ind w:firstLine="480" w:firstLineChars="200"/>
        <w:rPr>
          <w:rFonts w:hint="eastAsia" w:ascii="宋体" w:hAnsi="宋体" w:cs="宋体"/>
          <w:color w:val="auto"/>
          <w:sz w:val="24"/>
          <w:highlight w:val="none"/>
        </w:rPr>
      </w:pPr>
      <w:r>
        <w:rPr>
          <w:rFonts w:hint="default" w:ascii="宋体" w:hAnsi="宋体" w:eastAsia="宋体" w:cs="宋体"/>
          <w:color w:val="auto"/>
          <w:kern w:val="2"/>
          <w:sz w:val="24"/>
          <w:szCs w:val="24"/>
          <w:lang w:val="en-US" w:eastAsia="zh-CN" w:bidi="ar-SA"/>
        </w:rPr>
        <w:t>3．</w:t>
      </w:r>
      <w:r>
        <w:rPr>
          <w:rFonts w:hint="eastAsia" w:ascii="宋体" w:hAnsi="宋体" w:cs="宋体"/>
          <w:color w:val="auto"/>
          <w:sz w:val="24"/>
          <w:highlight w:val="none"/>
        </w:rPr>
        <w:t>投标文件制作：</w:t>
      </w:r>
    </w:p>
    <w:p w14:paraId="032322FE">
      <w:pPr>
        <w:numPr>
          <w:ilvl w:val="0"/>
          <w:numId w:val="3"/>
        </w:numPr>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应按照本项目招标文件和</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平台的要求编制、加密并递交投标文件。供应商在使用系统进行投标的过程中遇到涉及平台使用的任何问题，可致电</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平台技术支持热线咨询，联系方式：95763。</w:t>
      </w:r>
    </w:p>
    <w:p w14:paraId="24C689F8">
      <w:pPr>
        <w:numPr>
          <w:ilvl w:val="0"/>
          <w:numId w:val="3"/>
        </w:numPr>
        <w:wordWrap w:val="0"/>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投标人通过“</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”平台电子投标工具制作投标文件。</w:t>
      </w:r>
    </w:p>
    <w:p w14:paraId="3FEAAC64">
      <w:pPr>
        <w:adjustRightIn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《电子投标工具》：</w:t>
      </w:r>
    </w:p>
    <w:p w14:paraId="59A1C931">
      <w:pPr>
        <w:adjustRightIn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HYPERLINK "http://zfcg.czt.zj.gov.cn/bidClientTemplate/2019-09-24/12975.html"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http://zfcg.czt.zj.gov.cn/bidClientTemplate/2019-09-24/12975.html</w:t>
      </w:r>
      <w:r>
        <w:rPr>
          <w:rFonts w:hint="eastAsia" w:ascii="宋体" w:hAnsi="宋体" w:cs="宋体"/>
          <w:color w:val="auto"/>
          <w:sz w:val="24"/>
          <w:highlight w:val="none"/>
        </w:rPr>
        <w:fldChar w:fldCharType="end"/>
      </w:r>
    </w:p>
    <w:p w14:paraId="0F7F7472">
      <w:pPr>
        <w:adjustRightIn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《供应商</w:t>
      </w:r>
      <w:r>
        <w:rPr>
          <w:rFonts w:hint="eastAsia" w:ascii="宋体" w:hAnsi="宋体" w:cs="宋体"/>
          <w:color w:val="auto"/>
          <w:sz w:val="24"/>
          <w:highlight w:val="none"/>
          <w:lang w:eastAsia="zh-CN"/>
        </w:rPr>
        <w:t>－</w:t>
      </w:r>
      <w:r>
        <w:rPr>
          <w:rFonts w:hint="eastAsia" w:ascii="宋体" w:hAnsi="宋体" w:cs="宋体"/>
          <w:color w:val="auto"/>
          <w:sz w:val="24"/>
          <w:highlight w:val="none"/>
        </w:rPr>
        <w:t>国企采购项目电子交易操作指南》：</w:t>
      </w:r>
      <w:r>
        <w:rPr>
          <w:rFonts w:hint="eastAsia" w:ascii="宋体" w:hAnsi="宋体" w:cs="宋体"/>
          <w:color w:val="auto"/>
          <w:sz w:val="24"/>
          <w:highlight w:val="none"/>
          <w:lang w:eastAsia="zh-CN"/>
        </w:rPr>
        <w:t>（</w:t>
      </w:r>
      <w:r>
        <w:rPr>
          <w:rFonts w:hint="eastAsia" w:ascii="宋体" w:hAnsi="宋体" w:cs="宋体"/>
          <w:color w:val="auto"/>
          <w:sz w:val="24"/>
          <w:highlight w:val="none"/>
        </w:rPr>
        <w:t>需登录账号后查看</w:t>
      </w:r>
      <w:r>
        <w:rPr>
          <w:rFonts w:hint="eastAsia" w:ascii="宋体" w:hAnsi="宋体" w:cs="宋体"/>
          <w:color w:val="auto"/>
          <w:sz w:val="24"/>
          <w:highlight w:val="none"/>
          <w:lang w:eastAsia="zh-CN"/>
        </w:rPr>
        <w:t>）</w:t>
      </w:r>
    </w:p>
    <w:p w14:paraId="08627C6E">
      <w:pPr>
        <w:adjustRightIn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HYPERLINK "https://service.zcygov.cn/#/knowledges/tree?tag=AG1DtGwBFdiHxlNdhY0r" </w:instrText>
      </w:r>
      <w:r>
        <w:rPr>
          <w:rFonts w:hint="eastAsia" w:ascii="宋体" w:hAnsi="宋体" w:cs="宋体"/>
          <w:color w:val="auto"/>
          <w:sz w:val="24"/>
          <w:highlight w:val="none"/>
        </w:rPr>
        <w:fldChar w:fldCharType="separate"/>
      </w:r>
      <w:r>
        <w:rPr>
          <w:rFonts w:hint="eastAsia" w:ascii="宋体" w:hAnsi="宋体" w:cs="宋体"/>
          <w:color w:val="auto"/>
          <w:sz w:val="24"/>
          <w:highlight w:val="none"/>
        </w:rPr>
        <w:t>https://service.zcygov.cn/#/knowledges/tree?tag=AG1DtGwBFdiHxlNdhY0r</w:t>
      </w:r>
      <w:r>
        <w:rPr>
          <w:rFonts w:hint="eastAsia" w:ascii="宋体" w:hAnsi="宋体" w:cs="宋体"/>
          <w:color w:val="auto"/>
          <w:sz w:val="24"/>
          <w:highlight w:val="none"/>
        </w:rPr>
        <w:fldChar w:fldCharType="end"/>
      </w:r>
    </w:p>
    <w:p w14:paraId="4350CAD7">
      <w:pPr>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4.供应商在法定质疑期内应一次性提出针对同一采购程序环节的质疑。否则质疑将不予受理。</w:t>
      </w:r>
    </w:p>
    <w:p w14:paraId="40CC2116">
      <w:pPr>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5.投标人可指派授权代表递交备份文件，授权代表递交备份文件需携带法定代表人授权书原件，于投标截止时间前到达开标地点递交。</w:t>
      </w:r>
    </w:p>
    <w:p w14:paraId="3E1AD4A4">
      <w:pPr>
        <w:adjustRightInd w:val="0"/>
        <w:spacing w:line="360" w:lineRule="auto"/>
        <w:ind w:left="420" w:leftChars="200"/>
        <w:rPr>
          <w:rFonts w:hint="eastAsia" w:ascii="宋体" w:hAnsi="宋体" w:cs="宋体"/>
          <w:color w:val="auto"/>
          <w:sz w:val="24"/>
          <w:highlight w:val="none"/>
        </w:rPr>
      </w:pPr>
      <w:r>
        <w:rPr>
          <w:rFonts w:hint="eastAsia" w:ascii="宋体" w:hAnsi="宋体" w:cs="宋体"/>
          <w:color w:val="auto"/>
          <w:sz w:val="24"/>
          <w:highlight w:val="none"/>
        </w:rPr>
        <w:t>6.特别提醒</w:t>
      </w:r>
    </w:p>
    <w:p w14:paraId="1D3E8EE3">
      <w:pPr>
        <w:numPr>
          <w:ilvl w:val="0"/>
          <w:numId w:val="4"/>
        </w:numPr>
        <w:wordWrap w:val="0"/>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单位负责人为同一人或者存在直接控股、管理关系的不同供应商，不得参加同一合同项下的采购活动。</w:t>
      </w:r>
    </w:p>
    <w:p w14:paraId="24C81ADB">
      <w:pPr>
        <w:numPr>
          <w:ilvl w:val="0"/>
          <w:numId w:val="4"/>
        </w:numPr>
        <w:adjustRightInd w:val="0"/>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除单一来源采购项目外，为采购项目提供整体设计、规范编制或者项目管理、监理、检测等服务的供应商，不得再参加该采购项目的其他采购活动。</w:t>
      </w:r>
    </w:p>
    <w:p w14:paraId="1123C646">
      <w:pPr>
        <w:adjustRightInd w:val="0"/>
        <w:spacing w:line="360" w:lineRule="auto"/>
        <w:ind w:firstLine="482" w:firstLineChars="200"/>
        <w:jc w:val="left"/>
        <w:rPr>
          <w:rFonts w:ascii="宋体" w:hAnsi="宋体" w:cs="宋体"/>
          <w:color w:val="auto"/>
          <w:sz w:val="24"/>
          <w:highlight w:val="none"/>
        </w:rPr>
      </w:pPr>
      <w:r>
        <w:rPr>
          <w:rFonts w:hint="eastAsia" w:ascii="宋体" w:hAnsi="宋体" w:cs="宋体"/>
          <w:b/>
          <w:color w:val="auto"/>
          <w:sz w:val="24"/>
          <w:highlight w:val="none"/>
        </w:rPr>
        <w:t>七、投标截止时间及要求：</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FF0000"/>
          <w:sz w:val="24"/>
          <w:highlight w:val="none"/>
          <w:u w:val="single"/>
          <w:lang w:val="en-US" w:eastAsia="zh-CN"/>
        </w:rPr>
        <w:t>05</w:t>
      </w:r>
      <w:r>
        <w:rPr>
          <w:rFonts w:hint="eastAsia" w:ascii="宋体" w:hAnsi="宋体" w:cs="宋体"/>
          <w:color w:val="auto"/>
          <w:sz w:val="24"/>
          <w:highlight w:val="none"/>
        </w:rPr>
        <w:t>月</w:t>
      </w:r>
      <w:r>
        <w:rPr>
          <w:rFonts w:hint="eastAsia" w:ascii="宋体" w:hAnsi="宋体" w:cs="宋体"/>
          <w:color w:val="FF0000"/>
          <w:sz w:val="24"/>
          <w:highlight w:val="none"/>
          <w:u w:val="single"/>
          <w:lang w:val="en-US" w:eastAsia="zh-CN"/>
        </w:rPr>
        <w:t>14</w:t>
      </w:r>
      <w:r>
        <w:rPr>
          <w:rFonts w:hint="eastAsia" w:ascii="宋体" w:hAnsi="宋体" w:cs="宋体"/>
          <w:color w:val="auto"/>
          <w:sz w:val="24"/>
          <w:highlight w:val="none"/>
        </w:rPr>
        <w:t>日 上 午</w:t>
      </w:r>
      <w:r>
        <w:rPr>
          <w:rFonts w:hint="eastAsia" w:ascii="宋体" w:hAnsi="宋体" w:cs="宋体"/>
          <w:color w:val="auto"/>
          <w:sz w:val="24"/>
          <w:highlight w:val="none"/>
          <w:u w:val="single"/>
        </w:rPr>
        <w:t xml:space="preserve"> 09 </w:t>
      </w:r>
      <w:r>
        <w:rPr>
          <w:rFonts w:hint="eastAsia" w:ascii="宋体" w:hAnsi="宋体" w:cs="宋体"/>
          <w:color w:val="auto"/>
          <w:sz w:val="24"/>
          <w:highlight w:val="none"/>
        </w:rPr>
        <w:t>时</w:t>
      </w:r>
      <w:r>
        <w:rPr>
          <w:rFonts w:hint="eastAsia" w:ascii="宋体" w:hAnsi="宋体" w:cs="宋体"/>
          <w:color w:val="auto"/>
          <w:sz w:val="24"/>
          <w:highlight w:val="none"/>
          <w:u w:val="single"/>
        </w:rPr>
        <w:t xml:space="preserve"> 30 </w:t>
      </w:r>
      <w:r>
        <w:rPr>
          <w:rFonts w:hint="eastAsia" w:ascii="宋体" w:hAnsi="宋体" w:cs="宋体"/>
          <w:color w:val="auto"/>
          <w:sz w:val="24"/>
          <w:highlight w:val="none"/>
        </w:rPr>
        <w:t>分整</w:t>
      </w:r>
      <w:r>
        <w:rPr>
          <w:rFonts w:hint="eastAsia" w:ascii="宋体" w:hAnsi="宋体" w:cs="宋体"/>
          <w:bCs/>
          <w:color w:val="auto"/>
          <w:kern w:val="0"/>
          <w:sz w:val="24"/>
          <w:highlight w:val="none"/>
        </w:rPr>
        <w:t>之前将电子投标文件上传到“</w:t>
      </w:r>
      <w:r>
        <w:rPr>
          <w:rFonts w:hint="eastAsia" w:ascii="宋体" w:hAnsi="宋体" w:cs="宋体"/>
          <w:bCs/>
          <w:color w:val="auto"/>
          <w:kern w:val="0"/>
          <w:sz w:val="24"/>
          <w:highlight w:val="none"/>
          <w:lang w:eastAsia="zh-CN"/>
        </w:rPr>
        <w:t>乐采云</w:t>
      </w:r>
      <w:r>
        <w:rPr>
          <w:rFonts w:hint="eastAsia" w:ascii="宋体" w:hAnsi="宋体" w:cs="宋体"/>
          <w:bCs/>
          <w:color w:val="auto"/>
          <w:kern w:val="0"/>
          <w:sz w:val="24"/>
          <w:highlight w:val="none"/>
        </w:rPr>
        <w:t>”平台。</w:t>
      </w:r>
    </w:p>
    <w:p w14:paraId="5A20A165">
      <w:pPr>
        <w:adjustRightInd w:val="0"/>
        <w:spacing w:line="360" w:lineRule="auto"/>
        <w:ind w:firstLine="482" w:firstLineChars="200"/>
        <w:jc w:val="left"/>
        <w:rPr>
          <w:rFonts w:ascii="宋体" w:hAnsi="宋体" w:cs="宋体"/>
          <w:color w:val="auto"/>
          <w:sz w:val="24"/>
          <w:highlight w:val="none"/>
        </w:rPr>
      </w:pPr>
      <w:r>
        <w:rPr>
          <w:rFonts w:hint="eastAsia" w:ascii="宋体" w:hAnsi="宋体" w:cs="宋体"/>
          <w:b/>
          <w:color w:val="auto"/>
          <w:sz w:val="24"/>
          <w:highlight w:val="none"/>
        </w:rPr>
        <w:t>八、开标时间及地点：</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FF0000"/>
          <w:sz w:val="24"/>
          <w:highlight w:val="none"/>
          <w:u w:val="single"/>
          <w:lang w:val="en-US" w:eastAsia="zh-CN"/>
        </w:rPr>
        <w:t>05</w:t>
      </w:r>
      <w:r>
        <w:rPr>
          <w:rFonts w:hint="eastAsia" w:ascii="宋体" w:hAnsi="宋体" w:cs="宋体"/>
          <w:color w:val="auto"/>
          <w:sz w:val="24"/>
          <w:highlight w:val="none"/>
        </w:rPr>
        <w:t>月</w:t>
      </w:r>
      <w:r>
        <w:rPr>
          <w:rFonts w:hint="eastAsia" w:ascii="宋体" w:hAnsi="宋体" w:cs="宋体"/>
          <w:color w:val="FF0000"/>
          <w:sz w:val="24"/>
          <w:highlight w:val="none"/>
          <w:u w:val="single"/>
          <w:lang w:val="en-US" w:eastAsia="zh-CN"/>
        </w:rPr>
        <w:t>14</w:t>
      </w:r>
      <w:r>
        <w:rPr>
          <w:rFonts w:hint="eastAsia" w:ascii="宋体" w:hAnsi="宋体" w:cs="宋体"/>
          <w:color w:val="auto"/>
          <w:sz w:val="24"/>
          <w:highlight w:val="none"/>
        </w:rPr>
        <w:t>日 上 午</w:t>
      </w:r>
      <w:r>
        <w:rPr>
          <w:rFonts w:hint="eastAsia" w:ascii="宋体" w:hAnsi="宋体" w:cs="宋体"/>
          <w:color w:val="auto"/>
          <w:sz w:val="24"/>
          <w:highlight w:val="none"/>
          <w:u w:val="single"/>
        </w:rPr>
        <w:t xml:space="preserve"> 09 </w:t>
      </w:r>
      <w:r>
        <w:rPr>
          <w:rFonts w:hint="eastAsia" w:ascii="宋体" w:hAnsi="宋体" w:cs="宋体"/>
          <w:color w:val="auto"/>
          <w:sz w:val="24"/>
          <w:highlight w:val="none"/>
        </w:rPr>
        <w:t>时</w:t>
      </w:r>
      <w:r>
        <w:rPr>
          <w:rFonts w:hint="eastAsia" w:ascii="宋体" w:hAnsi="宋体" w:cs="宋体"/>
          <w:color w:val="auto"/>
          <w:sz w:val="24"/>
          <w:highlight w:val="none"/>
          <w:u w:val="single"/>
        </w:rPr>
        <w:t xml:space="preserve"> 30 </w:t>
      </w:r>
      <w:r>
        <w:rPr>
          <w:rFonts w:hint="eastAsia" w:ascii="宋体" w:hAnsi="宋体" w:cs="宋体"/>
          <w:color w:val="auto"/>
          <w:sz w:val="24"/>
          <w:highlight w:val="none"/>
        </w:rPr>
        <w:t>分</w:t>
      </w:r>
      <w:bookmarkStart w:id="12" w:name="B30_开标地点"/>
      <w:r>
        <w:rPr>
          <w:rFonts w:hint="eastAsia" w:ascii="宋体" w:hAnsi="宋体" w:cs="宋体"/>
          <w:color w:val="auto"/>
          <w:sz w:val="24"/>
          <w:highlight w:val="none"/>
        </w:rPr>
        <w:t>整在</w:t>
      </w:r>
      <w:r>
        <w:rPr>
          <w:rFonts w:hint="eastAsia" w:ascii="宋体" w:hAnsi="宋体" w:cs="宋体"/>
          <w:color w:val="auto"/>
          <w:sz w:val="24"/>
        </w:rPr>
        <w:t>浙江宇康工程管理咨询有限公司</w:t>
      </w:r>
      <w:r>
        <w:rPr>
          <w:rFonts w:hint="eastAsia" w:ascii="宋体" w:hAnsi="宋体" w:cs="宋体"/>
          <w:color w:val="auto"/>
          <w:sz w:val="24"/>
          <w:highlight w:val="none"/>
        </w:rPr>
        <w:t>开标室开标。</w:t>
      </w:r>
      <w:bookmarkEnd w:id="12"/>
    </w:p>
    <w:p w14:paraId="74B5145D">
      <w:pPr>
        <w:adjustRightIn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开标时间后30分钟内（202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w:t>
      </w:r>
      <w:r>
        <w:rPr>
          <w:rFonts w:hint="eastAsia" w:ascii="宋体" w:hAnsi="宋体" w:cs="宋体"/>
          <w:color w:val="FF0000"/>
          <w:sz w:val="24"/>
          <w:highlight w:val="none"/>
          <w:u w:val="single"/>
          <w:lang w:val="en-US" w:eastAsia="zh-CN"/>
        </w:rPr>
        <w:t>05</w:t>
      </w:r>
      <w:r>
        <w:rPr>
          <w:rFonts w:hint="eastAsia" w:ascii="宋体" w:hAnsi="宋体" w:cs="宋体"/>
          <w:color w:val="auto"/>
          <w:sz w:val="24"/>
          <w:highlight w:val="none"/>
        </w:rPr>
        <w:t>月</w:t>
      </w:r>
      <w:r>
        <w:rPr>
          <w:rFonts w:hint="eastAsia" w:ascii="宋体" w:hAnsi="宋体" w:cs="宋体"/>
          <w:color w:val="FF0000"/>
          <w:sz w:val="24"/>
          <w:highlight w:val="none"/>
          <w:u w:val="single"/>
          <w:lang w:val="en-US" w:eastAsia="zh-CN"/>
        </w:rPr>
        <w:t>14</w:t>
      </w:r>
      <w:r>
        <w:rPr>
          <w:rFonts w:hint="eastAsia" w:ascii="宋体" w:hAnsi="宋体" w:cs="宋体"/>
          <w:color w:val="auto"/>
          <w:sz w:val="24"/>
          <w:highlight w:val="none"/>
        </w:rPr>
        <w:t>日 10 : 00 前）供应商可以登录“</w:t>
      </w:r>
      <w:r>
        <w:rPr>
          <w:rFonts w:hint="eastAsia" w:ascii="宋体" w:hAnsi="宋体" w:cs="宋体"/>
          <w:color w:val="auto"/>
          <w:sz w:val="24"/>
          <w:highlight w:val="none"/>
          <w:lang w:eastAsia="zh-CN"/>
        </w:rPr>
        <w:t>乐采云</w:t>
      </w:r>
      <w:r>
        <w:rPr>
          <w:rFonts w:hint="eastAsia" w:ascii="宋体" w:hAnsi="宋体" w:cs="宋体"/>
          <w:color w:val="auto"/>
          <w:sz w:val="24"/>
          <w:highlight w:val="none"/>
        </w:rPr>
        <w:t>”平台，用“项目采购-开标评标”功能进行解密投标文件。若供应商在规定</w:t>
      </w:r>
      <w:r>
        <w:rPr>
          <w:rFonts w:hint="eastAsia" w:hAnsi="宋体" w:cs="宋体"/>
          <w:color w:val="auto"/>
          <w:sz w:val="24"/>
          <w:highlight w:val="none"/>
        </w:rPr>
        <w:t>时间内（</w:t>
      </w:r>
      <w:r>
        <w:rPr>
          <w:rFonts w:hint="eastAsia" w:ascii="宋体" w:hAnsi="宋体" w:cs="宋体"/>
          <w:color w:val="auto"/>
          <w:sz w:val="24"/>
          <w:highlight w:val="none"/>
        </w:rPr>
        <w:t>202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年</w:t>
      </w:r>
      <w:r>
        <w:rPr>
          <w:rFonts w:hint="eastAsia" w:ascii="宋体" w:hAnsi="宋体" w:cs="宋体"/>
          <w:color w:val="FF0000"/>
          <w:sz w:val="24"/>
          <w:highlight w:val="none"/>
          <w:u w:val="single"/>
          <w:lang w:val="en-US" w:eastAsia="zh-CN"/>
        </w:rPr>
        <w:t>05</w:t>
      </w:r>
      <w:r>
        <w:rPr>
          <w:rFonts w:hint="eastAsia" w:ascii="宋体" w:hAnsi="宋体" w:cs="宋体"/>
          <w:color w:val="auto"/>
          <w:sz w:val="24"/>
          <w:highlight w:val="none"/>
        </w:rPr>
        <w:t>月</w:t>
      </w:r>
      <w:r>
        <w:rPr>
          <w:rFonts w:hint="eastAsia" w:ascii="宋体" w:hAnsi="宋体" w:cs="宋体"/>
          <w:color w:val="FF0000"/>
          <w:sz w:val="24"/>
          <w:highlight w:val="none"/>
          <w:u w:val="single"/>
          <w:lang w:val="en-US" w:eastAsia="zh-CN"/>
        </w:rPr>
        <w:t>14</w:t>
      </w:r>
      <w:r>
        <w:rPr>
          <w:rFonts w:hint="eastAsia" w:ascii="宋体" w:hAnsi="宋体" w:cs="宋体"/>
          <w:color w:val="auto"/>
          <w:sz w:val="24"/>
          <w:highlight w:val="none"/>
        </w:rPr>
        <w:t>日</w:t>
      </w:r>
      <w:r>
        <w:rPr>
          <w:rFonts w:hint="eastAsia" w:hAnsi="宋体" w:cs="宋体"/>
          <w:color w:val="auto"/>
          <w:sz w:val="24"/>
          <w:highlight w:val="none"/>
        </w:rPr>
        <w:t xml:space="preserve"> 10 : 00 前）解密</w:t>
      </w:r>
      <w:r>
        <w:rPr>
          <w:rFonts w:hint="eastAsia" w:ascii="宋体" w:hAnsi="宋体" w:cs="宋体"/>
          <w:color w:val="auto"/>
          <w:sz w:val="24"/>
          <w:highlight w:val="none"/>
        </w:rPr>
        <w:t>失败，则由采购代理机构工作人员上传投标人提供的备份文件。备份文件</w:t>
      </w:r>
      <w:r>
        <w:rPr>
          <w:rFonts w:hint="eastAsia" w:hAnsi="宋体" w:cs="宋体"/>
          <w:color w:val="auto"/>
          <w:sz w:val="24"/>
          <w:highlight w:val="none"/>
        </w:rPr>
        <w:t>（后缀名为</w:t>
      </w:r>
      <w:r>
        <w:rPr>
          <w:rFonts w:hint="eastAsia" w:ascii="宋体" w:hAnsi="宋体" w:cs="宋体"/>
          <w:color w:val="auto"/>
          <w:sz w:val="24"/>
          <w:highlight w:val="none"/>
        </w:rPr>
        <w:t>.bfbs</w:t>
      </w:r>
      <w:r>
        <w:rPr>
          <w:rFonts w:hint="eastAsia" w:hAnsi="宋体" w:cs="宋体"/>
          <w:color w:val="auto"/>
          <w:sz w:val="24"/>
          <w:highlight w:val="none"/>
        </w:rPr>
        <w:t>）</w:t>
      </w:r>
      <w:r>
        <w:rPr>
          <w:rFonts w:hint="eastAsia" w:ascii="宋体" w:hAnsi="宋体" w:cs="宋体"/>
          <w:color w:val="auto"/>
          <w:sz w:val="24"/>
          <w:highlight w:val="none"/>
        </w:rPr>
        <w:t>须存储在U盘中，与上传的电子投标文件一致，用信封进行密封并盖章</w:t>
      </w:r>
      <w:r>
        <w:rPr>
          <w:rFonts w:hint="eastAsia" w:hAnsi="宋体" w:cs="宋体"/>
          <w:color w:val="auto"/>
          <w:sz w:val="24"/>
          <w:highlight w:val="none"/>
        </w:rPr>
        <w:t>，由授权代表在投标截止时间前递交至开标地点。</w:t>
      </w:r>
      <w:r>
        <w:rPr>
          <w:rFonts w:hint="eastAsia" w:ascii="宋体" w:hAnsi="宋体" w:cs="宋体"/>
          <w:color w:val="auto"/>
          <w:sz w:val="24"/>
          <w:highlight w:val="none"/>
        </w:rPr>
        <w:t>若电子投标文件正常解锁，则U盘退还给供应商；若解锁失败，则由采购代理机构将U盘中的备份文件上传，该U盘将由采购代理机构保存。</w:t>
      </w:r>
    </w:p>
    <w:p w14:paraId="20E66582">
      <w:pPr>
        <w:adjustRightInd w:val="0"/>
        <w:spacing w:line="360" w:lineRule="auto"/>
        <w:ind w:firstLine="480" w:firstLineChars="200"/>
        <w:rPr>
          <w:rFonts w:ascii="宋体" w:hAnsi="宋体" w:cs="宋体"/>
          <w:bCs/>
          <w:color w:val="auto"/>
          <w:kern w:val="0"/>
          <w:sz w:val="24"/>
          <w:highlight w:val="none"/>
        </w:rPr>
      </w:pPr>
      <w:r>
        <w:rPr>
          <w:rFonts w:hint="eastAsia" w:ascii="宋体" w:hAnsi="宋体" w:cs="宋体"/>
          <w:color w:val="auto"/>
          <w:sz w:val="24"/>
          <w:highlight w:val="none"/>
        </w:rPr>
        <w:t>本次开标（不）提供现场视频。</w:t>
      </w:r>
    </w:p>
    <w:p w14:paraId="1278082A">
      <w:pPr>
        <w:adjustRightInd w:val="0"/>
        <w:spacing w:line="360" w:lineRule="auto"/>
        <w:ind w:firstLine="482" w:firstLineChars="200"/>
        <w:rPr>
          <w:rFonts w:ascii="宋体" w:hAnsi="宋体" w:cs="宋体"/>
          <w:b/>
          <w:color w:val="auto"/>
          <w:kern w:val="0"/>
          <w:sz w:val="24"/>
          <w:highlight w:val="none"/>
        </w:rPr>
      </w:pPr>
      <w:r>
        <w:rPr>
          <w:rFonts w:hint="eastAsia" w:ascii="宋体" w:hAnsi="宋体" w:cs="宋体"/>
          <w:b/>
          <w:bCs/>
          <w:color w:val="auto"/>
          <w:sz w:val="24"/>
          <w:highlight w:val="none"/>
        </w:rPr>
        <w:t>九、投标保证金：</w:t>
      </w:r>
      <w:r>
        <w:rPr>
          <w:rFonts w:hint="eastAsia" w:ascii="宋体" w:hAnsi="宋体" w:cs="宋体"/>
          <w:b/>
          <w:color w:val="auto"/>
          <w:kern w:val="0"/>
          <w:sz w:val="24"/>
          <w:highlight w:val="none"/>
          <w:u w:val="single"/>
        </w:rPr>
        <w:t>本项目不设置投标保证金</w:t>
      </w:r>
      <w:r>
        <w:rPr>
          <w:rFonts w:hint="eastAsia" w:ascii="宋体" w:hAnsi="宋体" w:cs="宋体"/>
          <w:b/>
          <w:color w:val="auto"/>
          <w:kern w:val="0"/>
          <w:sz w:val="24"/>
          <w:highlight w:val="none"/>
        </w:rPr>
        <w:t>。</w:t>
      </w:r>
    </w:p>
    <w:p w14:paraId="2B54121E">
      <w:pPr>
        <w:adjustRightIn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十、公告期限：5个工作日</w:t>
      </w:r>
    </w:p>
    <w:p w14:paraId="0478C055">
      <w:pPr>
        <w:adjustRightIn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十一、联系方式：</w:t>
      </w:r>
    </w:p>
    <w:p w14:paraId="3B253C15">
      <w:pPr>
        <w:adjustRightIn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1.采购代理机构名称：浙江宇康工程管理咨询有限公司</w:t>
      </w:r>
    </w:p>
    <w:p w14:paraId="06A2F996">
      <w:pPr>
        <w:adjustRightIn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联系人：</w:t>
      </w:r>
      <w:r>
        <w:rPr>
          <w:rFonts w:hint="eastAsia" w:ascii="宋体" w:hAnsi="宋体" w:cs="宋体"/>
          <w:color w:val="auto"/>
          <w:sz w:val="24"/>
          <w:highlight w:val="none"/>
          <w:lang w:eastAsia="zh-CN"/>
        </w:rPr>
        <w:t>陈杰</w:t>
      </w:r>
    </w:p>
    <w:p w14:paraId="28693FC0">
      <w:pPr>
        <w:adjustRightInd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联系电话：</w:t>
      </w:r>
      <w:r>
        <w:rPr>
          <w:rFonts w:hint="eastAsia" w:ascii="宋体" w:hAnsi="宋体" w:cs="宋体"/>
          <w:color w:val="auto"/>
          <w:sz w:val="24"/>
          <w:highlight w:val="none"/>
          <w:lang w:val="en-US" w:eastAsia="zh-CN"/>
        </w:rPr>
        <w:t>18892682923</w:t>
      </w:r>
    </w:p>
    <w:p w14:paraId="33E7F28C">
      <w:pPr>
        <w:adjustRightIn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地址：绍兴市上虞区百官街道江东北路588号百官广场30楼</w:t>
      </w:r>
    </w:p>
    <w:p w14:paraId="01E721D9">
      <w:pPr>
        <w:adjustRightInd w:val="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2.采购人名称：</w:t>
      </w:r>
      <w:r>
        <w:rPr>
          <w:rFonts w:hint="eastAsia" w:ascii="宋体" w:hAnsi="宋体" w:cs="宋体"/>
          <w:color w:val="auto"/>
          <w:sz w:val="24"/>
          <w:highlight w:val="none"/>
          <w:lang w:eastAsia="zh-CN"/>
        </w:rPr>
        <w:t>绍兴市上虞区交通产业发展有限公司</w:t>
      </w:r>
    </w:p>
    <w:p w14:paraId="740C2419">
      <w:pPr>
        <w:adjustRightInd w:val="0"/>
        <w:spacing w:line="360" w:lineRule="auto"/>
        <w:ind w:firstLine="480" w:firstLineChars="200"/>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rPr>
        <w:t xml:space="preserve">联系人：鲁先生  </w:t>
      </w:r>
    </w:p>
    <w:p w14:paraId="395E2B08">
      <w:pPr>
        <w:adjustRightInd w:val="0"/>
        <w:spacing w:line="360" w:lineRule="auto"/>
        <w:ind w:firstLine="480" w:firstLineChars="200"/>
        <w:rPr>
          <w:rFonts w:hint="eastAsia" w:ascii="宋体" w:hAnsi="宋体" w:eastAsia="宋体" w:cs="宋体"/>
          <w:color w:val="auto"/>
          <w:kern w:val="2"/>
          <w:sz w:val="24"/>
          <w:highlight w:val="none"/>
        </w:rPr>
      </w:pPr>
      <w:r>
        <w:rPr>
          <w:rFonts w:hint="eastAsia" w:ascii="宋体" w:hAnsi="宋体" w:eastAsia="宋体" w:cs="宋体"/>
          <w:color w:val="auto"/>
          <w:kern w:val="2"/>
          <w:sz w:val="24"/>
          <w:highlight w:val="none"/>
        </w:rPr>
        <w:t>联系电话：15158812195</w:t>
      </w:r>
    </w:p>
    <w:p w14:paraId="62C12C0A">
      <w:pPr>
        <w:adjustRightInd w:val="0"/>
        <w:spacing w:line="360" w:lineRule="auto"/>
        <w:ind w:firstLine="480" w:firstLineChars="200"/>
        <w:jc w:val="both"/>
        <w:outlineLvl w:val="0"/>
        <w:rPr>
          <w:rFonts w:ascii="宋体" w:hAnsi="宋体" w:cs="宋体"/>
          <w:b/>
          <w:color w:val="auto"/>
          <w:sz w:val="36"/>
          <w:szCs w:val="20"/>
          <w:highlight w:val="none"/>
        </w:rPr>
      </w:pPr>
      <w:r>
        <w:rPr>
          <w:rFonts w:hint="eastAsia" w:ascii="宋体" w:hAnsi="宋体" w:cs="宋体"/>
          <w:color w:val="auto"/>
          <w:sz w:val="24"/>
          <w:highlight w:val="none"/>
        </w:rPr>
        <w:t>地址：浙江省绍兴市</w:t>
      </w:r>
      <w:r>
        <w:rPr>
          <w:rFonts w:hint="eastAsia" w:ascii="宋体" w:hAnsi="宋体" w:cs="宋体"/>
          <w:color w:val="auto"/>
          <w:sz w:val="24"/>
          <w:highlight w:val="none"/>
          <w:lang w:eastAsia="zh-CN"/>
        </w:rPr>
        <w:t>上虞区</w:t>
      </w:r>
      <w:r>
        <w:rPr>
          <w:rFonts w:hint="eastAsia" w:ascii="宋体" w:hAnsi="宋体" w:cs="宋体"/>
          <w:b/>
          <w:color w:val="auto"/>
          <w:sz w:val="36"/>
          <w:szCs w:val="20"/>
          <w:highlight w:val="none"/>
        </w:rPr>
        <w:br w:type="page"/>
      </w:r>
      <w:bookmarkStart w:id="13" w:name="_Toc25814"/>
      <w:r>
        <w:rPr>
          <w:rFonts w:hint="eastAsia" w:ascii="宋体" w:hAnsi="宋体" w:cs="宋体"/>
          <w:b/>
          <w:color w:val="auto"/>
          <w:sz w:val="36"/>
          <w:szCs w:val="20"/>
          <w:highlight w:val="none"/>
          <w:lang w:val="en-US" w:eastAsia="zh-CN"/>
        </w:rPr>
        <w:t xml:space="preserve">              </w:t>
      </w:r>
      <w:r>
        <w:rPr>
          <w:rFonts w:hint="eastAsia" w:ascii="宋体" w:hAnsi="宋体" w:cs="宋体"/>
          <w:b/>
          <w:color w:val="auto"/>
          <w:sz w:val="36"/>
          <w:szCs w:val="20"/>
          <w:highlight w:val="none"/>
        </w:rPr>
        <w:t>第二部分</w:t>
      </w:r>
      <w:bookmarkEnd w:id="7"/>
      <w:bookmarkEnd w:id="8"/>
      <w:r>
        <w:rPr>
          <w:rFonts w:hint="eastAsia" w:ascii="宋体" w:hAnsi="宋体" w:cs="宋体"/>
          <w:b/>
          <w:color w:val="auto"/>
          <w:sz w:val="36"/>
          <w:szCs w:val="20"/>
          <w:highlight w:val="none"/>
        </w:rPr>
        <w:t>投标须知</w:t>
      </w:r>
      <w:bookmarkEnd w:id="13"/>
    </w:p>
    <w:p w14:paraId="3C89A078">
      <w:pPr>
        <w:widowControl/>
        <w:adjustRightInd w:val="0"/>
        <w:snapToGrid w:val="0"/>
        <w:spacing w:line="360" w:lineRule="auto"/>
        <w:jc w:val="center"/>
        <w:rPr>
          <w:rFonts w:ascii="宋体" w:hAnsi="宋体" w:cs="宋体"/>
          <w:b/>
          <w:snapToGrid w:val="0"/>
          <w:color w:val="auto"/>
          <w:kern w:val="0"/>
          <w:sz w:val="32"/>
          <w:szCs w:val="32"/>
          <w:highlight w:val="none"/>
        </w:rPr>
      </w:pPr>
      <w:r>
        <w:rPr>
          <w:rFonts w:hint="eastAsia" w:ascii="宋体" w:hAnsi="宋体" w:cs="宋体"/>
          <w:b/>
          <w:snapToGrid w:val="0"/>
          <w:color w:val="auto"/>
          <w:kern w:val="0"/>
          <w:sz w:val="30"/>
          <w:szCs w:val="30"/>
          <w:highlight w:val="none"/>
        </w:rPr>
        <w:t>前附表</w:t>
      </w:r>
    </w:p>
    <w:tbl>
      <w:tblPr>
        <w:tblStyle w:val="30"/>
        <w:tblW w:w="9318"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36"/>
        <w:gridCol w:w="1800"/>
        <w:gridCol w:w="6682"/>
      </w:tblGrid>
      <w:tr w14:paraId="079014C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567" w:hRule="atLeast"/>
          <w:tblHeader/>
          <w:jc w:val="center"/>
        </w:trPr>
        <w:tc>
          <w:tcPr>
            <w:tcW w:w="836" w:type="dxa"/>
            <w:noWrap/>
            <w:vAlign w:val="center"/>
          </w:tcPr>
          <w:p w14:paraId="35551761">
            <w:pPr>
              <w:snapToGrid w:val="0"/>
              <w:spacing w:line="360" w:lineRule="auto"/>
              <w:jc w:val="center"/>
              <w:rPr>
                <w:rFonts w:hint="eastAsia" w:ascii="宋体" w:hAnsi="宋体" w:eastAsia="宋体" w:cs="宋体"/>
                <w:b/>
                <w:bCs/>
                <w:snapToGrid w:val="0"/>
                <w:color w:val="auto"/>
                <w:kern w:val="0"/>
                <w:szCs w:val="21"/>
                <w:highlight w:val="none"/>
              </w:rPr>
            </w:pPr>
            <w:r>
              <w:rPr>
                <w:rFonts w:hint="eastAsia" w:ascii="宋体" w:hAnsi="宋体" w:eastAsia="宋体" w:cs="宋体"/>
                <w:b/>
                <w:bCs/>
                <w:snapToGrid w:val="0"/>
                <w:color w:val="auto"/>
                <w:kern w:val="0"/>
                <w:szCs w:val="21"/>
                <w:highlight w:val="none"/>
              </w:rPr>
              <w:t>序号</w:t>
            </w:r>
          </w:p>
        </w:tc>
        <w:tc>
          <w:tcPr>
            <w:tcW w:w="1800" w:type="dxa"/>
            <w:noWrap/>
            <w:vAlign w:val="center"/>
          </w:tcPr>
          <w:p w14:paraId="648750AC">
            <w:pPr>
              <w:snapToGrid w:val="0"/>
              <w:spacing w:line="360" w:lineRule="auto"/>
              <w:jc w:val="center"/>
              <w:rPr>
                <w:rFonts w:hint="eastAsia" w:ascii="宋体" w:hAnsi="宋体" w:eastAsia="宋体" w:cs="宋体"/>
                <w:b/>
                <w:bCs/>
                <w:snapToGrid w:val="0"/>
                <w:color w:val="auto"/>
                <w:kern w:val="0"/>
                <w:szCs w:val="21"/>
                <w:highlight w:val="none"/>
              </w:rPr>
            </w:pPr>
            <w:r>
              <w:rPr>
                <w:rFonts w:hint="eastAsia" w:ascii="宋体" w:hAnsi="宋体" w:eastAsia="宋体" w:cs="宋体"/>
                <w:b/>
                <w:bCs/>
                <w:snapToGrid w:val="0"/>
                <w:color w:val="auto"/>
                <w:kern w:val="0"/>
                <w:szCs w:val="21"/>
                <w:highlight w:val="none"/>
              </w:rPr>
              <w:t>项目</w:t>
            </w:r>
          </w:p>
        </w:tc>
        <w:tc>
          <w:tcPr>
            <w:tcW w:w="6682" w:type="dxa"/>
            <w:noWrap/>
            <w:vAlign w:val="center"/>
          </w:tcPr>
          <w:p w14:paraId="198A779D">
            <w:pPr>
              <w:snapToGrid w:val="0"/>
              <w:spacing w:line="360" w:lineRule="auto"/>
              <w:jc w:val="center"/>
              <w:rPr>
                <w:rFonts w:hint="eastAsia" w:ascii="宋体" w:hAnsi="宋体" w:eastAsia="宋体" w:cs="宋体"/>
                <w:b/>
                <w:bCs/>
                <w:snapToGrid w:val="0"/>
                <w:color w:val="auto"/>
                <w:kern w:val="0"/>
                <w:szCs w:val="21"/>
                <w:highlight w:val="none"/>
              </w:rPr>
            </w:pPr>
            <w:r>
              <w:rPr>
                <w:rFonts w:hint="eastAsia" w:ascii="宋体" w:hAnsi="宋体" w:eastAsia="宋体" w:cs="宋体"/>
                <w:b/>
                <w:bCs/>
                <w:snapToGrid w:val="0"/>
                <w:color w:val="auto"/>
                <w:kern w:val="0"/>
                <w:szCs w:val="21"/>
                <w:highlight w:val="none"/>
              </w:rPr>
              <w:t>内容</w:t>
            </w:r>
          </w:p>
        </w:tc>
      </w:tr>
      <w:tr w14:paraId="152BE5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7AE8FF12">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w:t>
            </w:r>
          </w:p>
        </w:tc>
        <w:tc>
          <w:tcPr>
            <w:tcW w:w="1800" w:type="dxa"/>
            <w:noWrap/>
            <w:vAlign w:val="center"/>
          </w:tcPr>
          <w:p w14:paraId="36914C79">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项目名称</w:t>
            </w:r>
          </w:p>
        </w:tc>
        <w:tc>
          <w:tcPr>
            <w:tcW w:w="6682" w:type="dxa"/>
            <w:noWrap/>
            <w:vAlign w:val="center"/>
          </w:tcPr>
          <w:p w14:paraId="32E3FB9F">
            <w:pPr>
              <w:snapToGrid w:val="0"/>
              <w:spacing w:line="360" w:lineRule="auto"/>
              <w:ind w:firstLine="420" w:firstLineChars="200"/>
              <w:rPr>
                <w:rFonts w:hint="eastAsia" w:ascii="宋体" w:hAnsi="宋体" w:eastAsia="宋体" w:cs="宋体"/>
                <w:snapToGrid w:val="0"/>
                <w:color w:val="auto"/>
                <w:kern w:val="0"/>
                <w:szCs w:val="21"/>
                <w:highlight w:val="none"/>
                <w:lang w:eastAsia="zh-CN"/>
              </w:rPr>
            </w:pPr>
            <w:r>
              <w:rPr>
                <w:rFonts w:hint="eastAsia" w:ascii="宋体" w:hAnsi="宋体" w:eastAsia="宋体" w:cs="宋体"/>
                <w:snapToGrid w:val="0"/>
                <w:color w:val="auto"/>
                <w:kern w:val="0"/>
                <w:szCs w:val="21"/>
                <w:highlight w:val="none"/>
                <w:lang w:eastAsia="zh-CN"/>
              </w:rPr>
              <w:t>3方立轴搅拌机提升改造项目</w:t>
            </w:r>
            <w:bookmarkStart w:id="480" w:name="_GoBack"/>
            <w:bookmarkEnd w:id="480"/>
          </w:p>
        </w:tc>
      </w:tr>
      <w:tr w14:paraId="780974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29655FF8">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2</w:t>
            </w:r>
          </w:p>
        </w:tc>
        <w:tc>
          <w:tcPr>
            <w:tcW w:w="1800" w:type="dxa"/>
            <w:noWrap/>
            <w:vAlign w:val="center"/>
          </w:tcPr>
          <w:p w14:paraId="4348626B">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项目实施时间</w:t>
            </w:r>
          </w:p>
        </w:tc>
        <w:tc>
          <w:tcPr>
            <w:tcW w:w="6682" w:type="dxa"/>
            <w:noWrap/>
            <w:vAlign w:val="center"/>
          </w:tcPr>
          <w:p w14:paraId="4E780219">
            <w:pPr>
              <w:widowControl/>
              <w:spacing w:before="100" w:after="100" w:line="360" w:lineRule="auto"/>
              <w:ind w:firstLine="211" w:firstLineChars="100"/>
              <w:jc w:val="left"/>
              <w:rPr>
                <w:rFonts w:hint="eastAsia" w:ascii="宋体" w:hAnsi="宋体" w:eastAsia="宋体" w:cs="宋体"/>
                <w:color w:val="auto"/>
                <w:sz w:val="21"/>
                <w:szCs w:val="21"/>
                <w:highlight w:val="none"/>
              </w:rPr>
            </w:pPr>
            <w:r>
              <w:rPr>
                <w:rFonts w:hint="eastAsia" w:ascii="宋体" w:hAnsi="宋体" w:eastAsia="宋体" w:cs="宋体"/>
                <w:b/>
                <w:bCs/>
                <w:snapToGrid w:val="0"/>
                <w:color w:val="auto"/>
                <w:kern w:val="0"/>
                <w:szCs w:val="21"/>
                <w:highlight w:val="none"/>
              </w:rPr>
              <w:t>自合同签订之日起至合同履行完毕</w:t>
            </w:r>
          </w:p>
        </w:tc>
      </w:tr>
      <w:tr w14:paraId="2C75763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655F20C3">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3</w:t>
            </w:r>
          </w:p>
        </w:tc>
        <w:tc>
          <w:tcPr>
            <w:tcW w:w="1800" w:type="dxa"/>
            <w:noWrap/>
            <w:vAlign w:val="center"/>
          </w:tcPr>
          <w:p w14:paraId="4820DB9B">
            <w:pPr>
              <w:snapToGrid w:val="0"/>
              <w:spacing w:line="360" w:lineRule="auto"/>
              <w:jc w:val="center"/>
              <w:rPr>
                <w:rFonts w:hint="eastAsia" w:ascii="宋体" w:hAnsi="宋体" w:eastAsia="宋体" w:cs="宋体"/>
                <w:b/>
                <w:snapToGrid w:val="0"/>
                <w:color w:val="auto"/>
                <w:kern w:val="0"/>
                <w:szCs w:val="21"/>
                <w:highlight w:val="none"/>
              </w:rPr>
            </w:pPr>
            <w:r>
              <w:rPr>
                <w:rFonts w:hint="eastAsia" w:ascii="宋体" w:hAnsi="宋体" w:eastAsia="宋体" w:cs="宋体"/>
                <w:b/>
                <w:snapToGrid w:val="0"/>
                <w:color w:val="auto"/>
                <w:kern w:val="0"/>
                <w:szCs w:val="21"/>
                <w:highlight w:val="none"/>
              </w:rPr>
              <w:t>最高限价</w:t>
            </w:r>
          </w:p>
        </w:tc>
        <w:tc>
          <w:tcPr>
            <w:tcW w:w="6682" w:type="dxa"/>
            <w:noWrap/>
            <w:vAlign w:val="center"/>
          </w:tcPr>
          <w:p w14:paraId="514F44B0">
            <w:pPr>
              <w:snapToGrid w:val="0"/>
              <w:spacing w:line="360" w:lineRule="auto"/>
              <w:ind w:firstLine="210" w:firstLineChars="1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本项目最高限价人民币</w:t>
            </w:r>
            <w:r>
              <w:rPr>
                <w:rFonts w:hint="eastAsia" w:ascii="宋体" w:hAnsi="宋体" w:eastAsia="宋体" w:cs="宋体"/>
                <w:color w:val="auto"/>
                <w:szCs w:val="21"/>
                <w:highlight w:val="none"/>
                <w:u w:val="single"/>
                <w:lang w:val="en-US" w:eastAsia="zh-CN"/>
              </w:rPr>
              <w:t xml:space="preserve">  113  </w:t>
            </w:r>
            <w:r>
              <w:rPr>
                <w:rFonts w:hint="eastAsia" w:ascii="宋体" w:hAnsi="宋体" w:eastAsia="宋体" w:cs="宋体"/>
                <w:color w:val="auto"/>
                <w:szCs w:val="21"/>
                <w:highlight w:val="none"/>
              </w:rPr>
              <w:t>万元。</w:t>
            </w:r>
          </w:p>
        </w:tc>
      </w:tr>
      <w:tr w14:paraId="5AD386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3405ECF8">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 xml:space="preserve">                                                                                                   4</w:t>
            </w:r>
          </w:p>
        </w:tc>
        <w:tc>
          <w:tcPr>
            <w:tcW w:w="1800" w:type="dxa"/>
            <w:noWrap/>
            <w:vAlign w:val="center"/>
          </w:tcPr>
          <w:p w14:paraId="571CA41F">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资格审查方式</w:t>
            </w:r>
          </w:p>
        </w:tc>
        <w:tc>
          <w:tcPr>
            <w:tcW w:w="6682" w:type="dxa"/>
            <w:noWrap/>
            <w:vAlign w:val="center"/>
          </w:tcPr>
          <w:p w14:paraId="71A122C5">
            <w:pPr>
              <w:snapToGrid w:val="0"/>
              <w:spacing w:line="360" w:lineRule="auto"/>
              <w:ind w:firstLine="420" w:firstLineChars="200"/>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资格审查是指开标后，采购人或采购代理机构将依据法律法规和招标文件的规定对投标人的资格进行审查。</w:t>
            </w:r>
          </w:p>
        </w:tc>
      </w:tr>
      <w:tr w14:paraId="20CA51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35206B23">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5</w:t>
            </w:r>
          </w:p>
        </w:tc>
        <w:tc>
          <w:tcPr>
            <w:tcW w:w="1800" w:type="dxa"/>
            <w:noWrap/>
            <w:vAlign w:val="center"/>
          </w:tcPr>
          <w:p w14:paraId="272E135A">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踏勘现场</w:t>
            </w:r>
          </w:p>
        </w:tc>
        <w:tc>
          <w:tcPr>
            <w:tcW w:w="6682" w:type="dxa"/>
            <w:noWrap/>
            <w:vAlign w:val="center"/>
          </w:tcPr>
          <w:p w14:paraId="041CE30F">
            <w:pPr>
              <w:snapToGrid w:val="0"/>
              <w:spacing w:line="360" w:lineRule="auto"/>
              <w:ind w:firstLine="422" w:firstLineChars="200"/>
              <w:rPr>
                <w:rFonts w:hint="eastAsia" w:ascii="宋体" w:hAnsi="宋体" w:eastAsia="宋体" w:cs="宋体"/>
                <w:snapToGrid w:val="0"/>
                <w:color w:val="auto"/>
                <w:kern w:val="0"/>
                <w:szCs w:val="21"/>
                <w:highlight w:val="none"/>
              </w:rPr>
            </w:pPr>
            <w:r>
              <w:rPr>
                <w:rFonts w:hint="eastAsia" w:ascii="宋体" w:hAnsi="宋体" w:eastAsia="宋体" w:cs="宋体"/>
                <w:b/>
                <w:snapToGrid w:val="0"/>
                <w:color w:val="auto"/>
                <w:kern w:val="0"/>
                <w:szCs w:val="21"/>
                <w:highlight w:val="none"/>
              </w:rPr>
              <w:t>本项目不组织现场踏勘</w:t>
            </w:r>
          </w:p>
        </w:tc>
      </w:tr>
      <w:tr w14:paraId="3C2483F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6AE12DD5">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6</w:t>
            </w:r>
          </w:p>
        </w:tc>
        <w:tc>
          <w:tcPr>
            <w:tcW w:w="1800" w:type="dxa"/>
            <w:noWrap/>
            <w:vAlign w:val="center"/>
          </w:tcPr>
          <w:p w14:paraId="31A19680">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询问</w:t>
            </w:r>
          </w:p>
        </w:tc>
        <w:tc>
          <w:tcPr>
            <w:tcW w:w="6682" w:type="dxa"/>
            <w:noWrap/>
            <w:vAlign w:val="center"/>
          </w:tcPr>
          <w:p w14:paraId="008640B9">
            <w:pPr>
              <w:snapToGrid w:val="0"/>
              <w:spacing w:line="360" w:lineRule="auto"/>
              <w:ind w:firstLine="420" w:firstLineChars="200"/>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供应商对国企采购活动事项有疑问的，可以向采购机构提出询问，采购人或者招标代理机构应当在3个工作日内对供应商依法提出的询问作出答复，但答复的内容不得涉及商业秘密。</w:t>
            </w:r>
          </w:p>
        </w:tc>
      </w:tr>
      <w:tr w14:paraId="3E1617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170CB6FB">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7</w:t>
            </w:r>
          </w:p>
        </w:tc>
        <w:tc>
          <w:tcPr>
            <w:tcW w:w="1800" w:type="dxa"/>
            <w:noWrap/>
            <w:vAlign w:val="center"/>
          </w:tcPr>
          <w:p w14:paraId="0D7C859D">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招标文件的澄清与修改</w:t>
            </w:r>
          </w:p>
        </w:tc>
        <w:tc>
          <w:tcPr>
            <w:tcW w:w="6682" w:type="dxa"/>
            <w:noWrap/>
            <w:vAlign w:val="center"/>
          </w:tcPr>
          <w:p w14:paraId="32C6D534">
            <w:pPr>
              <w:snapToGrid w:val="0"/>
              <w:spacing w:line="360" w:lineRule="auto"/>
              <w:ind w:firstLine="420" w:firstLineChars="200"/>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招标采购单位可以对已发出的招标文件进行必要澄清或者修改，澄清或者修改的内容可能影响投标文件编制的，应当在招标文件要求提交投标文件截止时间十五日前，在招标公告发布的媒体上发布更正公告，该澄清或者修改的内容为招标文件的组成部分。本项目招标文件和补充（答疑、澄清）、修改文件等请自行登录浙江政府采购网或绍兴市上虞区公共资源交易中心网站查看。</w:t>
            </w:r>
          </w:p>
        </w:tc>
      </w:tr>
      <w:tr w14:paraId="70CD97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3BFBB225">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8</w:t>
            </w:r>
          </w:p>
        </w:tc>
        <w:tc>
          <w:tcPr>
            <w:tcW w:w="1800" w:type="dxa"/>
            <w:noWrap/>
            <w:vAlign w:val="center"/>
          </w:tcPr>
          <w:p w14:paraId="22ED559B">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投标文件组成</w:t>
            </w:r>
          </w:p>
        </w:tc>
        <w:tc>
          <w:tcPr>
            <w:tcW w:w="6682" w:type="dxa"/>
            <w:noWrap/>
            <w:vAlign w:val="center"/>
          </w:tcPr>
          <w:p w14:paraId="29F5463C">
            <w:pPr>
              <w:snapToGrid w:val="0"/>
              <w:spacing w:line="360" w:lineRule="auto"/>
              <w:ind w:firstLine="420" w:firstLineChars="200"/>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投标人向采购人递交的投标文件由资格文件、技术文件、商务</w:t>
            </w:r>
            <w:r>
              <w:rPr>
                <w:rFonts w:hint="eastAsia" w:ascii="宋体" w:hAnsi="宋体" w:eastAsia="宋体" w:cs="宋体"/>
                <w:snapToGrid w:val="0"/>
                <w:color w:val="auto"/>
                <w:kern w:val="0"/>
                <w:szCs w:val="21"/>
                <w:highlight w:val="none"/>
                <w:lang w:val="en-US" w:eastAsia="zh-CN"/>
              </w:rPr>
              <w:t>文件、</w:t>
            </w:r>
            <w:r>
              <w:rPr>
                <w:rFonts w:hint="eastAsia" w:ascii="宋体" w:hAnsi="宋体" w:eastAsia="宋体" w:cs="宋体"/>
                <w:snapToGrid w:val="0"/>
                <w:color w:val="auto"/>
                <w:kern w:val="0"/>
                <w:szCs w:val="21"/>
                <w:highlight w:val="none"/>
              </w:rPr>
              <w:t>报价文件</w:t>
            </w:r>
            <w:r>
              <w:rPr>
                <w:rFonts w:hint="eastAsia" w:ascii="宋体" w:hAnsi="宋体" w:eastAsia="宋体" w:cs="宋体"/>
                <w:snapToGrid w:val="0"/>
                <w:color w:val="auto"/>
                <w:kern w:val="0"/>
                <w:szCs w:val="21"/>
                <w:highlight w:val="none"/>
                <w:lang w:val="en-US" w:eastAsia="zh-CN"/>
              </w:rPr>
              <w:t>四</w:t>
            </w:r>
            <w:r>
              <w:rPr>
                <w:rFonts w:hint="eastAsia" w:ascii="宋体" w:hAnsi="宋体" w:eastAsia="宋体" w:cs="宋体"/>
                <w:snapToGrid w:val="0"/>
                <w:color w:val="auto"/>
                <w:kern w:val="0"/>
                <w:szCs w:val="21"/>
                <w:highlight w:val="none"/>
              </w:rPr>
              <w:t>部分组成。</w:t>
            </w:r>
          </w:p>
        </w:tc>
      </w:tr>
      <w:tr w14:paraId="686797C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13434CF7">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9</w:t>
            </w:r>
          </w:p>
        </w:tc>
        <w:tc>
          <w:tcPr>
            <w:tcW w:w="1800" w:type="dxa"/>
            <w:noWrap/>
            <w:vAlign w:val="center"/>
          </w:tcPr>
          <w:p w14:paraId="7A92D059">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评标办法</w:t>
            </w:r>
          </w:p>
        </w:tc>
        <w:tc>
          <w:tcPr>
            <w:tcW w:w="6682" w:type="dxa"/>
            <w:noWrap/>
            <w:vAlign w:val="center"/>
          </w:tcPr>
          <w:p w14:paraId="5A6DD34D">
            <w:pPr>
              <w:snapToGrid w:val="0"/>
              <w:spacing w:line="360" w:lineRule="auto"/>
              <w:ind w:firstLine="420" w:firstLineChars="200"/>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综合评分法</w:t>
            </w:r>
          </w:p>
        </w:tc>
      </w:tr>
      <w:tr w14:paraId="1167BC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70AEB6DF">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10</w:t>
            </w:r>
          </w:p>
        </w:tc>
        <w:tc>
          <w:tcPr>
            <w:tcW w:w="1800" w:type="dxa"/>
            <w:noWrap/>
            <w:vAlign w:val="center"/>
          </w:tcPr>
          <w:p w14:paraId="380DE1AF">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投标文件递交地址及截止时间</w:t>
            </w:r>
          </w:p>
        </w:tc>
        <w:tc>
          <w:tcPr>
            <w:tcW w:w="6682" w:type="dxa"/>
            <w:noWrap/>
            <w:vAlign w:val="center"/>
          </w:tcPr>
          <w:p w14:paraId="2B35D086">
            <w:pPr>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snapToGrid w:val="0"/>
                <w:color w:val="auto"/>
                <w:kern w:val="0"/>
                <w:szCs w:val="21"/>
                <w:highlight w:val="none"/>
              </w:rPr>
              <w:t>详见招标公告</w:t>
            </w:r>
          </w:p>
        </w:tc>
      </w:tr>
      <w:tr w14:paraId="5A050D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30E2E5B6">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11</w:t>
            </w:r>
          </w:p>
        </w:tc>
        <w:tc>
          <w:tcPr>
            <w:tcW w:w="1800" w:type="dxa"/>
            <w:noWrap/>
            <w:vAlign w:val="center"/>
          </w:tcPr>
          <w:p w14:paraId="1A39C932">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开标时间、地点</w:t>
            </w:r>
          </w:p>
        </w:tc>
        <w:tc>
          <w:tcPr>
            <w:tcW w:w="6682" w:type="dxa"/>
            <w:noWrap/>
            <w:vAlign w:val="center"/>
          </w:tcPr>
          <w:p w14:paraId="6DC1B27D">
            <w:pPr>
              <w:snapToGrid w:val="0"/>
              <w:spacing w:line="360" w:lineRule="auto"/>
              <w:ind w:firstLine="420" w:firstLineChars="200"/>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开标时间：</w:t>
            </w:r>
            <w:r>
              <w:rPr>
                <w:rFonts w:hint="eastAsia" w:ascii="宋体" w:hAnsi="宋体" w:eastAsia="宋体" w:cs="宋体"/>
                <w:color w:val="auto"/>
                <w:kern w:val="0"/>
                <w:szCs w:val="21"/>
                <w:highlight w:val="none"/>
              </w:rPr>
              <w:t>详见招标公告</w:t>
            </w:r>
          </w:p>
          <w:p w14:paraId="47D82B21">
            <w:pPr>
              <w:snapToGrid w:val="0"/>
              <w:spacing w:line="360" w:lineRule="auto"/>
              <w:ind w:firstLine="420" w:firstLineChars="200"/>
              <w:rPr>
                <w:rFonts w:hint="eastAsia" w:ascii="宋体" w:hAnsi="宋体" w:eastAsia="宋体" w:cs="宋体"/>
                <w:color w:val="auto"/>
                <w:kern w:val="0"/>
                <w:szCs w:val="21"/>
                <w:highlight w:val="none"/>
              </w:rPr>
            </w:pPr>
            <w:r>
              <w:rPr>
                <w:rFonts w:hint="eastAsia" w:ascii="宋体" w:hAnsi="宋体" w:eastAsia="宋体" w:cs="宋体"/>
                <w:snapToGrid w:val="0"/>
                <w:color w:val="auto"/>
                <w:kern w:val="0"/>
                <w:szCs w:val="21"/>
                <w:highlight w:val="none"/>
              </w:rPr>
              <w:t>开标地点：</w:t>
            </w:r>
            <w:r>
              <w:rPr>
                <w:rFonts w:hint="eastAsia" w:ascii="宋体" w:hAnsi="宋体" w:eastAsia="宋体" w:cs="宋体"/>
                <w:color w:val="auto"/>
                <w:kern w:val="0"/>
                <w:szCs w:val="21"/>
                <w:highlight w:val="none"/>
              </w:rPr>
              <w:t>详见招标公告</w:t>
            </w:r>
          </w:p>
        </w:tc>
      </w:tr>
      <w:tr w14:paraId="7BD03F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2A46057E">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12</w:t>
            </w:r>
          </w:p>
        </w:tc>
        <w:tc>
          <w:tcPr>
            <w:tcW w:w="1800" w:type="dxa"/>
            <w:noWrap/>
            <w:vAlign w:val="center"/>
          </w:tcPr>
          <w:p w14:paraId="6FEF4A2A">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投标有效期</w:t>
            </w:r>
          </w:p>
        </w:tc>
        <w:tc>
          <w:tcPr>
            <w:tcW w:w="6682" w:type="dxa"/>
            <w:noWrap/>
            <w:vAlign w:val="center"/>
          </w:tcPr>
          <w:p w14:paraId="18563C1E">
            <w:pPr>
              <w:snapToGrid w:val="0"/>
              <w:spacing w:line="360" w:lineRule="auto"/>
              <w:ind w:firstLine="420" w:firstLineChars="200"/>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投标有效期为从提交投标文件的截止之日起90天。投标人的投标文件中承诺的投标有效期少于招标文件中载明的投标有效期的，投标无效。</w:t>
            </w:r>
          </w:p>
        </w:tc>
      </w:tr>
      <w:tr w14:paraId="5D0FA2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191C3D5B">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13</w:t>
            </w:r>
          </w:p>
        </w:tc>
        <w:tc>
          <w:tcPr>
            <w:tcW w:w="1800" w:type="dxa"/>
            <w:noWrap/>
            <w:vAlign w:val="center"/>
          </w:tcPr>
          <w:p w14:paraId="608264E2">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投标保证金</w:t>
            </w:r>
          </w:p>
        </w:tc>
        <w:tc>
          <w:tcPr>
            <w:tcW w:w="6682" w:type="dxa"/>
            <w:noWrap/>
            <w:vAlign w:val="center"/>
          </w:tcPr>
          <w:p w14:paraId="676C0358">
            <w:pPr>
              <w:adjustRightInd w:val="0"/>
              <w:spacing w:line="360" w:lineRule="auto"/>
              <w:ind w:firstLine="422" w:firstLineChars="200"/>
              <w:rPr>
                <w:rFonts w:hint="eastAsia" w:ascii="宋体" w:hAnsi="宋体" w:eastAsia="宋体" w:cs="宋体"/>
                <w:color w:val="auto"/>
                <w:kern w:val="0"/>
                <w:szCs w:val="21"/>
                <w:highlight w:val="none"/>
              </w:rPr>
            </w:pPr>
            <w:r>
              <w:rPr>
                <w:rFonts w:hint="eastAsia" w:ascii="宋体" w:hAnsi="宋体" w:eastAsia="宋体" w:cs="宋体"/>
                <w:b/>
                <w:bCs/>
                <w:color w:val="auto"/>
                <w:szCs w:val="21"/>
                <w:highlight w:val="none"/>
              </w:rPr>
              <w:t>投标保证金：本项目</w:t>
            </w:r>
            <w:r>
              <w:rPr>
                <w:rFonts w:hint="eastAsia" w:ascii="宋体" w:hAnsi="宋体" w:eastAsia="宋体" w:cs="宋体"/>
                <w:b/>
                <w:bCs/>
                <w:color w:val="auto"/>
                <w:szCs w:val="21"/>
                <w:highlight w:val="none"/>
                <w:u w:val="single"/>
              </w:rPr>
              <w:t>不设置</w:t>
            </w:r>
            <w:r>
              <w:rPr>
                <w:rFonts w:hint="eastAsia" w:ascii="宋体" w:hAnsi="宋体" w:eastAsia="宋体" w:cs="宋体"/>
                <w:b/>
                <w:bCs/>
                <w:color w:val="auto"/>
                <w:szCs w:val="21"/>
                <w:highlight w:val="none"/>
              </w:rPr>
              <w:t>投标保证金。</w:t>
            </w:r>
          </w:p>
        </w:tc>
      </w:tr>
      <w:tr w14:paraId="6DEA57B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1DC25FBB">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14</w:t>
            </w:r>
          </w:p>
        </w:tc>
        <w:tc>
          <w:tcPr>
            <w:tcW w:w="1800" w:type="dxa"/>
            <w:noWrap/>
            <w:vAlign w:val="center"/>
          </w:tcPr>
          <w:p w14:paraId="47E54E52">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履约保证金</w:t>
            </w:r>
          </w:p>
        </w:tc>
        <w:tc>
          <w:tcPr>
            <w:tcW w:w="6682" w:type="dxa"/>
            <w:noWrap/>
            <w:vAlign w:val="center"/>
          </w:tcPr>
          <w:p w14:paraId="4E3D79A2">
            <w:pPr>
              <w:pStyle w:val="15"/>
              <w:snapToGrid w:val="0"/>
              <w:spacing w:line="360" w:lineRule="auto"/>
              <w:ind w:firstLine="420" w:firstLineChars="200"/>
              <w:rPr>
                <w:rFonts w:hint="eastAsia" w:ascii="宋体" w:hAnsi="宋体" w:eastAsia="宋体" w:cs="宋体"/>
                <w:color w:val="auto"/>
                <w:kern w:val="0"/>
                <w:highlight w:val="none"/>
              </w:rPr>
            </w:pPr>
            <w:r>
              <w:rPr>
                <w:rFonts w:hint="eastAsia" w:ascii="宋体" w:hAnsi="宋体" w:eastAsia="宋体" w:cs="宋体"/>
                <w:color w:val="auto"/>
                <w:kern w:val="0"/>
                <w:highlight w:val="none"/>
              </w:rPr>
              <w:t>中标人在收到中标通知书后，需向采购人提供合同总价</w:t>
            </w:r>
            <w:r>
              <w:rPr>
                <w:rFonts w:hint="eastAsia" w:ascii="宋体" w:hAnsi="宋体" w:eastAsia="宋体" w:cs="宋体"/>
                <w:color w:val="auto"/>
                <w:kern w:val="0"/>
                <w:highlight w:val="none"/>
                <w:u w:val="single"/>
              </w:rPr>
              <w:t>　1　</w:t>
            </w:r>
            <w:r>
              <w:rPr>
                <w:rFonts w:hint="eastAsia" w:ascii="宋体" w:hAnsi="宋体" w:eastAsia="宋体" w:cs="宋体"/>
                <w:color w:val="auto"/>
                <w:kern w:val="0"/>
                <w:highlight w:val="none"/>
              </w:rPr>
              <w:t>%的履约保证金，在中标人与采购人签订合同前递交。</w:t>
            </w:r>
          </w:p>
          <w:p w14:paraId="21748468">
            <w:pPr>
              <w:pStyle w:val="15"/>
              <w:snapToGrid w:val="0"/>
              <w:spacing w:line="360" w:lineRule="auto"/>
              <w:ind w:firstLine="420" w:firstLineChars="200"/>
              <w:rPr>
                <w:rFonts w:hint="eastAsia" w:ascii="宋体" w:hAnsi="宋体" w:eastAsia="宋体" w:cs="宋体"/>
                <w:color w:val="auto"/>
                <w:kern w:val="0"/>
                <w:highlight w:val="none"/>
              </w:rPr>
            </w:pPr>
            <w:r>
              <w:rPr>
                <w:rFonts w:hint="eastAsia" w:ascii="宋体" w:hAnsi="宋体" w:eastAsia="宋体" w:cs="宋体"/>
                <w:color w:val="auto"/>
                <w:kern w:val="0"/>
                <w:highlight w:val="none"/>
              </w:rPr>
              <w:t xml:space="preserve"> 履约保证金在合同期满后第一个月一次性退还。</w:t>
            </w:r>
          </w:p>
        </w:tc>
      </w:tr>
      <w:tr w14:paraId="3FCDF2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2517335F">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15</w:t>
            </w:r>
          </w:p>
        </w:tc>
        <w:tc>
          <w:tcPr>
            <w:tcW w:w="1800" w:type="dxa"/>
            <w:noWrap/>
            <w:vAlign w:val="center"/>
          </w:tcPr>
          <w:p w14:paraId="3E48C974">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采购及中标公告发布媒体</w:t>
            </w:r>
          </w:p>
        </w:tc>
        <w:tc>
          <w:tcPr>
            <w:tcW w:w="6682" w:type="dxa"/>
            <w:noWrap/>
            <w:vAlign w:val="center"/>
          </w:tcPr>
          <w:p w14:paraId="4D9A8EF5">
            <w:pPr>
              <w:pStyle w:val="15"/>
              <w:snapToGrid w:val="0"/>
              <w:spacing w:line="360" w:lineRule="auto"/>
              <w:ind w:firstLine="420" w:firstLineChars="200"/>
              <w:jc w:val="left"/>
              <w:rPr>
                <w:rFonts w:hint="eastAsia" w:ascii="宋体" w:hAnsi="宋体" w:eastAsia="宋体" w:cs="宋体"/>
                <w:color w:val="auto"/>
                <w:kern w:val="0"/>
                <w:highlight w:val="none"/>
              </w:rPr>
            </w:pPr>
            <w:r>
              <w:rPr>
                <w:rFonts w:hint="eastAsia" w:ascii="宋体" w:hAnsi="宋体" w:eastAsia="宋体" w:cs="宋体"/>
                <w:color w:val="auto"/>
                <w:kern w:val="0"/>
                <w:highlight w:val="none"/>
              </w:rPr>
              <w:t>浙江政府采购网、绍兴市上虞区公共资源交易中心网站</w:t>
            </w:r>
          </w:p>
        </w:tc>
      </w:tr>
      <w:tr w14:paraId="4509027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3CC7DB5D">
            <w:pPr>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16</w:t>
            </w:r>
          </w:p>
        </w:tc>
        <w:tc>
          <w:tcPr>
            <w:tcW w:w="1800" w:type="dxa"/>
            <w:noWrap/>
            <w:vAlign w:val="center"/>
          </w:tcPr>
          <w:p w14:paraId="7651281D">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质疑</w:t>
            </w:r>
          </w:p>
        </w:tc>
        <w:tc>
          <w:tcPr>
            <w:tcW w:w="6682" w:type="dxa"/>
            <w:noWrap/>
            <w:vAlign w:val="center"/>
          </w:tcPr>
          <w:p w14:paraId="589AADB2">
            <w:pPr>
              <w:pStyle w:val="29"/>
              <w:spacing w:after="0" w:line="360" w:lineRule="auto"/>
              <w:ind w:left="0" w:lef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认为采购文件、采购过程、中标或者成交结果使自己的权益受到损害的，可以在知道或者应知其权益受到损害之日起7个工作日内，以书面形式向采购人、采购代理机构提出质疑，采购人、采购代理机构应在7个工作日内做好答复工作，但答复内容不得涉及商业秘密。</w:t>
            </w:r>
          </w:p>
          <w:p w14:paraId="4406D31F">
            <w:pPr>
              <w:pStyle w:val="29"/>
              <w:spacing w:after="0" w:line="360" w:lineRule="auto"/>
              <w:ind w:left="0" w:leftChars="0"/>
              <w:rPr>
                <w:rFonts w:hint="eastAsia" w:ascii="宋体" w:hAnsi="宋体" w:eastAsia="宋体" w:cs="宋体"/>
                <w:snapToGrid w:val="0"/>
                <w:color w:val="auto"/>
                <w:kern w:val="0"/>
                <w:szCs w:val="21"/>
                <w:highlight w:val="none"/>
              </w:rPr>
            </w:pPr>
            <w:r>
              <w:rPr>
                <w:rFonts w:hint="eastAsia" w:ascii="宋体" w:hAnsi="宋体" w:eastAsia="宋体" w:cs="宋体"/>
                <w:color w:val="auto"/>
                <w:szCs w:val="21"/>
                <w:highlight w:val="none"/>
              </w:rPr>
              <w:t xml:space="preserve">   《上虞区区属国有企业货物和服务采购管理办法》第四十九条规定的供应商应知其权益收到损害之日，是指：（一）对可以质疑的采购文件提出质疑的，为收到采购文件之日或者采购文件公告期限届满之日（公告期限届满后获取采购文件的，以公告期限届满之日为准）；（二）对采购过程提出质疑的，为各采购程序环节结束之日；（三）对中标或者成交结果提出质疑的，为中标或者成交结果公告期限届满之日。</w:t>
            </w:r>
          </w:p>
        </w:tc>
      </w:tr>
      <w:tr w14:paraId="248FDB5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4CA0E1D6">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17</w:t>
            </w:r>
          </w:p>
        </w:tc>
        <w:tc>
          <w:tcPr>
            <w:tcW w:w="1800" w:type="dxa"/>
            <w:noWrap/>
            <w:vAlign w:val="center"/>
          </w:tcPr>
          <w:p w14:paraId="24FD3AEB">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投诉</w:t>
            </w:r>
          </w:p>
        </w:tc>
        <w:tc>
          <w:tcPr>
            <w:tcW w:w="6682" w:type="dxa"/>
            <w:noWrap/>
            <w:vAlign w:val="center"/>
          </w:tcPr>
          <w:p w14:paraId="3BAC0AF6">
            <w:pPr>
              <w:snapToGrid w:val="0"/>
              <w:spacing w:line="360" w:lineRule="auto"/>
              <w:ind w:firstLine="420" w:firstLineChars="200"/>
              <w:jc w:val="left"/>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按照《上虞区区属国有企业货物和服务采购管理办法》第五十条的规定：</w:t>
            </w:r>
          </w:p>
          <w:p w14:paraId="4254AB29">
            <w:pPr>
              <w:pStyle w:val="29"/>
              <w:spacing w:after="0" w:line="360" w:lineRule="auto"/>
              <w:ind w:left="0" w:leftChars="0"/>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质疑供应商对质疑的答复不满意，或者采购人或采购代理机构未在规定时间内答复的，可以在收到答复之日或者答复期满后 15 个工作日内依法向采购人主管部门投诉。采购人主管部门应当在 30 个工作日内调查并回应。投诉事项调查期间，采购人主管部门应当通知采购人暂停采购活动。</w:t>
            </w:r>
          </w:p>
          <w:p w14:paraId="217A7B8F">
            <w:pPr>
              <w:pStyle w:val="29"/>
              <w:spacing w:after="0" w:line="360" w:lineRule="auto"/>
              <w:ind w:left="0" w:leftChars="0"/>
              <w:rPr>
                <w:rFonts w:hint="eastAsia" w:ascii="宋体" w:hAnsi="宋体" w:eastAsia="宋体" w:cs="宋体"/>
                <w:snapToGrid w:val="0"/>
                <w:color w:val="auto"/>
                <w:kern w:val="0"/>
                <w:szCs w:val="21"/>
                <w:highlight w:val="none"/>
              </w:rPr>
            </w:pPr>
            <w:r>
              <w:rPr>
                <w:rFonts w:hint="eastAsia" w:ascii="宋体" w:hAnsi="宋体" w:eastAsia="宋体" w:cs="宋体"/>
                <w:color w:val="auto"/>
                <w:szCs w:val="21"/>
                <w:highlight w:val="none"/>
              </w:rPr>
              <w:t>投诉人提交投诉件时，应当提供相关书面证据、依据和其他有关材料。</w:t>
            </w:r>
          </w:p>
        </w:tc>
      </w:tr>
      <w:tr w14:paraId="3C2BE0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34F782B4">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18</w:t>
            </w:r>
          </w:p>
        </w:tc>
        <w:tc>
          <w:tcPr>
            <w:tcW w:w="1800" w:type="dxa"/>
            <w:noWrap/>
            <w:vAlign w:val="center"/>
          </w:tcPr>
          <w:p w14:paraId="7D1DFD1C">
            <w:pPr>
              <w:snapToGrid w:val="0"/>
              <w:spacing w:line="360" w:lineRule="auto"/>
              <w:jc w:val="center"/>
              <w:rPr>
                <w:rFonts w:hint="eastAsia" w:ascii="宋体" w:hAnsi="宋体" w:eastAsia="宋体" w:cs="宋体"/>
                <w:snapToGrid w:val="0"/>
                <w:color w:val="auto"/>
                <w:kern w:val="0"/>
                <w:szCs w:val="21"/>
                <w:highlight w:val="none"/>
              </w:rPr>
            </w:pPr>
            <w:r>
              <w:rPr>
                <w:rFonts w:hint="eastAsia" w:ascii="宋体" w:hAnsi="宋体" w:eastAsia="宋体" w:cs="宋体"/>
                <w:snapToGrid w:val="0"/>
                <w:color w:val="auto"/>
                <w:kern w:val="0"/>
                <w:szCs w:val="21"/>
                <w:highlight w:val="none"/>
              </w:rPr>
              <w:t>特别说明</w:t>
            </w:r>
          </w:p>
        </w:tc>
        <w:tc>
          <w:tcPr>
            <w:tcW w:w="6682" w:type="dxa"/>
            <w:noWrap/>
            <w:vAlign w:val="center"/>
          </w:tcPr>
          <w:p w14:paraId="34984504">
            <w:pPr>
              <w:pStyle w:val="15"/>
              <w:snapToGrid w:val="0"/>
              <w:spacing w:line="360" w:lineRule="auto"/>
              <w:ind w:firstLine="420" w:firstLineChars="200"/>
              <w:jc w:val="left"/>
              <w:rPr>
                <w:rFonts w:hint="eastAsia" w:ascii="宋体" w:hAnsi="宋体" w:eastAsia="宋体" w:cs="宋体"/>
                <w:color w:val="auto"/>
                <w:kern w:val="0"/>
                <w:highlight w:val="none"/>
              </w:rPr>
            </w:pPr>
            <w:r>
              <w:rPr>
                <w:rFonts w:hint="eastAsia" w:ascii="宋体" w:hAnsi="宋体" w:eastAsia="宋体" w:cs="宋体"/>
                <w:color w:val="auto"/>
                <w:kern w:val="0"/>
                <w:highlight w:val="none"/>
              </w:rPr>
              <w:t>投标人应无条件的、认真仔细的阅读本招标文件及其澄清答疑、修改答复的补充文件，严格按照招标文件及补充文件的规定和要求编制投标文件。在编制投标文件过程中，应严格遵循实事求是、诚信投标的原则，针对招标文件中的采购需求、合同条款等各项内容进行确认，如有偏离，应如实填写响应偏离表。</w:t>
            </w:r>
          </w:p>
          <w:p w14:paraId="3925C9EC">
            <w:pPr>
              <w:pStyle w:val="15"/>
              <w:snapToGrid w:val="0"/>
              <w:spacing w:line="360" w:lineRule="auto"/>
              <w:ind w:firstLine="420" w:firstLineChars="200"/>
              <w:jc w:val="left"/>
              <w:rPr>
                <w:rFonts w:hint="eastAsia" w:ascii="宋体" w:hAnsi="宋体" w:eastAsia="宋体" w:cs="宋体"/>
                <w:color w:val="auto"/>
                <w:kern w:val="0"/>
                <w:highlight w:val="none"/>
              </w:rPr>
            </w:pPr>
            <w:r>
              <w:rPr>
                <w:rFonts w:hint="eastAsia" w:ascii="宋体" w:hAnsi="宋体" w:eastAsia="宋体" w:cs="宋体"/>
                <w:color w:val="auto"/>
                <w:kern w:val="0"/>
                <w:highlight w:val="none"/>
              </w:rPr>
              <w:t>该项目中标公示期间，投标人不得通过非正当途径、更不得通过非正当手段获取法律法规规定评标委员会（包括其他相关人员）应当保密的相关内容。即便由此获得资料并作为向采购人或招标代理机构或监督管理部门提出异（质）疑或投诉或法院起诉的理由，均属于非法索取的依据。</w:t>
            </w:r>
          </w:p>
          <w:p w14:paraId="0F2E08FE">
            <w:pPr>
              <w:pStyle w:val="15"/>
              <w:snapToGrid w:val="0"/>
              <w:spacing w:line="360" w:lineRule="auto"/>
              <w:ind w:firstLine="420" w:firstLineChars="200"/>
              <w:jc w:val="left"/>
              <w:rPr>
                <w:rFonts w:hint="eastAsia" w:ascii="宋体" w:hAnsi="宋体" w:eastAsia="宋体" w:cs="宋体"/>
                <w:b/>
                <w:color w:val="auto"/>
                <w:kern w:val="0"/>
                <w:highlight w:val="none"/>
              </w:rPr>
            </w:pPr>
            <w:r>
              <w:rPr>
                <w:rFonts w:hint="eastAsia" w:ascii="宋体" w:hAnsi="宋体" w:eastAsia="宋体" w:cs="宋体"/>
                <w:color w:val="auto"/>
                <w:kern w:val="0"/>
                <w:highlight w:val="none"/>
              </w:rPr>
              <w:t>招标文件中凡标注“</w:t>
            </w:r>
            <w:r>
              <w:rPr>
                <w:rFonts w:hint="eastAsia" w:ascii="宋体" w:hAnsi="宋体" w:eastAsia="宋体" w:cs="宋体"/>
                <w:color w:val="auto"/>
                <w:highlight w:val="none"/>
              </w:rPr>
              <w:t>★</w:t>
            </w:r>
            <w:r>
              <w:rPr>
                <w:rFonts w:hint="eastAsia" w:ascii="宋体" w:hAnsi="宋体" w:eastAsia="宋体" w:cs="宋体"/>
                <w:color w:val="auto"/>
                <w:kern w:val="0"/>
                <w:highlight w:val="none"/>
              </w:rPr>
              <w:t>”的条款均为实质性要求，不响应的投标文件将作无效标处理。</w:t>
            </w:r>
          </w:p>
        </w:tc>
      </w:tr>
      <w:tr w14:paraId="6F1075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37" w:hRule="atLeast"/>
          <w:jc w:val="center"/>
        </w:trPr>
        <w:tc>
          <w:tcPr>
            <w:tcW w:w="836" w:type="dxa"/>
            <w:noWrap/>
            <w:vAlign w:val="center"/>
          </w:tcPr>
          <w:p w14:paraId="478311A5">
            <w:pPr>
              <w:snapToGrid w:val="0"/>
              <w:spacing w:line="360" w:lineRule="auto"/>
              <w:jc w:val="center"/>
              <w:rPr>
                <w:rFonts w:hint="eastAsia" w:ascii="宋体" w:hAnsi="宋体" w:eastAsia="宋体" w:cs="宋体"/>
                <w:snapToGrid w:val="0"/>
                <w:color w:val="auto"/>
                <w:kern w:val="0"/>
                <w:szCs w:val="21"/>
                <w:highlight w:val="none"/>
                <w:lang w:val="en-US" w:eastAsia="zh-CN"/>
              </w:rPr>
            </w:pPr>
            <w:r>
              <w:rPr>
                <w:rFonts w:hint="eastAsia" w:ascii="宋体" w:hAnsi="宋体" w:eastAsia="宋体" w:cs="宋体"/>
                <w:snapToGrid w:val="0"/>
                <w:color w:val="auto"/>
                <w:kern w:val="0"/>
                <w:szCs w:val="21"/>
                <w:highlight w:val="none"/>
                <w:lang w:val="en-US" w:eastAsia="zh-CN"/>
              </w:rPr>
              <w:t>19</w:t>
            </w:r>
          </w:p>
        </w:tc>
        <w:tc>
          <w:tcPr>
            <w:tcW w:w="1800" w:type="dxa"/>
            <w:noWrap/>
            <w:vAlign w:val="center"/>
          </w:tcPr>
          <w:p w14:paraId="356897E8">
            <w:pPr>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是否允许分包</w:t>
            </w:r>
          </w:p>
        </w:tc>
        <w:tc>
          <w:tcPr>
            <w:tcW w:w="6682" w:type="dxa"/>
            <w:noWrap/>
            <w:vAlign w:val="center"/>
          </w:tcPr>
          <w:p w14:paraId="2CF43F6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w:t>
            </w:r>
            <w:r>
              <w:rPr>
                <w:rFonts w:hint="eastAsia" w:ascii="宋体" w:hAnsi="宋体" w:eastAsia="宋体" w:cs="宋体"/>
                <w:color w:val="auto"/>
                <w:szCs w:val="21"/>
                <w:highlight w:val="none"/>
                <w:u w:val="single"/>
              </w:rPr>
              <w:t>不允许</w:t>
            </w:r>
            <w:r>
              <w:rPr>
                <w:rFonts w:hint="eastAsia" w:ascii="宋体" w:hAnsi="宋体" w:eastAsia="宋体" w:cs="宋体"/>
                <w:color w:val="auto"/>
                <w:szCs w:val="21"/>
                <w:highlight w:val="none"/>
              </w:rPr>
              <w:t>分包</w:t>
            </w:r>
          </w:p>
        </w:tc>
      </w:tr>
      <w:tr w14:paraId="781048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97" w:hRule="atLeast"/>
          <w:jc w:val="center"/>
        </w:trPr>
        <w:tc>
          <w:tcPr>
            <w:tcW w:w="836" w:type="dxa"/>
            <w:noWrap/>
            <w:vAlign w:val="center"/>
          </w:tcPr>
          <w:p w14:paraId="6992F651">
            <w:pPr>
              <w:snapToGrid w:val="0"/>
              <w:spacing w:line="360" w:lineRule="auto"/>
              <w:jc w:val="center"/>
              <w:rPr>
                <w:rFonts w:hint="eastAsia" w:ascii="宋体" w:hAnsi="宋体" w:eastAsia="宋体" w:cs="宋体"/>
                <w:snapToGrid w:val="0"/>
                <w:color w:val="auto"/>
                <w:kern w:val="0"/>
                <w:szCs w:val="21"/>
                <w:highlight w:val="none"/>
                <w:lang w:eastAsia="zh-CN"/>
              </w:rPr>
            </w:pPr>
            <w:r>
              <w:rPr>
                <w:rFonts w:hint="eastAsia" w:ascii="宋体" w:hAnsi="宋体" w:eastAsia="宋体" w:cs="宋体"/>
                <w:snapToGrid w:val="0"/>
                <w:color w:val="auto"/>
                <w:kern w:val="0"/>
                <w:szCs w:val="21"/>
                <w:highlight w:val="none"/>
              </w:rPr>
              <w:t>2</w:t>
            </w:r>
            <w:r>
              <w:rPr>
                <w:rFonts w:hint="eastAsia" w:ascii="宋体" w:hAnsi="宋体" w:eastAsia="宋体" w:cs="宋体"/>
                <w:snapToGrid w:val="0"/>
                <w:color w:val="auto"/>
                <w:kern w:val="0"/>
                <w:szCs w:val="21"/>
                <w:highlight w:val="none"/>
                <w:lang w:val="en-US" w:eastAsia="zh-CN"/>
              </w:rPr>
              <w:t>0</w:t>
            </w:r>
          </w:p>
        </w:tc>
        <w:tc>
          <w:tcPr>
            <w:tcW w:w="1800" w:type="dxa"/>
            <w:tcBorders>
              <w:top w:val="single" w:color="auto" w:sz="4" w:space="0"/>
            </w:tcBorders>
            <w:noWrap/>
            <w:vAlign w:val="center"/>
          </w:tcPr>
          <w:p w14:paraId="0769E8F5">
            <w:pPr>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是否提供演示</w:t>
            </w:r>
          </w:p>
        </w:tc>
        <w:tc>
          <w:tcPr>
            <w:tcW w:w="6682" w:type="dxa"/>
            <w:tcBorders>
              <w:top w:val="single" w:color="auto" w:sz="4" w:space="0"/>
            </w:tcBorders>
            <w:noWrap/>
            <w:vAlign w:val="center"/>
          </w:tcPr>
          <w:p w14:paraId="19AA2230">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本项目</w:t>
            </w:r>
            <w:r>
              <w:rPr>
                <w:rFonts w:hint="eastAsia" w:ascii="宋体" w:hAnsi="宋体" w:eastAsia="宋体" w:cs="宋体"/>
                <w:color w:val="auto"/>
                <w:szCs w:val="21"/>
                <w:highlight w:val="none"/>
                <w:u w:val="single"/>
              </w:rPr>
              <w:t>不需要</w:t>
            </w:r>
            <w:r>
              <w:rPr>
                <w:rFonts w:hint="eastAsia" w:ascii="宋体" w:hAnsi="宋体" w:eastAsia="宋体" w:cs="宋体"/>
                <w:color w:val="auto"/>
                <w:szCs w:val="21"/>
                <w:highlight w:val="none"/>
              </w:rPr>
              <w:t>提供演示。</w:t>
            </w:r>
          </w:p>
        </w:tc>
      </w:tr>
      <w:tr w14:paraId="6F2C19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42F773D0">
            <w:pPr>
              <w:snapToGrid w:val="0"/>
              <w:spacing w:line="360" w:lineRule="auto"/>
              <w:jc w:val="center"/>
              <w:rPr>
                <w:rFonts w:hint="eastAsia" w:ascii="宋体" w:hAnsi="宋体" w:eastAsia="宋体" w:cs="宋体"/>
                <w:snapToGrid w:val="0"/>
                <w:color w:val="auto"/>
                <w:kern w:val="0"/>
                <w:szCs w:val="21"/>
                <w:highlight w:val="none"/>
                <w:lang w:eastAsia="zh-CN"/>
              </w:rPr>
            </w:pPr>
            <w:r>
              <w:rPr>
                <w:rFonts w:hint="eastAsia" w:ascii="宋体" w:hAnsi="宋体" w:eastAsia="宋体" w:cs="宋体"/>
                <w:snapToGrid w:val="0"/>
                <w:color w:val="auto"/>
                <w:kern w:val="0"/>
                <w:szCs w:val="21"/>
                <w:highlight w:val="none"/>
              </w:rPr>
              <w:t>2</w:t>
            </w:r>
            <w:r>
              <w:rPr>
                <w:rFonts w:hint="eastAsia" w:ascii="宋体" w:hAnsi="宋体" w:eastAsia="宋体" w:cs="宋体"/>
                <w:snapToGrid w:val="0"/>
                <w:color w:val="auto"/>
                <w:kern w:val="0"/>
                <w:szCs w:val="21"/>
                <w:highlight w:val="none"/>
                <w:lang w:val="en-US" w:eastAsia="zh-CN"/>
              </w:rPr>
              <w:t>1</w:t>
            </w:r>
          </w:p>
        </w:tc>
        <w:tc>
          <w:tcPr>
            <w:tcW w:w="1800" w:type="dxa"/>
            <w:noWrap/>
            <w:vAlign w:val="center"/>
          </w:tcPr>
          <w:p w14:paraId="35AFD33E">
            <w:pPr>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投标人信用信息查询渠道及截止时点、信用信息查询记录和证据留存的具体方式、信用信息的使用规则</w:t>
            </w:r>
          </w:p>
        </w:tc>
        <w:tc>
          <w:tcPr>
            <w:tcW w:w="6682" w:type="dxa"/>
            <w:noWrap/>
            <w:vAlign w:val="center"/>
          </w:tcPr>
          <w:p w14:paraId="1A2E980E">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1、查询渠道：信用中国（网址：http://www.creditchina.gov.cn）、中国政府采购网(网址：http://www.ccgp.gov.cn）。</w:t>
            </w:r>
          </w:p>
          <w:p w14:paraId="7B7FF4EF">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2、截止时点：开标后评标前。</w:t>
            </w:r>
          </w:p>
          <w:p w14:paraId="611FF90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3、信用信息查询记录和证据留存的具体方式：由采购组织机构在规定查询时间内打印信用信息查询记录并归入项目档案。</w:t>
            </w:r>
          </w:p>
          <w:p w14:paraId="39E7E0B2">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4、使用规则：对列入失信被执行人、重大税收违法案件当事人名单、政府采购严重违法失信行为记录名单及其他不符合《中华人民共和国政府采购法》第二十二条规定条件的供应商，将被拒绝其参与政府采购活动。</w:t>
            </w:r>
          </w:p>
        </w:tc>
      </w:tr>
      <w:tr w14:paraId="19E50B3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561EB3BD">
            <w:pPr>
              <w:snapToGrid w:val="0"/>
              <w:spacing w:line="360" w:lineRule="auto"/>
              <w:jc w:val="center"/>
              <w:rPr>
                <w:rFonts w:hint="eastAsia" w:ascii="宋体" w:hAnsi="宋体" w:eastAsia="宋体" w:cs="宋体"/>
                <w:snapToGrid w:val="0"/>
                <w:color w:val="auto"/>
                <w:kern w:val="0"/>
                <w:szCs w:val="21"/>
                <w:highlight w:val="none"/>
                <w:lang w:val="en-US" w:eastAsia="zh-CN"/>
              </w:rPr>
            </w:pPr>
            <w:r>
              <w:rPr>
                <w:rFonts w:hint="eastAsia" w:ascii="宋体" w:hAnsi="宋体" w:eastAsia="宋体" w:cs="宋体"/>
                <w:snapToGrid w:val="0"/>
                <w:color w:val="auto"/>
                <w:kern w:val="0"/>
                <w:szCs w:val="21"/>
                <w:highlight w:val="none"/>
                <w:lang w:val="en-US" w:eastAsia="zh-CN"/>
              </w:rPr>
              <w:t>22</w:t>
            </w:r>
          </w:p>
        </w:tc>
        <w:tc>
          <w:tcPr>
            <w:tcW w:w="1800" w:type="dxa"/>
            <w:noWrap/>
            <w:vAlign w:val="center"/>
          </w:tcPr>
          <w:p w14:paraId="34AD4C62">
            <w:pPr>
              <w:snapToGrid w:val="0"/>
              <w:spacing w:line="360" w:lineRule="auto"/>
              <w:jc w:val="center"/>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代理费</w:t>
            </w:r>
          </w:p>
        </w:tc>
        <w:tc>
          <w:tcPr>
            <w:tcW w:w="6682" w:type="dxa"/>
            <w:noWrap/>
            <w:vAlign w:val="center"/>
          </w:tcPr>
          <w:p w14:paraId="115AC168">
            <w:pPr>
              <w:autoSpaceDE w:val="0"/>
              <w:autoSpaceDN w:val="0"/>
              <w:spacing w:line="360" w:lineRule="auto"/>
              <w:ind w:firstLine="420" w:firstLineChars="200"/>
              <w:jc w:val="left"/>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招标代理服务费由中标单位支付，按下列货物差额定率累进法计算方式计取。</w:t>
            </w:r>
          </w:p>
          <w:tbl>
            <w:tblPr>
              <w:tblStyle w:val="30"/>
              <w:tblW w:w="4733" w:type="pct"/>
              <w:jc w:val="center"/>
              <w:tblCellSpacing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3110"/>
              <w:gridCol w:w="1008"/>
              <w:gridCol w:w="1008"/>
              <w:gridCol w:w="976"/>
            </w:tblGrid>
            <w:tr w14:paraId="58B53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1" w:hRule="atLeast"/>
                <w:tblCellSpacing w:w="0" w:type="dxa"/>
                <w:jc w:val="center"/>
              </w:trPr>
              <w:tc>
                <w:tcPr>
                  <w:tcW w:w="3114" w:type="dxa"/>
                  <w:noWrap w:val="0"/>
                  <w:vAlign w:val="center"/>
                </w:tcPr>
                <w:p w14:paraId="04576412">
                  <w:pPr>
                    <w:autoSpaceDE w:val="0"/>
                    <w:autoSpaceDN w:val="0"/>
                    <w:spacing w:line="360" w:lineRule="auto"/>
                    <w:jc w:val="left"/>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服务类型 中标金额（万元）</w:t>
                  </w:r>
                </w:p>
              </w:tc>
              <w:tc>
                <w:tcPr>
                  <w:tcW w:w="1010" w:type="dxa"/>
                  <w:noWrap w:val="0"/>
                  <w:vAlign w:val="center"/>
                </w:tcPr>
                <w:p w14:paraId="69215A47">
                  <w:pPr>
                    <w:autoSpaceDE w:val="0"/>
                    <w:autoSpaceDN w:val="0"/>
                    <w:spacing w:line="360" w:lineRule="auto"/>
                    <w:jc w:val="left"/>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货物招标</w:t>
                  </w:r>
                </w:p>
              </w:tc>
              <w:tc>
                <w:tcPr>
                  <w:tcW w:w="1010" w:type="dxa"/>
                  <w:noWrap w:val="0"/>
                  <w:vAlign w:val="center"/>
                </w:tcPr>
                <w:p w14:paraId="1E4EC8D6">
                  <w:pPr>
                    <w:autoSpaceDE w:val="0"/>
                    <w:autoSpaceDN w:val="0"/>
                    <w:spacing w:line="360" w:lineRule="auto"/>
                    <w:jc w:val="left"/>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服务招标</w:t>
                  </w:r>
                </w:p>
              </w:tc>
              <w:tc>
                <w:tcPr>
                  <w:tcW w:w="978" w:type="dxa"/>
                  <w:noWrap w:val="0"/>
                  <w:vAlign w:val="center"/>
                </w:tcPr>
                <w:p w14:paraId="5C4091BF">
                  <w:pPr>
                    <w:autoSpaceDE w:val="0"/>
                    <w:autoSpaceDN w:val="0"/>
                    <w:spacing w:line="360" w:lineRule="auto"/>
                    <w:jc w:val="left"/>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工程招标</w:t>
                  </w:r>
                </w:p>
              </w:tc>
            </w:tr>
            <w:tr w14:paraId="3418B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3" w:hRule="atLeast"/>
                <w:tblCellSpacing w:w="0" w:type="dxa"/>
                <w:jc w:val="center"/>
              </w:trPr>
              <w:tc>
                <w:tcPr>
                  <w:tcW w:w="3114" w:type="dxa"/>
                  <w:noWrap w:val="0"/>
                  <w:vAlign w:val="center"/>
                </w:tcPr>
                <w:p w14:paraId="2E3C0931">
                  <w:pPr>
                    <w:autoSpaceDE w:val="0"/>
                    <w:autoSpaceDN w:val="0"/>
                    <w:spacing w:line="360" w:lineRule="auto"/>
                    <w:jc w:val="left"/>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100以下</w:t>
                  </w:r>
                </w:p>
              </w:tc>
              <w:tc>
                <w:tcPr>
                  <w:tcW w:w="1010" w:type="dxa"/>
                  <w:noWrap w:val="0"/>
                  <w:vAlign w:val="center"/>
                </w:tcPr>
                <w:p w14:paraId="6A379E5A">
                  <w:pPr>
                    <w:autoSpaceDE w:val="0"/>
                    <w:autoSpaceDN w:val="0"/>
                    <w:spacing w:line="360" w:lineRule="auto"/>
                    <w:jc w:val="center"/>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1.5％</w:t>
                  </w:r>
                </w:p>
              </w:tc>
              <w:tc>
                <w:tcPr>
                  <w:tcW w:w="1010" w:type="dxa"/>
                  <w:noWrap w:val="0"/>
                  <w:vAlign w:val="center"/>
                </w:tcPr>
                <w:p w14:paraId="75E6469F">
                  <w:pPr>
                    <w:autoSpaceDE w:val="0"/>
                    <w:autoSpaceDN w:val="0"/>
                    <w:spacing w:line="360" w:lineRule="auto"/>
                    <w:jc w:val="center"/>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1.5％</w:t>
                  </w:r>
                </w:p>
              </w:tc>
              <w:tc>
                <w:tcPr>
                  <w:tcW w:w="978" w:type="dxa"/>
                  <w:noWrap w:val="0"/>
                  <w:vAlign w:val="center"/>
                </w:tcPr>
                <w:p w14:paraId="6358EB49">
                  <w:pPr>
                    <w:autoSpaceDE w:val="0"/>
                    <w:autoSpaceDN w:val="0"/>
                    <w:spacing w:line="360" w:lineRule="auto"/>
                    <w:jc w:val="center"/>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w:t>
                  </w:r>
                </w:p>
              </w:tc>
            </w:tr>
            <w:tr w14:paraId="4A59E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0" w:hRule="atLeast"/>
                <w:tblCellSpacing w:w="0" w:type="dxa"/>
                <w:jc w:val="center"/>
              </w:trPr>
              <w:tc>
                <w:tcPr>
                  <w:tcW w:w="3114" w:type="dxa"/>
                  <w:noWrap w:val="0"/>
                  <w:vAlign w:val="center"/>
                </w:tcPr>
                <w:p w14:paraId="7D701091">
                  <w:pPr>
                    <w:autoSpaceDE w:val="0"/>
                    <w:autoSpaceDN w:val="0"/>
                    <w:spacing w:line="360" w:lineRule="auto"/>
                    <w:jc w:val="left"/>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100—500</w:t>
                  </w:r>
                </w:p>
              </w:tc>
              <w:tc>
                <w:tcPr>
                  <w:tcW w:w="1010" w:type="dxa"/>
                  <w:noWrap w:val="0"/>
                  <w:vAlign w:val="center"/>
                </w:tcPr>
                <w:p w14:paraId="066647A8">
                  <w:pPr>
                    <w:autoSpaceDE w:val="0"/>
                    <w:autoSpaceDN w:val="0"/>
                    <w:spacing w:line="360" w:lineRule="auto"/>
                    <w:jc w:val="center"/>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w:t>
                  </w:r>
                </w:p>
              </w:tc>
              <w:tc>
                <w:tcPr>
                  <w:tcW w:w="1010" w:type="dxa"/>
                  <w:noWrap w:val="0"/>
                  <w:vAlign w:val="center"/>
                </w:tcPr>
                <w:p w14:paraId="1CD037CC">
                  <w:pPr>
                    <w:autoSpaceDE w:val="0"/>
                    <w:autoSpaceDN w:val="0"/>
                    <w:spacing w:line="360" w:lineRule="auto"/>
                    <w:jc w:val="center"/>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0.8％</w:t>
                  </w:r>
                </w:p>
              </w:tc>
              <w:tc>
                <w:tcPr>
                  <w:tcW w:w="978" w:type="dxa"/>
                  <w:noWrap w:val="0"/>
                  <w:vAlign w:val="center"/>
                </w:tcPr>
                <w:p w14:paraId="046635DD">
                  <w:pPr>
                    <w:autoSpaceDE w:val="0"/>
                    <w:autoSpaceDN w:val="0"/>
                    <w:spacing w:line="360" w:lineRule="auto"/>
                    <w:jc w:val="center"/>
                    <w:textAlignment w:val="bottom"/>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0.7％</w:t>
                  </w:r>
                </w:p>
              </w:tc>
            </w:tr>
          </w:tbl>
          <w:p w14:paraId="31700158">
            <w:pPr>
              <w:spacing w:line="360" w:lineRule="auto"/>
              <w:ind w:firstLine="420" w:firstLineChars="200"/>
              <w:rPr>
                <w:rFonts w:hint="eastAsia" w:ascii="宋体" w:hAnsi="宋体" w:eastAsia="宋体" w:cs="宋体"/>
                <w:color w:val="auto"/>
                <w:szCs w:val="21"/>
                <w:highlight w:val="none"/>
              </w:rPr>
            </w:pPr>
            <w:r>
              <w:rPr>
                <w:rFonts w:hint="eastAsia" w:ascii="宋体" w:hAnsi="宋体" w:eastAsia="宋体" w:cs="宋体"/>
                <w:sz w:val="21"/>
                <w:szCs w:val="21"/>
                <w:lang w:val="en-US" w:eastAsia="zh-CN"/>
              </w:rPr>
              <w:t>结算方式及时间为：在领取中标通知书前由中标单位一次性向采购代理机构付清。</w:t>
            </w:r>
          </w:p>
        </w:tc>
      </w:tr>
      <w:tr w14:paraId="4FC4C2F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36" w:type="dxa"/>
            <w:noWrap/>
            <w:vAlign w:val="center"/>
          </w:tcPr>
          <w:p w14:paraId="6B0A1101">
            <w:pPr>
              <w:snapToGrid w:val="0"/>
              <w:spacing w:line="360" w:lineRule="auto"/>
              <w:jc w:val="center"/>
              <w:rPr>
                <w:rFonts w:hint="eastAsia" w:ascii="宋体" w:hAnsi="宋体" w:eastAsia="宋体" w:cs="宋体"/>
                <w:snapToGrid w:val="0"/>
                <w:color w:val="auto"/>
                <w:kern w:val="0"/>
                <w:szCs w:val="21"/>
                <w:highlight w:val="none"/>
                <w:lang w:eastAsia="zh-CN"/>
              </w:rPr>
            </w:pPr>
            <w:r>
              <w:rPr>
                <w:rFonts w:hint="eastAsia" w:ascii="宋体" w:hAnsi="宋体" w:eastAsia="宋体" w:cs="宋体"/>
                <w:snapToGrid w:val="0"/>
                <w:color w:val="auto"/>
                <w:kern w:val="0"/>
                <w:szCs w:val="21"/>
                <w:highlight w:val="none"/>
              </w:rPr>
              <w:t>2</w:t>
            </w:r>
            <w:r>
              <w:rPr>
                <w:rFonts w:hint="eastAsia" w:ascii="宋体" w:hAnsi="宋体" w:eastAsia="宋体" w:cs="宋体"/>
                <w:snapToGrid w:val="0"/>
                <w:color w:val="auto"/>
                <w:kern w:val="0"/>
                <w:szCs w:val="21"/>
                <w:highlight w:val="none"/>
                <w:lang w:val="en-US" w:eastAsia="zh-CN"/>
              </w:rPr>
              <w:t>3</w:t>
            </w:r>
          </w:p>
        </w:tc>
        <w:tc>
          <w:tcPr>
            <w:tcW w:w="1800" w:type="dxa"/>
            <w:noWrap/>
            <w:vAlign w:val="center"/>
          </w:tcPr>
          <w:p w14:paraId="11CEE74E">
            <w:pPr>
              <w:snapToGrid w:val="0"/>
              <w:spacing w:line="360" w:lineRule="auto"/>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其他</w:t>
            </w:r>
          </w:p>
        </w:tc>
        <w:tc>
          <w:tcPr>
            <w:tcW w:w="6682" w:type="dxa"/>
            <w:noWrap/>
            <w:vAlign w:val="center"/>
          </w:tcPr>
          <w:p w14:paraId="6B81ECE0">
            <w:pPr>
              <w:numPr>
                <w:ilvl w:val="0"/>
                <w:numId w:val="5"/>
              </w:numPr>
              <w:spacing w:line="360" w:lineRule="auto"/>
              <w:ind w:firstLine="420" w:firstLineChars="200"/>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本招标文件要求提供的身份证复印件皆需提供正反面，否则按不提供处理。</w:t>
            </w:r>
          </w:p>
          <w:p w14:paraId="4B7C6660">
            <w:pPr>
              <w:numPr>
                <w:ilvl w:val="0"/>
                <w:numId w:val="0"/>
              </w:numPr>
              <w:spacing w:line="360" w:lineRule="auto"/>
              <w:ind w:firstLine="420" w:firstLineChars="200"/>
              <w:rPr>
                <w:rFonts w:hint="eastAsia" w:ascii="宋体" w:hAnsi="宋体" w:eastAsia="宋体" w:cs="宋体"/>
                <w:b/>
                <w:color w:val="auto"/>
                <w:szCs w:val="21"/>
                <w:highlight w:val="none"/>
              </w:rPr>
            </w:pPr>
            <w:r>
              <w:rPr>
                <w:rFonts w:hint="eastAsia" w:ascii="宋体" w:hAnsi="宋体" w:eastAsia="宋体" w:cs="宋体"/>
                <w:b w:val="0"/>
                <w:bCs/>
                <w:color w:val="auto"/>
                <w:szCs w:val="21"/>
                <w:highlight w:val="none"/>
                <w:lang w:val="en-US" w:eastAsia="zh-CN"/>
              </w:rPr>
              <w:t>2、</w:t>
            </w:r>
            <w:r>
              <w:rPr>
                <w:rFonts w:hint="eastAsia" w:ascii="宋体" w:hAnsi="宋体" w:eastAsia="宋体" w:cs="宋体"/>
                <w:b w:val="0"/>
                <w:bCs/>
                <w:color w:val="auto"/>
                <w:kern w:val="2"/>
                <w:sz w:val="21"/>
                <w:szCs w:val="21"/>
                <w:highlight w:val="none"/>
                <w:lang w:val="en-US" w:eastAsia="zh-CN" w:bidi="ar-SA"/>
              </w:rPr>
              <w:t>本项目所供货物如涉及柴油动力移动源，柴油动力移动源应当符合低排放要求。</w:t>
            </w:r>
          </w:p>
        </w:tc>
      </w:tr>
    </w:tbl>
    <w:p w14:paraId="620DCCDC">
      <w:pPr>
        <w:pStyle w:val="43"/>
        <w:spacing w:before="0"/>
        <w:ind w:firstLine="420"/>
        <w:rPr>
          <w:rFonts w:ascii="宋体" w:hAnsi="宋体" w:cs="宋体"/>
          <w:color w:val="auto"/>
          <w:sz w:val="21"/>
          <w:szCs w:val="21"/>
          <w:highlight w:val="none"/>
        </w:rPr>
      </w:pPr>
      <w:r>
        <w:rPr>
          <w:rFonts w:hint="eastAsia" w:ascii="宋体" w:hAnsi="宋体" w:cs="宋体"/>
          <w:color w:val="auto"/>
          <w:sz w:val="21"/>
          <w:szCs w:val="21"/>
          <w:highlight w:val="none"/>
        </w:rPr>
        <w:t>注：以上内容如有变化将另行通知。如通知其中某一内容发生变化，其余未提及的将不作变动。</w:t>
      </w:r>
    </w:p>
    <w:p w14:paraId="306B8701">
      <w:pPr>
        <w:snapToGrid w:val="0"/>
        <w:spacing w:line="360" w:lineRule="auto"/>
        <w:jc w:val="center"/>
        <w:outlineLvl w:val="0"/>
        <w:rPr>
          <w:rFonts w:ascii="宋体" w:hAnsi="宋体" w:cs="宋体"/>
          <w:b/>
          <w:color w:val="auto"/>
          <w:sz w:val="32"/>
          <w:highlight w:val="none"/>
        </w:rPr>
      </w:pPr>
      <w:r>
        <w:rPr>
          <w:rFonts w:hint="eastAsia" w:ascii="宋体" w:hAnsi="宋体" w:cs="宋体"/>
          <w:b/>
          <w:color w:val="auto"/>
          <w:sz w:val="32"/>
          <w:szCs w:val="20"/>
          <w:highlight w:val="none"/>
        </w:rPr>
        <w:br w:type="page"/>
      </w:r>
      <w:bookmarkStart w:id="14" w:name="_Toc20143"/>
      <w:r>
        <w:rPr>
          <w:rFonts w:hint="eastAsia" w:ascii="宋体" w:hAnsi="宋体" w:cs="宋体"/>
          <w:b/>
          <w:color w:val="auto"/>
          <w:sz w:val="32"/>
          <w:highlight w:val="none"/>
        </w:rPr>
        <w:t>一、总则</w:t>
      </w:r>
      <w:bookmarkEnd w:id="9"/>
      <w:bookmarkEnd w:id="14"/>
    </w:p>
    <w:p w14:paraId="2DC66238">
      <w:pPr>
        <w:pStyle w:val="15"/>
        <w:numPr>
          <w:ilvl w:val="0"/>
          <w:numId w:val="6"/>
        </w:numPr>
        <w:spacing w:line="360" w:lineRule="auto"/>
        <w:ind w:firstLine="482" w:firstLineChars="200"/>
        <w:rPr>
          <w:rFonts w:hAnsi="宋体" w:cs="宋体"/>
          <w:b/>
          <w:color w:val="auto"/>
          <w:sz w:val="24"/>
          <w:szCs w:val="24"/>
          <w:highlight w:val="none"/>
        </w:rPr>
      </w:pPr>
      <w:bookmarkStart w:id="15" w:name="_Hlt74714665"/>
      <w:bookmarkEnd w:id="15"/>
      <w:bookmarkStart w:id="16" w:name="_Hlt74730295"/>
      <w:bookmarkEnd w:id="16"/>
      <w:bookmarkStart w:id="17" w:name="_Toc91899872"/>
      <w:bookmarkStart w:id="18" w:name="_Hlt74730112"/>
      <w:bookmarkStart w:id="19" w:name="_Hlt74730208"/>
      <w:r>
        <w:rPr>
          <w:rFonts w:hint="eastAsia" w:hAnsi="宋体" w:cs="宋体"/>
          <w:b/>
          <w:color w:val="auto"/>
          <w:sz w:val="24"/>
          <w:szCs w:val="24"/>
          <w:highlight w:val="none"/>
        </w:rPr>
        <w:t>项目说明</w:t>
      </w:r>
      <w:bookmarkEnd w:id="17"/>
    </w:p>
    <w:p w14:paraId="3B699E1A">
      <w:pPr>
        <w:pStyle w:val="43"/>
        <w:numPr>
          <w:ilvl w:val="0"/>
          <w:numId w:val="7"/>
        </w:numPr>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项目说明见前附表所述。投标人一旦参与本次招标活动，即被视为接受了本招标文件的所有内容，如有任何异议，均已在法定时间内提出。</w:t>
      </w:r>
    </w:p>
    <w:p w14:paraId="1566BD28">
      <w:pPr>
        <w:pStyle w:val="43"/>
        <w:numPr>
          <w:ilvl w:val="0"/>
          <w:numId w:val="7"/>
        </w:numPr>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投标人须对所投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w:t>
      </w:r>
      <w:r>
        <w:rPr>
          <w:rFonts w:hint="eastAsia" w:ascii="宋体" w:hAnsi="宋体" w:cs="宋体"/>
          <w:color w:val="auto"/>
          <w:szCs w:val="24"/>
          <w:highlight w:val="none"/>
          <w:lang w:val="zh-CN"/>
        </w:rPr>
        <w:t>供应商</w:t>
      </w:r>
      <w:r>
        <w:rPr>
          <w:rFonts w:hint="eastAsia" w:ascii="宋体" w:hAnsi="宋体" w:cs="宋体"/>
          <w:color w:val="auto"/>
          <w:szCs w:val="24"/>
          <w:highlight w:val="none"/>
        </w:rPr>
        <w:t>应承担相应后果，</w:t>
      </w:r>
      <w:r>
        <w:rPr>
          <w:rFonts w:hint="eastAsia" w:ascii="宋体" w:hAnsi="宋体" w:cs="宋体"/>
          <w:color w:val="auto"/>
          <w:szCs w:val="24"/>
          <w:highlight w:val="none"/>
          <w:lang w:val="zh-CN"/>
        </w:rPr>
        <w:t>并负责赔偿。</w:t>
      </w:r>
      <w:r>
        <w:rPr>
          <w:rFonts w:hint="eastAsia" w:ascii="宋体" w:hAnsi="宋体" w:cs="宋体"/>
          <w:color w:val="auto"/>
          <w:szCs w:val="24"/>
          <w:highlight w:val="none"/>
        </w:rPr>
        <w:t>供应商为执行本项目合同而提供的技术资料等归采购人所有。</w:t>
      </w:r>
    </w:p>
    <w:p w14:paraId="5C97D1A2">
      <w:pPr>
        <w:snapToGrid w:val="0"/>
        <w:spacing w:line="440" w:lineRule="exact"/>
        <w:ind w:firstLine="480" w:firstLineChars="200"/>
        <w:jc w:val="left"/>
        <w:rPr>
          <w:rFonts w:ascii="宋体" w:hAnsi="宋体" w:cs="宋体"/>
          <w:color w:val="auto"/>
          <w:sz w:val="24"/>
          <w:highlight w:val="none"/>
        </w:rPr>
      </w:pPr>
      <w:bookmarkStart w:id="20" w:name="_Toc91899873"/>
      <w:r>
        <w:rPr>
          <w:rFonts w:hint="eastAsia" w:ascii="宋体" w:hAnsi="宋体" w:cs="宋体"/>
          <w:color w:val="auto"/>
          <w:sz w:val="24"/>
          <w:highlight w:val="none"/>
        </w:rPr>
        <w:t>1.3本招标文件所称公章是指单位法定名称章或者冠以单位法定名称的电子公章。</w:t>
      </w:r>
    </w:p>
    <w:p w14:paraId="14890291">
      <w:pPr>
        <w:snapToGrid w:val="0"/>
        <w:spacing w:line="44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1.4公开招标数额标准以上的采购项目，投标截止后投标人不足3家或者通过资格审查或符合性审查的投标人不足3家的，除采购任务取消情形外，按照以下方式处理：</w:t>
      </w:r>
    </w:p>
    <w:p w14:paraId="3F54658C">
      <w:pPr>
        <w:pStyle w:val="43"/>
        <w:numPr>
          <w:ilvl w:val="0"/>
          <w:numId w:val="8"/>
        </w:numPr>
        <w:spacing w:before="0"/>
        <w:ind w:firstLine="480"/>
        <w:rPr>
          <w:rFonts w:ascii="宋体" w:hAnsi="宋体" w:cs="宋体"/>
          <w:color w:val="auto"/>
          <w:szCs w:val="24"/>
          <w:highlight w:val="none"/>
        </w:rPr>
      </w:pPr>
      <w:r>
        <w:rPr>
          <w:rFonts w:hint="eastAsia" w:ascii="宋体" w:hAnsi="宋体" w:cs="宋体"/>
          <w:color w:val="auto"/>
          <w:szCs w:val="24"/>
          <w:highlight w:val="none"/>
        </w:rPr>
        <w:t>招标文件存在不合理条款或者招标程序不符合规定的，采购人、采购代理机构改正后依法重新招标；</w:t>
      </w:r>
    </w:p>
    <w:p w14:paraId="06A8006B">
      <w:pPr>
        <w:pStyle w:val="43"/>
        <w:numPr>
          <w:ilvl w:val="0"/>
          <w:numId w:val="8"/>
        </w:numPr>
        <w:spacing w:before="0"/>
        <w:ind w:firstLine="480"/>
        <w:rPr>
          <w:rFonts w:ascii="宋体" w:hAnsi="宋体" w:cs="宋体"/>
          <w:color w:val="auto"/>
          <w:szCs w:val="24"/>
          <w:highlight w:val="none"/>
        </w:rPr>
      </w:pPr>
      <w:r>
        <w:rPr>
          <w:rFonts w:hint="eastAsia" w:ascii="宋体" w:hAnsi="宋体" w:cs="宋体"/>
          <w:color w:val="auto"/>
          <w:szCs w:val="24"/>
          <w:highlight w:val="none"/>
        </w:rPr>
        <w:t>招标文件没有不合理条款、招标程序符合规定，需要采用其他采购方式采购的，采购人应当依法报财政部门批准。</w:t>
      </w:r>
    </w:p>
    <w:p w14:paraId="1FF133CD">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采购方式</w:t>
      </w:r>
      <w:bookmarkEnd w:id="20"/>
    </w:p>
    <w:p w14:paraId="5CE8FE17">
      <w:pPr>
        <w:tabs>
          <w:tab w:val="left" w:pos="3780"/>
        </w:tabs>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公开招标。</w:t>
      </w:r>
      <w:bookmarkEnd w:id="18"/>
      <w:bookmarkEnd w:id="19"/>
      <w:bookmarkStart w:id="21" w:name="_Hlt74388212"/>
      <w:bookmarkEnd w:id="21"/>
      <w:bookmarkStart w:id="22" w:name="_Hlt68516771"/>
      <w:bookmarkEnd w:id="22"/>
    </w:p>
    <w:p w14:paraId="1B02190E">
      <w:pPr>
        <w:pStyle w:val="15"/>
        <w:numPr>
          <w:ilvl w:val="0"/>
          <w:numId w:val="6"/>
        </w:numPr>
        <w:spacing w:line="360" w:lineRule="auto"/>
        <w:ind w:firstLine="482" w:firstLineChars="200"/>
        <w:rPr>
          <w:rFonts w:hAnsi="宋体" w:cs="宋体"/>
          <w:b/>
          <w:color w:val="auto"/>
          <w:sz w:val="24"/>
          <w:szCs w:val="24"/>
          <w:highlight w:val="none"/>
        </w:rPr>
      </w:pPr>
      <w:bookmarkStart w:id="23" w:name="_Toc91899877"/>
      <w:bookmarkStart w:id="24" w:name="_Hlt74730303"/>
      <w:r>
        <w:rPr>
          <w:rFonts w:hint="eastAsia" w:hAnsi="宋体" w:cs="宋体"/>
          <w:b/>
          <w:color w:val="auto"/>
          <w:sz w:val="24"/>
          <w:szCs w:val="24"/>
          <w:highlight w:val="none"/>
        </w:rPr>
        <w:t>投标费用</w:t>
      </w:r>
      <w:bookmarkEnd w:id="23"/>
    </w:p>
    <w:bookmarkEnd w:id="24"/>
    <w:p w14:paraId="72E9B089">
      <w:pPr>
        <w:autoSpaceDE w:val="0"/>
        <w:autoSpaceDN w:val="0"/>
        <w:spacing w:line="360" w:lineRule="auto"/>
        <w:ind w:firstLine="523" w:firstLineChars="218"/>
        <w:rPr>
          <w:rFonts w:ascii="宋体" w:hAnsi="宋体" w:cs="宋体"/>
          <w:color w:val="auto"/>
          <w:sz w:val="24"/>
          <w:highlight w:val="none"/>
          <w:lang w:val="zh-CN"/>
        </w:rPr>
      </w:pPr>
      <w:r>
        <w:rPr>
          <w:rFonts w:hint="eastAsia" w:ascii="宋体" w:hAnsi="宋体" w:cs="宋体"/>
          <w:color w:val="auto"/>
          <w:sz w:val="24"/>
          <w:highlight w:val="none"/>
        </w:rPr>
        <w:t>投标人需自行承担涉及投标的一切费用（招标文件有其他相反规定除外）。</w:t>
      </w:r>
    </w:p>
    <w:p w14:paraId="0D7B87F5">
      <w:pPr>
        <w:spacing w:line="360" w:lineRule="auto"/>
        <w:jc w:val="center"/>
        <w:rPr>
          <w:rFonts w:ascii="宋体" w:hAnsi="宋体" w:cs="宋体"/>
          <w:b/>
          <w:color w:val="auto"/>
          <w:sz w:val="24"/>
          <w:highlight w:val="none"/>
        </w:rPr>
      </w:pPr>
      <w:bookmarkStart w:id="25" w:name="_Hlt74707468"/>
      <w:bookmarkEnd w:id="25"/>
      <w:bookmarkStart w:id="26" w:name="_Hlt68072990"/>
      <w:bookmarkEnd w:id="26"/>
      <w:bookmarkStart w:id="27" w:name="_Hlt68057669"/>
      <w:bookmarkEnd w:id="27"/>
      <w:bookmarkStart w:id="28" w:name="_Hlt75236290"/>
      <w:bookmarkEnd w:id="28"/>
      <w:bookmarkStart w:id="29" w:name="_Hlt74729768"/>
      <w:bookmarkEnd w:id="29"/>
      <w:bookmarkStart w:id="30" w:name="_Toc91899879"/>
    </w:p>
    <w:p w14:paraId="68E503DB">
      <w:pPr>
        <w:snapToGrid w:val="0"/>
        <w:spacing w:line="360" w:lineRule="auto"/>
        <w:jc w:val="center"/>
        <w:outlineLvl w:val="0"/>
        <w:rPr>
          <w:rFonts w:ascii="宋体" w:hAnsi="宋体" w:cs="宋体"/>
          <w:b/>
          <w:color w:val="auto"/>
          <w:sz w:val="32"/>
          <w:highlight w:val="none"/>
        </w:rPr>
      </w:pPr>
      <w:bookmarkStart w:id="31" w:name="_Toc87"/>
      <w:r>
        <w:rPr>
          <w:rFonts w:hint="eastAsia" w:ascii="宋体" w:hAnsi="宋体" w:cs="宋体"/>
          <w:b/>
          <w:color w:val="auto"/>
          <w:sz w:val="32"/>
          <w:highlight w:val="none"/>
        </w:rPr>
        <w:t>二、招标文件</w:t>
      </w:r>
      <w:bookmarkEnd w:id="30"/>
      <w:bookmarkEnd w:id="31"/>
    </w:p>
    <w:p w14:paraId="2FBB7847">
      <w:pPr>
        <w:pStyle w:val="15"/>
        <w:numPr>
          <w:ilvl w:val="0"/>
          <w:numId w:val="6"/>
        </w:numPr>
        <w:spacing w:line="360" w:lineRule="auto"/>
        <w:ind w:firstLine="482" w:firstLineChars="200"/>
        <w:rPr>
          <w:rFonts w:hAnsi="宋体" w:cs="宋体"/>
          <w:b/>
          <w:color w:val="auto"/>
          <w:sz w:val="24"/>
          <w:szCs w:val="24"/>
          <w:highlight w:val="none"/>
        </w:rPr>
      </w:pPr>
      <w:bookmarkStart w:id="32" w:name="_Toc91899880"/>
      <w:bookmarkStart w:id="33" w:name="_Hlt74730307"/>
      <w:r>
        <w:rPr>
          <w:rFonts w:hint="eastAsia" w:hAnsi="宋体" w:cs="宋体"/>
          <w:b/>
          <w:color w:val="auto"/>
          <w:sz w:val="24"/>
          <w:szCs w:val="24"/>
          <w:highlight w:val="none"/>
        </w:rPr>
        <w:t>招标文件的构成</w:t>
      </w:r>
      <w:bookmarkEnd w:id="32"/>
    </w:p>
    <w:bookmarkEnd w:id="33"/>
    <w:p w14:paraId="24372CBB">
      <w:pPr>
        <w:pStyle w:val="43"/>
        <w:numPr>
          <w:ilvl w:val="0"/>
          <w:numId w:val="9"/>
        </w:numPr>
        <w:spacing w:before="0"/>
        <w:ind w:firstLine="480"/>
        <w:rPr>
          <w:rFonts w:ascii="宋体" w:hAnsi="宋体" w:cs="宋体"/>
          <w:color w:val="auto"/>
          <w:szCs w:val="24"/>
          <w:highlight w:val="none"/>
        </w:rPr>
      </w:pPr>
      <w:r>
        <w:rPr>
          <w:rFonts w:hint="eastAsia" w:ascii="宋体" w:hAnsi="宋体" w:cs="宋体"/>
          <w:color w:val="auto"/>
          <w:szCs w:val="24"/>
          <w:highlight w:val="none"/>
        </w:rPr>
        <w:t>招标文件包括下列文件及附件</w:t>
      </w:r>
    </w:p>
    <w:p w14:paraId="7A9EB925">
      <w:pPr>
        <w:pStyle w:val="43"/>
        <w:numPr>
          <w:ilvl w:val="0"/>
          <w:numId w:val="10"/>
        </w:numPr>
        <w:spacing w:before="0"/>
        <w:ind w:firstLine="480"/>
        <w:rPr>
          <w:rFonts w:ascii="宋体" w:hAnsi="宋体" w:cs="宋体"/>
          <w:color w:val="auto"/>
          <w:szCs w:val="24"/>
          <w:highlight w:val="none"/>
        </w:rPr>
      </w:pPr>
      <w:r>
        <w:rPr>
          <w:rFonts w:hint="eastAsia" w:ascii="宋体" w:hAnsi="宋体" w:cs="宋体"/>
          <w:color w:val="auto"/>
          <w:szCs w:val="24"/>
          <w:highlight w:val="none"/>
        </w:rPr>
        <w:t>第一部分 招标公告</w:t>
      </w:r>
    </w:p>
    <w:p w14:paraId="49A9D445">
      <w:pPr>
        <w:pStyle w:val="43"/>
        <w:numPr>
          <w:ilvl w:val="0"/>
          <w:numId w:val="10"/>
        </w:numPr>
        <w:spacing w:before="0"/>
        <w:ind w:firstLine="480"/>
        <w:rPr>
          <w:rFonts w:ascii="宋体" w:hAnsi="宋体" w:cs="宋体"/>
          <w:color w:val="auto"/>
          <w:szCs w:val="24"/>
          <w:highlight w:val="none"/>
        </w:rPr>
      </w:pPr>
      <w:r>
        <w:rPr>
          <w:rFonts w:hint="eastAsia" w:ascii="宋体" w:hAnsi="宋体" w:cs="宋体"/>
          <w:color w:val="auto"/>
          <w:szCs w:val="24"/>
          <w:highlight w:val="none"/>
        </w:rPr>
        <w:t>第二部分 投标须知</w:t>
      </w:r>
    </w:p>
    <w:p w14:paraId="32E72675">
      <w:pPr>
        <w:pStyle w:val="43"/>
        <w:numPr>
          <w:ilvl w:val="0"/>
          <w:numId w:val="10"/>
        </w:numPr>
        <w:spacing w:before="0"/>
        <w:ind w:firstLine="480"/>
        <w:rPr>
          <w:rFonts w:ascii="宋体" w:hAnsi="宋体" w:cs="宋体"/>
          <w:color w:val="auto"/>
          <w:szCs w:val="24"/>
          <w:highlight w:val="none"/>
        </w:rPr>
      </w:pPr>
      <w:r>
        <w:rPr>
          <w:rFonts w:hint="eastAsia" w:ascii="宋体" w:hAnsi="宋体" w:cs="宋体"/>
          <w:color w:val="auto"/>
          <w:szCs w:val="24"/>
          <w:highlight w:val="none"/>
        </w:rPr>
        <w:t>第三部分 评标办法及评分标准</w:t>
      </w:r>
    </w:p>
    <w:p w14:paraId="540B8494">
      <w:pPr>
        <w:pStyle w:val="43"/>
        <w:numPr>
          <w:ilvl w:val="0"/>
          <w:numId w:val="10"/>
        </w:numPr>
        <w:spacing w:before="0"/>
        <w:ind w:firstLine="480"/>
        <w:rPr>
          <w:rFonts w:ascii="宋体" w:hAnsi="宋体" w:cs="宋体"/>
          <w:color w:val="auto"/>
          <w:szCs w:val="24"/>
          <w:highlight w:val="none"/>
        </w:rPr>
      </w:pPr>
      <w:r>
        <w:rPr>
          <w:rFonts w:hint="eastAsia" w:ascii="宋体" w:hAnsi="宋体" w:cs="宋体"/>
          <w:color w:val="auto"/>
          <w:szCs w:val="24"/>
          <w:highlight w:val="none"/>
        </w:rPr>
        <w:t>第四部分 采购需求</w:t>
      </w:r>
    </w:p>
    <w:p w14:paraId="64824F8A">
      <w:pPr>
        <w:pStyle w:val="43"/>
        <w:numPr>
          <w:ilvl w:val="0"/>
          <w:numId w:val="10"/>
        </w:numPr>
        <w:spacing w:before="0"/>
        <w:ind w:firstLine="480"/>
        <w:rPr>
          <w:rFonts w:ascii="宋体" w:hAnsi="宋体" w:cs="宋体"/>
          <w:color w:val="auto"/>
          <w:szCs w:val="24"/>
          <w:highlight w:val="none"/>
        </w:rPr>
      </w:pPr>
      <w:r>
        <w:rPr>
          <w:rFonts w:hint="eastAsia" w:ascii="宋体" w:hAnsi="宋体" w:cs="宋体"/>
          <w:color w:val="auto"/>
          <w:szCs w:val="24"/>
          <w:highlight w:val="none"/>
        </w:rPr>
        <w:t>第五部分 采购合同的一般和特殊条款</w:t>
      </w:r>
    </w:p>
    <w:p w14:paraId="5498C70C">
      <w:pPr>
        <w:pStyle w:val="43"/>
        <w:numPr>
          <w:ilvl w:val="0"/>
          <w:numId w:val="10"/>
        </w:numPr>
        <w:spacing w:before="0"/>
        <w:ind w:firstLine="480"/>
        <w:rPr>
          <w:rFonts w:ascii="宋体" w:hAnsi="宋体" w:cs="宋体"/>
          <w:color w:val="auto"/>
          <w:szCs w:val="24"/>
          <w:highlight w:val="none"/>
        </w:rPr>
      </w:pPr>
      <w:r>
        <w:rPr>
          <w:rFonts w:hint="eastAsia" w:ascii="宋体" w:hAnsi="宋体" w:cs="宋体"/>
          <w:color w:val="auto"/>
          <w:szCs w:val="24"/>
          <w:highlight w:val="none"/>
        </w:rPr>
        <w:t>第六部分 应提交的有关格式范例</w:t>
      </w:r>
    </w:p>
    <w:p w14:paraId="3EE7B2A6">
      <w:pPr>
        <w:pStyle w:val="43"/>
        <w:numPr>
          <w:ilvl w:val="0"/>
          <w:numId w:val="9"/>
        </w:numPr>
        <w:spacing w:before="0"/>
        <w:ind w:firstLine="480"/>
        <w:rPr>
          <w:rFonts w:ascii="宋体" w:hAnsi="宋体" w:cs="宋体"/>
          <w:color w:val="auto"/>
          <w:szCs w:val="24"/>
          <w:highlight w:val="none"/>
        </w:rPr>
      </w:pPr>
      <w:r>
        <w:rPr>
          <w:rFonts w:hint="eastAsia" w:ascii="宋体" w:hAnsi="宋体" w:cs="宋体"/>
          <w:color w:val="auto"/>
          <w:szCs w:val="24"/>
          <w:highlight w:val="none"/>
        </w:rPr>
        <w:t>投标人应认真审阅招标文件中所有的内容，包括编制和提交采购响应文件须知、评标办法及评分标准、项目技术规范和服务要求、采购合同的一般和特殊条款、应提交的有关格式范例等。</w:t>
      </w:r>
    </w:p>
    <w:p w14:paraId="56663383">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招标文件的解释</w:t>
      </w:r>
    </w:p>
    <w:p w14:paraId="6E6BF629">
      <w:pPr>
        <w:pStyle w:val="43"/>
        <w:numPr>
          <w:ilvl w:val="0"/>
          <w:numId w:val="11"/>
        </w:numPr>
        <w:spacing w:before="0"/>
        <w:ind w:firstLine="480"/>
        <w:rPr>
          <w:rFonts w:ascii="宋体" w:hAnsi="宋体" w:cs="宋体"/>
          <w:color w:val="auto"/>
          <w:szCs w:val="24"/>
          <w:highlight w:val="none"/>
        </w:rPr>
      </w:pPr>
      <w:r>
        <w:rPr>
          <w:rFonts w:hint="eastAsia" w:ascii="宋体" w:hAnsi="宋体" w:cs="宋体"/>
          <w:color w:val="auto"/>
          <w:szCs w:val="24"/>
          <w:highlight w:val="none"/>
        </w:rPr>
        <w:t>已获取招标文件的潜在投标人，若有问题需要澄清，应于投标截止时间前，以书面形式向采购代理机构提出，采购代理机构与采购人研究后，对认为有必要回答的问题，将通过招标公告发布网站通知所有招标文件收受人。</w:t>
      </w:r>
    </w:p>
    <w:p w14:paraId="2364A0EA">
      <w:pPr>
        <w:pStyle w:val="43"/>
        <w:numPr>
          <w:ilvl w:val="0"/>
          <w:numId w:val="11"/>
        </w:numPr>
        <w:spacing w:before="0"/>
        <w:ind w:firstLine="480"/>
        <w:rPr>
          <w:rFonts w:ascii="宋体" w:hAnsi="宋体" w:cs="宋体"/>
          <w:color w:val="auto"/>
          <w:szCs w:val="24"/>
          <w:highlight w:val="none"/>
        </w:rPr>
      </w:pPr>
      <w:r>
        <w:rPr>
          <w:rFonts w:hint="eastAsia" w:ascii="宋体" w:hAnsi="宋体" w:cs="宋体"/>
          <w:color w:val="auto"/>
          <w:szCs w:val="24"/>
          <w:highlight w:val="none"/>
        </w:rPr>
        <w:t>采购代理机构如对已发出的招标文件进行必要澄清或者修改的，将在发布招标公告的网站上发布更正公告，同时视情况延长投标截止时间和开标时间。该澄清或者修改的内容为招标文件的组成部分。</w:t>
      </w:r>
    </w:p>
    <w:p w14:paraId="3284BA98">
      <w:pPr>
        <w:pStyle w:val="43"/>
        <w:numPr>
          <w:ilvl w:val="0"/>
          <w:numId w:val="11"/>
        </w:numPr>
        <w:spacing w:before="0"/>
        <w:ind w:firstLine="480"/>
        <w:rPr>
          <w:rFonts w:ascii="宋体" w:hAnsi="宋体" w:cs="宋体"/>
          <w:color w:val="auto"/>
          <w:szCs w:val="24"/>
          <w:highlight w:val="none"/>
        </w:rPr>
      </w:pPr>
      <w:r>
        <w:rPr>
          <w:rFonts w:hint="eastAsia" w:ascii="宋体" w:hAnsi="宋体" w:cs="宋体"/>
          <w:color w:val="auto"/>
          <w:szCs w:val="24"/>
          <w:highlight w:val="none"/>
        </w:rPr>
        <w:t>不论采购代理机构向投标人发送的资料文件，还是投标人提出的问题，均采用书面形式。</w:t>
      </w:r>
    </w:p>
    <w:p w14:paraId="42317374">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招标文件的修改、澄清</w:t>
      </w:r>
    </w:p>
    <w:p w14:paraId="41638CF0">
      <w:pPr>
        <w:pStyle w:val="43"/>
        <w:numPr>
          <w:ilvl w:val="0"/>
          <w:numId w:val="12"/>
        </w:numPr>
        <w:spacing w:before="0"/>
        <w:ind w:firstLine="480"/>
        <w:rPr>
          <w:rFonts w:ascii="宋体" w:hAnsi="宋体" w:cs="宋体"/>
          <w:color w:val="auto"/>
          <w:szCs w:val="24"/>
          <w:highlight w:val="none"/>
        </w:rPr>
      </w:pPr>
      <w:r>
        <w:rPr>
          <w:rFonts w:hint="eastAsia" w:ascii="宋体" w:hAnsi="宋体" w:cs="宋体"/>
          <w:color w:val="auto"/>
          <w:szCs w:val="24"/>
          <w:highlight w:val="none"/>
        </w:rPr>
        <w:t>从招标文件发出至投标截止时间前，采购代理机构可能会以补充通知的方式修改招标文件。补充通知作为招标文件的组成部分，各潜在投标人应自行在公告发布网站查看。若有必要，采购代理机构将酌情延长递交投标文件的截止日期。</w:t>
      </w:r>
    </w:p>
    <w:p w14:paraId="1A8B54C7">
      <w:pPr>
        <w:pStyle w:val="43"/>
        <w:numPr>
          <w:ilvl w:val="0"/>
          <w:numId w:val="12"/>
        </w:numPr>
        <w:spacing w:before="0"/>
        <w:ind w:firstLine="480"/>
        <w:rPr>
          <w:rFonts w:ascii="宋体" w:hAnsi="宋体" w:cs="宋体"/>
          <w:color w:val="auto"/>
          <w:szCs w:val="24"/>
          <w:highlight w:val="none"/>
        </w:rPr>
      </w:pPr>
      <w:r>
        <w:rPr>
          <w:rFonts w:hint="eastAsia" w:ascii="宋体" w:hAnsi="宋体" w:cs="宋体"/>
          <w:color w:val="auto"/>
          <w:szCs w:val="24"/>
          <w:highlight w:val="none"/>
        </w:rPr>
        <w:t>对投标文件中含义不明、表述不一致或有明显计算错误等内容，评标委员会将对投标人进行询标，并要求投标人作电子澄清（询标由专家在政采云系统上发起询标函，投标人在澄清处在规定时间内进行答复）；投标人的电子澄清，应由法定代表人进行电子签章（也可由法定代表人或授权代表签字扫描后上传），作为投标文件的补充部分，但澄清的内容不得改变投标文件的实质性内容。</w:t>
      </w:r>
    </w:p>
    <w:p w14:paraId="743FD75F">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投标报价</w:t>
      </w:r>
    </w:p>
    <w:p w14:paraId="65A5493A">
      <w:pPr>
        <w:pStyle w:val="43"/>
        <w:numPr>
          <w:ilvl w:val="0"/>
          <w:numId w:val="13"/>
        </w:numPr>
        <w:spacing w:before="0"/>
        <w:ind w:left="0" w:leftChars="0" w:firstLine="480" w:firstLineChars="0"/>
        <w:rPr>
          <w:rFonts w:hint="eastAsia" w:ascii="宋体" w:hAnsi="宋体" w:cs="宋体"/>
          <w:color w:val="auto"/>
          <w:szCs w:val="24"/>
          <w:highlight w:val="none"/>
        </w:rPr>
      </w:pPr>
      <w:r>
        <w:rPr>
          <w:rFonts w:hint="eastAsia"/>
          <w:b w:val="0"/>
          <w:bCs w:val="0"/>
          <w:color w:val="auto"/>
          <w:sz w:val="24"/>
          <w:szCs w:val="24"/>
          <w:highlight w:val="none"/>
        </w:rPr>
        <w:t>投标报价统一为人民币计价，本次报价方式为总价包干，投标报价为完税价已经包括投标人在设备</w:t>
      </w:r>
      <w:r>
        <w:rPr>
          <w:rFonts w:hint="eastAsia"/>
          <w:b w:val="0"/>
          <w:bCs w:val="0"/>
          <w:color w:val="auto"/>
          <w:sz w:val="24"/>
          <w:szCs w:val="24"/>
          <w:highlight w:val="none"/>
          <w:lang w:eastAsia="zh-CN"/>
        </w:rPr>
        <w:t>拆除费、维修费、改造费</w:t>
      </w:r>
      <w:r>
        <w:rPr>
          <w:rFonts w:hint="eastAsia"/>
          <w:b w:val="0"/>
          <w:bCs w:val="0"/>
          <w:color w:val="auto"/>
          <w:sz w:val="24"/>
          <w:szCs w:val="24"/>
          <w:highlight w:val="none"/>
        </w:rPr>
        <w:t>、</w:t>
      </w:r>
      <w:r>
        <w:rPr>
          <w:rFonts w:hint="eastAsia"/>
          <w:b w:val="0"/>
          <w:bCs w:val="0"/>
          <w:color w:val="auto"/>
          <w:sz w:val="24"/>
          <w:szCs w:val="24"/>
          <w:highlight w:val="none"/>
          <w:lang w:eastAsia="zh-CN"/>
        </w:rPr>
        <w:t>运输费、吊装费、代理费、</w:t>
      </w:r>
      <w:r>
        <w:rPr>
          <w:rFonts w:hint="eastAsia"/>
          <w:b w:val="0"/>
          <w:bCs w:val="0"/>
          <w:color w:val="auto"/>
          <w:sz w:val="24"/>
          <w:szCs w:val="24"/>
          <w:highlight w:val="none"/>
        </w:rPr>
        <w:t>安装调试</w:t>
      </w:r>
      <w:r>
        <w:rPr>
          <w:rFonts w:hint="eastAsia"/>
          <w:b w:val="0"/>
          <w:bCs w:val="0"/>
          <w:color w:val="auto"/>
          <w:sz w:val="24"/>
          <w:szCs w:val="24"/>
          <w:highlight w:val="none"/>
          <w:lang w:eastAsia="zh-CN"/>
        </w:rPr>
        <w:t>费</w:t>
      </w:r>
      <w:r>
        <w:rPr>
          <w:rFonts w:hint="eastAsia"/>
          <w:b w:val="0"/>
          <w:bCs w:val="0"/>
          <w:color w:val="auto"/>
          <w:sz w:val="24"/>
          <w:szCs w:val="24"/>
          <w:highlight w:val="none"/>
        </w:rPr>
        <w:t>、验收合格前可能发生的一切费用，投标人无权再就货物向招标方要求支付任何款项。该总价不受市场价格变化及国家政策性调整的影</w:t>
      </w:r>
      <w:r>
        <w:rPr>
          <w:rFonts w:hint="eastAsia"/>
          <w:b w:val="0"/>
          <w:bCs w:val="0"/>
          <w:color w:val="auto"/>
          <w:sz w:val="24"/>
          <w:szCs w:val="24"/>
          <w:highlight w:val="none"/>
          <w:lang w:eastAsia="zh-CN"/>
        </w:rPr>
        <w:t>，</w:t>
      </w:r>
      <w:r>
        <w:rPr>
          <w:rFonts w:hint="eastAsia" w:ascii="宋体" w:hAnsi="宋体" w:cs="宋体"/>
          <w:color w:val="auto"/>
          <w:szCs w:val="24"/>
          <w:highlight w:val="none"/>
        </w:rPr>
        <w:t>其它费用处理招标文件未列明，而投标人认为必需的费用也需列入报价。</w:t>
      </w:r>
    </w:p>
    <w:p w14:paraId="34B7F9D1">
      <w:pPr>
        <w:pStyle w:val="43"/>
        <w:numPr>
          <w:ilvl w:val="-1"/>
          <w:numId w:val="0"/>
        </w:numPr>
        <w:tabs>
          <w:tab w:val="left" w:pos="0"/>
        </w:tabs>
        <w:spacing w:before="0"/>
        <w:ind w:left="0" w:leftChars="0" w:firstLine="480" w:firstLineChars="200"/>
        <w:rPr>
          <w:rFonts w:hint="eastAsia" w:ascii="宋体" w:hAnsi="宋体" w:cs="宋体"/>
          <w:color w:val="auto"/>
          <w:szCs w:val="24"/>
          <w:highlight w:val="none"/>
        </w:rPr>
      </w:pPr>
      <w:r>
        <w:rPr>
          <w:rFonts w:hint="eastAsia" w:ascii="宋体" w:hAnsi="宋体" w:cs="宋体"/>
          <w:color w:val="auto"/>
          <w:szCs w:val="24"/>
          <w:highlight w:val="none"/>
        </w:rPr>
        <w:t>本价格已经包括货物交付招标方后，质保期内一切售后服务的费用。凡投标人在报价中未列明但又为本次采购所必须的项目或遗漏项目，采购人将一律视为已包括在合同价中，在合同执行中将不再另行支付。</w:t>
      </w:r>
    </w:p>
    <w:p w14:paraId="64CBED39">
      <w:pPr>
        <w:pStyle w:val="43"/>
        <w:numPr>
          <w:ilvl w:val="0"/>
          <w:numId w:val="13"/>
        </w:numPr>
        <w:spacing w:before="0"/>
        <w:ind w:firstLine="480"/>
        <w:rPr>
          <w:rFonts w:ascii="宋体" w:hAnsi="宋体" w:cs="宋体"/>
          <w:color w:val="auto"/>
          <w:szCs w:val="24"/>
          <w:highlight w:val="none"/>
        </w:rPr>
      </w:pPr>
      <w:r>
        <w:rPr>
          <w:rFonts w:hint="eastAsia" w:ascii="宋体" w:hAnsi="宋体" w:cs="宋体"/>
          <w:color w:val="auto"/>
          <w:szCs w:val="24"/>
          <w:highlight w:val="none"/>
        </w:rPr>
        <w:t>投标货币</w:t>
      </w:r>
    </w:p>
    <w:p w14:paraId="4F6301B1">
      <w:pPr>
        <w:pStyle w:val="43"/>
        <w:snapToGrid w:val="0"/>
        <w:spacing w:before="0" w:line="500" w:lineRule="exact"/>
        <w:ind w:firstLine="480"/>
        <w:rPr>
          <w:rFonts w:ascii="宋体" w:hAnsi="宋体" w:cs="宋体"/>
          <w:color w:val="auto"/>
          <w:szCs w:val="24"/>
          <w:highlight w:val="none"/>
        </w:rPr>
      </w:pPr>
      <w:r>
        <w:rPr>
          <w:rFonts w:hint="eastAsia" w:ascii="宋体" w:hAnsi="宋体" w:cs="宋体"/>
          <w:color w:val="auto"/>
          <w:szCs w:val="24"/>
          <w:highlight w:val="none"/>
        </w:rPr>
        <w:t>投标文件中价格全部采用人民币报价。报价应是唯一的, 采购代理机构将不接受有选择的报价。</w:t>
      </w:r>
    </w:p>
    <w:p w14:paraId="789987EF">
      <w:pPr>
        <w:pStyle w:val="9"/>
        <w:snapToGrid w:val="0"/>
        <w:ind w:firstLine="480" w:firstLineChars="200"/>
        <w:rPr>
          <w:rFonts w:hAnsi="宋体" w:cs="宋体"/>
          <w:color w:val="auto"/>
          <w:szCs w:val="24"/>
          <w:highlight w:val="none"/>
        </w:rPr>
      </w:pPr>
    </w:p>
    <w:p w14:paraId="26645631">
      <w:pPr>
        <w:snapToGrid w:val="0"/>
        <w:spacing w:line="360" w:lineRule="auto"/>
        <w:jc w:val="center"/>
        <w:outlineLvl w:val="0"/>
        <w:rPr>
          <w:rFonts w:ascii="宋体" w:hAnsi="宋体" w:cs="宋体"/>
          <w:b/>
          <w:color w:val="auto"/>
          <w:sz w:val="32"/>
          <w:highlight w:val="none"/>
        </w:rPr>
      </w:pPr>
      <w:bookmarkStart w:id="34" w:name="_Hlt75236011"/>
      <w:bookmarkEnd w:id="34"/>
      <w:bookmarkStart w:id="35" w:name="_Toc13367"/>
      <w:bookmarkStart w:id="36" w:name="_Toc91899884"/>
      <w:r>
        <w:rPr>
          <w:rFonts w:hint="eastAsia" w:ascii="宋体" w:hAnsi="宋体" w:cs="宋体"/>
          <w:b/>
          <w:color w:val="auto"/>
          <w:sz w:val="32"/>
          <w:highlight w:val="none"/>
        </w:rPr>
        <w:t>三、投标文件的编制</w:t>
      </w:r>
      <w:bookmarkEnd w:id="35"/>
      <w:bookmarkEnd w:id="36"/>
    </w:p>
    <w:p w14:paraId="7B34539B">
      <w:pPr>
        <w:pStyle w:val="15"/>
        <w:numPr>
          <w:ilvl w:val="0"/>
          <w:numId w:val="6"/>
        </w:numPr>
        <w:spacing w:line="360" w:lineRule="auto"/>
        <w:ind w:firstLine="482" w:firstLineChars="200"/>
        <w:rPr>
          <w:rFonts w:hAnsi="宋体" w:cs="宋体"/>
          <w:b/>
          <w:color w:val="auto"/>
          <w:sz w:val="24"/>
          <w:szCs w:val="24"/>
          <w:highlight w:val="none"/>
        </w:rPr>
      </w:pPr>
      <w:bookmarkStart w:id="37" w:name="_Toc86216991"/>
      <w:bookmarkStart w:id="38" w:name="_Toc91899892"/>
      <w:r>
        <w:rPr>
          <w:rFonts w:hint="eastAsia" w:hAnsi="宋体" w:cs="宋体"/>
          <w:b/>
          <w:color w:val="auto"/>
          <w:sz w:val="24"/>
          <w:szCs w:val="24"/>
          <w:highlight w:val="none"/>
        </w:rPr>
        <w:t>投标文件的语言</w:t>
      </w:r>
    </w:p>
    <w:p w14:paraId="431BC8E3">
      <w:pPr>
        <w:pStyle w:val="43"/>
        <w:tabs>
          <w:tab w:val="left" w:pos="0"/>
        </w:tabs>
        <w:spacing w:before="0"/>
        <w:ind w:firstLine="480"/>
        <w:rPr>
          <w:rFonts w:ascii="宋体" w:hAnsi="宋体" w:cs="宋体"/>
          <w:color w:val="auto"/>
          <w:szCs w:val="24"/>
          <w:highlight w:val="none"/>
          <w:lang w:val="zh-CN"/>
        </w:rPr>
      </w:pPr>
      <w:r>
        <w:rPr>
          <w:rFonts w:hint="eastAsia" w:ascii="宋体" w:hAnsi="宋体" w:cs="宋体"/>
          <w:color w:val="auto"/>
          <w:szCs w:val="24"/>
          <w:highlight w:val="none"/>
        </w:rPr>
        <w:t>投标文件及投标人与采购有关的来往通知、函件和文件均应使用中文。</w:t>
      </w:r>
    </w:p>
    <w:p w14:paraId="5ED54E7E">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投标文件的组成</w:t>
      </w:r>
    </w:p>
    <w:p w14:paraId="222200C9">
      <w:pPr>
        <w:pStyle w:val="43"/>
        <w:tabs>
          <w:tab w:val="left" w:pos="0"/>
        </w:tabs>
        <w:spacing w:before="0"/>
        <w:ind w:firstLine="480"/>
        <w:rPr>
          <w:rFonts w:hint="eastAsia" w:ascii="宋体" w:hAnsi="宋体" w:cs="宋体"/>
          <w:color w:val="auto"/>
          <w:szCs w:val="24"/>
          <w:highlight w:val="none"/>
        </w:rPr>
      </w:pPr>
      <w:bookmarkStart w:id="39" w:name="_Toc91899887"/>
      <w:r>
        <w:rPr>
          <w:rFonts w:hint="eastAsia" w:ascii="宋体" w:hAnsi="宋体" w:cs="宋体"/>
          <w:color w:val="auto"/>
          <w:szCs w:val="24"/>
          <w:highlight w:val="none"/>
        </w:rPr>
        <w:t>投标文件应当包括以下主要内容：资格文件、技术文件、商务</w:t>
      </w:r>
      <w:r>
        <w:rPr>
          <w:rFonts w:hint="eastAsia" w:ascii="宋体" w:hAnsi="宋体" w:cs="宋体"/>
          <w:color w:val="auto"/>
          <w:szCs w:val="24"/>
          <w:highlight w:val="none"/>
          <w:lang w:val="en-US" w:eastAsia="zh-CN"/>
        </w:rPr>
        <w:t>文件、</w:t>
      </w:r>
      <w:r>
        <w:rPr>
          <w:rFonts w:hint="eastAsia" w:ascii="宋体" w:hAnsi="宋体" w:cs="宋体"/>
          <w:color w:val="auto"/>
          <w:szCs w:val="24"/>
          <w:highlight w:val="none"/>
        </w:rPr>
        <w:t>报价文件。</w:t>
      </w:r>
    </w:p>
    <w:p w14:paraId="1E63E469">
      <w:pPr>
        <w:pStyle w:val="43"/>
        <w:numPr>
          <w:ilvl w:val="0"/>
          <w:numId w:val="14"/>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资格文件包括以下内容：</w:t>
      </w:r>
    </w:p>
    <w:p w14:paraId="38829CEA">
      <w:pPr>
        <w:pStyle w:val="43"/>
        <w:numPr>
          <w:ilvl w:val="0"/>
          <w:numId w:val="15"/>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法定代表人授权书（格式见附件）；如法定代表人直接参加投标并对相应文件签字的（签字是指线下签字扫描后上传或者线上进行电子签章），只需提供其身份证复印件，否则则应提供授权代表身份证复印件；</w:t>
      </w:r>
    </w:p>
    <w:p w14:paraId="1B4BC2AD">
      <w:pPr>
        <w:pStyle w:val="43"/>
        <w:numPr>
          <w:ilvl w:val="0"/>
          <w:numId w:val="15"/>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营业执照</w:t>
      </w:r>
      <w:r>
        <w:rPr>
          <w:rFonts w:hint="eastAsia" w:ascii="宋体" w:hAnsi="宋体" w:cs="宋体"/>
          <w:color w:val="auto"/>
          <w:szCs w:val="24"/>
          <w:highlight w:val="none"/>
          <w:lang w:eastAsia="zh-CN"/>
        </w:rPr>
        <w:t>（</w:t>
      </w:r>
      <w:r>
        <w:rPr>
          <w:rFonts w:hint="eastAsia" w:ascii="宋体" w:hAnsi="宋体" w:cs="宋体"/>
          <w:color w:val="auto"/>
          <w:szCs w:val="24"/>
          <w:highlight w:val="none"/>
        </w:rPr>
        <w:t>或事业法人登记证或其他工商等登记证明材料</w:t>
      </w:r>
      <w:r>
        <w:rPr>
          <w:rFonts w:hint="eastAsia" w:ascii="宋体" w:hAnsi="宋体" w:cs="宋体"/>
          <w:color w:val="auto"/>
          <w:szCs w:val="24"/>
          <w:highlight w:val="none"/>
          <w:lang w:eastAsia="zh-CN"/>
        </w:rPr>
        <w:t>）</w:t>
      </w:r>
      <w:r>
        <w:rPr>
          <w:rFonts w:hint="eastAsia" w:ascii="宋体" w:hAnsi="宋体" w:cs="宋体"/>
          <w:color w:val="auto"/>
          <w:szCs w:val="24"/>
          <w:highlight w:val="none"/>
        </w:rPr>
        <w:t>复印件、税务登记证</w:t>
      </w:r>
      <w:r>
        <w:rPr>
          <w:rFonts w:hint="eastAsia" w:ascii="宋体" w:hAnsi="宋体" w:cs="宋体"/>
          <w:color w:val="auto"/>
          <w:szCs w:val="24"/>
          <w:highlight w:val="none"/>
          <w:lang w:eastAsia="zh-CN"/>
        </w:rPr>
        <w:t>（或其他</w:t>
      </w:r>
      <w:r>
        <w:rPr>
          <w:rFonts w:hint="eastAsia" w:ascii="宋体" w:hAnsi="宋体" w:cs="宋体"/>
          <w:color w:val="auto"/>
          <w:szCs w:val="24"/>
          <w:highlight w:val="none"/>
        </w:rPr>
        <w:t>缴纳证明材料</w:t>
      </w:r>
      <w:r>
        <w:rPr>
          <w:rFonts w:hint="eastAsia" w:ascii="宋体" w:hAnsi="宋体" w:cs="宋体"/>
          <w:color w:val="auto"/>
          <w:szCs w:val="24"/>
          <w:highlight w:val="none"/>
          <w:lang w:eastAsia="zh-CN"/>
        </w:rPr>
        <w:t>）</w:t>
      </w:r>
      <w:r>
        <w:rPr>
          <w:rFonts w:hint="eastAsia" w:ascii="宋体" w:hAnsi="宋体" w:cs="宋体"/>
          <w:color w:val="auto"/>
          <w:szCs w:val="24"/>
          <w:highlight w:val="none"/>
        </w:rPr>
        <w:t>复印件、社保登记证（</w:t>
      </w:r>
      <w:r>
        <w:rPr>
          <w:rFonts w:hint="eastAsia" w:ascii="宋体" w:hAnsi="宋体" w:cs="宋体"/>
          <w:color w:val="auto"/>
          <w:szCs w:val="24"/>
          <w:highlight w:val="none"/>
          <w:lang w:eastAsia="zh-CN"/>
        </w:rPr>
        <w:t>或其他</w:t>
      </w:r>
      <w:r>
        <w:rPr>
          <w:rFonts w:hint="eastAsia" w:ascii="宋体" w:hAnsi="宋体" w:cs="宋体"/>
          <w:color w:val="auto"/>
          <w:szCs w:val="24"/>
          <w:highlight w:val="none"/>
        </w:rPr>
        <w:t>缴纳证明材料）复印件；实施“五证合一、一照一码”登记制度改革的，只需提供改革后取得的营业执照复印件；事业单位的，则提供有效的《事业单位法人证书》副本复印件并加盖单位公章；</w:t>
      </w:r>
    </w:p>
    <w:p w14:paraId="437D31DB">
      <w:pPr>
        <w:pStyle w:val="43"/>
        <w:numPr>
          <w:ilvl w:val="0"/>
          <w:numId w:val="15"/>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具有履行合同所必需的产品和专业技术能力的承诺函（格式</w:t>
      </w:r>
      <w:r>
        <w:rPr>
          <w:rFonts w:hint="eastAsia" w:ascii="宋体" w:hAnsi="宋体" w:cs="宋体"/>
          <w:color w:val="auto"/>
          <w:szCs w:val="24"/>
          <w:highlight w:val="none"/>
          <w:lang w:eastAsia="zh-CN"/>
        </w:rPr>
        <w:t>自拟</w:t>
      </w:r>
      <w:r>
        <w:rPr>
          <w:rFonts w:hint="eastAsia" w:ascii="宋体" w:hAnsi="宋体" w:cs="宋体"/>
          <w:color w:val="auto"/>
          <w:szCs w:val="24"/>
          <w:highlight w:val="none"/>
        </w:rPr>
        <w:t>）；</w:t>
      </w:r>
    </w:p>
    <w:p w14:paraId="391A5A00">
      <w:pPr>
        <w:pStyle w:val="43"/>
        <w:numPr>
          <w:ilvl w:val="0"/>
          <w:numId w:val="15"/>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投标人承诺函（格式见附件）；</w:t>
      </w:r>
    </w:p>
    <w:p w14:paraId="065EABBF">
      <w:pPr>
        <w:pStyle w:val="43"/>
        <w:numPr>
          <w:ilvl w:val="0"/>
          <w:numId w:val="14"/>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技术文件，本次招标需要投标人提供</w:t>
      </w:r>
      <w:r>
        <w:rPr>
          <w:rFonts w:hint="eastAsia" w:ascii="宋体" w:hAnsi="宋体" w:cs="宋体"/>
          <w:color w:val="auto"/>
          <w:szCs w:val="24"/>
          <w:highlight w:val="none"/>
          <w:lang w:eastAsia="zh-CN"/>
        </w:rPr>
        <w:t>以下</w:t>
      </w:r>
      <w:r>
        <w:rPr>
          <w:rFonts w:hint="eastAsia" w:ascii="宋体" w:hAnsi="宋体" w:cs="宋体"/>
          <w:color w:val="auto"/>
          <w:szCs w:val="24"/>
          <w:highlight w:val="none"/>
        </w:rPr>
        <w:t>所列的技术文件：</w:t>
      </w:r>
    </w:p>
    <w:p w14:paraId="66A028AA">
      <w:pPr>
        <w:pStyle w:val="43"/>
        <w:numPr>
          <w:ilvl w:val="0"/>
          <w:numId w:val="16"/>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供应商技术文件中</w:t>
      </w:r>
      <w:r>
        <w:rPr>
          <w:rFonts w:hint="eastAsia" w:ascii="宋体" w:hAnsi="宋体" w:cs="宋体"/>
          <w:color w:val="auto"/>
          <w:szCs w:val="24"/>
          <w:highlight w:val="none"/>
          <w:lang w:eastAsia="zh-CN"/>
        </w:rPr>
        <w:t>技术</w:t>
      </w:r>
      <w:r>
        <w:rPr>
          <w:rFonts w:hint="eastAsia" w:ascii="宋体" w:hAnsi="宋体" w:cs="宋体"/>
          <w:color w:val="auto"/>
          <w:szCs w:val="24"/>
          <w:highlight w:val="none"/>
        </w:rPr>
        <w:t>分自评表（格式见附件）；</w:t>
      </w:r>
    </w:p>
    <w:p w14:paraId="3BBA4BD3">
      <w:pPr>
        <w:pStyle w:val="43"/>
        <w:numPr>
          <w:ilvl w:val="0"/>
          <w:numId w:val="16"/>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投标项目明细清单（格式见附件）；</w:t>
      </w:r>
    </w:p>
    <w:p w14:paraId="1A42D6E3">
      <w:pPr>
        <w:pStyle w:val="43"/>
        <w:numPr>
          <w:ilvl w:val="0"/>
          <w:numId w:val="16"/>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技术响应及建议表（格式见附件）；</w:t>
      </w:r>
    </w:p>
    <w:p w14:paraId="7DAD73FF">
      <w:pPr>
        <w:pStyle w:val="43"/>
        <w:numPr>
          <w:ilvl w:val="0"/>
          <w:numId w:val="16"/>
        </w:numPr>
        <w:spacing w:before="0"/>
        <w:ind w:firstLine="480"/>
        <w:rPr>
          <w:rFonts w:hint="eastAsia" w:ascii="宋体" w:hAnsi="宋体" w:cs="宋体"/>
          <w:color w:val="auto"/>
          <w:szCs w:val="24"/>
          <w:highlight w:val="none"/>
          <w:lang w:val="en-US" w:eastAsia="zh-CN"/>
        </w:rPr>
      </w:pPr>
      <w:r>
        <w:rPr>
          <w:rFonts w:hint="eastAsia" w:ascii="宋体" w:hAnsi="宋体" w:cs="宋体"/>
          <w:color w:val="auto"/>
          <w:szCs w:val="24"/>
          <w:highlight w:val="none"/>
          <w:lang w:val="en-US" w:eastAsia="zh-CN"/>
        </w:rPr>
        <w:t>维修改造方案；</w:t>
      </w:r>
    </w:p>
    <w:p w14:paraId="1C77B8CD">
      <w:pPr>
        <w:pStyle w:val="43"/>
        <w:numPr>
          <w:ilvl w:val="0"/>
          <w:numId w:val="16"/>
        </w:numPr>
        <w:spacing w:before="0"/>
        <w:ind w:firstLine="480"/>
        <w:rPr>
          <w:rFonts w:hint="eastAsia" w:ascii="宋体" w:hAnsi="宋体" w:cs="宋体"/>
          <w:color w:val="auto"/>
          <w:szCs w:val="24"/>
          <w:highlight w:val="none"/>
          <w:lang w:val="en-US" w:eastAsia="zh-CN"/>
        </w:rPr>
      </w:pPr>
      <w:r>
        <w:rPr>
          <w:rFonts w:hint="eastAsia" w:ascii="宋体" w:hAnsi="宋体" w:cs="宋体"/>
          <w:color w:val="auto"/>
          <w:szCs w:val="24"/>
          <w:highlight w:val="none"/>
          <w:lang w:val="en-US" w:eastAsia="zh-CN"/>
        </w:rPr>
        <w:t>进度方案；</w:t>
      </w:r>
    </w:p>
    <w:p w14:paraId="1B4F28B6">
      <w:pPr>
        <w:pStyle w:val="43"/>
        <w:numPr>
          <w:ilvl w:val="0"/>
          <w:numId w:val="16"/>
        </w:numPr>
        <w:spacing w:before="0"/>
        <w:ind w:firstLine="480"/>
        <w:rPr>
          <w:rFonts w:hint="eastAsia" w:ascii="宋体" w:hAnsi="宋体" w:cs="宋体"/>
          <w:color w:val="auto"/>
          <w:szCs w:val="24"/>
          <w:highlight w:val="none"/>
          <w:lang w:val="en-US" w:eastAsia="zh-CN"/>
        </w:rPr>
      </w:pPr>
      <w:r>
        <w:rPr>
          <w:rFonts w:hint="eastAsia" w:ascii="宋体" w:hAnsi="宋体" w:eastAsia="宋体" w:cs="宋体"/>
          <w:color w:val="auto"/>
          <w:sz w:val="24"/>
        </w:rPr>
        <w:t>安全防护和文明施工管理措施</w:t>
      </w:r>
      <w:r>
        <w:rPr>
          <w:rFonts w:hint="eastAsia" w:ascii="宋体" w:hAnsi="宋体" w:cs="宋体"/>
          <w:color w:val="auto"/>
          <w:szCs w:val="24"/>
          <w:highlight w:val="none"/>
          <w:lang w:val="en-US" w:eastAsia="zh-CN"/>
        </w:rPr>
        <w:t>；</w:t>
      </w:r>
    </w:p>
    <w:p w14:paraId="6A818AD0">
      <w:pPr>
        <w:pStyle w:val="43"/>
        <w:numPr>
          <w:ilvl w:val="0"/>
          <w:numId w:val="16"/>
        </w:numPr>
        <w:spacing w:before="0"/>
        <w:ind w:firstLine="480"/>
        <w:rPr>
          <w:rFonts w:hint="eastAsia" w:ascii="宋体" w:hAnsi="宋体" w:cs="宋体"/>
          <w:color w:val="auto"/>
          <w:szCs w:val="24"/>
          <w:highlight w:val="none"/>
          <w:lang w:val="en-US" w:eastAsia="zh-CN"/>
        </w:rPr>
      </w:pPr>
      <w:r>
        <w:rPr>
          <w:rFonts w:hint="eastAsia" w:cs="Times New Roman"/>
          <w:color w:val="auto"/>
          <w:sz w:val="24"/>
          <w:lang w:val="en-US" w:eastAsia="zh-CN"/>
        </w:rPr>
        <w:t>主机</w:t>
      </w:r>
      <w:r>
        <w:rPr>
          <w:rFonts w:hint="eastAsia" w:ascii="Times New Roman" w:hAnsi="Times New Roman" w:eastAsia="宋体" w:cs="Times New Roman"/>
          <w:color w:val="auto"/>
          <w:sz w:val="24"/>
          <w:lang w:val="en-US" w:eastAsia="zh-CN"/>
        </w:rPr>
        <w:t>需求匹配性</w:t>
      </w:r>
      <w:r>
        <w:rPr>
          <w:rFonts w:hint="eastAsia" w:ascii="宋体" w:hAnsi="宋体" w:cs="宋体"/>
          <w:color w:val="auto"/>
          <w:szCs w:val="24"/>
          <w:highlight w:val="none"/>
          <w:lang w:val="en-US" w:eastAsia="zh-CN"/>
        </w:rPr>
        <w:t>；</w:t>
      </w:r>
    </w:p>
    <w:p w14:paraId="35C4C92F">
      <w:pPr>
        <w:pStyle w:val="43"/>
        <w:numPr>
          <w:ilvl w:val="0"/>
          <w:numId w:val="16"/>
        </w:numPr>
        <w:spacing w:before="0"/>
        <w:ind w:firstLine="480"/>
        <w:rPr>
          <w:rFonts w:hint="eastAsia" w:ascii="宋体" w:hAnsi="宋体" w:cs="宋体"/>
          <w:color w:val="auto"/>
          <w:szCs w:val="24"/>
          <w:highlight w:val="none"/>
          <w:lang w:val="en-US" w:eastAsia="zh-CN"/>
        </w:rPr>
      </w:pPr>
      <w:r>
        <w:rPr>
          <w:rFonts w:hint="eastAsia" w:ascii="宋体" w:hAnsi="宋体" w:eastAsia="宋体" w:cs="宋体"/>
          <w:color w:val="auto"/>
          <w:sz w:val="24"/>
          <w:szCs w:val="24"/>
          <w:highlight w:val="none"/>
          <w:lang w:val="en-US" w:eastAsia="zh-CN"/>
        </w:rPr>
        <w:t>服务响应能力</w:t>
      </w:r>
      <w:r>
        <w:rPr>
          <w:rFonts w:hint="eastAsia" w:ascii="宋体" w:hAnsi="宋体" w:cs="宋体"/>
          <w:color w:val="auto"/>
          <w:szCs w:val="24"/>
          <w:highlight w:val="none"/>
          <w:lang w:val="en-US" w:eastAsia="zh-CN"/>
        </w:rPr>
        <w:t>；</w:t>
      </w:r>
    </w:p>
    <w:p w14:paraId="086BA619">
      <w:pPr>
        <w:pStyle w:val="43"/>
        <w:numPr>
          <w:ilvl w:val="0"/>
          <w:numId w:val="16"/>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 xml:space="preserve">供应商认为需要的其他文件资料。 </w:t>
      </w:r>
    </w:p>
    <w:p w14:paraId="07F3BD4C">
      <w:pPr>
        <w:pStyle w:val="43"/>
        <w:numPr>
          <w:ilvl w:val="0"/>
          <w:numId w:val="16"/>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注：以上内容应与评标办法中内容具有一致性。</w:t>
      </w:r>
    </w:p>
    <w:p w14:paraId="314DBE04">
      <w:pPr>
        <w:pStyle w:val="43"/>
        <w:tabs>
          <w:tab w:val="left" w:pos="0"/>
        </w:tabs>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投标人在投标文件中应对项目技术规范和服务要求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投标。</w:t>
      </w:r>
      <w:r>
        <w:rPr>
          <w:rFonts w:hint="eastAsia" w:ascii="宋体" w:hAnsi="宋体" w:cs="宋体"/>
          <w:b/>
          <w:bCs/>
          <w:color w:val="auto"/>
          <w:szCs w:val="24"/>
          <w:highlight w:val="none"/>
        </w:rPr>
        <w:t>采购代理机构将把这一情况报送采购监管部门。实质性指标、关键性指标和重要指标需提供证明材料，如技术偏离表中仅复制粘贴而未说明或提供证明材料的，其产生的影响直至被认定为未实质性响应的后果将由供应商自行承担。</w:t>
      </w:r>
    </w:p>
    <w:p w14:paraId="68CBE8A0">
      <w:pPr>
        <w:pStyle w:val="43"/>
        <w:numPr>
          <w:ilvl w:val="0"/>
          <w:numId w:val="14"/>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商务文件，本次招标需要投标人提供</w:t>
      </w:r>
      <w:r>
        <w:rPr>
          <w:rFonts w:hint="eastAsia" w:ascii="宋体" w:hAnsi="宋体" w:cs="宋体"/>
          <w:color w:val="auto"/>
          <w:szCs w:val="24"/>
          <w:highlight w:val="none"/>
          <w:lang w:eastAsia="zh-CN"/>
        </w:rPr>
        <w:t>以下</w:t>
      </w:r>
      <w:r>
        <w:rPr>
          <w:rFonts w:hint="eastAsia" w:ascii="宋体" w:hAnsi="宋体" w:cs="宋体"/>
          <w:color w:val="auto"/>
          <w:szCs w:val="24"/>
          <w:highlight w:val="none"/>
        </w:rPr>
        <w:t>所列的</w:t>
      </w:r>
      <w:r>
        <w:rPr>
          <w:rFonts w:hint="eastAsia" w:ascii="宋体" w:hAnsi="宋体" w:cs="宋体"/>
          <w:color w:val="auto"/>
          <w:szCs w:val="24"/>
          <w:highlight w:val="none"/>
          <w:lang w:val="en-US" w:eastAsia="zh-CN"/>
        </w:rPr>
        <w:t>商务</w:t>
      </w:r>
      <w:r>
        <w:rPr>
          <w:rFonts w:hint="eastAsia" w:ascii="宋体" w:hAnsi="宋体" w:cs="宋体"/>
          <w:color w:val="auto"/>
          <w:szCs w:val="24"/>
          <w:highlight w:val="none"/>
        </w:rPr>
        <w:t>文件：</w:t>
      </w:r>
    </w:p>
    <w:p w14:paraId="67D6A306">
      <w:pPr>
        <w:pStyle w:val="43"/>
        <w:numPr>
          <w:ilvl w:val="0"/>
          <w:numId w:val="17"/>
        </w:numPr>
        <w:spacing w:before="0"/>
        <w:ind w:firstLine="480"/>
        <w:rPr>
          <w:rFonts w:hint="eastAsia" w:ascii="宋体" w:hAnsi="宋体" w:cs="宋体"/>
          <w:color w:val="auto"/>
          <w:szCs w:val="24"/>
          <w:highlight w:val="none"/>
          <w:lang w:val="en-US" w:eastAsia="zh-CN"/>
        </w:rPr>
      </w:pPr>
      <w:r>
        <w:rPr>
          <w:rFonts w:hint="eastAsia" w:ascii="宋体" w:hAnsi="宋体" w:cs="宋体"/>
          <w:color w:val="auto"/>
          <w:szCs w:val="24"/>
          <w:highlight w:val="none"/>
          <w:lang w:val="en-US" w:eastAsia="zh-CN"/>
        </w:rPr>
        <w:t>投标人商务文件中商务分自评表（格式见附件）；</w:t>
      </w:r>
    </w:p>
    <w:p w14:paraId="14038159">
      <w:pPr>
        <w:pStyle w:val="43"/>
        <w:numPr>
          <w:ilvl w:val="0"/>
          <w:numId w:val="17"/>
        </w:numPr>
        <w:spacing w:before="0"/>
        <w:ind w:firstLine="480"/>
        <w:rPr>
          <w:rFonts w:hint="eastAsia" w:ascii="宋体" w:hAnsi="宋体" w:cs="宋体"/>
          <w:color w:val="auto"/>
          <w:szCs w:val="24"/>
          <w:highlight w:val="none"/>
          <w:lang w:val="en-US" w:eastAsia="zh-CN"/>
        </w:rPr>
      </w:pPr>
      <w:r>
        <w:rPr>
          <w:rFonts w:hint="eastAsia" w:ascii="宋体" w:hAnsi="宋体" w:cs="宋体"/>
          <w:color w:val="auto"/>
          <w:szCs w:val="24"/>
          <w:highlight w:val="none"/>
          <w:lang w:val="en-US" w:eastAsia="zh-CN"/>
        </w:rPr>
        <w:t>商务响应表（格式见附件）；</w:t>
      </w:r>
    </w:p>
    <w:p w14:paraId="2130B4D8">
      <w:pPr>
        <w:pStyle w:val="43"/>
        <w:numPr>
          <w:ilvl w:val="0"/>
          <w:numId w:val="17"/>
        </w:numPr>
        <w:spacing w:before="0"/>
        <w:ind w:firstLine="480"/>
        <w:rPr>
          <w:rFonts w:hint="eastAsia" w:ascii="宋体" w:hAnsi="宋体" w:cs="宋体"/>
          <w:color w:val="auto"/>
          <w:szCs w:val="24"/>
          <w:highlight w:val="none"/>
          <w:lang w:val="en-US" w:eastAsia="zh-CN"/>
        </w:rPr>
      </w:pPr>
      <w:r>
        <w:rPr>
          <w:rFonts w:hint="eastAsia" w:ascii="宋体" w:hAnsi="宋体" w:cs="宋体"/>
          <w:color w:val="auto"/>
          <w:sz w:val="24"/>
          <w:szCs w:val="24"/>
          <w:highlight w:val="none"/>
        </w:rPr>
        <w:t>类似业绩</w:t>
      </w:r>
      <w:r>
        <w:rPr>
          <w:rFonts w:hint="eastAsia" w:ascii="宋体" w:hAnsi="宋体" w:cs="宋体"/>
          <w:color w:val="auto"/>
          <w:szCs w:val="24"/>
          <w:highlight w:val="none"/>
          <w:lang w:val="en-US" w:eastAsia="zh-CN"/>
        </w:rPr>
        <w:t>；</w:t>
      </w:r>
    </w:p>
    <w:p w14:paraId="23F14510">
      <w:pPr>
        <w:pStyle w:val="43"/>
        <w:numPr>
          <w:ilvl w:val="0"/>
          <w:numId w:val="17"/>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 xml:space="preserve">供应商认为需要的其他文件资料。 </w:t>
      </w:r>
    </w:p>
    <w:p w14:paraId="4087BAA7">
      <w:pPr>
        <w:pStyle w:val="43"/>
        <w:numPr>
          <w:ilvl w:val="0"/>
          <w:numId w:val="17"/>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注：以上内容应与评标办法中内容具有一致性。</w:t>
      </w:r>
    </w:p>
    <w:p w14:paraId="31B63415">
      <w:pPr>
        <w:pStyle w:val="43"/>
        <w:numPr>
          <w:ilvl w:val="0"/>
          <w:numId w:val="14"/>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报价文件包括以下内容：</w:t>
      </w:r>
    </w:p>
    <w:p w14:paraId="2CE2C679">
      <w:pPr>
        <w:pStyle w:val="43"/>
        <w:numPr>
          <w:ilvl w:val="0"/>
          <w:numId w:val="18"/>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投标函（格式见附件）；</w:t>
      </w:r>
    </w:p>
    <w:p w14:paraId="46B50A46">
      <w:pPr>
        <w:pStyle w:val="43"/>
        <w:numPr>
          <w:ilvl w:val="0"/>
          <w:numId w:val="18"/>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开标一览表（格式见附件）；</w:t>
      </w:r>
    </w:p>
    <w:p w14:paraId="4B7E80B6">
      <w:pPr>
        <w:pStyle w:val="43"/>
        <w:numPr>
          <w:ilvl w:val="0"/>
          <w:numId w:val="18"/>
        </w:numPr>
        <w:spacing w:before="0"/>
        <w:ind w:firstLine="480"/>
        <w:rPr>
          <w:rFonts w:hint="eastAsia" w:ascii="宋体" w:hAnsi="宋体" w:cs="宋体"/>
          <w:color w:val="auto"/>
          <w:szCs w:val="24"/>
          <w:highlight w:val="none"/>
        </w:rPr>
      </w:pPr>
      <w:r>
        <w:rPr>
          <w:rFonts w:hint="eastAsia" w:ascii="宋体" w:hAnsi="宋体" w:cs="宋体"/>
          <w:color w:val="auto"/>
          <w:szCs w:val="24"/>
          <w:highlight w:val="none"/>
        </w:rPr>
        <w:t>投标报价明细表（格式见附件）。</w:t>
      </w:r>
    </w:p>
    <w:p w14:paraId="209C92F8">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投标有效期</w:t>
      </w:r>
    </w:p>
    <w:p w14:paraId="71E3467E">
      <w:pPr>
        <w:pStyle w:val="43"/>
        <w:numPr>
          <w:ilvl w:val="0"/>
          <w:numId w:val="19"/>
        </w:numPr>
        <w:spacing w:before="0"/>
        <w:ind w:firstLine="480"/>
        <w:rPr>
          <w:rFonts w:ascii="宋体" w:hAnsi="宋体" w:cs="宋体"/>
          <w:color w:val="auto"/>
          <w:szCs w:val="24"/>
          <w:highlight w:val="none"/>
        </w:rPr>
      </w:pPr>
      <w:r>
        <w:rPr>
          <w:rFonts w:hint="eastAsia" w:ascii="宋体" w:hAnsi="宋体" w:cs="宋体"/>
          <w:color w:val="auto"/>
          <w:highlight w:val="none"/>
        </w:rPr>
        <w:t>投标文件未在投标截止时间前完成传输的或者未按时解密的，视为放弃投标；投标文件解密失败后未提供备份文件或者备份文件也出现异常情况无法进行评审的，亦视为放弃投标。</w:t>
      </w:r>
    </w:p>
    <w:p w14:paraId="0C9F6416">
      <w:pPr>
        <w:pStyle w:val="43"/>
        <w:numPr>
          <w:ilvl w:val="0"/>
          <w:numId w:val="19"/>
        </w:numPr>
        <w:spacing w:before="0"/>
        <w:ind w:firstLine="480"/>
        <w:rPr>
          <w:rFonts w:ascii="宋体" w:hAnsi="宋体" w:cs="宋体"/>
          <w:color w:val="auto"/>
          <w:szCs w:val="24"/>
          <w:highlight w:val="none"/>
        </w:rPr>
      </w:pPr>
      <w:r>
        <w:rPr>
          <w:rFonts w:hint="eastAsia" w:ascii="宋体" w:hAnsi="宋体" w:cs="宋体"/>
          <w:color w:val="auto"/>
          <w:szCs w:val="24"/>
          <w:highlight w:val="none"/>
        </w:rPr>
        <w:t>投标文件上传后，自投标截止日期起，在前附表所列的投标有效期内有效。</w:t>
      </w:r>
    </w:p>
    <w:p w14:paraId="63D8033B">
      <w:pPr>
        <w:pStyle w:val="43"/>
        <w:numPr>
          <w:ilvl w:val="0"/>
          <w:numId w:val="19"/>
        </w:numPr>
        <w:spacing w:before="0"/>
        <w:ind w:firstLine="480"/>
        <w:rPr>
          <w:rFonts w:ascii="宋体" w:hAnsi="宋体" w:cs="宋体"/>
          <w:color w:val="auto"/>
          <w:szCs w:val="24"/>
          <w:highlight w:val="none"/>
        </w:rPr>
      </w:pPr>
      <w:r>
        <w:rPr>
          <w:rFonts w:hint="eastAsia" w:ascii="宋体" w:hAnsi="宋体" w:cs="宋体"/>
          <w:color w:val="auto"/>
          <w:szCs w:val="24"/>
          <w:highlight w:val="none"/>
        </w:rPr>
        <w:t>在原定投标有效期满之前，如果出现特殊情况，采购代理机构可以以书面形式通知投标人延长投标有效期。</w:t>
      </w:r>
    </w:p>
    <w:p w14:paraId="5CD9C371">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投标人如有下列情况之一者列入不良行为记录：</w:t>
      </w:r>
    </w:p>
    <w:p w14:paraId="45332193">
      <w:pPr>
        <w:pStyle w:val="43"/>
        <w:numPr>
          <w:ilvl w:val="0"/>
          <w:numId w:val="20"/>
        </w:numPr>
        <w:spacing w:before="0" w:line="336" w:lineRule="auto"/>
        <w:ind w:firstLine="480"/>
        <w:rPr>
          <w:rFonts w:ascii="宋体" w:hAnsi="宋体" w:cs="宋体"/>
          <w:color w:val="auto"/>
          <w:szCs w:val="24"/>
          <w:highlight w:val="none"/>
        </w:rPr>
      </w:pPr>
      <w:r>
        <w:rPr>
          <w:rFonts w:hint="eastAsia" w:ascii="宋体" w:hAnsi="宋体" w:cs="宋体"/>
          <w:color w:val="auto"/>
          <w:szCs w:val="24"/>
          <w:highlight w:val="none"/>
        </w:rPr>
        <w:t>投标人在投标有效期内撤回投标的；</w:t>
      </w:r>
    </w:p>
    <w:p w14:paraId="2B9C4393">
      <w:pPr>
        <w:pStyle w:val="43"/>
        <w:numPr>
          <w:ilvl w:val="0"/>
          <w:numId w:val="20"/>
        </w:numPr>
        <w:spacing w:before="0" w:line="336" w:lineRule="auto"/>
        <w:ind w:firstLine="480"/>
        <w:rPr>
          <w:rFonts w:ascii="宋体" w:hAnsi="宋体" w:cs="宋体"/>
          <w:color w:val="auto"/>
          <w:szCs w:val="24"/>
          <w:highlight w:val="none"/>
        </w:rPr>
      </w:pPr>
      <w:r>
        <w:rPr>
          <w:rFonts w:hint="eastAsia" w:ascii="宋体" w:hAnsi="宋体" w:cs="宋体"/>
          <w:color w:val="auto"/>
          <w:szCs w:val="24"/>
          <w:highlight w:val="none"/>
        </w:rPr>
        <w:t>中标人或中标候选人放弃中标或中标候选人资格的；</w:t>
      </w:r>
    </w:p>
    <w:p w14:paraId="435D82FB">
      <w:pPr>
        <w:pStyle w:val="43"/>
        <w:numPr>
          <w:ilvl w:val="0"/>
          <w:numId w:val="20"/>
        </w:numPr>
        <w:spacing w:before="0" w:line="336" w:lineRule="auto"/>
        <w:ind w:firstLine="480"/>
        <w:rPr>
          <w:rFonts w:ascii="宋体" w:hAnsi="宋体" w:cs="宋体"/>
          <w:color w:val="auto"/>
          <w:szCs w:val="24"/>
          <w:highlight w:val="none"/>
        </w:rPr>
      </w:pPr>
      <w:r>
        <w:rPr>
          <w:rFonts w:hint="eastAsia" w:ascii="宋体" w:hAnsi="宋体" w:cs="宋体"/>
          <w:color w:val="auto"/>
          <w:szCs w:val="24"/>
          <w:highlight w:val="none"/>
        </w:rPr>
        <w:t>擅自修改或拒绝接受已经确认的条款；</w:t>
      </w:r>
    </w:p>
    <w:p w14:paraId="7980CDAF">
      <w:pPr>
        <w:pStyle w:val="43"/>
        <w:numPr>
          <w:ilvl w:val="0"/>
          <w:numId w:val="20"/>
        </w:numPr>
        <w:spacing w:before="0" w:line="336" w:lineRule="auto"/>
        <w:ind w:firstLine="480"/>
        <w:rPr>
          <w:rFonts w:ascii="宋体" w:hAnsi="宋体" w:cs="宋体"/>
          <w:color w:val="auto"/>
          <w:szCs w:val="24"/>
          <w:highlight w:val="none"/>
        </w:rPr>
      </w:pPr>
      <w:r>
        <w:rPr>
          <w:rFonts w:hint="eastAsia" w:ascii="宋体" w:hAnsi="宋体" w:cs="宋体"/>
          <w:color w:val="auto"/>
          <w:szCs w:val="24"/>
          <w:highlight w:val="none"/>
        </w:rPr>
        <w:t>中标人未按规定与采购人签订合同；</w:t>
      </w:r>
    </w:p>
    <w:p w14:paraId="253D92AD">
      <w:pPr>
        <w:pStyle w:val="43"/>
        <w:numPr>
          <w:ilvl w:val="0"/>
          <w:numId w:val="20"/>
        </w:numPr>
        <w:spacing w:before="0" w:line="336" w:lineRule="auto"/>
        <w:ind w:firstLine="480"/>
        <w:rPr>
          <w:rFonts w:ascii="宋体" w:hAnsi="宋体" w:cs="宋体"/>
          <w:color w:val="auto"/>
          <w:szCs w:val="24"/>
          <w:highlight w:val="none"/>
        </w:rPr>
      </w:pPr>
      <w:r>
        <w:rPr>
          <w:rFonts w:hint="eastAsia" w:ascii="宋体" w:hAnsi="宋体" w:cs="宋体"/>
          <w:color w:val="auto"/>
          <w:szCs w:val="24"/>
          <w:highlight w:val="none"/>
        </w:rPr>
        <w:t>未按规定提供履约保证金；</w:t>
      </w:r>
    </w:p>
    <w:p w14:paraId="30F5C774">
      <w:pPr>
        <w:pStyle w:val="43"/>
        <w:numPr>
          <w:ilvl w:val="0"/>
          <w:numId w:val="20"/>
        </w:numPr>
        <w:spacing w:before="0" w:line="336" w:lineRule="auto"/>
        <w:ind w:firstLine="480"/>
        <w:rPr>
          <w:rFonts w:ascii="宋体" w:hAnsi="宋体" w:cs="宋体"/>
          <w:color w:val="auto"/>
          <w:szCs w:val="24"/>
          <w:highlight w:val="none"/>
        </w:rPr>
      </w:pPr>
      <w:r>
        <w:rPr>
          <w:rFonts w:hint="eastAsia" w:ascii="宋体" w:hAnsi="宋体" w:cs="宋体"/>
          <w:color w:val="auto"/>
          <w:szCs w:val="24"/>
          <w:highlight w:val="none"/>
        </w:rPr>
        <w:t>投标人采取提供虚假资料等不正当手段的；</w:t>
      </w:r>
    </w:p>
    <w:p w14:paraId="7D2DB395">
      <w:pPr>
        <w:pStyle w:val="43"/>
        <w:numPr>
          <w:ilvl w:val="0"/>
          <w:numId w:val="20"/>
        </w:numPr>
        <w:spacing w:before="0" w:line="336" w:lineRule="auto"/>
        <w:ind w:firstLine="480"/>
        <w:rPr>
          <w:rFonts w:ascii="宋体" w:hAnsi="宋体" w:cs="宋体"/>
          <w:color w:val="auto"/>
          <w:szCs w:val="24"/>
          <w:highlight w:val="none"/>
        </w:rPr>
      </w:pPr>
      <w:r>
        <w:rPr>
          <w:rFonts w:hint="eastAsia" w:ascii="宋体" w:hAnsi="宋体" w:cs="宋体"/>
          <w:color w:val="auto"/>
          <w:szCs w:val="24"/>
          <w:highlight w:val="none"/>
        </w:rPr>
        <w:t>投标人在投标过程中串通投标的。</w:t>
      </w:r>
    </w:p>
    <w:p w14:paraId="2BEBAB86">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投标文件的编制和签署</w:t>
      </w:r>
    </w:p>
    <w:bookmarkEnd w:id="39"/>
    <w:p w14:paraId="054AD944">
      <w:pPr>
        <w:pStyle w:val="43"/>
        <w:numPr>
          <w:ilvl w:val="0"/>
          <w:numId w:val="21"/>
        </w:numPr>
        <w:spacing w:before="0"/>
        <w:ind w:firstLine="480"/>
        <w:rPr>
          <w:rFonts w:ascii="宋体" w:hAnsi="宋体" w:cs="宋体"/>
          <w:color w:val="auto"/>
          <w:szCs w:val="24"/>
          <w:highlight w:val="none"/>
        </w:rPr>
      </w:pPr>
      <w:r>
        <w:rPr>
          <w:rFonts w:hint="eastAsia" w:ascii="宋体" w:hAnsi="宋体" w:cs="宋体"/>
          <w:color w:val="auto"/>
          <w:highlight w:val="none"/>
        </w:rPr>
        <w:t>按招标文件9.1条、9.2条、9.3条要求提供的各种文件，投标文件分为资格文件、商务技术文件和报价文件三部分。</w:t>
      </w:r>
    </w:p>
    <w:p w14:paraId="08E3D7FF">
      <w:pPr>
        <w:pStyle w:val="43"/>
        <w:numPr>
          <w:ilvl w:val="0"/>
          <w:numId w:val="21"/>
        </w:numPr>
        <w:spacing w:before="0"/>
        <w:ind w:firstLine="480"/>
        <w:rPr>
          <w:rFonts w:ascii="宋体" w:hAnsi="宋体" w:cs="宋体"/>
          <w:color w:val="auto"/>
          <w:szCs w:val="24"/>
          <w:highlight w:val="none"/>
        </w:rPr>
      </w:pPr>
      <w:r>
        <w:rPr>
          <w:rFonts w:hint="eastAsia" w:ascii="宋体" w:hAnsi="宋体" w:cs="宋体"/>
          <w:color w:val="auto"/>
          <w:szCs w:val="24"/>
          <w:highlight w:val="none"/>
        </w:rPr>
        <w:t>投标文件须按附件格式要求进行电子签章，投标人应写全称。（电子投标文件中所须加盖公章部分均应采用电子签章）</w:t>
      </w:r>
    </w:p>
    <w:p w14:paraId="2FE8DBC1">
      <w:pPr>
        <w:pStyle w:val="43"/>
        <w:numPr>
          <w:ilvl w:val="0"/>
          <w:numId w:val="21"/>
        </w:numPr>
        <w:spacing w:before="0"/>
        <w:ind w:firstLine="480"/>
        <w:rPr>
          <w:rFonts w:ascii="宋体" w:hAnsi="宋体" w:cs="宋体"/>
          <w:color w:val="auto"/>
          <w:szCs w:val="24"/>
          <w:highlight w:val="none"/>
        </w:rPr>
      </w:pPr>
      <w:r>
        <w:rPr>
          <w:rFonts w:hint="eastAsia" w:ascii="宋体" w:hAnsi="宋体" w:cs="宋体"/>
          <w:color w:val="auto"/>
          <w:szCs w:val="24"/>
          <w:highlight w:val="none"/>
        </w:rPr>
        <w:t>全套投标文件应无涂改和行间插字，除非这些删改是根据采购代理机构要求进行，或者是投标人造成的必须修改的错误。所修改处应由法定代表人或其授权代表签字盖章予以确认。</w:t>
      </w:r>
    </w:p>
    <w:p w14:paraId="15D84FE8">
      <w:pPr>
        <w:pStyle w:val="43"/>
        <w:numPr>
          <w:ilvl w:val="0"/>
          <w:numId w:val="21"/>
        </w:numPr>
        <w:spacing w:before="0"/>
        <w:ind w:firstLine="480"/>
        <w:rPr>
          <w:rFonts w:ascii="宋体" w:hAnsi="宋体" w:cs="宋体"/>
          <w:color w:val="auto"/>
          <w:szCs w:val="24"/>
          <w:highlight w:val="none"/>
        </w:rPr>
      </w:pPr>
      <w:r>
        <w:rPr>
          <w:rFonts w:hint="eastAsia" w:ascii="宋体" w:hAnsi="宋体" w:cs="宋体"/>
          <w:color w:val="auto"/>
          <w:szCs w:val="24"/>
          <w:highlight w:val="none"/>
        </w:rPr>
        <w:t>由于字迹模糊或表达不清引起的后果由投标人负责。</w:t>
      </w:r>
    </w:p>
    <w:p w14:paraId="6F996293">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 xml:space="preserve"> 投标文件的形式</w:t>
      </w:r>
    </w:p>
    <w:p w14:paraId="47082C44">
      <w:pPr>
        <w:autoSpaceDE w:val="0"/>
        <w:autoSpaceDN w:val="0"/>
        <w:spacing w:line="360" w:lineRule="auto"/>
        <w:ind w:firstLine="480" w:firstLineChars="200"/>
        <w:textAlignment w:val="bottom"/>
        <w:rPr>
          <w:rFonts w:ascii="宋体" w:hAnsi="宋体" w:cs="宋体"/>
          <w:color w:val="auto"/>
          <w:sz w:val="24"/>
          <w:highlight w:val="none"/>
        </w:rPr>
      </w:pPr>
      <w:r>
        <w:rPr>
          <w:rFonts w:hint="eastAsia" w:ascii="宋体" w:hAnsi="宋体" w:cs="宋体"/>
          <w:color w:val="auto"/>
          <w:sz w:val="24"/>
          <w:szCs w:val="21"/>
          <w:highlight w:val="none"/>
        </w:rPr>
        <w:t>投标文件为电子投标文件，电子投标文件按“政采云供应商项目采购-电子招投标操作指南”及本招标文件要求制作、加密传输。</w:t>
      </w:r>
    </w:p>
    <w:p w14:paraId="5BA1B5D5">
      <w:pPr>
        <w:spacing w:line="360" w:lineRule="auto"/>
        <w:jc w:val="center"/>
        <w:rPr>
          <w:rFonts w:ascii="宋体" w:hAnsi="宋体" w:cs="宋体"/>
          <w:b/>
          <w:color w:val="auto"/>
          <w:sz w:val="24"/>
          <w:highlight w:val="none"/>
        </w:rPr>
      </w:pPr>
    </w:p>
    <w:p w14:paraId="14341495">
      <w:pPr>
        <w:snapToGrid w:val="0"/>
        <w:spacing w:line="360" w:lineRule="auto"/>
        <w:jc w:val="center"/>
        <w:outlineLvl w:val="0"/>
        <w:rPr>
          <w:rFonts w:ascii="宋体" w:hAnsi="宋体" w:cs="宋体"/>
          <w:b/>
          <w:color w:val="auto"/>
          <w:sz w:val="32"/>
          <w:highlight w:val="none"/>
        </w:rPr>
      </w:pPr>
      <w:bookmarkStart w:id="40" w:name="_Toc15039"/>
      <w:r>
        <w:rPr>
          <w:rFonts w:hint="eastAsia" w:ascii="宋体" w:hAnsi="宋体" w:cs="宋体"/>
          <w:b/>
          <w:color w:val="auto"/>
          <w:sz w:val="32"/>
          <w:highlight w:val="none"/>
        </w:rPr>
        <w:t>四、投标文件的递交</w:t>
      </w:r>
      <w:bookmarkEnd w:id="37"/>
      <w:bookmarkEnd w:id="40"/>
    </w:p>
    <w:bookmarkEnd w:id="38"/>
    <w:p w14:paraId="291D89E6">
      <w:pPr>
        <w:pStyle w:val="15"/>
        <w:numPr>
          <w:ilvl w:val="0"/>
          <w:numId w:val="6"/>
        </w:numPr>
        <w:spacing w:line="360" w:lineRule="auto"/>
        <w:ind w:firstLine="482" w:firstLineChars="200"/>
        <w:rPr>
          <w:rFonts w:hAnsi="宋体" w:cs="宋体"/>
          <w:b/>
          <w:color w:val="auto"/>
          <w:sz w:val="24"/>
          <w:szCs w:val="24"/>
          <w:highlight w:val="none"/>
        </w:rPr>
      </w:pPr>
      <w:bookmarkStart w:id="41" w:name="第三部分"/>
      <w:bookmarkStart w:id="42" w:name="_Toc164416483"/>
      <w:r>
        <w:rPr>
          <w:rFonts w:hint="eastAsia" w:hAnsi="宋体" w:cs="宋体"/>
          <w:b/>
          <w:color w:val="auto"/>
          <w:sz w:val="24"/>
          <w:szCs w:val="24"/>
          <w:highlight w:val="none"/>
        </w:rPr>
        <w:t>投标截止期</w:t>
      </w:r>
    </w:p>
    <w:p w14:paraId="624F1597">
      <w:pPr>
        <w:pStyle w:val="43"/>
        <w:numPr>
          <w:ilvl w:val="0"/>
          <w:numId w:val="22"/>
        </w:numPr>
        <w:spacing w:before="0"/>
        <w:ind w:firstLine="480"/>
        <w:rPr>
          <w:rFonts w:ascii="宋体" w:hAnsi="宋体" w:cs="宋体"/>
          <w:color w:val="auto"/>
          <w:szCs w:val="24"/>
          <w:highlight w:val="none"/>
        </w:rPr>
      </w:pPr>
      <w:r>
        <w:rPr>
          <w:rFonts w:hint="eastAsia" w:ascii="宋体" w:hAnsi="宋体" w:cs="宋体"/>
          <w:color w:val="auto"/>
          <w:highlight w:val="none"/>
        </w:rPr>
        <w:t>投标文件必须在规定的投标截止时间前在政采云系统内完成传输，以纸质、电报、电话、传真形式的投标概不接受。为应对投标文件解密失败等异常情况，投标人可指派授权代表在投标截止时间之前到达开标地点提交备份文件。</w:t>
      </w:r>
    </w:p>
    <w:p w14:paraId="337BE3F1">
      <w:pPr>
        <w:pStyle w:val="43"/>
        <w:numPr>
          <w:ilvl w:val="0"/>
          <w:numId w:val="22"/>
        </w:numPr>
        <w:spacing w:before="0"/>
        <w:ind w:firstLine="480"/>
        <w:rPr>
          <w:rFonts w:ascii="宋体" w:hAnsi="宋体" w:cs="宋体"/>
          <w:color w:val="auto"/>
          <w:highlight w:val="none"/>
        </w:rPr>
      </w:pPr>
      <w:r>
        <w:rPr>
          <w:rFonts w:hint="eastAsia" w:ascii="宋体" w:hAnsi="宋体" w:cs="宋体"/>
          <w:color w:val="auto"/>
          <w:highlight w:val="none"/>
        </w:rPr>
        <w:t>采购人因故推迟投标截止时间，将以公告形式通知。在这种情况下，采购人和投标人的权利和义务将受到新的截止时间的约束。</w:t>
      </w:r>
    </w:p>
    <w:p w14:paraId="721C30F5">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投标文件的修改、撤销</w:t>
      </w:r>
    </w:p>
    <w:p w14:paraId="17F005CA">
      <w:pPr>
        <w:pStyle w:val="15"/>
        <w:spacing w:line="360" w:lineRule="auto"/>
        <w:ind w:firstLine="480" w:firstLineChars="200"/>
        <w:rPr>
          <w:rFonts w:hAnsi="宋体" w:cs="宋体"/>
          <w:color w:val="auto"/>
          <w:sz w:val="24"/>
          <w:highlight w:val="none"/>
        </w:rPr>
      </w:pPr>
      <w:r>
        <w:rPr>
          <w:rFonts w:hint="eastAsia" w:hAnsi="宋体" w:cs="宋体"/>
          <w:color w:val="auto"/>
          <w:sz w:val="24"/>
          <w:highlight w:val="none"/>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14:paraId="559E7401">
      <w:pPr>
        <w:spacing w:line="360" w:lineRule="auto"/>
        <w:jc w:val="center"/>
        <w:rPr>
          <w:rFonts w:ascii="宋体" w:hAnsi="宋体" w:cs="宋体"/>
          <w:b/>
          <w:color w:val="auto"/>
          <w:sz w:val="24"/>
          <w:highlight w:val="none"/>
        </w:rPr>
      </w:pPr>
      <w:bookmarkStart w:id="43" w:name="_Toc91899897"/>
    </w:p>
    <w:p w14:paraId="40630698">
      <w:pPr>
        <w:snapToGrid w:val="0"/>
        <w:spacing w:line="360" w:lineRule="auto"/>
        <w:jc w:val="center"/>
        <w:outlineLvl w:val="0"/>
        <w:rPr>
          <w:rFonts w:ascii="宋体" w:hAnsi="宋体" w:cs="宋体"/>
          <w:b/>
          <w:color w:val="auto"/>
          <w:sz w:val="32"/>
          <w:highlight w:val="none"/>
        </w:rPr>
      </w:pPr>
      <w:bookmarkStart w:id="44" w:name="_Toc2715"/>
      <w:r>
        <w:rPr>
          <w:rFonts w:hint="eastAsia" w:ascii="宋体" w:hAnsi="宋体" w:cs="宋体"/>
          <w:b/>
          <w:color w:val="auto"/>
          <w:sz w:val="32"/>
          <w:highlight w:val="none"/>
        </w:rPr>
        <w:t>五、开标</w:t>
      </w:r>
      <w:bookmarkEnd w:id="43"/>
      <w:bookmarkEnd w:id="44"/>
    </w:p>
    <w:p w14:paraId="7142850A">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开标</w:t>
      </w:r>
    </w:p>
    <w:p w14:paraId="46CB30CE">
      <w:pPr>
        <w:pStyle w:val="15"/>
        <w:numPr>
          <w:ilvl w:val="0"/>
          <w:numId w:val="23"/>
        </w:numPr>
        <w:spacing w:line="360" w:lineRule="auto"/>
        <w:ind w:firstLine="480" w:firstLineChars="200"/>
        <w:rPr>
          <w:rFonts w:hAnsi="宋体" w:cs="宋体"/>
          <w:color w:val="auto"/>
          <w:sz w:val="24"/>
          <w:highlight w:val="none"/>
        </w:rPr>
      </w:pPr>
      <w:r>
        <w:rPr>
          <w:rFonts w:hint="eastAsia" w:hAnsi="宋体" w:cs="宋体"/>
          <w:color w:val="auto"/>
          <w:sz w:val="24"/>
          <w:highlight w:val="none"/>
        </w:rPr>
        <w:t>在投标截止时间前按规定提交投标文件的投标人在三家（含）以上的，由采购人或采购代理机构组织进行开标。</w:t>
      </w:r>
    </w:p>
    <w:p w14:paraId="758BC150">
      <w:pPr>
        <w:pStyle w:val="15"/>
        <w:numPr>
          <w:ilvl w:val="0"/>
          <w:numId w:val="23"/>
        </w:numPr>
        <w:spacing w:line="360" w:lineRule="auto"/>
        <w:ind w:firstLine="482" w:firstLineChars="200"/>
        <w:rPr>
          <w:rFonts w:hAnsi="宋体" w:cs="宋体"/>
          <w:color w:val="auto"/>
          <w:sz w:val="24"/>
          <w:szCs w:val="24"/>
          <w:highlight w:val="none"/>
        </w:rPr>
      </w:pPr>
      <w:r>
        <w:rPr>
          <w:rFonts w:hint="eastAsia" w:hAnsi="宋体" w:cs="宋体"/>
          <w:b/>
          <w:bCs/>
          <w:color w:val="auto"/>
          <w:sz w:val="24"/>
          <w:highlight w:val="none"/>
        </w:rPr>
        <w:t>投标人登录</w:t>
      </w:r>
      <w:r>
        <w:rPr>
          <w:rFonts w:hint="eastAsia" w:hAnsi="宋体" w:cs="宋体"/>
          <w:b/>
          <w:bCs/>
          <w:color w:val="auto"/>
          <w:sz w:val="24"/>
          <w:highlight w:val="none"/>
          <w:lang w:eastAsia="zh-CN"/>
        </w:rPr>
        <w:t>乐采云</w:t>
      </w:r>
      <w:r>
        <w:rPr>
          <w:rFonts w:hint="eastAsia" w:hAnsi="宋体" w:cs="宋体"/>
          <w:b/>
          <w:bCs/>
          <w:color w:val="auto"/>
          <w:sz w:val="24"/>
          <w:highlight w:val="none"/>
        </w:rPr>
        <w:t>平台，用“项目采购-开标评标”功能对电子投标文件进行在线解密。在线解密电子投标文件时间为开标时间起30分钟内。若电子投标文件解密失败，则由采购代理机构工作人员上传投标人提供的备份文件。</w:t>
      </w:r>
      <w:r>
        <w:rPr>
          <w:rFonts w:hint="eastAsia" w:hAnsi="宋体" w:cs="宋体"/>
          <w:color w:val="auto"/>
          <w:sz w:val="24"/>
          <w:szCs w:val="24"/>
          <w:highlight w:val="none"/>
        </w:rPr>
        <w:t>备份文件（后缀名为.bfbs）须存储在U盘中，与上传的电子投标文件一致，用信封进行密封并盖章，由授权代表在投标截止时间前递交至开标地点。</w:t>
      </w:r>
    </w:p>
    <w:p w14:paraId="7DE9355D">
      <w:pPr>
        <w:pStyle w:val="15"/>
        <w:numPr>
          <w:ilvl w:val="0"/>
          <w:numId w:val="23"/>
        </w:numPr>
        <w:spacing w:line="360" w:lineRule="auto"/>
        <w:ind w:firstLine="480" w:firstLineChars="200"/>
        <w:rPr>
          <w:rFonts w:hAnsi="宋体" w:cs="宋体"/>
          <w:color w:val="auto"/>
          <w:sz w:val="24"/>
          <w:highlight w:val="none"/>
        </w:rPr>
      </w:pPr>
      <w:r>
        <w:rPr>
          <w:rFonts w:hint="eastAsia" w:hAnsi="宋体" w:cs="宋体"/>
          <w:color w:val="auto"/>
          <w:sz w:val="24"/>
          <w:highlight w:val="none"/>
        </w:rPr>
        <w:t>采购人按招标文件规定的时间、地点公开开标。开标仪式由采购人或采购代理机构主持及有关人员参加。</w:t>
      </w:r>
    </w:p>
    <w:p w14:paraId="4F45A61A">
      <w:pPr>
        <w:pStyle w:val="43"/>
        <w:numPr>
          <w:ilvl w:val="0"/>
          <w:numId w:val="23"/>
        </w:numPr>
        <w:spacing w:before="0"/>
        <w:ind w:firstLine="480"/>
        <w:rPr>
          <w:rFonts w:ascii="宋体" w:hAnsi="宋体" w:cs="宋体"/>
          <w:color w:val="auto"/>
          <w:szCs w:val="24"/>
          <w:highlight w:val="none"/>
        </w:rPr>
      </w:pPr>
      <w:r>
        <w:rPr>
          <w:rFonts w:hint="eastAsia" w:ascii="宋体" w:hAnsi="宋体" w:cs="宋体"/>
          <w:color w:val="auto"/>
          <w:szCs w:val="24"/>
          <w:highlight w:val="none"/>
        </w:rPr>
        <w:t>本项目为电子投标项目，投标人一般不需要参加现场投标和开标，若投标人需要指派授权代表递交备份文件，则授权代表应随身携带法定代表人授权书原件于投标截止时间前到达开标地点递交备份文件。若电子投标文件正常解锁，则U盘退还给供应商；若解锁失败，则由采购代理机构将U盘中的备份文件上传，该U盘将由采购代理机构保存。</w:t>
      </w:r>
    </w:p>
    <w:p w14:paraId="236F17D0">
      <w:pPr>
        <w:pStyle w:val="43"/>
        <w:numPr>
          <w:ilvl w:val="0"/>
          <w:numId w:val="23"/>
        </w:numPr>
        <w:spacing w:before="0"/>
        <w:ind w:firstLine="480"/>
        <w:rPr>
          <w:rFonts w:ascii="宋体" w:hAnsi="宋体" w:cs="宋体"/>
          <w:color w:val="auto"/>
          <w:szCs w:val="24"/>
          <w:highlight w:val="none"/>
        </w:rPr>
      </w:pPr>
      <w:r>
        <w:rPr>
          <w:rFonts w:hint="eastAsia" w:ascii="宋体" w:hAnsi="宋体" w:cs="宋体"/>
          <w:color w:val="auto"/>
          <w:szCs w:val="24"/>
          <w:highlight w:val="none"/>
        </w:rPr>
        <w:t>两个以上的自然人、法人或者其他组织组成一个联合体，以一个供应商的身份共同参加采购活动的，应当对所有联合体成员进行信用记录查询，联合体成员存在不良信用记录的，视同联合体存在不良信用记录。</w:t>
      </w:r>
    </w:p>
    <w:p w14:paraId="7A8CC2FD">
      <w:pPr>
        <w:spacing w:line="360" w:lineRule="auto"/>
        <w:jc w:val="center"/>
        <w:rPr>
          <w:rFonts w:ascii="宋体" w:hAnsi="宋体" w:cs="宋体"/>
          <w:b/>
          <w:color w:val="auto"/>
          <w:sz w:val="24"/>
          <w:highlight w:val="none"/>
        </w:rPr>
      </w:pPr>
    </w:p>
    <w:p w14:paraId="6398D23C">
      <w:pPr>
        <w:snapToGrid w:val="0"/>
        <w:spacing w:line="360" w:lineRule="auto"/>
        <w:jc w:val="center"/>
        <w:outlineLvl w:val="0"/>
        <w:rPr>
          <w:rFonts w:ascii="宋体" w:hAnsi="宋体" w:cs="宋体"/>
          <w:b/>
          <w:color w:val="auto"/>
          <w:sz w:val="32"/>
          <w:highlight w:val="none"/>
        </w:rPr>
      </w:pPr>
      <w:bookmarkStart w:id="45" w:name="_Toc21216"/>
      <w:r>
        <w:rPr>
          <w:rFonts w:hint="eastAsia" w:ascii="宋体" w:hAnsi="宋体" w:cs="宋体"/>
          <w:b/>
          <w:color w:val="auto"/>
          <w:sz w:val="32"/>
          <w:highlight w:val="none"/>
        </w:rPr>
        <w:t>六、资格审查</w:t>
      </w:r>
      <w:bookmarkEnd w:id="45"/>
    </w:p>
    <w:p w14:paraId="62EE6135">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资格审查</w:t>
      </w:r>
    </w:p>
    <w:p w14:paraId="4ACD9FD1">
      <w:pPr>
        <w:pStyle w:val="43"/>
        <w:numPr>
          <w:ilvl w:val="0"/>
          <w:numId w:val="24"/>
        </w:numPr>
        <w:spacing w:before="0"/>
        <w:ind w:firstLine="480"/>
        <w:rPr>
          <w:rFonts w:ascii="宋体" w:hAnsi="宋体" w:cs="宋体"/>
          <w:color w:val="auto"/>
          <w:szCs w:val="24"/>
          <w:highlight w:val="none"/>
        </w:rPr>
      </w:pPr>
      <w:bookmarkStart w:id="46" w:name="_Hlt75236101"/>
      <w:bookmarkEnd w:id="46"/>
      <w:bookmarkStart w:id="47" w:name="_Toc91899902"/>
      <w:r>
        <w:rPr>
          <w:rFonts w:hint="eastAsia" w:ascii="宋体" w:hAnsi="宋体" w:cs="宋体"/>
          <w:color w:val="auto"/>
          <w:szCs w:val="24"/>
          <w:highlight w:val="none"/>
        </w:rPr>
        <w:t>开标后，采购人或采购代理机构将依法对投标人的资格进行审查；</w:t>
      </w:r>
    </w:p>
    <w:p w14:paraId="7ADCEB9A">
      <w:pPr>
        <w:pStyle w:val="43"/>
        <w:numPr>
          <w:ilvl w:val="0"/>
          <w:numId w:val="24"/>
        </w:numPr>
        <w:spacing w:before="0"/>
        <w:ind w:firstLine="480"/>
        <w:rPr>
          <w:rFonts w:ascii="宋体" w:hAnsi="宋体" w:cs="宋体"/>
          <w:color w:val="auto"/>
          <w:szCs w:val="24"/>
          <w:highlight w:val="none"/>
        </w:rPr>
      </w:pPr>
      <w:r>
        <w:rPr>
          <w:rFonts w:hint="eastAsia" w:ascii="宋体" w:hAnsi="宋体" w:cs="宋体"/>
          <w:color w:val="auto"/>
          <w:szCs w:val="24"/>
          <w:highlight w:val="none"/>
        </w:rPr>
        <w:t>采购人或采购代理机构依据法律法规和招标文件的规定，对投标人的基本资格条件、特定资格条件进行审查。</w:t>
      </w:r>
    </w:p>
    <w:p w14:paraId="1979D3D4">
      <w:pPr>
        <w:pStyle w:val="43"/>
        <w:numPr>
          <w:ilvl w:val="0"/>
          <w:numId w:val="24"/>
        </w:numPr>
        <w:spacing w:before="0"/>
        <w:ind w:firstLine="480"/>
        <w:rPr>
          <w:rFonts w:ascii="宋体" w:hAnsi="宋体" w:cs="宋体"/>
          <w:color w:val="auto"/>
          <w:szCs w:val="24"/>
          <w:highlight w:val="none"/>
        </w:rPr>
      </w:pPr>
      <w:r>
        <w:rPr>
          <w:rFonts w:hint="eastAsia" w:ascii="宋体" w:hAnsi="宋体" w:cs="宋体"/>
          <w:color w:val="auto"/>
          <w:szCs w:val="24"/>
          <w:highlight w:val="none"/>
        </w:rPr>
        <w:t>采购人或采购代理机构将通过“信用中国”网站(www.creditchina.gov.cn)、中国政府采购网(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Fonts w:hint="eastAsia" w:ascii="宋体" w:hAnsi="宋体" w:cs="宋体"/>
          <w:color w:val="auto"/>
          <w:szCs w:val="24"/>
          <w:highlight w:val="none"/>
        </w:rPr>
        <w:t>www.ccgp.gov.cn</w:t>
      </w:r>
      <w:r>
        <w:rPr>
          <w:rFonts w:hint="eastAsia" w:ascii="宋体" w:hAnsi="宋体" w:cs="宋体"/>
          <w:color w:val="auto"/>
          <w:szCs w:val="24"/>
          <w:highlight w:val="none"/>
        </w:rPr>
        <w:fldChar w:fldCharType="end"/>
      </w:r>
      <w:r>
        <w:rPr>
          <w:rFonts w:hint="eastAsia" w:ascii="宋体" w:hAnsi="宋体" w:cs="宋体"/>
          <w:color w:val="auto"/>
          <w:szCs w:val="24"/>
          <w:highlight w:val="none"/>
        </w:rPr>
        <w:t>)渠道查询投标人开标后评标前的信用记录，经查询投标人列入失信被执行人名单、重大税收违法案件当事人名单、政府采购严重违法失信行为记录名单的，其投标无效；</w:t>
      </w:r>
    </w:p>
    <w:p w14:paraId="45EF1B6B">
      <w:pPr>
        <w:pStyle w:val="43"/>
        <w:numPr>
          <w:ilvl w:val="0"/>
          <w:numId w:val="24"/>
        </w:numPr>
        <w:spacing w:before="0"/>
        <w:ind w:firstLine="480"/>
        <w:rPr>
          <w:rFonts w:ascii="宋体" w:hAnsi="宋体" w:cs="宋体"/>
          <w:color w:val="auto"/>
          <w:szCs w:val="24"/>
          <w:highlight w:val="none"/>
        </w:rPr>
      </w:pPr>
      <w:r>
        <w:rPr>
          <w:rFonts w:hint="eastAsia" w:ascii="宋体" w:hAnsi="宋体" w:cs="宋体"/>
          <w:color w:val="auto"/>
          <w:szCs w:val="24"/>
          <w:highlight w:val="none"/>
        </w:rPr>
        <w:t>采购人或采购代理机构出具《投标人资格审查意见表》，投标人未按照招标文件要求提供与基本资格条件、特定资格条件相应的有效资格证明材料的，视为投标人不具备招标文件中规定的资格要求，其投标无效。</w:t>
      </w:r>
    </w:p>
    <w:p w14:paraId="3729935A">
      <w:pPr>
        <w:spacing w:line="360" w:lineRule="auto"/>
        <w:jc w:val="center"/>
        <w:rPr>
          <w:rFonts w:ascii="宋体" w:hAnsi="宋体" w:cs="宋体"/>
          <w:b/>
          <w:color w:val="auto"/>
          <w:sz w:val="24"/>
          <w:highlight w:val="none"/>
        </w:rPr>
      </w:pPr>
    </w:p>
    <w:p w14:paraId="0991C762">
      <w:pPr>
        <w:snapToGrid w:val="0"/>
        <w:spacing w:line="360" w:lineRule="auto"/>
        <w:jc w:val="center"/>
        <w:outlineLvl w:val="0"/>
        <w:rPr>
          <w:rFonts w:ascii="宋体" w:hAnsi="宋体" w:cs="宋体"/>
          <w:b/>
          <w:color w:val="auto"/>
          <w:sz w:val="32"/>
          <w:highlight w:val="none"/>
        </w:rPr>
      </w:pPr>
      <w:bookmarkStart w:id="48" w:name="_Toc27641"/>
      <w:r>
        <w:rPr>
          <w:rFonts w:hint="eastAsia" w:ascii="宋体" w:hAnsi="宋体" w:cs="宋体"/>
          <w:b/>
          <w:color w:val="auto"/>
          <w:sz w:val="32"/>
          <w:highlight w:val="none"/>
        </w:rPr>
        <w:t>七、评标</w:t>
      </w:r>
      <w:bookmarkEnd w:id="47"/>
      <w:bookmarkEnd w:id="48"/>
    </w:p>
    <w:p w14:paraId="505FEDA6">
      <w:pPr>
        <w:pStyle w:val="15"/>
        <w:numPr>
          <w:ilvl w:val="0"/>
          <w:numId w:val="6"/>
        </w:numPr>
        <w:spacing w:line="360" w:lineRule="auto"/>
        <w:ind w:firstLine="482" w:firstLineChars="200"/>
        <w:rPr>
          <w:rFonts w:hAnsi="宋体" w:cs="宋体"/>
          <w:b/>
          <w:color w:val="auto"/>
          <w:sz w:val="24"/>
          <w:szCs w:val="24"/>
          <w:highlight w:val="none"/>
        </w:rPr>
      </w:pPr>
      <w:bookmarkStart w:id="49" w:name="_Toc91899903"/>
      <w:r>
        <w:rPr>
          <w:rFonts w:hint="eastAsia" w:hAnsi="宋体" w:cs="宋体"/>
          <w:b/>
          <w:color w:val="auto"/>
          <w:sz w:val="24"/>
          <w:szCs w:val="24"/>
          <w:highlight w:val="none"/>
        </w:rPr>
        <w:t>评标原则</w:t>
      </w:r>
    </w:p>
    <w:p w14:paraId="18FDBA8F">
      <w:pPr>
        <w:pStyle w:val="43"/>
        <w:numPr>
          <w:ilvl w:val="0"/>
          <w:numId w:val="25"/>
        </w:numPr>
        <w:spacing w:before="0"/>
        <w:ind w:firstLine="480"/>
        <w:rPr>
          <w:rFonts w:ascii="宋体" w:hAnsi="宋体" w:cs="宋体"/>
          <w:color w:val="auto"/>
          <w:szCs w:val="24"/>
          <w:highlight w:val="none"/>
        </w:rPr>
      </w:pPr>
      <w:r>
        <w:rPr>
          <w:rFonts w:hint="eastAsia" w:ascii="宋体" w:hAnsi="宋体" w:cs="宋体"/>
          <w:color w:val="auto"/>
          <w:szCs w:val="24"/>
          <w:highlight w:val="none"/>
        </w:rPr>
        <w:t>竞争优选；</w:t>
      </w:r>
    </w:p>
    <w:p w14:paraId="46CCE77E">
      <w:pPr>
        <w:pStyle w:val="43"/>
        <w:numPr>
          <w:ilvl w:val="0"/>
          <w:numId w:val="25"/>
        </w:numPr>
        <w:spacing w:before="0"/>
        <w:ind w:firstLine="480"/>
        <w:rPr>
          <w:rFonts w:ascii="宋体" w:hAnsi="宋体" w:cs="宋体"/>
          <w:color w:val="auto"/>
          <w:szCs w:val="24"/>
          <w:highlight w:val="none"/>
        </w:rPr>
      </w:pPr>
      <w:r>
        <w:rPr>
          <w:rFonts w:hint="eastAsia" w:ascii="宋体" w:hAnsi="宋体" w:cs="宋体"/>
          <w:color w:val="auto"/>
          <w:szCs w:val="24"/>
          <w:highlight w:val="none"/>
          <w:lang w:val="zh-CN"/>
        </w:rPr>
        <w:t>坚持公开</w:t>
      </w:r>
      <w:r>
        <w:rPr>
          <w:rFonts w:hint="eastAsia" w:ascii="宋体" w:hAnsi="宋体" w:cs="宋体"/>
          <w:color w:val="auto"/>
          <w:szCs w:val="24"/>
          <w:highlight w:val="none"/>
        </w:rPr>
        <w:t>、公平、公正、科学合理</w:t>
      </w:r>
      <w:r>
        <w:rPr>
          <w:rFonts w:hint="eastAsia" w:ascii="宋体" w:hAnsi="宋体" w:cs="宋体"/>
          <w:color w:val="auto"/>
          <w:szCs w:val="24"/>
          <w:highlight w:val="none"/>
          <w:lang w:val="zh-CN"/>
        </w:rPr>
        <w:t>的原则；</w:t>
      </w:r>
    </w:p>
    <w:p w14:paraId="62DE23FB">
      <w:pPr>
        <w:pStyle w:val="43"/>
        <w:numPr>
          <w:ilvl w:val="0"/>
          <w:numId w:val="25"/>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rPr>
        <w:t>价格合理，方案、产品先进可行；</w:t>
      </w:r>
    </w:p>
    <w:p w14:paraId="212F8FB0">
      <w:pPr>
        <w:pStyle w:val="43"/>
        <w:numPr>
          <w:ilvl w:val="0"/>
          <w:numId w:val="25"/>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反对不正当竞争。</w:t>
      </w:r>
    </w:p>
    <w:p w14:paraId="266958E8">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评标组织</w:t>
      </w:r>
    </w:p>
    <w:p w14:paraId="6FAB29DD">
      <w:pPr>
        <w:pStyle w:val="43"/>
        <w:numPr>
          <w:ilvl w:val="0"/>
          <w:numId w:val="26"/>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评标委员会由采购人代表和评审专家组成，成员人数应当为</w:t>
      </w:r>
      <w:r>
        <w:rPr>
          <w:rFonts w:hint="eastAsia" w:ascii="宋体" w:hAnsi="宋体" w:cs="宋体"/>
          <w:color w:val="auto"/>
          <w:szCs w:val="24"/>
          <w:highlight w:val="none"/>
        </w:rPr>
        <w:t>5</w:t>
      </w:r>
      <w:r>
        <w:rPr>
          <w:rFonts w:hint="eastAsia" w:ascii="宋体" w:hAnsi="宋体" w:cs="宋体"/>
          <w:color w:val="auto"/>
          <w:szCs w:val="24"/>
          <w:highlight w:val="none"/>
          <w:lang w:val="zh-CN"/>
        </w:rPr>
        <w:t>人以上单数，其中评审专家不得少于成员总数的三分之二；</w:t>
      </w:r>
    </w:p>
    <w:p w14:paraId="092C0142">
      <w:pPr>
        <w:pStyle w:val="43"/>
        <w:numPr>
          <w:ilvl w:val="0"/>
          <w:numId w:val="26"/>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评标工作由评标委员会负责，并推选产生的组长主持；</w:t>
      </w:r>
    </w:p>
    <w:p w14:paraId="4842D684">
      <w:pPr>
        <w:pStyle w:val="43"/>
        <w:numPr>
          <w:ilvl w:val="0"/>
          <w:numId w:val="26"/>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本次评标为在线评标。</w:t>
      </w:r>
    </w:p>
    <w:p w14:paraId="52F41CB2">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评标办法</w:t>
      </w:r>
    </w:p>
    <w:p w14:paraId="10A2666E">
      <w:pPr>
        <w:spacing w:line="360" w:lineRule="auto"/>
        <w:ind w:firstLine="467" w:firstLineChars="194"/>
        <w:rPr>
          <w:rFonts w:ascii="宋体" w:hAnsi="宋体" w:cs="宋体"/>
          <w:b/>
          <w:color w:val="auto"/>
          <w:kern w:val="0"/>
          <w:sz w:val="24"/>
          <w:szCs w:val="20"/>
          <w:highlight w:val="none"/>
        </w:rPr>
      </w:pPr>
      <w:r>
        <w:rPr>
          <w:rFonts w:hint="eastAsia" w:ascii="宋体" w:hAnsi="宋体" w:cs="宋体"/>
          <w:b/>
          <w:color w:val="auto"/>
          <w:kern w:val="0"/>
          <w:sz w:val="24"/>
          <w:szCs w:val="20"/>
          <w:highlight w:val="none"/>
        </w:rPr>
        <w:t>本项目评标办法是综合评分法，具体评标内容及评分标准等详见招标文件第三部分。</w:t>
      </w:r>
    </w:p>
    <w:p w14:paraId="069CEEE1">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投标文件符合性审查</w:t>
      </w:r>
    </w:p>
    <w:p w14:paraId="6AA8F286">
      <w:pPr>
        <w:pStyle w:val="43"/>
        <w:numPr>
          <w:ilvl w:val="0"/>
          <w:numId w:val="27"/>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投标文件符合性审查：评标委员会依据招标文件的规定，从投标文件的有效性、完整性和对招标文件的响应程度进行审查，以确定是否对招标文件的要求作出实质性响应。</w:t>
      </w:r>
    </w:p>
    <w:p w14:paraId="2A2B1B7C">
      <w:pPr>
        <w:pStyle w:val="43"/>
        <w:numPr>
          <w:ilvl w:val="0"/>
          <w:numId w:val="27"/>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实质性响应的投标应该是与招标文件要求的主要条款相符，没有重大偏离或保留的投标。所谓重大偏离或保留是指影响合同的内容、项目建设质量，或者在实质上与招标文件不一致，而且限制了合同中采购人的权利或投标人的义务，纠正这些偏离或保留将会对其他实质性响应要求的投标人的竞争地位产生不公正的影响。评标委员会决定投标文件的响应性只根据投标文件本身的内容，而不寻求外部证据。</w:t>
      </w:r>
    </w:p>
    <w:p w14:paraId="58C04810">
      <w:pPr>
        <w:pStyle w:val="43"/>
        <w:numPr>
          <w:ilvl w:val="0"/>
          <w:numId w:val="27"/>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 xml:space="preserve">如果投标文件没有实质上响应招标文件的要求，评标委员会将判定无效投标，投标人不得通过修改或撤销不合要求的偏离或保留而使其投标成为实质性响应的投标。 </w:t>
      </w:r>
    </w:p>
    <w:p w14:paraId="6C6001DF">
      <w:pPr>
        <w:pStyle w:val="43"/>
        <w:numPr>
          <w:ilvl w:val="0"/>
          <w:numId w:val="27"/>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即按《评分标准》确定的标准，以经审查合格的投标文件进行资信、技术和商务评估，并综合进行比较与评价。参照《浙江省政府采购活动现场组织管理办法》的通知（浙财采监{2015}13号）规定，“对明显畸高、畸低的评分（其总评分偏离平均分30%以上的），评审小组组长应提醒相关评审人员进行复核或书面说明理由，评审人员拒绝说明的，由现场监督员据实记录；评审人员的评审、修改记录应保留原件，随项目其他资料一并存档。”</w:t>
      </w:r>
    </w:p>
    <w:p w14:paraId="2E7139CA">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修正原则</w:t>
      </w:r>
    </w:p>
    <w:p w14:paraId="31AB02D1">
      <w:pPr>
        <w:pStyle w:val="43"/>
        <w:spacing w:before="0"/>
        <w:ind w:left="420" w:leftChars="200" w:firstLine="0" w:firstLineChars="0"/>
        <w:rPr>
          <w:rFonts w:ascii="宋体" w:hAnsi="宋体" w:cs="宋体"/>
          <w:color w:val="auto"/>
          <w:szCs w:val="24"/>
          <w:highlight w:val="none"/>
          <w:lang w:val="zh-CN"/>
        </w:rPr>
      </w:pPr>
      <w:r>
        <w:rPr>
          <w:rFonts w:hint="eastAsia" w:ascii="宋体" w:hAnsi="宋体" w:cs="宋体"/>
          <w:color w:val="auto"/>
          <w:szCs w:val="24"/>
          <w:highlight w:val="none"/>
          <w:lang w:val="zh-CN"/>
        </w:rPr>
        <w:t>投标文件报价出现前后不一致的，按照下列规定修正：</w:t>
      </w:r>
    </w:p>
    <w:p w14:paraId="489C1AC5">
      <w:pPr>
        <w:pStyle w:val="43"/>
        <w:numPr>
          <w:ilvl w:val="0"/>
          <w:numId w:val="28"/>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投标文件中投标（开标）一览表内容与投标文件中相应内容不一致的，以投标（开标）一览表为准；</w:t>
      </w:r>
    </w:p>
    <w:p w14:paraId="59D06F6F">
      <w:pPr>
        <w:pStyle w:val="43"/>
        <w:numPr>
          <w:ilvl w:val="0"/>
          <w:numId w:val="28"/>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大写金额和小写金额不一致的，以大写金额为准；</w:t>
      </w:r>
    </w:p>
    <w:p w14:paraId="0716B7A4">
      <w:pPr>
        <w:pStyle w:val="43"/>
        <w:numPr>
          <w:ilvl w:val="0"/>
          <w:numId w:val="28"/>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单价金额小数点或者百分比有明显错位的，以投标（开标）一览表的总价为准，并修改单价；</w:t>
      </w:r>
    </w:p>
    <w:p w14:paraId="690494D3">
      <w:pPr>
        <w:pStyle w:val="43"/>
        <w:numPr>
          <w:ilvl w:val="0"/>
          <w:numId w:val="28"/>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总价金额与按单价汇总金额不一致的，以单价金额计算结果为准。</w:t>
      </w:r>
    </w:p>
    <w:p w14:paraId="23F73FA0">
      <w:pPr>
        <w:pStyle w:val="43"/>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同时出现两种以上不一致的，按照前款规定的顺序修正。修正后的报价按照财政部公布第87号令 《政府采购产品和服务招标投标管理办法》第五十一条第二款的规定经投标人确认后产生约束力，投标人不确认的，其投标无效。</w:t>
      </w:r>
    </w:p>
    <w:p w14:paraId="5E5029F8">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投标文件的澄清</w:t>
      </w:r>
    </w:p>
    <w:p w14:paraId="6FBFB378">
      <w:pPr>
        <w:pStyle w:val="43"/>
        <w:numPr>
          <w:ilvl w:val="0"/>
          <w:numId w:val="29"/>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评审中因投标文件含义不明、表述不一致或有明显计算错误等内容需要供应商作出澄清、说明或者补正的，评标委员会和供应商应当通过政采云平台交换数据电文，给予供应商提交澄清说明或补正的时间不少于半小时，供应商已经明确表示澄清说明或补正完毕的除外。</w:t>
      </w:r>
    </w:p>
    <w:p w14:paraId="3E6927BE">
      <w:pPr>
        <w:pStyle w:val="43"/>
        <w:numPr>
          <w:ilvl w:val="0"/>
          <w:numId w:val="29"/>
        </w:numPr>
        <w:spacing w:before="0"/>
        <w:ind w:firstLine="480"/>
        <w:rPr>
          <w:rFonts w:ascii="宋体" w:hAnsi="宋体" w:cs="宋体"/>
          <w:color w:val="auto"/>
          <w:szCs w:val="24"/>
          <w:highlight w:val="none"/>
          <w:lang w:val="zh-CN"/>
        </w:rPr>
      </w:pPr>
      <w:r>
        <w:rPr>
          <w:rFonts w:hint="eastAsia" w:ascii="宋体" w:hAnsi="宋体" w:cs="宋体"/>
          <w:color w:val="auto"/>
          <w:szCs w:val="24"/>
          <w:highlight w:val="none"/>
          <w:lang w:val="zh-CN"/>
        </w:rPr>
        <w:t>供应商通过乐采云平台交换的数据电文必须进行电子签章。</w:t>
      </w:r>
    </w:p>
    <w:p w14:paraId="32DDA791">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无效投标</w:t>
      </w:r>
    </w:p>
    <w:p w14:paraId="399D3539">
      <w:pPr>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经过审查，凡不符合有关规定，不响应招标文件的实质性条款，存在以下重大偏离之一的，经评标委员会认定，将因未通过资格性或符合性审查而被作为无效投标处理：</w:t>
      </w:r>
    </w:p>
    <w:p w14:paraId="1C189537">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未按照招标文件规定要求签署、盖章的；</w:t>
      </w:r>
    </w:p>
    <w:p w14:paraId="7D243FC8">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 xml:space="preserve">《法定代表人授权书》填写不全、错误、未加盖投标人公章（公章和签字或盖章缺一不可）； </w:t>
      </w:r>
    </w:p>
    <w:p w14:paraId="6C1B92AA">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个体工商户的身份证明与营业执照不一致的；</w:t>
      </w:r>
    </w:p>
    <w:p w14:paraId="25C19326">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投标文件中的投标函未加盖投标人的企业公章或填写不全的；</w:t>
      </w:r>
    </w:p>
    <w:p w14:paraId="59522FEC">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报价一经涂改，未在涂改处加盖投标单位公章或者未经法定代表人或其授权代表签字或盖章的；</w:t>
      </w:r>
    </w:p>
    <w:p w14:paraId="0094CD1D">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因未按规定的格式填写，内容不全或主要实质性内容字迹模糊辨认不清,经评标委员会认定为无法评审的；</w:t>
      </w:r>
    </w:p>
    <w:p w14:paraId="092FA401">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出现同一标的物或本次招标产品(服务)内的主要产品(重要组成部分)出现技术、商务描述不一致或前后描述不一致，经评标委员会认定后为无法评审的；</w:t>
      </w:r>
    </w:p>
    <w:p w14:paraId="49782550">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投标详细配置清单响应表不真实填写或弄虚作假的；改变招标文件提供的清单中的计量单位、工程数量；</w:t>
      </w:r>
    </w:p>
    <w:p w14:paraId="7A8A3FDE">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对招标产品技术规格未详细应答，致使其技术文件无法评审的；</w:t>
      </w:r>
    </w:p>
    <w:p w14:paraId="125F3D9D">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投标文件有招标方不能接受的条件；</w:t>
      </w:r>
    </w:p>
    <w:p w14:paraId="0A38306F">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57469292">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投标报价超过预算金额或最高限价的；</w:t>
      </w:r>
    </w:p>
    <w:p w14:paraId="3E0E63B5">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投标文件“商务技术文件资料”部分中出现《开标一览表》或《投标报价明细表》相关内容的；</w:t>
      </w:r>
    </w:p>
    <w:p w14:paraId="001B930F">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评标委员会认定有重大偏差或实质性不响应招标文件要求的，即“★”的关键性指标及技术参数要求负偏离或缺漏；</w:t>
      </w:r>
    </w:p>
    <w:p w14:paraId="64B80C55">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投标人拒绝按招标文件规定的修正原则对投标文件进行修改的；</w:t>
      </w:r>
    </w:p>
    <w:p w14:paraId="58B81B4A">
      <w:pPr>
        <w:numPr>
          <w:ilvl w:val="0"/>
          <w:numId w:val="30"/>
        </w:num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有下列情形之一的，视为投标人串通投标，其投标无效：</w:t>
      </w:r>
    </w:p>
    <w:p w14:paraId="33F4E5A8">
      <w:pPr>
        <w:tabs>
          <w:tab w:val="left" w:pos="0"/>
        </w:tabs>
        <w:spacing w:line="336" w:lineRule="auto"/>
        <w:ind w:left="420" w:leftChars="200"/>
        <w:rPr>
          <w:rFonts w:ascii="宋体" w:hAnsi="宋体" w:cs="宋体"/>
          <w:b/>
          <w:bCs/>
          <w:color w:val="auto"/>
          <w:sz w:val="24"/>
          <w:highlight w:val="none"/>
        </w:rPr>
      </w:pPr>
      <w:r>
        <w:rPr>
          <w:rFonts w:hint="eastAsia" w:ascii="宋体" w:hAnsi="宋体" w:cs="宋体"/>
          <w:b/>
          <w:bCs/>
          <w:color w:val="auto"/>
          <w:sz w:val="24"/>
          <w:highlight w:val="none"/>
        </w:rPr>
        <w:t>24.16.1不同投标人的投标文件由同一单位或者个人编制；</w:t>
      </w:r>
    </w:p>
    <w:p w14:paraId="0C55456C">
      <w:pPr>
        <w:tabs>
          <w:tab w:val="left" w:pos="0"/>
        </w:tabs>
        <w:spacing w:line="336" w:lineRule="auto"/>
        <w:ind w:left="420" w:leftChars="200"/>
        <w:rPr>
          <w:rFonts w:ascii="宋体" w:hAnsi="宋体" w:cs="宋体"/>
          <w:b/>
          <w:bCs/>
          <w:color w:val="auto"/>
          <w:sz w:val="24"/>
          <w:highlight w:val="none"/>
        </w:rPr>
      </w:pPr>
      <w:r>
        <w:rPr>
          <w:rFonts w:hint="eastAsia" w:ascii="宋体" w:hAnsi="宋体" w:cs="宋体"/>
          <w:b/>
          <w:bCs/>
          <w:color w:val="auto"/>
          <w:sz w:val="24"/>
          <w:highlight w:val="none"/>
        </w:rPr>
        <w:t>24.16.2不同投标人委托同一单位或者个人办理投标事宜；</w:t>
      </w:r>
    </w:p>
    <w:p w14:paraId="335BA102">
      <w:pPr>
        <w:tabs>
          <w:tab w:val="left" w:pos="0"/>
        </w:tabs>
        <w:spacing w:line="336" w:lineRule="auto"/>
        <w:ind w:left="420" w:leftChars="200"/>
        <w:rPr>
          <w:rFonts w:ascii="宋体" w:hAnsi="宋体" w:cs="宋体"/>
          <w:b/>
          <w:bCs/>
          <w:color w:val="auto"/>
          <w:sz w:val="24"/>
          <w:highlight w:val="none"/>
        </w:rPr>
      </w:pPr>
      <w:r>
        <w:rPr>
          <w:rFonts w:hint="eastAsia" w:ascii="宋体" w:hAnsi="宋体" w:cs="宋体"/>
          <w:b/>
          <w:bCs/>
          <w:color w:val="auto"/>
          <w:sz w:val="24"/>
          <w:highlight w:val="none"/>
        </w:rPr>
        <w:t>24.16.3不同投标人的投标文件载明的项目管理成员或者联系人员为同一人；</w:t>
      </w:r>
    </w:p>
    <w:p w14:paraId="6A299A6F">
      <w:pPr>
        <w:tabs>
          <w:tab w:val="left" w:pos="0"/>
        </w:tabs>
        <w:spacing w:line="336" w:lineRule="auto"/>
        <w:ind w:left="420" w:leftChars="200"/>
        <w:rPr>
          <w:rFonts w:ascii="宋体" w:hAnsi="宋体" w:cs="宋体"/>
          <w:b/>
          <w:bCs/>
          <w:color w:val="auto"/>
          <w:sz w:val="24"/>
          <w:highlight w:val="none"/>
        </w:rPr>
      </w:pPr>
      <w:r>
        <w:rPr>
          <w:rFonts w:hint="eastAsia" w:ascii="宋体" w:hAnsi="宋体" w:cs="宋体"/>
          <w:b/>
          <w:bCs/>
          <w:color w:val="auto"/>
          <w:sz w:val="24"/>
          <w:highlight w:val="none"/>
        </w:rPr>
        <w:t>24.16.4不同投标人的投标文件异常一致或者投标报价呈规律性差异；</w:t>
      </w:r>
    </w:p>
    <w:p w14:paraId="2F84E87E">
      <w:pPr>
        <w:tabs>
          <w:tab w:val="left" w:pos="0"/>
        </w:tabs>
        <w:spacing w:line="336" w:lineRule="auto"/>
        <w:ind w:left="420" w:leftChars="200"/>
        <w:rPr>
          <w:rFonts w:ascii="宋体" w:hAnsi="宋体" w:cs="宋体"/>
          <w:b/>
          <w:bCs/>
          <w:color w:val="auto"/>
          <w:sz w:val="24"/>
          <w:highlight w:val="none"/>
        </w:rPr>
      </w:pPr>
      <w:r>
        <w:rPr>
          <w:rFonts w:hint="eastAsia" w:ascii="宋体" w:hAnsi="宋体" w:cs="宋体"/>
          <w:b/>
          <w:bCs/>
          <w:color w:val="auto"/>
          <w:sz w:val="24"/>
          <w:highlight w:val="none"/>
        </w:rPr>
        <w:t>24.16.5不同投标人提供的投标文件出自同一终端设备的，或在相同Internet主机分配地址（相同IP地址）报名或网上投标的，且经询标澄清投标人无令人信服的理由和可靠证据证明其合理性的，经评标委员会半数以上成员确认有串通投标嫌疑的。</w:t>
      </w:r>
    </w:p>
    <w:p w14:paraId="2E0E063A">
      <w:pPr>
        <w:tabs>
          <w:tab w:val="left" w:pos="0"/>
        </w:tabs>
        <w:spacing w:line="360" w:lineRule="auto"/>
        <w:ind w:firstLine="482" w:firstLineChars="200"/>
        <w:rPr>
          <w:color w:val="auto"/>
          <w:highlight w:val="none"/>
        </w:rPr>
      </w:pPr>
      <w:r>
        <w:rPr>
          <w:rFonts w:hint="eastAsia" w:ascii="宋体" w:hAnsi="宋体" w:cs="宋体"/>
          <w:b/>
          <w:bCs/>
          <w:color w:val="auto"/>
          <w:sz w:val="24"/>
          <w:szCs w:val="32"/>
          <w:highlight w:val="none"/>
        </w:rPr>
        <w:t>24.1</w:t>
      </w:r>
      <w:r>
        <w:rPr>
          <w:rFonts w:hint="eastAsia" w:ascii="宋体" w:hAnsi="宋体" w:cs="宋体"/>
          <w:b/>
          <w:bCs/>
          <w:color w:val="auto"/>
          <w:sz w:val="24"/>
          <w:szCs w:val="32"/>
          <w:highlight w:val="none"/>
          <w:lang w:val="en-US" w:eastAsia="zh-CN"/>
        </w:rPr>
        <w:t>7</w:t>
      </w:r>
      <w:r>
        <w:rPr>
          <w:rFonts w:hint="eastAsia" w:ascii="宋体" w:hAnsi="宋体" w:cs="宋体"/>
          <w:b/>
          <w:bCs/>
          <w:color w:val="auto"/>
          <w:sz w:val="24"/>
          <w:szCs w:val="32"/>
          <w:highlight w:val="none"/>
        </w:rPr>
        <w:t>其他违反法律、法规的情形。</w:t>
      </w:r>
    </w:p>
    <w:p w14:paraId="312182B2">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废标</w:t>
      </w:r>
    </w:p>
    <w:p w14:paraId="06FFA8F2">
      <w:pPr>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按照《上虞区区属国有企业货物和服务采购管理办法》第四十二条之规定，在公开招标采购中，出现下列情形之一的，应予终止采购程序或废标：</w:t>
      </w:r>
    </w:p>
    <w:p w14:paraId="277CA5FF">
      <w:pPr>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25.1 符合专业条件的供应商或者对采购文件作实质响应的供应商不足 3 家；</w:t>
      </w:r>
    </w:p>
    <w:p w14:paraId="6977B8A7">
      <w:pPr>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25.2 出现影响采购公正的违法、违规行为的；</w:t>
      </w:r>
    </w:p>
    <w:p w14:paraId="571D297F">
      <w:pPr>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25.3 投标人的报价均超过了采购预算；</w:t>
      </w:r>
    </w:p>
    <w:p w14:paraId="5CA3B2A6">
      <w:pPr>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25.4 因重大变故，采购任务取消的。</w:t>
      </w:r>
    </w:p>
    <w:p w14:paraId="7762C082">
      <w:pPr>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废标后，采购代理机构应当将废标理由通知所有投标人。</w:t>
      </w:r>
    </w:p>
    <w:p w14:paraId="2431E438">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bCs/>
          <w:color w:val="auto"/>
          <w:sz w:val="24"/>
          <w:szCs w:val="24"/>
          <w:highlight w:val="none"/>
          <w:lang w:val="zh-CN"/>
        </w:rPr>
        <w:t>中止电子交易活动和</w:t>
      </w:r>
      <w:r>
        <w:rPr>
          <w:rFonts w:hint="eastAsia" w:hAnsi="宋体" w:cs="宋体"/>
          <w:b/>
          <w:color w:val="auto"/>
          <w:sz w:val="24"/>
          <w:szCs w:val="24"/>
          <w:highlight w:val="none"/>
        </w:rPr>
        <w:t>重新组织采购</w:t>
      </w:r>
    </w:p>
    <w:p w14:paraId="09FE4F9A">
      <w:pPr>
        <w:pStyle w:val="43"/>
        <w:tabs>
          <w:tab w:val="left" w:pos="0"/>
        </w:tabs>
        <w:spacing w:before="0"/>
        <w:ind w:firstLine="480"/>
        <w:rPr>
          <w:rFonts w:ascii="宋体" w:hAnsi="宋体" w:cs="宋体"/>
          <w:color w:val="auto"/>
          <w:szCs w:val="24"/>
          <w:highlight w:val="none"/>
          <w:lang w:val="zh-CN"/>
        </w:rPr>
      </w:pPr>
      <w:r>
        <w:rPr>
          <w:rFonts w:hint="eastAsia" w:ascii="宋体" w:hAnsi="宋体" w:cs="宋体"/>
          <w:color w:val="auto"/>
          <w:szCs w:val="24"/>
          <w:highlight w:val="none"/>
        </w:rPr>
        <w:t>26.1</w:t>
      </w:r>
      <w:r>
        <w:rPr>
          <w:rFonts w:hint="eastAsia" w:ascii="宋体" w:hAnsi="宋体" w:cs="宋体"/>
          <w:color w:val="auto"/>
          <w:szCs w:val="24"/>
          <w:highlight w:val="none"/>
          <w:lang w:val="zh-CN"/>
        </w:rPr>
        <w:t>采购过程中出现以下情形，导致电子交易平台无法正常运行，或者无法保证电子交易的公平、公正和安全时，采购组织机构可中止电子交易活动：</w:t>
      </w:r>
    </w:p>
    <w:p w14:paraId="790C56DE">
      <w:pPr>
        <w:numPr>
          <w:ilvl w:val="0"/>
          <w:numId w:val="31"/>
        </w:numPr>
        <w:tabs>
          <w:tab w:val="left" w:pos="0"/>
        </w:tabs>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 xml:space="preserve">电子交易平台发生故障而无法登录访问的； </w:t>
      </w:r>
    </w:p>
    <w:p w14:paraId="4C918990">
      <w:pPr>
        <w:numPr>
          <w:ilvl w:val="0"/>
          <w:numId w:val="31"/>
        </w:numPr>
        <w:tabs>
          <w:tab w:val="left" w:pos="0"/>
        </w:tabs>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电子交易平台应用或数据库出现错误，不能进行正常操作的；</w:t>
      </w:r>
    </w:p>
    <w:p w14:paraId="1C406F93">
      <w:pPr>
        <w:numPr>
          <w:ilvl w:val="0"/>
          <w:numId w:val="31"/>
        </w:numPr>
        <w:tabs>
          <w:tab w:val="left" w:pos="0"/>
        </w:tabs>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电子交易平台发现严重安全漏洞，有潜在泄密危险的；</w:t>
      </w:r>
    </w:p>
    <w:p w14:paraId="53B125E3">
      <w:pPr>
        <w:numPr>
          <w:ilvl w:val="0"/>
          <w:numId w:val="31"/>
        </w:numPr>
        <w:tabs>
          <w:tab w:val="left" w:pos="0"/>
        </w:tabs>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 xml:space="preserve">病毒发作导致不能进行正常操作的； </w:t>
      </w:r>
    </w:p>
    <w:p w14:paraId="278C9455">
      <w:pPr>
        <w:numPr>
          <w:ilvl w:val="0"/>
          <w:numId w:val="31"/>
        </w:numPr>
        <w:tabs>
          <w:tab w:val="left" w:pos="0"/>
        </w:tabs>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szCs w:val="21"/>
          <w:highlight w:val="none"/>
        </w:rPr>
        <w:t>其他无法保证电子交易的公平、公正和安全的情况。</w:t>
      </w:r>
    </w:p>
    <w:p w14:paraId="25BFFC18">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26.2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1009E2C7">
      <w:pPr>
        <w:pStyle w:val="15"/>
        <w:numPr>
          <w:ilvl w:val="0"/>
          <w:numId w:val="6"/>
        </w:numPr>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保密及其它注意事项</w:t>
      </w:r>
    </w:p>
    <w:p w14:paraId="1B0DC58B">
      <w:pPr>
        <w:pStyle w:val="43"/>
        <w:numPr>
          <w:ilvl w:val="0"/>
          <w:numId w:val="32"/>
        </w:numPr>
        <w:spacing w:before="0"/>
        <w:ind w:firstLine="480"/>
        <w:rPr>
          <w:rFonts w:ascii="宋体" w:hAnsi="宋体" w:cs="宋体"/>
          <w:color w:val="auto"/>
          <w:szCs w:val="24"/>
          <w:highlight w:val="none"/>
        </w:rPr>
      </w:pPr>
      <w:r>
        <w:rPr>
          <w:rFonts w:hint="eastAsia" w:ascii="宋体" w:hAnsi="宋体" w:cs="宋体"/>
          <w:color w:val="auto"/>
          <w:szCs w:val="24"/>
          <w:highlight w:val="none"/>
        </w:rPr>
        <w:t>评标是招标工作的重要环节，评标工作由评标委员会独立进行。评标委员会将遵照评标原则，公正、平等地对待所有投标人；</w:t>
      </w:r>
    </w:p>
    <w:p w14:paraId="261DB23C">
      <w:pPr>
        <w:pStyle w:val="43"/>
        <w:numPr>
          <w:ilvl w:val="0"/>
          <w:numId w:val="32"/>
        </w:numPr>
        <w:spacing w:before="0"/>
        <w:ind w:firstLine="480"/>
        <w:rPr>
          <w:rFonts w:ascii="宋体" w:hAnsi="宋体" w:cs="宋体"/>
          <w:color w:val="auto"/>
          <w:szCs w:val="24"/>
          <w:highlight w:val="none"/>
        </w:rPr>
      </w:pPr>
      <w:r>
        <w:rPr>
          <w:rFonts w:hint="eastAsia" w:ascii="宋体" w:hAnsi="宋体" w:cs="宋体"/>
          <w:color w:val="auto"/>
          <w:szCs w:val="24"/>
          <w:highlight w:val="none"/>
        </w:rPr>
        <w:t>在开标、投标期间，投标人不得向评委询问评标情况，不得进行旨在影响评标结果的活动。采购人不得在中标人确定前，与投标人就投标价格、投标方案等实质性内容进行谈判；</w:t>
      </w:r>
    </w:p>
    <w:p w14:paraId="6F4D899C">
      <w:pPr>
        <w:pStyle w:val="43"/>
        <w:numPr>
          <w:ilvl w:val="0"/>
          <w:numId w:val="32"/>
        </w:numPr>
        <w:spacing w:before="0"/>
        <w:ind w:firstLine="480"/>
        <w:rPr>
          <w:rFonts w:ascii="宋体" w:hAnsi="宋体" w:cs="宋体"/>
          <w:color w:val="auto"/>
          <w:szCs w:val="24"/>
          <w:highlight w:val="none"/>
        </w:rPr>
      </w:pPr>
      <w:r>
        <w:rPr>
          <w:rFonts w:hint="eastAsia" w:ascii="宋体" w:hAnsi="宋体" w:cs="宋体"/>
          <w:color w:val="auto"/>
          <w:szCs w:val="24"/>
          <w:highlight w:val="none"/>
        </w:rPr>
        <w:t>为保证定标的公正性，在评标过程中，评委不得与投标人私下交换意见。在招标工作结束后，凡与评标情况有接触的任何人，不得也不应将评标情况扩散出评委人员之外；</w:t>
      </w:r>
    </w:p>
    <w:p w14:paraId="488D4687">
      <w:pPr>
        <w:pStyle w:val="43"/>
        <w:numPr>
          <w:ilvl w:val="0"/>
          <w:numId w:val="32"/>
        </w:numPr>
        <w:spacing w:before="0"/>
        <w:ind w:firstLine="480"/>
        <w:rPr>
          <w:rFonts w:ascii="宋体" w:hAnsi="宋体" w:cs="宋体"/>
          <w:color w:val="auto"/>
          <w:szCs w:val="24"/>
          <w:highlight w:val="none"/>
        </w:rPr>
      </w:pPr>
      <w:r>
        <w:rPr>
          <w:rFonts w:hint="eastAsia" w:ascii="宋体" w:hAnsi="宋体" w:cs="宋体"/>
          <w:color w:val="auto"/>
          <w:szCs w:val="24"/>
          <w:highlight w:val="none"/>
        </w:rPr>
        <w:t>投标人相互之间，或与采购人相互不得串通投标，不得排挤其他投标人的公平竞争，损害采购人或者其他投标人的合法权益；</w:t>
      </w:r>
    </w:p>
    <w:p w14:paraId="04BFC4C6">
      <w:pPr>
        <w:pStyle w:val="43"/>
        <w:numPr>
          <w:ilvl w:val="0"/>
          <w:numId w:val="32"/>
        </w:numPr>
        <w:spacing w:before="0"/>
        <w:ind w:firstLine="480"/>
        <w:rPr>
          <w:rFonts w:ascii="宋体" w:hAnsi="宋体" w:cs="宋体"/>
          <w:color w:val="auto"/>
          <w:szCs w:val="24"/>
          <w:highlight w:val="none"/>
        </w:rPr>
      </w:pPr>
      <w:r>
        <w:rPr>
          <w:rFonts w:hint="eastAsia" w:ascii="宋体" w:hAnsi="宋体" w:cs="宋体"/>
          <w:color w:val="auto"/>
          <w:szCs w:val="24"/>
          <w:highlight w:val="none"/>
        </w:rPr>
        <w:t>评标委员会不向投标人解释未中标的原因；</w:t>
      </w:r>
    </w:p>
    <w:p w14:paraId="010101CE">
      <w:pPr>
        <w:pStyle w:val="43"/>
        <w:numPr>
          <w:ilvl w:val="0"/>
          <w:numId w:val="32"/>
        </w:numPr>
        <w:spacing w:before="0"/>
        <w:ind w:firstLine="480"/>
        <w:rPr>
          <w:rFonts w:ascii="宋体" w:hAnsi="宋体" w:cs="宋体"/>
          <w:color w:val="auto"/>
          <w:szCs w:val="24"/>
          <w:highlight w:val="none"/>
        </w:rPr>
      </w:pPr>
      <w:r>
        <w:rPr>
          <w:rFonts w:hint="eastAsia" w:ascii="宋体" w:hAnsi="宋体" w:cs="宋体"/>
          <w:color w:val="auto"/>
          <w:szCs w:val="24"/>
          <w:highlight w:val="none"/>
        </w:rPr>
        <w:t>特别说明：</w:t>
      </w:r>
      <w:r>
        <w:rPr>
          <w:rFonts w:hint="eastAsia" w:ascii="宋体" w:hAnsi="宋体" w:cs="宋体"/>
          <w:color w:val="auto"/>
          <w:szCs w:val="24"/>
          <w:highlight w:val="none"/>
          <w:lang w:eastAsia="zh-CN"/>
        </w:rPr>
        <w:t>乐采云</w:t>
      </w:r>
      <w:r>
        <w:rPr>
          <w:rFonts w:hint="eastAsia" w:ascii="宋体" w:hAnsi="宋体" w:cs="宋体"/>
          <w:color w:val="auto"/>
          <w:szCs w:val="24"/>
          <w:highlight w:val="none"/>
        </w:rPr>
        <w:t>公司如对电子化开标及评审程序有调整的，按调整后的程序操作。</w:t>
      </w:r>
    </w:p>
    <w:p w14:paraId="7A5F0B1A">
      <w:pPr>
        <w:spacing w:line="360" w:lineRule="auto"/>
        <w:ind w:firstLine="420"/>
        <w:jc w:val="center"/>
        <w:rPr>
          <w:rFonts w:ascii="宋体" w:hAnsi="宋体" w:cs="宋体"/>
          <w:b/>
          <w:color w:val="auto"/>
          <w:sz w:val="24"/>
          <w:highlight w:val="none"/>
        </w:rPr>
      </w:pPr>
    </w:p>
    <w:p w14:paraId="2AFCD7B5">
      <w:pPr>
        <w:snapToGrid w:val="0"/>
        <w:spacing w:line="360" w:lineRule="auto"/>
        <w:jc w:val="center"/>
        <w:outlineLvl w:val="0"/>
        <w:rPr>
          <w:rFonts w:ascii="宋体" w:hAnsi="宋体" w:cs="宋体"/>
          <w:b/>
          <w:color w:val="auto"/>
          <w:sz w:val="32"/>
          <w:highlight w:val="none"/>
        </w:rPr>
      </w:pPr>
      <w:bookmarkStart w:id="50" w:name="_Toc16033"/>
      <w:bookmarkStart w:id="51" w:name="_Toc19547"/>
      <w:r>
        <w:rPr>
          <w:rFonts w:hint="eastAsia" w:ascii="宋体" w:hAnsi="宋体" w:cs="宋体"/>
          <w:b/>
          <w:color w:val="auto"/>
          <w:sz w:val="32"/>
          <w:highlight w:val="none"/>
        </w:rPr>
        <w:t>八、定 标</w:t>
      </w:r>
      <w:bookmarkEnd w:id="50"/>
      <w:bookmarkEnd w:id="51"/>
    </w:p>
    <w:p w14:paraId="454EFC9C">
      <w:pPr>
        <w:pStyle w:val="43"/>
        <w:tabs>
          <w:tab w:val="left" w:pos="0"/>
        </w:tabs>
        <w:spacing w:before="0"/>
        <w:ind w:firstLine="480"/>
        <w:rPr>
          <w:rFonts w:ascii="宋体" w:hAnsi="宋体" w:cs="宋体"/>
          <w:color w:val="auto"/>
          <w:szCs w:val="24"/>
          <w:highlight w:val="none"/>
        </w:rPr>
      </w:pPr>
      <w:bookmarkStart w:id="52" w:name="_Toc15760"/>
      <w:r>
        <w:rPr>
          <w:rFonts w:hint="eastAsia" w:ascii="宋体" w:hAnsi="宋体" w:cs="宋体"/>
          <w:color w:val="auto"/>
          <w:szCs w:val="24"/>
          <w:highlight w:val="none"/>
        </w:rPr>
        <w:t>28.1项目由评标委员会根据第三章《评标办法与评分标准》规定提出中标候选人排序。</w:t>
      </w:r>
    </w:p>
    <w:p w14:paraId="16DB1DC4">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28.2采购代理机构应当在评标结束后2个工作日内将评标报告送采购人。</w:t>
      </w:r>
    </w:p>
    <w:p w14:paraId="2029270E">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28.3采购人应当自收到评标报告之日起5个工作日内，在评标报告确定的中标候选人名单中按顺序确定中标人。采购人在收到评标报告5个工作日内未按评标报告推荐的中标候选人顺序确定中标人，又不能说明合法理由的，视同按评标报告推荐的顺序确定排名第一的中标候选人为中标人。</w:t>
      </w:r>
    </w:p>
    <w:p w14:paraId="62D6ACFE">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28.4采购人或者采购代理机构应当自中标人确定之日起2个工作日内，在发布招标公告的网站上公告中标结果，公告期限为1个工作日。在公告中标结果的同时，采购人或者采购代理机构应当向中标人发出中标通知书；</w:t>
      </w:r>
    </w:p>
    <w:p w14:paraId="7786B902">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28.5中标人应携带介绍信自行前往采购代理机构领取中标通知书。</w:t>
      </w:r>
    </w:p>
    <w:p w14:paraId="4D51D589">
      <w:pPr>
        <w:ind w:firstLine="480" w:firstLineChars="200"/>
        <w:rPr>
          <w:rFonts w:ascii="宋体" w:hAnsi="宋体" w:cs="宋体"/>
          <w:color w:val="auto"/>
          <w:sz w:val="24"/>
          <w:szCs w:val="32"/>
          <w:highlight w:val="none"/>
        </w:rPr>
      </w:pPr>
      <w:bookmarkStart w:id="53" w:name="_Toc27357"/>
      <w:bookmarkStart w:id="54" w:name="_Toc23365"/>
      <w:r>
        <w:rPr>
          <w:rFonts w:hint="eastAsia" w:ascii="宋体" w:hAnsi="宋体" w:cs="宋体"/>
          <w:color w:val="auto"/>
          <w:sz w:val="24"/>
          <w:szCs w:val="32"/>
          <w:highlight w:val="none"/>
        </w:rPr>
        <w:t>28.6中标通知书发出后，采购人不得违法改变中标结果，中标人无正当理由不得放弃中标。</w:t>
      </w:r>
      <w:bookmarkEnd w:id="53"/>
      <w:bookmarkEnd w:id="54"/>
    </w:p>
    <w:p w14:paraId="57B24A42">
      <w:pPr>
        <w:snapToGrid w:val="0"/>
        <w:spacing w:line="360" w:lineRule="auto"/>
        <w:jc w:val="center"/>
        <w:outlineLvl w:val="0"/>
        <w:rPr>
          <w:rFonts w:ascii="宋体" w:hAnsi="宋体" w:cs="宋体"/>
          <w:b/>
          <w:color w:val="auto"/>
          <w:sz w:val="32"/>
          <w:highlight w:val="none"/>
        </w:rPr>
      </w:pPr>
    </w:p>
    <w:p w14:paraId="37E57105">
      <w:pPr>
        <w:snapToGrid w:val="0"/>
        <w:spacing w:line="360" w:lineRule="auto"/>
        <w:jc w:val="center"/>
        <w:outlineLvl w:val="0"/>
        <w:rPr>
          <w:rFonts w:ascii="宋体" w:hAnsi="宋体" w:cs="宋体"/>
          <w:b/>
          <w:color w:val="auto"/>
          <w:sz w:val="32"/>
          <w:highlight w:val="none"/>
        </w:rPr>
      </w:pPr>
      <w:bookmarkStart w:id="55" w:name="_Toc20925"/>
      <w:r>
        <w:rPr>
          <w:rFonts w:hint="eastAsia" w:ascii="宋体" w:hAnsi="宋体" w:cs="宋体"/>
          <w:b/>
          <w:color w:val="auto"/>
          <w:sz w:val="32"/>
          <w:highlight w:val="none"/>
        </w:rPr>
        <w:t>九、合同签订及其他</w:t>
      </w:r>
      <w:bookmarkEnd w:id="52"/>
      <w:bookmarkEnd w:id="55"/>
    </w:p>
    <w:p w14:paraId="541168C9">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29.1 采购人应当自中标通知书发出之日起30日内，按照招标文件和中标人投标文件的规定，与中标人签订书面合同。所签订的合同不得对招标文件确定的事项和中标人投标文件作实质性修改。</w:t>
      </w:r>
    </w:p>
    <w:p w14:paraId="047955FA">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29.2 中标或者成交供应商拒绝与采购人签订合同的，采购人可以按照评审报告推荐的中标或者成交候选人名单排序，确定下一候选人为中标或者成交供应商，也可以重新开展采购活动。</w:t>
      </w:r>
    </w:p>
    <w:p w14:paraId="14EB1E5B">
      <w:pPr>
        <w:pStyle w:val="15"/>
        <w:spacing w:line="360" w:lineRule="auto"/>
        <w:ind w:left="420" w:leftChars="200"/>
        <w:rPr>
          <w:rFonts w:hAnsi="宋体" w:cs="宋体"/>
          <w:b/>
          <w:color w:val="auto"/>
          <w:sz w:val="24"/>
          <w:szCs w:val="24"/>
          <w:highlight w:val="none"/>
        </w:rPr>
      </w:pPr>
      <w:r>
        <w:rPr>
          <w:rFonts w:hint="eastAsia" w:hAnsi="宋体" w:cs="宋体"/>
          <w:b/>
          <w:color w:val="auto"/>
          <w:sz w:val="24"/>
          <w:szCs w:val="24"/>
          <w:highlight w:val="none"/>
        </w:rPr>
        <w:t>30.履约保证金</w:t>
      </w:r>
    </w:p>
    <w:p w14:paraId="513A8E60">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采购合同条款要求中标供应商提交履约保证金的，供应商应当以支票、汇票、本票或者金融机构、保险公司、担保机构出具的保函等非现金形式提交。</w:t>
      </w:r>
    </w:p>
    <w:p w14:paraId="003C7A4C">
      <w:pPr>
        <w:pStyle w:val="15"/>
        <w:spacing w:line="360" w:lineRule="auto"/>
        <w:ind w:left="420" w:leftChars="200"/>
        <w:rPr>
          <w:rFonts w:hAnsi="宋体" w:cs="宋体"/>
          <w:b/>
          <w:color w:val="auto"/>
          <w:sz w:val="24"/>
          <w:szCs w:val="24"/>
          <w:highlight w:val="none"/>
        </w:rPr>
      </w:pPr>
      <w:r>
        <w:rPr>
          <w:rFonts w:hint="eastAsia" w:hAnsi="宋体" w:cs="宋体"/>
          <w:b/>
          <w:color w:val="auto"/>
          <w:sz w:val="24"/>
          <w:szCs w:val="24"/>
          <w:highlight w:val="none"/>
        </w:rPr>
        <w:t>31.验收</w:t>
      </w:r>
    </w:p>
    <w:p w14:paraId="2B977D39">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31.1采购人组织对供应商履约的验收，大型或者复杂的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9FCF161">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31.2采购人应当及时对采购项目进行验收，采购人可以邀请参加本项目的其他投标人或者第三方机构参与验收，参与验收的投标人或者第三方机构的意见作为验收书的参考资料一并存档。</w:t>
      </w:r>
    </w:p>
    <w:p w14:paraId="65B4D2BE">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31.3采购人负责加强对中标人的履约管理，并按照采购合同约定，及时向中标人支付采购资金。对于中标人违反采购合同约定的行为，采购人应当及时处理，依法追究其违约责任。</w:t>
      </w:r>
    </w:p>
    <w:p w14:paraId="1DD7F637">
      <w:pPr>
        <w:pStyle w:val="15"/>
        <w:spacing w:line="360" w:lineRule="auto"/>
        <w:ind w:left="420" w:leftChars="200"/>
        <w:rPr>
          <w:rFonts w:hAnsi="宋体" w:cs="宋体"/>
          <w:b/>
          <w:color w:val="auto"/>
          <w:sz w:val="24"/>
          <w:szCs w:val="24"/>
          <w:highlight w:val="none"/>
        </w:rPr>
      </w:pPr>
      <w:r>
        <w:rPr>
          <w:rFonts w:hint="eastAsia" w:hAnsi="宋体" w:cs="宋体"/>
          <w:b/>
          <w:color w:val="auto"/>
          <w:sz w:val="24"/>
          <w:szCs w:val="24"/>
          <w:highlight w:val="none"/>
        </w:rPr>
        <w:t>32.货款结算方式</w:t>
      </w:r>
    </w:p>
    <w:p w14:paraId="14835368">
      <w:pPr>
        <w:tabs>
          <w:tab w:val="left" w:pos="0"/>
        </w:tabs>
        <w:spacing w:line="360" w:lineRule="auto"/>
        <w:ind w:firstLine="480"/>
        <w:rPr>
          <w:rFonts w:ascii="宋体" w:hAnsi="宋体" w:cs="宋体"/>
          <w:color w:val="auto"/>
          <w:sz w:val="24"/>
          <w:highlight w:val="none"/>
        </w:rPr>
      </w:pPr>
      <w:r>
        <w:rPr>
          <w:rFonts w:hint="eastAsia" w:ascii="宋体" w:hAnsi="宋体" w:cs="宋体"/>
          <w:color w:val="auto"/>
          <w:sz w:val="24"/>
          <w:highlight w:val="none"/>
        </w:rPr>
        <w:t>付款方式：采购人与中标人依照招标文件规定的付款方式进行项目款项的支付。</w:t>
      </w:r>
    </w:p>
    <w:p w14:paraId="2E5AA0AE">
      <w:pPr>
        <w:pStyle w:val="15"/>
        <w:spacing w:line="360" w:lineRule="auto"/>
        <w:ind w:left="420" w:leftChars="200"/>
        <w:rPr>
          <w:rFonts w:hAnsi="宋体" w:cs="宋体"/>
          <w:b/>
          <w:color w:val="auto"/>
          <w:sz w:val="24"/>
          <w:szCs w:val="24"/>
          <w:highlight w:val="none"/>
        </w:rPr>
      </w:pPr>
      <w:r>
        <w:rPr>
          <w:rFonts w:hint="eastAsia" w:hAnsi="宋体" w:cs="宋体"/>
          <w:b/>
          <w:color w:val="auto"/>
          <w:sz w:val="24"/>
          <w:szCs w:val="24"/>
          <w:highlight w:val="none"/>
        </w:rPr>
        <w:t>33.售后服务考核</w:t>
      </w:r>
    </w:p>
    <w:p w14:paraId="2474347F">
      <w:pPr>
        <w:tabs>
          <w:tab w:val="left" w:pos="0"/>
        </w:tabs>
        <w:spacing w:line="360" w:lineRule="auto"/>
        <w:ind w:firstLine="480"/>
        <w:rPr>
          <w:rFonts w:ascii="宋体" w:hAnsi="宋体" w:cs="宋体"/>
          <w:color w:val="auto"/>
          <w:sz w:val="24"/>
          <w:highlight w:val="none"/>
        </w:rPr>
      </w:pPr>
      <w:r>
        <w:rPr>
          <w:rFonts w:ascii="宋体" w:hAnsi="宋体" w:cs="宋体"/>
          <w:color w:val="auto"/>
          <w:sz w:val="24"/>
          <w:highlight w:val="none"/>
        </w:rPr>
        <w:t>采购代理机构将配合采购人主管部门不定期对合同的履约情况进行检查，发现弄虚作假，偷工减料，以次充好，达不到国家、行业有关标准和技术文件规定的，一经查实，由有关职能部门给与相应处罚。</w:t>
      </w:r>
    </w:p>
    <w:p w14:paraId="07069345">
      <w:pPr>
        <w:pStyle w:val="3"/>
        <w:rPr>
          <w:color w:val="auto"/>
          <w:highlight w:val="none"/>
        </w:rPr>
      </w:pPr>
    </w:p>
    <w:p w14:paraId="641D9228">
      <w:pPr>
        <w:spacing w:line="360" w:lineRule="auto"/>
        <w:jc w:val="center"/>
        <w:rPr>
          <w:rFonts w:ascii="宋体" w:hAnsi="宋体" w:cs="宋体"/>
          <w:b/>
          <w:color w:val="auto"/>
          <w:sz w:val="24"/>
          <w:highlight w:val="none"/>
        </w:rPr>
      </w:pPr>
    </w:p>
    <w:p w14:paraId="7E2AA53F">
      <w:pPr>
        <w:snapToGrid w:val="0"/>
        <w:spacing w:line="360" w:lineRule="auto"/>
        <w:jc w:val="center"/>
        <w:outlineLvl w:val="0"/>
        <w:rPr>
          <w:rFonts w:ascii="宋体" w:hAnsi="宋体" w:cs="宋体"/>
          <w:b/>
          <w:color w:val="auto"/>
          <w:sz w:val="32"/>
          <w:highlight w:val="none"/>
        </w:rPr>
      </w:pPr>
      <w:bookmarkStart w:id="56" w:name="_Toc10926"/>
      <w:bookmarkStart w:id="57" w:name="_Toc2146"/>
      <w:r>
        <w:rPr>
          <w:rFonts w:hint="eastAsia" w:ascii="宋体" w:hAnsi="宋体" w:cs="宋体"/>
          <w:b/>
          <w:color w:val="auto"/>
          <w:sz w:val="32"/>
          <w:highlight w:val="none"/>
        </w:rPr>
        <w:t>十、质疑与投诉</w:t>
      </w:r>
      <w:bookmarkEnd w:id="56"/>
      <w:bookmarkEnd w:id="57"/>
    </w:p>
    <w:p w14:paraId="28C2444D">
      <w:pPr>
        <w:tabs>
          <w:tab w:val="left" w:pos="0"/>
        </w:tabs>
        <w:spacing w:line="360" w:lineRule="auto"/>
        <w:ind w:firstLine="480"/>
        <w:rPr>
          <w:rFonts w:ascii="宋体" w:hAnsi="宋体" w:cs="宋体"/>
          <w:color w:val="auto"/>
          <w:sz w:val="24"/>
          <w:highlight w:val="none"/>
        </w:rPr>
      </w:pPr>
      <w:r>
        <w:rPr>
          <w:rFonts w:hint="eastAsia" w:ascii="宋体" w:hAnsi="宋体" w:cs="宋体"/>
          <w:color w:val="auto"/>
          <w:sz w:val="24"/>
          <w:highlight w:val="none"/>
        </w:rPr>
        <w:t>参照《上虞区区属国有企业货物和服务采购管理办法》的规定，采购供应商可以依法提起质疑和投诉。</w:t>
      </w:r>
    </w:p>
    <w:p w14:paraId="3247DBC0">
      <w:pPr>
        <w:pStyle w:val="15"/>
        <w:spacing w:line="360" w:lineRule="auto"/>
        <w:ind w:left="420" w:leftChars="200"/>
        <w:rPr>
          <w:rFonts w:hAnsi="宋体" w:cs="宋体"/>
          <w:b/>
          <w:color w:val="auto"/>
          <w:sz w:val="24"/>
          <w:szCs w:val="24"/>
          <w:highlight w:val="none"/>
          <w:lang w:val="zh-CN"/>
        </w:rPr>
      </w:pPr>
      <w:r>
        <w:rPr>
          <w:rFonts w:hint="eastAsia" w:hAnsi="宋体" w:cs="宋体"/>
          <w:b/>
          <w:color w:val="auto"/>
          <w:sz w:val="24"/>
          <w:szCs w:val="24"/>
          <w:highlight w:val="none"/>
        </w:rPr>
        <w:t>34.</w:t>
      </w:r>
      <w:r>
        <w:rPr>
          <w:rFonts w:hint="eastAsia" w:hAnsi="宋体" w:cs="宋体"/>
          <w:b/>
          <w:color w:val="auto"/>
          <w:sz w:val="24"/>
          <w:szCs w:val="24"/>
          <w:highlight w:val="none"/>
          <w:lang w:val="zh-CN"/>
        </w:rPr>
        <w:t>供应商询问</w:t>
      </w:r>
    </w:p>
    <w:p w14:paraId="4BEC70AE">
      <w:pPr>
        <w:pStyle w:val="15"/>
        <w:spacing w:line="360" w:lineRule="auto"/>
        <w:ind w:firstLine="480" w:firstLineChars="200"/>
        <w:rPr>
          <w:rFonts w:hAnsi="宋体" w:cs="宋体"/>
          <w:color w:val="auto"/>
          <w:sz w:val="24"/>
          <w:highlight w:val="none"/>
        </w:rPr>
      </w:pPr>
      <w:r>
        <w:rPr>
          <w:rFonts w:hint="eastAsia" w:hAnsi="宋体" w:cs="宋体"/>
          <w:color w:val="auto"/>
          <w:sz w:val="24"/>
          <w:highlight w:val="none"/>
        </w:rPr>
        <w:t>供应商对国企采购活动事项有疑问的，可以向采购代理机构提出询问，采购代理机构将对供应商依法提出的询问作出答复，但答复的内容不得涉及商业秘密。</w:t>
      </w:r>
    </w:p>
    <w:p w14:paraId="77EF4448">
      <w:pPr>
        <w:pStyle w:val="15"/>
        <w:numPr>
          <w:ilvl w:val="0"/>
          <w:numId w:val="33"/>
        </w:numPr>
        <w:spacing w:line="360" w:lineRule="auto"/>
        <w:ind w:left="420" w:leftChars="200"/>
        <w:rPr>
          <w:rFonts w:hAnsi="宋体" w:cs="宋体"/>
          <w:b/>
          <w:color w:val="auto"/>
          <w:sz w:val="24"/>
          <w:szCs w:val="24"/>
          <w:highlight w:val="none"/>
          <w:lang w:val="zh-CN"/>
        </w:rPr>
      </w:pPr>
      <w:r>
        <w:rPr>
          <w:rFonts w:hint="eastAsia" w:hAnsi="宋体" w:cs="宋体"/>
          <w:b/>
          <w:color w:val="auto"/>
          <w:sz w:val="24"/>
          <w:szCs w:val="24"/>
          <w:highlight w:val="none"/>
          <w:lang w:val="zh-CN"/>
        </w:rPr>
        <w:t>供应商质疑</w:t>
      </w:r>
    </w:p>
    <w:p w14:paraId="1059BC75">
      <w:pPr>
        <w:ind w:firstLine="482" w:firstLineChars="200"/>
        <w:rPr>
          <w:rFonts w:ascii="宋体" w:hAnsi="宋体" w:cs="宋体"/>
          <w:b/>
          <w:color w:val="auto"/>
          <w:sz w:val="24"/>
          <w:highlight w:val="none"/>
          <w:lang w:val="zh-CN"/>
        </w:rPr>
      </w:pPr>
      <w:r>
        <w:rPr>
          <w:rFonts w:hint="eastAsia" w:hAnsi="宋体" w:cs="宋体"/>
          <w:b/>
          <w:color w:val="auto"/>
          <w:sz w:val="24"/>
          <w:highlight w:val="none"/>
        </w:rPr>
        <w:t>参照</w:t>
      </w:r>
      <w:r>
        <w:rPr>
          <w:rFonts w:hint="eastAsia" w:ascii="宋体" w:hAnsi="宋体" w:cs="宋体"/>
          <w:b/>
          <w:color w:val="auto"/>
          <w:sz w:val="24"/>
          <w:highlight w:val="none"/>
          <w:lang w:val="zh-CN"/>
        </w:rPr>
        <w:t>《上虞区区属国有企业货物和服务采购管理办法》第四十九条</w:t>
      </w:r>
      <w:r>
        <w:rPr>
          <w:rFonts w:hint="eastAsia" w:ascii="宋体" w:hAnsi="宋体" w:cs="宋体"/>
          <w:b/>
          <w:color w:val="auto"/>
          <w:sz w:val="24"/>
          <w:highlight w:val="none"/>
        </w:rPr>
        <w:t>的</w:t>
      </w:r>
      <w:r>
        <w:rPr>
          <w:rFonts w:hint="eastAsia" w:ascii="宋体" w:hAnsi="宋体" w:cs="宋体"/>
          <w:b/>
          <w:color w:val="auto"/>
          <w:sz w:val="24"/>
          <w:highlight w:val="none"/>
          <w:lang w:val="zh-CN"/>
        </w:rPr>
        <w:t>规定</w:t>
      </w:r>
    </w:p>
    <w:p w14:paraId="32A264A4">
      <w:pPr>
        <w:pStyle w:val="43"/>
        <w:tabs>
          <w:tab w:val="left" w:pos="0"/>
        </w:tabs>
        <w:spacing w:before="0"/>
        <w:ind w:firstLine="480"/>
        <w:rPr>
          <w:color w:val="auto"/>
          <w:highlight w:val="none"/>
        </w:rPr>
      </w:pPr>
      <w:r>
        <w:rPr>
          <w:rFonts w:hint="eastAsia" w:ascii="宋体" w:hAnsi="宋体" w:cs="宋体"/>
          <w:color w:val="auto"/>
          <w:szCs w:val="24"/>
          <w:highlight w:val="none"/>
        </w:rPr>
        <w:t>35.1</w:t>
      </w:r>
      <w:r>
        <w:rPr>
          <w:rFonts w:hint="eastAsia"/>
          <w:color w:val="auto"/>
          <w:highlight w:val="none"/>
        </w:rPr>
        <w:t>供应商认为采购文件、采购过程、中标或者成交结果使自己的权益受到损害的，可以在知道或者应知其权益受到损害之日起7个工作日内，以书面形式向采购人、采购代理机构提出质疑，采购人、采购代理机构应在7个工作日内做好答复工作，但答复内容不得涉及商业秘密。</w:t>
      </w:r>
    </w:p>
    <w:p w14:paraId="54E27AA2">
      <w:pPr>
        <w:pStyle w:val="43"/>
        <w:tabs>
          <w:tab w:val="left" w:pos="0"/>
        </w:tabs>
        <w:spacing w:before="0"/>
        <w:ind w:firstLine="480"/>
        <w:rPr>
          <w:rFonts w:ascii="宋体" w:hAnsi="宋体" w:cs="宋体"/>
          <w:color w:val="auto"/>
          <w:szCs w:val="24"/>
          <w:highlight w:val="none"/>
        </w:rPr>
      </w:pPr>
      <w:r>
        <w:rPr>
          <w:rFonts w:hint="eastAsia"/>
          <w:color w:val="auto"/>
          <w:highlight w:val="none"/>
        </w:rPr>
        <w:t xml:space="preserve">   《上虞区区属国有企业货物和服务采购管理办法》第四十九条规定的供应商应知其权益收到损害之日，是指：（一）对可以质疑的采购文件提出质疑的，为收到采购文件之日或者采购文件公告期限届满之日（公告期限届满后获取采购文件的，以公告期限届满之日为准）；（二）对采购过程提出质疑的，为各采购程序环节结束之日；（三）对中标或者成交结果提出质疑的，为中标或者成交结果公告期限届满之日。</w:t>
      </w:r>
    </w:p>
    <w:p w14:paraId="348673DC">
      <w:pPr>
        <w:pStyle w:val="43"/>
        <w:tabs>
          <w:tab w:val="left" w:pos="0"/>
        </w:tabs>
        <w:spacing w:before="0"/>
        <w:ind w:left="420" w:leftChars="200" w:firstLine="0" w:firstLineChars="0"/>
        <w:rPr>
          <w:rFonts w:ascii="宋体" w:hAnsi="宋体" w:cs="宋体"/>
          <w:color w:val="auto"/>
          <w:szCs w:val="24"/>
          <w:highlight w:val="none"/>
        </w:rPr>
      </w:pPr>
      <w:r>
        <w:rPr>
          <w:rFonts w:hint="eastAsia" w:ascii="宋体" w:hAnsi="宋体" w:cs="宋体"/>
          <w:color w:val="auto"/>
          <w:szCs w:val="24"/>
          <w:highlight w:val="none"/>
        </w:rPr>
        <w:t>35.2供应商提交的质疑书需一式三份，由法定代表人签字（或盖章）并加盖单位公章。质疑书至少应包括下列主要内容：</w:t>
      </w:r>
    </w:p>
    <w:p w14:paraId="1C82C281">
      <w:pPr>
        <w:pStyle w:val="15"/>
        <w:numPr>
          <w:ilvl w:val="0"/>
          <w:numId w:val="34"/>
        </w:numPr>
        <w:spacing w:line="360" w:lineRule="auto"/>
        <w:ind w:firstLine="480" w:firstLineChars="200"/>
        <w:rPr>
          <w:rFonts w:hAnsi="宋体" w:cs="宋体"/>
          <w:color w:val="auto"/>
          <w:sz w:val="24"/>
          <w:highlight w:val="none"/>
        </w:rPr>
      </w:pPr>
      <w:r>
        <w:rPr>
          <w:rFonts w:hint="eastAsia" w:hAnsi="宋体" w:cs="宋体"/>
          <w:color w:val="auto"/>
          <w:sz w:val="24"/>
          <w:highlight w:val="none"/>
        </w:rPr>
        <w:t>质疑人的名称、地址、邮政编码、联系人、联系电话，以及被质疑人名称及联系方式；</w:t>
      </w:r>
    </w:p>
    <w:p w14:paraId="0A1A3581">
      <w:pPr>
        <w:pStyle w:val="15"/>
        <w:numPr>
          <w:ilvl w:val="0"/>
          <w:numId w:val="34"/>
        </w:numPr>
        <w:spacing w:line="360" w:lineRule="auto"/>
        <w:ind w:firstLine="480" w:firstLineChars="200"/>
        <w:rPr>
          <w:rFonts w:hAnsi="宋体" w:cs="宋体"/>
          <w:color w:val="auto"/>
          <w:sz w:val="24"/>
          <w:highlight w:val="none"/>
        </w:rPr>
      </w:pPr>
      <w:r>
        <w:rPr>
          <w:rFonts w:hint="eastAsia" w:hAnsi="宋体" w:cs="宋体"/>
          <w:color w:val="auto"/>
          <w:sz w:val="24"/>
          <w:highlight w:val="none"/>
        </w:rPr>
        <w:t>被质疑采购项目名称、编号及采购内容；</w:t>
      </w:r>
    </w:p>
    <w:p w14:paraId="6BAA01B2">
      <w:pPr>
        <w:pStyle w:val="15"/>
        <w:numPr>
          <w:ilvl w:val="0"/>
          <w:numId w:val="34"/>
        </w:numPr>
        <w:spacing w:line="360" w:lineRule="auto"/>
        <w:ind w:firstLine="480" w:firstLineChars="200"/>
        <w:rPr>
          <w:rFonts w:hAnsi="宋体" w:cs="宋体"/>
          <w:color w:val="auto"/>
          <w:sz w:val="24"/>
          <w:highlight w:val="none"/>
        </w:rPr>
      </w:pPr>
      <w:r>
        <w:rPr>
          <w:rFonts w:hint="eastAsia" w:hAnsi="宋体" w:cs="宋体"/>
          <w:color w:val="auto"/>
          <w:sz w:val="24"/>
          <w:highlight w:val="none"/>
        </w:rPr>
        <w:t>具体的质疑事项及事实依据；</w:t>
      </w:r>
    </w:p>
    <w:p w14:paraId="7BE406B4">
      <w:pPr>
        <w:pStyle w:val="15"/>
        <w:numPr>
          <w:ilvl w:val="0"/>
          <w:numId w:val="34"/>
        </w:numPr>
        <w:spacing w:line="360" w:lineRule="auto"/>
        <w:ind w:firstLine="480" w:firstLineChars="200"/>
        <w:rPr>
          <w:rFonts w:hAnsi="宋体" w:cs="宋体"/>
          <w:color w:val="auto"/>
          <w:sz w:val="24"/>
          <w:highlight w:val="none"/>
        </w:rPr>
      </w:pPr>
      <w:r>
        <w:rPr>
          <w:rFonts w:hint="eastAsia" w:hAnsi="宋体" w:cs="宋体"/>
          <w:color w:val="auto"/>
          <w:sz w:val="24"/>
          <w:highlight w:val="none"/>
        </w:rPr>
        <w:t>认为自己合法权益受到损害或可能受到损害的相关证据材料；</w:t>
      </w:r>
    </w:p>
    <w:p w14:paraId="530FB45B">
      <w:pPr>
        <w:pStyle w:val="15"/>
        <w:numPr>
          <w:ilvl w:val="0"/>
          <w:numId w:val="34"/>
        </w:numPr>
        <w:spacing w:line="360" w:lineRule="auto"/>
        <w:ind w:firstLine="480" w:firstLineChars="200"/>
        <w:rPr>
          <w:rFonts w:hAnsi="宋体" w:cs="宋体"/>
          <w:color w:val="auto"/>
          <w:sz w:val="24"/>
          <w:highlight w:val="none"/>
        </w:rPr>
      </w:pPr>
      <w:r>
        <w:rPr>
          <w:rFonts w:hint="eastAsia" w:hAnsi="宋体" w:cs="宋体"/>
          <w:color w:val="auto"/>
          <w:sz w:val="24"/>
          <w:highlight w:val="none"/>
        </w:rPr>
        <w:t>提出质疑的日期。</w:t>
      </w:r>
    </w:p>
    <w:p w14:paraId="34C1DBA3">
      <w:pPr>
        <w:pStyle w:val="15"/>
        <w:spacing w:line="360" w:lineRule="auto"/>
        <w:ind w:firstLine="482" w:firstLineChars="200"/>
        <w:rPr>
          <w:rFonts w:hAnsi="宋体" w:cs="宋体"/>
          <w:b/>
          <w:color w:val="auto"/>
          <w:sz w:val="24"/>
          <w:highlight w:val="none"/>
        </w:rPr>
      </w:pPr>
      <w:r>
        <w:rPr>
          <w:rFonts w:hint="eastAsia" w:hAnsi="宋体" w:cs="宋体"/>
          <w:b/>
          <w:color w:val="auto"/>
          <w:sz w:val="24"/>
          <w:highlight w:val="none"/>
        </w:rPr>
        <w:t>未按上述内容填写的质疑书将不予受理。</w:t>
      </w:r>
    </w:p>
    <w:p w14:paraId="5DF138A6">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35.3采购代理机构应当在收到供应商的书面质疑后七个工作日内作出答复，并以书面形式通知质疑供应商和其他与质疑处理结果有利害关系的国企采购当事人，但答复的内容不得涉及商业秘密。</w:t>
      </w:r>
    </w:p>
    <w:p w14:paraId="1397D256">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35.4询问或者质疑事项可能影响采购结果的，采购人应当暂停签订合同，已经签订合同的，应当中止履行合同。</w:t>
      </w:r>
    </w:p>
    <w:p w14:paraId="757A5B03">
      <w:pPr>
        <w:pStyle w:val="15"/>
        <w:spacing w:line="360" w:lineRule="auto"/>
        <w:ind w:left="420" w:leftChars="200"/>
        <w:rPr>
          <w:rFonts w:hAnsi="宋体" w:cs="宋体"/>
          <w:b/>
          <w:color w:val="auto"/>
          <w:sz w:val="24"/>
          <w:szCs w:val="24"/>
          <w:highlight w:val="none"/>
          <w:lang w:val="zh-CN"/>
        </w:rPr>
      </w:pPr>
      <w:r>
        <w:rPr>
          <w:rFonts w:hint="eastAsia" w:hAnsi="宋体" w:cs="宋体"/>
          <w:b/>
          <w:color w:val="auto"/>
          <w:sz w:val="24"/>
          <w:szCs w:val="24"/>
          <w:highlight w:val="none"/>
        </w:rPr>
        <w:t>36</w:t>
      </w:r>
      <w:r>
        <w:rPr>
          <w:rFonts w:hint="eastAsia" w:hAnsi="宋体" w:cs="宋体"/>
          <w:b/>
          <w:color w:val="auto"/>
          <w:sz w:val="24"/>
          <w:szCs w:val="24"/>
          <w:highlight w:val="none"/>
          <w:lang w:val="zh-CN"/>
        </w:rPr>
        <w:t>供应商投诉</w:t>
      </w:r>
    </w:p>
    <w:p w14:paraId="0609DEE7">
      <w:pPr>
        <w:pStyle w:val="15"/>
        <w:spacing w:line="360" w:lineRule="auto"/>
        <w:ind w:left="420" w:leftChars="200"/>
        <w:rPr>
          <w:rFonts w:hAnsi="宋体" w:cs="宋体"/>
          <w:b/>
          <w:color w:val="auto"/>
          <w:sz w:val="24"/>
          <w:szCs w:val="24"/>
          <w:highlight w:val="none"/>
          <w:lang w:val="zh-CN"/>
        </w:rPr>
      </w:pPr>
      <w:r>
        <w:rPr>
          <w:rFonts w:hint="eastAsia" w:hAnsi="宋体" w:cs="宋体"/>
          <w:b/>
          <w:color w:val="auto"/>
          <w:sz w:val="24"/>
          <w:szCs w:val="24"/>
          <w:highlight w:val="none"/>
        </w:rPr>
        <w:t>参照</w:t>
      </w:r>
      <w:r>
        <w:rPr>
          <w:rFonts w:hint="eastAsia" w:hAnsi="宋体" w:cs="宋体"/>
          <w:b/>
          <w:color w:val="auto"/>
          <w:sz w:val="24"/>
          <w:szCs w:val="24"/>
          <w:highlight w:val="none"/>
          <w:lang w:val="zh-CN"/>
        </w:rPr>
        <w:t>《上虞区区属国有企业货物和服务采购管理办法》第五十条的规定</w:t>
      </w:r>
    </w:p>
    <w:p w14:paraId="3C6AB8CD">
      <w:pPr>
        <w:pStyle w:val="43"/>
        <w:tabs>
          <w:tab w:val="left" w:pos="0"/>
        </w:tabs>
        <w:spacing w:before="0"/>
        <w:ind w:firstLine="480"/>
        <w:rPr>
          <w:rFonts w:ascii="宋体" w:hAnsi="宋体" w:cs="宋体"/>
          <w:color w:val="auto"/>
          <w:szCs w:val="24"/>
          <w:highlight w:val="none"/>
        </w:rPr>
      </w:pPr>
      <w:r>
        <w:rPr>
          <w:rFonts w:hint="eastAsia" w:ascii="宋体" w:hAnsi="宋体" w:cs="宋体"/>
          <w:color w:val="auto"/>
          <w:szCs w:val="24"/>
          <w:highlight w:val="none"/>
        </w:rPr>
        <w:t>36.1质疑供应商对质疑的答复不满意，或者采购人或采购代理机构未在规定时间内答复的，可以在收到答复之日或者答复期满后 15 个工作日内依法向采购人主管部门投诉。采购人主管部门应当在 30 个工作日内调查并回应。投诉事项调查期间，采购人主管部门应当通知采购人暂停采购活动。</w:t>
      </w:r>
    </w:p>
    <w:p w14:paraId="54A5D87A">
      <w:pPr>
        <w:pStyle w:val="43"/>
        <w:tabs>
          <w:tab w:val="left" w:pos="0"/>
        </w:tabs>
        <w:spacing w:before="0"/>
        <w:ind w:firstLine="480"/>
        <w:rPr>
          <w:rFonts w:ascii="宋体" w:hAnsi="宋体" w:cs="宋体"/>
          <w:b/>
          <w:color w:val="auto"/>
          <w:highlight w:val="none"/>
        </w:rPr>
      </w:pPr>
      <w:r>
        <w:rPr>
          <w:rFonts w:hint="eastAsia" w:ascii="宋体" w:hAnsi="宋体" w:cs="宋体"/>
          <w:color w:val="auto"/>
          <w:szCs w:val="24"/>
          <w:highlight w:val="none"/>
        </w:rPr>
        <w:t>36.2投诉人提交投诉件时，应当提供相关书面证据、依据和其他有关材料。</w:t>
      </w:r>
    </w:p>
    <w:bookmarkEnd w:id="49"/>
    <w:p w14:paraId="5BC10015">
      <w:pPr>
        <w:spacing w:afterLines="50" w:line="360" w:lineRule="auto"/>
        <w:jc w:val="center"/>
        <w:outlineLvl w:val="0"/>
        <w:rPr>
          <w:rFonts w:ascii="宋体" w:hAnsi="宋体" w:cs="宋体"/>
          <w:b/>
          <w:color w:val="auto"/>
          <w:sz w:val="36"/>
          <w:szCs w:val="36"/>
          <w:highlight w:val="none"/>
        </w:rPr>
      </w:pPr>
      <w:r>
        <w:rPr>
          <w:rFonts w:hint="eastAsia" w:ascii="宋体" w:hAnsi="宋体" w:cs="宋体"/>
          <w:color w:val="auto"/>
          <w:sz w:val="24"/>
          <w:szCs w:val="20"/>
          <w:highlight w:val="none"/>
        </w:rPr>
        <w:br w:type="page"/>
      </w:r>
      <w:bookmarkStart w:id="58" w:name="_Toc8440"/>
      <w:r>
        <w:rPr>
          <w:rFonts w:hint="eastAsia" w:ascii="宋体" w:hAnsi="宋体" w:cs="宋体"/>
          <w:b/>
          <w:color w:val="auto"/>
          <w:sz w:val="36"/>
          <w:szCs w:val="36"/>
          <w:highlight w:val="none"/>
        </w:rPr>
        <w:t>第三部分</w:t>
      </w:r>
      <w:bookmarkEnd w:id="41"/>
      <w:bookmarkEnd w:id="42"/>
      <w:bookmarkStart w:id="59" w:name="_Toc184314452"/>
      <w:bookmarkEnd w:id="59"/>
      <w:bookmarkStart w:id="60" w:name="_Toc184313310"/>
      <w:bookmarkEnd w:id="60"/>
      <w:bookmarkStart w:id="61" w:name="_Toc184310296"/>
      <w:bookmarkEnd w:id="61"/>
      <w:bookmarkStart w:id="62" w:name="_Toc184310340"/>
      <w:bookmarkEnd w:id="62"/>
      <w:bookmarkStart w:id="63" w:name="_Toc184313307"/>
      <w:bookmarkEnd w:id="63"/>
      <w:bookmarkStart w:id="64" w:name="_Toc184313260"/>
      <w:bookmarkEnd w:id="64"/>
      <w:bookmarkStart w:id="65" w:name="_Toc184313256"/>
      <w:bookmarkEnd w:id="65"/>
      <w:bookmarkStart w:id="66" w:name="_Toc184313297"/>
      <w:bookmarkEnd w:id="66"/>
      <w:bookmarkStart w:id="67" w:name="_Toc184312069"/>
      <w:bookmarkEnd w:id="67"/>
      <w:bookmarkStart w:id="68" w:name="_Toc184308104"/>
      <w:bookmarkEnd w:id="68"/>
      <w:bookmarkStart w:id="69" w:name="_Toc184310276"/>
      <w:bookmarkEnd w:id="69"/>
      <w:bookmarkStart w:id="70" w:name="_Toc184310284"/>
      <w:bookmarkEnd w:id="70"/>
      <w:bookmarkStart w:id="71" w:name="_Toc184314461"/>
      <w:bookmarkEnd w:id="71"/>
      <w:bookmarkStart w:id="72" w:name="_Toc184308069"/>
      <w:bookmarkEnd w:id="72"/>
      <w:bookmarkStart w:id="73" w:name="_Toc184310316"/>
      <w:bookmarkEnd w:id="73"/>
      <w:bookmarkStart w:id="74" w:name="_Toc184310272"/>
      <w:bookmarkEnd w:id="74"/>
      <w:bookmarkStart w:id="75" w:name="_Toc184312075"/>
      <w:bookmarkEnd w:id="75"/>
      <w:bookmarkStart w:id="76" w:name="_Toc184308038"/>
      <w:bookmarkEnd w:id="76"/>
      <w:bookmarkStart w:id="77" w:name="_Toc184314465"/>
      <w:bookmarkEnd w:id="77"/>
      <w:bookmarkStart w:id="78" w:name="_Toc184310337"/>
      <w:bookmarkEnd w:id="78"/>
      <w:bookmarkStart w:id="79" w:name="_Toc184313289"/>
      <w:bookmarkEnd w:id="79"/>
      <w:bookmarkStart w:id="80" w:name="_Toc184312129"/>
      <w:bookmarkEnd w:id="80"/>
      <w:bookmarkStart w:id="81" w:name="_Toc184312090"/>
      <w:bookmarkEnd w:id="81"/>
      <w:bookmarkStart w:id="82" w:name="_Toc184308065"/>
      <w:bookmarkEnd w:id="82"/>
      <w:bookmarkStart w:id="83" w:name="_Toc184313254"/>
      <w:bookmarkEnd w:id="83"/>
      <w:bookmarkStart w:id="84" w:name="_Toc184308053"/>
      <w:bookmarkEnd w:id="84"/>
      <w:bookmarkStart w:id="85" w:name="_Toc184312080"/>
      <w:bookmarkEnd w:id="85"/>
      <w:bookmarkStart w:id="86" w:name="_Toc184313244"/>
      <w:bookmarkEnd w:id="86"/>
      <w:bookmarkStart w:id="87" w:name="_Toc184310335"/>
      <w:bookmarkEnd w:id="87"/>
      <w:bookmarkStart w:id="88" w:name="_Toc184312067"/>
      <w:bookmarkEnd w:id="88"/>
      <w:bookmarkStart w:id="89" w:name="_Toc184308056"/>
      <w:bookmarkEnd w:id="89"/>
      <w:bookmarkStart w:id="90" w:name="_Toc184313239"/>
      <w:bookmarkEnd w:id="90"/>
      <w:bookmarkStart w:id="91" w:name="_Toc184312135"/>
      <w:bookmarkEnd w:id="91"/>
      <w:bookmarkStart w:id="92" w:name="_Toc184312105"/>
      <w:bookmarkEnd w:id="92"/>
      <w:bookmarkStart w:id="93" w:name="_Toc184314444"/>
      <w:bookmarkEnd w:id="93"/>
      <w:bookmarkStart w:id="94" w:name="_Toc184313304"/>
      <w:bookmarkEnd w:id="94"/>
      <w:bookmarkStart w:id="95" w:name="_Toc184310341"/>
      <w:bookmarkEnd w:id="95"/>
      <w:bookmarkStart w:id="96" w:name="_Toc184308047"/>
      <w:bookmarkEnd w:id="96"/>
      <w:bookmarkStart w:id="97" w:name="_Toc184312137"/>
      <w:bookmarkEnd w:id="97"/>
      <w:bookmarkStart w:id="98" w:name="_Toc184314460"/>
      <w:bookmarkEnd w:id="98"/>
      <w:bookmarkStart w:id="99" w:name="_Toc184308059"/>
      <w:bookmarkEnd w:id="99"/>
      <w:bookmarkStart w:id="100" w:name="_Toc184308036"/>
      <w:bookmarkEnd w:id="100"/>
      <w:bookmarkStart w:id="101" w:name="_Toc184310322"/>
      <w:bookmarkEnd w:id="101"/>
      <w:bookmarkStart w:id="102" w:name="_Toc184313298"/>
      <w:bookmarkEnd w:id="102"/>
      <w:bookmarkStart w:id="103" w:name="_Toc184310298"/>
      <w:bookmarkEnd w:id="103"/>
      <w:bookmarkStart w:id="104" w:name="_Toc184312108"/>
      <w:bookmarkEnd w:id="104"/>
      <w:bookmarkStart w:id="105" w:name="_Toc184312087"/>
      <w:bookmarkEnd w:id="105"/>
      <w:bookmarkStart w:id="106" w:name="_Toc184314481"/>
      <w:bookmarkEnd w:id="106"/>
      <w:bookmarkStart w:id="107" w:name="_Toc184312122"/>
      <w:bookmarkEnd w:id="107"/>
      <w:bookmarkStart w:id="108" w:name="_Toc184308105"/>
      <w:bookmarkEnd w:id="108"/>
      <w:bookmarkStart w:id="109" w:name="_Toc184310293"/>
      <w:bookmarkEnd w:id="109"/>
      <w:bookmarkStart w:id="110" w:name="_Toc184314471"/>
      <w:bookmarkEnd w:id="110"/>
      <w:bookmarkStart w:id="111" w:name="_Toc184310312"/>
      <w:bookmarkEnd w:id="111"/>
      <w:bookmarkStart w:id="112" w:name="_Toc184313282"/>
      <w:bookmarkEnd w:id="112"/>
      <w:bookmarkStart w:id="113" w:name="_Toc184310339"/>
      <w:bookmarkEnd w:id="113"/>
      <w:bookmarkStart w:id="114" w:name="_Toc184312086"/>
      <w:bookmarkEnd w:id="114"/>
      <w:bookmarkStart w:id="115" w:name="_Toc184312115"/>
      <w:bookmarkEnd w:id="115"/>
      <w:bookmarkStart w:id="116" w:name="_Toc184308083"/>
      <w:bookmarkEnd w:id="116"/>
      <w:bookmarkStart w:id="117" w:name="_Toc184308085"/>
      <w:bookmarkEnd w:id="117"/>
      <w:bookmarkStart w:id="118" w:name="_Toc184308095"/>
      <w:bookmarkEnd w:id="118"/>
      <w:bookmarkStart w:id="119" w:name="_Toc184313251"/>
      <w:bookmarkEnd w:id="119"/>
      <w:bookmarkStart w:id="120" w:name="_Toc184314413"/>
      <w:bookmarkEnd w:id="120"/>
      <w:bookmarkStart w:id="121" w:name="_Toc184310306"/>
      <w:bookmarkEnd w:id="121"/>
      <w:bookmarkStart w:id="122" w:name="_Toc184308058"/>
      <w:bookmarkEnd w:id="122"/>
      <w:bookmarkStart w:id="123" w:name="_Toc184312111"/>
      <w:bookmarkEnd w:id="123"/>
      <w:bookmarkStart w:id="124" w:name="_Toc184310277"/>
      <w:bookmarkEnd w:id="124"/>
      <w:bookmarkStart w:id="125" w:name="_Toc184312072"/>
      <w:bookmarkEnd w:id="125"/>
      <w:bookmarkStart w:id="126" w:name="_Toc184308103"/>
      <w:bookmarkEnd w:id="126"/>
      <w:bookmarkStart w:id="127" w:name="_Toc184308108"/>
      <w:bookmarkEnd w:id="127"/>
      <w:bookmarkStart w:id="128" w:name="_Toc184312116"/>
      <w:bookmarkEnd w:id="128"/>
      <w:bookmarkStart w:id="129" w:name="_Toc184312109"/>
      <w:bookmarkEnd w:id="129"/>
      <w:bookmarkStart w:id="130" w:name="_Toc184313275"/>
      <w:bookmarkEnd w:id="130"/>
      <w:bookmarkStart w:id="131" w:name="_Toc184312127"/>
      <w:bookmarkEnd w:id="131"/>
      <w:bookmarkStart w:id="132" w:name="_Toc184308071"/>
      <w:bookmarkEnd w:id="132"/>
      <w:bookmarkStart w:id="133" w:name="_Toc184313246"/>
      <w:bookmarkEnd w:id="133"/>
      <w:bookmarkStart w:id="134" w:name="_Toc184310281"/>
      <w:bookmarkEnd w:id="134"/>
      <w:bookmarkStart w:id="135" w:name="_Toc184313294"/>
      <w:bookmarkEnd w:id="135"/>
      <w:bookmarkStart w:id="136" w:name="_Toc184314434"/>
      <w:bookmarkEnd w:id="136"/>
      <w:bookmarkStart w:id="137" w:name="_Toc184314469"/>
      <w:bookmarkEnd w:id="137"/>
      <w:bookmarkStart w:id="138" w:name="_Toc184308039"/>
      <w:bookmarkEnd w:id="138"/>
      <w:bookmarkStart w:id="139" w:name="_Toc184310314"/>
      <w:bookmarkEnd w:id="139"/>
      <w:bookmarkStart w:id="140" w:name="_Toc184312077"/>
      <w:bookmarkEnd w:id="140"/>
      <w:bookmarkStart w:id="141" w:name="_Toc184314421"/>
      <w:bookmarkEnd w:id="141"/>
      <w:bookmarkStart w:id="142" w:name="_Toc184310301"/>
      <w:bookmarkEnd w:id="142"/>
      <w:bookmarkStart w:id="143" w:name="_Toc184314428"/>
      <w:bookmarkEnd w:id="143"/>
      <w:bookmarkStart w:id="144" w:name="_Toc184313300"/>
      <w:bookmarkEnd w:id="144"/>
      <w:bookmarkStart w:id="145" w:name="_Toc184312071"/>
      <w:bookmarkEnd w:id="145"/>
      <w:bookmarkStart w:id="146" w:name="_Toc184314418"/>
      <w:bookmarkEnd w:id="146"/>
      <w:bookmarkStart w:id="147" w:name="_Toc184314442"/>
      <w:bookmarkEnd w:id="147"/>
      <w:bookmarkStart w:id="148" w:name="_Toc184310343"/>
      <w:bookmarkEnd w:id="148"/>
      <w:bookmarkStart w:id="149" w:name="_Toc184313288"/>
      <w:bookmarkEnd w:id="149"/>
      <w:bookmarkStart w:id="150" w:name="_Toc184308099"/>
      <w:bookmarkEnd w:id="150"/>
      <w:bookmarkStart w:id="151" w:name="_Toc184314422"/>
      <w:bookmarkEnd w:id="151"/>
      <w:bookmarkStart w:id="152" w:name="_Toc184308055"/>
      <w:bookmarkEnd w:id="152"/>
      <w:bookmarkStart w:id="153" w:name="_Toc184308101"/>
      <w:bookmarkEnd w:id="153"/>
      <w:bookmarkStart w:id="154" w:name="_Toc184313287"/>
      <w:bookmarkEnd w:id="154"/>
      <w:bookmarkStart w:id="155" w:name="_Toc184314436"/>
      <w:bookmarkEnd w:id="155"/>
      <w:bookmarkStart w:id="156" w:name="_Toc184308097"/>
      <w:bookmarkEnd w:id="156"/>
      <w:bookmarkStart w:id="157" w:name="_Toc184308054"/>
      <w:bookmarkEnd w:id="157"/>
      <w:bookmarkStart w:id="158" w:name="_Toc184310282"/>
      <w:bookmarkEnd w:id="158"/>
      <w:bookmarkStart w:id="159" w:name="_Toc184314425"/>
      <w:bookmarkEnd w:id="159"/>
      <w:bookmarkStart w:id="160" w:name="_Toc184314431"/>
      <w:bookmarkEnd w:id="160"/>
      <w:bookmarkStart w:id="161" w:name="_Toc184310330"/>
      <w:bookmarkEnd w:id="161"/>
      <w:bookmarkStart w:id="162" w:name="_Toc184313255"/>
      <w:bookmarkEnd w:id="162"/>
      <w:bookmarkStart w:id="163" w:name="_Toc184310305"/>
      <w:bookmarkEnd w:id="163"/>
      <w:bookmarkStart w:id="164" w:name="_Toc184308092"/>
      <w:bookmarkEnd w:id="164"/>
      <w:bookmarkStart w:id="165" w:name="_Toc184312138"/>
      <w:bookmarkEnd w:id="165"/>
      <w:bookmarkStart w:id="166" w:name="_Toc184314448"/>
      <w:bookmarkEnd w:id="166"/>
      <w:bookmarkStart w:id="167" w:name="_Toc184313276"/>
      <w:bookmarkEnd w:id="167"/>
      <w:bookmarkStart w:id="168" w:name="_Toc184308080"/>
      <w:bookmarkEnd w:id="168"/>
      <w:bookmarkStart w:id="169" w:name="_Toc184314438"/>
      <w:bookmarkEnd w:id="169"/>
      <w:bookmarkStart w:id="170" w:name="_Toc184310328"/>
      <w:bookmarkEnd w:id="170"/>
      <w:bookmarkStart w:id="171" w:name="_Toc184308086"/>
      <w:bookmarkEnd w:id="171"/>
      <w:bookmarkStart w:id="172" w:name="_Toc184310297"/>
      <w:bookmarkEnd w:id="172"/>
      <w:bookmarkStart w:id="173" w:name="_Toc184312103"/>
      <w:bookmarkEnd w:id="173"/>
      <w:bookmarkStart w:id="174" w:name="_Toc184314473"/>
      <w:bookmarkEnd w:id="174"/>
      <w:bookmarkStart w:id="175" w:name="_Toc184313245"/>
      <w:bookmarkEnd w:id="175"/>
      <w:bookmarkStart w:id="176" w:name="_Toc184308107"/>
      <w:bookmarkEnd w:id="176"/>
      <w:bookmarkStart w:id="177" w:name="_Toc184313293"/>
      <w:bookmarkEnd w:id="177"/>
      <w:bookmarkStart w:id="178" w:name="_Toc184310326"/>
      <w:bookmarkEnd w:id="178"/>
      <w:bookmarkStart w:id="179" w:name="_Toc184312073"/>
      <w:bookmarkEnd w:id="179"/>
      <w:bookmarkStart w:id="180" w:name="_Toc184308062"/>
      <w:bookmarkEnd w:id="180"/>
      <w:bookmarkStart w:id="181" w:name="_Toc184312120"/>
      <w:bookmarkEnd w:id="181"/>
      <w:bookmarkStart w:id="182" w:name="_Toc184312079"/>
      <w:bookmarkEnd w:id="182"/>
      <w:bookmarkStart w:id="183" w:name="_Toc184310342"/>
      <w:bookmarkEnd w:id="183"/>
      <w:bookmarkStart w:id="184" w:name="_Toc184314478"/>
      <w:bookmarkEnd w:id="184"/>
      <w:bookmarkStart w:id="185" w:name="_Toc184310320"/>
      <w:bookmarkEnd w:id="185"/>
      <w:bookmarkStart w:id="186" w:name="_Toc184312099"/>
      <w:bookmarkEnd w:id="186"/>
      <w:bookmarkStart w:id="187" w:name="_Toc184308050"/>
      <w:bookmarkEnd w:id="187"/>
      <w:bookmarkStart w:id="188" w:name="_Toc184313250"/>
      <w:bookmarkEnd w:id="188"/>
      <w:bookmarkStart w:id="189" w:name="_Toc184314411"/>
      <w:bookmarkEnd w:id="189"/>
      <w:bookmarkStart w:id="190" w:name="_Toc184312128"/>
      <w:bookmarkEnd w:id="190"/>
      <w:bookmarkStart w:id="191" w:name="_Toc184313281"/>
      <w:bookmarkEnd w:id="191"/>
      <w:bookmarkStart w:id="192" w:name="_Toc184308079"/>
      <w:bookmarkEnd w:id="192"/>
      <w:bookmarkStart w:id="193" w:name="_Toc184313285"/>
      <w:bookmarkEnd w:id="193"/>
      <w:bookmarkStart w:id="194" w:name="_Toc184313284"/>
      <w:bookmarkEnd w:id="194"/>
      <w:bookmarkStart w:id="195" w:name="_Toc184313261"/>
      <w:bookmarkEnd w:id="195"/>
      <w:bookmarkStart w:id="196" w:name="_Toc184310321"/>
      <w:bookmarkEnd w:id="196"/>
      <w:bookmarkStart w:id="197" w:name="_Toc184312095"/>
      <w:bookmarkEnd w:id="197"/>
      <w:bookmarkStart w:id="198" w:name="_Toc184314457"/>
      <w:bookmarkEnd w:id="198"/>
      <w:bookmarkStart w:id="199" w:name="_Toc184310292"/>
      <w:bookmarkEnd w:id="199"/>
      <w:bookmarkStart w:id="200" w:name="_Toc184313265"/>
      <w:bookmarkEnd w:id="200"/>
      <w:bookmarkStart w:id="201" w:name="_Toc184313257"/>
      <w:bookmarkEnd w:id="201"/>
      <w:bookmarkStart w:id="202" w:name="_Toc184313292"/>
      <w:bookmarkEnd w:id="202"/>
      <w:bookmarkStart w:id="203" w:name="_Toc184312134"/>
      <w:bookmarkEnd w:id="203"/>
      <w:bookmarkStart w:id="204" w:name="_Toc184310327"/>
      <w:bookmarkEnd w:id="204"/>
      <w:bookmarkStart w:id="205" w:name="_Toc184314435"/>
      <w:bookmarkEnd w:id="205"/>
      <w:bookmarkStart w:id="206" w:name="_Toc184313299"/>
      <w:bookmarkEnd w:id="206"/>
      <w:bookmarkStart w:id="207" w:name="_Toc184308040"/>
      <w:bookmarkEnd w:id="207"/>
      <w:bookmarkStart w:id="208" w:name="_Toc184308052"/>
      <w:bookmarkEnd w:id="208"/>
      <w:bookmarkStart w:id="209" w:name="_Toc184310319"/>
      <w:bookmarkEnd w:id="209"/>
      <w:bookmarkStart w:id="210" w:name="_Toc184308067"/>
      <w:bookmarkEnd w:id="210"/>
      <w:bookmarkStart w:id="211" w:name="_Toc184313303"/>
      <w:bookmarkEnd w:id="211"/>
      <w:bookmarkStart w:id="212" w:name="_Toc184310280"/>
      <w:bookmarkEnd w:id="212"/>
      <w:bookmarkStart w:id="213" w:name="_Toc184314430"/>
      <w:bookmarkEnd w:id="213"/>
      <w:bookmarkStart w:id="214" w:name="_Toc184308041"/>
      <w:bookmarkEnd w:id="214"/>
      <w:bookmarkStart w:id="215" w:name="_Toc184313267"/>
      <w:bookmarkEnd w:id="215"/>
      <w:bookmarkStart w:id="216" w:name="_Toc184308074"/>
      <w:bookmarkEnd w:id="216"/>
      <w:bookmarkStart w:id="217" w:name="_Toc184314476"/>
      <w:bookmarkEnd w:id="217"/>
      <w:bookmarkStart w:id="218" w:name="_Toc184308070"/>
      <w:bookmarkEnd w:id="218"/>
      <w:bookmarkStart w:id="219" w:name="_Toc184314464"/>
      <w:bookmarkEnd w:id="219"/>
      <w:bookmarkStart w:id="220" w:name="_Toc184313242"/>
      <w:bookmarkEnd w:id="220"/>
      <w:bookmarkStart w:id="221" w:name="_Toc184314480"/>
      <w:bookmarkEnd w:id="221"/>
      <w:bookmarkStart w:id="222" w:name="_Toc184312124"/>
      <w:bookmarkEnd w:id="222"/>
      <w:bookmarkStart w:id="223" w:name="_Toc184310288"/>
      <w:bookmarkEnd w:id="223"/>
      <w:bookmarkStart w:id="224" w:name="_Toc184310336"/>
      <w:bookmarkEnd w:id="224"/>
      <w:bookmarkStart w:id="225" w:name="_Toc184308084"/>
      <w:bookmarkEnd w:id="225"/>
      <w:bookmarkStart w:id="226" w:name="_Toc184314467"/>
      <w:bookmarkEnd w:id="226"/>
      <w:bookmarkStart w:id="227" w:name="_Toc184310300"/>
      <w:bookmarkEnd w:id="227"/>
      <w:bookmarkStart w:id="228" w:name="_Toc184308078"/>
      <w:bookmarkEnd w:id="228"/>
      <w:bookmarkStart w:id="229" w:name="_Toc184313283"/>
      <w:bookmarkEnd w:id="229"/>
      <w:bookmarkStart w:id="230" w:name="_Toc184312070"/>
      <w:bookmarkEnd w:id="230"/>
      <w:bookmarkStart w:id="231" w:name="_Toc184308096"/>
      <w:bookmarkEnd w:id="231"/>
      <w:bookmarkStart w:id="232" w:name="_Toc184314439"/>
      <w:bookmarkEnd w:id="232"/>
      <w:bookmarkStart w:id="233" w:name="_Toc184313306"/>
      <w:bookmarkEnd w:id="233"/>
      <w:bookmarkStart w:id="234" w:name="_Toc184310299"/>
      <w:bookmarkEnd w:id="234"/>
      <w:bookmarkStart w:id="235" w:name="_Toc184312074"/>
      <w:bookmarkEnd w:id="235"/>
      <w:bookmarkStart w:id="236" w:name="_Toc184313262"/>
      <w:bookmarkEnd w:id="236"/>
      <w:bookmarkStart w:id="237" w:name="_Toc184314416"/>
      <w:bookmarkEnd w:id="237"/>
      <w:bookmarkStart w:id="238" w:name="_Toc184314482"/>
      <w:bookmarkEnd w:id="238"/>
      <w:bookmarkStart w:id="239" w:name="_Toc184313247"/>
      <w:bookmarkEnd w:id="239"/>
      <w:bookmarkStart w:id="240" w:name="_Toc184310310"/>
      <w:bookmarkEnd w:id="240"/>
      <w:bookmarkStart w:id="241" w:name="_Toc184314459"/>
      <w:bookmarkEnd w:id="241"/>
      <w:bookmarkStart w:id="242" w:name="_Toc184312096"/>
      <w:bookmarkEnd w:id="242"/>
      <w:bookmarkStart w:id="243" w:name="_Toc184312082"/>
      <w:bookmarkEnd w:id="243"/>
      <w:bookmarkStart w:id="244" w:name="_Toc184310302"/>
      <w:bookmarkEnd w:id="244"/>
      <w:bookmarkStart w:id="245" w:name="_Toc184308073"/>
      <w:bookmarkEnd w:id="245"/>
      <w:bookmarkStart w:id="246" w:name="_Toc184308046"/>
      <w:bookmarkEnd w:id="246"/>
      <w:bookmarkStart w:id="247" w:name="_Toc184314432"/>
      <w:bookmarkEnd w:id="247"/>
      <w:bookmarkStart w:id="248" w:name="_Toc184312123"/>
      <w:bookmarkEnd w:id="248"/>
      <w:bookmarkStart w:id="249" w:name="_Toc184308076"/>
      <w:bookmarkEnd w:id="249"/>
      <w:bookmarkStart w:id="250" w:name="_Toc184312100"/>
      <w:bookmarkEnd w:id="250"/>
      <w:bookmarkStart w:id="251" w:name="_Toc184312102"/>
      <w:bookmarkEnd w:id="251"/>
      <w:bookmarkStart w:id="252" w:name="_Toc184312081"/>
      <w:bookmarkEnd w:id="252"/>
      <w:bookmarkStart w:id="253" w:name="_Toc184310333"/>
      <w:bookmarkEnd w:id="253"/>
      <w:bookmarkStart w:id="254" w:name="_Toc184308037"/>
      <w:bookmarkEnd w:id="254"/>
      <w:bookmarkStart w:id="255" w:name="_Toc184314440"/>
      <w:bookmarkEnd w:id="255"/>
      <w:bookmarkStart w:id="256" w:name="_Toc184312130"/>
      <w:bookmarkEnd w:id="256"/>
      <w:bookmarkStart w:id="257" w:name="_Toc184308060"/>
      <w:bookmarkEnd w:id="257"/>
      <w:bookmarkStart w:id="258" w:name="_Toc184313243"/>
      <w:bookmarkEnd w:id="258"/>
      <w:bookmarkStart w:id="259" w:name="_Toc184308075"/>
      <w:bookmarkEnd w:id="259"/>
      <w:bookmarkStart w:id="260" w:name="_Toc184312084"/>
      <w:bookmarkEnd w:id="260"/>
      <w:bookmarkStart w:id="261" w:name="_Toc184308063"/>
      <w:bookmarkEnd w:id="261"/>
      <w:bookmarkStart w:id="262" w:name="_Toc184314433"/>
      <w:bookmarkEnd w:id="262"/>
      <w:bookmarkStart w:id="263" w:name="_Toc184314417"/>
      <w:bookmarkEnd w:id="263"/>
      <w:bookmarkStart w:id="264" w:name="_Toc184313272"/>
      <w:bookmarkEnd w:id="264"/>
      <w:bookmarkStart w:id="265" w:name="_Toc184312078"/>
      <w:bookmarkEnd w:id="265"/>
      <w:bookmarkStart w:id="266" w:name="_Toc184308087"/>
      <w:bookmarkEnd w:id="266"/>
      <w:bookmarkStart w:id="267" w:name="_Toc184310308"/>
      <w:bookmarkEnd w:id="267"/>
      <w:bookmarkStart w:id="268" w:name="_Toc184314466"/>
      <w:bookmarkEnd w:id="268"/>
      <w:bookmarkStart w:id="269" w:name="_Toc184312089"/>
      <w:bookmarkEnd w:id="269"/>
      <w:bookmarkStart w:id="270" w:name="_Toc184308068"/>
      <w:bookmarkEnd w:id="270"/>
      <w:bookmarkStart w:id="271" w:name="_Toc184312114"/>
      <w:bookmarkEnd w:id="271"/>
      <w:bookmarkStart w:id="272" w:name="_Toc184313290"/>
      <w:bookmarkEnd w:id="272"/>
      <w:bookmarkStart w:id="273" w:name="_Toc184314475"/>
      <w:bookmarkEnd w:id="273"/>
      <w:bookmarkStart w:id="274" w:name="_Toc184312091"/>
      <w:bookmarkEnd w:id="274"/>
      <w:bookmarkStart w:id="275" w:name="_Toc184310313"/>
      <w:bookmarkEnd w:id="275"/>
      <w:bookmarkStart w:id="276" w:name="_Toc184310332"/>
      <w:bookmarkEnd w:id="276"/>
      <w:bookmarkStart w:id="277" w:name="_Toc184308042"/>
      <w:bookmarkEnd w:id="277"/>
      <w:bookmarkStart w:id="278" w:name="_Toc184314426"/>
      <w:bookmarkEnd w:id="278"/>
      <w:bookmarkStart w:id="279" w:name="_Toc184312126"/>
      <w:bookmarkEnd w:id="279"/>
      <w:bookmarkStart w:id="280" w:name="_Toc184313268"/>
      <w:bookmarkEnd w:id="280"/>
      <w:bookmarkStart w:id="281" w:name="_Toc184308045"/>
      <w:bookmarkEnd w:id="281"/>
      <w:bookmarkStart w:id="282" w:name="_Toc184313270"/>
      <w:bookmarkEnd w:id="282"/>
      <w:bookmarkStart w:id="283" w:name="_Toc184312076"/>
      <w:bookmarkEnd w:id="283"/>
      <w:bookmarkStart w:id="284" w:name="_Toc184308077"/>
      <w:bookmarkEnd w:id="284"/>
      <w:bookmarkStart w:id="285" w:name="_Toc184308051"/>
      <w:bookmarkEnd w:id="285"/>
      <w:bookmarkStart w:id="286" w:name="_Toc184308093"/>
      <w:bookmarkEnd w:id="286"/>
      <w:bookmarkStart w:id="287" w:name="_Toc184310315"/>
      <w:bookmarkEnd w:id="287"/>
      <w:bookmarkStart w:id="288" w:name="_Toc184308090"/>
      <w:bookmarkEnd w:id="288"/>
      <w:bookmarkStart w:id="289" w:name="_Toc184312101"/>
      <w:bookmarkEnd w:id="289"/>
      <w:bookmarkStart w:id="290" w:name="_Toc184312136"/>
      <w:bookmarkEnd w:id="290"/>
      <w:bookmarkStart w:id="291" w:name="_Toc184312094"/>
      <w:bookmarkEnd w:id="291"/>
      <w:bookmarkStart w:id="292" w:name="_Toc184312112"/>
      <w:bookmarkEnd w:id="292"/>
      <w:bookmarkStart w:id="293" w:name="_Toc184313263"/>
      <w:bookmarkEnd w:id="293"/>
      <w:bookmarkStart w:id="294" w:name="_Toc184314419"/>
      <w:bookmarkEnd w:id="294"/>
      <w:bookmarkStart w:id="295" w:name="_Toc184308057"/>
      <w:bookmarkEnd w:id="295"/>
      <w:bookmarkStart w:id="296" w:name="_Toc184310278"/>
      <w:bookmarkEnd w:id="296"/>
      <w:bookmarkStart w:id="297" w:name="_Toc184312092"/>
      <w:bookmarkEnd w:id="297"/>
      <w:bookmarkStart w:id="298" w:name="_Toc184310338"/>
      <w:bookmarkEnd w:id="298"/>
      <w:bookmarkStart w:id="299" w:name="_Toc184313302"/>
      <w:bookmarkEnd w:id="299"/>
      <w:bookmarkStart w:id="300" w:name="_Toc184308100"/>
      <w:bookmarkEnd w:id="300"/>
      <w:bookmarkStart w:id="301" w:name="_Toc184314427"/>
      <w:bookmarkEnd w:id="301"/>
      <w:bookmarkStart w:id="302" w:name="_Toc184308081"/>
      <w:bookmarkEnd w:id="302"/>
      <w:bookmarkStart w:id="303" w:name="_Toc184312131"/>
      <w:bookmarkEnd w:id="303"/>
      <w:bookmarkStart w:id="304" w:name="_Toc184308098"/>
      <w:bookmarkEnd w:id="304"/>
      <w:bookmarkStart w:id="305" w:name="_Toc184313279"/>
      <w:bookmarkEnd w:id="305"/>
      <w:bookmarkStart w:id="306" w:name="_Toc184308082"/>
      <w:bookmarkEnd w:id="306"/>
      <w:bookmarkStart w:id="307" w:name="_Toc184314447"/>
      <w:bookmarkEnd w:id="307"/>
      <w:bookmarkStart w:id="308" w:name="_Toc184308102"/>
      <w:bookmarkEnd w:id="308"/>
      <w:bookmarkStart w:id="309" w:name="_Toc184314479"/>
      <w:bookmarkEnd w:id="309"/>
      <w:bookmarkStart w:id="310" w:name="_Toc184312098"/>
      <w:bookmarkEnd w:id="310"/>
      <w:bookmarkStart w:id="311" w:name="_Toc184314470"/>
      <w:bookmarkEnd w:id="311"/>
      <w:bookmarkStart w:id="312" w:name="_Toc184314423"/>
      <w:bookmarkEnd w:id="312"/>
      <w:bookmarkStart w:id="313" w:name="_Toc184310304"/>
      <w:bookmarkEnd w:id="313"/>
      <w:bookmarkStart w:id="314" w:name="_Toc184313264"/>
      <w:bookmarkEnd w:id="314"/>
      <w:bookmarkStart w:id="315" w:name="_Toc184313253"/>
      <w:bookmarkEnd w:id="315"/>
      <w:bookmarkStart w:id="316" w:name="_Toc184312121"/>
      <w:bookmarkEnd w:id="316"/>
      <w:bookmarkStart w:id="317" w:name="_Toc184308048"/>
      <w:bookmarkEnd w:id="317"/>
      <w:bookmarkStart w:id="318" w:name="_Toc184313295"/>
      <w:bookmarkEnd w:id="318"/>
      <w:bookmarkStart w:id="319" w:name="_Toc184313277"/>
      <w:bookmarkEnd w:id="319"/>
      <w:bookmarkStart w:id="320" w:name="_Toc184310344"/>
      <w:bookmarkEnd w:id="320"/>
      <w:bookmarkStart w:id="321" w:name="_Toc184310275"/>
      <w:bookmarkEnd w:id="321"/>
      <w:bookmarkStart w:id="322" w:name="_Toc184310311"/>
      <w:bookmarkEnd w:id="322"/>
      <w:bookmarkStart w:id="323" w:name="_Toc184314462"/>
      <w:bookmarkEnd w:id="323"/>
      <w:bookmarkStart w:id="324" w:name="_Toc184310287"/>
      <w:bookmarkEnd w:id="324"/>
      <w:bookmarkStart w:id="325" w:name="_Toc184308072"/>
      <w:bookmarkEnd w:id="325"/>
      <w:bookmarkStart w:id="326" w:name="_Toc184314415"/>
      <w:bookmarkEnd w:id="326"/>
      <w:bookmarkStart w:id="327" w:name="_Toc184314455"/>
      <w:bookmarkEnd w:id="327"/>
      <w:bookmarkStart w:id="328" w:name="_Toc184312083"/>
      <w:bookmarkEnd w:id="328"/>
      <w:bookmarkStart w:id="329" w:name="_Toc184313278"/>
      <w:bookmarkEnd w:id="329"/>
      <w:bookmarkStart w:id="330" w:name="_Toc184313309"/>
      <w:bookmarkEnd w:id="330"/>
      <w:bookmarkStart w:id="331" w:name="_Toc184314463"/>
      <w:bookmarkEnd w:id="331"/>
      <w:bookmarkStart w:id="332" w:name="_Toc184312119"/>
      <w:bookmarkEnd w:id="332"/>
      <w:bookmarkStart w:id="333" w:name="_Toc184314412"/>
      <w:bookmarkEnd w:id="333"/>
      <w:bookmarkStart w:id="334" w:name="_Toc184310274"/>
      <w:bookmarkEnd w:id="334"/>
      <w:bookmarkStart w:id="335" w:name="_Toc184314437"/>
      <w:bookmarkEnd w:id="335"/>
      <w:bookmarkStart w:id="336" w:name="_Toc184312139"/>
      <w:bookmarkEnd w:id="336"/>
      <w:bookmarkStart w:id="337" w:name="_Toc184308094"/>
      <w:bookmarkEnd w:id="337"/>
      <w:bookmarkStart w:id="338" w:name="_Toc184312125"/>
      <w:bookmarkEnd w:id="338"/>
      <w:bookmarkStart w:id="339" w:name="_Toc184313271"/>
      <w:bookmarkEnd w:id="339"/>
      <w:bookmarkStart w:id="340" w:name="_Toc184308088"/>
      <w:bookmarkEnd w:id="340"/>
      <w:bookmarkStart w:id="341" w:name="_Toc184313259"/>
      <w:bookmarkEnd w:id="341"/>
      <w:bookmarkStart w:id="342" w:name="_Toc184312107"/>
      <w:bookmarkEnd w:id="342"/>
      <w:bookmarkStart w:id="343" w:name="_Toc184313286"/>
      <w:bookmarkEnd w:id="343"/>
      <w:bookmarkStart w:id="344" w:name="_Toc184310290"/>
      <w:bookmarkEnd w:id="344"/>
      <w:bookmarkStart w:id="345" w:name="_Toc184310325"/>
      <w:bookmarkEnd w:id="345"/>
      <w:bookmarkStart w:id="346" w:name="_Toc184314458"/>
      <w:bookmarkEnd w:id="346"/>
      <w:bookmarkStart w:id="347" w:name="_Toc184310283"/>
      <w:bookmarkEnd w:id="347"/>
      <w:bookmarkStart w:id="348" w:name="_Toc184310324"/>
      <w:bookmarkEnd w:id="348"/>
      <w:bookmarkStart w:id="349" w:name="_Toc184308091"/>
      <w:bookmarkEnd w:id="349"/>
      <w:bookmarkStart w:id="350" w:name="_Toc184313241"/>
      <w:bookmarkEnd w:id="350"/>
      <w:bookmarkStart w:id="351" w:name="_Toc184308066"/>
      <w:bookmarkEnd w:id="351"/>
      <w:bookmarkStart w:id="352" w:name="_Toc184313252"/>
      <w:bookmarkEnd w:id="352"/>
      <w:bookmarkStart w:id="353" w:name="_Toc184310291"/>
      <w:bookmarkEnd w:id="353"/>
      <w:bookmarkStart w:id="354" w:name="_Toc184312093"/>
      <w:bookmarkEnd w:id="354"/>
      <w:bookmarkStart w:id="355" w:name="_Toc184314456"/>
      <w:bookmarkEnd w:id="355"/>
      <w:bookmarkStart w:id="356" w:name="_Toc184314450"/>
      <w:bookmarkEnd w:id="356"/>
      <w:bookmarkStart w:id="357" w:name="_Toc184308044"/>
      <w:bookmarkEnd w:id="357"/>
      <w:bookmarkStart w:id="358" w:name="_Toc184310295"/>
      <w:bookmarkEnd w:id="358"/>
      <w:bookmarkStart w:id="359" w:name="_Toc184310303"/>
      <w:bookmarkEnd w:id="359"/>
      <w:bookmarkStart w:id="360" w:name="_Toc184310329"/>
      <w:bookmarkEnd w:id="360"/>
      <w:bookmarkStart w:id="361" w:name="_Toc184313291"/>
      <w:bookmarkEnd w:id="361"/>
      <w:bookmarkStart w:id="362" w:name="_Toc184312104"/>
      <w:bookmarkEnd w:id="362"/>
      <w:bookmarkStart w:id="363" w:name="_Toc184310309"/>
      <w:bookmarkEnd w:id="363"/>
      <w:bookmarkStart w:id="364" w:name="_Toc184313308"/>
      <w:bookmarkEnd w:id="364"/>
      <w:bookmarkStart w:id="365" w:name="_Toc184310286"/>
      <w:bookmarkEnd w:id="365"/>
      <w:bookmarkStart w:id="366" w:name="_Toc184310318"/>
      <w:bookmarkEnd w:id="366"/>
      <w:bookmarkStart w:id="367" w:name="_Toc184314446"/>
      <w:bookmarkEnd w:id="367"/>
      <w:bookmarkStart w:id="368" w:name="_Toc184308061"/>
      <w:bookmarkEnd w:id="368"/>
      <w:bookmarkStart w:id="369" w:name="_Toc184313296"/>
      <w:bookmarkEnd w:id="369"/>
      <w:bookmarkStart w:id="370" w:name="_Toc184308043"/>
      <w:bookmarkEnd w:id="370"/>
      <w:bookmarkStart w:id="371" w:name="_Toc184310279"/>
      <w:bookmarkEnd w:id="371"/>
      <w:bookmarkStart w:id="372" w:name="_Toc184314420"/>
      <w:bookmarkEnd w:id="372"/>
      <w:bookmarkStart w:id="373" w:name="_Toc184310285"/>
      <w:bookmarkEnd w:id="373"/>
      <w:bookmarkStart w:id="374" w:name="_Toc184313266"/>
      <w:bookmarkEnd w:id="374"/>
      <w:bookmarkStart w:id="375" w:name="_Toc184312118"/>
      <w:bookmarkEnd w:id="375"/>
      <w:bookmarkStart w:id="376" w:name="_Toc184308064"/>
      <w:bookmarkEnd w:id="376"/>
      <w:bookmarkStart w:id="377" w:name="_Toc184310334"/>
      <w:bookmarkEnd w:id="377"/>
      <w:bookmarkStart w:id="378" w:name="_Toc184314468"/>
      <w:bookmarkEnd w:id="378"/>
      <w:bookmarkStart w:id="379" w:name="_Toc184313240"/>
      <w:bookmarkEnd w:id="379"/>
      <w:bookmarkStart w:id="380" w:name="_Toc184310317"/>
      <w:bookmarkEnd w:id="380"/>
      <w:bookmarkStart w:id="381" w:name="_Toc184312106"/>
      <w:bookmarkEnd w:id="381"/>
      <w:bookmarkStart w:id="382" w:name="_Toc184314445"/>
      <w:bookmarkEnd w:id="382"/>
      <w:bookmarkStart w:id="383" w:name="_Toc184312068"/>
      <w:bookmarkEnd w:id="383"/>
      <w:bookmarkStart w:id="384" w:name="_Toc184310331"/>
      <w:bookmarkEnd w:id="384"/>
      <w:bookmarkStart w:id="385" w:name="_Toc184313280"/>
      <w:bookmarkEnd w:id="385"/>
      <w:bookmarkStart w:id="386" w:name="_Toc184308106"/>
      <w:bookmarkEnd w:id="386"/>
      <w:bookmarkStart w:id="387" w:name="_Toc184310323"/>
      <w:bookmarkEnd w:id="387"/>
      <w:bookmarkStart w:id="388" w:name="_Toc184310273"/>
      <w:bookmarkEnd w:id="388"/>
      <w:bookmarkStart w:id="389" w:name="_Toc184314451"/>
      <w:bookmarkEnd w:id="389"/>
      <w:bookmarkStart w:id="390" w:name="_Toc184313248"/>
      <w:bookmarkEnd w:id="390"/>
      <w:bookmarkStart w:id="391" w:name="_Toc184314474"/>
      <w:bookmarkEnd w:id="391"/>
      <w:bookmarkStart w:id="392" w:name="_Toc184314443"/>
      <w:bookmarkEnd w:id="392"/>
      <w:bookmarkStart w:id="393" w:name="_Toc184313301"/>
      <w:bookmarkEnd w:id="393"/>
      <w:bookmarkStart w:id="394" w:name="_Toc184313274"/>
      <w:bookmarkEnd w:id="394"/>
      <w:bookmarkStart w:id="395" w:name="_Toc184314429"/>
      <w:bookmarkEnd w:id="395"/>
      <w:bookmarkStart w:id="396" w:name="_Toc184312110"/>
      <w:bookmarkEnd w:id="396"/>
      <w:bookmarkStart w:id="397" w:name="_Toc184313238"/>
      <w:bookmarkEnd w:id="397"/>
      <w:bookmarkStart w:id="398" w:name="_Toc184310289"/>
      <w:bookmarkEnd w:id="398"/>
      <w:bookmarkStart w:id="399" w:name="_Toc184314410"/>
      <w:bookmarkEnd w:id="399"/>
      <w:bookmarkStart w:id="400" w:name="_Toc184310294"/>
      <w:bookmarkEnd w:id="400"/>
      <w:bookmarkStart w:id="401" w:name="_Toc184312085"/>
      <w:bookmarkEnd w:id="401"/>
      <w:bookmarkStart w:id="402" w:name="_Toc184314449"/>
      <w:bookmarkEnd w:id="402"/>
      <w:bookmarkStart w:id="403" w:name="_Toc184313269"/>
      <w:bookmarkEnd w:id="403"/>
      <w:bookmarkStart w:id="404" w:name="_Toc184312132"/>
      <w:bookmarkEnd w:id="404"/>
      <w:bookmarkStart w:id="405" w:name="_Toc184314454"/>
      <w:bookmarkEnd w:id="405"/>
      <w:bookmarkStart w:id="406" w:name="_Toc184312088"/>
      <w:bookmarkEnd w:id="406"/>
      <w:bookmarkStart w:id="407" w:name="_Toc184312133"/>
      <w:bookmarkEnd w:id="407"/>
      <w:bookmarkStart w:id="408" w:name="_Toc184314414"/>
      <w:bookmarkEnd w:id="408"/>
      <w:bookmarkStart w:id="409" w:name="_Toc184313273"/>
      <w:bookmarkEnd w:id="409"/>
      <w:bookmarkStart w:id="410" w:name="_Toc184308049"/>
      <w:bookmarkEnd w:id="410"/>
      <w:bookmarkStart w:id="411" w:name="_Toc184314424"/>
      <w:bookmarkEnd w:id="411"/>
      <w:bookmarkStart w:id="412" w:name="_Toc184312117"/>
      <w:bookmarkEnd w:id="412"/>
      <w:bookmarkStart w:id="413" w:name="_Toc184310307"/>
      <w:bookmarkEnd w:id="413"/>
      <w:bookmarkStart w:id="414" w:name="_Toc184312113"/>
      <w:bookmarkEnd w:id="414"/>
      <w:bookmarkStart w:id="415" w:name="_Toc184314477"/>
      <w:bookmarkEnd w:id="415"/>
      <w:bookmarkStart w:id="416" w:name="_Toc184308089"/>
      <w:bookmarkEnd w:id="416"/>
      <w:bookmarkStart w:id="417" w:name="_Toc184314472"/>
      <w:bookmarkEnd w:id="417"/>
      <w:bookmarkStart w:id="418" w:name="_Toc184314453"/>
      <w:bookmarkEnd w:id="418"/>
      <w:bookmarkStart w:id="419" w:name="_Toc184314441"/>
      <w:bookmarkEnd w:id="419"/>
      <w:bookmarkStart w:id="420" w:name="_Toc184313249"/>
      <w:bookmarkEnd w:id="420"/>
      <w:bookmarkStart w:id="421" w:name="_Toc184313258"/>
      <w:bookmarkEnd w:id="421"/>
      <w:bookmarkStart w:id="422" w:name="_Toc184312097"/>
      <w:bookmarkEnd w:id="422"/>
      <w:bookmarkStart w:id="423" w:name="_Toc184313305"/>
      <w:bookmarkEnd w:id="423"/>
      <w:bookmarkStart w:id="424" w:name="第四部分"/>
      <w:r>
        <w:rPr>
          <w:rFonts w:hint="eastAsia" w:ascii="宋体" w:hAnsi="宋体" w:cs="宋体"/>
          <w:b/>
          <w:color w:val="auto"/>
          <w:sz w:val="36"/>
          <w:szCs w:val="36"/>
          <w:highlight w:val="none"/>
        </w:rPr>
        <w:t xml:space="preserve"> 评标办法及评分标准</w:t>
      </w:r>
      <w:bookmarkEnd w:id="58"/>
    </w:p>
    <w:p w14:paraId="55909230">
      <w:pPr>
        <w:pStyle w:val="4"/>
        <w:spacing w:line="360" w:lineRule="auto"/>
        <w:jc w:val="center"/>
        <w:rPr>
          <w:rFonts w:hAnsi="宋体" w:cs="宋体"/>
          <w:bCs/>
          <w:color w:val="auto"/>
          <w:highlight w:val="none"/>
        </w:rPr>
      </w:pPr>
      <w:bookmarkStart w:id="425" w:name="_Toc1764"/>
      <w:r>
        <w:rPr>
          <w:rFonts w:hint="eastAsia" w:hAnsi="宋体" w:cs="宋体"/>
          <w:bCs/>
          <w:color w:val="auto"/>
          <w:highlight w:val="none"/>
        </w:rPr>
        <w:t>第一章　评标办法</w:t>
      </w:r>
      <w:bookmarkEnd w:id="425"/>
    </w:p>
    <w:p w14:paraId="0CF27405">
      <w:pPr>
        <w:spacing w:line="336"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一、本次招标将按下列第</w:t>
      </w:r>
      <w:r>
        <w:rPr>
          <w:rFonts w:hint="eastAsia" w:ascii="宋体" w:hAnsi="宋体" w:cs="宋体"/>
          <w:b/>
          <w:bCs/>
          <w:color w:val="auto"/>
          <w:sz w:val="24"/>
          <w:highlight w:val="none"/>
          <w:u w:val="single"/>
        </w:rPr>
        <w:t>　1　</w:t>
      </w:r>
      <w:r>
        <w:rPr>
          <w:rFonts w:hint="eastAsia" w:ascii="宋体" w:hAnsi="宋体" w:cs="宋体"/>
          <w:b/>
          <w:bCs/>
          <w:color w:val="auto"/>
          <w:sz w:val="24"/>
          <w:highlight w:val="none"/>
        </w:rPr>
        <w:t>种评标办法进行评标：</w:t>
      </w:r>
    </w:p>
    <w:p w14:paraId="158C4C85">
      <w:pPr>
        <w:spacing w:line="336"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综合评分法。即在最大限度地满足招标文件实质性要求的前提下，按照《评分标准》规定的评分因素对各投标人的投标文件进行综合评审，以技术分、资信分、商务分总得分最高的投标人作为中标候选人。如最高总得分相同的，以报价低者作为中标候选人。如最高总得分且报价相同的，以技术指标优者作为中标候选人；无法确定技术指标优劣的，则抽签确定中标候选人。</w:t>
      </w:r>
    </w:p>
    <w:p w14:paraId="514BD2BF">
      <w:pPr>
        <w:spacing w:line="336"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最低评标价法。即在全部满足招标文件实质性要求的前提下，以评审后最低评标价的投标人作为中标候选人。如最低报价相同的，以技术指标优者作为中标候选人；无法确定技术指标优劣的，则抽签确定中标候选人。</w:t>
      </w:r>
    </w:p>
    <w:p w14:paraId="3A9AAD3E">
      <w:pPr>
        <w:spacing w:line="360" w:lineRule="auto"/>
        <w:ind w:firstLine="480" w:firstLineChars="200"/>
        <w:rPr>
          <w:rFonts w:ascii="宋体" w:hAnsi="宋体" w:cs="宋体"/>
          <w:color w:val="auto"/>
          <w:sz w:val="24"/>
          <w:szCs w:val="21"/>
          <w:highlight w:val="none"/>
        </w:rPr>
      </w:pPr>
      <w:r>
        <w:rPr>
          <w:rFonts w:hint="eastAsia" w:ascii="宋体" w:hAnsi="宋体" w:cs="宋体"/>
          <w:color w:val="auto"/>
          <w:sz w:val="24"/>
          <w:highlight w:val="none"/>
        </w:rPr>
        <w:t>本次评标采用百分制计分，计算时四舍五入保留到小数点后两位。</w:t>
      </w:r>
    </w:p>
    <w:p w14:paraId="23A9E0AB">
      <w:pPr>
        <w:spacing w:line="360" w:lineRule="auto"/>
        <w:ind w:firstLine="480" w:firstLineChars="200"/>
        <w:rPr>
          <w:rFonts w:ascii="宋体" w:hAnsi="宋体" w:cs="宋体"/>
          <w:color w:val="auto"/>
          <w:sz w:val="24"/>
          <w:szCs w:val="21"/>
          <w:highlight w:val="none"/>
        </w:rPr>
      </w:pPr>
    </w:p>
    <w:p w14:paraId="7883B968">
      <w:pPr>
        <w:pStyle w:val="4"/>
        <w:spacing w:line="360" w:lineRule="auto"/>
        <w:jc w:val="center"/>
        <w:rPr>
          <w:rFonts w:hAnsi="宋体" w:cs="宋体"/>
          <w:color w:val="auto"/>
          <w:highlight w:val="none"/>
        </w:rPr>
      </w:pPr>
      <w:r>
        <w:rPr>
          <w:rFonts w:hint="eastAsia" w:hAnsi="宋体" w:cs="宋体"/>
          <w:color w:val="auto"/>
          <w:highlight w:val="none"/>
        </w:rPr>
        <w:t>第二章　评分标准</w:t>
      </w:r>
    </w:p>
    <w:p w14:paraId="15033BB6">
      <w:pPr>
        <w:spacing w:line="360" w:lineRule="auto"/>
        <w:ind w:firstLine="482" w:firstLineChars="200"/>
        <w:rPr>
          <w:rFonts w:ascii="宋体" w:hAnsi="宋体"/>
          <w:b/>
          <w:bCs/>
          <w:color w:val="auto"/>
          <w:sz w:val="24"/>
          <w:szCs w:val="21"/>
          <w:highlight w:val="none"/>
        </w:rPr>
      </w:pPr>
      <w:r>
        <w:rPr>
          <w:rFonts w:hint="eastAsia" w:ascii="宋体" w:hAnsi="宋体"/>
          <w:b/>
          <w:bCs/>
          <w:color w:val="auto"/>
          <w:sz w:val="24"/>
          <w:szCs w:val="21"/>
          <w:highlight w:val="none"/>
        </w:rPr>
        <w:t>一、报价文件评分标准（</w:t>
      </w:r>
      <w:r>
        <w:rPr>
          <w:rFonts w:hint="eastAsia" w:ascii="宋体" w:hAnsi="宋体"/>
          <w:b/>
          <w:bCs/>
          <w:color w:val="auto"/>
          <w:sz w:val="24"/>
          <w:szCs w:val="21"/>
          <w:highlight w:val="none"/>
          <w:lang w:val="en-US" w:eastAsia="zh-CN"/>
        </w:rPr>
        <w:t>60</w:t>
      </w:r>
      <w:r>
        <w:rPr>
          <w:rFonts w:hint="eastAsia" w:ascii="宋体" w:hAnsi="宋体"/>
          <w:b/>
          <w:bCs/>
          <w:color w:val="auto"/>
          <w:sz w:val="24"/>
          <w:szCs w:val="21"/>
          <w:highlight w:val="none"/>
        </w:rPr>
        <w:t>分）</w:t>
      </w:r>
    </w:p>
    <w:p w14:paraId="722C9AA8">
      <w:pPr>
        <w:spacing w:line="336" w:lineRule="auto"/>
        <w:ind w:firstLine="480" w:firstLineChars="200"/>
        <w:rPr>
          <w:rFonts w:ascii="宋体" w:hAnsi="宋体"/>
          <w:color w:val="auto"/>
          <w:sz w:val="24"/>
          <w:highlight w:val="none"/>
        </w:rPr>
      </w:pPr>
      <w:r>
        <w:rPr>
          <w:rFonts w:hint="eastAsia" w:ascii="宋体" w:hAnsi="宋体"/>
          <w:color w:val="auto"/>
          <w:sz w:val="24"/>
          <w:highlight w:val="none"/>
        </w:rPr>
        <w:t>报价文件主要是对投标人的有效报价进行评议，其评分标准及分值设置规则如下：</w:t>
      </w:r>
    </w:p>
    <w:p w14:paraId="2ACE4A6B">
      <w:pPr>
        <w:spacing w:line="336" w:lineRule="auto"/>
        <w:ind w:firstLine="480" w:firstLineChars="200"/>
        <w:rPr>
          <w:rFonts w:ascii="宋体" w:hAnsi="宋体"/>
          <w:color w:val="auto"/>
          <w:sz w:val="24"/>
          <w:highlight w:val="none"/>
        </w:rPr>
      </w:pPr>
      <w:r>
        <w:rPr>
          <w:rFonts w:hint="eastAsia" w:ascii="宋体" w:hAnsi="宋体"/>
          <w:color w:val="auto"/>
          <w:sz w:val="24"/>
          <w:highlight w:val="none"/>
        </w:rPr>
        <w:t>1.本次招标最高限价规定如下：</w:t>
      </w:r>
    </w:p>
    <w:p w14:paraId="448FBF4E">
      <w:pPr>
        <w:spacing w:line="360" w:lineRule="auto"/>
        <w:ind w:firstLine="482" w:firstLineChars="200"/>
      </w:pPr>
      <w:r>
        <w:rPr>
          <w:rFonts w:hint="eastAsia" w:ascii="宋体" w:hAnsi="宋体"/>
          <w:b/>
          <w:bCs/>
          <w:color w:val="auto"/>
          <w:sz w:val="24"/>
          <w:szCs w:val="21"/>
          <w:highlight w:val="none"/>
        </w:rPr>
        <w:t>本项目投标</w:t>
      </w:r>
      <w:r>
        <w:rPr>
          <w:rFonts w:hint="eastAsia" w:ascii="宋体" w:hAnsi="宋体"/>
          <w:b/>
          <w:bCs/>
          <w:color w:val="auto"/>
          <w:sz w:val="24"/>
          <w:szCs w:val="21"/>
          <w:highlight w:val="none"/>
          <w:lang w:val="en-US" w:eastAsia="zh-CN"/>
        </w:rPr>
        <w:t>总</w:t>
      </w:r>
      <w:r>
        <w:rPr>
          <w:rFonts w:hint="eastAsia" w:ascii="宋体" w:hAnsi="宋体"/>
          <w:b/>
          <w:bCs/>
          <w:color w:val="auto"/>
          <w:sz w:val="24"/>
          <w:szCs w:val="21"/>
          <w:highlight w:val="none"/>
        </w:rPr>
        <w:t>报价的</w:t>
      </w:r>
      <w:r>
        <w:rPr>
          <w:rFonts w:hint="eastAsia" w:ascii="宋体" w:hAnsi="宋体"/>
          <w:b/>
          <w:bCs/>
          <w:color w:val="auto"/>
          <w:sz w:val="24"/>
          <w:szCs w:val="21"/>
          <w:highlight w:val="none"/>
          <w:lang w:val="en-US" w:eastAsia="zh-CN"/>
        </w:rPr>
        <w:t>最高限</w:t>
      </w:r>
      <w:r>
        <w:rPr>
          <w:rFonts w:hint="eastAsia" w:ascii="宋体" w:hAnsi="宋体"/>
          <w:b/>
          <w:bCs/>
          <w:color w:val="auto"/>
          <w:sz w:val="24"/>
          <w:szCs w:val="21"/>
          <w:highlight w:val="none"/>
        </w:rPr>
        <w:t>价为人民币</w:t>
      </w:r>
      <w:r>
        <w:rPr>
          <w:rFonts w:hint="eastAsia" w:ascii="宋体" w:hAnsi="宋体"/>
          <w:b/>
          <w:bCs/>
          <w:color w:val="auto"/>
          <w:sz w:val="24"/>
          <w:szCs w:val="21"/>
          <w:highlight w:val="none"/>
          <w:u w:val="single"/>
          <w:lang w:val="en-US" w:eastAsia="zh-CN"/>
        </w:rPr>
        <w:t xml:space="preserve"> 壹佰壹拾叁万 </w:t>
      </w:r>
      <w:r>
        <w:rPr>
          <w:rFonts w:hint="eastAsia" w:ascii="宋体" w:hAnsi="宋体"/>
          <w:b/>
          <w:bCs/>
          <w:color w:val="auto"/>
          <w:sz w:val="24"/>
          <w:szCs w:val="21"/>
          <w:highlight w:val="none"/>
          <w:u w:val="none"/>
        </w:rPr>
        <w:t>元整</w:t>
      </w:r>
      <w:r>
        <w:rPr>
          <w:rFonts w:hint="eastAsia" w:ascii="宋体" w:hAnsi="宋体"/>
          <w:b/>
          <w:bCs/>
          <w:color w:val="auto"/>
          <w:sz w:val="24"/>
          <w:szCs w:val="21"/>
          <w:highlight w:val="none"/>
        </w:rPr>
        <w:t>（小写</w:t>
      </w:r>
      <w:r>
        <w:rPr>
          <w:rFonts w:hint="eastAsia" w:ascii="宋体" w:hAnsi="宋体"/>
          <w:b/>
          <w:bCs/>
          <w:color w:val="auto"/>
          <w:sz w:val="24"/>
          <w:szCs w:val="21"/>
          <w:highlight w:val="none"/>
          <w:u w:val="single"/>
          <w:lang w:val="en-US" w:eastAsia="zh-CN"/>
        </w:rPr>
        <w:t xml:space="preserve"> 1130000.00 </w:t>
      </w:r>
      <w:r>
        <w:rPr>
          <w:rFonts w:hint="eastAsia" w:ascii="宋体" w:hAnsi="宋体"/>
          <w:b/>
          <w:bCs/>
          <w:color w:val="auto"/>
          <w:sz w:val="24"/>
          <w:szCs w:val="21"/>
          <w:highlight w:val="none"/>
        </w:rPr>
        <w:t>元）</w:t>
      </w:r>
      <w:r>
        <w:rPr>
          <w:rFonts w:hint="eastAsia" w:ascii="宋体" w:hAnsi="宋体"/>
          <w:b/>
          <w:bCs/>
          <w:color w:val="auto"/>
          <w:sz w:val="24"/>
          <w:szCs w:val="21"/>
          <w:highlight w:val="none"/>
          <w:lang w:val="en-US" w:eastAsia="zh-CN"/>
        </w:rPr>
        <w:t>。</w:t>
      </w:r>
    </w:p>
    <w:p w14:paraId="78FD81B1">
      <w:pPr>
        <w:spacing w:line="360" w:lineRule="auto"/>
        <w:ind w:firstLine="480" w:firstLineChars="200"/>
        <w:rPr>
          <w:rFonts w:ascii="宋体" w:hAnsi="宋体"/>
          <w:color w:val="auto"/>
          <w:sz w:val="24"/>
          <w:szCs w:val="21"/>
          <w:highlight w:val="none"/>
        </w:rPr>
      </w:pPr>
      <w:r>
        <w:rPr>
          <w:rFonts w:hint="eastAsia" w:ascii="宋体" w:hAnsi="宋体"/>
          <w:color w:val="auto"/>
          <w:sz w:val="24"/>
          <w:szCs w:val="21"/>
          <w:highlight w:val="none"/>
        </w:rPr>
        <w:t>2.投标人的报价在最高限价内的，为有效报价。</w:t>
      </w:r>
    </w:p>
    <w:p w14:paraId="0715D52A">
      <w:pPr>
        <w:spacing w:line="360" w:lineRule="auto"/>
        <w:ind w:firstLine="480" w:firstLineChars="200"/>
        <w:rPr>
          <w:rFonts w:ascii="宋体" w:hAnsi="宋体"/>
          <w:color w:val="auto"/>
          <w:sz w:val="24"/>
          <w:szCs w:val="21"/>
          <w:highlight w:val="none"/>
        </w:rPr>
      </w:pPr>
      <w:r>
        <w:rPr>
          <w:rFonts w:hint="eastAsia" w:ascii="宋体" w:hAnsi="宋体"/>
          <w:color w:val="auto"/>
          <w:sz w:val="24"/>
          <w:szCs w:val="21"/>
          <w:highlight w:val="none"/>
        </w:rPr>
        <w:t>3.本次评标设有最佳报价。最佳报价确定方式：根据所有入围投标人有效报价中的</w:t>
      </w:r>
      <w:r>
        <w:rPr>
          <w:rFonts w:hint="eastAsia" w:ascii="宋体" w:hAnsi="宋体"/>
          <w:color w:val="auto"/>
          <w:sz w:val="24"/>
          <w:szCs w:val="21"/>
          <w:highlight w:val="none"/>
          <w:lang w:eastAsia="zh-CN"/>
        </w:rPr>
        <w:t>不含税</w:t>
      </w:r>
      <w:r>
        <w:rPr>
          <w:rFonts w:hint="eastAsia" w:ascii="宋体" w:hAnsi="宋体"/>
          <w:color w:val="auto"/>
          <w:sz w:val="24"/>
          <w:szCs w:val="21"/>
          <w:highlight w:val="none"/>
        </w:rPr>
        <w:t>最低报价作为最佳报价。</w:t>
      </w:r>
    </w:p>
    <w:p w14:paraId="20D30AC4">
      <w:pPr>
        <w:spacing w:line="360" w:lineRule="auto"/>
        <w:ind w:firstLine="480" w:firstLineChars="200"/>
        <w:rPr>
          <w:rFonts w:ascii="宋体" w:hAnsi="宋体"/>
          <w:color w:val="auto"/>
          <w:sz w:val="24"/>
          <w:szCs w:val="21"/>
          <w:highlight w:val="none"/>
        </w:rPr>
      </w:pPr>
      <w:r>
        <w:rPr>
          <w:rFonts w:hint="eastAsia" w:ascii="宋体" w:hAnsi="宋体"/>
          <w:color w:val="auto"/>
          <w:sz w:val="24"/>
          <w:szCs w:val="21"/>
          <w:highlight w:val="none"/>
        </w:rPr>
        <w:t>4.最佳报价者的报价分为满分，其他投标人的有效</w:t>
      </w:r>
      <w:r>
        <w:rPr>
          <w:rFonts w:hint="eastAsia" w:ascii="宋体" w:hAnsi="宋体"/>
          <w:color w:val="auto"/>
          <w:sz w:val="24"/>
          <w:szCs w:val="21"/>
          <w:highlight w:val="none"/>
          <w:lang w:eastAsia="zh-CN"/>
        </w:rPr>
        <w:t>不含税</w:t>
      </w:r>
      <w:r>
        <w:rPr>
          <w:rFonts w:hint="eastAsia" w:ascii="宋体" w:hAnsi="宋体"/>
          <w:color w:val="auto"/>
          <w:sz w:val="24"/>
          <w:szCs w:val="21"/>
          <w:highlight w:val="none"/>
        </w:rPr>
        <w:t>报价与最佳</w:t>
      </w:r>
      <w:r>
        <w:rPr>
          <w:rFonts w:hint="eastAsia" w:ascii="宋体" w:hAnsi="宋体"/>
          <w:color w:val="auto"/>
          <w:sz w:val="24"/>
          <w:szCs w:val="21"/>
          <w:highlight w:val="none"/>
          <w:lang w:eastAsia="zh-CN"/>
        </w:rPr>
        <w:t>不含税</w:t>
      </w:r>
      <w:r>
        <w:rPr>
          <w:rFonts w:hint="eastAsia" w:ascii="宋体" w:hAnsi="宋体"/>
          <w:color w:val="auto"/>
          <w:sz w:val="24"/>
          <w:szCs w:val="21"/>
          <w:highlight w:val="none"/>
        </w:rPr>
        <w:t>报价相比，按下列方法计算其报价分：</w:t>
      </w:r>
    </w:p>
    <w:p w14:paraId="7EC97677">
      <w:pPr>
        <w:spacing w:line="360" w:lineRule="auto"/>
        <w:ind w:firstLine="480" w:firstLineChars="200"/>
        <w:rPr>
          <w:rFonts w:ascii="宋体" w:hAnsi="宋体"/>
          <w:color w:val="auto"/>
          <w:sz w:val="24"/>
          <w:szCs w:val="21"/>
          <w:highlight w:val="none"/>
        </w:rPr>
      </w:pPr>
      <w:r>
        <w:rPr>
          <w:rFonts w:hint="eastAsia" w:ascii="宋体" w:hAnsi="宋体"/>
          <w:color w:val="auto"/>
          <w:sz w:val="24"/>
          <w:szCs w:val="21"/>
          <w:highlight w:val="none"/>
        </w:rPr>
        <w:t>投标价格分=(最佳</w:t>
      </w:r>
      <w:r>
        <w:rPr>
          <w:rFonts w:hint="eastAsia" w:ascii="宋体" w:hAnsi="宋体"/>
          <w:color w:val="auto"/>
          <w:sz w:val="24"/>
          <w:szCs w:val="21"/>
          <w:highlight w:val="none"/>
          <w:lang w:eastAsia="zh-CN"/>
        </w:rPr>
        <w:t>不含税</w:t>
      </w:r>
      <w:r>
        <w:rPr>
          <w:rFonts w:hint="eastAsia" w:ascii="宋体" w:hAnsi="宋体"/>
          <w:color w:val="auto"/>
          <w:sz w:val="24"/>
          <w:szCs w:val="21"/>
          <w:highlight w:val="none"/>
        </w:rPr>
        <w:t>报价/投标</w:t>
      </w:r>
      <w:r>
        <w:rPr>
          <w:rFonts w:hint="eastAsia" w:ascii="宋体" w:hAnsi="宋体"/>
          <w:color w:val="auto"/>
          <w:sz w:val="24"/>
          <w:szCs w:val="21"/>
          <w:highlight w:val="none"/>
          <w:lang w:eastAsia="zh-CN"/>
        </w:rPr>
        <w:t>不含税</w:t>
      </w:r>
      <w:r>
        <w:rPr>
          <w:rFonts w:hint="eastAsia" w:ascii="宋体" w:hAnsi="宋体"/>
          <w:color w:val="auto"/>
          <w:sz w:val="24"/>
          <w:szCs w:val="21"/>
          <w:highlight w:val="none"/>
        </w:rPr>
        <w:t>报价)*价格权值*100。</w:t>
      </w:r>
    </w:p>
    <w:p w14:paraId="5C01A92F">
      <w:pPr>
        <w:spacing w:line="360" w:lineRule="auto"/>
        <w:ind w:firstLine="480" w:firstLineChars="200"/>
        <w:rPr>
          <w:rFonts w:ascii="宋体" w:hAnsi="宋体"/>
          <w:color w:val="auto"/>
          <w:sz w:val="24"/>
          <w:szCs w:val="21"/>
          <w:highlight w:val="none"/>
        </w:rPr>
      </w:pPr>
      <w:r>
        <w:rPr>
          <w:rFonts w:hint="eastAsia" w:ascii="宋体" w:hAnsi="宋体"/>
          <w:color w:val="auto"/>
          <w:sz w:val="24"/>
          <w:szCs w:val="21"/>
          <w:highlight w:val="none"/>
        </w:rPr>
        <w:t>5.当投标（开标）一览表与投标报价明细表报价不一致时，以投标（开标）一览表为准，报价明细表报价予以修正并由授权代表签字确认，拒绝修正或确认的，则做无效标处理。</w:t>
      </w:r>
    </w:p>
    <w:p w14:paraId="45981FBF">
      <w:pPr>
        <w:spacing w:line="360" w:lineRule="auto"/>
        <w:ind w:firstLine="480" w:firstLineChars="200"/>
        <w:rPr>
          <w:rFonts w:ascii="宋体" w:hAnsi="宋体"/>
          <w:color w:val="auto"/>
          <w:sz w:val="24"/>
          <w:szCs w:val="21"/>
          <w:highlight w:val="none"/>
        </w:rPr>
      </w:pPr>
      <w:r>
        <w:rPr>
          <w:rFonts w:hint="eastAsia" w:ascii="宋体" w:hAnsi="宋体"/>
          <w:color w:val="auto"/>
          <w:sz w:val="24"/>
          <w:szCs w:val="21"/>
          <w:highlight w:val="none"/>
        </w:rPr>
        <w:t>6.投标文件只允许有一个报价，投标报价应按招标文件中相关附表格式填报，该投标报价应与明细报价汇总相等，且不允许出现报价优惠、赠送等字样（明细出现“0”元，视同赠送）,如出现则做</w:t>
      </w:r>
      <w:r>
        <w:rPr>
          <w:rFonts w:hint="eastAsia" w:ascii="宋体" w:hAnsi="宋体"/>
          <w:b/>
          <w:bCs/>
          <w:color w:val="auto"/>
          <w:sz w:val="24"/>
          <w:szCs w:val="21"/>
          <w:highlight w:val="none"/>
        </w:rPr>
        <w:t>无效投标</w:t>
      </w:r>
      <w:r>
        <w:rPr>
          <w:rFonts w:hint="eastAsia" w:ascii="宋体" w:hAnsi="宋体"/>
          <w:color w:val="auto"/>
          <w:sz w:val="24"/>
          <w:szCs w:val="21"/>
          <w:highlight w:val="none"/>
        </w:rPr>
        <w:t>处理。</w:t>
      </w:r>
    </w:p>
    <w:p w14:paraId="50BF997C">
      <w:pPr>
        <w:autoSpaceDE w:val="0"/>
        <w:autoSpaceDN w:val="0"/>
        <w:spacing w:line="360" w:lineRule="auto"/>
        <w:ind w:firstLine="482"/>
        <w:rPr>
          <w:rFonts w:ascii="宋体" w:hAnsi="宋体" w:cs="仿宋_GB2312"/>
          <w:color w:val="auto"/>
          <w:sz w:val="24"/>
          <w:highlight w:val="none"/>
        </w:rPr>
      </w:pPr>
      <w:r>
        <w:rPr>
          <w:rFonts w:hint="eastAsia" w:ascii="宋体" w:hAnsi="宋体"/>
          <w:color w:val="auto"/>
          <w:sz w:val="24"/>
          <w:szCs w:val="21"/>
          <w:highlight w:val="none"/>
        </w:rPr>
        <w:t>7.</w:t>
      </w:r>
      <w:r>
        <w:rPr>
          <w:rFonts w:hint="eastAsia" w:ascii="宋体" w:hAnsi="宋体" w:cs="仿宋_GB2312"/>
          <w:b/>
          <w:color w:val="auto"/>
          <w:sz w:val="24"/>
          <w:highlight w:val="none"/>
        </w:rPr>
        <w:t>投标价格的合理性</w:t>
      </w:r>
      <w:r>
        <w:rPr>
          <w:rFonts w:hint="eastAsia" w:ascii="宋体" w:hAnsi="宋体" w:cs="仿宋_GB2312"/>
          <w:color w:val="auto"/>
          <w:sz w:val="24"/>
          <w:highlight w:val="none"/>
        </w:rPr>
        <w:t>：</w:t>
      </w:r>
      <w:r>
        <w:rPr>
          <w:rFonts w:ascii="Arial" w:hAnsi="Arial" w:cs="Arial"/>
          <w:color w:val="auto"/>
          <w:sz w:val="24"/>
          <w:highlight w:val="none"/>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1030F082">
      <w:pPr>
        <w:shd w:val="clear"/>
        <w:spacing w:line="360" w:lineRule="auto"/>
        <w:ind w:firstLine="482" w:firstLineChars="200"/>
        <w:rPr>
          <w:rFonts w:ascii="宋体" w:hAnsi="宋体"/>
          <w:b/>
          <w:bCs/>
          <w:color w:val="auto"/>
          <w:sz w:val="24"/>
          <w:szCs w:val="21"/>
          <w:highlight w:val="none"/>
        </w:rPr>
      </w:pPr>
      <w:r>
        <w:rPr>
          <w:rFonts w:hint="eastAsia" w:ascii="宋体" w:hAnsi="宋体"/>
          <w:b/>
          <w:bCs/>
          <w:color w:val="auto"/>
          <w:sz w:val="24"/>
          <w:szCs w:val="21"/>
          <w:highlight w:val="none"/>
        </w:rPr>
        <w:t>二.商务技术文件评标内容及标准（</w:t>
      </w:r>
      <w:r>
        <w:rPr>
          <w:rFonts w:hint="eastAsia" w:ascii="宋体" w:hAnsi="宋体"/>
          <w:b/>
          <w:bCs/>
          <w:color w:val="auto"/>
          <w:sz w:val="24"/>
          <w:szCs w:val="21"/>
          <w:highlight w:val="none"/>
          <w:lang w:val="en-US" w:eastAsia="zh-CN"/>
        </w:rPr>
        <w:t>40</w:t>
      </w:r>
      <w:r>
        <w:rPr>
          <w:rFonts w:hint="eastAsia" w:ascii="宋体" w:hAnsi="宋体"/>
          <w:b/>
          <w:bCs/>
          <w:color w:val="auto"/>
          <w:sz w:val="24"/>
          <w:szCs w:val="21"/>
          <w:highlight w:val="none"/>
        </w:rPr>
        <w:t>分）</w:t>
      </w:r>
    </w:p>
    <w:bookmarkEnd w:id="424"/>
    <w:p w14:paraId="765452A0">
      <w:pPr>
        <w:shd w:val="clear"/>
        <w:spacing w:line="360" w:lineRule="auto"/>
        <w:ind w:firstLine="480" w:firstLineChars="200"/>
        <w:rPr>
          <w:rFonts w:hint="eastAsia" w:ascii="宋体" w:hAnsi="宋体" w:cs="宋体"/>
          <w:color w:val="auto"/>
          <w:sz w:val="24"/>
          <w:szCs w:val="21"/>
          <w:highlight w:val="none"/>
        </w:rPr>
      </w:pPr>
      <w:bookmarkStart w:id="426" w:name="_Toc30926"/>
      <w:bookmarkStart w:id="427" w:name="_Toc29482"/>
      <w:bookmarkStart w:id="428" w:name="_Toc18470"/>
      <w:bookmarkStart w:id="429" w:name="_Toc6373"/>
      <w:bookmarkStart w:id="430" w:name="_Toc14208"/>
      <w:bookmarkStart w:id="431" w:name="_Toc20764"/>
      <w:bookmarkStart w:id="432" w:name="_Toc27332"/>
      <w:bookmarkStart w:id="433" w:name="_Toc86217003"/>
      <w:bookmarkStart w:id="434" w:name="第五部分"/>
      <w:r>
        <w:rPr>
          <w:rFonts w:hint="eastAsia" w:ascii="宋体" w:hAnsi="宋体" w:cs="宋体"/>
          <w:color w:val="auto"/>
          <w:sz w:val="24"/>
          <w:szCs w:val="21"/>
          <w:highlight w:val="none"/>
          <w:lang w:val="en-US" w:eastAsia="zh-CN"/>
        </w:rPr>
        <w:t>1</w:t>
      </w:r>
      <w:r>
        <w:rPr>
          <w:rFonts w:hint="eastAsia" w:ascii="宋体" w:hAnsi="宋体" w:cs="宋体"/>
          <w:color w:val="auto"/>
          <w:sz w:val="24"/>
          <w:szCs w:val="21"/>
          <w:highlight w:val="none"/>
        </w:rPr>
        <w:t>、本次评标设定的</w:t>
      </w:r>
      <w:r>
        <w:rPr>
          <w:rFonts w:hint="eastAsia" w:ascii="宋体" w:hAnsi="宋体" w:cs="宋体"/>
          <w:color w:val="auto"/>
          <w:sz w:val="24"/>
          <w:szCs w:val="21"/>
          <w:highlight w:val="none"/>
          <w:lang w:val="en-US" w:eastAsia="zh-CN"/>
        </w:rPr>
        <w:t>商务</w:t>
      </w:r>
      <w:r>
        <w:rPr>
          <w:rFonts w:hint="eastAsia" w:ascii="宋体" w:hAnsi="宋体" w:cs="宋体"/>
          <w:color w:val="auto"/>
          <w:sz w:val="24"/>
          <w:szCs w:val="21"/>
          <w:highlight w:val="none"/>
        </w:rPr>
        <w:t>评分内容有：</w:t>
      </w:r>
    </w:p>
    <w:tbl>
      <w:tblPr>
        <w:tblStyle w:val="30"/>
        <w:tblW w:w="95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0"/>
        <w:gridCol w:w="7242"/>
        <w:gridCol w:w="970"/>
      </w:tblGrid>
      <w:tr w14:paraId="7E13A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jc w:val="center"/>
        </w:trPr>
        <w:tc>
          <w:tcPr>
            <w:tcW w:w="1300" w:type="dxa"/>
            <w:tcBorders>
              <w:top w:val="single" w:color="auto" w:sz="4" w:space="0"/>
              <w:left w:val="single" w:color="auto" w:sz="4" w:space="0"/>
              <w:bottom w:val="single" w:color="auto" w:sz="4" w:space="0"/>
              <w:right w:val="single" w:color="auto" w:sz="4" w:space="0"/>
            </w:tcBorders>
            <w:noWrap w:val="0"/>
            <w:vAlign w:val="center"/>
          </w:tcPr>
          <w:p w14:paraId="3D6A94F8">
            <w:pPr>
              <w:shd w:val="clear" w:color="auto" w:fill="auto"/>
              <w:jc w:val="center"/>
              <w:rPr>
                <w:rFonts w:ascii="宋体" w:hAnsi="宋体"/>
                <w:b/>
                <w:sz w:val="24"/>
              </w:rPr>
            </w:pPr>
            <w:r>
              <w:rPr>
                <w:rFonts w:hint="eastAsia" w:ascii="宋体" w:hAnsi="宋体" w:cs="宋体"/>
                <w:b/>
                <w:bCs/>
                <w:sz w:val="24"/>
                <w:szCs w:val="21"/>
              </w:rPr>
              <w:t>项目</w:t>
            </w:r>
          </w:p>
        </w:tc>
        <w:tc>
          <w:tcPr>
            <w:tcW w:w="7242" w:type="dxa"/>
            <w:tcBorders>
              <w:top w:val="single" w:color="auto" w:sz="4" w:space="0"/>
              <w:left w:val="single" w:color="auto" w:sz="4" w:space="0"/>
              <w:bottom w:val="single" w:color="auto" w:sz="4" w:space="0"/>
              <w:right w:val="single" w:color="auto" w:sz="4" w:space="0"/>
            </w:tcBorders>
            <w:noWrap w:val="0"/>
            <w:vAlign w:val="center"/>
          </w:tcPr>
          <w:p w14:paraId="49CF5207">
            <w:pPr>
              <w:shd w:val="clear" w:color="auto" w:fill="auto"/>
              <w:jc w:val="center"/>
              <w:rPr>
                <w:rFonts w:ascii="宋体" w:hAnsi="宋体"/>
                <w:b/>
                <w:sz w:val="24"/>
              </w:rPr>
            </w:pPr>
            <w:r>
              <w:rPr>
                <w:rFonts w:hint="eastAsia" w:ascii="宋体" w:hAnsi="宋体" w:cs="宋体"/>
                <w:b/>
                <w:bCs/>
                <w:sz w:val="24"/>
                <w:szCs w:val="21"/>
              </w:rPr>
              <w:t>评分内容和标准</w:t>
            </w:r>
          </w:p>
        </w:tc>
        <w:tc>
          <w:tcPr>
            <w:tcW w:w="970" w:type="dxa"/>
            <w:tcBorders>
              <w:top w:val="single" w:color="auto" w:sz="4" w:space="0"/>
              <w:left w:val="single" w:color="auto" w:sz="4" w:space="0"/>
              <w:bottom w:val="single" w:color="auto" w:sz="4" w:space="0"/>
              <w:right w:val="single" w:color="auto" w:sz="4" w:space="0"/>
            </w:tcBorders>
            <w:noWrap w:val="0"/>
            <w:vAlign w:val="center"/>
          </w:tcPr>
          <w:p w14:paraId="0E1E069B">
            <w:pPr>
              <w:shd w:val="clear" w:color="auto" w:fill="auto"/>
              <w:jc w:val="center"/>
              <w:rPr>
                <w:rFonts w:ascii="宋体" w:hAnsi="宋体"/>
                <w:b/>
                <w:sz w:val="24"/>
              </w:rPr>
            </w:pPr>
            <w:r>
              <w:rPr>
                <w:rFonts w:hint="eastAsia" w:ascii="宋体" w:hAnsi="宋体" w:cs="宋体"/>
                <w:b/>
                <w:bCs/>
                <w:sz w:val="24"/>
                <w:szCs w:val="21"/>
              </w:rPr>
              <w:t>总分</w:t>
            </w:r>
          </w:p>
        </w:tc>
      </w:tr>
      <w:tr w14:paraId="5D331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76" w:hRule="atLeast"/>
          <w:jc w:val="center"/>
        </w:trPr>
        <w:tc>
          <w:tcPr>
            <w:tcW w:w="1300" w:type="dxa"/>
            <w:tcBorders>
              <w:top w:val="single" w:color="auto" w:sz="4" w:space="0"/>
              <w:left w:val="single" w:color="auto" w:sz="4" w:space="0"/>
              <w:bottom w:val="single" w:color="auto" w:sz="4" w:space="0"/>
              <w:right w:val="single" w:color="auto" w:sz="4" w:space="0"/>
            </w:tcBorders>
            <w:noWrap w:val="0"/>
            <w:vAlign w:val="center"/>
          </w:tcPr>
          <w:p w14:paraId="1BB76654">
            <w:pPr>
              <w:shd w:val="clear" w:color="auto" w:fill="auto"/>
              <w:spacing w:line="360" w:lineRule="auto"/>
              <w:jc w:val="center"/>
              <w:rPr>
                <w:rFonts w:hint="eastAsia" w:ascii="宋体" w:hAnsi="宋体" w:cs="宋体"/>
                <w:sz w:val="24"/>
                <w:szCs w:val="21"/>
              </w:rPr>
            </w:pPr>
            <w:r>
              <w:rPr>
                <w:rFonts w:hint="eastAsia" w:ascii="宋体" w:hAnsi="宋体" w:cs="宋体"/>
                <w:sz w:val="24"/>
                <w:szCs w:val="21"/>
              </w:rPr>
              <w:t>类似业绩</w:t>
            </w:r>
          </w:p>
        </w:tc>
        <w:tc>
          <w:tcPr>
            <w:tcW w:w="7242" w:type="dxa"/>
            <w:tcBorders>
              <w:top w:val="single" w:color="auto" w:sz="4" w:space="0"/>
              <w:left w:val="single" w:color="auto" w:sz="4" w:space="0"/>
              <w:bottom w:val="single" w:color="auto" w:sz="4" w:space="0"/>
              <w:right w:val="single" w:color="auto" w:sz="4" w:space="0"/>
            </w:tcBorders>
            <w:noWrap w:val="0"/>
            <w:vAlign w:val="center"/>
          </w:tcPr>
          <w:p w14:paraId="7D0DA20D">
            <w:pPr>
              <w:shd w:val="clear" w:color="auto" w:fill="auto"/>
              <w:spacing w:line="360" w:lineRule="auto"/>
              <w:ind w:firstLine="480" w:firstLineChars="200"/>
              <w:rPr>
                <w:rFonts w:hint="eastAsia" w:ascii="宋体" w:hAnsi="宋体" w:cs="宋体"/>
                <w:sz w:val="24"/>
                <w:szCs w:val="21"/>
              </w:rPr>
            </w:pPr>
            <w:r>
              <w:rPr>
                <w:rFonts w:hint="eastAsia" w:ascii="宋体" w:hAnsi="宋体" w:eastAsia="宋体" w:cs="宋体"/>
                <w:b w:val="0"/>
                <w:bCs w:val="0"/>
                <w:color w:val="auto"/>
                <w:sz w:val="24"/>
                <w:szCs w:val="24"/>
                <w:highlight w:val="none"/>
                <w:lang w:val="en-US" w:eastAsia="zh-CN"/>
              </w:rPr>
              <w:t>投标人</w:t>
            </w:r>
            <w:r>
              <w:rPr>
                <w:rFonts w:hint="eastAsia" w:ascii="宋体" w:hAnsi="宋体" w:cs="宋体"/>
                <w:sz w:val="24"/>
                <w:szCs w:val="21"/>
              </w:rPr>
              <w:t>自20</w:t>
            </w:r>
            <w:r>
              <w:rPr>
                <w:rFonts w:hint="eastAsia" w:ascii="宋体" w:hAnsi="宋体" w:cs="宋体"/>
                <w:sz w:val="24"/>
                <w:szCs w:val="21"/>
                <w:lang w:val="en-US" w:eastAsia="zh-CN"/>
              </w:rPr>
              <w:t>22</w:t>
            </w:r>
            <w:r>
              <w:rPr>
                <w:rFonts w:hint="eastAsia" w:ascii="宋体" w:hAnsi="宋体" w:cs="宋体"/>
                <w:sz w:val="24"/>
                <w:szCs w:val="21"/>
              </w:rPr>
              <w:t>年1月1日以来（以合同签订为准）完成过类似业绩</w:t>
            </w:r>
            <w:r>
              <w:rPr>
                <w:rFonts w:hint="eastAsia" w:ascii="宋体" w:hAnsi="宋体" w:cs="宋体"/>
                <w:sz w:val="24"/>
                <w:szCs w:val="21"/>
                <w:lang w:val="en-US" w:eastAsia="zh-CN"/>
              </w:rPr>
              <w:t>(搅拌机供货业绩或提升改造业绩均可）</w:t>
            </w:r>
            <w:r>
              <w:rPr>
                <w:rFonts w:hint="eastAsia" w:ascii="宋体" w:hAnsi="宋体" w:cs="宋体"/>
                <w:sz w:val="24"/>
                <w:szCs w:val="21"/>
              </w:rPr>
              <w:t>的每提供一个得1分，最高得</w:t>
            </w:r>
            <w:r>
              <w:rPr>
                <w:rFonts w:hint="eastAsia" w:ascii="宋体" w:hAnsi="宋体" w:cs="宋体"/>
                <w:sz w:val="24"/>
                <w:szCs w:val="21"/>
                <w:lang w:val="en-US" w:eastAsia="zh-CN"/>
              </w:rPr>
              <w:t>5</w:t>
            </w:r>
            <w:r>
              <w:rPr>
                <w:rFonts w:hint="eastAsia" w:ascii="宋体" w:hAnsi="宋体" w:cs="宋体"/>
                <w:sz w:val="24"/>
                <w:szCs w:val="21"/>
              </w:rPr>
              <w:t>分。须提供合同复印件并加盖</w:t>
            </w:r>
            <w:r>
              <w:rPr>
                <w:rFonts w:hint="eastAsia" w:ascii="宋体" w:hAnsi="宋体" w:cs="宋体"/>
                <w:sz w:val="24"/>
              </w:rPr>
              <w:t>投标人</w:t>
            </w:r>
            <w:r>
              <w:rPr>
                <w:rFonts w:hint="eastAsia" w:ascii="宋体" w:hAnsi="宋体" w:cs="宋体"/>
                <w:sz w:val="24"/>
                <w:szCs w:val="21"/>
              </w:rPr>
              <w:t>公章。</w:t>
            </w:r>
          </w:p>
        </w:tc>
        <w:tc>
          <w:tcPr>
            <w:tcW w:w="970" w:type="dxa"/>
            <w:tcBorders>
              <w:top w:val="single" w:color="auto" w:sz="4" w:space="0"/>
              <w:left w:val="single" w:color="auto" w:sz="4" w:space="0"/>
              <w:bottom w:val="single" w:color="auto" w:sz="4" w:space="0"/>
              <w:right w:val="single" w:color="auto" w:sz="4" w:space="0"/>
            </w:tcBorders>
            <w:noWrap w:val="0"/>
            <w:vAlign w:val="center"/>
          </w:tcPr>
          <w:p w14:paraId="32334022">
            <w:pPr>
              <w:shd w:val="clear" w:color="auto" w:fill="auto"/>
              <w:spacing w:line="360" w:lineRule="exact"/>
              <w:jc w:val="center"/>
              <w:rPr>
                <w:rFonts w:hint="eastAsia" w:ascii="宋体" w:hAnsi="宋体" w:eastAsia="宋体" w:cs="宋体"/>
                <w:sz w:val="24"/>
                <w:lang w:eastAsia="zh-CN"/>
              </w:rPr>
            </w:pPr>
            <w:r>
              <w:rPr>
                <w:rFonts w:hint="eastAsia" w:ascii="宋体" w:hAnsi="宋体" w:cs="宋体"/>
                <w:sz w:val="24"/>
                <w:lang w:val="en-US" w:eastAsia="zh-CN"/>
              </w:rPr>
              <w:t>5</w:t>
            </w:r>
          </w:p>
        </w:tc>
      </w:tr>
    </w:tbl>
    <w:p w14:paraId="061CE5EC">
      <w:pPr>
        <w:shd w:val="clear"/>
        <w:tabs>
          <w:tab w:val="left" w:pos="840"/>
        </w:tabs>
        <w:spacing w:line="360" w:lineRule="auto"/>
        <w:rPr>
          <w:rFonts w:hint="eastAsia" w:ascii="宋体" w:hAnsi="宋体" w:cs="宋体"/>
          <w:b/>
          <w:color w:val="auto"/>
          <w:sz w:val="24"/>
          <w:highlight w:val="none"/>
        </w:rPr>
      </w:pPr>
      <w:r>
        <w:rPr>
          <w:rFonts w:hint="eastAsia" w:ascii="宋体" w:hAnsi="宋体" w:cs="宋体"/>
          <w:b/>
          <w:color w:val="auto"/>
          <w:sz w:val="24"/>
          <w:highlight w:val="none"/>
        </w:rPr>
        <w:t>注：所有文件、合同等需要真实有效。中标人在中标后签订合同前需提供相关证明文件原件，若发现资料作假的取消中标资格。</w:t>
      </w:r>
    </w:p>
    <w:p w14:paraId="76B94D85">
      <w:pPr>
        <w:shd w:val="clear"/>
        <w:spacing w:line="360" w:lineRule="auto"/>
        <w:ind w:firstLine="480" w:firstLineChars="200"/>
        <w:rPr>
          <w:rFonts w:hint="eastAsia" w:ascii="宋体" w:hAnsi="宋体" w:cs="宋体"/>
          <w:color w:val="auto"/>
          <w:sz w:val="24"/>
          <w:szCs w:val="21"/>
          <w:highlight w:val="none"/>
        </w:rPr>
      </w:pPr>
      <w:r>
        <w:rPr>
          <w:rFonts w:hint="eastAsia" w:ascii="宋体" w:hAnsi="宋体" w:cs="宋体"/>
          <w:color w:val="auto"/>
          <w:sz w:val="24"/>
          <w:szCs w:val="21"/>
          <w:highlight w:val="none"/>
        </w:rPr>
        <w:t>2、本次评标设定的技术评分内容有：</w:t>
      </w:r>
    </w:p>
    <w:tbl>
      <w:tblPr>
        <w:tblStyle w:val="30"/>
        <w:tblW w:w="94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0"/>
        <w:gridCol w:w="7234"/>
        <w:gridCol w:w="973"/>
      </w:tblGrid>
      <w:tr w14:paraId="0AE32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280" w:type="dxa"/>
            <w:noWrap w:val="0"/>
            <w:vAlign w:val="center"/>
          </w:tcPr>
          <w:p w14:paraId="7429F781">
            <w:pPr>
              <w:shd w:val="clear" w:color="auto" w:fill="auto"/>
              <w:spacing w:line="360" w:lineRule="auto"/>
              <w:jc w:val="center"/>
              <w:rPr>
                <w:rFonts w:hint="eastAsia" w:ascii="宋体" w:hAnsi="宋体" w:cs="宋体"/>
                <w:iCs/>
                <w:sz w:val="24"/>
              </w:rPr>
            </w:pPr>
            <w:r>
              <w:rPr>
                <w:rFonts w:hint="eastAsia" w:ascii="宋体" w:hAnsi="宋体" w:cs="宋体"/>
                <w:b/>
                <w:bCs/>
                <w:sz w:val="24"/>
              </w:rPr>
              <w:t>评审因素</w:t>
            </w:r>
          </w:p>
        </w:tc>
        <w:tc>
          <w:tcPr>
            <w:tcW w:w="7234" w:type="dxa"/>
            <w:noWrap w:val="0"/>
            <w:vAlign w:val="center"/>
          </w:tcPr>
          <w:p w14:paraId="3CE319A2">
            <w:pPr>
              <w:shd w:val="clear" w:color="auto" w:fill="auto"/>
              <w:spacing w:line="360" w:lineRule="auto"/>
              <w:jc w:val="center"/>
              <w:rPr>
                <w:rFonts w:hint="eastAsia" w:ascii="宋体" w:hAnsi="宋体" w:cs="宋体"/>
                <w:b/>
                <w:bCs/>
                <w:sz w:val="24"/>
              </w:rPr>
            </w:pPr>
            <w:r>
              <w:rPr>
                <w:rFonts w:hint="eastAsia" w:ascii="宋体" w:hAnsi="宋体" w:cs="宋体"/>
                <w:b/>
                <w:bCs/>
                <w:sz w:val="24"/>
              </w:rPr>
              <w:t>评分标准说明</w:t>
            </w:r>
          </w:p>
        </w:tc>
        <w:tc>
          <w:tcPr>
            <w:tcW w:w="973" w:type="dxa"/>
            <w:noWrap w:val="0"/>
            <w:vAlign w:val="center"/>
          </w:tcPr>
          <w:p w14:paraId="7DC7A4E7">
            <w:pPr>
              <w:shd w:val="clear" w:color="auto" w:fill="auto"/>
              <w:spacing w:line="360" w:lineRule="auto"/>
              <w:jc w:val="center"/>
              <w:rPr>
                <w:rFonts w:hint="eastAsia" w:ascii="宋体" w:hAnsi="宋体" w:cs="宋体"/>
                <w:iCs/>
                <w:sz w:val="24"/>
              </w:rPr>
            </w:pPr>
            <w:r>
              <w:rPr>
                <w:rFonts w:hint="eastAsia" w:ascii="宋体" w:hAnsi="宋体" w:cs="宋体"/>
                <w:b/>
                <w:bCs/>
                <w:sz w:val="24"/>
              </w:rPr>
              <w:t>分值</w:t>
            </w:r>
          </w:p>
        </w:tc>
      </w:tr>
      <w:tr w14:paraId="40814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 w:hRule="atLeast"/>
          <w:jc w:val="center"/>
        </w:trPr>
        <w:tc>
          <w:tcPr>
            <w:tcW w:w="1280" w:type="dxa"/>
            <w:vMerge w:val="restart"/>
            <w:noWrap w:val="0"/>
            <w:vAlign w:val="center"/>
          </w:tcPr>
          <w:p w14:paraId="11DCEA8F">
            <w:pPr>
              <w:widowControl/>
              <w:shd w:val="clear" w:color="auto" w:fill="auto"/>
              <w:tabs>
                <w:tab w:val="left" w:pos="432"/>
              </w:tabs>
              <w:spacing w:line="360" w:lineRule="auto"/>
              <w:jc w:val="center"/>
              <w:rPr>
                <w:rFonts w:hint="eastAsia" w:ascii="宋体" w:hAnsi="宋体" w:cs="宋体"/>
                <w:sz w:val="24"/>
              </w:rPr>
            </w:pPr>
            <w:r>
              <w:rPr>
                <w:rFonts w:hint="eastAsia" w:ascii="宋体" w:hAnsi="宋体" w:cs="宋体"/>
                <w:sz w:val="24"/>
                <w:lang w:eastAsia="zh-CN"/>
              </w:rPr>
              <w:t>维修改造</w:t>
            </w:r>
            <w:r>
              <w:rPr>
                <w:rFonts w:hint="eastAsia" w:ascii="宋体" w:hAnsi="宋体" w:cs="宋体"/>
                <w:sz w:val="24"/>
              </w:rPr>
              <w:t>方案</w:t>
            </w:r>
          </w:p>
        </w:tc>
        <w:tc>
          <w:tcPr>
            <w:tcW w:w="7234" w:type="dxa"/>
            <w:noWrap w:val="0"/>
            <w:vAlign w:val="center"/>
          </w:tcPr>
          <w:p w14:paraId="3A9D999F">
            <w:pPr>
              <w:widowControl/>
              <w:shd w:val="clear" w:color="auto" w:fill="auto"/>
              <w:tabs>
                <w:tab w:val="left" w:pos="432"/>
              </w:tabs>
              <w:spacing w:line="360" w:lineRule="auto"/>
              <w:ind w:firstLine="480" w:firstLineChars="200"/>
              <w:jc w:val="both"/>
              <w:rPr>
                <w:rFonts w:hint="eastAsia" w:ascii="宋体" w:hAnsi="宋体" w:eastAsia="宋体" w:cs="宋体"/>
                <w:sz w:val="24"/>
                <w:lang w:eastAsia="zh-CN"/>
              </w:rPr>
            </w:pPr>
            <w:r>
              <w:rPr>
                <w:rFonts w:hint="eastAsia" w:ascii="宋体" w:hAnsi="宋体" w:eastAsia="宋体" w:cs="宋体"/>
                <w:b w:val="0"/>
                <w:bCs w:val="0"/>
                <w:color w:val="auto"/>
                <w:sz w:val="24"/>
                <w:szCs w:val="24"/>
                <w:highlight w:val="none"/>
                <w:lang w:eastAsia="zh-CN"/>
              </w:rPr>
              <w:t>评委</w:t>
            </w:r>
            <w:r>
              <w:rPr>
                <w:rFonts w:hint="eastAsia" w:ascii="宋体" w:hAnsi="宋体" w:eastAsia="宋体" w:cs="宋体"/>
                <w:b w:val="0"/>
                <w:bCs w:val="0"/>
                <w:color w:val="auto"/>
                <w:sz w:val="24"/>
                <w:szCs w:val="24"/>
                <w:highlight w:val="none"/>
              </w:rPr>
              <w:t>根据</w:t>
            </w:r>
            <w:r>
              <w:rPr>
                <w:rFonts w:hint="eastAsia" w:ascii="宋体" w:hAnsi="宋体" w:eastAsia="宋体" w:cs="宋体"/>
                <w:b w:val="0"/>
                <w:bCs w:val="0"/>
                <w:color w:val="auto"/>
                <w:sz w:val="24"/>
                <w:szCs w:val="24"/>
                <w:highlight w:val="none"/>
                <w:lang w:val="en-US" w:eastAsia="zh-CN"/>
              </w:rPr>
              <w:t>投标人</w:t>
            </w:r>
            <w:r>
              <w:rPr>
                <w:rFonts w:hint="eastAsia" w:ascii="宋体" w:hAnsi="宋体" w:eastAsia="宋体" w:cs="宋体"/>
                <w:b w:val="0"/>
                <w:bCs w:val="0"/>
                <w:color w:val="auto"/>
                <w:sz w:val="24"/>
                <w:szCs w:val="24"/>
                <w:highlight w:val="none"/>
              </w:rPr>
              <w:t>提供的详细</w:t>
            </w:r>
            <w:r>
              <w:rPr>
                <w:rFonts w:hint="eastAsia" w:ascii="宋体" w:hAnsi="宋体" w:cs="宋体"/>
                <w:b w:val="0"/>
                <w:bCs w:val="0"/>
                <w:color w:val="auto"/>
                <w:sz w:val="24"/>
                <w:szCs w:val="24"/>
                <w:highlight w:val="none"/>
                <w:lang w:eastAsia="zh-CN"/>
              </w:rPr>
              <w:t>维修改造</w:t>
            </w:r>
            <w:r>
              <w:rPr>
                <w:rFonts w:hint="eastAsia" w:ascii="宋体" w:hAnsi="宋体" w:eastAsia="宋体" w:cs="宋体"/>
                <w:b w:val="0"/>
                <w:bCs w:val="0"/>
                <w:color w:val="auto"/>
                <w:sz w:val="24"/>
                <w:szCs w:val="24"/>
                <w:highlight w:val="none"/>
              </w:rPr>
              <w:t>方案进行</w:t>
            </w:r>
            <w:r>
              <w:rPr>
                <w:rFonts w:hint="eastAsia" w:ascii="宋体" w:hAnsi="宋体" w:eastAsia="宋体" w:cs="宋体"/>
                <w:b w:val="0"/>
                <w:bCs w:val="0"/>
                <w:color w:val="auto"/>
                <w:sz w:val="24"/>
                <w:szCs w:val="24"/>
                <w:highlight w:val="none"/>
                <w:lang w:eastAsia="zh-CN"/>
              </w:rPr>
              <w:t>综合评审。</w:t>
            </w:r>
          </w:p>
        </w:tc>
        <w:tc>
          <w:tcPr>
            <w:tcW w:w="973" w:type="dxa"/>
            <w:noWrap w:val="0"/>
            <w:vAlign w:val="center"/>
          </w:tcPr>
          <w:p w14:paraId="31E0E2BC">
            <w:pPr>
              <w:widowControl/>
              <w:shd w:val="clear" w:color="auto" w:fill="auto"/>
              <w:tabs>
                <w:tab w:val="left" w:pos="432"/>
              </w:tabs>
              <w:spacing w:line="360" w:lineRule="auto"/>
              <w:ind w:firstLine="0" w:firstLineChars="0"/>
              <w:jc w:val="center"/>
              <w:rPr>
                <w:rFonts w:hint="eastAsia" w:ascii="宋体" w:hAnsi="宋体" w:eastAsia="宋体" w:cs="宋体"/>
                <w:sz w:val="24"/>
                <w:lang w:val="en-US" w:eastAsia="zh-CN"/>
              </w:rPr>
            </w:pPr>
            <w:r>
              <w:rPr>
                <w:rFonts w:hint="eastAsia" w:ascii="宋体" w:hAnsi="宋体" w:cs="宋体"/>
                <w:sz w:val="24"/>
                <w:lang w:val="en-US" w:eastAsia="zh-CN"/>
              </w:rPr>
              <w:t>5</w:t>
            </w:r>
          </w:p>
        </w:tc>
      </w:tr>
      <w:tr w14:paraId="119BB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80" w:type="dxa"/>
            <w:vMerge w:val="continue"/>
            <w:noWrap w:val="0"/>
            <w:vAlign w:val="center"/>
          </w:tcPr>
          <w:p w14:paraId="60189714">
            <w:pPr>
              <w:widowControl/>
              <w:shd w:val="clear" w:color="auto" w:fill="auto"/>
              <w:tabs>
                <w:tab w:val="left" w:pos="432"/>
              </w:tabs>
              <w:spacing w:line="360" w:lineRule="auto"/>
              <w:jc w:val="center"/>
              <w:rPr>
                <w:rFonts w:hint="eastAsia" w:ascii="宋体" w:hAnsi="宋体"/>
                <w:sz w:val="24"/>
              </w:rPr>
            </w:pPr>
          </w:p>
        </w:tc>
        <w:tc>
          <w:tcPr>
            <w:tcW w:w="7234" w:type="dxa"/>
            <w:noWrap w:val="0"/>
            <w:vAlign w:val="center"/>
          </w:tcPr>
          <w:p w14:paraId="2D667CAE">
            <w:pPr>
              <w:widowControl/>
              <w:shd w:val="clear" w:color="auto" w:fill="auto"/>
              <w:tabs>
                <w:tab w:val="left" w:pos="432"/>
              </w:tabs>
              <w:spacing w:line="360" w:lineRule="auto"/>
              <w:ind w:firstLine="480" w:firstLineChars="200"/>
              <w:jc w:val="both"/>
              <w:rPr>
                <w:rFonts w:hint="eastAsia" w:ascii="宋体" w:hAnsi="宋体" w:eastAsia="宋体" w:cs="宋体"/>
                <w:sz w:val="24"/>
                <w:lang w:eastAsia="zh-CN"/>
              </w:rPr>
            </w:pPr>
            <w:r>
              <w:rPr>
                <w:rFonts w:hint="eastAsia" w:ascii="宋体" w:hAnsi="宋体" w:eastAsia="宋体" w:cs="宋体"/>
                <w:b w:val="0"/>
                <w:bCs w:val="0"/>
                <w:color w:val="auto"/>
                <w:sz w:val="24"/>
                <w:szCs w:val="24"/>
                <w:highlight w:val="none"/>
                <w:lang w:eastAsia="zh-CN"/>
              </w:rPr>
              <w:t>评委</w:t>
            </w:r>
            <w:r>
              <w:rPr>
                <w:rFonts w:hint="eastAsia" w:ascii="宋体" w:hAnsi="宋体" w:eastAsia="宋体" w:cs="宋体"/>
                <w:b w:val="0"/>
                <w:bCs w:val="0"/>
                <w:color w:val="auto"/>
                <w:sz w:val="24"/>
                <w:szCs w:val="24"/>
                <w:highlight w:val="none"/>
              </w:rPr>
              <w:t>根据</w:t>
            </w:r>
            <w:r>
              <w:rPr>
                <w:rFonts w:hint="eastAsia" w:ascii="宋体" w:hAnsi="宋体" w:eastAsia="宋体" w:cs="宋体"/>
                <w:b w:val="0"/>
                <w:bCs w:val="0"/>
                <w:color w:val="auto"/>
                <w:sz w:val="24"/>
                <w:szCs w:val="24"/>
                <w:highlight w:val="none"/>
                <w:lang w:val="en-US" w:eastAsia="zh-CN"/>
              </w:rPr>
              <w:t>投标人</w:t>
            </w:r>
            <w:r>
              <w:rPr>
                <w:rFonts w:hint="eastAsia" w:ascii="宋体" w:hAnsi="宋体" w:eastAsia="宋体" w:cs="宋体"/>
                <w:b w:val="0"/>
                <w:bCs w:val="0"/>
                <w:color w:val="auto"/>
                <w:sz w:val="24"/>
                <w:szCs w:val="24"/>
                <w:highlight w:val="none"/>
              </w:rPr>
              <w:t>提供的针对本次</w:t>
            </w:r>
            <w:r>
              <w:rPr>
                <w:rFonts w:hint="eastAsia" w:ascii="宋体" w:hAnsi="宋体" w:eastAsia="宋体" w:cs="宋体"/>
                <w:b w:val="0"/>
                <w:bCs w:val="0"/>
                <w:color w:val="auto"/>
                <w:sz w:val="24"/>
                <w:szCs w:val="24"/>
                <w:highlight w:val="none"/>
                <w:lang w:eastAsia="zh-CN"/>
              </w:rPr>
              <w:t>维修改造</w:t>
            </w:r>
            <w:r>
              <w:rPr>
                <w:rFonts w:hint="eastAsia" w:ascii="宋体" w:hAnsi="宋体" w:eastAsia="宋体" w:cs="宋体"/>
                <w:b w:val="0"/>
                <w:bCs w:val="0"/>
                <w:color w:val="auto"/>
                <w:sz w:val="24"/>
                <w:szCs w:val="24"/>
                <w:highlight w:val="none"/>
              </w:rPr>
              <w:t>服务制定的故障处理方案的合理性、科学性进行</w:t>
            </w:r>
            <w:r>
              <w:rPr>
                <w:rFonts w:hint="eastAsia" w:ascii="宋体" w:hAnsi="宋体" w:eastAsia="宋体" w:cs="宋体"/>
                <w:b w:val="0"/>
                <w:bCs w:val="0"/>
                <w:sz w:val="24"/>
                <w:szCs w:val="24"/>
                <w:lang w:eastAsia="zh-CN"/>
              </w:rPr>
              <w:t>综合评审。</w:t>
            </w:r>
          </w:p>
        </w:tc>
        <w:tc>
          <w:tcPr>
            <w:tcW w:w="973" w:type="dxa"/>
            <w:noWrap w:val="0"/>
            <w:vAlign w:val="center"/>
          </w:tcPr>
          <w:p w14:paraId="18726110">
            <w:pPr>
              <w:shd w:val="clear" w:color="auto" w:fill="auto"/>
              <w:spacing w:line="360" w:lineRule="auto"/>
              <w:ind w:firstLine="0" w:firstLineChars="0"/>
              <w:jc w:val="center"/>
              <w:rPr>
                <w:rFonts w:hint="default" w:ascii="宋体" w:hAnsi="宋体" w:eastAsia="宋体" w:cs="宋体"/>
                <w:sz w:val="24"/>
                <w:lang w:val="en-US" w:eastAsia="zh-CN"/>
              </w:rPr>
            </w:pPr>
            <w:r>
              <w:rPr>
                <w:rFonts w:hint="eastAsia" w:ascii="宋体" w:hAnsi="宋体" w:cs="宋体"/>
                <w:sz w:val="24"/>
                <w:lang w:val="en-US" w:eastAsia="zh-CN"/>
              </w:rPr>
              <w:t>5</w:t>
            </w:r>
          </w:p>
        </w:tc>
      </w:tr>
      <w:tr w14:paraId="33E5F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280" w:type="dxa"/>
            <w:vMerge w:val="continue"/>
            <w:noWrap w:val="0"/>
            <w:vAlign w:val="center"/>
          </w:tcPr>
          <w:p w14:paraId="0766287D">
            <w:pPr>
              <w:widowControl/>
              <w:shd w:val="clear" w:color="auto" w:fill="auto"/>
              <w:tabs>
                <w:tab w:val="left" w:pos="432"/>
              </w:tabs>
              <w:spacing w:line="360" w:lineRule="auto"/>
              <w:jc w:val="center"/>
              <w:rPr>
                <w:rFonts w:hint="eastAsia" w:ascii="宋体" w:hAnsi="宋体"/>
                <w:sz w:val="24"/>
              </w:rPr>
            </w:pPr>
          </w:p>
        </w:tc>
        <w:tc>
          <w:tcPr>
            <w:tcW w:w="7234" w:type="dxa"/>
            <w:noWrap w:val="0"/>
            <w:vAlign w:val="center"/>
          </w:tcPr>
          <w:p w14:paraId="2FEA2C58">
            <w:pPr>
              <w:widowControl/>
              <w:shd w:val="clear" w:color="auto" w:fill="auto"/>
              <w:tabs>
                <w:tab w:val="left" w:pos="432"/>
              </w:tabs>
              <w:spacing w:line="360" w:lineRule="auto"/>
              <w:ind w:firstLine="480" w:firstLineChars="200"/>
              <w:jc w:val="left"/>
              <w:rPr>
                <w:rFonts w:hint="eastAsia" w:ascii="宋体" w:hAnsi="宋体" w:eastAsia="宋体"/>
                <w:sz w:val="24"/>
                <w:lang w:eastAsia="zh-CN"/>
              </w:rPr>
            </w:pPr>
            <w:r>
              <w:rPr>
                <w:rFonts w:hint="eastAsia" w:ascii="宋体" w:hAnsi="宋体" w:eastAsia="宋体" w:cs="宋体"/>
                <w:b w:val="0"/>
                <w:bCs w:val="0"/>
                <w:sz w:val="24"/>
                <w:szCs w:val="24"/>
                <w:lang w:eastAsia="zh-CN"/>
              </w:rPr>
              <w:t>评委</w:t>
            </w:r>
            <w:r>
              <w:rPr>
                <w:rFonts w:hint="eastAsia" w:ascii="宋体" w:hAnsi="宋体" w:eastAsia="宋体" w:cs="宋体"/>
                <w:b w:val="0"/>
                <w:bCs w:val="0"/>
                <w:sz w:val="24"/>
                <w:szCs w:val="24"/>
              </w:rPr>
              <w:t>根据</w:t>
            </w:r>
            <w:r>
              <w:rPr>
                <w:rFonts w:hint="eastAsia" w:ascii="宋体" w:hAnsi="宋体" w:eastAsia="宋体" w:cs="宋体"/>
                <w:b w:val="0"/>
                <w:bCs w:val="0"/>
                <w:sz w:val="24"/>
                <w:szCs w:val="24"/>
                <w:lang w:val="en-US" w:eastAsia="zh-CN"/>
              </w:rPr>
              <w:t>投标人</w:t>
            </w:r>
            <w:r>
              <w:rPr>
                <w:rFonts w:hint="eastAsia" w:ascii="宋体" w:hAnsi="宋体" w:eastAsia="宋体" w:cs="宋体"/>
                <w:b w:val="0"/>
                <w:bCs w:val="0"/>
                <w:sz w:val="24"/>
                <w:szCs w:val="24"/>
              </w:rPr>
              <w:t>提供的</w:t>
            </w:r>
            <w:r>
              <w:rPr>
                <w:rFonts w:hint="eastAsia" w:ascii="宋体" w:hAnsi="宋体" w:eastAsia="宋体" w:cs="宋体"/>
                <w:b w:val="0"/>
                <w:bCs w:val="0"/>
                <w:color w:val="auto"/>
                <w:sz w:val="24"/>
                <w:szCs w:val="24"/>
                <w:highlight w:val="none"/>
              </w:rPr>
              <w:t>现场服务、技术故障响应时间的承诺进行</w:t>
            </w:r>
            <w:r>
              <w:rPr>
                <w:rFonts w:hint="eastAsia" w:ascii="宋体" w:hAnsi="宋体" w:eastAsia="宋体" w:cs="宋体"/>
                <w:b w:val="0"/>
                <w:bCs w:val="0"/>
                <w:color w:val="auto"/>
                <w:sz w:val="24"/>
                <w:szCs w:val="24"/>
                <w:highlight w:val="none"/>
                <w:lang w:eastAsia="zh-CN"/>
              </w:rPr>
              <w:t>综合评审</w:t>
            </w:r>
            <w:r>
              <w:rPr>
                <w:rFonts w:hint="eastAsia" w:ascii="宋体" w:hAnsi="宋体" w:eastAsia="宋体" w:cs="宋体"/>
                <w:b w:val="0"/>
                <w:bCs w:val="0"/>
                <w:sz w:val="24"/>
                <w:szCs w:val="24"/>
                <w:lang w:eastAsia="zh-CN"/>
              </w:rPr>
              <w:t>。</w:t>
            </w:r>
          </w:p>
        </w:tc>
        <w:tc>
          <w:tcPr>
            <w:tcW w:w="973" w:type="dxa"/>
            <w:noWrap w:val="0"/>
            <w:vAlign w:val="center"/>
          </w:tcPr>
          <w:p w14:paraId="17821B98">
            <w:pPr>
              <w:shd w:val="clear" w:color="auto" w:fill="auto"/>
              <w:spacing w:line="360" w:lineRule="auto"/>
              <w:ind w:firstLine="0" w:firstLineChars="0"/>
              <w:jc w:val="center"/>
              <w:rPr>
                <w:rFonts w:hint="default" w:ascii="宋体" w:hAnsi="宋体" w:eastAsia="宋体" w:cs="宋体"/>
                <w:sz w:val="24"/>
                <w:lang w:val="en-US" w:eastAsia="zh-CN"/>
              </w:rPr>
            </w:pPr>
            <w:r>
              <w:rPr>
                <w:rFonts w:hint="eastAsia" w:ascii="宋体" w:hAnsi="宋体" w:cs="宋体"/>
                <w:sz w:val="24"/>
                <w:lang w:val="en-US" w:eastAsia="zh-CN"/>
              </w:rPr>
              <w:t>5</w:t>
            </w:r>
          </w:p>
        </w:tc>
      </w:tr>
      <w:tr w14:paraId="36B96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1280" w:type="dxa"/>
            <w:noWrap w:val="0"/>
            <w:vAlign w:val="center"/>
          </w:tcPr>
          <w:p w14:paraId="37042572">
            <w:pPr>
              <w:shd w:val="clear" w:color="auto" w:fill="auto"/>
              <w:spacing w:line="360" w:lineRule="auto"/>
              <w:jc w:val="center"/>
              <w:rPr>
                <w:rFonts w:hint="eastAsia" w:ascii="宋体" w:hAnsi="宋体" w:cs="宋体"/>
                <w:sz w:val="24"/>
                <w:szCs w:val="21"/>
              </w:rPr>
            </w:pPr>
            <w:r>
              <w:rPr>
                <w:rFonts w:hint="eastAsia" w:ascii="宋体" w:hAnsi="宋体" w:cs="宋体"/>
                <w:sz w:val="24"/>
                <w:szCs w:val="21"/>
              </w:rPr>
              <w:t>进度方案</w:t>
            </w:r>
          </w:p>
        </w:tc>
        <w:tc>
          <w:tcPr>
            <w:tcW w:w="7234" w:type="dxa"/>
            <w:noWrap w:val="0"/>
            <w:vAlign w:val="center"/>
          </w:tcPr>
          <w:p w14:paraId="327AA4EA">
            <w:pPr>
              <w:shd w:val="clear" w:color="auto" w:fill="auto"/>
              <w:spacing w:line="360" w:lineRule="auto"/>
              <w:ind w:firstLine="480" w:firstLineChars="200"/>
              <w:jc w:val="left"/>
              <w:rPr>
                <w:rFonts w:hint="eastAsia" w:ascii="宋体" w:hAnsi="宋体" w:cs="宋体"/>
                <w:sz w:val="24"/>
                <w:szCs w:val="21"/>
              </w:rPr>
            </w:pPr>
            <w:r>
              <w:rPr>
                <w:rFonts w:hint="eastAsia" w:ascii="宋体" w:hAnsi="宋体" w:cs="宋体"/>
                <w:sz w:val="24"/>
                <w:szCs w:val="21"/>
              </w:rPr>
              <w:t>评委根据投标人针对本项目提供的进度方案的合理性、科学性、可实施性进行</w:t>
            </w:r>
            <w:r>
              <w:rPr>
                <w:rFonts w:hint="eastAsia" w:ascii="宋体" w:hAnsi="宋体" w:eastAsia="宋体" w:cs="宋体"/>
                <w:b w:val="0"/>
                <w:bCs w:val="0"/>
                <w:sz w:val="24"/>
                <w:szCs w:val="24"/>
                <w:lang w:eastAsia="zh-CN"/>
              </w:rPr>
              <w:t>综合评审</w:t>
            </w:r>
            <w:r>
              <w:rPr>
                <w:rFonts w:hint="eastAsia" w:ascii="宋体" w:hAnsi="宋体" w:cs="宋体"/>
                <w:sz w:val="24"/>
                <w:szCs w:val="21"/>
              </w:rPr>
              <w:t>。</w:t>
            </w:r>
          </w:p>
        </w:tc>
        <w:tc>
          <w:tcPr>
            <w:tcW w:w="973" w:type="dxa"/>
            <w:noWrap w:val="0"/>
            <w:vAlign w:val="center"/>
          </w:tcPr>
          <w:p w14:paraId="62CB6F30">
            <w:pPr>
              <w:shd w:val="clear" w:color="auto" w:fill="auto"/>
              <w:spacing w:line="360" w:lineRule="auto"/>
              <w:ind w:firstLine="0" w:firstLineChars="0"/>
              <w:jc w:val="center"/>
              <w:rPr>
                <w:rFonts w:hint="default" w:ascii="宋体" w:hAnsi="宋体" w:eastAsia="宋体" w:cs="宋体"/>
                <w:sz w:val="24"/>
                <w:lang w:val="en-US" w:eastAsia="zh-CN"/>
              </w:rPr>
            </w:pPr>
            <w:r>
              <w:rPr>
                <w:rFonts w:hint="eastAsia" w:ascii="宋体" w:hAnsi="宋体" w:cs="宋体"/>
                <w:sz w:val="24"/>
                <w:lang w:val="en-US" w:eastAsia="zh-CN"/>
              </w:rPr>
              <w:t>4</w:t>
            </w:r>
          </w:p>
        </w:tc>
      </w:tr>
      <w:tr w14:paraId="3681F6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80" w:type="dxa"/>
            <w:noWrap w:val="0"/>
            <w:vAlign w:val="center"/>
          </w:tcPr>
          <w:p w14:paraId="74A4D431">
            <w:pPr>
              <w:spacing w:line="360" w:lineRule="auto"/>
              <w:jc w:val="center"/>
              <w:rPr>
                <w:rFonts w:hint="eastAsia" w:ascii="宋体" w:hAnsi="宋体" w:cs="宋体"/>
                <w:sz w:val="24"/>
                <w:szCs w:val="21"/>
              </w:rPr>
            </w:pPr>
            <w:r>
              <w:rPr>
                <w:rFonts w:hint="eastAsia" w:ascii="宋体" w:hAnsi="宋体" w:eastAsia="宋体" w:cs="宋体"/>
                <w:color w:val="auto"/>
                <w:sz w:val="24"/>
              </w:rPr>
              <w:t>安全防护和文明施工管理措施</w:t>
            </w:r>
          </w:p>
        </w:tc>
        <w:tc>
          <w:tcPr>
            <w:tcW w:w="7234" w:type="dxa"/>
            <w:noWrap w:val="0"/>
            <w:vAlign w:val="center"/>
          </w:tcPr>
          <w:p w14:paraId="3D50991D">
            <w:pPr>
              <w:spacing w:line="360" w:lineRule="auto"/>
              <w:ind w:firstLine="240" w:firstLineChars="100"/>
              <w:rPr>
                <w:rFonts w:hint="eastAsia" w:ascii="宋体" w:hAnsi="宋体" w:cs="宋体"/>
                <w:sz w:val="24"/>
                <w:szCs w:val="21"/>
              </w:rPr>
            </w:pPr>
            <w:r>
              <w:rPr>
                <w:rFonts w:hint="eastAsia" w:ascii="宋体" w:hAnsi="宋体" w:eastAsia="宋体" w:cs="宋体"/>
                <w:color w:val="auto"/>
                <w:sz w:val="24"/>
                <w:szCs w:val="21"/>
              </w:rPr>
              <w:t>评委根据投标人提供的安全防护</w:t>
            </w:r>
            <w:r>
              <w:rPr>
                <w:rFonts w:hint="eastAsia" w:ascii="宋体" w:hAnsi="宋体" w:eastAsia="宋体" w:cs="宋体"/>
                <w:color w:val="auto"/>
                <w:sz w:val="24"/>
                <w:szCs w:val="21"/>
                <w:lang w:eastAsia="zh-CN"/>
              </w:rPr>
              <w:t>（人员防护、人员保险等）</w:t>
            </w:r>
            <w:r>
              <w:rPr>
                <w:rFonts w:hint="eastAsia" w:ascii="宋体" w:hAnsi="宋体" w:eastAsia="宋体" w:cs="宋体"/>
                <w:color w:val="auto"/>
                <w:sz w:val="24"/>
                <w:szCs w:val="21"/>
              </w:rPr>
              <w:t>和文明施工管理措施：措施应科学、合理、针对性强，同时应具备可操作性等进行打分。</w:t>
            </w:r>
          </w:p>
        </w:tc>
        <w:tc>
          <w:tcPr>
            <w:tcW w:w="973" w:type="dxa"/>
            <w:noWrap w:val="0"/>
            <w:vAlign w:val="center"/>
          </w:tcPr>
          <w:p w14:paraId="751833B7">
            <w:pPr>
              <w:shd w:val="clear" w:color="auto" w:fill="auto"/>
              <w:spacing w:line="360" w:lineRule="auto"/>
              <w:ind w:firstLine="0" w:firstLineChars="0"/>
              <w:jc w:val="center"/>
              <w:rPr>
                <w:rFonts w:hint="default" w:ascii="宋体" w:hAnsi="宋体" w:cs="宋体"/>
                <w:sz w:val="24"/>
                <w:lang w:val="en-US" w:eastAsia="zh-CN"/>
              </w:rPr>
            </w:pPr>
            <w:r>
              <w:rPr>
                <w:rFonts w:hint="eastAsia" w:ascii="宋体" w:hAnsi="宋体" w:cs="宋体"/>
                <w:sz w:val="24"/>
                <w:lang w:val="en-US" w:eastAsia="zh-CN"/>
              </w:rPr>
              <w:t>3</w:t>
            </w:r>
          </w:p>
        </w:tc>
      </w:tr>
      <w:tr w14:paraId="63725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1280" w:type="dxa"/>
            <w:noWrap w:val="0"/>
            <w:vAlign w:val="center"/>
          </w:tcPr>
          <w:p w14:paraId="2C9F898B">
            <w:pPr>
              <w:spacing w:line="360" w:lineRule="auto"/>
              <w:jc w:val="center"/>
              <w:rPr>
                <w:rFonts w:hint="eastAsia" w:ascii="宋体" w:hAnsi="宋体" w:cs="宋体"/>
                <w:sz w:val="24"/>
                <w:szCs w:val="21"/>
              </w:rPr>
            </w:pPr>
            <w:r>
              <w:rPr>
                <w:rFonts w:hint="eastAsia" w:cs="Times New Roman"/>
                <w:color w:val="auto"/>
                <w:sz w:val="24"/>
                <w:lang w:val="en-US" w:eastAsia="zh-CN"/>
              </w:rPr>
              <w:t>主机</w:t>
            </w:r>
            <w:r>
              <w:rPr>
                <w:rFonts w:hint="eastAsia" w:ascii="Times New Roman" w:hAnsi="Times New Roman" w:eastAsia="宋体" w:cs="Times New Roman"/>
                <w:color w:val="auto"/>
                <w:sz w:val="24"/>
                <w:lang w:val="en-US" w:eastAsia="zh-CN"/>
              </w:rPr>
              <w:t>需求匹配性</w:t>
            </w:r>
          </w:p>
        </w:tc>
        <w:tc>
          <w:tcPr>
            <w:tcW w:w="7234" w:type="dxa"/>
            <w:noWrap w:val="0"/>
            <w:vAlign w:val="center"/>
          </w:tcPr>
          <w:p w14:paraId="2C5003ED">
            <w:pPr>
              <w:spacing w:line="360" w:lineRule="auto"/>
              <w:ind w:firstLine="480" w:firstLineChars="200"/>
              <w:rPr>
                <w:rFonts w:hint="eastAsia" w:ascii="宋体" w:hAnsi="宋体" w:cs="宋体"/>
                <w:sz w:val="24"/>
                <w:szCs w:val="21"/>
              </w:rPr>
            </w:pPr>
            <w:r>
              <w:rPr>
                <w:rFonts w:hint="eastAsia" w:ascii="Times New Roman" w:hAnsi="Times New Roman" w:eastAsia="宋体" w:cs="Times New Roman"/>
                <w:color w:val="auto"/>
                <w:sz w:val="24"/>
                <w:lang w:val="en-US" w:eastAsia="zh-CN"/>
              </w:rPr>
              <w:t>评委</w:t>
            </w:r>
            <w:r>
              <w:rPr>
                <w:rFonts w:hint="eastAsia" w:ascii="Times New Roman" w:hAnsi="Times New Roman" w:eastAsia="宋体" w:cs="Times New Roman"/>
                <w:sz w:val="24"/>
                <w:lang w:val="en-US" w:eastAsia="zh-CN"/>
              </w:rPr>
              <w:t>根据</w:t>
            </w:r>
            <w:r>
              <w:rPr>
                <w:rFonts w:hint="eastAsia" w:ascii="Times New Roman" w:hAnsi="Times New Roman" w:eastAsia="宋体" w:cs="Times New Roman"/>
                <w:color w:val="auto"/>
                <w:sz w:val="24"/>
                <w:lang w:val="en-US" w:eastAsia="zh-CN"/>
              </w:rPr>
              <w:t>投标人所投</w:t>
            </w:r>
            <w:r>
              <w:rPr>
                <w:rFonts w:hint="eastAsia" w:cs="Times New Roman"/>
                <w:color w:val="auto"/>
                <w:sz w:val="24"/>
                <w:lang w:val="en-US" w:eastAsia="zh-CN"/>
              </w:rPr>
              <w:t>主机品牌</w:t>
            </w:r>
            <w:r>
              <w:rPr>
                <w:rFonts w:hint="eastAsia" w:ascii="Times New Roman" w:hAnsi="Times New Roman" w:eastAsia="宋体" w:cs="Times New Roman"/>
                <w:color w:val="auto"/>
                <w:sz w:val="24"/>
                <w:lang w:val="en-US" w:eastAsia="zh-CN"/>
              </w:rPr>
              <w:t>与招标文件采购需求的品牌匹配情况由评审专家进行</w:t>
            </w:r>
            <w:r>
              <w:rPr>
                <w:rFonts w:hint="eastAsia" w:ascii="宋体" w:hAnsi="宋体" w:eastAsia="宋体" w:cs="宋体"/>
                <w:b w:val="0"/>
                <w:bCs w:val="0"/>
                <w:sz w:val="24"/>
                <w:szCs w:val="24"/>
                <w:lang w:eastAsia="zh-CN"/>
              </w:rPr>
              <w:t>综合评审</w:t>
            </w:r>
            <w:r>
              <w:rPr>
                <w:rFonts w:hint="eastAsia" w:ascii="Times New Roman" w:hAnsi="Times New Roman" w:eastAsia="宋体" w:cs="Times New Roman"/>
                <w:color w:val="auto"/>
                <w:sz w:val="24"/>
                <w:lang w:val="en-US" w:eastAsia="zh-CN"/>
              </w:rPr>
              <w:t>。</w:t>
            </w:r>
          </w:p>
        </w:tc>
        <w:tc>
          <w:tcPr>
            <w:tcW w:w="973" w:type="dxa"/>
            <w:noWrap w:val="0"/>
            <w:vAlign w:val="center"/>
          </w:tcPr>
          <w:p w14:paraId="4CF79E3C">
            <w:pPr>
              <w:shd w:val="clear" w:color="auto" w:fill="auto"/>
              <w:spacing w:line="360" w:lineRule="auto"/>
              <w:ind w:firstLine="0" w:firstLineChars="0"/>
              <w:jc w:val="center"/>
              <w:rPr>
                <w:rFonts w:hint="default" w:ascii="宋体" w:hAnsi="宋体" w:cs="宋体"/>
                <w:sz w:val="24"/>
                <w:lang w:val="en-US" w:eastAsia="zh-CN"/>
              </w:rPr>
            </w:pPr>
            <w:r>
              <w:rPr>
                <w:rFonts w:hint="eastAsia" w:ascii="宋体" w:hAnsi="宋体" w:cs="宋体"/>
                <w:sz w:val="24"/>
                <w:lang w:val="en-US" w:eastAsia="zh-CN"/>
              </w:rPr>
              <w:t>8</w:t>
            </w:r>
          </w:p>
        </w:tc>
      </w:tr>
      <w:tr w14:paraId="6BB6E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1280" w:type="dxa"/>
            <w:vMerge w:val="restart"/>
            <w:noWrap w:val="0"/>
            <w:vAlign w:val="center"/>
          </w:tcPr>
          <w:p w14:paraId="384E41C9">
            <w:pPr>
              <w:shd w:val="clear" w:color="auto" w:fill="auto"/>
              <w:spacing w:line="360" w:lineRule="auto"/>
              <w:jc w:val="center"/>
              <w:rPr>
                <w:rFonts w:hint="eastAsia" w:ascii="宋体" w:hAnsi="宋体" w:cs="宋体"/>
                <w:color w:val="auto"/>
                <w:sz w:val="24"/>
                <w:szCs w:val="21"/>
              </w:rPr>
            </w:pPr>
            <w:r>
              <w:rPr>
                <w:rFonts w:hint="eastAsia" w:ascii="宋体" w:hAnsi="宋体" w:eastAsia="宋体" w:cs="宋体"/>
                <w:color w:val="auto"/>
                <w:sz w:val="24"/>
                <w:szCs w:val="24"/>
                <w:highlight w:val="none"/>
                <w:lang w:val="en-US" w:eastAsia="zh-CN"/>
              </w:rPr>
              <w:t>服务响应能力</w:t>
            </w:r>
          </w:p>
        </w:tc>
        <w:tc>
          <w:tcPr>
            <w:tcW w:w="7234" w:type="dxa"/>
            <w:noWrap w:val="0"/>
            <w:vAlign w:val="center"/>
          </w:tcPr>
          <w:p w14:paraId="7C3A50A8">
            <w:pPr>
              <w:shd w:val="clear" w:color="auto" w:fill="auto"/>
              <w:spacing w:line="360" w:lineRule="auto"/>
              <w:ind w:firstLine="480" w:firstLineChars="200"/>
              <w:jc w:val="left"/>
              <w:rPr>
                <w:rFonts w:hint="eastAsia" w:ascii="宋体" w:hAnsi="宋体" w:cs="宋体"/>
                <w:color w:val="auto"/>
                <w:sz w:val="24"/>
                <w:szCs w:val="21"/>
              </w:rPr>
            </w:pPr>
            <w:r>
              <w:rPr>
                <w:rFonts w:hint="eastAsia" w:ascii="Times New Roman" w:hAnsi="Times New Roman" w:eastAsia="宋体" w:cs="Times New Roman"/>
                <w:color w:val="auto"/>
                <w:sz w:val="24"/>
                <w:lang w:val="en-US" w:eastAsia="zh-CN"/>
              </w:rPr>
              <w:t>评委根据投标人应对项目服务范围、产品质量、响应时间、维护保养等方面做出承诺；质保期内维保方案应合理、可操作性强，并能提供可行的日常应急方案进行打分，不提供不得分。</w:t>
            </w:r>
          </w:p>
        </w:tc>
        <w:tc>
          <w:tcPr>
            <w:tcW w:w="973" w:type="dxa"/>
            <w:noWrap w:val="0"/>
            <w:vAlign w:val="center"/>
          </w:tcPr>
          <w:p w14:paraId="325D1EB6">
            <w:pPr>
              <w:shd w:val="clear" w:color="auto" w:fill="auto"/>
              <w:spacing w:line="360" w:lineRule="auto"/>
              <w:ind w:firstLine="0" w:firstLineChars="0"/>
              <w:jc w:val="center"/>
              <w:rPr>
                <w:rFonts w:hint="default" w:ascii="宋体" w:hAnsi="宋体" w:cs="宋体"/>
                <w:color w:val="auto"/>
                <w:sz w:val="24"/>
                <w:lang w:val="en-US" w:eastAsia="zh-CN"/>
              </w:rPr>
            </w:pPr>
            <w:r>
              <w:rPr>
                <w:rFonts w:hint="eastAsia" w:ascii="宋体" w:hAnsi="宋体" w:cs="宋体"/>
                <w:color w:val="auto"/>
                <w:sz w:val="24"/>
                <w:lang w:val="en-US" w:eastAsia="zh-CN"/>
              </w:rPr>
              <w:t>3</w:t>
            </w:r>
          </w:p>
        </w:tc>
      </w:tr>
      <w:tr w14:paraId="123D6E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2" w:hRule="atLeast"/>
          <w:jc w:val="center"/>
        </w:trPr>
        <w:tc>
          <w:tcPr>
            <w:tcW w:w="1280" w:type="dxa"/>
            <w:vMerge w:val="continue"/>
            <w:noWrap w:val="0"/>
            <w:vAlign w:val="center"/>
          </w:tcPr>
          <w:p w14:paraId="3FDD9272">
            <w:pPr>
              <w:shd w:val="clear" w:color="auto" w:fill="auto"/>
              <w:spacing w:line="360" w:lineRule="auto"/>
              <w:jc w:val="center"/>
              <w:rPr>
                <w:rFonts w:hint="eastAsia" w:ascii="宋体" w:hAnsi="宋体" w:eastAsia="宋体" w:cs="宋体"/>
                <w:color w:val="auto"/>
                <w:sz w:val="24"/>
                <w:szCs w:val="24"/>
                <w:highlight w:val="none"/>
                <w:lang w:val="en-US" w:eastAsia="zh-CN"/>
              </w:rPr>
            </w:pPr>
          </w:p>
        </w:tc>
        <w:tc>
          <w:tcPr>
            <w:tcW w:w="7234" w:type="dxa"/>
            <w:shd w:val="clear" w:color="auto" w:fill="auto"/>
            <w:noWrap w:val="0"/>
            <w:vAlign w:val="center"/>
          </w:tcPr>
          <w:p w14:paraId="08268F2E">
            <w:pPr>
              <w:widowControl/>
              <w:spacing w:line="360" w:lineRule="auto"/>
              <w:ind w:firstLine="480" w:firstLineChars="200"/>
              <w:rPr>
                <w:rFonts w:hint="eastAsia" w:ascii="Times New Roman" w:hAnsi="Times New Roman" w:eastAsia="宋体" w:cs="Times New Roman"/>
                <w:color w:val="auto"/>
                <w:kern w:val="2"/>
                <w:sz w:val="24"/>
                <w:szCs w:val="24"/>
                <w:lang w:val="en-US" w:eastAsia="zh-CN" w:bidi="ar-SA"/>
              </w:rPr>
            </w:pPr>
            <w:r>
              <w:rPr>
                <w:rFonts w:hint="eastAsia" w:ascii="宋体" w:hAnsi="宋体" w:eastAsia="宋体" w:cs="宋体"/>
                <w:color w:val="auto"/>
                <w:sz w:val="24"/>
                <w:lang w:val="en-US" w:bidi="ar-SA"/>
              </w:rPr>
              <w:t>所投产品质保期必须满足招标文件要求（质保期至少</w:t>
            </w:r>
            <w:r>
              <w:rPr>
                <w:rFonts w:hint="eastAsia" w:ascii="宋体" w:hAnsi="宋体" w:eastAsia="宋体" w:cs="宋体"/>
                <w:color w:val="auto"/>
                <w:sz w:val="24"/>
                <w:lang w:val="en-US" w:eastAsia="zh-CN" w:bidi="ar-SA"/>
              </w:rPr>
              <w:t>1</w:t>
            </w:r>
            <w:r>
              <w:rPr>
                <w:rFonts w:hint="eastAsia" w:ascii="宋体" w:hAnsi="宋体" w:eastAsia="宋体" w:cs="宋体"/>
                <w:color w:val="auto"/>
                <w:sz w:val="24"/>
                <w:lang w:val="en-US" w:bidi="ar-SA"/>
              </w:rPr>
              <w:t>年，若不足</w:t>
            </w:r>
            <w:r>
              <w:rPr>
                <w:rFonts w:hint="eastAsia" w:ascii="宋体" w:hAnsi="宋体" w:eastAsia="宋体" w:cs="宋体"/>
                <w:color w:val="auto"/>
                <w:sz w:val="24"/>
                <w:lang w:val="en-US" w:eastAsia="zh-CN" w:bidi="ar-SA"/>
              </w:rPr>
              <w:t>1</w:t>
            </w:r>
            <w:r>
              <w:rPr>
                <w:rFonts w:hint="eastAsia" w:ascii="宋体" w:hAnsi="宋体" w:eastAsia="宋体" w:cs="宋体"/>
                <w:color w:val="auto"/>
                <w:sz w:val="24"/>
                <w:lang w:val="en-US" w:bidi="ar-SA"/>
              </w:rPr>
              <w:t>年则作无效标处理），每延长1年得</w:t>
            </w:r>
            <w:r>
              <w:rPr>
                <w:rFonts w:hint="eastAsia" w:ascii="宋体" w:hAnsi="宋体" w:eastAsia="宋体" w:cs="宋体"/>
                <w:color w:val="auto"/>
                <w:sz w:val="24"/>
                <w:lang w:val="en-US" w:eastAsia="zh-CN" w:bidi="ar-SA"/>
              </w:rPr>
              <w:t>1</w:t>
            </w:r>
            <w:r>
              <w:rPr>
                <w:rFonts w:hint="eastAsia" w:ascii="宋体" w:hAnsi="宋体" w:eastAsia="宋体" w:cs="宋体"/>
                <w:color w:val="auto"/>
                <w:sz w:val="24"/>
                <w:lang w:val="en-US" w:bidi="ar-SA"/>
              </w:rPr>
              <w:t>分，最高得</w:t>
            </w:r>
            <w:r>
              <w:rPr>
                <w:rFonts w:hint="eastAsia" w:ascii="宋体" w:hAnsi="宋体" w:eastAsia="宋体" w:cs="宋体"/>
                <w:color w:val="auto"/>
                <w:sz w:val="24"/>
                <w:lang w:val="en-US" w:eastAsia="zh-CN" w:bidi="ar-SA"/>
              </w:rPr>
              <w:t>2</w:t>
            </w:r>
            <w:r>
              <w:rPr>
                <w:rFonts w:hint="eastAsia" w:ascii="宋体" w:hAnsi="宋体" w:eastAsia="宋体" w:cs="宋体"/>
                <w:color w:val="auto"/>
                <w:sz w:val="24"/>
                <w:lang w:val="en-US" w:bidi="ar-SA"/>
              </w:rPr>
              <w:t>分。（投标人提供书面盖章承诺，不提供不得分）。</w:t>
            </w:r>
          </w:p>
        </w:tc>
        <w:tc>
          <w:tcPr>
            <w:tcW w:w="973" w:type="dxa"/>
            <w:shd w:val="clear" w:color="auto" w:fill="auto"/>
            <w:noWrap w:val="0"/>
            <w:vAlign w:val="center"/>
          </w:tcPr>
          <w:p w14:paraId="25058C51">
            <w:pPr>
              <w:widowControl/>
              <w:snapToGrid/>
              <w:spacing w:line="360" w:lineRule="auto"/>
              <w:jc w:val="center"/>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lang w:val="en-US" w:eastAsia="zh-CN"/>
              </w:rPr>
              <w:t>2</w:t>
            </w:r>
          </w:p>
        </w:tc>
      </w:tr>
    </w:tbl>
    <w:p w14:paraId="6365D06E">
      <w:pPr>
        <w:rPr>
          <w:rFonts w:hint="eastAsia" w:ascii="宋体" w:hAnsi="宋体" w:cs="宋体"/>
          <w:b/>
          <w:color w:val="auto"/>
          <w:sz w:val="36"/>
          <w:szCs w:val="36"/>
          <w:highlight w:val="none"/>
        </w:rPr>
      </w:pPr>
      <w:r>
        <w:rPr>
          <w:rFonts w:hint="eastAsia" w:ascii="宋体" w:hAnsi="宋体" w:cs="宋体"/>
          <w:b/>
          <w:color w:val="auto"/>
          <w:sz w:val="36"/>
          <w:szCs w:val="36"/>
          <w:highlight w:val="none"/>
        </w:rPr>
        <w:br w:type="page"/>
      </w:r>
    </w:p>
    <w:p w14:paraId="3E475C01">
      <w:pPr>
        <w:pStyle w:val="3"/>
        <w:bidi w:val="0"/>
        <w:spacing w:line="360" w:lineRule="auto"/>
        <w:rPr>
          <w:color w:val="auto"/>
          <w:sz w:val="32"/>
          <w:szCs w:val="21"/>
          <w:highlight w:val="none"/>
        </w:rPr>
      </w:pPr>
      <w:bookmarkStart w:id="435" w:name="_Toc15442"/>
      <w:r>
        <w:rPr>
          <w:rFonts w:hint="eastAsia"/>
          <w:color w:val="auto"/>
          <w:sz w:val="32"/>
          <w:szCs w:val="21"/>
          <w:highlight w:val="none"/>
        </w:rPr>
        <w:t>第四部分 采购需求</w:t>
      </w:r>
      <w:bookmarkEnd w:id="426"/>
      <w:bookmarkEnd w:id="435"/>
    </w:p>
    <w:bookmarkEnd w:id="427"/>
    <w:bookmarkEnd w:id="428"/>
    <w:bookmarkEnd w:id="429"/>
    <w:bookmarkEnd w:id="430"/>
    <w:bookmarkEnd w:id="431"/>
    <w:bookmarkEnd w:id="432"/>
    <w:p w14:paraId="0AFEE421">
      <w:pPr>
        <w:pStyle w:val="4"/>
        <w:shd w:val="clear" w:color="auto" w:fill="auto"/>
        <w:spacing w:line="360" w:lineRule="auto"/>
        <w:jc w:val="center"/>
        <w:rPr>
          <w:rFonts w:hint="eastAsia" w:ascii="宋体" w:hAnsi="宋体" w:eastAsia="宋体" w:cs="宋体"/>
          <w:color w:val="auto"/>
          <w:highlight w:val="none"/>
        </w:rPr>
      </w:pPr>
      <w:bookmarkStart w:id="436" w:name="_Toc31021"/>
      <w:bookmarkStart w:id="437" w:name="_Toc509836615"/>
      <w:bookmarkStart w:id="438" w:name="_Toc521578483"/>
      <w:bookmarkStart w:id="439" w:name="_Toc3118"/>
      <w:bookmarkStart w:id="440" w:name="_Toc509836616"/>
      <w:r>
        <w:rPr>
          <w:rFonts w:hint="eastAsia" w:ascii="宋体" w:hAnsi="宋体" w:eastAsia="宋体" w:cs="宋体"/>
          <w:color w:val="auto"/>
          <w:highlight w:val="none"/>
        </w:rPr>
        <w:t>第一章　总则</w:t>
      </w:r>
      <w:bookmarkEnd w:id="436"/>
    </w:p>
    <w:p w14:paraId="507DE999">
      <w:pPr>
        <w:shd w:val="clear" w:color="auto" w:fill="auto"/>
        <w:spacing w:line="360" w:lineRule="auto"/>
        <w:ind w:firstLine="480" w:firstLineChars="200"/>
        <w:rPr>
          <w:rFonts w:hint="eastAsia" w:ascii="宋体" w:hAnsi="宋体" w:cs="宋体"/>
          <w:bCs/>
          <w:sz w:val="24"/>
        </w:rPr>
      </w:pPr>
      <w:r>
        <w:rPr>
          <w:rFonts w:hint="eastAsia" w:ascii="宋体" w:hAnsi="宋体" w:cs="宋体"/>
          <w:bCs/>
          <w:sz w:val="24"/>
        </w:rPr>
        <w:t>1、本招标要求用于</w:t>
      </w:r>
      <w:r>
        <w:rPr>
          <w:rFonts w:hint="eastAsia" w:ascii="宋体" w:hAnsi="宋体" w:cs="宋体"/>
          <w:bCs/>
          <w:sz w:val="24"/>
          <w:u w:val="single"/>
          <w:lang w:val="en-US" w:eastAsia="zh-CN"/>
        </w:rPr>
        <w:t xml:space="preserve">  </w:t>
      </w:r>
      <w:r>
        <w:rPr>
          <w:rFonts w:hint="eastAsia" w:ascii="宋体" w:hAnsi="宋体" w:cs="宋体"/>
          <w:bCs/>
          <w:sz w:val="24"/>
          <w:u w:val="single"/>
          <w:lang w:eastAsia="zh-CN"/>
        </w:rPr>
        <w:t>3方立轴搅拌机提升改造项目</w:t>
      </w:r>
      <w:r>
        <w:rPr>
          <w:rFonts w:hint="eastAsia" w:ascii="宋体" w:hAnsi="宋体" w:cs="宋体"/>
          <w:bCs/>
          <w:sz w:val="24"/>
          <w:u w:val="single"/>
          <w:lang w:val="en-US" w:eastAsia="zh-CN"/>
        </w:rPr>
        <w:t xml:space="preserve">  </w:t>
      </w:r>
      <w:r>
        <w:rPr>
          <w:rFonts w:hint="eastAsia" w:ascii="宋体" w:hAnsi="宋体" w:cs="宋体"/>
          <w:bCs/>
          <w:sz w:val="24"/>
        </w:rPr>
        <w:t>，其中提出了关于</w:t>
      </w:r>
      <w:r>
        <w:rPr>
          <w:rFonts w:hint="eastAsia"/>
          <w:b w:val="0"/>
          <w:bCs w:val="0"/>
          <w:color w:val="auto"/>
          <w:sz w:val="24"/>
          <w:szCs w:val="24"/>
          <w:highlight w:val="none"/>
        </w:rPr>
        <w:t>设备</w:t>
      </w:r>
      <w:r>
        <w:rPr>
          <w:rFonts w:hint="eastAsia"/>
          <w:b w:val="0"/>
          <w:bCs w:val="0"/>
          <w:color w:val="auto"/>
          <w:sz w:val="24"/>
          <w:szCs w:val="24"/>
          <w:highlight w:val="none"/>
          <w:lang w:eastAsia="zh-CN"/>
        </w:rPr>
        <w:t>拆除费、维修费、改造费</w:t>
      </w:r>
      <w:r>
        <w:rPr>
          <w:rFonts w:hint="eastAsia"/>
          <w:b w:val="0"/>
          <w:bCs w:val="0"/>
          <w:color w:val="auto"/>
          <w:sz w:val="24"/>
          <w:szCs w:val="24"/>
          <w:highlight w:val="none"/>
        </w:rPr>
        <w:t>、</w:t>
      </w:r>
      <w:r>
        <w:rPr>
          <w:rFonts w:hint="eastAsia"/>
          <w:b w:val="0"/>
          <w:bCs w:val="0"/>
          <w:color w:val="auto"/>
          <w:sz w:val="24"/>
          <w:szCs w:val="24"/>
          <w:highlight w:val="none"/>
          <w:lang w:eastAsia="zh-CN"/>
        </w:rPr>
        <w:t>运输费、吊装费、代理费、</w:t>
      </w:r>
      <w:r>
        <w:rPr>
          <w:rFonts w:hint="eastAsia"/>
          <w:b w:val="0"/>
          <w:bCs w:val="0"/>
          <w:color w:val="auto"/>
          <w:sz w:val="24"/>
          <w:szCs w:val="24"/>
          <w:highlight w:val="none"/>
        </w:rPr>
        <w:t>安装调试</w:t>
      </w:r>
      <w:r>
        <w:rPr>
          <w:rFonts w:hint="eastAsia"/>
          <w:b w:val="0"/>
          <w:bCs w:val="0"/>
          <w:color w:val="auto"/>
          <w:sz w:val="24"/>
          <w:szCs w:val="24"/>
          <w:highlight w:val="none"/>
          <w:lang w:eastAsia="zh-CN"/>
        </w:rPr>
        <w:t>费</w:t>
      </w:r>
      <w:r>
        <w:rPr>
          <w:rFonts w:hint="eastAsia"/>
          <w:b w:val="0"/>
          <w:bCs w:val="0"/>
          <w:color w:val="auto"/>
          <w:sz w:val="24"/>
          <w:szCs w:val="24"/>
          <w:highlight w:val="none"/>
        </w:rPr>
        <w:t>、验收合格</w:t>
      </w:r>
      <w:r>
        <w:rPr>
          <w:rFonts w:hint="eastAsia" w:ascii="宋体" w:hAnsi="宋体" w:cs="宋体"/>
          <w:bCs/>
          <w:sz w:val="24"/>
        </w:rPr>
        <w:t>等方面的基本技术要求。</w:t>
      </w:r>
    </w:p>
    <w:p w14:paraId="317B6294">
      <w:pPr>
        <w:shd w:val="clear" w:color="auto" w:fill="auto"/>
        <w:spacing w:line="360" w:lineRule="auto"/>
        <w:ind w:firstLine="480" w:firstLineChars="200"/>
        <w:rPr>
          <w:rFonts w:hint="eastAsia" w:ascii="宋体" w:hAnsi="宋体" w:cs="宋体"/>
          <w:bCs/>
          <w:sz w:val="24"/>
        </w:rPr>
      </w:pPr>
      <w:r>
        <w:rPr>
          <w:rFonts w:hint="eastAsia" w:ascii="宋体" w:hAnsi="宋体" w:cs="宋体"/>
          <w:bCs/>
          <w:sz w:val="24"/>
        </w:rPr>
        <w:t>2、本项目</w:t>
      </w:r>
      <w:r>
        <w:rPr>
          <w:rFonts w:hint="eastAsia"/>
          <w:b w:val="0"/>
          <w:bCs w:val="0"/>
          <w:color w:val="auto"/>
          <w:sz w:val="24"/>
          <w:szCs w:val="24"/>
          <w:highlight w:val="none"/>
        </w:rPr>
        <w:t>为总价包干</w:t>
      </w:r>
      <w:r>
        <w:rPr>
          <w:rFonts w:hint="eastAsia" w:ascii="宋体" w:hAnsi="宋体" w:cs="宋体"/>
          <w:bCs/>
          <w:sz w:val="24"/>
        </w:rPr>
        <w:t>，卖方将承担全部运输、卸货、现场安装、调试、性能复核直至双方签发最终验收证书为止的一切责任、风险和费用。</w:t>
      </w:r>
    </w:p>
    <w:p w14:paraId="566D1E7A">
      <w:pPr>
        <w:shd w:val="clear" w:color="auto" w:fill="auto"/>
        <w:spacing w:line="360" w:lineRule="auto"/>
        <w:ind w:firstLine="480" w:firstLineChars="200"/>
        <w:rPr>
          <w:rFonts w:hint="eastAsia" w:ascii="宋体" w:hAnsi="宋体" w:cs="宋体"/>
          <w:bCs/>
          <w:sz w:val="24"/>
        </w:rPr>
      </w:pPr>
      <w:r>
        <w:rPr>
          <w:rFonts w:hint="eastAsia" w:ascii="宋体" w:hAnsi="宋体" w:cs="宋体"/>
          <w:bCs/>
          <w:sz w:val="24"/>
        </w:rPr>
        <w:t>3、本招标要求提出的是最低限度的技术要求，并未对一切技术细节作出规定，也未充分引述有关标准和规范的条文，卖方应提供符合本要求和有关工业标准的优质产品。</w:t>
      </w:r>
    </w:p>
    <w:p w14:paraId="3CFC2CC2">
      <w:pPr>
        <w:shd w:val="clear" w:color="auto" w:fill="auto"/>
        <w:spacing w:line="360" w:lineRule="auto"/>
        <w:ind w:firstLine="480" w:firstLineChars="200"/>
        <w:rPr>
          <w:rFonts w:hint="eastAsia" w:ascii="宋体" w:hAnsi="宋体" w:cs="宋体"/>
          <w:bCs/>
          <w:sz w:val="24"/>
        </w:rPr>
      </w:pPr>
      <w:r>
        <w:rPr>
          <w:rFonts w:hint="eastAsia" w:ascii="宋体" w:hAnsi="宋体" w:cs="宋体"/>
          <w:bCs/>
          <w:sz w:val="24"/>
        </w:rPr>
        <w:t>4、如果没有以书面形式对本要求的条文提出异议，则意味着卖方提供的设备完全符合本要求，如有异议，都应在投标书中以“与技术规格书的差异”为标题的专门章节中加以详细描述。</w:t>
      </w:r>
    </w:p>
    <w:p w14:paraId="7C89363E">
      <w:pPr>
        <w:shd w:val="clear" w:color="auto" w:fill="auto"/>
        <w:spacing w:line="360" w:lineRule="auto"/>
        <w:ind w:firstLine="480" w:firstLineChars="200"/>
        <w:rPr>
          <w:rFonts w:hint="eastAsia" w:ascii="宋体" w:hAnsi="宋体" w:cs="宋体"/>
          <w:bCs/>
          <w:sz w:val="24"/>
        </w:rPr>
      </w:pPr>
      <w:r>
        <w:rPr>
          <w:rFonts w:hint="eastAsia" w:ascii="宋体" w:hAnsi="宋体" w:cs="宋体"/>
          <w:bCs/>
          <w:sz w:val="24"/>
        </w:rPr>
        <w:t>5、本招标要求所使用的标准如遇与卖方所执行的标准发生矛盾时，按较高的标准执行。</w:t>
      </w:r>
    </w:p>
    <w:p w14:paraId="070D10F7">
      <w:pPr>
        <w:shd w:val="clear" w:color="auto" w:fill="auto"/>
        <w:spacing w:line="360" w:lineRule="auto"/>
        <w:ind w:firstLine="480" w:firstLineChars="200"/>
        <w:rPr>
          <w:rFonts w:hint="eastAsia" w:ascii="宋体" w:hAnsi="宋体" w:cs="宋体"/>
          <w:sz w:val="24"/>
        </w:rPr>
      </w:pPr>
      <w:r>
        <w:rPr>
          <w:rFonts w:hint="eastAsia" w:ascii="宋体" w:hAnsi="宋体" w:cs="宋体"/>
          <w:bCs/>
          <w:sz w:val="24"/>
          <w:lang w:val="en-US" w:eastAsia="zh-CN"/>
        </w:rPr>
        <w:t>6、</w:t>
      </w:r>
      <w:r>
        <w:rPr>
          <w:rFonts w:hint="eastAsia" w:ascii="宋体" w:hAnsi="宋体" w:cs="宋体"/>
          <w:bCs/>
          <w:sz w:val="24"/>
        </w:rPr>
        <w:t>本招标要求经招、投标双方确认后，作为合同的技术附件，与合同正文具有同等效力。</w:t>
      </w:r>
    </w:p>
    <w:p w14:paraId="3E15E9DD">
      <w:pPr>
        <w:pStyle w:val="4"/>
        <w:spacing w:line="360" w:lineRule="auto"/>
        <w:jc w:val="center"/>
        <w:rPr>
          <w:rFonts w:hint="eastAsia"/>
          <w:sz w:val="24"/>
          <w:szCs w:val="24"/>
        </w:rPr>
      </w:pPr>
      <w:r>
        <w:rPr>
          <w:rFonts w:hAnsi="宋体"/>
          <w:color w:val="FF0000"/>
          <w:highlight w:val="none"/>
        </w:rPr>
        <w:br w:type="page"/>
      </w:r>
      <w:bookmarkEnd w:id="437"/>
      <w:bookmarkStart w:id="441" w:name="_Toc7737"/>
      <w:bookmarkStart w:id="442" w:name="_Toc5935"/>
      <w:r>
        <w:rPr>
          <w:rFonts w:hint="eastAsia" w:hAnsi="宋体"/>
          <w:color w:val="auto"/>
          <w:highlight w:val="none"/>
          <w:lang w:eastAsia="zh-CN"/>
        </w:rPr>
        <w:t>第二章</w:t>
      </w:r>
      <w:r>
        <w:rPr>
          <w:rFonts w:hint="eastAsia" w:hAnsi="宋体"/>
          <w:color w:val="auto"/>
          <w:highlight w:val="none"/>
          <w:lang w:val="en-US" w:eastAsia="zh-CN"/>
        </w:rPr>
        <w:t xml:space="preserve"> 采购内容 </w:t>
      </w:r>
      <w:bookmarkEnd w:id="441"/>
      <w:bookmarkEnd w:id="442"/>
    </w:p>
    <w:p w14:paraId="5F30BB19">
      <w:pPr>
        <w:pStyle w:val="3"/>
        <w:shd w:val="clear" w:color="auto" w:fill="auto"/>
        <w:spacing w:line="360" w:lineRule="auto"/>
        <w:jc w:val="left"/>
        <w:rPr>
          <w:rFonts w:hint="eastAsia" w:ascii="宋体" w:hAnsi="宋体" w:eastAsia="宋体" w:cs="宋体"/>
          <w:bCs w:val="0"/>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bCs w:val="0"/>
          <w:color w:val="auto"/>
          <w:sz w:val="24"/>
          <w:szCs w:val="24"/>
          <w:highlight w:val="none"/>
        </w:rPr>
        <w:t>总体要求</w:t>
      </w:r>
    </w:p>
    <w:p w14:paraId="10AE382B">
      <w:pPr>
        <w:widowControl/>
        <w:numPr>
          <w:ilvl w:val="0"/>
          <w:numId w:val="35"/>
        </w:numPr>
        <w:shd w:val="clear" w:color="auto" w:fill="auto"/>
        <w:spacing w:line="360" w:lineRule="auto"/>
        <w:ind w:firstLine="480" w:firstLineChars="200"/>
        <w:jc w:val="left"/>
        <w:rPr>
          <w:rFonts w:hint="eastAsia" w:ascii="宋体" w:hAnsi="宋体" w:cs="宋体"/>
          <w:color w:val="auto"/>
          <w:kern w:val="0"/>
          <w:sz w:val="24"/>
          <w:highlight w:val="none"/>
          <w:lang w:bidi="ar"/>
        </w:rPr>
      </w:pPr>
      <w:r>
        <w:rPr>
          <w:rFonts w:hint="eastAsia" w:ascii="宋体" w:hAnsi="宋体" w:cs="宋体"/>
          <w:color w:val="auto"/>
          <w:kern w:val="0"/>
          <w:sz w:val="24"/>
          <w:highlight w:val="none"/>
          <w:lang w:bidi="ar"/>
        </w:rPr>
        <w:t>设备的</w:t>
      </w:r>
      <w:r>
        <w:rPr>
          <w:rFonts w:hint="eastAsia" w:ascii="宋体" w:hAnsi="宋体" w:cs="宋体"/>
          <w:color w:val="auto"/>
          <w:kern w:val="0"/>
          <w:sz w:val="24"/>
          <w:highlight w:val="none"/>
          <w:lang w:eastAsia="zh-CN" w:bidi="ar"/>
        </w:rPr>
        <w:t>维修改造</w:t>
      </w:r>
      <w:r>
        <w:rPr>
          <w:rFonts w:hint="eastAsia" w:ascii="宋体" w:hAnsi="宋体" w:cs="宋体"/>
          <w:color w:val="auto"/>
          <w:kern w:val="0"/>
          <w:sz w:val="24"/>
          <w:highlight w:val="none"/>
          <w:lang w:bidi="ar"/>
        </w:rPr>
        <w:t>应满足</w:t>
      </w:r>
      <w:r>
        <w:rPr>
          <w:rFonts w:hint="eastAsia" w:ascii="宋体" w:hAnsi="宋体" w:cs="宋体"/>
          <w:color w:val="auto"/>
          <w:kern w:val="0"/>
          <w:sz w:val="24"/>
          <w:highlight w:val="none"/>
          <w:lang w:eastAsia="zh-CN" w:bidi="ar"/>
        </w:rPr>
        <w:t>搅拌机</w:t>
      </w:r>
      <w:r>
        <w:rPr>
          <w:rFonts w:hint="eastAsia" w:ascii="宋体" w:hAnsi="宋体" w:cs="宋体"/>
          <w:color w:val="auto"/>
          <w:kern w:val="0"/>
          <w:sz w:val="24"/>
          <w:highlight w:val="none"/>
          <w:lang w:bidi="ar"/>
        </w:rPr>
        <w:t>设备安装施工及验收规范及其它行业相关规范；应适合于绍兴市上虞区的海边作业环境和条件。</w:t>
      </w:r>
    </w:p>
    <w:p w14:paraId="584B7919">
      <w:pPr>
        <w:widowControl/>
        <w:numPr>
          <w:ilvl w:val="0"/>
          <w:numId w:val="35"/>
        </w:numPr>
        <w:shd w:val="clear" w:color="auto" w:fill="auto"/>
        <w:spacing w:line="360" w:lineRule="auto"/>
        <w:ind w:firstLine="480" w:firstLineChars="200"/>
        <w:jc w:val="left"/>
        <w:rPr>
          <w:rFonts w:hint="eastAsia" w:ascii="宋体" w:hAnsi="宋体" w:cs="宋体"/>
          <w:bCs w:val="0"/>
          <w:color w:val="auto"/>
          <w:kern w:val="0"/>
          <w:sz w:val="24"/>
          <w:highlight w:val="none"/>
          <w:lang w:bidi="ar"/>
        </w:rPr>
      </w:pPr>
      <w:r>
        <w:rPr>
          <w:rFonts w:hint="eastAsia" w:ascii="宋体" w:hAnsi="宋体" w:cs="宋体"/>
          <w:color w:val="auto"/>
          <w:kern w:val="0"/>
          <w:sz w:val="24"/>
          <w:highlight w:val="none"/>
          <w:lang w:eastAsia="zh-CN" w:bidi="ar"/>
        </w:rPr>
        <w:t>维修改造的</w:t>
      </w:r>
      <w:r>
        <w:rPr>
          <w:rFonts w:hint="eastAsia" w:ascii="宋体" w:hAnsi="宋体" w:cs="宋体"/>
          <w:bCs w:val="0"/>
          <w:color w:val="auto"/>
          <w:kern w:val="0"/>
          <w:sz w:val="24"/>
          <w:highlight w:val="none"/>
          <w:lang w:bidi="ar"/>
        </w:rPr>
        <w:t>设备系统应完整、安全可靠，具有足够的能力，不需附加任何条件即可满足所有应具备的功能和要求。</w:t>
      </w:r>
    </w:p>
    <w:p w14:paraId="26D412E8">
      <w:pPr>
        <w:pStyle w:val="3"/>
        <w:shd w:val="clear" w:color="auto" w:fill="auto"/>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2、采购内容</w:t>
      </w:r>
    </w:p>
    <w:tbl>
      <w:tblPr>
        <w:tblStyle w:val="3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09"/>
        <w:gridCol w:w="4108"/>
        <w:gridCol w:w="761"/>
        <w:gridCol w:w="944"/>
      </w:tblGrid>
      <w:tr w14:paraId="66045B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2709" w:type="dxa"/>
            <w:noWrap w:val="0"/>
            <w:vAlign w:val="center"/>
          </w:tcPr>
          <w:p w14:paraId="4B2E208F">
            <w:pPr>
              <w:widowControl/>
              <w:numPr>
                <w:ilvl w:val="-1"/>
                <w:numId w:val="0"/>
              </w:numPr>
              <w:shd w:val="clear" w:color="auto" w:fill="auto"/>
              <w:spacing w:line="360" w:lineRule="auto"/>
              <w:ind w:firstLine="0" w:firstLineChars="0"/>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名称</w:t>
            </w:r>
          </w:p>
        </w:tc>
        <w:tc>
          <w:tcPr>
            <w:tcW w:w="4108" w:type="dxa"/>
            <w:noWrap w:val="0"/>
            <w:vAlign w:val="center"/>
          </w:tcPr>
          <w:p w14:paraId="15B4982D">
            <w:pPr>
              <w:shd w:val="clear" w:color="auto" w:fill="auto"/>
              <w:spacing w:line="360" w:lineRule="auto"/>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需求</w:t>
            </w:r>
          </w:p>
        </w:tc>
        <w:tc>
          <w:tcPr>
            <w:tcW w:w="761" w:type="dxa"/>
            <w:noWrap w:val="0"/>
            <w:vAlign w:val="center"/>
          </w:tcPr>
          <w:p w14:paraId="64B82062">
            <w:pPr>
              <w:shd w:val="clear" w:color="auto" w:fill="auto"/>
              <w:spacing w:line="360" w:lineRule="auto"/>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数量</w:t>
            </w:r>
          </w:p>
        </w:tc>
        <w:tc>
          <w:tcPr>
            <w:tcW w:w="944" w:type="dxa"/>
            <w:noWrap w:val="0"/>
            <w:vAlign w:val="center"/>
          </w:tcPr>
          <w:p w14:paraId="76B263E7">
            <w:pPr>
              <w:shd w:val="clear" w:color="auto" w:fill="auto"/>
              <w:spacing w:line="360" w:lineRule="auto"/>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单位</w:t>
            </w:r>
          </w:p>
        </w:tc>
      </w:tr>
      <w:tr w14:paraId="2A93F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2709" w:type="dxa"/>
            <w:noWrap w:val="0"/>
            <w:vAlign w:val="center"/>
          </w:tcPr>
          <w:p w14:paraId="41E95CEB">
            <w:pPr>
              <w:widowControl/>
              <w:numPr>
                <w:ilvl w:val="-1"/>
                <w:numId w:val="0"/>
              </w:numPr>
              <w:shd w:val="clear" w:color="auto" w:fill="auto"/>
              <w:spacing w:line="360" w:lineRule="auto"/>
              <w:ind w:firstLine="0" w:firstLineChars="0"/>
              <w:jc w:val="center"/>
              <w:rPr>
                <w:rFonts w:hint="eastAsia" w:ascii="宋体" w:hAnsi="宋体" w:cs="宋体"/>
                <w:color w:val="auto"/>
                <w:kern w:val="0"/>
                <w:sz w:val="24"/>
                <w:highlight w:val="none"/>
                <w:lang w:bidi="ar"/>
              </w:rPr>
            </w:pPr>
            <w:r>
              <w:rPr>
                <w:rFonts w:hint="eastAsia" w:ascii="宋体" w:hAnsi="宋体" w:cs="宋体"/>
                <w:color w:val="auto"/>
                <w:kern w:val="0"/>
                <w:sz w:val="24"/>
                <w:highlight w:val="none"/>
                <w:lang w:val="en-US" w:eastAsia="zh-CN" w:bidi="ar"/>
              </w:rPr>
              <w:t>3方</w:t>
            </w:r>
            <w:r>
              <w:rPr>
                <w:rFonts w:hint="eastAsia" w:ascii="宋体" w:hAnsi="宋体" w:cs="宋体"/>
                <w:color w:val="auto"/>
                <w:kern w:val="0"/>
                <w:sz w:val="24"/>
                <w:highlight w:val="none"/>
                <w:lang w:eastAsia="zh-CN" w:bidi="ar"/>
              </w:rPr>
              <w:t>立轴搅拌机提升改造成</w:t>
            </w:r>
            <w:r>
              <w:rPr>
                <w:rFonts w:hint="eastAsia" w:ascii="宋体" w:hAnsi="宋体" w:cs="宋体"/>
                <w:color w:val="auto"/>
                <w:kern w:val="0"/>
                <w:sz w:val="24"/>
                <w:highlight w:val="none"/>
                <w:lang w:val="en-US" w:eastAsia="zh-CN" w:bidi="ar"/>
              </w:rPr>
              <w:t>3方</w:t>
            </w:r>
            <w:r>
              <w:rPr>
                <w:rFonts w:hint="eastAsia" w:ascii="宋体" w:hAnsi="宋体" w:cs="宋体"/>
                <w:color w:val="auto"/>
                <w:kern w:val="0"/>
                <w:sz w:val="24"/>
                <w:highlight w:val="none"/>
                <w:lang w:eastAsia="zh-CN" w:bidi="ar"/>
              </w:rPr>
              <w:t>卧轴搅拌机</w:t>
            </w:r>
          </w:p>
        </w:tc>
        <w:tc>
          <w:tcPr>
            <w:tcW w:w="4108" w:type="dxa"/>
            <w:noWrap w:val="0"/>
            <w:vAlign w:val="center"/>
          </w:tcPr>
          <w:p w14:paraId="60D00595">
            <w:pPr>
              <w:pStyle w:val="51"/>
              <w:numPr>
                <w:ilvl w:val="0"/>
                <w:numId w:val="36"/>
              </w:numPr>
              <w:shd w:val="clear" w:color="auto" w:fill="auto"/>
              <w:ind w:firstLine="0"/>
              <w:rPr>
                <w:rFonts w:hint="eastAsia"/>
                <w:color w:val="auto"/>
                <w:lang w:eastAsia="zh-CN"/>
              </w:rPr>
            </w:pPr>
            <w:r>
              <w:rPr>
                <w:rFonts w:hint="eastAsia" w:ascii="宋体" w:hAnsi="宋体" w:eastAsia="宋体" w:cs="宋体"/>
                <w:color w:val="auto"/>
                <w:kern w:val="0"/>
                <w:sz w:val="24"/>
                <w:highlight w:val="none"/>
                <w:lang w:eastAsia="zh-CN" w:bidi="ar"/>
              </w:rPr>
              <w:t>卧轴</w:t>
            </w:r>
            <w:r>
              <w:rPr>
                <w:rFonts w:hint="eastAsia"/>
                <w:color w:val="auto"/>
                <w:lang w:eastAsia="zh-CN"/>
              </w:rPr>
              <w:t>搅拌机正常运行状态下产量至少达到</w:t>
            </w:r>
            <w:r>
              <w:rPr>
                <w:rFonts w:hint="eastAsia"/>
                <w:color w:val="auto"/>
                <w:lang w:val="en-US" w:eastAsia="zh-CN"/>
              </w:rPr>
              <w:t>180</w:t>
            </w:r>
            <w:r>
              <w:rPr>
                <w:rFonts w:hint="eastAsia"/>
                <w:color w:val="auto"/>
                <w:lang w:eastAsia="zh-CN"/>
              </w:rPr>
              <w:t>方/小时。</w:t>
            </w:r>
          </w:p>
          <w:p w14:paraId="01386C9F">
            <w:pPr>
              <w:pStyle w:val="51"/>
              <w:numPr>
                <w:ilvl w:val="0"/>
                <w:numId w:val="36"/>
              </w:numPr>
              <w:shd w:val="clear" w:color="auto" w:fill="auto"/>
              <w:ind w:firstLine="0"/>
              <w:rPr>
                <w:rFonts w:hint="eastAsia"/>
                <w:color w:val="auto"/>
                <w:lang w:eastAsia="zh-CN"/>
              </w:rPr>
            </w:pPr>
            <w:r>
              <w:rPr>
                <w:rFonts w:hint="eastAsia"/>
                <w:color w:val="auto"/>
                <w:lang w:eastAsia="zh-CN"/>
              </w:rPr>
              <w:t>提升改造深化方案设计。</w:t>
            </w:r>
          </w:p>
          <w:p w14:paraId="05F7D508">
            <w:pPr>
              <w:pStyle w:val="51"/>
              <w:numPr>
                <w:ilvl w:val="0"/>
                <w:numId w:val="0"/>
              </w:numPr>
              <w:shd w:val="clear" w:color="auto" w:fill="auto"/>
              <w:jc w:val="left"/>
              <w:rPr>
                <w:rFonts w:hint="eastAsia" w:cs="Times New Roman"/>
                <w:color w:val="auto"/>
                <w:lang w:val="en-US" w:eastAsia="zh-CN"/>
              </w:rPr>
            </w:pPr>
            <w:r>
              <w:rPr>
                <w:rFonts w:hint="eastAsia" w:cs="Times New Roman"/>
                <w:color w:val="auto"/>
                <w:lang w:val="en-US" w:eastAsia="zh-CN"/>
              </w:rPr>
              <w:t>3</w:t>
            </w:r>
            <w:r>
              <w:rPr>
                <w:rFonts w:hint="eastAsia" w:ascii="宋体" w:hAnsi="宋体" w:eastAsia="宋体" w:cs="Times New Roman"/>
                <w:color w:val="auto"/>
                <w:lang w:val="en-US" w:eastAsia="zh-CN"/>
              </w:rPr>
              <w:t>、</w:t>
            </w:r>
            <w:r>
              <w:rPr>
                <w:rFonts w:hint="eastAsia" w:cs="Times New Roman"/>
                <w:color w:val="auto"/>
                <w:lang w:val="en-US" w:eastAsia="zh-CN"/>
              </w:rPr>
              <w:t>原主机的拆除、新主机的安装、调试，验收。（含吊机费用）</w:t>
            </w:r>
            <w:r>
              <w:rPr>
                <w:rFonts w:hint="eastAsia"/>
                <w:color w:val="auto"/>
                <w:lang w:eastAsia="zh-CN"/>
              </w:rPr>
              <w:t>。</w:t>
            </w:r>
          </w:p>
          <w:p w14:paraId="4ABCC865">
            <w:pPr>
              <w:pStyle w:val="51"/>
              <w:numPr>
                <w:ilvl w:val="0"/>
                <w:numId w:val="0"/>
              </w:numPr>
              <w:shd w:val="clear" w:color="auto" w:fill="auto"/>
              <w:jc w:val="left"/>
              <w:rPr>
                <w:rFonts w:hint="eastAsia"/>
                <w:color w:val="auto"/>
                <w:highlight w:val="none"/>
              </w:rPr>
            </w:pPr>
            <w:r>
              <w:rPr>
                <w:rFonts w:hint="eastAsia" w:cs="Times New Roman"/>
                <w:color w:val="auto"/>
                <w:lang w:val="en-US" w:eastAsia="zh-CN"/>
              </w:rPr>
              <w:t>4、原场地大棚拆除及复原。</w:t>
            </w:r>
          </w:p>
        </w:tc>
        <w:tc>
          <w:tcPr>
            <w:tcW w:w="761" w:type="dxa"/>
            <w:noWrap w:val="0"/>
            <w:vAlign w:val="center"/>
          </w:tcPr>
          <w:p w14:paraId="78950378">
            <w:pPr>
              <w:widowControl/>
              <w:numPr>
                <w:ilvl w:val="0"/>
                <w:numId w:val="0"/>
              </w:numPr>
              <w:shd w:val="clear" w:color="auto" w:fill="auto"/>
              <w:spacing w:line="360" w:lineRule="auto"/>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2</w:t>
            </w:r>
          </w:p>
        </w:tc>
        <w:tc>
          <w:tcPr>
            <w:tcW w:w="944" w:type="dxa"/>
            <w:noWrap w:val="0"/>
            <w:vAlign w:val="center"/>
          </w:tcPr>
          <w:p w14:paraId="1CDB6500">
            <w:pPr>
              <w:widowControl/>
              <w:numPr>
                <w:ilvl w:val="0"/>
                <w:numId w:val="0"/>
              </w:numPr>
              <w:shd w:val="clear" w:color="auto" w:fill="auto"/>
              <w:spacing w:line="360" w:lineRule="auto"/>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台</w:t>
            </w:r>
          </w:p>
        </w:tc>
      </w:tr>
    </w:tbl>
    <w:p w14:paraId="67BE8F0E">
      <w:pPr>
        <w:pStyle w:val="3"/>
        <w:numPr>
          <w:ilvl w:val="0"/>
          <w:numId w:val="36"/>
        </w:numPr>
        <w:shd w:val="clear" w:color="auto" w:fill="auto"/>
        <w:spacing w:line="360" w:lineRule="auto"/>
        <w:jc w:val="left"/>
        <w:rPr>
          <w:rFonts w:hint="eastAsia" w:ascii="宋体" w:hAnsi="宋体"/>
          <w:b/>
          <w:color w:val="auto"/>
          <w:sz w:val="24"/>
          <w:highlight w:val="none"/>
        </w:rPr>
      </w:pPr>
      <w:r>
        <w:rPr>
          <w:rFonts w:hint="eastAsia"/>
          <w:b/>
          <w:color w:val="auto"/>
          <w:sz w:val="24"/>
          <w:highlight w:val="none"/>
          <w:lang w:eastAsia="zh-CN"/>
        </w:rPr>
        <w:t>原设备</w:t>
      </w:r>
      <w:r>
        <w:rPr>
          <w:rFonts w:hint="eastAsia" w:ascii="宋体" w:hAnsi="宋体"/>
          <w:b/>
          <w:color w:val="auto"/>
          <w:sz w:val="24"/>
          <w:highlight w:val="none"/>
        </w:rPr>
        <w:t>技术参数</w:t>
      </w:r>
      <w:r>
        <w:rPr>
          <w:rFonts w:hint="eastAsia"/>
          <w:b/>
          <w:color w:val="auto"/>
          <w:sz w:val="24"/>
          <w:highlight w:val="none"/>
          <w:lang w:eastAsia="zh-CN"/>
        </w:rPr>
        <w:t>和照片</w:t>
      </w:r>
    </w:p>
    <w:p w14:paraId="72953747">
      <w:pPr>
        <w:numPr>
          <w:ilvl w:val="0"/>
          <w:numId w:val="37"/>
        </w:numPr>
        <w:spacing w:line="360" w:lineRule="auto"/>
        <w:rPr>
          <w:rFonts w:hint="eastAsia" w:ascii="宋体" w:hAnsi="宋体"/>
          <w:b/>
          <w:color w:val="auto"/>
          <w:sz w:val="24"/>
          <w:highlight w:val="none"/>
          <w:lang w:eastAsia="zh-CN"/>
        </w:rPr>
      </w:pPr>
      <w:r>
        <w:rPr>
          <w:rFonts w:hint="eastAsia"/>
          <w:b/>
          <w:color w:val="auto"/>
          <w:sz w:val="24"/>
          <w:highlight w:val="none"/>
          <w:lang w:eastAsia="zh-CN"/>
        </w:rPr>
        <w:t>原设备</w:t>
      </w:r>
      <w:r>
        <w:rPr>
          <w:rFonts w:hint="eastAsia" w:ascii="宋体" w:hAnsi="宋体"/>
          <w:b/>
          <w:color w:val="auto"/>
          <w:sz w:val="24"/>
          <w:highlight w:val="none"/>
        </w:rPr>
        <w:t>技术参数</w:t>
      </w:r>
      <w:r>
        <w:rPr>
          <w:rFonts w:hint="eastAsia" w:ascii="宋体" w:hAnsi="宋体"/>
          <w:b/>
          <w:color w:val="auto"/>
          <w:sz w:val="24"/>
          <w:highlight w:val="none"/>
          <w:lang w:eastAsia="zh-CN"/>
        </w:rPr>
        <w:t>详见附件图纸</w:t>
      </w:r>
    </w:p>
    <w:p w14:paraId="53529BF4">
      <w:pPr>
        <w:numPr>
          <w:ilvl w:val="0"/>
          <w:numId w:val="37"/>
        </w:numPr>
        <w:spacing w:line="360" w:lineRule="auto"/>
        <w:rPr>
          <w:rFonts w:hint="eastAsia" w:ascii="宋体" w:hAnsi="宋体"/>
          <w:b/>
          <w:color w:val="auto"/>
          <w:sz w:val="24"/>
          <w:highlight w:val="none"/>
          <w:lang w:eastAsia="zh-CN"/>
        </w:rPr>
      </w:pPr>
      <w:r>
        <w:rPr>
          <w:rFonts w:hint="eastAsia" w:ascii="宋体" w:hAnsi="宋体"/>
          <w:b/>
          <w:color w:val="auto"/>
          <w:sz w:val="24"/>
          <w:highlight w:val="none"/>
          <w:lang w:eastAsia="zh-CN"/>
        </w:rPr>
        <w:t>原设备图片</w:t>
      </w:r>
    </w:p>
    <w:p w14:paraId="4BEB50FE">
      <w:pPr>
        <w:numPr>
          <w:ilvl w:val="-1"/>
          <w:numId w:val="0"/>
        </w:numPr>
        <w:spacing w:line="360" w:lineRule="auto"/>
        <w:rPr>
          <w:rFonts w:hint="eastAsia" w:ascii="宋体" w:hAnsi="宋体"/>
          <w:b/>
          <w:color w:val="auto"/>
          <w:sz w:val="24"/>
          <w:highlight w:val="none"/>
          <w:lang w:eastAsia="zh-CN"/>
        </w:rPr>
      </w:pPr>
      <w:r>
        <w:rPr>
          <w:rFonts w:hint="eastAsia" w:ascii="宋体" w:hAnsi="宋体" w:eastAsia="宋体" w:cs="宋体"/>
          <w:b/>
          <w:bCs/>
          <w:color w:val="auto"/>
          <w:sz w:val="24"/>
          <w:highlight w:val="none"/>
          <w:lang w:eastAsia="zh-CN"/>
        </w:rPr>
        <w:drawing>
          <wp:inline distT="0" distB="0" distL="114300" distR="114300">
            <wp:extent cx="5266690" cy="2962910"/>
            <wp:effectExtent l="0" t="0" r="10160" b="8890"/>
            <wp:docPr id="6" name="图片 6" descr="d11b684f7147917058685d824d234f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d11b684f7147917058685d824d234fc"/>
                    <pic:cNvPicPr>
                      <a:picLocks noChangeAspect="1"/>
                    </pic:cNvPicPr>
                  </pic:nvPicPr>
                  <pic:blipFill>
                    <a:blip r:embed="rId8"/>
                    <a:stretch>
                      <a:fillRect/>
                    </a:stretch>
                  </pic:blipFill>
                  <pic:spPr>
                    <a:xfrm>
                      <a:off x="0" y="0"/>
                      <a:ext cx="5266690" cy="2962910"/>
                    </a:xfrm>
                    <a:prstGeom prst="rect">
                      <a:avLst/>
                    </a:prstGeom>
                  </pic:spPr>
                </pic:pic>
              </a:graphicData>
            </a:graphic>
          </wp:inline>
        </w:drawing>
      </w:r>
    </w:p>
    <w:p w14:paraId="5AF20ABC">
      <w:pPr>
        <w:pStyle w:val="3"/>
        <w:numPr>
          <w:ilvl w:val="0"/>
          <w:numId w:val="36"/>
        </w:numPr>
        <w:shd w:val="clear" w:color="auto" w:fill="auto"/>
        <w:spacing w:line="360" w:lineRule="auto"/>
        <w:jc w:val="left"/>
        <w:rPr>
          <w:rFonts w:hint="eastAsia" w:ascii="宋体" w:hAnsi="宋体"/>
          <w:b/>
          <w:color w:val="auto"/>
          <w:sz w:val="24"/>
          <w:highlight w:val="none"/>
        </w:rPr>
      </w:pPr>
      <w:r>
        <w:rPr>
          <w:rFonts w:hint="eastAsia"/>
          <w:b/>
          <w:color w:val="auto"/>
          <w:sz w:val="24"/>
          <w:highlight w:val="none"/>
          <w:lang w:eastAsia="zh-CN"/>
        </w:rPr>
        <w:t>部件更换清单</w:t>
      </w:r>
    </w:p>
    <w:tbl>
      <w:tblPr>
        <w:tblStyle w:val="30"/>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36"/>
        <w:gridCol w:w="2839"/>
        <w:gridCol w:w="2844"/>
      </w:tblGrid>
      <w:tr w14:paraId="094A9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rPr>
        <w:tc>
          <w:tcPr>
            <w:tcW w:w="1665" w:type="pct"/>
            <w:noWrap w:val="0"/>
            <w:vAlign w:val="center"/>
          </w:tcPr>
          <w:p w14:paraId="4CF1F4BD">
            <w:pPr>
              <w:widowControl/>
              <w:numPr>
                <w:ilvl w:val="0"/>
                <w:numId w:val="0"/>
              </w:numPr>
              <w:shd w:val="clear" w:color="auto" w:fill="auto"/>
              <w:spacing w:line="360" w:lineRule="auto"/>
              <w:ind w:firstLine="0" w:firstLineChars="0"/>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名称</w:t>
            </w:r>
          </w:p>
        </w:tc>
        <w:tc>
          <w:tcPr>
            <w:tcW w:w="1666" w:type="pct"/>
            <w:noWrap w:val="0"/>
            <w:vAlign w:val="center"/>
          </w:tcPr>
          <w:p w14:paraId="66112D85">
            <w:pPr>
              <w:shd w:val="clear" w:color="auto" w:fill="auto"/>
              <w:spacing w:line="360" w:lineRule="auto"/>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数量</w:t>
            </w:r>
          </w:p>
        </w:tc>
        <w:tc>
          <w:tcPr>
            <w:tcW w:w="1668" w:type="pct"/>
            <w:noWrap w:val="0"/>
            <w:vAlign w:val="center"/>
          </w:tcPr>
          <w:p w14:paraId="78C3D6B2">
            <w:pPr>
              <w:shd w:val="clear" w:color="auto" w:fill="auto"/>
              <w:spacing w:line="360" w:lineRule="auto"/>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单位</w:t>
            </w:r>
          </w:p>
        </w:tc>
      </w:tr>
      <w:tr w14:paraId="71F15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1665" w:type="pct"/>
            <w:noWrap w:val="0"/>
            <w:vAlign w:val="center"/>
          </w:tcPr>
          <w:p w14:paraId="3A25B517">
            <w:pPr>
              <w:widowControl/>
              <w:numPr>
                <w:ilvl w:val="-1"/>
                <w:numId w:val="0"/>
              </w:numPr>
              <w:shd w:val="clear" w:color="auto" w:fill="auto"/>
              <w:spacing w:line="360" w:lineRule="auto"/>
              <w:ind w:firstLine="960" w:firstLineChars="400"/>
              <w:jc w:val="both"/>
              <w:rPr>
                <w:rFonts w:hint="eastAsia" w:ascii="宋体" w:hAnsi="宋体" w:cs="宋体"/>
                <w:color w:val="auto"/>
                <w:kern w:val="0"/>
                <w:sz w:val="24"/>
                <w:highlight w:val="none"/>
                <w:lang w:bidi="ar"/>
              </w:rPr>
            </w:pPr>
            <w:r>
              <w:rPr>
                <w:rFonts w:hint="eastAsia" w:ascii="宋体" w:hAnsi="宋体" w:cs="宋体"/>
                <w:color w:val="auto"/>
                <w:spacing w:val="0"/>
                <w:kern w:val="0"/>
                <w:sz w:val="24"/>
                <w:highlight w:val="none"/>
                <w:lang w:bidi="ar"/>
              </w:rPr>
              <w:t>搅拌主机</w:t>
            </w:r>
          </w:p>
        </w:tc>
        <w:tc>
          <w:tcPr>
            <w:tcW w:w="1666" w:type="pct"/>
            <w:noWrap w:val="0"/>
            <w:vAlign w:val="center"/>
          </w:tcPr>
          <w:p w14:paraId="513D20B9">
            <w:pPr>
              <w:widowControl/>
              <w:numPr>
                <w:ilvl w:val="0"/>
                <w:numId w:val="0"/>
              </w:numPr>
              <w:shd w:val="clear" w:color="auto" w:fill="auto"/>
              <w:spacing w:line="360" w:lineRule="auto"/>
              <w:ind w:left="0" w:leftChars="0" w:firstLine="0" w:firstLineChars="0"/>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2</w:t>
            </w:r>
          </w:p>
        </w:tc>
        <w:tc>
          <w:tcPr>
            <w:tcW w:w="1668" w:type="pct"/>
            <w:noWrap w:val="0"/>
            <w:vAlign w:val="center"/>
          </w:tcPr>
          <w:p w14:paraId="5CB5D1FA">
            <w:pPr>
              <w:widowControl/>
              <w:numPr>
                <w:ilvl w:val="0"/>
                <w:numId w:val="0"/>
              </w:numPr>
              <w:shd w:val="clear" w:color="auto" w:fill="auto"/>
              <w:spacing w:line="360" w:lineRule="auto"/>
              <w:ind w:left="0" w:leftChars="0" w:firstLine="0" w:firstLineChars="0"/>
              <w:jc w:val="center"/>
              <w:rPr>
                <w:rFonts w:hint="eastAsia" w:ascii="宋体" w:hAnsi="宋体" w:eastAsia="宋体" w:cs="宋体"/>
                <w:color w:val="auto"/>
                <w:kern w:val="0"/>
                <w:sz w:val="24"/>
                <w:highlight w:val="none"/>
                <w:lang w:eastAsia="zh-CN" w:bidi="ar"/>
              </w:rPr>
            </w:pPr>
            <w:r>
              <w:rPr>
                <w:rFonts w:hint="eastAsia" w:ascii="宋体" w:hAnsi="宋体" w:cs="宋体"/>
                <w:color w:val="auto"/>
                <w:kern w:val="0"/>
                <w:sz w:val="24"/>
                <w:highlight w:val="none"/>
                <w:lang w:eastAsia="zh-CN" w:bidi="ar"/>
              </w:rPr>
              <w:t>套</w:t>
            </w:r>
          </w:p>
        </w:tc>
      </w:tr>
      <w:tr w14:paraId="530C4E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1665" w:type="pct"/>
            <w:noWrap w:val="0"/>
            <w:vAlign w:val="center"/>
          </w:tcPr>
          <w:p w14:paraId="26D21024">
            <w:pPr>
              <w:numPr>
                <w:ilvl w:val="-1"/>
                <w:numId w:val="0"/>
              </w:numPr>
              <w:shd w:val="clear" w:color="auto" w:fill="auto"/>
              <w:spacing w:line="360" w:lineRule="auto"/>
              <w:ind w:firstLine="0" w:firstLineChars="0"/>
              <w:jc w:val="center"/>
              <w:rPr>
                <w:rFonts w:hint="eastAsia" w:ascii="宋体" w:hAnsi="宋体" w:cs="宋体"/>
                <w:color w:val="auto"/>
                <w:spacing w:val="0"/>
                <w:kern w:val="0"/>
                <w:sz w:val="24"/>
                <w:highlight w:val="none"/>
                <w:lang w:bidi="ar"/>
              </w:rPr>
            </w:pPr>
            <w:r>
              <w:rPr>
                <w:rFonts w:hint="eastAsia" w:ascii="宋体" w:hAnsi="宋体" w:cs="宋体"/>
                <w:color w:val="auto"/>
                <w:spacing w:val="0"/>
                <w:kern w:val="0"/>
                <w:sz w:val="24"/>
                <w:highlight w:val="none"/>
              </w:rPr>
              <w:t>卸料</w:t>
            </w:r>
            <w:r>
              <w:rPr>
                <w:rFonts w:hint="eastAsia" w:ascii="宋体" w:hAnsi="宋体" w:cs="宋体"/>
                <w:color w:val="auto"/>
                <w:kern w:val="0"/>
                <w:sz w:val="24"/>
                <w:highlight w:val="none"/>
              </w:rPr>
              <w:t>斗</w:t>
            </w:r>
          </w:p>
        </w:tc>
        <w:tc>
          <w:tcPr>
            <w:tcW w:w="1666" w:type="pct"/>
            <w:noWrap w:val="0"/>
            <w:vAlign w:val="center"/>
          </w:tcPr>
          <w:p w14:paraId="1ACA292F">
            <w:pPr>
              <w:widowControl/>
              <w:numPr>
                <w:ilvl w:val="0"/>
                <w:numId w:val="0"/>
              </w:numPr>
              <w:shd w:val="clear" w:color="auto" w:fill="auto"/>
              <w:spacing w:line="360" w:lineRule="auto"/>
              <w:ind w:left="0" w:leftChars="0" w:firstLine="0" w:firstLineChars="0"/>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2</w:t>
            </w:r>
          </w:p>
        </w:tc>
        <w:tc>
          <w:tcPr>
            <w:tcW w:w="1668" w:type="pct"/>
            <w:noWrap w:val="0"/>
            <w:vAlign w:val="center"/>
          </w:tcPr>
          <w:p w14:paraId="3780CB3A">
            <w:pPr>
              <w:widowControl/>
              <w:numPr>
                <w:ilvl w:val="0"/>
                <w:numId w:val="0"/>
              </w:numPr>
              <w:shd w:val="clear" w:color="auto" w:fill="auto"/>
              <w:spacing w:line="360" w:lineRule="auto"/>
              <w:ind w:left="0" w:leftChars="0" w:firstLine="0" w:firstLineChars="0"/>
              <w:jc w:val="center"/>
              <w:rPr>
                <w:rFonts w:hint="eastAsia" w:ascii="宋体" w:hAnsi="宋体" w:eastAsia="宋体" w:cs="宋体"/>
                <w:color w:val="auto"/>
                <w:kern w:val="0"/>
                <w:sz w:val="24"/>
                <w:highlight w:val="none"/>
                <w:lang w:bidi="ar"/>
              </w:rPr>
            </w:pPr>
            <w:r>
              <w:rPr>
                <w:rFonts w:hint="eastAsia" w:ascii="宋体" w:hAnsi="宋体" w:cs="宋体"/>
                <w:color w:val="auto"/>
                <w:kern w:val="0"/>
                <w:sz w:val="24"/>
                <w:highlight w:val="none"/>
                <w:lang w:eastAsia="zh-CN" w:bidi="ar"/>
              </w:rPr>
              <w:t>套</w:t>
            </w:r>
          </w:p>
        </w:tc>
      </w:tr>
      <w:tr w14:paraId="10890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1665" w:type="pct"/>
            <w:noWrap w:val="0"/>
            <w:vAlign w:val="center"/>
          </w:tcPr>
          <w:p w14:paraId="38B0305B">
            <w:pPr>
              <w:numPr>
                <w:ilvl w:val="-1"/>
                <w:numId w:val="0"/>
              </w:numPr>
              <w:shd w:val="clear" w:color="auto" w:fill="auto"/>
              <w:spacing w:line="360" w:lineRule="auto"/>
              <w:ind w:firstLine="0" w:firstLineChars="0"/>
              <w:jc w:val="center"/>
              <w:rPr>
                <w:rFonts w:hint="eastAsia" w:ascii="宋体" w:hAnsi="宋体" w:cs="宋体"/>
                <w:color w:val="auto"/>
                <w:spacing w:val="0"/>
                <w:kern w:val="0"/>
                <w:sz w:val="24"/>
                <w:highlight w:val="none"/>
                <w:lang w:bidi="ar"/>
              </w:rPr>
            </w:pPr>
            <w:r>
              <w:rPr>
                <w:rFonts w:hint="eastAsia" w:ascii="宋体" w:hAnsi="宋体" w:cs="宋体"/>
                <w:color w:val="auto"/>
                <w:spacing w:val="0"/>
                <w:kern w:val="0"/>
                <w:sz w:val="24"/>
                <w:highlight w:val="none"/>
              </w:rPr>
              <w:t>过渡</w:t>
            </w:r>
            <w:r>
              <w:rPr>
                <w:rFonts w:hint="eastAsia" w:ascii="宋体" w:hAnsi="宋体" w:cs="宋体"/>
                <w:color w:val="auto"/>
                <w:kern w:val="0"/>
                <w:sz w:val="24"/>
                <w:highlight w:val="none"/>
              </w:rPr>
              <w:t>仓</w:t>
            </w:r>
          </w:p>
        </w:tc>
        <w:tc>
          <w:tcPr>
            <w:tcW w:w="1666" w:type="pct"/>
            <w:noWrap w:val="0"/>
            <w:vAlign w:val="center"/>
          </w:tcPr>
          <w:p w14:paraId="2F219F1F">
            <w:pPr>
              <w:widowControl/>
              <w:numPr>
                <w:ilvl w:val="0"/>
                <w:numId w:val="0"/>
              </w:numPr>
              <w:shd w:val="clear" w:color="auto" w:fill="auto"/>
              <w:spacing w:line="360" w:lineRule="auto"/>
              <w:ind w:left="0" w:leftChars="0" w:firstLine="0" w:firstLineChars="0"/>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2</w:t>
            </w:r>
          </w:p>
        </w:tc>
        <w:tc>
          <w:tcPr>
            <w:tcW w:w="1668" w:type="pct"/>
            <w:noWrap w:val="0"/>
            <w:vAlign w:val="center"/>
          </w:tcPr>
          <w:p w14:paraId="713FA2A4">
            <w:pPr>
              <w:widowControl/>
              <w:numPr>
                <w:ilvl w:val="0"/>
                <w:numId w:val="0"/>
              </w:numPr>
              <w:shd w:val="clear" w:color="auto" w:fill="auto"/>
              <w:spacing w:line="360" w:lineRule="auto"/>
              <w:ind w:left="0" w:leftChars="0" w:firstLine="0" w:firstLineChars="0"/>
              <w:jc w:val="center"/>
              <w:rPr>
                <w:rFonts w:hint="eastAsia" w:ascii="宋体" w:hAnsi="宋体" w:eastAsia="宋体" w:cs="宋体"/>
                <w:color w:val="auto"/>
                <w:kern w:val="0"/>
                <w:sz w:val="24"/>
                <w:highlight w:val="none"/>
                <w:lang w:bidi="ar"/>
              </w:rPr>
            </w:pPr>
            <w:r>
              <w:rPr>
                <w:rFonts w:hint="eastAsia" w:ascii="宋体" w:hAnsi="宋体" w:cs="宋体"/>
                <w:color w:val="auto"/>
                <w:kern w:val="0"/>
                <w:sz w:val="24"/>
                <w:highlight w:val="none"/>
                <w:lang w:eastAsia="zh-CN" w:bidi="ar"/>
              </w:rPr>
              <w:t>套</w:t>
            </w:r>
          </w:p>
        </w:tc>
      </w:tr>
      <w:tr w14:paraId="0B311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1665" w:type="pct"/>
            <w:noWrap w:val="0"/>
            <w:vAlign w:val="center"/>
          </w:tcPr>
          <w:p w14:paraId="6AA5D47E">
            <w:pPr>
              <w:numPr>
                <w:ilvl w:val="-1"/>
                <w:numId w:val="0"/>
              </w:numPr>
              <w:shd w:val="clear" w:color="auto" w:fill="auto"/>
              <w:spacing w:line="360" w:lineRule="auto"/>
              <w:ind w:firstLine="0" w:firstLineChars="0"/>
              <w:jc w:val="center"/>
              <w:rPr>
                <w:rFonts w:hint="eastAsia" w:ascii="宋体" w:hAnsi="宋体" w:cs="宋体"/>
                <w:color w:val="auto"/>
                <w:spacing w:val="0"/>
                <w:kern w:val="0"/>
                <w:sz w:val="24"/>
                <w:highlight w:val="none"/>
              </w:rPr>
            </w:pPr>
            <w:r>
              <w:rPr>
                <w:rFonts w:hint="eastAsia" w:ascii="宋体" w:hAnsi="宋体" w:cs="宋体"/>
                <w:color w:val="auto"/>
                <w:spacing w:val="0"/>
                <w:kern w:val="0"/>
                <w:sz w:val="24"/>
                <w:highlight w:val="none"/>
              </w:rPr>
              <w:t>粉料集料</w:t>
            </w:r>
          </w:p>
        </w:tc>
        <w:tc>
          <w:tcPr>
            <w:tcW w:w="1666" w:type="pct"/>
            <w:noWrap w:val="0"/>
            <w:vAlign w:val="center"/>
          </w:tcPr>
          <w:p w14:paraId="52D1AD08">
            <w:pPr>
              <w:widowControl/>
              <w:numPr>
                <w:ilvl w:val="0"/>
                <w:numId w:val="0"/>
              </w:numPr>
              <w:shd w:val="clear" w:color="auto" w:fill="auto"/>
              <w:spacing w:line="360" w:lineRule="auto"/>
              <w:ind w:left="0" w:leftChars="0" w:firstLine="0" w:firstLineChars="0"/>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2</w:t>
            </w:r>
          </w:p>
        </w:tc>
        <w:tc>
          <w:tcPr>
            <w:tcW w:w="1668" w:type="pct"/>
            <w:noWrap w:val="0"/>
            <w:vAlign w:val="center"/>
          </w:tcPr>
          <w:p w14:paraId="339F2C76">
            <w:pPr>
              <w:widowControl/>
              <w:numPr>
                <w:ilvl w:val="0"/>
                <w:numId w:val="0"/>
              </w:numPr>
              <w:shd w:val="clear" w:color="auto" w:fill="auto"/>
              <w:spacing w:line="360" w:lineRule="auto"/>
              <w:ind w:left="0" w:leftChars="0" w:firstLine="0" w:firstLineChars="0"/>
              <w:jc w:val="center"/>
              <w:rPr>
                <w:rFonts w:hint="eastAsia" w:ascii="宋体" w:hAnsi="宋体" w:eastAsia="宋体" w:cs="宋体"/>
                <w:color w:val="auto"/>
                <w:kern w:val="0"/>
                <w:sz w:val="24"/>
                <w:highlight w:val="none"/>
                <w:lang w:bidi="ar"/>
              </w:rPr>
            </w:pPr>
            <w:r>
              <w:rPr>
                <w:rFonts w:hint="eastAsia" w:ascii="宋体" w:hAnsi="宋体" w:cs="宋体"/>
                <w:color w:val="auto"/>
                <w:kern w:val="0"/>
                <w:sz w:val="24"/>
                <w:highlight w:val="none"/>
                <w:lang w:eastAsia="zh-CN" w:bidi="ar"/>
              </w:rPr>
              <w:t>套</w:t>
            </w:r>
          </w:p>
        </w:tc>
      </w:tr>
      <w:tr w14:paraId="10A1B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1665" w:type="pct"/>
            <w:noWrap w:val="0"/>
            <w:vAlign w:val="center"/>
          </w:tcPr>
          <w:p w14:paraId="27A6D505">
            <w:pPr>
              <w:numPr>
                <w:ilvl w:val="-1"/>
                <w:numId w:val="0"/>
              </w:numPr>
              <w:shd w:val="clear" w:color="auto" w:fill="auto"/>
              <w:spacing w:line="360" w:lineRule="auto"/>
              <w:ind w:firstLine="0" w:firstLineChars="0"/>
              <w:jc w:val="center"/>
              <w:rPr>
                <w:rFonts w:hint="eastAsia" w:ascii="宋体" w:hAnsi="宋体" w:cs="宋体"/>
                <w:color w:val="auto"/>
                <w:spacing w:val="0"/>
                <w:kern w:val="0"/>
                <w:sz w:val="24"/>
                <w:highlight w:val="none"/>
              </w:rPr>
            </w:pPr>
            <w:r>
              <w:rPr>
                <w:rFonts w:hint="eastAsia" w:ascii="宋体" w:hAnsi="宋体" w:cs="宋体"/>
                <w:color w:val="auto"/>
                <w:spacing w:val="0"/>
                <w:kern w:val="0"/>
                <w:sz w:val="24"/>
                <w:highlight w:val="none"/>
              </w:rPr>
              <w:t>平台材料</w:t>
            </w:r>
          </w:p>
        </w:tc>
        <w:tc>
          <w:tcPr>
            <w:tcW w:w="1666" w:type="pct"/>
            <w:noWrap w:val="0"/>
            <w:vAlign w:val="center"/>
          </w:tcPr>
          <w:p w14:paraId="0425F5CD">
            <w:pPr>
              <w:widowControl/>
              <w:numPr>
                <w:ilvl w:val="0"/>
                <w:numId w:val="0"/>
              </w:numPr>
              <w:shd w:val="clear" w:color="auto" w:fill="auto"/>
              <w:spacing w:line="360" w:lineRule="auto"/>
              <w:ind w:left="0" w:leftChars="0" w:firstLine="0" w:firstLineChars="0"/>
              <w:jc w:val="center"/>
              <w:rPr>
                <w:rFonts w:hint="eastAsia" w:ascii="宋体" w:hAnsi="宋体" w:eastAsia="宋体" w:cs="宋体"/>
                <w:color w:val="auto"/>
                <w:kern w:val="0"/>
                <w:sz w:val="24"/>
                <w:highlight w:val="none"/>
                <w:lang w:bidi="ar"/>
              </w:rPr>
            </w:pPr>
            <w:r>
              <w:rPr>
                <w:rFonts w:hint="eastAsia" w:ascii="宋体" w:hAnsi="宋体" w:eastAsia="宋体" w:cs="宋体"/>
                <w:color w:val="auto"/>
                <w:kern w:val="0"/>
                <w:sz w:val="24"/>
                <w:highlight w:val="none"/>
                <w:lang w:bidi="ar"/>
              </w:rPr>
              <w:t>2</w:t>
            </w:r>
          </w:p>
        </w:tc>
        <w:tc>
          <w:tcPr>
            <w:tcW w:w="1668" w:type="pct"/>
            <w:noWrap w:val="0"/>
            <w:vAlign w:val="center"/>
          </w:tcPr>
          <w:p w14:paraId="115FF70E">
            <w:pPr>
              <w:widowControl/>
              <w:numPr>
                <w:ilvl w:val="0"/>
                <w:numId w:val="0"/>
              </w:numPr>
              <w:shd w:val="clear" w:color="auto" w:fill="auto"/>
              <w:spacing w:line="360" w:lineRule="auto"/>
              <w:ind w:left="0" w:leftChars="0" w:firstLine="0" w:firstLineChars="0"/>
              <w:jc w:val="center"/>
              <w:rPr>
                <w:rFonts w:hint="eastAsia" w:ascii="宋体" w:hAnsi="宋体" w:eastAsia="宋体" w:cs="宋体"/>
                <w:color w:val="auto"/>
                <w:kern w:val="0"/>
                <w:sz w:val="24"/>
                <w:highlight w:val="none"/>
                <w:lang w:bidi="ar"/>
              </w:rPr>
            </w:pPr>
            <w:r>
              <w:rPr>
                <w:rFonts w:hint="eastAsia" w:ascii="宋体" w:hAnsi="宋体" w:cs="宋体"/>
                <w:color w:val="auto"/>
                <w:kern w:val="0"/>
                <w:sz w:val="24"/>
                <w:highlight w:val="none"/>
                <w:lang w:eastAsia="zh-CN" w:bidi="ar"/>
              </w:rPr>
              <w:t>套</w:t>
            </w:r>
          </w:p>
        </w:tc>
      </w:tr>
      <w:tr w14:paraId="1AA8D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trPr>
        <w:tc>
          <w:tcPr>
            <w:tcW w:w="5000" w:type="pct"/>
            <w:gridSpan w:val="3"/>
            <w:noWrap w:val="0"/>
            <w:vAlign w:val="center"/>
          </w:tcPr>
          <w:p w14:paraId="6EB4C241">
            <w:pPr>
              <w:widowControl/>
              <w:numPr>
                <w:ilvl w:val="-1"/>
                <w:numId w:val="0"/>
              </w:numPr>
              <w:shd w:val="clear" w:color="auto" w:fill="auto"/>
              <w:spacing w:line="360" w:lineRule="auto"/>
              <w:ind w:left="0" w:leftChars="0" w:firstLine="480" w:firstLineChars="200"/>
              <w:jc w:val="left"/>
              <w:rPr>
                <w:rFonts w:hint="eastAsia" w:ascii="宋体" w:hAnsi="宋体" w:eastAsia="宋体" w:cs="宋体"/>
                <w:color w:val="auto"/>
                <w:kern w:val="0"/>
                <w:sz w:val="24"/>
                <w:highlight w:val="none"/>
                <w:lang w:bidi="ar"/>
              </w:rPr>
            </w:pPr>
            <w:r>
              <w:rPr>
                <w:rFonts w:hint="eastAsia"/>
                <w:b w:val="0"/>
                <w:bCs/>
                <w:sz w:val="24"/>
                <w:szCs w:val="24"/>
              </w:rPr>
              <w:t>以上是采购人提出的</w:t>
            </w:r>
            <w:r>
              <w:rPr>
                <w:rFonts w:hint="eastAsia"/>
                <w:b w:val="0"/>
                <w:bCs/>
                <w:sz w:val="24"/>
                <w:szCs w:val="24"/>
                <w:lang w:eastAsia="zh-CN"/>
              </w:rPr>
              <w:t>部件</w:t>
            </w:r>
            <w:r>
              <w:rPr>
                <w:rFonts w:hint="eastAsia"/>
                <w:b w:val="0"/>
                <w:bCs/>
                <w:sz w:val="24"/>
                <w:szCs w:val="24"/>
              </w:rPr>
              <w:t>基本</w:t>
            </w:r>
            <w:r>
              <w:rPr>
                <w:rFonts w:hint="eastAsia"/>
                <w:b w:val="0"/>
                <w:bCs/>
                <w:sz w:val="24"/>
                <w:szCs w:val="24"/>
                <w:lang w:eastAsia="zh-CN"/>
              </w:rPr>
              <w:t>改造</w:t>
            </w:r>
            <w:r>
              <w:rPr>
                <w:rFonts w:hint="eastAsia"/>
                <w:b w:val="0"/>
                <w:bCs/>
                <w:sz w:val="24"/>
                <w:szCs w:val="24"/>
              </w:rPr>
              <w:t>要求（不是全部要求）</w:t>
            </w:r>
            <w:r>
              <w:rPr>
                <w:rFonts w:hint="eastAsia"/>
                <w:b w:val="0"/>
                <w:bCs/>
                <w:sz w:val="24"/>
                <w:szCs w:val="24"/>
                <w:lang w:eastAsia="zh-CN"/>
              </w:rPr>
              <w:t>，</w:t>
            </w:r>
            <w:r>
              <w:rPr>
                <w:rFonts w:hint="eastAsia"/>
                <w:b w:val="0"/>
                <w:bCs/>
                <w:sz w:val="24"/>
                <w:szCs w:val="24"/>
              </w:rPr>
              <w:t>但并不因此限制或者拒绝</w:t>
            </w:r>
            <w:r>
              <w:rPr>
                <w:rFonts w:hint="eastAsia"/>
                <w:b w:val="0"/>
                <w:bCs/>
                <w:sz w:val="24"/>
                <w:szCs w:val="24"/>
                <w:lang w:eastAsia="zh-CN"/>
              </w:rPr>
              <w:t>投标人</w:t>
            </w:r>
            <w:r>
              <w:rPr>
                <w:rFonts w:hint="eastAsia"/>
                <w:b w:val="0"/>
                <w:bCs/>
                <w:sz w:val="24"/>
                <w:szCs w:val="24"/>
              </w:rPr>
              <w:t>以其他能满足本项目需求且性能</w:t>
            </w:r>
            <w:r>
              <w:rPr>
                <w:rFonts w:hint="eastAsia"/>
                <w:b w:val="0"/>
                <w:bCs/>
                <w:sz w:val="24"/>
                <w:szCs w:val="24"/>
                <w:lang w:eastAsia="zh-CN"/>
              </w:rPr>
              <w:t>的深化设计方案（带部件改造清单）</w:t>
            </w:r>
            <w:r>
              <w:rPr>
                <w:rFonts w:hint="eastAsia"/>
                <w:b w:val="0"/>
                <w:bCs/>
                <w:sz w:val="24"/>
                <w:szCs w:val="24"/>
              </w:rPr>
              <w:t>参加投标。</w:t>
            </w:r>
          </w:p>
        </w:tc>
      </w:tr>
    </w:tbl>
    <w:p w14:paraId="37BCD920">
      <w:pPr>
        <w:pStyle w:val="3"/>
        <w:shd w:val="clear" w:color="auto" w:fill="auto"/>
        <w:spacing w:line="360" w:lineRule="auto"/>
        <w:jc w:val="left"/>
        <w:rPr>
          <w:rFonts w:hint="eastAsia" w:cs="宋体"/>
          <w:color w:val="auto"/>
          <w:sz w:val="24"/>
          <w:szCs w:val="24"/>
          <w:highlight w:val="none"/>
        </w:rPr>
      </w:pPr>
      <w:r>
        <w:rPr>
          <w:rFonts w:hint="eastAsia" w:cs="宋体"/>
          <w:color w:val="auto"/>
          <w:sz w:val="24"/>
          <w:szCs w:val="24"/>
          <w:highlight w:val="none"/>
          <w:lang w:val="en-US" w:eastAsia="zh-CN"/>
        </w:rPr>
        <w:t>5、</w:t>
      </w:r>
      <w:r>
        <w:rPr>
          <w:rFonts w:hint="eastAsia" w:cs="宋体"/>
          <w:color w:val="auto"/>
          <w:sz w:val="24"/>
          <w:szCs w:val="24"/>
          <w:highlight w:val="none"/>
          <w:lang w:eastAsia="zh-CN"/>
        </w:rPr>
        <w:t>品牌</w:t>
      </w:r>
      <w:r>
        <w:rPr>
          <w:rFonts w:hint="eastAsia" w:cs="宋体"/>
          <w:color w:val="auto"/>
          <w:sz w:val="24"/>
          <w:szCs w:val="24"/>
          <w:highlight w:val="none"/>
        </w:rPr>
        <w:t>要求</w:t>
      </w:r>
    </w:p>
    <w:tbl>
      <w:tblPr>
        <w:tblStyle w:val="30"/>
        <w:tblW w:w="501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55"/>
        <w:gridCol w:w="4485"/>
        <w:gridCol w:w="1213"/>
      </w:tblGrid>
      <w:tr w14:paraId="796C5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exact"/>
          <w:jc w:val="center"/>
        </w:trPr>
        <w:tc>
          <w:tcPr>
            <w:tcW w:w="1669" w:type="pct"/>
            <w:noWrap w:val="0"/>
            <w:vAlign w:val="center"/>
          </w:tcPr>
          <w:p w14:paraId="1B7B1735">
            <w:pPr>
              <w:shd w:val="clear" w:color="auto" w:fill="auto"/>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名称</w:t>
            </w:r>
          </w:p>
        </w:tc>
        <w:tc>
          <w:tcPr>
            <w:tcW w:w="2621" w:type="pct"/>
            <w:noWrap w:val="0"/>
            <w:vAlign w:val="center"/>
          </w:tcPr>
          <w:p w14:paraId="68ADB5CD">
            <w:pPr>
              <w:shd w:val="clear" w:color="auto" w:fill="auto"/>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制造厂家（参照或相当于）</w:t>
            </w:r>
          </w:p>
        </w:tc>
        <w:tc>
          <w:tcPr>
            <w:tcW w:w="709" w:type="pct"/>
            <w:noWrap w:val="0"/>
            <w:vAlign w:val="center"/>
          </w:tcPr>
          <w:p w14:paraId="3F0222BB">
            <w:pPr>
              <w:shd w:val="clear" w:color="auto" w:fill="auto"/>
              <w:spacing w:line="360" w:lineRule="auto"/>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备注</w:t>
            </w:r>
          </w:p>
        </w:tc>
      </w:tr>
      <w:tr w14:paraId="6C0E2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exact"/>
          <w:jc w:val="center"/>
        </w:trPr>
        <w:tc>
          <w:tcPr>
            <w:tcW w:w="1669" w:type="pct"/>
            <w:noWrap w:val="0"/>
            <w:vAlign w:val="center"/>
          </w:tcPr>
          <w:p w14:paraId="4DB29DB0">
            <w:pPr>
              <w:shd w:val="clear" w:color="auto" w:fill="auto"/>
              <w:spacing w:line="360" w:lineRule="auto"/>
              <w:jc w:val="center"/>
              <w:rPr>
                <w:rFonts w:hint="eastAsia" w:ascii="宋体" w:hAnsi="宋体" w:cs="宋体"/>
                <w:color w:val="auto"/>
                <w:kern w:val="0"/>
                <w:sz w:val="24"/>
                <w:highlight w:val="none"/>
              </w:rPr>
            </w:pPr>
            <w:r>
              <w:rPr>
                <w:rFonts w:hint="eastAsia" w:ascii="宋体" w:hAnsi="宋体" w:cs="宋体"/>
                <w:color w:val="auto"/>
                <w:spacing w:val="0"/>
                <w:kern w:val="0"/>
                <w:sz w:val="24"/>
                <w:highlight w:val="none"/>
                <w:lang w:bidi="ar"/>
              </w:rPr>
              <w:t>搅拌主机</w:t>
            </w:r>
          </w:p>
        </w:tc>
        <w:tc>
          <w:tcPr>
            <w:tcW w:w="2621" w:type="pct"/>
            <w:noWrap w:val="0"/>
            <w:vAlign w:val="center"/>
          </w:tcPr>
          <w:p w14:paraId="599B326A">
            <w:pPr>
              <w:shd w:val="clear" w:color="auto" w:fill="auto"/>
              <w:spacing w:line="360" w:lineRule="auto"/>
              <w:jc w:val="center"/>
              <w:rPr>
                <w:rFonts w:hint="eastAsia" w:ascii="宋体" w:hAnsi="宋体" w:eastAsia="宋体" w:cs="宋体"/>
                <w:color w:val="auto"/>
                <w:kern w:val="0"/>
                <w:sz w:val="24"/>
                <w:highlight w:val="none"/>
                <w:lang w:eastAsia="zh-CN"/>
              </w:rPr>
            </w:pPr>
            <w:r>
              <w:rPr>
                <w:rFonts w:hint="eastAsia" w:ascii="宋体" w:hAnsi="宋体" w:cs="宋体"/>
                <w:color w:val="auto"/>
                <w:kern w:val="0"/>
                <w:sz w:val="24"/>
                <w:highlight w:val="none"/>
              </w:rPr>
              <w:t>米科思</w:t>
            </w:r>
            <w:r>
              <w:rPr>
                <w:rFonts w:hint="eastAsia" w:ascii="宋体" w:hAnsi="宋体" w:cs="宋体"/>
                <w:color w:val="auto"/>
                <w:kern w:val="0"/>
                <w:sz w:val="24"/>
                <w:highlight w:val="none"/>
                <w:lang w:eastAsia="zh-CN"/>
              </w:rPr>
              <w:t>、南方路机、仕高玛</w:t>
            </w:r>
          </w:p>
        </w:tc>
        <w:tc>
          <w:tcPr>
            <w:tcW w:w="709" w:type="pct"/>
            <w:noWrap w:val="0"/>
            <w:vAlign w:val="center"/>
          </w:tcPr>
          <w:p w14:paraId="57A650BF">
            <w:pPr>
              <w:shd w:val="clear" w:color="auto" w:fill="auto"/>
              <w:adjustRightInd w:val="0"/>
              <w:snapToGrid w:val="0"/>
              <w:spacing w:line="360" w:lineRule="auto"/>
              <w:jc w:val="center"/>
              <w:rPr>
                <w:rFonts w:hint="eastAsia" w:ascii="宋体" w:hAnsi="宋体" w:cs="宋体"/>
                <w:color w:val="auto"/>
                <w:sz w:val="24"/>
                <w:highlight w:val="none"/>
              </w:rPr>
            </w:pPr>
          </w:p>
        </w:tc>
      </w:tr>
    </w:tbl>
    <w:p w14:paraId="5B9B9A3C">
      <w:pPr>
        <w:pStyle w:val="3"/>
        <w:shd w:val="clear" w:color="auto" w:fill="auto"/>
        <w:spacing w:line="360" w:lineRule="auto"/>
        <w:jc w:val="left"/>
        <w:rPr>
          <w:rFonts w:hint="default" w:ascii="宋体" w:hAnsi="宋体" w:eastAsia="宋体" w:cs="宋体"/>
          <w:color w:val="auto"/>
          <w:sz w:val="24"/>
          <w:szCs w:val="24"/>
          <w:highlight w:val="none"/>
        </w:rPr>
      </w:pPr>
      <w:r>
        <w:rPr>
          <w:rFonts w:hint="eastAsia" w:cs="宋体"/>
          <w:b/>
          <w:bCs w:val="0"/>
          <w:color w:val="auto"/>
          <w:sz w:val="24"/>
          <w:szCs w:val="24"/>
          <w:highlight w:val="none"/>
          <w:lang w:val="en-US" w:eastAsia="zh-CN"/>
        </w:rPr>
        <w:t>6</w:t>
      </w:r>
      <w:r>
        <w:rPr>
          <w:rFonts w:hint="eastAsia" w:ascii="宋体" w:hAnsi="宋体" w:eastAsia="宋体" w:cs="宋体"/>
          <w:b/>
          <w:bCs w:val="0"/>
          <w:color w:val="auto"/>
          <w:sz w:val="24"/>
          <w:szCs w:val="24"/>
          <w:highlight w:val="none"/>
          <w:lang w:val="en-US" w:eastAsia="zh-CN"/>
        </w:rPr>
        <w:t>、</w:t>
      </w:r>
      <w:r>
        <w:rPr>
          <w:rFonts w:hint="default" w:ascii="宋体" w:hAnsi="宋体" w:eastAsia="宋体" w:cs="宋体"/>
          <w:color w:val="auto"/>
          <w:sz w:val="24"/>
          <w:szCs w:val="24"/>
          <w:highlight w:val="none"/>
        </w:rPr>
        <w:t>其他要求</w:t>
      </w:r>
    </w:p>
    <w:p w14:paraId="79372ED4">
      <w:pPr>
        <w:shd w:val="clear" w:color="auto" w:fill="auto"/>
        <w:spacing w:line="360" w:lineRule="auto"/>
        <w:rPr>
          <w:rFonts w:hint="eastAsia" w:ascii="宋体" w:hAnsi="宋体" w:eastAsia="宋体" w:cs="宋体"/>
          <w:bCs/>
          <w:sz w:val="24"/>
          <w:lang w:eastAsia="zh-CN"/>
        </w:rPr>
      </w:pPr>
      <w:r>
        <w:rPr>
          <w:rFonts w:hint="eastAsia" w:ascii="宋体" w:hAnsi="宋体" w:eastAsia="宋体" w:cs="宋体"/>
          <w:bCs/>
          <w:sz w:val="24"/>
          <w:lang w:eastAsia="zh-CN"/>
        </w:rPr>
        <w:t>（</w:t>
      </w:r>
      <w:r>
        <w:rPr>
          <w:rFonts w:hint="eastAsia" w:ascii="宋体" w:hAnsi="宋体" w:eastAsia="宋体" w:cs="宋体"/>
          <w:bCs/>
          <w:sz w:val="24"/>
          <w:lang w:val="en-US" w:eastAsia="zh-CN"/>
        </w:rPr>
        <w:t>1</w:t>
      </w:r>
      <w:r>
        <w:rPr>
          <w:rFonts w:hint="eastAsia" w:ascii="宋体" w:hAnsi="宋体" w:eastAsia="宋体" w:cs="宋体"/>
          <w:bCs/>
          <w:sz w:val="24"/>
          <w:lang w:eastAsia="zh-CN"/>
        </w:rPr>
        <w:t>）项目深化设计要求</w:t>
      </w:r>
    </w:p>
    <w:p w14:paraId="3C37E592">
      <w:pPr>
        <w:shd w:val="clear" w:color="auto" w:fill="auto"/>
        <w:spacing w:line="360" w:lineRule="auto"/>
        <w:ind w:firstLine="480" w:firstLineChars="200"/>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 xml:space="preserve">1.1 </w:t>
      </w:r>
      <w:r>
        <w:rPr>
          <w:rFonts w:hint="eastAsia" w:ascii="宋体" w:hAnsi="宋体" w:eastAsia="宋体" w:cs="宋体"/>
          <w:bCs/>
          <w:sz w:val="24"/>
          <w:szCs w:val="24"/>
          <w:lang w:eastAsia="zh-CN"/>
        </w:rPr>
        <w:t>中标后，深化设计方案须根据采购人的要求进行深化，编制齐全所有图纸并要求详细具体，经采购人最终确认后，方可开工。</w:t>
      </w:r>
    </w:p>
    <w:p w14:paraId="417DCAFC">
      <w:pPr>
        <w:shd w:val="clear" w:color="auto" w:fill="auto"/>
        <w:spacing w:line="360" w:lineRule="auto"/>
        <w:ind w:firstLine="480" w:firstLineChars="200"/>
        <w:rPr>
          <w:rFonts w:hint="eastAsia" w:ascii="宋体" w:hAnsi="宋体" w:eastAsia="宋体" w:cs="宋体"/>
          <w:bCs/>
          <w:sz w:val="24"/>
          <w:lang w:val="en-US" w:eastAsia="zh-CN"/>
        </w:rPr>
      </w:pPr>
      <w:r>
        <w:rPr>
          <w:rFonts w:hint="eastAsia" w:ascii="宋体" w:hAnsi="宋体" w:eastAsia="宋体" w:cs="宋体"/>
          <w:bCs/>
          <w:sz w:val="24"/>
          <w:szCs w:val="24"/>
          <w:lang w:val="en-US" w:eastAsia="zh-CN"/>
        </w:rPr>
        <w:t>1.2在设计过程中要符合相关</w:t>
      </w:r>
      <w:r>
        <w:rPr>
          <w:rFonts w:hint="eastAsia" w:ascii="宋体" w:hAnsi="宋体" w:cs="宋体"/>
          <w:bCs/>
          <w:sz w:val="24"/>
        </w:rPr>
        <w:t>标准和规范</w:t>
      </w:r>
      <w:r>
        <w:rPr>
          <w:rFonts w:hint="eastAsia" w:ascii="宋体" w:hAnsi="宋体" w:cs="宋体"/>
          <w:bCs/>
          <w:sz w:val="24"/>
          <w:lang w:eastAsia="zh-CN"/>
        </w:rPr>
        <w:t>的要求</w:t>
      </w:r>
      <w:r>
        <w:rPr>
          <w:rFonts w:hint="eastAsia" w:ascii="宋体" w:hAnsi="宋体" w:eastAsia="宋体" w:cs="宋体"/>
          <w:bCs/>
          <w:sz w:val="24"/>
          <w:szCs w:val="24"/>
          <w:lang w:val="en-US" w:eastAsia="zh-CN"/>
        </w:rPr>
        <w:t>。</w:t>
      </w:r>
    </w:p>
    <w:p w14:paraId="10BEF593">
      <w:pPr>
        <w:shd w:val="clear" w:color="auto" w:fill="auto"/>
        <w:spacing w:line="360" w:lineRule="auto"/>
        <w:ind w:firstLine="480" w:firstLineChars="200"/>
        <w:rPr>
          <w:rFonts w:hint="eastAsia" w:ascii="宋体" w:hAnsi="宋体" w:eastAsia="宋体" w:cs="宋体"/>
          <w:bCs/>
          <w:sz w:val="24"/>
          <w:szCs w:val="24"/>
          <w:lang w:eastAsia="zh-CN"/>
        </w:rPr>
      </w:pPr>
      <w:r>
        <w:rPr>
          <w:rFonts w:hint="eastAsia" w:ascii="宋体" w:hAnsi="宋体" w:eastAsia="宋体" w:cs="宋体"/>
          <w:bCs/>
          <w:sz w:val="24"/>
          <w:szCs w:val="24"/>
          <w:lang w:val="en-US" w:eastAsia="zh-CN"/>
        </w:rPr>
        <w:t>1.3合同签订后10天内</w:t>
      </w:r>
      <w:r>
        <w:rPr>
          <w:rFonts w:hint="eastAsia" w:ascii="宋体" w:hAnsi="宋体" w:eastAsia="宋体" w:cs="宋体"/>
          <w:bCs/>
          <w:sz w:val="24"/>
          <w:szCs w:val="24"/>
          <w:lang w:eastAsia="zh-CN"/>
        </w:rPr>
        <w:t>提交最终深化方案和定稿图纸。</w:t>
      </w:r>
    </w:p>
    <w:p w14:paraId="2E59F0BC">
      <w:pPr>
        <w:shd w:val="clear" w:color="auto" w:fill="auto"/>
        <w:spacing w:line="360" w:lineRule="auto"/>
        <w:rPr>
          <w:rFonts w:hint="eastAsia" w:ascii="宋体" w:hAnsi="宋体" w:cs="宋体"/>
          <w:bCs/>
          <w:sz w:val="24"/>
        </w:rPr>
      </w:pPr>
      <w:r>
        <w:rPr>
          <w:rFonts w:hint="eastAsia" w:ascii="宋体" w:hAnsi="宋体" w:cs="宋体"/>
          <w:bCs/>
          <w:sz w:val="24"/>
          <w:lang w:eastAsia="zh-CN"/>
        </w:rPr>
        <w:t>（</w:t>
      </w:r>
      <w:r>
        <w:rPr>
          <w:rFonts w:hint="eastAsia" w:ascii="宋体" w:hAnsi="宋体" w:cs="宋体"/>
          <w:bCs/>
          <w:sz w:val="24"/>
          <w:lang w:val="en-US" w:eastAsia="zh-CN"/>
        </w:rPr>
        <w:t>2</w:t>
      </w:r>
      <w:r>
        <w:rPr>
          <w:rFonts w:hint="eastAsia" w:ascii="宋体" w:hAnsi="宋体" w:cs="宋体"/>
          <w:bCs/>
          <w:sz w:val="24"/>
          <w:lang w:eastAsia="zh-CN"/>
        </w:rPr>
        <w:t>）</w:t>
      </w:r>
      <w:r>
        <w:rPr>
          <w:rFonts w:hint="eastAsia" w:ascii="宋体" w:hAnsi="宋体" w:cs="宋体"/>
          <w:bCs/>
          <w:sz w:val="24"/>
        </w:rPr>
        <w:t>供货要求</w:t>
      </w:r>
    </w:p>
    <w:p w14:paraId="0FE9D632">
      <w:pPr>
        <w:shd w:val="clear" w:color="auto" w:fill="auto"/>
        <w:spacing w:line="360" w:lineRule="auto"/>
        <w:ind w:firstLine="480" w:firstLineChars="200"/>
        <w:rPr>
          <w:rFonts w:hint="eastAsia" w:ascii="宋体" w:hAnsi="宋体" w:eastAsia="宋体" w:cs="宋体"/>
          <w:bCs/>
          <w:sz w:val="24"/>
        </w:rPr>
      </w:pPr>
      <w:r>
        <w:rPr>
          <w:rFonts w:hint="eastAsia" w:ascii="宋体" w:hAnsi="宋体" w:eastAsia="宋体" w:cs="宋体"/>
          <w:bCs/>
          <w:sz w:val="24"/>
          <w:lang w:val="en-US" w:eastAsia="zh-CN"/>
        </w:rPr>
        <w:t>2.1</w:t>
      </w:r>
      <w:r>
        <w:rPr>
          <w:rFonts w:hint="eastAsia" w:ascii="宋体" w:hAnsi="宋体" w:eastAsia="宋体" w:cs="宋体"/>
          <w:bCs/>
          <w:sz w:val="24"/>
          <w:lang w:eastAsia="zh-CN"/>
        </w:rPr>
        <w:t>修理完成的设备</w:t>
      </w:r>
      <w:r>
        <w:rPr>
          <w:rFonts w:hint="eastAsia" w:ascii="宋体" w:hAnsi="宋体" w:eastAsia="宋体" w:cs="宋体"/>
          <w:bCs/>
          <w:sz w:val="24"/>
        </w:rPr>
        <w:t>应能满足国家有关安全生产、劳动保护及环境保护的要求。设备应设计合理，技术可靠，结构安全和运行稳定；</w:t>
      </w:r>
    </w:p>
    <w:p w14:paraId="11B87EAC">
      <w:pPr>
        <w:shd w:val="clear" w:color="auto" w:fill="auto"/>
        <w:spacing w:line="360" w:lineRule="auto"/>
        <w:ind w:firstLine="480" w:firstLineChars="200"/>
        <w:rPr>
          <w:rFonts w:hint="eastAsia" w:ascii="宋体" w:hAnsi="宋体" w:eastAsia="宋体" w:cs="宋体"/>
          <w:bCs/>
          <w:sz w:val="24"/>
        </w:rPr>
      </w:pPr>
      <w:r>
        <w:rPr>
          <w:rFonts w:hint="eastAsia" w:ascii="宋体" w:hAnsi="宋体" w:eastAsia="宋体" w:cs="宋体"/>
          <w:bCs/>
          <w:sz w:val="24"/>
          <w:lang w:val="en-US" w:eastAsia="zh-CN"/>
        </w:rPr>
        <w:t>2.2</w:t>
      </w:r>
      <w:r>
        <w:rPr>
          <w:rFonts w:hint="eastAsia" w:ascii="宋体" w:hAnsi="宋体" w:eastAsia="宋体" w:cs="宋体"/>
          <w:bCs/>
          <w:sz w:val="24"/>
          <w:lang w:eastAsia="zh-CN"/>
        </w:rPr>
        <w:t>修理完成的设备</w:t>
      </w:r>
      <w:r>
        <w:rPr>
          <w:rFonts w:hint="eastAsia" w:ascii="宋体" w:hAnsi="宋体" w:eastAsia="宋体" w:cs="宋体"/>
          <w:bCs/>
          <w:sz w:val="24"/>
        </w:rPr>
        <w:t>应满足现场施工的需要；</w:t>
      </w:r>
    </w:p>
    <w:p w14:paraId="5256BEB7">
      <w:pPr>
        <w:shd w:val="clear" w:color="auto" w:fill="auto"/>
        <w:spacing w:line="360" w:lineRule="auto"/>
        <w:rPr>
          <w:rFonts w:hint="eastAsia" w:ascii="宋体" w:hAnsi="宋体" w:cs="宋体"/>
          <w:bCs/>
          <w:sz w:val="24"/>
        </w:rPr>
      </w:pPr>
      <w:r>
        <w:rPr>
          <w:rFonts w:hint="eastAsia" w:ascii="宋体" w:hAnsi="宋体" w:cs="宋体"/>
          <w:bCs/>
          <w:sz w:val="24"/>
          <w:lang w:eastAsia="zh-CN"/>
        </w:rPr>
        <w:t>（</w:t>
      </w:r>
      <w:r>
        <w:rPr>
          <w:rFonts w:hint="eastAsia" w:ascii="宋体" w:hAnsi="宋体" w:cs="宋体"/>
          <w:bCs/>
          <w:sz w:val="24"/>
          <w:lang w:val="en-US" w:eastAsia="zh-CN"/>
        </w:rPr>
        <w:t>3</w:t>
      </w:r>
      <w:r>
        <w:rPr>
          <w:rFonts w:hint="eastAsia" w:ascii="宋体" w:hAnsi="宋体" w:cs="宋体"/>
          <w:bCs/>
          <w:sz w:val="24"/>
          <w:lang w:eastAsia="zh-CN"/>
        </w:rPr>
        <w:t>）</w:t>
      </w:r>
      <w:r>
        <w:rPr>
          <w:rFonts w:hint="eastAsia" w:ascii="宋体" w:hAnsi="宋体" w:cs="宋体"/>
          <w:bCs/>
          <w:sz w:val="24"/>
        </w:rPr>
        <w:t>供货范围</w:t>
      </w:r>
    </w:p>
    <w:p w14:paraId="67BAFC07">
      <w:pPr>
        <w:shd w:val="clear" w:color="auto" w:fill="auto"/>
        <w:spacing w:line="360" w:lineRule="auto"/>
        <w:ind w:firstLine="480" w:firstLineChars="200"/>
        <w:rPr>
          <w:rFonts w:hint="eastAsia" w:ascii="宋体" w:hAnsi="宋体" w:eastAsia="宋体" w:cs="宋体"/>
          <w:bCs/>
          <w:sz w:val="24"/>
        </w:rPr>
      </w:pPr>
      <w:r>
        <w:rPr>
          <w:rFonts w:hint="eastAsia" w:ascii="宋体" w:hAnsi="宋体" w:eastAsia="宋体" w:cs="宋体"/>
          <w:bCs/>
          <w:sz w:val="24"/>
          <w:lang w:val="en-US" w:eastAsia="zh-CN"/>
        </w:rPr>
        <w:t>3.1</w:t>
      </w:r>
      <w:r>
        <w:rPr>
          <w:rFonts w:hint="eastAsia" w:ascii="宋体" w:hAnsi="宋体" w:eastAsia="宋体" w:cs="宋体"/>
          <w:bCs/>
          <w:sz w:val="24"/>
        </w:rPr>
        <w:t>对应设备供应，相应的备品备件、专用工具、技术资料以及有关的技术服务等；</w:t>
      </w:r>
    </w:p>
    <w:p w14:paraId="035FFCBB">
      <w:pPr>
        <w:shd w:val="clear" w:color="auto" w:fill="auto"/>
        <w:spacing w:line="360" w:lineRule="auto"/>
        <w:ind w:firstLine="480" w:firstLineChars="200"/>
        <w:rPr>
          <w:rFonts w:hint="eastAsia" w:ascii="宋体" w:hAnsi="宋体" w:eastAsia="宋体" w:cs="宋体"/>
          <w:bCs/>
          <w:sz w:val="24"/>
        </w:rPr>
      </w:pPr>
      <w:r>
        <w:rPr>
          <w:rFonts w:hint="eastAsia" w:ascii="宋体" w:hAnsi="宋体" w:eastAsia="宋体" w:cs="宋体"/>
          <w:bCs/>
          <w:sz w:val="24"/>
          <w:lang w:val="en-US" w:eastAsia="zh-CN"/>
        </w:rPr>
        <w:t>3.2</w:t>
      </w:r>
      <w:r>
        <w:rPr>
          <w:rFonts w:hint="eastAsia" w:ascii="宋体" w:hAnsi="宋体" w:eastAsia="宋体" w:cs="宋体"/>
          <w:bCs/>
          <w:sz w:val="24"/>
          <w:lang w:eastAsia="zh-CN"/>
        </w:rPr>
        <w:t>中标人</w:t>
      </w:r>
      <w:r>
        <w:rPr>
          <w:rFonts w:hint="eastAsia" w:ascii="宋体" w:hAnsi="宋体" w:eastAsia="宋体" w:cs="宋体"/>
          <w:bCs/>
          <w:sz w:val="24"/>
        </w:rPr>
        <w:t>保证</w:t>
      </w:r>
      <w:r>
        <w:rPr>
          <w:rFonts w:hint="eastAsia" w:ascii="宋体" w:hAnsi="宋体" w:eastAsia="宋体" w:cs="宋体"/>
          <w:bCs/>
          <w:sz w:val="24"/>
          <w:szCs w:val="24"/>
          <w:lang w:eastAsia="zh-CN"/>
        </w:rPr>
        <w:t>采购人</w:t>
      </w:r>
      <w:r>
        <w:rPr>
          <w:rFonts w:hint="eastAsia" w:ascii="宋体" w:hAnsi="宋体" w:eastAsia="宋体" w:cs="宋体"/>
          <w:bCs/>
          <w:sz w:val="24"/>
        </w:rPr>
        <w:t>不需要增购任何部件及材料，全套设备安装调试验收合格后即可顺利投入使用。</w:t>
      </w:r>
    </w:p>
    <w:p w14:paraId="59BD6132">
      <w:pPr>
        <w:shd w:val="clear" w:color="auto" w:fill="auto"/>
        <w:spacing w:line="360" w:lineRule="auto"/>
        <w:rPr>
          <w:rFonts w:hint="eastAsia" w:ascii="宋体" w:hAnsi="宋体" w:cs="宋体"/>
          <w:bCs/>
          <w:sz w:val="24"/>
        </w:rPr>
      </w:pPr>
      <w:r>
        <w:rPr>
          <w:rFonts w:hint="eastAsia" w:ascii="宋体" w:hAnsi="宋体" w:cs="宋体"/>
          <w:bCs/>
          <w:sz w:val="24"/>
          <w:lang w:eastAsia="zh-CN"/>
        </w:rPr>
        <w:t>（</w:t>
      </w:r>
      <w:r>
        <w:rPr>
          <w:rFonts w:hint="eastAsia" w:ascii="宋体" w:hAnsi="宋体" w:cs="宋体"/>
          <w:bCs/>
          <w:sz w:val="24"/>
          <w:lang w:val="en-US" w:eastAsia="zh-CN"/>
        </w:rPr>
        <w:t>4</w:t>
      </w:r>
      <w:r>
        <w:rPr>
          <w:rFonts w:hint="eastAsia" w:ascii="宋体" w:hAnsi="宋体" w:cs="宋体"/>
          <w:bCs/>
          <w:sz w:val="24"/>
          <w:lang w:eastAsia="zh-CN"/>
        </w:rPr>
        <w:t>）</w:t>
      </w:r>
      <w:r>
        <w:rPr>
          <w:rFonts w:hint="eastAsia" w:ascii="宋体" w:hAnsi="宋体" w:cs="宋体"/>
          <w:bCs/>
          <w:sz w:val="24"/>
        </w:rPr>
        <w:t>设备配置</w:t>
      </w:r>
    </w:p>
    <w:p w14:paraId="4C4C2039">
      <w:pPr>
        <w:shd w:val="clear" w:color="auto" w:fill="auto"/>
        <w:spacing w:line="360" w:lineRule="auto"/>
        <w:ind w:firstLine="480" w:firstLineChars="200"/>
        <w:rPr>
          <w:rFonts w:hint="default" w:ascii="宋体" w:hAnsi="宋体" w:eastAsia="宋体" w:cs="宋体"/>
          <w:bCs/>
          <w:sz w:val="24"/>
        </w:rPr>
      </w:pPr>
      <w:r>
        <w:rPr>
          <w:rFonts w:hint="default" w:ascii="宋体" w:hAnsi="宋体" w:eastAsia="宋体" w:cs="宋体"/>
          <w:bCs/>
          <w:sz w:val="24"/>
          <w:lang w:val="en-US" w:eastAsia="zh-CN"/>
        </w:rPr>
        <w:t>4.1</w:t>
      </w:r>
      <w:r>
        <w:rPr>
          <w:rFonts w:hint="default" w:ascii="宋体" w:hAnsi="宋体" w:eastAsia="宋体" w:cs="宋体"/>
          <w:bCs/>
          <w:sz w:val="24"/>
        </w:rPr>
        <w:t>设备</w:t>
      </w:r>
      <w:r>
        <w:rPr>
          <w:rFonts w:hint="default" w:ascii="宋体" w:hAnsi="宋体" w:eastAsia="宋体" w:cs="宋体"/>
          <w:bCs/>
          <w:sz w:val="24"/>
          <w:lang w:eastAsia="zh-CN"/>
        </w:rPr>
        <w:t>更换的</w:t>
      </w:r>
      <w:r>
        <w:rPr>
          <w:rFonts w:hint="default" w:ascii="宋体" w:hAnsi="宋体" w:eastAsia="宋体" w:cs="宋体"/>
          <w:bCs/>
          <w:sz w:val="24"/>
        </w:rPr>
        <w:t>部件应采用优质名牌产品，质量可靠、技术先进；</w:t>
      </w:r>
    </w:p>
    <w:p w14:paraId="19545AE6">
      <w:pPr>
        <w:shd w:val="clear" w:color="auto" w:fill="auto"/>
        <w:spacing w:line="360" w:lineRule="auto"/>
        <w:ind w:firstLine="480" w:firstLineChars="200"/>
        <w:rPr>
          <w:rFonts w:hint="default" w:ascii="宋体" w:hAnsi="宋体" w:eastAsia="宋体" w:cs="宋体"/>
          <w:bCs/>
          <w:sz w:val="24"/>
        </w:rPr>
      </w:pPr>
      <w:r>
        <w:rPr>
          <w:rFonts w:hint="default" w:ascii="宋体" w:hAnsi="宋体" w:eastAsia="宋体" w:cs="宋体"/>
          <w:bCs/>
          <w:sz w:val="24"/>
          <w:lang w:val="en-US" w:eastAsia="zh-CN"/>
        </w:rPr>
        <w:t>4.2</w:t>
      </w:r>
      <w:r>
        <w:rPr>
          <w:rFonts w:hint="default" w:ascii="宋体" w:hAnsi="宋体" w:eastAsia="宋体" w:cs="宋体"/>
          <w:bCs/>
          <w:sz w:val="24"/>
        </w:rPr>
        <w:t>外购件、外协件应提供生产厂家及其主要技术参数，重要零部件应提供按规范进行的试验报告和有关的合格文件。</w:t>
      </w:r>
    </w:p>
    <w:p w14:paraId="6FF386FA">
      <w:pPr>
        <w:shd w:val="clear" w:color="auto" w:fill="auto"/>
        <w:spacing w:line="360" w:lineRule="auto"/>
        <w:rPr>
          <w:rFonts w:hint="eastAsia" w:ascii="宋体" w:hAnsi="宋体" w:cs="宋体"/>
          <w:bCs/>
          <w:sz w:val="24"/>
        </w:rPr>
      </w:pPr>
      <w:r>
        <w:rPr>
          <w:rFonts w:hint="eastAsia" w:ascii="宋体" w:hAnsi="宋体" w:cs="宋体"/>
          <w:bCs/>
          <w:sz w:val="24"/>
          <w:lang w:eastAsia="zh-CN"/>
        </w:rPr>
        <w:t>（</w:t>
      </w:r>
      <w:r>
        <w:rPr>
          <w:rFonts w:hint="eastAsia" w:ascii="宋体" w:hAnsi="宋体" w:cs="宋体"/>
          <w:bCs/>
          <w:sz w:val="24"/>
          <w:lang w:val="en-US" w:eastAsia="zh-CN"/>
        </w:rPr>
        <w:t>5</w:t>
      </w:r>
      <w:r>
        <w:rPr>
          <w:rFonts w:hint="eastAsia" w:ascii="宋体" w:hAnsi="宋体" w:cs="宋体"/>
          <w:bCs/>
          <w:sz w:val="24"/>
          <w:lang w:eastAsia="zh-CN"/>
        </w:rPr>
        <w:t>）</w:t>
      </w:r>
      <w:r>
        <w:rPr>
          <w:rFonts w:hint="eastAsia" w:ascii="宋体" w:hAnsi="宋体" w:cs="宋体"/>
          <w:bCs/>
          <w:sz w:val="24"/>
        </w:rPr>
        <w:t>备品备件</w:t>
      </w:r>
    </w:p>
    <w:p w14:paraId="08A3F026">
      <w:pPr>
        <w:shd w:val="clear" w:color="auto" w:fill="auto"/>
        <w:spacing w:line="360" w:lineRule="auto"/>
        <w:ind w:firstLine="480" w:firstLineChars="200"/>
        <w:rPr>
          <w:rFonts w:hint="default" w:ascii="宋体" w:hAnsi="宋体" w:eastAsia="宋体" w:cs="宋体"/>
          <w:bCs/>
          <w:sz w:val="24"/>
        </w:rPr>
      </w:pPr>
      <w:r>
        <w:rPr>
          <w:rFonts w:hint="eastAsia" w:ascii="宋体" w:hAnsi="宋体" w:eastAsia="宋体" w:cs="宋体"/>
          <w:bCs/>
          <w:sz w:val="24"/>
          <w:lang w:val="en-US" w:eastAsia="zh-CN"/>
        </w:rPr>
        <w:t>5</w:t>
      </w:r>
      <w:r>
        <w:rPr>
          <w:rFonts w:hint="default" w:ascii="宋体" w:hAnsi="宋体" w:eastAsia="宋体" w:cs="宋体"/>
          <w:bCs/>
          <w:sz w:val="24"/>
          <w:lang w:val="en-US" w:eastAsia="zh-CN"/>
        </w:rPr>
        <w:t>.1</w:t>
      </w:r>
      <w:r>
        <w:rPr>
          <w:rFonts w:hint="default" w:ascii="宋体" w:hAnsi="宋体" w:eastAsia="宋体" w:cs="宋体"/>
          <w:bCs/>
          <w:sz w:val="24"/>
        </w:rPr>
        <w:t>中标人提供全套设备的随机备品备件的品种和数量，应保证</w:t>
      </w:r>
      <w:r>
        <w:rPr>
          <w:rFonts w:hint="eastAsia" w:ascii="宋体" w:hAnsi="宋体" w:eastAsia="宋体" w:cs="宋体"/>
          <w:bCs/>
          <w:sz w:val="24"/>
          <w:lang w:eastAsia="zh-CN"/>
        </w:rPr>
        <w:t>采购人</w:t>
      </w:r>
      <w:r>
        <w:rPr>
          <w:rFonts w:hint="default" w:ascii="宋体" w:hAnsi="宋体" w:eastAsia="宋体" w:cs="宋体"/>
          <w:bCs/>
          <w:sz w:val="24"/>
        </w:rPr>
        <w:t>在设备质量保证期内正常生产所需的全部备件及易损件的更换供应；</w:t>
      </w:r>
    </w:p>
    <w:p w14:paraId="59106C01">
      <w:pPr>
        <w:shd w:val="clear" w:color="auto" w:fill="auto"/>
        <w:spacing w:line="360" w:lineRule="auto"/>
        <w:ind w:firstLine="480" w:firstLineChars="200"/>
        <w:rPr>
          <w:rFonts w:hint="default" w:ascii="宋体" w:hAnsi="宋体" w:eastAsia="宋体" w:cs="宋体"/>
          <w:bCs/>
          <w:sz w:val="24"/>
        </w:rPr>
      </w:pPr>
      <w:r>
        <w:rPr>
          <w:rFonts w:hint="eastAsia" w:ascii="宋体" w:hAnsi="宋体" w:eastAsia="宋体" w:cs="宋体"/>
          <w:bCs/>
          <w:sz w:val="24"/>
          <w:lang w:val="en-US" w:eastAsia="zh-CN"/>
        </w:rPr>
        <w:t>5</w:t>
      </w:r>
      <w:r>
        <w:rPr>
          <w:rFonts w:hint="default" w:ascii="宋体" w:hAnsi="宋体" w:eastAsia="宋体" w:cs="宋体"/>
          <w:bCs/>
          <w:sz w:val="24"/>
          <w:lang w:val="en-US" w:eastAsia="zh-CN"/>
        </w:rPr>
        <w:t>.2</w:t>
      </w:r>
      <w:r>
        <w:rPr>
          <w:rFonts w:hint="default" w:ascii="宋体" w:hAnsi="宋体" w:eastAsia="宋体" w:cs="宋体"/>
          <w:bCs/>
          <w:sz w:val="24"/>
        </w:rPr>
        <w:t>分别提供随机备品备件明细表；</w:t>
      </w:r>
    </w:p>
    <w:p w14:paraId="4F54F2A5">
      <w:pPr>
        <w:shd w:val="clear" w:color="auto" w:fill="auto"/>
        <w:spacing w:line="360" w:lineRule="auto"/>
        <w:ind w:firstLine="480" w:firstLineChars="200"/>
        <w:rPr>
          <w:rFonts w:hint="default" w:ascii="宋体" w:hAnsi="宋体" w:eastAsia="宋体" w:cs="宋体"/>
          <w:bCs/>
          <w:sz w:val="24"/>
        </w:rPr>
      </w:pPr>
      <w:r>
        <w:rPr>
          <w:rFonts w:hint="eastAsia" w:ascii="宋体" w:hAnsi="宋体" w:eastAsia="宋体" w:cs="宋体"/>
          <w:bCs/>
          <w:sz w:val="24"/>
          <w:lang w:val="en-US" w:eastAsia="zh-CN"/>
        </w:rPr>
        <w:t>5</w:t>
      </w:r>
      <w:r>
        <w:rPr>
          <w:rFonts w:hint="default" w:ascii="宋体" w:hAnsi="宋体" w:eastAsia="宋体" w:cs="宋体"/>
          <w:bCs/>
          <w:sz w:val="24"/>
          <w:lang w:val="en-US" w:eastAsia="zh-CN"/>
        </w:rPr>
        <w:t>.3</w:t>
      </w:r>
      <w:r>
        <w:rPr>
          <w:rFonts w:hint="default" w:ascii="宋体" w:hAnsi="宋体" w:eastAsia="宋体" w:cs="宋体"/>
          <w:bCs/>
          <w:sz w:val="24"/>
        </w:rPr>
        <w:t>随机备品备件费用包括在投标总报价中。</w:t>
      </w:r>
    </w:p>
    <w:p w14:paraId="75587BE9">
      <w:pPr>
        <w:shd w:val="clear" w:color="auto" w:fill="auto"/>
        <w:spacing w:line="360" w:lineRule="auto"/>
        <w:rPr>
          <w:rFonts w:hint="eastAsia" w:ascii="宋体" w:hAnsi="宋体" w:cs="宋体"/>
          <w:bCs/>
          <w:sz w:val="24"/>
        </w:rPr>
      </w:pPr>
      <w:r>
        <w:rPr>
          <w:rFonts w:hint="eastAsia" w:ascii="宋体" w:hAnsi="宋体" w:cs="宋体"/>
          <w:bCs/>
          <w:sz w:val="24"/>
          <w:lang w:eastAsia="zh-CN"/>
        </w:rPr>
        <w:t>（</w:t>
      </w:r>
      <w:r>
        <w:rPr>
          <w:rFonts w:hint="eastAsia" w:ascii="宋体" w:hAnsi="宋体" w:cs="宋体"/>
          <w:bCs/>
          <w:sz w:val="24"/>
          <w:lang w:val="en-US" w:eastAsia="zh-CN"/>
        </w:rPr>
        <w:t>6</w:t>
      </w:r>
      <w:r>
        <w:rPr>
          <w:rFonts w:hint="eastAsia" w:ascii="宋体" w:hAnsi="宋体" w:cs="宋体"/>
          <w:bCs/>
          <w:sz w:val="24"/>
          <w:lang w:eastAsia="zh-CN"/>
        </w:rPr>
        <w:t>）</w:t>
      </w:r>
      <w:r>
        <w:rPr>
          <w:rFonts w:hint="eastAsia" w:ascii="宋体" w:hAnsi="宋体" w:cs="宋体"/>
          <w:bCs/>
          <w:sz w:val="24"/>
        </w:rPr>
        <w:t>专用工属具</w:t>
      </w:r>
    </w:p>
    <w:p w14:paraId="07F92EB8">
      <w:pPr>
        <w:shd w:val="clear" w:color="auto" w:fill="auto"/>
        <w:spacing w:line="360" w:lineRule="auto"/>
        <w:ind w:firstLine="480" w:firstLineChars="200"/>
        <w:rPr>
          <w:rFonts w:hint="default" w:ascii="宋体" w:hAnsi="宋体" w:eastAsia="宋体" w:cs="宋体"/>
          <w:bCs/>
          <w:sz w:val="24"/>
        </w:rPr>
      </w:pPr>
      <w:r>
        <w:rPr>
          <w:rFonts w:hint="default" w:ascii="宋体" w:hAnsi="宋体" w:eastAsia="宋体" w:cs="宋体"/>
          <w:bCs/>
          <w:sz w:val="24"/>
          <w:lang w:val="en-US" w:eastAsia="zh-CN"/>
        </w:rPr>
        <w:t>6.1</w:t>
      </w:r>
      <w:r>
        <w:rPr>
          <w:rFonts w:hint="default" w:ascii="宋体" w:hAnsi="宋体" w:eastAsia="宋体" w:cs="宋体"/>
          <w:bCs/>
          <w:sz w:val="24"/>
        </w:rPr>
        <w:t>中标人提供全套设备安装、调试及维修保养所需的全部专用工具；</w:t>
      </w:r>
    </w:p>
    <w:p w14:paraId="4A8FF8D3">
      <w:pPr>
        <w:shd w:val="clear" w:color="auto" w:fill="auto"/>
        <w:spacing w:line="360" w:lineRule="auto"/>
        <w:ind w:firstLine="480" w:firstLineChars="200"/>
        <w:rPr>
          <w:rFonts w:hint="default" w:ascii="宋体" w:hAnsi="宋体" w:eastAsia="宋体" w:cs="宋体"/>
          <w:bCs/>
          <w:sz w:val="24"/>
        </w:rPr>
      </w:pPr>
      <w:r>
        <w:rPr>
          <w:rFonts w:hint="default" w:ascii="宋体" w:hAnsi="宋体" w:eastAsia="宋体" w:cs="宋体"/>
          <w:bCs/>
          <w:sz w:val="24"/>
          <w:lang w:val="en-US" w:eastAsia="zh-CN"/>
        </w:rPr>
        <w:t>6.2</w:t>
      </w:r>
      <w:r>
        <w:rPr>
          <w:rFonts w:hint="default" w:ascii="宋体" w:hAnsi="宋体" w:eastAsia="宋体" w:cs="宋体"/>
          <w:bCs/>
          <w:sz w:val="24"/>
        </w:rPr>
        <w:t>分别提供随机专用工具明细表；</w:t>
      </w:r>
    </w:p>
    <w:p w14:paraId="69D54C2B">
      <w:pPr>
        <w:shd w:val="clear" w:color="auto" w:fill="auto"/>
        <w:spacing w:line="360" w:lineRule="auto"/>
        <w:ind w:firstLine="480" w:firstLineChars="200"/>
        <w:rPr>
          <w:rFonts w:hint="default" w:ascii="宋体" w:hAnsi="宋体" w:eastAsia="宋体" w:cs="宋体"/>
          <w:bCs/>
          <w:sz w:val="24"/>
        </w:rPr>
      </w:pPr>
      <w:r>
        <w:rPr>
          <w:rFonts w:hint="default" w:ascii="宋体" w:hAnsi="宋体" w:eastAsia="宋体" w:cs="宋体"/>
          <w:bCs/>
          <w:sz w:val="24"/>
          <w:lang w:val="en-US" w:eastAsia="zh-CN"/>
        </w:rPr>
        <w:t>6.3</w:t>
      </w:r>
      <w:r>
        <w:rPr>
          <w:rFonts w:hint="default" w:ascii="宋体" w:hAnsi="宋体" w:eastAsia="宋体" w:cs="宋体"/>
          <w:bCs/>
          <w:sz w:val="24"/>
        </w:rPr>
        <w:t>随机专用工具费用包括在投标总报价中。</w:t>
      </w:r>
    </w:p>
    <w:p w14:paraId="5E2A8575">
      <w:pPr>
        <w:shd w:val="clear" w:color="auto" w:fill="auto"/>
        <w:spacing w:line="360" w:lineRule="auto"/>
        <w:rPr>
          <w:rFonts w:hint="eastAsia" w:ascii="宋体" w:hAnsi="宋体" w:cs="宋体"/>
          <w:bCs/>
          <w:sz w:val="24"/>
        </w:rPr>
      </w:pPr>
      <w:r>
        <w:rPr>
          <w:rFonts w:hint="eastAsia" w:ascii="宋体" w:hAnsi="宋体" w:cs="宋体"/>
          <w:bCs/>
          <w:sz w:val="24"/>
          <w:lang w:eastAsia="zh-CN"/>
        </w:rPr>
        <w:t>（</w:t>
      </w:r>
      <w:r>
        <w:rPr>
          <w:rFonts w:hint="eastAsia" w:ascii="宋体" w:hAnsi="宋体" w:cs="宋体"/>
          <w:bCs/>
          <w:sz w:val="24"/>
          <w:lang w:val="en-US" w:eastAsia="zh-CN"/>
        </w:rPr>
        <w:t>7</w:t>
      </w:r>
      <w:r>
        <w:rPr>
          <w:rFonts w:hint="eastAsia" w:ascii="宋体" w:hAnsi="宋体" w:cs="宋体"/>
          <w:bCs/>
          <w:sz w:val="24"/>
          <w:lang w:eastAsia="zh-CN"/>
        </w:rPr>
        <w:t>）</w:t>
      </w:r>
      <w:r>
        <w:rPr>
          <w:rFonts w:hint="eastAsia" w:ascii="宋体" w:hAnsi="宋体" w:cs="宋体"/>
          <w:bCs/>
          <w:sz w:val="24"/>
        </w:rPr>
        <w:t>图纸资料</w:t>
      </w:r>
    </w:p>
    <w:p w14:paraId="02BA9E53">
      <w:pPr>
        <w:shd w:val="clear" w:color="auto" w:fill="auto"/>
        <w:spacing w:line="360" w:lineRule="auto"/>
        <w:ind w:firstLine="480" w:firstLineChars="200"/>
        <w:rPr>
          <w:rFonts w:hint="eastAsia" w:ascii="宋体" w:hAnsi="宋体" w:eastAsia="宋体" w:cs="宋体"/>
          <w:sz w:val="24"/>
        </w:rPr>
      </w:pPr>
      <w:r>
        <w:rPr>
          <w:rFonts w:hint="eastAsia" w:ascii="宋体" w:hAnsi="宋体" w:eastAsia="宋体" w:cs="宋体"/>
          <w:sz w:val="24"/>
          <w:lang w:val="en-US" w:eastAsia="zh-CN"/>
        </w:rPr>
        <w:t>7.1</w:t>
      </w:r>
      <w:r>
        <w:rPr>
          <w:rFonts w:hint="eastAsia" w:ascii="宋体" w:hAnsi="宋体" w:eastAsia="宋体" w:cs="宋体"/>
          <w:sz w:val="24"/>
          <w:lang w:eastAsia="zh-CN"/>
        </w:rPr>
        <w:t>中标人</w:t>
      </w:r>
      <w:r>
        <w:rPr>
          <w:rFonts w:hint="eastAsia" w:ascii="宋体" w:hAnsi="宋体" w:eastAsia="宋体" w:cs="宋体"/>
          <w:sz w:val="24"/>
        </w:rPr>
        <w:t>在</w:t>
      </w:r>
      <w:r>
        <w:rPr>
          <w:rFonts w:hint="eastAsia" w:ascii="宋体" w:hAnsi="宋体" w:eastAsia="宋体" w:cs="宋体"/>
          <w:bCs w:val="0"/>
          <w:sz w:val="24"/>
        </w:rPr>
        <w:t>投</w:t>
      </w:r>
      <w:r>
        <w:rPr>
          <w:rFonts w:hint="eastAsia" w:ascii="宋体" w:hAnsi="宋体" w:eastAsia="宋体" w:cs="宋体"/>
          <w:sz w:val="24"/>
        </w:rPr>
        <w:t>标时应分别提供以下资料：</w:t>
      </w:r>
    </w:p>
    <w:p w14:paraId="2F995620">
      <w:pPr>
        <w:numPr>
          <w:ilvl w:val="0"/>
          <w:numId w:val="38"/>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设备主要技术参数</w:t>
      </w:r>
    </w:p>
    <w:p w14:paraId="2A21FC88">
      <w:pPr>
        <w:numPr>
          <w:ilvl w:val="0"/>
          <w:numId w:val="38"/>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各主要部件外廓尺寸、重量、总重量</w:t>
      </w:r>
    </w:p>
    <w:p w14:paraId="012CDE80">
      <w:pPr>
        <w:numPr>
          <w:ilvl w:val="0"/>
          <w:numId w:val="38"/>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详细供货清单</w:t>
      </w:r>
    </w:p>
    <w:p w14:paraId="3653826A">
      <w:pPr>
        <w:numPr>
          <w:ilvl w:val="0"/>
          <w:numId w:val="38"/>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随机备品备件清单</w:t>
      </w:r>
    </w:p>
    <w:p w14:paraId="565B66A1">
      <w:pPr>
        <w:numPr>
          <w:ilvl w:val="0"/>
          <w:numId w:val="38"/>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随机专用工具清单</w:t>
      </w:r>
    </w:p>
    <w:p w14:paraId="7299FDE1">
      <w:pPr>
        <w:numPr>
          <w:ilvl w:val="0"/>
          <w:numId w:val="38"/>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设备主要部件的材质表</w:t>
      </w:r>
    </w:p>
    <w:p w14:paraId="7729DCB2">
      <w:pPr>
        <w:numPr>
          <w:ilvl w:val="0"/>
          <w:numId w:val="38"/>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主要配套的外购件清单，包括电气及机械配套件的名称、规格型号、生产厂家、数量等</w:t>
      </w:r>
    </w:p>
    <w:p w14:paraId="6FE7CC49">
      <w:pPr>
        <w:shd w:val="clear" w:color="auto" w:fill="auto"/>
        <w:spacing w:line="360" w:lineRule="auto"/>
        <w:ind w:firstLine="480" w:firstLineChars="200"/>
        <w:rPr>
          <w:rFonts w:hint="eastAsia" w:ascii="宋体" w:hAnsi="宋体" w:cs="宋体"/>
          <w:sz w:val="24"/>
        </w:rPr>
      </w:pPr>
      <w:r>
        <w:rPr>
          <w:rFonts w:hint="eastAsia" w:ascii="宋体" w:hAnsi="宋体" w:cs="宋体"/>
          <w:sz w:val="24"/>
          <w:lang w:val="en-US" w:eastAsia="zh-CN"/>
        </w:rPr>
        <w:t>7.2</w:t>
      </w:r>
      <w:r>
        <w:rPr>
          <w:rFonts w:hint="eastAsia" w:ascii="宋体" w:hAnsi="宋体" w:cs="宋体"/>
          <w:sz w:val="24"/>
        </w:rPr>
        <w:t>中标人交货时应随机提供以下图纸资料（包含但不限于）：</w:t>
      </w:r>
    </w:p>
    <w:p w14:paraId="25C9D8E6">
      <w:pPr>
        <w:numPr>
          <w:ilvl w:val="0"/>
          <w:numId w:val="39"/>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设备总图；</w:t>
      </w:r>
    </w:p>
    <w:p w14:paraId="56131519">
      <w:pPr>
        <w:numPr>
          <w:ilvl w:val="0"/>
          <w:numId w:val="39"/>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设备使用说明书</w:t>
      </w:r>
    </w:p>
    <w:p w14:paraId="0A63F79B">
      <w:pPr>
        <w:numPr>
          <w:ilvl w:val="0"/>
          <w:numId w:val="39"/>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设备维修保养手册</w:t>
      </w:r>
    </w:p>
    <w:p w14:paraId="455AEE22">
      <w:pPr>
        <w:numPr>
          <w:ilvl w:val="0"/>
          <w:numId w:val="39"/>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设备电气控制原理图</w:t>
      </w:r>
    </w:p>
    <w:p w14:paraId="44FE24FD">
      <w:pPr>
        <w:numPr>
          <w:ilvl w:val="0"/>
          <w:numId w:val="39"/>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主要外购部件使用说明书、维修保养手册等</w:t>
      </w:r>
    </w:p>
    <w:p w14:paraId="67DFB832">
      <w:pPr>
        <w:numPr>
          <w:ilvl w:val="0"/>
          <w:numId w:val="39"/>
        </w:numPr>
        <w:shd w:val="clear" w:color="auto" w:fill="auto"/>
        <w:spacing w:line="360" w:lineRule="auto"/>
        <w:ind w:left="0" w:firstLine="480" w:firstLineChars="200"/>
        <w:rPr>
          <w:rFonts w:hint="eastAsia" w:ascii="宋体" w:hAnsi="宋体" w:cs="宋体"/>
          <w:sz w:val="24"/>
        </w:rPr>
      </w:pPr>
      <w:r>
        <w:rPr>
          <w:rFonts w:hint="eastAsia" w:ascii="宋体" w:hAnsi="宋体" w:cs="宋体"/>
          <w:sz w:val="24"/>
        </w:rPr>
        <w:t>设备有关检验和试验记录</w:t>
      </w:r>
    </w:p>
    <w:p w14:paraId="7D31C24A">
      <w:pPr>
        <w:shd w:val="clear" w:color="auto" w:fill="auto"/>
        <w:spacing w:line="360" w:lineRule="auto"/>
        <w:rPr>
          <w:rFonts w:hint="eastAsia" w:ascii="宋体" w:hAnsi="宋体" w:cs="宋体"/>
          <w:bCs/>
          <w:sz w:val="24"/>
        </w:rPr>
      </w:pPr>
      <w:r>
        <w:rPr>
          <w:rFonts w:hint="eastAsia" w:ascii="宋体" w:hAnsi="宋体" w:cs="宋体"/>
          <w:bCs/>
          <w:sz w:val="24"/>
          <w:lang w:eastAsia="zh-CN"/>
        </w:rPr>
        <w:t>（</w:t>
      </w:r>
      <w:r>
        <w:rPr>
          <w:rFonts w:hint="eastAsia" w:ascii="宋体" w:hAnsi="宋体" w:cs="宋体"/>
          <w:bCs/>
          <w:sz w:val="24"/>
          <w:lang w:val="en-US" w:eastAsia="zh-CN"/>
        </w:rPr>
        <w:t>8</w:t>
      </w:r>
      <w:r>
        <w:rPr>
          <w:rFonts w:hint="eastAsia" w:ascii="宋体" w:hAnsi="宋体" w:cs="宋体"/>
          <w:bCs/>
          <w:sz w:val="24"/>
          <w:lang w:eastAsia="zh-CN"/>
        </w:rPr>
        <w:t>）</w:t>
      </w:r>
      <w:r>
        <w:rPr>
          <w:rFonts w:hint="eastAsia" w:ascii="宋体" w:hAnsi="宋体" w:cs="宋体"/>
          <w:bCs/>
          <w:sz w:val="24"/>
        </w:rPr>
        <w:t>服务</w:t>
      </w:r>
    </w:p>
    <w:p w14:paraId="4BEF9C12">
      <w:pPr>
        <w:shd w:val="clear" w:color="auto" w:fill="auto"/>
        <w:spacing w:line="360" w:lineRule="auto"/>
        <w:ind w:firstLine="480" w:firstLineChars="200"/>
        <w:rPr>
          <w:rFonts w:hint="eastAsia" w:ascii="宋体" w:hAnsi="宋体" w:eastAsia="宋体" w:cs="宋体"/>
          <w:bCs/>
          <w:sz w:val="24"/>
        </w:rPr>
      </w:pPr>
      <w:r>
        <w:rPr>
          <w:rFonts w:hint="eastAsia" w:ascii="宋体" w:hAnsi="宋体" w:eastAsia="宋体" w:cs="宋体"/>
          <w:bCs/>
          <w:sz w:val="24"/>
          <w:lang w:val="en-US" w:eastAsia="zh-CN"/>
        </w:rPr>
        <w:t>8.1</w:t>
      </w:r>
      <w:r>
        <w:rPr>
          <w:rFonts w:hint="eastAsia" w:ascii="宋体" w:hAnsi="宋体" w:eastAsia="宋体" w:cs="宋体"/>
          <w:bCs/>
          <w:sz w:val="24"/>
        </w:rPr>
        <w:t>中标人必须建立完善的售后服务网络，配备充足的零部件供应仓库；</w:t>
      </w:r>
    </w:p>
    <w:p w14:paraId="67213B59">
      <w:pPr>
        <w:shd w:val="clear" w:color="auto" w:fill="auto"/>
        <w:spacing w:line="360" w:lineRule="auto"/>
        <w:ind w:firstLine="480" w:firstLineChars="200"/>
        <w:rPr>
          <w:rFonts w:hint="eastAsia" w:ascii="宋体" w:hAnsi="宋体" w:eastAsia="宋体" w:cs="宋体"/>
          <w:bCs/>
          <w:sz w:val="24"/>
        </w:rPr>
      </w:pPr>
      <w:r>
        <w:rPr>
          <w:rFonts w:hint="eastAsia" w:ascii="宋体" w:hAnsi="宋体" w:eastAsia="宋体" w:cs="宋体"/>
          <w:bCs/>
          <w:sz w:val="24"/>
          <w:lang w:val="en-US" w:eastAsia="zh-CN"/>
        </w:rPr>
        <w:t>8.2</w:t>
      </w:r>
      <w:r>
        <w:rPr>
          <w:rFonts w:hint="eastAsia" w:ascii="宋体" w:hAnsi="宋体" w:eastAsia="宋体" w:cs="宋体"/>
          <w:bCs/>
          <w:sz w:val="24"/>
        </w:rPr>
        <w:t>中标人必须保证在设备寿命周期内供应</w:t>
      </w:r>
      <w:r>
        <w:rPr>
          <w:rFonts w:hint="eastAsia" w:ascii="宋体" w:hAnsi="宋体" w:eastAsia="宋体" w:cs="宋体"/>
          <w:bCs/>
          <w:sz w:val="24"/>
          <w:lang w:eastAsia="zh-CN"/>
        </w:rPr>
        <w:t>采购人</w:t>
      </w:r>
      <w:r>
        <w:rPr>
          <w:rFonts w:hint="eastAsia" w:ascii="宋体" w:hAnsi="宋体" w:eastAsia="宋体" w:cs="宋体"/>
          <w:bCs/>
          <w:sz w:val="24"/>
        </w:rPr>
        <w:t>所需的设备零部件；</w:t>
      </w:r>
    </w:p>
    <w:p w14:paraId="2965C581">
      <w:pPr>
        <w:shd w:val="clear" w:color="auto" w:fill="auto"/>
        <w:spacing w:line="360" w:lineRule="auto"/>
        <w:ind w:firstLine="480" w:firstLineChars="200"/>
        <w:rPr>
          <w:rFonts w:hint="eastAsia" w:ascii="宋体" w:hAnsi="宋体" w:eastAsia="宋体" w:cs="宋体"/>
          <w:bCs/>
          <w:sz w:val="24"/>
        </w:rPr>
      </w:pPr>
      <w:r>
        <w:rPr>
          <w:rFonts w:hint="eastAsia" w:ascii="宋体" w:hAnsi="宋体" w:eastAsia="宋体" w:cs="宋体"/>
          <w:bCs/>
          <w:sz w:val="24"/>
          <w:lang w:val="en-US" w:eastAsia="zh-CN"/>
        </w:rPr>
        <w:t>8.3</w:t>
      </w:r>
      <w:r>
        <w:rPr>
          <w:rFonts w:hint="eastAsia" w:ascii="宋体" w:hAnsi="宋体" w:eastAsia="宋体" w:cs="宋体"/>
          <w:bCs/>
          <w:sz w:val="24"/>
        </w:rPr>
        <w:t>设备质保期内，售后服务所需一切费用包括在投标总报价中。</w:t>
      </w:r>
    </w:p>
    <w:p w14:paraId="241C9FA2">
      <w:pPr>
        <w:shd w:val="clear" w:color="auto" w:fill="auto"/>
        <w:spacing w:line="360" w:lineRule="auto"/>
        <w:rPr>
          <w:rFonts w:hint="eastAsia" w:ascii="宋体" w:hAnsi="宋体" w:cs="宋体"/>
          <w:b w:val="0"/>
          <w:bCs/>
          <w:sz w:val="24"/>
        </w:rPr>
      </w:pPr>
      <w:r>
        <w:rPr>
          <w:rFonts w:hint="eastAsia" w:ascii="宋体" w:hAnsi="宋体" w:cs="宋体"/>
          <w:b w:val="0"/>
          <w:bCs/>
          <w:sz w:val="24"/>
          <w:lang w:eastAsia="zh-CN"/>
        </w:rPr>
        <w:t>（</w:t>
      </w:r>
      <w:r>
        <w:rPr>
          <w:rFonts w:hint="eastAsia" w:ascii="宋体" w:hAnsi="宋体" w:cs="宋体"/>
          <w:b w:val="0"/>
          <w:bCs/>
          <w:sz w:val="24"/>
          <w:lang w:val="en-US" w:eastAsia="zh-CN"/>
        </w:rPr>
        <w:t>9</w:t>
      </w:r>
      <w:r>
        <w:rPr>
          <w:rFonts w:hint="eastAsia" w:ascii="宋体" w:hAnsi="宋体" w:cs="宋体"/>
          <w:b w:val="0"/>
          <w:bCs/>
          <w:sz w:val="24"/>
          <w:lang w:eastAsia="zh-CN"/>
        </w:rPr>
        <w:t>）</w:t>
      </w:r>
      <w:r>
        <w:rPr>
          <w:rFonts w:hint="eastAsia" w:ascii="宋体" w:hAnsi="宋体" w:cs="宋体"/>
          <w:b w:val="0"/>
          <w:bCs/>
          <w:sz w:val="24"/>
        </w:rPr>
        <w:t>质量保证</w:t>
      </w:r>
    </w:p>
    <w:p w14:paraId="410A9173">
      <w:pPr>
        <w:shd w:val="clear" w:color="auto" w:fill="auto"/>
        <w:spacing w:line="360" w:lineRule="auto"/>
        <w:ind w:firstLine="480" w:firstLineChars="200"/>
        <w:rPr>
          <w:rFonts w:hint="eastAsia" w:ascii="宋体" w:hAnsi="宋体" w:cs="宋体"/>
          <w:sz w:val="24"/>
        </w:rPr>
      </w:pPr>
      <w:r>
        <w:rPr>
          <w:rFonts w:hint="eastAsia" w:ascii="宋体" w:hAnsi="宋体" w:cs="宋体"/>
          <w:sz w:val="24"/>
          <w:lang w:val="en-US" w:eastAsia="zh-CN"/>
        </w:rPr>
        <w:t>9.1</w:t>
      </w:r>
      <w:r>
        <w:rPr>
          <w:rFonts w:hint="eastAsia" w:ascii="宋体" w:hAnsi="宋体" w:cs="宋体"/>
          <w:sz w:val="24"/>
        </w:rPr>
        <w:t>中标人</w:t>
      </w:r>
      <w:r>
        <w:rPr>
          <w:rFonts w:hint="eastAsia" w:ascii="宋体" w:hAnsi="宋体" w:cs="宋体"/>
          <w:sz w:val="24"/>
          <w:lang w:eastAsia="zh-CN"/>
        </w:rPr>
        <w:t>更换</w:t>
      </w:r>
      <w:r>
        <w:rPr>
          <w:rFonts w:hint="eastAsia" w:ascii="宋体" w:hAnsi="宋体" w:cs="宋体"/>
          <w:sz w:val="24"/>
        </w:rPr>
        <w:t>的其各个部件必须是全新的，中标人不得将已使用过的零部件及材料以翻新的形式提供给</w:t>
      </w:r>
      <w:r>
        <w:rPr>
          <w:rFonts w:hint="eastAsia" w:ascii="宋体" w:hAnsi="宋体" w:cs="宋体"/>
          <w:sz w:val="24"/>
          <w:lang w:eastAsia="zh-CN"/>
        </w:rPr>
        <w:t>采购人</w:t>
      </w:r>
      <w:r>
        <w:rPr>
          <w:rFonts w:hint="eastAsia" w:ascii="宋体" w:hAnsi="宋体" w:cs="宋体"/>
          <w:sz w:val="24"/>
        </w:rPr>
        <w:t>；</w:t>
      </w:r>
    </w:p>
    <w:p w14:paraId="62E9654B">
      <w:pPr>
        <w:shd w:val="clear" w:color="auto" w:fill="auto"/>
        <w:spacing w:line="360" w:lineRule="auto"/>
        <w:ind w:firstLine="480" w:firstLineChars="200"/>
        <w:rPr>
          <w:rFonts w:hint="eastAsia" w:ascii="宋体" w:hAnsi="宋体" w:cs="宋体"/>
          <w:sz w:val="24"/>
        </w:rPr>
      </w:pPr>
      <w:r>
        <w:rPr>
          <w:rFonts w:hint="eastAsia" w:ascii="宋体" w:hAnsi="宋体" w:cs="宋体"/>
          <w:sz w:val="24"/>
          <w:lang w:val="en-US" w:eastAsia="zh-CN"/>
        </w:rPr>
        <w:t>9.2</w:t>
      </w:r>
      <w:r>
        <w:rPr>
          <w:rFonts w:hint="eastAsia" w:ascii="宋体" w:hAnsi="宋体" w:cs="宋体"/>
          <w:sz w:val="24"/>
          <w:lang w:eastAsia="zh-CN"/>
        </w:rPr>
        <w:t>中标人</w:t>
      </w:r>
      <w:r>
        <w:rPr>
          <w:rFonts w:hint="eastAsia" w:ascii="宋体" w:hAnsi="宋体" w:cs="宋体"/>
          <w:sz w:val="24"/>
        </w:rPr>
        <w:t>应列出执行的产品设计、</w:t>
      </w:r>
      <w:r>
        <w:rPr>
          <w:rFonts w:hint="eastAsia" w:ascii="宋体" w:hAnsi="宋体" w:cs="宋体"/>
          <w:sz w:val="24"/>
          <w:lang w:eastAsia="zh-CN"/>
        </w:rPr>
        <w:t>修理、</w:t>
      </w:r>
      <w:r>
        <w:rPr>
          <w:rFonts w:hint="eastAsia" w:ascii="宋体" w:hAnsi="宋体" w:cs="宋体"/>
          <w:sz w:val="24"/>
        </w:rPr>
        <w:t>验收、安装所遵循的（招标截止日时）最新有效标准规程（包括国内标准或企业标准）。</w:t>
      </w:r>
    </w:p>
    <w:p w14:paraId="110F5B59">
      <w:pPr>
        <w:shd w:val="clear" w:color="auto" w:fill="auto"/>
        <w:spacing w:line="360" w:lineRule="auto"/>
        <w:ind w:firstLine="480" w:firstLineChars="200"/>
        <w:rPr>
          <w:rFonts w:hint="eastAsia" w:ascii="宋体" w:hAnsi="宋体" w:cs="宋体"/>
          <w:sz w:val="24"/>
        </w:rPr>
      </w:pPr>
      <w:r>
        <w:rPr>
          <w:rFonts w:hint="eastAsia" w:ascii="宋体" w:hAnsi="宋体" w:cs="宋体"/>
          <w:sz w:val="24"/>
          <w:lang w:val="en-US" w:eastAsia="zh-CN"/>
        </w:rPr>
        <w:t>9.3</w:t>
      </w:r>
      <w:r>
        <w:rPr>
          <w:rFonts w:hint="eastAsia" w:ascii="宋体" w:hAnsi="宋体" w:cs="宋体"/>
          <w:sz w:val="24"/>
        </w:rPr>
        <w:t>设备选型和配套件，应相应招标书中要求，标书中未列举的要求选用国家定点厂制造的名牌优质产品，并对其质量全面负责。</w:t>
      </w:r>
    </w:p>
    <w:p w14:paraId="019B466C">
      <w:pPr>
        <w:shd w:val="clear" w:color="auto" w:fill="auto"/>
        <w:spacing w:line="360" w:lineRule="auto"/>
        <w:rPr>
          <w:rFonts w:hint="eastAsia" w:ascii="宋体" w:hAnsi="宋体" w:cs="宋体"/>
          <w:bCs/>
          <w:sz w:val="24"/>
        </w:rPr>
      </w:pPr>
      <w:r>
        <w:rPr>
          <w:rFonts w:hint="eastAsia" w:ascii="宋体" w:hAnsi="宋体" w:cs="宋体"/>
          <w:sz w:val="24"/>
          <w:lang w:val="en-US" w:eastAsia="zh-CN"/>
        </w:rPr>
        <w:t>9.4</w:t>
      </w:r>
      <w:r>
        <w:rPr>
          <w:rFonts w:hint="eastAsia" w:ascii="宋体" w:hAnsi="宋体" w:cs="宋体"/>
          <w:bCs/>
          <w:sz w:val="24"/>
        </w:rPr>
        <w:t xml:space="preserve">质量检验 </w:t>
      </w:r>
    </w:p>
    <w:p w14:paraId="01068885">
      <w:pPr>
        <w:shd w:val="clear" w:color="auto" w:fill="auto"/>
        <w:spacing w:line="360" w:lineRule="auto"/>
        <w:ind w:firstLine="480" w:firstLineChars="200"/>
        <w:rPr>
          <w:rFonts w:hint="eastAsia" w:ascii="宋体" w:hAnsi="宋体" w:cs="宋体"/>
          <w:bCs/>
          <w:sz w:val="24"/>
        </w:rPr>
      </w:pPr>
      <w:r>
        <w:rPr>
          <w:rFonts w:hint="eastAsia" w:ascii="宋体" w:hAnsi="宋体" w:cs="宋体"/>
          <w:bCs/>
          <w:sz w:val="24"/>
        </w:rPr>
        <w:t>a）需提供主要零部件的自检记录。</w:t>
      </w:r>
    </w:p>
    <w:p w14:paraId="40DEFE5B">
      <w:pPr>
        <w:shd w:val="clear" w:color="auto" w:fill="auto"/>
        <w:spacing w:line="360" w:lineRule="auto"/>
        <w:ind w:firstLine="480" w:firstLineChars="200"/>
        <w:rPr>
          <w:rFonts w:hint="eastAsia" w:ascii="宋体" w:hAnsi="宋体" w:cs="宋体"/>
          <w:bCs/>
          <w:sz w:val="24"/>
        </w:rPr>
      </w:pPr>
      <w:r>
        <w:rPr>
          <w:rFonts w:hint="eastAsia" w:ascii="宋体" w:hAnsi="宋体" w:cs="宋体"/>
          <w:bCs/>
          <w:sz w:val="24"/>
        </w:rPr>
        <w:t>b）</w:t>
      </w:r>
      <w:r>
        <w:rPr>
          <w:rFonts w:hint="eastAsia" w:ascii="宋体" w:hAnsi="宋体" w:cs="宋体"/>
          <w:bCs/>
          <w:sz w:val="24"/>
          <w:lang w:eastAsia="zh-CN"/>
        </w:rPr>
        <w:t>中标人</w:t>
      </w:r>
      <w:r>
        <w:rPr>
          <w:rFonts w:hint="eastAsia" w:ascii="宋体" w:hAnsi="宋体" w:cs="宋体"/>
          <w:bCs/>
          <w:sz w:val="24"/>
        </w:rPr>
        <w:t>应严格按技术文本要求购买外协件，如有变更应通知买方确认。</w:t>
      </w:r>
    </w:p>
    <w:p w14:paraId="5CD417A5">
      <w:pPr>
        <w:shd w:val="clear" w:color="auto" w:fill="auto"/>
        <w:spacing w:line="360" w:lineRule="auto"/>
        <w:ind w:firstLine="480" w:firstLineChars="200"/>
        <w:rPr>
          <w:rFonts w:hint="eastAsia" w:ascii="宋体" w:hAnsi="宋体" w:cs="宋体"/>
          <w:color w:val="auto"/>
          <w:sz w:val="24"/>
        </w:rPr>
      </w:pPr>
      <w:r>
        <w:rPr>
          <w:rFonts w:hint="eastAsia" w:ascii="宋体" w:hAnsi="宋体" w:cs="宋体"/>
          <w:bCs/>
          <w:sz w:val="24"/>
        </w:rPr>
        <w:t>c）</w:t>
      </w:r>
      <w:r>
        <w:rPr>
          <w:rFonts w:hint="eastAsia" w:ascii="宋体" w:hAnsi="宋体" w:cs="宋体"/>
          <w:sz w:val="24"/>
        </w:rPr>
        <w:t>设备在安装调试及负荷试机过程中，如</w:t>
      </w:r>
      <w:r>
        <w:rPr>
          <w:rFonts w:hint="eastAsia" w:ascii="宋体" w:hAnsi="宋体" w:cs="宋体"/>
          <w:sz w:val="24"/>
          <w:lang w:eastAsia="zh-CN"/>
        </w:rPr>
        <w:t>采购人</w:t>
      </w:r>
      <w:r>
        <w:rPr>
          <w:rFonts w:hint="eastAsia" w:ascii="宋体" w:hAnsi="宋体" w:cs="宋体"/>
          <w:sz w:val="24"/>
        </w:rPr>
        <w:t>发现</w:t>
      </w:r>
      <w:r>
        <w:rPr>
          <w:rFonts w:hint="eastAsia" w:ascii="宋体" w:hAnsi="宋体" w:cs="宋体"/>
          <w:sz w:val="24"/>
          <w:lang w:eastAsia="zh-CN"/>
        </w:rPr>
        <w:t>中标人</w:t>
      </w:r>
      <w:r>
        <w:rPr>
          <w:rFonts w:hint="eastAsia" w:ascii="宋体" w:hAnsi="宋体" w:cs="宋体"/>
          <w:sz w:val="24"/>
        </w:rPr>
        <w:t>产品出现质量问题时，</w:t>
      </w:r>
      <w:r>
        <w:rPr>
          <w:rFonts w:hint="eastAsia" w:ascii="宋体" w:hAnsi="宋体" w:cs="宋体"/>
          <w:sz w:val="24"/>
          <w:lang w:eastAsia="zh-CN"/>
        </w:rPr>
        <w:t>中标人</w:t>
      </w:r>
      <w:r>
        <w:rPr>
          <w:rFonts w:hint="eastAsia" w:ascii="宋体" w:hAnsi="宋体" w:cs="宋体"/>
          <w:sz w:val="24"/>
        </w:rPr>
        <w:t>接到通知后及时派代表到买方现场确认并解决有关问题，在此过程中形成的记录、纪要、备忘</w:t>
      </w:r>
      <w:r>
        <w:rPr>
          <w:rFonts w:hint="eastAsia" w:ascii="宋体" w:hAnsi="宋体" w:cs="宋体"/>
          <w:color w:val="auto"/>
          <w:sz w:val="24"/>
        </w:rPr>
        <w:t>录，双方代表应签字予以确认。</w:t>
      </w:r>
    </w:p>
    <w:p w14:paraId="375EED00">
      <w:pPr>
        <w:keepNext w:val="0"/>
        <w:keepLines w:val="0"/>
        <w:pageBreakBefore w:val="0"/>
        <w:widowControl/>
        <w:shd w:val="clear" w:color="auto" w:fill="auto"/>
        <w:kinsoku/>
        <w:wordWrap/>
        <w:overflowPunct/>
        <w:topLinePunct w:val="0"/>
        <w:autoSpaceDE/>
        <w:autoSpaceDN/>
        <w:bidi w:val="0"/>
        <w:spacing w:line="360" w:lineRule="auto"/>
        <w:ind w:firstLine="480" w:firstLineChars="200"/>
        <w:textAlignment w:val="auto"/>
        <w:rPr>
          <w:rFonts w:hint="default" w:ascii="宋体" w:hAnsi="宋体" w:eastAsia="宋体" w:cs="宋体"/>
          <w:b w:val="0"/>
          <w:bCs w:val="0"/>
          <w:color w:val="auto"/>
          <w:kern w:val="2"/>
          <w:sz w:val="24"/>
          <w:szCs w:val="24"/>
          <w:u w:val="none"/>
          <w:lang w:val="en-US" w:eastAsia="zh-CN" w:bidi="ar-SA"/>
        </w:rPr>
      </w:pPr>
      <w:r>
        <w:rPr>
          <w:rFonts w:hint="eastAsia" w:ascii="宋体" w:hAnsi="宋体" w:eastAsia="宋体" w:cs="宋体"/>
          <w:b w:val="0"/>
          <w:bCs w:val="0"/>
          <w:color w:val="auto"/>
          <w:kern w:val="2"/>
          <w:sz w:val="24"/>
          <w:szCs w:val="24"/>
          <w:u w:val="none"/>
          <w:lang w:val="en-US" w:eastAsia="zh-CN" w:bidi="ar-SA"/>
        </w:rPr>
        <w:t>（10）</w:t>
      </w:r>
      <w:r>
        <w:rPr>
          <w:rFonts w:hint="default" w:ascii="宋体" w:hAnsi="宋体" w:eastAsia="宋体" w:cs="宋体"/>
          <w:b w:val="0"/>
          <w:bCs w:val="0"/>
          <w:color w:val="auto"/>
          <w:kern w:val="2"/>
          <w:sz w:val="24"/>
          <w:szCs w:val="24"/>
          <w:u w:val="none"/>
          <w:lang w:val="en-US" w:eastAsia="zh-CN" w:bidi="ar-SA"/>
        </w:rPr>
        <w:t>安全处罚措施条款</w:t>
      </w:r>
    </w:p>
    <w:p w14:paraId="3BBEBB7C">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cs="宋体"/>
          <w:color w:val="auto"/>
          <w:sz w:val="24"/>
          <w:lang w:eastAsia="zh-CN"/>
        </w:rPr>
        <w:t>中标人</w:t>
      </w:r>
      <w:r>
        <w:rPr>
          <w:rFonts w:hint="eastAsia" w:ascii="宋体" w:hAnsi="宋体" w:eastAsia="宋体" w:cs="宋体"/>
          <w:b w:val="0"/>
          <w:bCs w:val="0"/>
          <w:color w:val="auto"/>
          <w:kern w:val="2"/>
          <w:sz w:val="24"/>
          <w:szCs w:val="24"/>
          <w:highlight w:val="none"/>
          <w:u w:val="none"/>
          <w:lang w:val="en-US" w:eastAsia="zh-CN" w:bidi="ar-SA"/>
        </w:rPr>
        <w:t>或其安排的劳务人员有以下行为之一者，</w:t>
      </w:r>
      <w:r>
        <w:rPr>
          <w:rFonts w:hint="eastAsia" w:ascii="宋体" w:hAnsi="宋体" w:eastAsia="宋体" w:cs="宋体"/>
          <w:color w:val="auto"/>
          <w:sz w:val="24"/>
          <w:lang w:eastAsia="zh-CN"/>
        </w:rPr>
        <w:t>采购人</w:t>
      </w:r>
      <w:r>
        <w:rPr>
          <w:rFonts w:hint="eastAsia" w:ascii="宋体" w:hAnsi="宋体" w:eastAsia="宋体" w:cs="宋体"/>
          <w:b w:val="0"/>
          <w:bCs w:val="0"/>
          <w:color w:val="auto"/>
          <w:kern w:val="2"/>
          <w:sz w:val="24"/>
          <w:szCs w:val="24"/>
          <w:highlight w:val="none"/>
          <w:u w:val="none"/>
          <w:lang w:val="en-US" w:eastAsia="zh-CN" w:bidi="ar-SA"/>
        </w:rPr>
        <w:t>要追究</w:t>
      </w:r>
      <w:r>
        <w:rPr>
          <w:rFonts w:hint="eastAsia" w:ascii="宋体" w:hAnsi="宋体" w:cs="宋体"/>
          <w:color w:val="auto"/>
          <w:sz w:val="24"/>
          <w:lang w:eastAsia="zh-CN"/>
        </w:rPr>
        <w:t>中标人</w:t>
      </w:r>
      <w:r>
        <w:rPr>
          <w:rFonts w:hint="eastAsia" w:ascii="宋体" w:hAnsi="宋体" w:eastAsia="宋体" w:cs="宋体"/>
          <w:b w:val="0"/>
          <w:bCs w:val="0"/>
          <w:color w:val="auto"/>
          <w:kern w:val="2"/>
          <w:sz w:val="24"/>
          <w:szCs w:val="24"/>
          <w:highlight w:val="none"/>
          <w:u w:val="none"/>
          <w:lang w:val="en-US" w:eastAsia="zh-CN" w:bidi="ar-SA"/>
        </w:rPr>
        <w:t>的责任，并对</w:t>
      </w:r>
      <w:r>
        <w:rPr>
          <w:rFonts w:hint="eastAsia" w:ascii="宋体" w:hAnsi="宋体" w:cs="宋体"/>
          <w:color w:val="auto"/>
          <w:sz w:val="24"/>
          <w:lang w:eastAsia="zh-CN"/>
        </w:rPr>
        <w:t>中标人</w:t>
      </w:r>
      <w:r>
        <w:rPr>
          <w:rFonts w:hint="eastAsia" w:ascii="宋体" w:hAnsi="宋体" w:eastAsia="宋体" w:cs="宋体"/>
          <w:b w:val="0"/>
          <w:bCs w:val="0"/>
          <w:color w:val="auto"/>
          <w:kern w:val="2"/>
          <w:sz w:val="24"/>
          <w:szCs w:val="24"/>
          <w:highlight w:val="none"/>
          <w:u w:val="none"/>
          <w:lang w:val="en-US" w:eastAsia="zh-CN" w:bidi="ar-SA"/>
        </w:rPr>
        <w:t>处以500-</w:t>
      </w:r>
      <w:r>
        <w:rPr>
          <w:rFonts w:hint="eastAsia" w:ascii="宋体" w:hAnsi="宋体" w:cs="宋体"/>
          <w:b w:val="0"/>
          <w:bCs w:val="0"/>
          <w:color w:val="auto"/>
          <w:kern w:val="2"/>
          <w:sz w:val="24"/>
          <w:szCs w:val="24"/>
          <w:highlight w:val="none"/>
          <w:u w:val="none"/>
          <w:lang w:val="en-US" w:eastAsia="zh-CN" w:bidi="ar-SA"/>
        </w:rPr>
        <w:t>1</w:t>
      </w:r>
      <w:r>
        <w:rPr>
          <w:rFonts w:hint="eastAsia" w:ascii="宋体" w:hAnsi="宋体" w:eastAsia="宋体" w:cs="宋体"/>
          <w:b w:val="0"/>
          <w:bCs w:val="0"/>
          <w:color w:val="auto"/>
          <w:kern w:val="2"/>
          <w:sz w:val="24"/>
          <w:szCs w:val="24"/>
          <w:highlight w:val="none"/>
          <w:u w:val="none"/>
          <w:lang w:val="en-US" w:eastAsia="zh-CN" w:bidi="ar-SA"/>
        </w:rPr>
        <w:t>0000元的罚款，对责任人处以</w:t>
      </w:r>
      <w:r>
        <w:rPr>
          <w:rFonts w:hint="eastAsia" w:ascii="宋体" w:hAnsi="宋体" w:cs="宋体"/>
          <w:b w:val="0"/>
          <w:bCs w:val="0"/>
          <w:color w:val="auto"/>
          <w:kern w:val="2"/>
          <w:sz w:val="24"/>
          <w:szCs w:val="24"/>
          <w:highlight w:val="none"/>
          <w:u w:val="none"/>
          <w:lang w:val="en-US" w:eastAsia="zh-CN" w:bidi="ar-SA"/>
        </w:rPr>
        <w:t>10</w:t>
      </w:r>
      <w:r>
        <w:rPr>
          <w:rFonts w:hint="eastAsia" w:ascii="宋体" w:hAnsi="宋体" w:eastAsia="宋体" w:cs="宋体"/>
          <w:b w:val="0"/>
          <w:bCs w:val="0"/>
          <w:color w:val="auto"/>
          <w:kern w:val="2"/>
          <w:sz w:val="24"/>
          <w:szCs w:val="24"/>
          <w:highlight w:val="none"/>
          <w:u w:val="none"/>
          <w:lang w:val="en-US" w:eastAsia="zh-CN" w:bidi="ar-SA"/>
        </w:rPr>
        <w:t>0元-</w:t>
      </w:r>
      <w:r>
        <w:rPr>
          <w:rFonts w:hint="eastAsia" w:ascii="宋体" w:hAnsi="宋体" w:cs="宋体"/>
          <w:b w:val="0"/>
          <w:bCs w:val="0"/>
          <w:color w:val="auto"/>
          <w:kern w:val="2"/>
          <w:sz w:val="24"/>
          <w:szCs w:val="24"/>
          <w:highlight w:val="none"/>
          <w:u w:val="none"/>
          <w:lang w:val="en-US" w:eastAsia="zh-CN" w:bidi="ar-SA"/>
        </w:rPr>
        <w:t>2</w:t>
      </w:r>
      <w:r>
        <w:rPr>
          <w:rFonts w:hint="eastAsia" w:ascii="宋体" w:hAnsi="宋体" w:eastAsia="宋体" w:cs="宋体"/>
          <w:b w:val="0"/>
          <w:bCs w:val="0"/>
          <w:color w:val="auto"/>
          <w:kern w:val="2"/>
          <w:sz w:val="24"/>
          <w:szCs w:val="24"/>
          <w:highlight w:val="none"/>
          <w:u w:val="none"/>
          <w:lang w:val="en-US" w:eastAsia="zh-CN" w:bidi="ar-SA"/>
        </w:rPr>
        <w:t>000元的罚款：</w:t>
      </w:r>
    </w:p>
    <w:p w14:paraId="07EF3F54">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10.1事故存在安全隐患但未发生伤亡事故的给予警告，责令限期整改，逾期拒不整改的；</w:t>
      </w:r>
    </w:p>
    <w:p w14:paraId="21887B40">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10.2安排没有经过安全技术培训或未取得操作资格证书的人员上岗从事特殊工种作业的。供应商驾驶人员无机动车驾驶证、未接受安全技术教育，未进行岗前培训熟知和不遵守本工种的各项安全技术操作规程；</w:t>
      </w:r>
    </w:p>
    <w:p w14:paraId="1489737E">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10.3临时用电不规范的；</w:t>
      </w:r>
    </w:p>
    <w:p w14:paraId="3F804C27">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10.4未按甲方要求或规范要求做好防范措施的；</w:t>
      </w:r>
    </w:p>
    <w:p w14:paraId="726C4FFA">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10.5发生安全事故的:</w:t>
      </w:r>
      <w:r>
        <w:rPr>
          <w:rFonts w:hint="eastAsia" w:ascii="宋体" w:hAnsi="宋体" w:cs="宋体"/>
          <w:color w:val="auto"/>
          <w:sz w:val="24"/>
          <w:lang w:eastAsia="zh-CN"/>
        </w:rPr>
        <w:t>中标人</w:t>
      </w:r>
      <w:r>
        <w:rPr>
          <w:rFonts w:hint="eastAsia" w:ascii="宋体" w:hAnsi="宋体" w:eastAsia="宋体" w:cs="宋体"/>
          <w:b w:val="0"/>
          <w:bCs w:val="0"/>
          <w:color w:val="auto"/>
          <w:kern w:val="2"/>
          <w:sz w:val="24"/>
          <w:szCs w:val="24"/>
          <w:highlight w:val="none"/>
          <w:u w:val="none"/>
          <w:lang w:val="en-US" w:eastAsia="zh-CN" w:bidi="ar-SA"/>
        </w:rPr>
        <w:t>发生三次无人员伤亡安全事故或发生一起人员伤亡事故或一月内累计被采购人因安全原因处罚3次的，采购人有权解除本合同并清退。</w:t>
      </w:r>
    </w:p>
    <w:p w14:paraId="6AE7D8ED">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以上相关费用从中标人的应结算的费用中扣除。</w:t>
      </w:r>
    </w:p>
    <w:p w14:paraId="07A9EC2A">
      <w:pPr>
        <w:rPr>
          <w:rFonts w:hint="eastAsia" w:ascii="宋体" w:hAnsi="宋体" w:eastAsia="宋体" w:cs="宋体"/>
          <w:b w:val="0"/>
          <w:bCs w:val="0"/>
          <w:color w:val="auto"/>
          <w:kern w:val="2"/>
          <w:sz w:val="24"/>
          <w:szCs w:val="24"/>
          <w:highlight w:val="none"/>
          <w:u w:val="none"/>
          <w:lang w:val="en-US" w:eastAsia="zh-CN" w:bidi="ar-SA"/>
        </w:rPr>
      </w:pPr>
      <w:bookmarkStart w:id="443" w:name="_Toc31253"/>
    </w:p>
    <w:p w14:paraId="0FD32343">
      <w:pPr>
        <w:pStyle w:val="4"/>
        <w:shd w:val="clear" w:color="auto" w:fill="auto"/>
        <w:spacing w:line="360" w:lineRule="auto"/>
        <w:jc w:val="center"/>
        <w:rPr>
          <w:rFonts w:hint="eastAsia" w:ascii="宋体" w:hAnsi="宋体" w:eastAsia="宋体" w:cs="Times New Roman"/>
          <w:b/>
          <w:color w:val="auto"/>
          <w:highlight w:val="none"/>
        </w:rPr>
      </w:pPr>
      <w:r>
        <w:rPr>
          <w:rFonts w:hint="eastAsia" w:hAnsi="宋体" w:cs="Times New Roman"/>
          <w:b/>
          <w:color w:val="auto"/>
          <w:highlight w:val="none"/>
          <w:lang w:eastAsia="zh-CN"/>
        </w:rPr>
        <w:t>第三章</w:t>
      </w:r>
      <w:r>
        <w:rPr>
          <w:rFonts w:hint="eastAsia" w:hAnsi="宋体" w:cs="Times New Roman"/>
          <w:b/>
          <w:color w:val="auto"/>
          <w:highlight w:val="none"/>
          <w:lang w:val="en-US" w:eastAsia="zh-CN"/>
        </w:rPr>
        <w:t xml:space="preserve">  </w:t>
      </w:r>
      <w:r>
        <w:rPr>
          <w:rFonts w:hint="eastAsia" w:ascii="宋体" w:hAnsi="宋体" w:eastAsia="宋体" w:cs="Times New Roman"/>
          <w:b/>
          <w:color w:val="auto"/>
          <w:highlight w:val="none"/>
        </w:rPr>
        <w:t>安装、调试、交期及验收</w:t>
      </w:r>
      <w:bookmarkEnd w:id="443"/>
    </w:p>
    <w:p w14:paraId="21FF7860">
      <w:pPr>
        <w:pStyle w:val="7"/>
        <w:shd w:val="clear" w:color="auto" w:fill="auto"/>
        <w:spacing w:line="360" w:lineRule="auto"/>
        <w:ind w:firstLine="480" w:firstLineChars="200"/>
        <w:rPr>
          <w:rFonts w:hint="eastAsia" w:ascii="宋体" w:hAnsi="宋体" w:cs="宋体"/>
          <w:snapToGrid w:val="0"/>
          <w:color w:val="auto"/>
          <w:kern w:val="0"/>
          <w:sz w:val="24"/>
          <w:szCs w:val="24"/>
        </w:rPr>
      </w:pPr>
      <w:r>
        <w:rPr>
          <w:rFonts w:hint="eastAsia" w:ascii="宋体" w:hAnsi="宋体" w:cs="宋体"/>
          <w:snapToGrid w:val="0"/>
          <w:color w:val="auto"/>
          <w:kern w:val="0"/>
          <w:sz w:val="24"/>
          <w:szCs w:val="24"/>
          <w:lang w:eastAsia="zh-CN"/>
        </w:rPr>
        <w:t>（</w:t>
      </w:r>
      <w:r>
        <w:rPr>
          <w:rFonts w:hint="eastAsia" w:ascii="宋体" w:hAnsi="宋体" w:cs="宋体"/>
          <w:snapToGrid w:val="0"/>
          <w:color w:val="auto"/>
          <w:kern w:val="0"/>
          <w:sz w:val="24"/>
          <w:szCs w:val="24"/>
          <w:lang w:val="en-US" w:eastAsia="zh-CN"/>
        </w:rPr>
        <w:t>1</w:t>
      </w:r>
      <w:r>
        <w:rPr>
          <w:rFonts w:hint="eastAsia" w:ascii="宋体" w:hAnsi="宋体" w:cs="宋体"/>
          <w:snapToGrid w:val="0"/>
          <w:color w:val="auto"/>
          <w:kern w:val="0"/>
          <w:sz w:val="24"/>
          <w:szCs w:val="24"/>
          <w:lang w:eastAsia="zh-CN"/>
        </w:rPr>
        <w:t>）</w:t>
      </w:r>
      <w:r>
        <w:rPr>
          <w:rFonts w:hint="eastAsia" w:ascii="宋体" w:hAnsi="宋体" w:cs="宋体"/>
          <w:snapToGrid w:val="0"/>
          <w:color w:val="auto"/>
          <w:kern w:val="0"/>
          <w:sz w:val="24"/>
          <w:szCs w:val="24"/>
        </w:rPr>
        <w:t>中标人需按采购人的要求和国家及行业规范负责设备安装和调试及试运行。</w:t>
      </w:r>
    </w:p>
    <w:p w14:paraId="1C6DB579">
      <w:pPr>
        <w:pStyle w:val="7"/>
        <w:shd w:val="clear" w:color="auto" w:fill="auto"/>
        <w:spacing w:line="360" w:lineRule="auto"/>
        <w:ind w:firstLine="480" w:firstLineChars="200"/>
        <w:rPr>
          <w:rFonts w:hint="eastAsia" w:ascii="宋体" w:hAnsi="宋体" w:cs="宋体"/>
          <w:snapToGrid w:val="0"/>
          <w:color w:val="auto"/>
          <w:kern w:val="0"/>
          <w:sz w:val="24"/>
          <w:szCs w:val="24"/>
        </w:rPr>
      </w:pPr>
      <w:r>
        <w:rPr>
          <w:rFonts w:hint="eastAsia" w:ascii="宋体" w:hAnsi="宋体" w:cs="宋体"/>
          <w:snapToGrid w:val="0"/>
          <w:color w:val="auto"/>
          <w:kern w:val="0"/>
          <w:sz w:val="24"/>
          <w:szCs w:val="24"/>
          <w:lang w:eastAsia="zh-CN"/>
        </w:rPr>
        <w:t>（</w:t>
      </w:r>
      <w:r>
        <w:rPr>
          <w:rFonts w:hint="eastAsia" w:ascii="宋体" w:hAnsi="宋体" w:cs="宋体"/>
          <w:snapToGrid w:val="0"/>
          <w:color w:val="auto"/>
          <w:kern w:val="0"/>
          <w:sz w:val="24"/>
          <w:szCs w:val="24"/>
          <w:lang w:val="en-US" w:eastAsia="zh-CN"/>
        </w:rPr>
        <w:t>2</w:t>
      </w:r>
      <w:r>
        <w:rPr>
          <w:rFonts w:hint="eastAsia" w:ascii="宋体" w:hAnsi="宋体" w:cs="宋体"/>
          <w:snapToGrid w:val="0"/>
          <w:color w:val="auto"/>
          <w:kern w:val="0"/>
          <w:sz w:val="24"/>
          <w:szCs w:val="24"/>
          <w:lang w:eastAsia="zh-CN"/>
        </w:rPr>
        <w:t>）</w:t>
      </w:r>
      <w:r>
        <w:rPr>
          <w:rFonts w:hint="eastAsia" w:ascii="宋体" w:hAnsi="宋体" w:eastAsia="宋体" w:cs="宋体"/>
          <w:bCs/>
          <w:sz w:val="24"/>
          <w:szCs w:val="24"/>
          <w:lang w:val="en-US" w:eastAsia="zh-CN"/>
        </w:rPr>
        <w:t>合同签订后10天内</w:t>
      </w:r>
      <w:r>
        <w:rPr>
          <w:rFonts w:hint="eastAsia" w:ascii="宋体" w:hAnsi="宋体" w:eastAsia="宋体" w:cs="宋体"/>
          <w:bCs/>
          <w:sz w:val="24"/>
          <w:szCs w:val="24"/>
          <w:lang w:eastAsia="zh-CN"/>
        </w:rPr>
        <w:t>提交最终深化方案和定稿图纸，</w:t>
      </w:r>
      <w:r>
        <w:rPr>
          <w:rFonts w:hint="eastAsia" w:ascii="宋体" w:hAnsi="宋体" w:cs="宋体"/>
          <w:snapToGrid w:val="0"/>
          <w:color w:val="auto"/>
          <w:kern w:val="0"/>
          <w:sz w:val="24"/>
          <w:szCs w:val="24"/>
          <w:lang w:val="en-US" w:eastAsia="zh-CN"/>
        </w:rPr>
        <w:t>20天</w:t>
      </w:r>
      <w:r>
        <w:rPr>
          <w:rFonts w:hint="eastAsia" w:ascii="宋体" w:hAnsi="宋体" w:cs="宋体"/>
          <w:snapToGrid w:val="0"/>
          <w:color w:val="auto"/>
          <w:kern w:val="0"/>
          <w:sz w:val="24"/>
          <w:szCs w:val="24"/>
        </w:rPr>
        <w:t>内完成安装调试工作，同时必须确保设备可正常投入使用后移交给</w:t>
      </w:r>
      <w:r>
        <w:rPr>
          <w:rFonts w:hint="eastAsia" w:ascii="宋体" w:hAnsi="宋体" w:cs="宋体"/>
          <w:snapToGrid w:val="0"/>
          <w:color w:val="auto"/>
          <w:kern w:val="0"/>
          <w:sz w:val="24"/>
          <w:szCs w:val="24"/>
          <w:lang w:eastAsia="zh-CN"/>
        </w:rPr>
        <w:t>采购人</w:t>
      </w:r>
      <w:r>
        <w:rPr>
          <w:rFonts w:hint="eastAsia" w:ascii="宋体" w:hAnsi="宋体" w:cs="宋体"/>
          <w:snapToGrid w:val="0"/>
          <w:color w:val="auto"/>
          <w:kern w:val="0"/>
          <w:sz w:val="24"/>
          <w:szCs w:val="24"/>
        </w:rPr>
        <w:t>。</w:t>
      </w:r>
    </w:p>
    <w:p w14:paraId="1561837F">
      <w:pPr>
        <w:pStyle w:val="7"/>
        <w:shd w:val="clear" w:color="auto" w:fill="auto"/>
        <w:spacing w:line="360" w:lineRule="auto"/>
        <w:ind w:firstLine="480" w:firstLineChars="200"/>
        <w:rPr>
          <w:rFonts w:hint="eastAsia" w:ascii="宋体" w:hAnsi="宋体" w:cs="宋体"/>
          <w:snapToGrid w:val="0"/>
          <w:kern w:val="0"/>
          <w:sz w:val="24"/>
          <w:szCs w:val="24"/>
        </w:rPr>
      </w:pPr>
      <w:r>
        <w:rPr>
          <w:rFonts w:hint="eastAsia" w:ascii="宋体" w:hAnsi="宋体" w:cs="宋体"/>
          <w:snapToGrid w:val="0"/>
          <w:color w:val="auto"/>
          <w:kern w:val="0"/>
          <w:sz w:val="24"/>
          <w:szCs w:val="24"/>
          <w:lang w:eastAsia="zh-CN"/>
        </w:rPr>
        <w:t>（</w:t>
      </w:r>
      <w:r>
        <w:rPr>
          <w:rFonts w:hint="eastAsia" w:ascii="宋体" w:hAnsi="宋体" w:cs="宋体"/>
          <w:snapToGrid w:val="0"/>
          <w:color w:val="auto"/>
          <w:kern w:val="0"/>
          <w:sz w:val="24"/>
          <w:szCs w:val="24"/>
          <w:lang w:val="en-US" w:eastAsia="zh-CN"/>
        </w:rPr>
        <w:t>3</w:t>
      </w:r>
      <w:r>
        <w:rPr>
          <w:rFonts w:hint="eastAsia" w:ascii="宋体" w:hAnsi="宋体" w:cs="宋体"/>
          <w:snapToGrid w:val="0"/>
          <w:color w:val="auto"/>
          <w:kern w:val="0"/>
          <w:sz w:val="24"/>
          <w:szCs w:val="24"/>
          <w:lang w:eastAsia="zh-CN"/>
        </w:rPr>
        <w:t>）</w:t>
      </w:r>
      <w:r>
        <w:rPr>
          <w:rFonts w:hint="eastAsia" w:ascii="宋体" w:hAnsi="宋体" w:cs="宋体"/>
          <w:snapToGrid w:val="0"/>
          <w:kern w:val="0"/>
          <w:sz w:val="24"/>
          <w:szCs w:val="24"/>
        </w:rPr>
        <w:t>验收</w:t>
      </w:r>
    </w:p>
    <w:p w14:paraId="0006F65C">
      <w:pPr>
        <w:pStyle w:val="7"/>
        <w:shd w:val="clear" w:color="auto" w:fill="auto"/>
        <w:spacing w:line="360" w:lineRule="auto"/>
        <w:ind w:firstLine="480" w:firstLineChars="200"/>
        <w:rPr>
          <w:rFonts w:hint="eastAsia" w:ascii="宋体" w:hAnsi="宋体" w:cs="宋体"/>
          <w:snapToGrid w:val="0"/>
          <w:kern w:val="0"/>
          <w:sz w:val="24"/>
          <w:szCs w:val="24"/>
        </w:rPr>
      </w:pPr>
      <w:r>
        <w:rPr>
          <w:rFonts w:hint="eastAsia" w:ascii="宋体" w:hAnsi="宋体" w:cs="宋体"/>
          <w:snapToGrid w:val="0"/>
          <w:kern w:val="0"/>
          <w:sz w:val="24"/>
          <w:szCs w:val="24"/>
          <w:lang w:val="en-US" w:eastAsia="zh-CN"/>
        </w:rPr>
        <w:t>3</w:t>
      </w:r>
      <w:r>
        <w:rPr>
          <w:rFonts w:hint="eastAsia" w:ascii="宋体" w:hAnsi="宋体" w:cs="宋体"/>
          <w:snapToGrid w:val="0"/>
          <w:kern w:val="0"/>
          <w:sz w:val="24"/>
          <w:szCs w:val="24"/>
        </w:rPr>
        <w:t>.1验收按国家有关规范标准（国家无验收规范标准的按双方合同规定的要求）进行。</w:t>
      </w:r>
    </w:p>
    <w:p w14:paraId="200DC323">
      <w:pPr>
        <w:pStyle w:val="7"/>
        <w:shd w:val="clear" w:color="auto" w:fill="auto"/>
        <w:spacing w:line="360" w:lineRule="auto"/>
        <w:ind w:firstLine="480" w:firstLineChars="200"/>
        <w:rPr>
          <w:rFonts w:hint="eastAsia" w:ascii="宋体" w:hAnsi="宋体" w:cs="宋体"/>
          <w:snapToGrid w:val="0"/>
          <w:color w:val="auto"/>
          <w:kern w:val="0"/>
          <w:sz w:val="24"/>
          <w:szCs w:val="24"/>
        </w:rPr>
      </w:pPr>
      <w:r>
        <w:rPr>
          <w:rFonts w:hint="eastAsia" w:ascii="宋体" w:hAnsi="宋体" w:cs="宋体"/>
          <w:snapToGrid w:val="0"/>
          <w:color w:val="auto"/>
          <w:kern w:val="0"/>
          <w:sz w:val="24"/>
          <w:szCs w:val="24"/>
          <w:lang w:val="en-US" w:eastAsia="zh-CN"/>
        </w:rPr>
        <w:t>3</w:t>
      </w:r>
      <w:r>
        <w:rPr>
          <w:rFonts w:hint="eastAsia" w:ascii="宋体" w:hAnsi="宋体" w:cs="宋体"/>
          <w:snapToGrid w:val="0"/>
          <w:color w:val="auto"/>
          <w:kern w:val="0"/>
          <w:sz w:val="24"/>
          <w:szCs w:val="24"/>
        </w:rPr>
        <w:t>.</w:t>
      </w:r>
      <w:r>
        <w:rPr>
          <w:rFonts w:hint="eastAsia" w:ascii="宋体" w:hAnsi="宋体" w:cs="宋体"/>
          <w:snapToGrid w:val="0"/>
          <w:color w:val="auto"/>
          <w:kern w:val="0"/>
          <w:sz w:val="24"/>
          <w:szCs w:val="24"/>
          <w:lang w:val="en-US" w:eastAsia="zh-CN"/>
        </w:rPr>
        <w:t>2</w:t>
      </w:r>
      <w:r>
        <w:rPr>
          <w:rFonts w:hint="eastAsia" w:ascii="宋体" w:hAnsi="宋体" w:cs="宋体"/>
          <w:snapToGrid w:val="0"/>
          <w:color w:val="auto"/>
          <w:kern w:val="0"/>
          <w:sz w:val="24"/>
          <w:szCs w:val="24"/>
        </w:rPr>
        <w:t>采购人保留邀请第三方机构或相关技术专家参与验收的权利。第三方机构的意见作为验收书的参考资料一并存档。</w:t>
      </w:r>
    </w:p>
    <w:p w14:paraId="0DCC22C4">
      <w:pPr>
        <w:pStyle w:val="7"/>
        <w:shd w:val="clear" w:color="auto" w:fill="auto"/>
        <w:spacing w:line="360" w:lineRule="auto"/>
        <w:ind w:firstLine="480" w:firstLineChars="200"/>
        <w:rPr>
          <w:rFonts w:hint="eastAsia" w:ascii="宋体" w:hAnsi="宋体" w:cs="宋体"/>
          <w:snapToGrid w:val="0"/>
          <w:color w:val="auto"/>
          <w:kern w:val="0"/>
          <w:sz w:val="24"/>
          <w:szCs w:val="24"/>
        </w:rPr>
      </w:pPr>
    </w:p>
    <w:p w14:paraId="046E737B">
      <w:pPr>
        <w:pStyle w:val="4"/>
        <w:shd w:val="clear" w:color="auto" w:fill="auto"/>
        <w:spacing w:line="360" w:lineRule="auto"/>
        <w:jc w:val="center"/>
        <w:rPr>
          <w:rFonts w:hint="eastAsia" w:ascii="宋体" w:hAnsi="宋体" w:eastAsia="宋体" w:cs="Times New Roman"/>
          <w:b/>
          <w:color w:val="auto"/>
          <w:highlight w:val="none"/>
        </w:rPr>
      </w:pPr>
      <w:bookmarkStart w:id="444" w:name="_Toc28428"/>
      <w:r>
        <w:rPr>
          <w:rFonts w:hint="eastAsia" w:hAnsi="宋体" w:cs="Times New Roman"/>
          <w:b/>
          <w:color w:val="auto"/>
          <w:highlight w:val="none"/>
          <w:lang w:eastAsia="zh-CN"/>
        </w:rPr>
        <w:t>第四章</w:t>
      </w:r>
      <w:r>
        <w:rPr>
          <w:rFonts w:hint="eastAsia" w:hAnsi="宋体" w:cs="Times New Roman"/>
          <w:b/>
          <w:color w:val="auto"/>
          <w:highlight w:val="none"/>
          <w:lang w:val="en-US" w:eastAsia="zh-CN"/>
        </w:rPr>
        <w:t xml:space="preserve">  </w:t>
      </w:r>
      <w:r>
        <w:rPr>
          <w:rFonts w:hint="eastAsia" w:ascii="宋体" w:hAnsi="宋体" w:eastAsia="宋体" w:cs="Times New Roman"/>
          <w:b/>
          <w:color w:val="auto"/>
          <w:highlight w:val="none"/>
        </w:rPr>
        <w:t>售后服务</w:t>
      </w:r>
      <w:bookmarkEnd w:id="444"/>
    </w:p>
    <w:p w14:paraId="76B5AFC4">
      <w:pPr>
        <w:shd w:val="clear" w:color="auto" w:fill="auto"/>
        <w:spacing w:line="360" w:lineRule="auto"/>
        <w:rPr>
          <w:rFonts w:hint="eastAsia" w:ascii="宋体" w:hAnsi="宋体" w:cs="宋体"/>
          <w:sz w:val="24"/>
        </w:rPr>
      </w:pPr>
    </w:p>
    <w:p w14:paraId="589AE1BC">
      <w:pPr>
        <w:pStyle w:val="7"/>
        <w:shd w:val="clear" w:color="auto" w:fill="auto"/>
        <w:spacing w:line="360" w:lineRule="auto"/>
        <w:ind w:firstLine="480" w:firstLineChars="200"/>
        <w:rPr>
          <w:rFonts w:hint="eastAsia" w:ascii="宋体" w:hAnsi="宋体" w:cs="宋体"/>
          <w:snapToGrid w:val="0"/>
          <w:kern w:val="0"/>
          <w:sz w:val="24"/>
          <w:szCs w:val="24"/>
        </w:rPr>
      </w:pPr>
      <w:r>
        <w:rPr>
          <w:rFonts w:hint="eastAsia" w:ascii="宋体" w:hAnsi="宋体" w:cs="宋体"/>
          <w:snapToGrid w:val="0"/>
          <w:kern w:val="0"/>
          <w:sz w:val="24"/>
          <w:szCs w:val="24"/>
        </w:rPr>
        <w:t>1、本项目所有货物质保期限为验收合格之日起原厂</w:t>
      </w:r>
      <w:r>
        <w:rPr>
          <w:rFonts w:hint="eastAsia" w:ascii="宋体" w:hAnsi="宋体" w:cs="宋体"/>
          <w:snapToGrid w:val="0"/>
          <w:kern w:val="0"/>
          <w:sz w:val="24"/>
          <w:szCs w:val="24"/>
          <w:u w:val="single"/>
        </w:rPr>
        <w:t xml:space="preserve"> 1 </w:t>
      </w:r>
      <w:r>
        <w:rPr>
          <w:rFonts w:hint="eastAsia" w:ascii="宋体" w:hAnsi="宋体" w:cs="宋体"/>
          <w:snapToGrid w:val="0"/>
          <w:kern w:val="0"/>
          <w:sz w:val="24"/>
          <w:szCs w:val="24"/>
        </w:rPr>
        <w:t>年。在质保期内出现质量问题，供应商应提供免费维修服务。</w:t>
      </w:r>
    </w:p>
    <w:p w14:paraId="7CEC5601">
      <w:pPr>
        <w:pStyle w:val="7"/>
        <w:shd w:val="clear" w:color="auto" w:fill="auto"/>
        <w:spacing w:line="360" w:lineRule="auto"/>
        <w:ind w:firstLine="480" w:firstLineChars="200"/>
        <w:rPr>
          <w:rFonts w:hint="eastAsia" w:ascii="宋体" w:hAnsi="宋体" w:cs="宋体"/>
          <w:snapToGrid w:val="0"/>
          <w:kern w:val="0"/>
          <w:sz w:val="24"/>
          <w:szCs w:val="24"/>
        </w:rPr>
      </w:pPr>
      <w:r>
        <w:rPr>
          <w:rFonts w:hint="eastAsia" w:ascii="宋体" w:hAnsi="宋体" w:cs="宋体"/>
          <w:snapToGrid w:val="0"/>
          <w:kern w:val="0"/>
          <w:sz w:val="24"/>
          <w:szCs w:val="24"/>
        </w:rPr>
        <w:t>要求中标人在接到采购人的电话后</w:t>
      </w:r>
      <w:r>
        <w:rPr>
          <w:rFonts w:hint="eastAsia" w:ascii="宋体" w:hAnsi="宋体" w:cs="宋体"/>
          <w:snapToGrid w:val="0"/>
          <w:kern w:val="0"/>
          <w:sz w:val="24"/>
          <w:szCs w:val="24"/>
          <w:lang w:val="en-US" w:eastAsia="zh-CN"/>
        </w:rPr>
        <w:t>1</w:t>
      </w:r>
      <w:r>
        <w:rPr>
          <w:rFonts w:hint="eastAsia" w:ascii="宋体" w:hAnsi="宋体" w:cs="宋体"/>
          <w:snapToGrid w:val="0"/>
          <w:kern w:val="0"/>
          <w:sz w:val="24"/>
          <w:szCs w:val="24"/>
        </w:rPr>
        <w:t>小时内响应，最迟在12小时内排除故障，以保证采购人的正常使用。在24小时内未能修复货物的情况下，要求为采购人免费提供备品备件。</w:t>
      </w:r>
    </w:p>
    <w:p w14:paraId="5352266A">
      <w:pPr>
        <w:pStyle w:val="7"/>
        <w:shd w:val="clear" w:color="auto" w:fill="auto"/>
        <w:spacing w:line="360" w:lineRule="auto"/>
        <w:ind w:firstLine="480" w:firstLineChars="200"/>
        <w:rPr>
          <w:rFonts w:hint="eastAsia" w:ascii="宋体" w:hAnsi="宋体" w:cs="宋体"/>
          <w:snapToGrid w:val="0"/>
          <w:kern w:val="0"/>
          <w:sz w:val="24"/>
          <w:szCs w:val="24"/>
        </w:rPr>
      </w:pPr>
      <w:r>
        <w:rPr>
          <w:rFonts w:hint="eastAsia" w:ascii="宋体" w:hAnsi="宋体" w:cs="宋体"/>
          <w:snapToGrid w:val="0"/>
          <w:kern w:val="0"/>
          <w:sz w:val="24"/>
          <w:szCs w:val="24"/>
        </w:rPr>
        <w:t xml:space="preserve">中标人在接到采购人的正常服务要求（不超出本项目范围）后，应在 </w:t>
      </w:r>
      <w:r>
        <w:rPr>
          <w:rFonts w:hint="eastAsia" w:ascii="宋体" w:hAnsi="宋体" w:cs="宋体"/>
          <w:snapToGrid w:val="0"/>
          <w:kern w:val="0"/>
          <w:sz w:val="24"/>
          <w:szCs w:val="24"/>
          <w:lang w:val="en-US" w:eastAsia="zh-CN"/>
        </w:rPr>
        <w:t>1</w:t>
      </w:r>
      <w:r>
        <w:rPr>
          <w:rFonts w:hint="eastAsia" w:ascii="宋体" w:hAnsi="宋体" w:cs="宋体"/>
          <w:snapToGrid w:val="0"/>
          <w:kern w:val="0"/>
          <w:sz w:val="24"/>
          <w:szCs w:val="24"/>
        </w:rPr>
        <w:t>小时内给予响应，如远程解决不了的，</w:t>
      </w:r>
      <w:r>
        <w:rPr>
          <w:rFonts w:hint="eastAsia" w:ascii="宋体" w:hAnsi="宋体" w:cs="宋体"/>
          <w:snapToGrid w:val="0"/>
          <w:kern w:val="0"/>
          <w:sz w:val="24"/>
          <w:szCs w:val="24"/>
          <w:lang w:val="en-US" w:eastAsia="zh-CN"/>
        </w:rPr>
        <w:t>4</w:t>
      </w:r>
      <w:r>
        <w:rPr>
          <w:rFonts w:hint="eastAsia" w:ascii="宋体" w:hAnsi="宋体" w:cs="宋体"/>
          <w:snapToGrid w:val="0"/>
          <w:kern w:val="0"/>
          <w:sz w:val="24"/>
          <w:szCs w:val="24"/>
        </w:rPr>
        <w:t>小时内到达采购人现场。</w:t>
      </w:r>
    </w:p>
    <w:p w14:paraId="55F9A547">
      <w:pPr>
        <w:pStyle w:val="7"/>
        <w:numPr>
          <w:ilvl w:val="0"/>
          <w:numId w:val="40"/>
        </w:numPr>
        <w:shd w:val="clear" w:color="auto" w:fill="auto"/>
        <w:spacing w:line="360" w:lineRule="auto"/>
        <w:ind w:firstLine="480" w:firstLineChars="200"/>
        <w:rPr>
          <w:rFonts w:hint="eastAsia" w:ascii="宋体" w:hAnsi="宋体" w:cs="宋体"/>
          <w:sz w:val="24"/>
          <w:szCs w:val="24"/>
        </w:rPr>
      </w:pPr>
      <w:r>
        <w:rPr>
          <w:rFonts w:hint="eastAsia" w:ascii="宋体" w:hAnsi="宋体" w:cs="宋体"/>
          <w:snapToGrid w:val="0"/>
          <w:kern w:val="0"/>
          <w:sz w:val="24"/>
          <w:szCs w:val="24"/>
        </w:rPr>
        <w:t>中标人须为培训人员提供培训所需各种设施和相关资料，提供中文培训资料、产品使用说明书，现场技术培训系统的安装、调试、操作、维护等内容并提供技术支持文档，所有培训费用包含在本次报价中，不再单独列报。</w:t>
      </w:r>
    </w:p>
    <w:p w14:paraId="32893510">
      <w:pPr>
        <w:pStyle w:val="4"/>
        <w:jc w:val="center"/>
        <w:rPr>
          <w:rFonts w:hAnsi="宋体"/>
          <w:color w:val="auto"/>
          <w:highlight w:val="none"/>
        </w:rPr>
      </w:pPr>
      <w:r>
        <w:rPr>
          <w:rFonts w:hint="eastAsia" w:hAnsi="宋体" w:cs="Times New Roman"/>
          <w:b/>
          <w:color w:val="auto"/>
          <w:highlight w:val="none"/>
          <w:lang w:eastAsia="zh-CN"/>
        </w:rPr>
        <w:t>第五章</w:t>
      </w:r>
      <w:r>
        <w:rPr>
          <w:rFonts w:hint="eastAsia" w:hAnsi="宋体"/>
          <w:color w:val="auto"/>
          <w:highlight w:val="none"/>
        </w:rPr>
        <w:t xml:space="preserve">  </w:t>
      </w:r>
      <w:bookmarkStart w:id="445" w:name="_Toc465331266"/>
      <w:r>
        <w:rPr>
          <w:rFonts w:hint="eastAsia" w:hAnsi="宋体"/>
          <w:color w:val="auto"/>
          <w:highlight w:val="none"/>
        </w:rPr>
        <w:t>付款方式及要求</w:t>
      </w:r>
      <w:bookmarkEnd w:id="438"/>
      <w:bookmarkEnd w:id="439"/>
      <w:bookmarkEnd w:id="440"/>
      <w:bookmarkEnd w:id="445"/>
    </w:p>
    <w:p w14:paraId="3853AE3A">
      <w:pPr>
        <w:pStyle w:val="7"/>
        <w:spacing w:line="360" w:lineRule="auto"/>
        <w:ind w:firstLineChars="200"/>
        <w:rPr>
          <w:rFonts w:ascii="宋体" w:hAnsi="宋体"/>
          <w:color w:val="FF0000"/>
          <w:highlight w:val="none"/>
        </w:rPr>
      </w:pPr>
    </w:p>
    <w:p w14:paraId="2DF22EB9">
      <w:pPr>
        <w:keepLines w:val="0"/>
        <w:pageBreakBefore w:val="0"/>
        <w:numPr>
          <w:ilvl w:val="0"/>
          <w:numId w:val="41"/>
        </w:numPr>
        <w:shd w:val="clear" w:color="auto" w:fill="auto"/>
        <w:kinsoku/>
        <w:wordWrap/>
        <w:overflowPunct/>
        <w:topLinePunct w:val="0"/>
        <w:bidi w:val="0"/>
        <w:spacing w:line="360" w:lineRule="auto"/>
        <w:ind w:firstLine="482" w:firstLineChars="200"/>
        <w:textAlignment w:val="auto"/>
        <w:rPr>
          <w:rFonts w:hint="eastAsia" w:ascii="宋体" w:hAnsi="宋体" w:cs="宋体"/>
          <w:b/>
          <w:sz w:val="24"/>
        </w:rPr>
      </w:pPr>
      <w:r>
        <w:rPr>
          <w:rFonts w:hint="eastAsia" w:ascii="宋体" w:hAnsi="宋体" w:cs="宋体"/>
          <w:b/>
          <w:sz w:val="24"/>
        </w:rPr>
        <w:t>付款方式</w:t>
      </w:r>
    </w:p>
    <w:p w14:paraId="0333A73C">
      <w:pPr>
        <w:pStyle w:val="3"/>
        <w:keepLines w:val="0"/>
        <w:pageBreakBefore w:val="0"/>
        <w:shd w:val="clear" w:color="auto" w:fill="auto"/>
        <w:kinsoku/>
        <w:wordWrap/>
        <w:overflowPunct/>
        <w:topLinePunct w:val="0"/>
        <w:bidi w:val="0"/>
        <w:spacing w:line="360" w:lineRule="auto"/>
        <w:ind w:firstLine="480" w:firstLineChars="200"/>
        <w:jc w:val="left"/>
        <w:textAlignment w:val="auto"/>
        <w:rPr>
          <w:rFonts w:hint="eastAsia" w:ascii="宋体" w:hAnsi="宋体" w:eastAsia="宋体" w:cs="宋体"/>
          <w:b w:val="0"/>
          <w:sz w:val="24"/>
          <w:szCs w:val="24"/>
          <w:lang w:eastAsia="zh-CN"/>
        </w:rPr>
      </w:pPr>
      <w:bookmarkStart w:id="446" w:name="_Toc7512"/>
      <w:bookmarkStart w:id="447" w:name="_Toc30986"/>
      <w:bookmarkStart w:id="448" w:name="_Toc27627"/>
      <w:bookmarkStart w:id="449" w:name="_Toc2122"/>
      <w:bookmarkStart w:id="450" w:name="_Toc13672"/>
      <w:r>
        <w:rPr>
          <w:rFonts w:hint="eastAsia" w:ascii="宋体" w:hAnsi="宋体" w:eastAsia="宋体" w:cs="宋体"/>
          <w:b w:val="0"/>
          <w:sz w:val="24"/>
          <w:szCs w:val="24"/>
        </w:rPr>
        <w:t>设备到货经</w:t>
      </w:r>
      <w:r>
        <w:rPr>
          <w:rFonts w:hint="eastAsia" w:ascii="宋体" w:hAnsi="宋体" w:eastAsia="宋体" w:cs="宋体"/>
          <w:b w:val="0"/>
          <w:sz w:val="24"/>
          <w:szCs w:val="24"/>
          <w:lang w:eastAsia="zh-CN"/>
        </w:rPr>
        <w:t>采购人</w:t>
      </w:r>
      <w:r>
        <w:rPr>
          <w:rFonts w:hint="eastAsia" w:ascii="宋体" w:hAnsi="宋体" w:eastAsia="宋体" w:cs="宋体"/>
          <w:b w:val="0"/>
          <w:sz w:val="24"/>
          <w:szCs w:val="24"/>
        </w:rPr>
        <w:t>签收后，</w:t>
      </w:r>
      <w:r>
        <w:rPr>
          <w:rFonts w:hint="eastAsia" w:ascii="宋体" w:hAnsi="宋体" w:eastAsia="宋体" w:cs="宋体"/>
          <w:b w:val="0"/>
          <w:sz w:val="24"/>
          <w:szCs w:val="24"/>
          <w:lang w:eastAsia="zh-CN"/>
        </w:rPr>
        <w:t>采购人</w:t>
      </w:r>
      <w:r>
        <w:rPr>
          <w:rFonts w:hint="eastAsia" w:ascii="宋体" w:hAnsi="宋体" w:eastAsia="宋体" w:cs="宋体"/>
          <w:b w:val="0"/>
          <w:sz w:val="24"/>
          <w:szCs w:val="24"/>
        </w:rPr>
        <w:t>向</w:t>
      </w:r>
      <w:r>
        <w:rPr>
          <w:rFonts w:hint="eastAsia" w:ascii="宋体" w:hAnsi="宋体" w:eastAsia="宋体" w:cs="宋体"/>
          <w:b w:val="0"/>
          <w:sz w:val="24"/>
          <w:szCs w:val="24"/>
          <w:lang w:eastAsia="zh-CN"/>
        </w:rPr>
        <w:t>中标人</w:t>
      </w:r>
      <w:r>
        <w:rPr>
          <w:rFonts w:hint="eastAsia" w:ascii="宋体" w:hAnsi="宋体" w:eastAsia="宋体" w:cs="宋体"/>
          <w:b w:val="0"/>
          <w:sz w:val="24"/>
          <w:szCs w:val="24"/>
        </w:rPr>
        <w:t>支付至含税到货设备价格的</w:t>
      </w:r>
      <w:r>
        <w:rPr>
          <w:rFonts w:hint="eastAsia" w:cs="宋体"/>
          <w:b w:val="0"/>
          <w:sz w:val="24"/>
          <w:szCs w:val="24"/>
          <w:lang w:val="en-US" w:eastAsia="zh-CN"/>
        </w:rPr>
        <w:t>30</w:t>
      </w:r>
      <w:r>
        <w:rPr>
          <w:rFonts w:hint="eastAsia" w:ascii="宋体" w:hAnsi="宋体" w:eastAsia="宋体" w:cs="宋体"/>
          <w:b w:val="0"/>
          <w:sz w:val="24"/>
          <w:szCs w:val="24"/>
        </w:rPr>
        <w:t>％；设备安装调试完成</w:t>
      </w:r>
      <w:r>
        <w:rPr>
          <w:rFonts w:hint="eastAsia" w:ascii="宋体" w:hAnsi="宋体" w:eastAsia="宋体" w:cs="宋体"/>
          <w:b w:val="0"/>
          <w:sz w:val="24"/>
          <w:szCs w:val="24"/>
          <w:lang w:eastAsia="zh-CN"/>
        </w:rPr>
        <w:t>并投入生产</w:t>
      </w:r>
      <w:r>
        <w:rPr>
          <w:rFonts w:hint="eastAsia" w:ascii="宋体" w:hAnsi="宋体" w:eastAsia="宋体" w:cs="宋体"/>
          <w:b w:val="0"/>
          <w:sz w:val="24"/>
          <w:szCs w:val="24"/>
        </w:rPr>
        <w:t>后，</w:t>
      </w:r>
      <w:r>
        <w:rPr>
          <w:rFonts w:hint="eastAsia" w:ascii="宋体" w:hAnsi="宋体" w:eastAsia="宋体" w:cs="宋体"/>
          <w:b w:val="0"/>
          <w:sz w:val="24"/>
          <w:szCs w:val="24"/>
          <w:lang w:eastAsia="zh-CN"/>
        </w:rPr>
        <w:t>采购人</w:t>
      </w:r>
      <w:r>
        <w:rPr>
          <w:rFonts w:hint="eastAsia" w:ascii="宋体" w:hAnsi="宋体" w:eastAsia="宋体" w:cs="宋体"/>
          <w:b w:val="0"/>
          <w:sz w:val="24"/>
          <w:szCs w:val="24"/>
        </w:rPr>
        <w:t>组织人员验收出具签署验收单。验收合格后</w:t>
      </w:r>
      <w:r>
        <w:rPr>
          <w:rFonts w:hint="eastAsia" w:ascii="宋体" w:hAnsi="宋体" w:eastAsia="宋体" w:cs="宋体"/>
          <w:b w:val="0"/>
          <w:sz w:val="24"/>
          <w:szCs w:val="24"/>
          <w:lang w:eastAsia="zh-CN"/>
        </w:rPr>
        <w:t>采购人在</w:t>
      </w:r>
      <w:r>
        <w:rPr>
          <w:rFonts w:hint="eastAsia" w:ascii="宋体" w:hAnsi="宋体" w:eastAsia="宋体" w:cs="宋体"/>
          <w:b w:val="0"/>
          <w:sz w:val="24"/>
          <w:szCs w:val="24"/>
          <w:lang w:val="en-US" w:eastAsia="zh-CN"/>
        </w:rPr>
        <w:t>6个月内</w:t>
      </w:r>
      <w:r>
        <w:rPr>
          <w:rFonts w:hint="eastAsia" w:ascii="宋体" w:hAnsi="宋体" w:eastAsia="宋体" w:cs="宋体"/>
          <w:b w:val="0"/>
          <w:sz w:val="24"/>
          <w:szCs w:val="24"/>
        </w:rPr>
        <w:t>向</w:t>
      </w:r>
      <w:r>
        <w:rPr>
          <w:rFonts w:hint="eastAsia" w:ascii="宋体" w:hAnsi="宋体" w:eastAsia="宋体" w:cs="宋体"/>
          <w:b w:val="0"/>
          <w:sz w:val="24"/>
          <w:szCs w:val="24"/>
          <w:lang w:eastAsia="zh-CN"/>
        </w:rPr>
        <w:t>中标人</w:t>
      </w:r>
      <w:r>
        <w:rPr>
          <w:rFonts w:hint="eastAsia" w:ascii="宋体" w:hAnsi="宋体" w:eastAsia="宋体" w:cs="宋体"/>
          <w:b w:val="0"/>
          <w:sz w:val="24"/>
          <w:szCs w:val="24"/>
        </w:rPr>
        <w:t>付至含税到货设备价格的95％</w:t>
      </w:r>
      <w:bookmarkEnd w:id="446"/>
      <w:bookmarkEnd w:id="447"/>
      <w:bookmarkEnd w:id="448"/>
      <w:bookmarkEnd w:id="449"/>
      <w:bookmarkEnd w:id="450"/>
      <w:r>
        <w:rPr>
          <w:rFonts w:hint="eastAsia" w:ascii="宋体" w:hAnsi="宋体" w:eastAsia="宋体" w:cs="宋体"/>
          <w:b w:val="0"/>
          <w:sz w:val="24"/>
          <w:szCs w:val="24"/>
          <w:lang w:eastAsia="zh-CN"/>
        </w:rPr>
        <w:t>，</w:t>
      </w:r>
      <w:r>
        <w:rPr>
          <w:rFonts w:hint="eastAsia" w:ascii="宋体" w:hAnsi="宋体" w:eastAsia="宋体" w:cs="宋体"/>
          <w:b w:val="0"/>
          <w:sz w:val="24"/>
          <w:szCs w:val="24"/>
        </w:rPr>
        <w:t>质保金为中标金额的5%，质保到期后支付。</w:t>
      </w:r>
    </w:p>
    <w:p w14:paraId="0984D791">
      <w:pPr>
        <w:keepLines w:val="0"/>
        <w:pageBreakBefore w:val="0"/>
        <w:numPr>
          <w:ilvl w:val="0"/>
          <w:numId w:val="41"/>
        </w:numPr>
        <w:shd w:val="clear" w:color="auto" w:fill="auto"/>
        <w:kinsoku/>
        <w:wordWrap/>
        <w:overflowPunct/>
        <w:topLinePunct w:val="0"/>
        <w:bidi w:val="0"/>
        <w:spacing w:line="360" w:lineRule="auto"/>
        <w:ind w:firstLine="482" w:firstLineChars="200"/>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付款要求</w:t>
      </w:r>
    </w:p>
    <w:p w14:paraId="262DBEBD">
      <w:pPr>
        <w:shd w:val="clear" w:color="auto" w:fill="auto"/>
        <w:spacing w:line="360" w:lineRule="auto"/>
        <w:ind w:firstLine="480" w:firstLineChars="200"/>
      </w:pPr>
      <w:r>
        <w:rPr>
          <w:rFonts w:hint="eastAsia" w:ascii="宋体" w:hAnsi="宋体" w:eastAsia="宋体" w:cs="Times New Roman"/>
          <w:sz w:val="24"/>
          <w:lang w:val="en-US" w:eastAsia="zh-CN"/>
        </w:rPr>
        <w:t>中标单位向采购方提供增值税专用发票。如中标人未按约定提供增值税发票的，采购人有权拒绝付款，直至收到中标人提交的相应增值税发票为止，在此情况下，</w:t>
      </w:r>
      <w:r>
        <w:rPr>
          <w:rFonts w:hint="eastAsia" w:ascii="宋体" w:hAnsi="宋体" w:eastAsia="宋体" w:cs="Times New Roman"/>
          <w:sz w:val="24"/>
        </w:rPr>
        <w:t>采购人不承担逾期付款违约责任。</w:t>
      </w:r>
    </w:p>
    <w:p w14:paraId="22E28F81">
      <w:pPr>
        <w:pStyle w:val="28"/>
        <w:rPr>
          <w:rFonts w:hint="eastAsia"/>
        </w:rPr>
      </w:pPr>
    </w:p>
    <w:p w14:paraId="3CB4E222">
      <w:pPr>
        <w:pStyle w:val="3"/>
        <w:spacing w:line="420" w:lineRule="exact"/>
        <w:rPr>
          <w:color w:val="auto"/>
          <w:highlight w:val="none"/>
        </w:rPr>
      </w:pPr>
      <w:bookmarkStart w:id="451" w:name="_Toc1523"/>
      <w:r>
        <w:rPr>
          <w:rFonts w:hint="eastAsia" w:cs="宋体"/>
          <w:color w:val="auto"/>
          <w:sz w:val="32"/>
          <w:highlight w:val="none"/>
        </w:rPr>
        <w:br w:type="page"/>
      </w:r>
      <w:bookmarkStart w:id="452" w:name="_Toc10978"/>
      <w:r>
        <w:rPr>
          <w:rFonts w:hint="eastAsia" w:cs="宋体"/>
          <w:color w:val="auto"/>
          <w:sz w:val="32"/>
          <w:highlight w:val="none"/>
        </w:rPr>
        <w:t>第五部分   采购合同</w:t>
      </w:r>
      <w:bookmarkEnd w:id="451"/>
      <w:bookmarkEnd w:id="452"/>
    </w:p>
    <w:p w14:paraId="3A86B4FC">
      <w:pPr>
        <w:spacing w:line="420" w:lineRule="exact"/>
        <w:rPr>
          <w:rFonts w:ascii="宋体" w:hAnsi="宋体" w:cs="宋体"/>
          <w:color w:val="auto"/>
          <w:kern w:val="0"/>
          <w:sz w:val="24"/>
          <w:highlight w:val="none"/>
        </w:rPr>
      </w:pPr>
      <w:r>
        <w:rPr>
          <w:rFonts w:hint="eastAsia" w:ascii="宋体" w:hAnsi="宋体" w:cs="宋体"/>
          <w:color w:val="auto"/>
          <w:kern w:val="0"/>
          <w:sz w:val="24"/>
          <w:highlight w:val="none"/>
        </w:rPr>
        <w:t xml:space="preserve">　  </w:t>
      </w:r>
    </w:p>
    <w:p w14:paraId="7F10D7DD">
      <w:pPr>
        <w:spacing w:line="360" w:lineRule="auto"/>
        <w:rPr>
          <w:rFonts w:hint="eastAsia" w:ascii="宋体" w:hAnsi="宋体" w:eastAsia="宋体"/>
          <w:sz w:val="24"/>
          <w:szCs w:val="24"/>
          <w:lang w:eastAsia="zh-CN"/>
        </w:rPr>
      </w:pPr>
      <w:r>
        <w:rPr>
          <w:rFonts w:ascii="宋体" w:hAnsi="宋体"/>
          <w:sz w:val="24"/>
          <w:szCs w:val="24"/>
        </w:rPr>
        <w:t>合同编号：</w:t>
      </w:r>
      <w:r>
        <w:rPr>
          <w:rFonts w:hint="eastAsia" w:ascii="宋体" w:hAnsi="宋体"/>
          <w:sz w:val="24"/>
          <w:szCs w:val="24"/>
          <w:lang w:val="en-US" w:eastAsia="zh-CN"/>
        </w:rPr>
        <w:t xml:space="preserve"> </w:t>
      </w:r>
    </w:p>
    <w:p w14:paraId="38CFD454">
      <w:pPr>
        <w:spacing w:line="360" w:lineRule="auto"/>
        <w:rPr>
          <w:rFonts w:ascii="宋体" w:hAnsi="宋体"/>
          <w:sz w:val="24"/>
          <w:szCs w:val="24"/>
        </w:rPr>
      </w:pPr>
      <w:r>
        <w:rPr>
          <w:rFonts w:ascii="宋体" w:hAnsi="宋体"/>
          <w:sz w:val="24"/>
          <w:szCs w:val="24"/>
        </w:rPr>
        <w:t>签订地点：</w:t>
      </w:r>
      <w:r>
        <w:rPr>
          <w:rFonts w:hint="eastAsia" w:ascii="宋体" w:hAnsi="宋体"/>
          <w:sz w:val="24"/>
          <w:szCs w:val="24"/>
        </w:rPr>
        <w:t>绍兴市上虞区交通产业发展有限公司会议室</w:t>
      </w:r>
    </w:p>
    <w:p w14:paraId="0E7B9CCE">
      <w:pPr>
        <w:spacing w:line="360" w:lineRule="auto"/>
        <w:rPr>
          <w:rFonts w:ascii="宋体" w:hAnsi="宋体"/>
          <w:sz w:val="24"/>
          <w:szCs w:val="24"/>
        </w:rPr>
      </w:pPr>
      <w:r>
        <w:rPr>
          <w:rFonts w:ascii="宋体" w:hAnsi="宋体"/>
          <w:sz w:val="24"/>
          <w:szCs w:val="24"/>
        </w:rPr>
        <w:t>签订日期：</w:t>
      </w:r>
      <w:r>
        <w:rPr>
          <w:rFonts w:hint="eastAsia" w:ascii="宋体" w:hAnsi="宋体"/>
          <w:sz w:val="24"/>
          <w:szCs w:val="24"/>
        </w:rPr>
        <w:t>202</w:t>
      </w:r>
      <w:r>
        <w:rPr>
          <w:rFonts w:hint="eastAsia" w:ascii="宋体" w:hAnsi="宋体"/>
          <w:sz w:val="24"/>
          <w:szCs w:val="24"/>
          <w:lang w:val="en-US" w:eastAsia="zh-CN"/>
        </w:rPr>
        <w:t>5</w:t>
      </w:r>
      <w:r>
        <w:rPr>
          <w:rFonts w:hint="eastAsia" w:ascii="宋体" w:hAnsi="宋体"/>
          <w:sz w:val="24"/>
          <w:szCs w:val="24"/>
        </w:rPr>
        <w:t>年   月   日</w:t>
      </w:r>
    </w:p>
    <w:p w14:paraId="18BA5C75">
      <w:pPr>
        <w:spacing w:line="360" w:lineRule="auto"/>
        <w:rPr>
          <w:rFonts w:ascii="宋体" w:hAnsi="宋体"/>
          <w:sz w:val="24"/>
          <w:szCs w:val="24"/>
        </w:rPr>
      </w:pPr>
      <w:r>
        <w:rPr>
          <w:rFonts w:ascii="宋体" w:hAnsi="宋体"/>
          <w:sz w:val="24"/>
          <w:szCs w:val="24"/>
        </w:rPr>
        <w:t>甲方（买方）：</w:t>
      </w:r>
      <w:r>
        <w:rPr>
          <w:rFonts w:hint="eastAsia" w:ascii="宋体" w:hAnsi="宋体"/>
          <w:sz w:val="24"/>
          <w:szCs w:val="24"/>
          <w:u w:val="single"/>
        </w:rPr>
        <w:t>绍兴市上虞区交通产业发展有限公司</w:t>
      </w:r>
    </w:p>
    <w:p w14:paraId="4A826DC2">
      <w:pPr>
        <w:keepNext w:val="0"/>
        <w:keepLines w:val="0"/>
        <w:pageBreakBefore w:val="0"/>
        <w:widowControl w:val="0"/>
        <w:suppressLineNumbers w:val="0"/>
        <w:kinsoku/>
        <w:wordWrap/>
        <w:overflowPunct/>
        <w:topLinePunct w:val="0"/>
        <w:autoSpaceDE w:val="0"/>
        <w:autoSpaceDN/>
        <w:bidi w:val="0"/>
        <w:adjustRightInd w:val="0"/>
        <w:snapToGrid/>
        <w:spacing w:before="97" w:beforeLines="30" w:beforeAutospacing="0" w:after="97" w:afterLines="30" w:afterAutospacing="0" w:line="360" w:lineRule="auto"/>
        <w:ind w:right="0" w:rightChars="0"/>
        <w:jc w:val="both"/>
        <w:textAlignment w:val="auto"/>
        <w:rPr>
          <w:rFonts w:ascii="宋体" w:hAnsi="宋体"/>
          <w:sz w:val="24"/>
          <w:szCs w:val="24"/>
        </w:rPr>
      </w:pPr>
      <w:r>
        <w:rPr>
          <w:rFonts w:ascii="宋体" w:hAnsi="宋体"/>
          <w:sz w:val="24"/>
          <w:szCs w:val="24"/>
        </w:rPr>
        <w:t xml:space="preserve">乙方（卖方）： </w:t>
      </w:r>
      <w:r>
        <w:rPr>
          <w:rFonts w:hint="eastAsia" w:ascii="宋体" w:hAnsi="宋体"/>
          <w:sz w:val="24"/>
          <w:szCs w:val="24"/>
          <w:u w:val="single"/>
          <w:lang w:val="en-US" w:eastAsia="zh-CN"/>
        </w:rPr>
        <w:t xml:space="preserve">           </w:t>
      </w:r>
      <w:r>
        <w:rPr>
          <w:rFonts w:ascii="宋体" w:hAnsi="宋体"/>
          <w:sz w:val="24"/>
          <w:szCs w:val="24"/>
        </w:rPr>
        <w:t xml:space="preserve">                  </w:t>
      </w:r>
    </w:p>
    <w:p w14:paraId="4C08CAC7">
      <w:pPr>
        <w:keepNext w:val="0"/>
        <w:keepLines w:val="0"/>
        <w:pageBreakBefore w:val="0"/>
        <w:widowControl w:val="0"/>
        <w:suppressLineNumbers w:val="0"/>
        <w:kinsoku/>
        <w:wordWrap/>
        <w:overflowPunct/>
        <w:topLinePunct w:val="0"/>
        <w:autoSpaceDE/>
        <w:autoSpaceDN/>
        <w:bidi w:val="0"/>
        <w:adjustRightInd w:val="0"/>
        <w:snapToGrid/>
        <w:spacing w:before="0" w:beforeLines="0" w:beforeAutospacing="0" w:after="0" w:afterLines="0" w:afterAutospacing="0" w:line="360" w:lineRule="auto"/>
        <w:ind w:right="0" w:rightChars="0"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根据《中华人民共和国民法典》及相关法律法规的规定，买卖双方在平等自愿的基础上，就</w:t>
      </w:r>
      <w:r>
        <w:rPr>
          <w:rFonts w:hint="eastAsia" w:ascii="宋体" w:hAnsi="宋体" w:eastAsia="宋体" w:cs="宋体"/>
          <w:color w:val="auto"/>
          <w:kern w:val="2"/>
          <w:sz w:val="24"/>
          <w:szCs w:val="24"/>
          <w:highlight w:val="none"/>
          <w:u w:val="single"/>
          <w:lang w:val="en-US" w:eastAsia="zh-CN" w:bidi="ar"/>
        </w:rPr>
        <w:t xml:space="preserve">                    </w:t>
      </w:r>
      <w:r>
        <w:rPr>
          <w:rFonts w:hint="eastAsia" w:ascii="宋体" w:hAnsi="宋体" w:eastAsia="宋体" w:cs="宋体"/>
          <w:color w:val="auto"/>
          <w:kern w:val="2"/>
          <w:sz w:val="24"/>
          <w:szCs w:val="24"/>
          <w:highlight w:val="none"/>
          <w:lang w:val="en-US" w:eastAsia="zh-CN" w:bidi="ar"/>
        </w:rPr>
        <w:t xml:space="preserve"> 采购项目相关事宜达成如下协议：</w:t>
      </w:r>
    </w:p>
    <w:p w14:paraId="6D8D2544">
      <w:pPr>
        <w:spacing w:line="360" w:lineRule="auto"/>
        <w:jc w:val="left"/>
        <w:rPr>
          <w:rFonts w:ascii="宋体" w:hAnsi="宋体"/>
          <w:kern w:val="0"/>
          <w:sz w:val="24"/>
          <w:szCs w:val="24"/>
        </w:rPr>
      </w:pPr>
      <w:r>
        <w:rPr>
          <w:rFonts w:ascii="宋体" w:hAnsi="宋体"/>
          <w:kern w:val="0"/>
          <w:sz w:val="24"/>
          <w:szCs w:val="24"/>
        </w:rPr>
        <w:t>第一部分：通用条款</w:t>
      </w:r>
    </w:p>
    <w:p w14:paraId="606EAD76">
      <w:pPr>
        <w:keepNext w:val="0"/>
        <w:keepLines w:val="0"/>
        <w:pageBreakBefore w:val="0"/>
        <w:widowControl w:val="0"/>
        <w:suppressLineNumbers w:val="0"/>
        <w:kinsoku/>
        <w:wordWrap/>
        <w:overflowPunct/>
        <w:topLinePunct w:val="0"/>
        <w:autoSpaceDN/>
        <w:bidi w:val="0"/>
        <w:snapToGrid/>
        <w:spacing w:before="0" w:beforeAutospacing="0" w:after="0" w:afterAutospacing="0" w:line="360" w:lineRule="auto"/>
        <w:ind w:left="0" w:right="0" w:firstLine="482" w:firstLineChars="200"/>
        <w:jc w:val="both"/>
        <w:textAlignment w:val="auto"/>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一、供货范围及价款：</w:t>
      </w:r>
    </w:p>
    <w:p w14:paraId="7723647A">
      <w:pPr>
        <w:keepNext w:val="0"/>
        <w:keepLines w:val="0"/>
        <w:pageBreakBefore w:val="0"/>
        <w:widowControl w:val="0"/>
        <w:suppressLineNumbers w:val="0"/>
        <w:kinsoku/>
        <w:wordWrap/>
        <w:overflowPunct/>
        <w:topLinePunct w:val="0"/>
        <w:autoSpaceDN/>
        <w:bidi w:val="0"/>
        <w:snapToGrid/>
        <w:spacing w:before="0" w:beforeAutospacing="0" w:after="0" w:afterAutospacing="0" w:line="360" w:lineRule="auto"/>
        <w:ind w:left="1" w:right="-235" w:rightChars="-112" w:firstLine="480" w:firstLineChars="200"/>
        <w:jc w:val="both"/>
        <w:textAlignment w:val="auto"/>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1、合同供货范围：货物名称数量。</w:t>
      </w:r>
    </w:p>
    <w:tbl>
      <w:tblPr>
        <w:tblStyle w:val="30"/>
        <w:tblW w:w="954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59"/>
        <w:gridCol w:w="1391"/>
        <w:gridCol w:w="983"/>
        <w:gridCol w:w="967"/>
        <w:gridCol w:w="849"/>
        <w:gridCol w:w="1017"/>
        <w:gridCol w:w="900"/>
        <w:gridCol w:w="900"/>
        <w:gridCol w:w="862"/>
        <w:gridCol w:w="913"/>
      </w:tblGrid>
      <w:tr w14:paraId="47F015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85" w:hRule="atLeast"/>
          <w:jc w:val="center"/>
        </w:trPr>
        <w:tc>
          <w:tcPr>
            <w:tcW w:w="759" w:type="dxa"/>
            <w:tcBorders>
              <w:top w:val="single" w:color="000000" w:sz="4" w:space="0"/>
              <w:left w:val="single" w:color="000000" w:sz="4" w:space="0"/>
              <w:bottom w:val="single" w:color="000000" w:sz="4" w:space="0"/>
              <w:right w:val="single" w:color="000000" w:sz="4" w:space="0"/>
            </w:tcBorders>
            <w:noWrap/>
            <w:vAlign w:val="center"/>
          </w:tcPr>
          <w:p w14:paraId="171C849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序号</w:t>
            </w:r>
          </w:p>
        </w:tc>
        <w:tc>
          <w:tcPr>
            <w:tcW w:w="1391" w:type="dxa"/>
            <w:tcBorders>
              <w:top w:val="single" w:color="000000" w:sz="4" w:space="0"/>
              <w:left w:val="nil"/>
              <w:bottom w:val="single" w:color="000000" w:sz="4" w:space="0"/>
              <w:right w:val="single" w:color="000000" w:sz="4" w:space="0"/>
            </w:tcBorders>
            <w:noWrap w:val="0"/>
            <w:vAlign w:val="center"/>
          </w:tcPr>
          <w:p w14:paraId="025055F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货物名称</w:t>
            </w:r>
          </w:p>
        </w:tc>
        <w:tc>
          <w:tcPr>
            <w:tcW w:w="983" w:type="dxa"/>
            <w:tcBorders>
              <w:top w:val="single" w:color="000000" w:sz="4" w:space="0"/>
              <w:left w:val="nil"/>
              <w:bottom w:val="single" w:color="000000" w:sz="4" w:space="0"/>
              <w:right w:val="single" w:color="000000" w:sz="4" w:space="0"/>
            </w:tcBorders>
            <w:noWrap w:val="0"/>
            <w:vAlign w:val="center"/>
          </w:tcPr>
          <w:p w14:paraId="5F7E4AD8">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规格</w:t>
            </w:r>
          </w:p>
        </w:tc>
        <w:tc>
          <w:tcPr>
            <w:tcW w:w="967" w:type="dxa"/>
            <w:tcBorders>
              <w:top w:val="single" w:color="000000" w:sz="4" w:space="0"/>
              <w:left w:val="nil"/>
              <w:bottom w:val="single" w:color="000000" w:sz="4" w:space="0"/>
              <w:right w:val="single" w:color="000000" w:sz="4" w:space="0"/>
            </w:tcBorders>
            <w:noWrap w:val="0"/>
            <w:vAlign w:val="center"/>
          </w:tcPr>
          <w:p w14:paraId="77B77A1E">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单位</w:t>
            </w:r>
          </w:p>
        </w:tc>
        <w:tc>
          <w:tcPr>
            <w:tcW w:w="849" w:type="dxa"/>
            <w:tcBorders>
              <w:top w:val="single" w:color="000000" w:sz="4" w:space="0"/>
              <w:left w:val="nil"/>
              <w:bottom w:val="single" w:color="000000" w:sz="4" w:space="0"/>
              <w:right w:val="single" w:color="000000" w:sz="4" w:space="0"/>
            </w:tcBorders>
            <w:noWrap w:val="0"/>
            <w:vAlign w:val="center"/>
          </w:tcPr>
          <w:p w14:paraId="6A09F2D8">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数量</w:t>
            </w:r>
          </w:p>
        </w:tc>
        <w:tc>
          <w:tcPr>
            <w:tcW w:w="1017" w:type="dxa"/>
            <w:tcBorders>
              <w:top w:val="single" w:color="000000" w:sz="4" w:space="0"/>
              <w:left w:val="nil"/>
              <w:bottom w:val="single" w:color="000000" w:sz="4" w:space="0"/>
              <w:right w:val="single" w:color="000000" w:sz="4" w:space="0"/>
            </w:tcBorders>
            <w:noWrap w:val="0"/>
            <w:vAlign w:val="center"/>
          </w:tcPr>
          <w:p w14:paraId="6F29D504">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不含税单价</w:t>
            </w:r>
          </w:p>
        </w:tc>
        <w:tc>
          <w:tcPr>
            <w:tcW w:w="900" w:type="dxa"/>
            <w:tcBorders>
              <w:top w:val="single" w:color="000000" w:sz="4" w:space="0"/>
              <w:left w:val="nil"/>
              <w:bottom w:val="single" w:color="000000" w:sz="4" w:space="0"/>
              <w:right w:val="single" w:color="000000" w:sz="4" w:space="0"/>
            </w:tcBorders>
            <w:noWrap w:val="0"/>
            <w:vAlign w:val="center"/>
          </w:tcPr>
          <w:p w14:paraId="22F30991">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税率</w:t>
            </w:r>
          </w:p>
        </w:tc>
        <w:tc>
          <w:tcPr>
            <w:tcW w:w="900" w:type="dxa"/>
            <w:tcBorders>
              <w:top w:val="single" w:color="000000" w:sz="4" w:space="0"/>
              <w:left w:val="nil"/>
              <w:bottom w:val="single" w:color="000000" w:sz="4" w:space="0"/>
              <w:right w:val="single" w:color="000000" w:sz="4" w:space="0"/>
            </w:tcBorders>
            <w:noWrap w:val="0"/>
            <w:vAlign w:val="center"/>
          </w:tcPr>
          <w:p w14:paraId="77B3D689">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含税单价</w:t>
            </w:r>
          </w:p>
        </w:tc>
        <w:tc>
          <w:tcPr>
            <w:tcW w:w="862" w:type="dxa"/>
            <w:tcBorders>
              <w:top w:val="single" w:color="000000" w:sz="4" w:space="0"/>
              <w:left w:val="nil"/>
              <w:bottom w:val="single" w:color="000000" w:sz="4" w:space="0"/>
              <w:right w:val="single" w:color="000000" w:sz="4" w:space="0"/>
            </w:tcBorders>
            <w:noWrap w:val="0"/>
            <w:vAlign w:val="center"/>
          </w:tcPr>
          <w:p w14:paraId="6C5B03E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含税合价</w:t>
            </w:r>
          </w:p>
        </w:tc>
        <w:tc>
          <w:tcPr>
            <w:tcW w:w="913" w:type="dxa"/>
            <w:tcBorders>
              <w:top w:val="single" w:color="000000" w:sz="4" w:space="0"/>
              <w:left w:val="nil"/>
              <w:bottom w:val="single" w:color="000000" w:sz="4" w:space="0"/>
              <w:right w:val="single" w:color="000000" w:sz="4" w:space="0"/>
            </w:tcBorders>
            <w:noWrap w:val="0"/>
            <w:vAlign w:val="center"/>
          </w:tcPr>
          <w:p w14:paraId="1B3CA96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bidi="ar"/>
              </w:rPr>
              <w:t>备注</w:t>
            </w:r>
          </w:p>
        </w:tc>
      </w:tr>
      <w:tr w14:paraId="6D901E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6" w:hRule="atLeast"/>
          <w:jc w:val="center"/>
        </w:trPr>
        <w:tc>
          <w:tcPr>
            <w:tcW w:w="759" w:type="dxa"/>
            <w:tcBorders>
              <w:top w:val="single" w:color="000000" w:sz="4" w:space="0"/>
              <w:left w:val="single" w:color="000000" w:sz="4" w:space="0"/>
              <w:bottom w:val="single" w:color="000000" w:sz="4" w:space="0"/>
              <w:right w:val="single" w:color="000000" w:sz="4" w:space="0"/>
            </w:tcBorders>
            <w:noWrap/>
            <w:vAlign w:val="center"/>
          </w:tcPr>
          <w:p w14:paraId="5C1DE26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1391" w:type="dxa"/>
            <w:tcBorders>
              <w:top w:val="single" w:color="000000" w:sz="4" w:space="0"/>
              <w:left w:val="nil"/>
              <w:bottom w:val="single" w:color="000000" w:sz="4" w:space="0"/>
              <w:right w:val="single" w:color="000000" w:sz="4" w:space="0"/>
            </w:tcBorders>
            <w:noWrap w:val="0"/>
            <w:vAlign w:val="center"/>
          </w:tcPr>
          <w:p w14:paraId="0F9C0B7C">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83" w:type="dxa"/>
            <w:tcBorders>
              <w:top w:val="single" w:color="000000" w:sz="4" w:space="0"/>
              <w:left w:val="nil"/>
              <w:bottom w:val="single" w:color="000000" w:sz="4" w:space="0"/>
              <w:right w:val="single" w:color="000000" w:sz="4" w:space="0"/>
            </w:tcBorders>
            <w:noWrap w:val="0"/>
            <w:vAlign w:val="center"/>
          </w:tcPr>
          <w:p w14:paraId="3257B434">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67" w:type="dxa"/>
            <w:tcBorders>
              <w:top w:val="single" w:color="000000" w:sz="4" w:space="0"/>
              <w:left w:val="nil"/>
              <w:bottom w:val="single" w:color="000000" w:sz="4" w:space="0"/>
              <w:right w:val="single" w:color="000000" w:sz="4" w:space="0"/>
            </w:tcBorders>
            <w:noWrap w:val="0"/>
            <w:vAlign w:val="center"/>
          </w:tcPr>
          <w:p w14:paraId="211EAE64">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849" w:type="dxa"/>
            <w:tcBorders>
              <w:top w:val="single" w:color="000000" w:sz="4" w:space="0"/>
              <w:left w:val="nil"/>
              <w:bottom w:val="single" w:color="000000" w:sz="4" w:space="0"/>
              <w:right w:val="single" w:color="000000" w:sz="4" w:space="0"/>
            </w:tcBorders>
            <w:noWrap w:val="0"/>
            <w:vAlign w:val="center"/>
          </w:tcPr>
          <w:p w14:paraId="5256090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1017" w:type="dxa"/>
            <w:tcBorders>
              <w:top w:val="single" w:color="000000" w:sz="4" w:space="0"/>
              <w:left w:val="nil"/>
              <w:bottom w:val="single" w:color="000000" w:sz="4" w:space="0"/>
              <w:right w:val="single" w:color="000000" w:sz="4" w:space="0"/>
            </w:tcBorders>
            <w:noWrap w:val="0"/>
            <w:vAlign w:val="center"/>
          </w:tcPr>
          <w:p w14:paraId="61D9ECE7">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14:paraId="040F08D5">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14:paraId="21DD07FF">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862" w:type="dxa"/>
            <w:tcBorders>
              <w:top w:val="single" w:color="000000" w:sz="4" w:space="0"/>
              <w:left w:val="nil"/>
              <w:bottom w:val="single" w:color="000000" w:sz="4" w:space="0"/>
              <w:right w:val="single" w:color="000000" w:sz="4" w:space="0"/>
            </w:tcBorders>
            <w:noWrap w:val="0"/>
            <w:vAlign w:val="center"/>
          </w:tcPr>
          <w:p w14:paraId="6CEE402C">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13" w:type="dxa"/>
            <w:tcBorders>
              <w:top w:val="single" w:color="000000" w:sz="4" w:space="0"/>
              <w:left w:val="nil"/>
              <w:bottom w:val="single" w:color="000000" w:sz="4" w:space="0"/>
              <w:right w:val="single" w:color="000000" w:sz="4" w:space="0"/>
            </w:tcBorders>
            <w:noWrap w:val="0"/>
            <w:vAlign w:val="center"/>
          </w:tcPr>
          <w:p w14:paraId="1832CACE">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r>
      <w:tr w14:paraId="0B7A08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2" w:hRule="atLeast"/>
          <w:jc w:val="center"/>
        </w:trPr>
        <w:tc>
          <w:tcPr>
            <w:tcW w:w="759" w:type="dxa"/>
            <w:tcBorders>
              <w:top w:val="single" w:color="000000" w:sz="4" w:space="0"/>
              <w:left w:val="single" w:color="000000" w:sz="4" w:space="0"/>
              <w:bottom w:val="single" w:color="000000" w:sz="4" w:space="0"/>
              <w:right w:val="single" w:color="000000" w:sz="4" w:space="0"/>
            </w:tcBorders>
            <w:noWrap/>
            <w:vAlign w:val="center"/>
          </w:tcPr>
          <w:p w14:paraId="38C87C5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1391" w:type="dxa"/>
            <w:tcBorders>
              <w:top w:val="single" w:color="000000" w:sz="4" w:space="0"/>
              <w:left w:val="nil"/>
              <w:bottom w:val="single" w:color="000000" w:sz="4" w:space="0"/>
              <w:right w:val="single" w:color="000000" w:sz="4" w:space="0"/>
            </w:tcBorders>
            <w:noWrap w:val="0"/>
            <w:vAlign w:val="center"/>
          </w:tcPr>
          <w:p w14:paraId="090ADBC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83" w:type="dxa"/>
            <w:tcBorders>
              <w:top w:val="single" w:color="000000" w:sz="4" w:space="0"/>
              <w:left w:val="nil"/>
              <w:bottom w:val="single" w:color="000000" w:sz="4" w:space="0"/>
              <w:right w:val="single" w:color="000000" w:sz="4" w:space="0"/>
            </w:tcBorders>
            <w:noWrap w:val="0"/>
            <w:vAlign w:val="center"/>
          </w:tcPr>
          <w:p w14:paraId="6056660A">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67" w:type="dxa"/>
            <w:tcBorders>
              <w:top w:val="single" w:color="000000" w:sz="4" w:space="0"/>
              <w:left w:val="nil"/>
              <w:bottom w:val="single" w:color="000000" w:sz="4" w:space="0"/>
              <w:right w:val="single" w:color="000000" w:sz="4" w:space="0"/>
            </w:tcBorders>
            <w:noWrap w:val="0"/>
            <w:vAlign w:val="center"/>
          </w:tcPr>
          <w:p w14:paraId="5F59FFAF">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849" w:type="dxa"/>
            <w:tcBorders>
              <w:top w:val="single" w:color="000000" w:sz="4" w:space="0"/>
              <w:left w:val="nil"/>
              <w:bottom w:val="single" w:color="000000" w:sz="4" w:space="0"/>
              <w:right w:val="single" w:color="000000" w:sz="4" w:space="0"/>
            </w:tcBorders>
            <w:noWrap w:val="0"/>
            <w:vAlign w:val="center"/>
          </w:tcPr>
          <w:p w14:paraId="7255873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1017" w:type="dxa"/>
            <w:tcBorders>
              <w:top w:val="single" w:color="000000" w:sz="4" w:space="0"/>
              <w:left w:val="nil"/>
              <w:bottom w:val="single" w:color="000000" w:sz="4" w:space="0"/>
              <w:right w:val="single" w:color="000000" w:sz="4" w:space="0"/>
            </w:tcBorders>
            <w:noWrap w:val="0"/>
            <w:vAlign w:val="center"/>
          </w:tcPr>
          <w:p w14:paraId="6B29A824">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14:paraId="583ED167">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14:paraId="1399D6BB">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862" w:type="dxa"/>
            <w:tcBorders>
              <w:top w:val="single" w:color="000000" w:sz="4" w:space="0"/>
              <w:left w:val="nil"/>
              <w:bottom w:val="single" w:color="000000" w:sz="4" w:space="0"/>
              <w:right w:val="single" w:color="000000" w:sz="4" w:space="0"/>
            </w:tcBorders>
            <w:noWrap w:val="0"/>
            <w:vAlign w:val="center"/>
          </w:tcPr>
          <w:p w14:paraId="03CC25A9">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13" w:type="dxa"/>
            <w:tcBorders>
              <w:top w:val="single" w:color="000000" w:sz="4" w:space="0"/>
              <w:left w:val="nil"/>
              <w:bottom w:val="single" w:color="000000" w:sz="4" w:space="0"/>
              <w:right w:val="single" w:color="000000" w:sz="4" w:space="0"/>
            </w:tcBorders>
            <w:noWrap w:val="0"/>
            <w:vAlign w:val="center"/>
          </w:tcPr>
          <w:p w14:paraId="3E852AE7">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r>
      <w:tr w14:paraId="040EB2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2" w:hRule="atLeast"/>
          <w:jc w:val="center"/>
        </w:trPr>
        <w:tc>
          <w:tcPr>
            <w:tcW w:w="759" w:type="dxa"/>
            <w:tcBorders>
              <w:top w:val="single" w:color="000000" w:sz="4" w:space="0"/>
              <w:left w:val="single" w:color="000000" w:sz="4" w:space="0"/>
              <w:bottom w:val="single" w:color="000000" w:sz="4" w:space="0"/>
              <w:right w:val="single" w:color="000000" w:sz="4" w:space="0"/>
            </w:tcBorders>
            <w:noWrap/>
            <w:vAlign w:val="center"/>
          </w:tcPr>
          <w:p w14:paraId="61D92E79">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1391" w:type="dxa"/>
            <w:tcBorders>
              <w:top w:val="single" w:color="000000" w:sz="4" w:space="0"/>
              <w:left w:val="nil"/>
              <w:bottom w:val="single" w:color="000000" w:sz="4" w:space="0"/>
              <w:right w:val="single" w:color="000000" w:sz="4" w:space="0"/>
            </w:tcBorders>
            <w:noWrap w:val="0"/>
            <w:vAlign w:val="center"/>
          </w:tcPr>
          <w:p w14:paraId="04993FDF">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83" w:type="dxa"/>
            <w:tcBorders>
              <w:top w:val="single" w:color="000000" w:sz="4" w:space="0"/>
              <w:left w:val="nil"/>
              <w:bottom w:val="single" w:color="000000" w:sz="4" w:space="0"/>
              <w:right w:val="single" w:color="000000" w:sz="4" w:space="0"/>
            </w:tcBorders>
            <w:noWrap w:val="0"/>
            <w:vAlign w:val="center"/>
          </w:tcPr>
          <w:p w14:paraId="4A036504">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67" w:type="dxa"/>
            <w:tcBorders>
              <w:top w:val="single" w:color="000000" w:sz="4" w:space="0"/>
              <w:left w:val="nil"/>
              <w:bottom w:val="single" w:color="000000" w:sz="4" w:space="0"/>
              <w:right w:val="single" w:color="000000" w:sz="4" w:space="0"/>
            </w:tcBorders>
            <w:noWrap w:val="0"/>
            <w:vAlign w:val="center"/>
          </w:tcPr>
          <w:p w14:paraId="3F5D3A07">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849" w:type="dxa"/>
            <w:tcBorders>
              <w:top w:val="single" w:color="000000" w:sz="4" w:space="0"/>
              <w:left w:val="nil"/>
              <w:bottom w:val="single" w:color="000000" w:sz="4" w:space="0"/>
              <w:right w:val="single" w:color="000000" w:sz="4" w:space="0"/>
            </w:tcBorders>
            <w:noWrap w:val="0"/>
            <w:vAlign w:val="center"/>
          </w:tcPr>
          <w:p w14:paraId="37254BA8">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1017" w:type="dxa"/>
            <w:tcBorders>
              <w:top w:val="single" w:color="000000" w:sz="4" w:space="0"/>
              <w:left w:val="nil"/>
              <w:bottom w:val="single" w:color="000000" w:sz="4" w:space="0"/>
              <w:right w:val="single" w:color="000000" w:sz="4" w:space="0"/>
            </w:tcBorders>
            <w:noWrap w:val="0"/>
            <w:vAlign w:val="center"/>
          </w:tcPr>
          <w:p w14:paraId="70513CD8">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14:paraId="5FB34DCF">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00" w:type="dxa"/>
            <w:tcBorders>
              <w:top w:val="single" w:color="000000" w:sz="4" w:space="0"/>
              <w:left w:val="nil"/>
              <w:bottom w:val="single" w:color="000000" w:sz="4" w:space="0"/>
              <w:right w:val="single" w:color="000000" w:sz="4" w:space="0"/>
            </w:tcBorders>
            <w:noWrap w:val="0"/>
            <w:vAlign w:val="center"/>
          </w:tcPr>
          <w:p w14:paraId="2E008427">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862" w:type="dxa"/>
            <w:tcBorders>
              <w:top w:val="single" w:color="000000" w:sz="4" w:space="0"/>
              <w:left w:val="nil"/>
              <w:bottom w:val="single" w:color="000000" w:sz="4" w:space="0"/>
              <w:right w:val="single" w:color="000000" w:sz="4" w:space="0"/>
            </w:tcBorders>
            <w:noWrap w:val="0"/>
            <w:vAlign w:val="center"/>
          </w:tcPr>
          <w:p w14:paraId="3884C55B">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c>
          <w:tcPr>
            <w:tcW w:w="913" w:type="dxa"/>
            <w:tcBorders>
              <w:top w:val="single" w:color="000000" w:sz="4" w:space="0"/>
              <w:left w:val="nil"/>
              <w:bottom w:val="single" w:color="000000" w:sz="4" w:space="0"/>
              <w:right w:val="single" w:color="000000" w:sz="4" w:space="0"/>
            </w:tcBorders>
            <w:noWrap w:val="0"/>
            <w:vAlign w:val="center"/>
          </w:tcPr>
          <w:p w14:paraId="74C4E6B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rPr>
            </w:pPr>
          </w:p>
        </w:tc>
      </w:tr>
      <w:tr w14:paraId="5860A4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92" w:hRule="atLeast"/>
          <w:jc w:val="center"/>
        </w:trPr>
        <w:tc>
          <w:tcPr>
            <w:tcW w:w="9541" w:type="dxa"/>
            <w:gridSpan w:val="10"/>
            <w:tcBorders>
              <w:top w:val="single" w:color="000000" w:sz="4" w:space="0"/>
              <w:left w:val="single" w:color="000000" w:sz="4" w:space="0"/>
              <w:bottom w:val="single" w:color="000000" w:sz="4" w:space="0"/>
              <w:right w:val="single" w:color="000000" w:sz="4" w:space="0"/>
            </w:tcBorders>
            <w:noWrap/>
            <w:vAlign w:val="center"/>
          </w:tcPr>
          <w:p w14:paraId="0CD3F014">
            <w:pPr>
              <w:keepNext w:val="0"/>
              <w:keepLines w:val="0"/>
              <w:widowControl w:val="0"/>
              <w:suppressLineNumbers w:val="0"/>
              <w:spacing w:before="0" w:beforeAutospacing="0" w:after="0" w:afterAutospacing="0" w:line="360" w:lineRule="auto"/>
              <w:ind w:left="0" w:right="0"/>
              <w:jc w:val="center"/>
              <w:rPr>
                <w:rFonts w:hint="default" w:ascii="宋体" w:hAnsi="宋体" w:eastAsia="宋体" w:cs="宋体"/>
                <w:color w:val="auto"/>
                <w:kern w:val="2"/>
                <w:sz w:val="24"/>
                <w:szCs w:val="24"/>
                <w:highlight w:val="none"/>
                <w:lang w:val="en-US" w:eastAsia="zh-CN"/>
              </w:rPr>
            </w:pPr>
            <w:r>
              <w:rPr>
                <w:rFonts w:hint="eastAsia" w:ascii="宋体" w:hAnsi="宋体" w:eastAsia="宋体" w:cs="宋体"/>
                <w:color w:val="auto"/>
                <w:kern w:val="2"/>
                <w:sz w:val="24"/>
                <w:szCs w:val="24"/>
                <w:highlight w:val="none"/>
                <w:lang w:val="en-US" w:eastAsia="zh-CN" w:bidi="ar"/>
              </w:rPr>
              <w:t xml:space="preserve">合同总价（不含税）： </w:t>
            </w:r>
            <w:r>
              <w:rPr>
                <w:rFonts w:hint="default" w:ascii="Times New Roman" w:hAnsi="Times New Roman" w:eastAsia="宋体" w:cs="Times New Roman"/>
                <w:color w:val="auto"/>
                <w:kern w:val="2"/>
                <w:sz w:val="24"/>
                <w:szCs w:val="24"/>
                <w:highlight w:val="none"/>
                <w:lang w:val="en-US" w:eastAsia="zh-CN" w:bidi="ar"/>
              </w:rPr>
              <w:t xml:space="preserve">          </w:t>
            </w:r>
            <w:r>
              <w:rPr>
                <w:rFonts w:hint="eastAsia" w:ascii="宋体" w:hAnsi="宋体" w:eastAsia="宋体" w:cs="宋体"/>
                <w:color w:val="auto"/>
                <w:kern w:val="2"/>
                <w:sz w:val="24"/>
                <w:szCs w:val="24"/>
                <w:highlight w:val="none"/>
                <w:lang w:val="en-US" w:eastAsia="zh-CN" w:bidi="ar"/>
              </w:rPr>
              <w:t xml:space="preserve">元（小写： </w:t>
            </w:r>
            <w:r>
              <w:rPr>
                <w:rFonts w:hint="default" w:ascii="Times New Roman" w:hAnsi="Times New Roman" w:eastAsia="宋体" w:cs="Times New Roman"/>
                <w:color w:val="auto"/>
                <w:kern w:val="2"/>
                <w:sz w:val="24"/>
                <w:szCs w:val="24"/>
                <w:highlight w:val="none"/>
                <w:lang w:val="en-US" w:eastAsia="zh-CN" w:bidi="ar"/>
              </w:rPr>
              <w:t xml:space="preserve">      </w:t>
            </w:r>
            <w:r>
              <w:rPr>
                <w:rFonts w:hint="eastAsia" w:ascii="宋体" w:hAnsi="宋体" w:eastAsia="宋体" w:cs="宋体"/>
                <w:color w:val="auto"/>
                <w:kern w:val="2"/>
                <w:sz w:val="24"/>
                <w:szCs w:val="24"/>
                <w:highlight w:val="none"/>
                <w:lang w:val="en-US" w:eastAsia="zh-CN" w:bidi="ar"/>
              </w:rPr>
              <w:t>元）</w:t>
            </w:r>
          </w:p>
        </w:tc>
      </w:tr>
      <w:tr w14:paraId="02BE04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1" w:hRule="atLeast"/>
          <w:jc w:val="center"/>
        </w:trPr>
        <w:tc>
          <w:tcPr>
            <w:tcW w:w="9541" w:type="dxa"/>
            <w:gridSpan w:val="10"/>
            <w:tcBorders>
              <w:top w:val="single" w:color="000000" w:sz="4" w:space="0"/>
              <w:left w:val="single" w:color="000000" w:sz="4" w:space="0"/>
              <w:bottom w:val="single" w:color="000000" w:sz="4" w:space="0"/>
              <w:right w:val="single" w:color="000000" w:sz="4" w:space="0"/>
            </w:tcBorders>
            <w:noWrap/>
            <w:vAlign w:val="center"/>
          </w:tcPr>
          <w:p w14:paraId="438B5EEC">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4"/>
                <w:szCs w:val="24"/>
                <w:highlight w:val="none"/>
                <w:lang w:val="en-US" w:eastAsia="zh-CN" w:bidi="ar"/>
              </w:rPr>
            </w:pPr>
            <w:r>
              <w:rPr>
                <w:rFonts w:hint="eastAsia" w:ascii="宋体" w:hAnsi="宋体" w:eastAsia="宋体" w:cs="宋体"/>
                <w:color w:val="auto"/>
                <w:kern w:val="2"/>
                <w:sz w:val="24"/>
                <w:szCs w:val="24"/>
                <w:highlight w:val="none"/>
                <w:lang w:val="en-US" w:eastAsia="zh-CN" w:bidi="ar"/>
              </w:rPr>
              <w:t xml:space="preserve">合同总价（含税）： </w:t>
            </w:r>
            <w:r>
              <w:rPr>
                <w:rFonts w:hint="default" w:ascii="Times New Roman" w:hAnsi="Times New Roman" w:eastAsia="宋体" w:cs="Times New Roman"/>
                <w:color w:val="auto"/>
                <w:kern w:val="2"/>
                <w:sz w:val="24"/>
                <w:szCs w:val="24"/>
                <w:highlight w:val="none"/>
                <w:lang w:val="en-US" w:eastAsia="zh-CN" w:bidi="ar"/>
              </w:rPr>
              <w:t xml:space="preserve">          </w:t>
            </w:r>
            <w:r>
              <w:rPr>
                <w:rFonts w:hint="eastAsia" w:ascii="宋体" w:hAnsi="宋体" w:eastAsia="宋体" w:cs="宋体"/>
                <w:color w:val="auto"/>
                <w:kern w:val="2"/>
                <w:sz w:val="24"/>
                <w:szCs w:val="24"/>
                <w:highlight w:val="none"/>
                <w:lang w:val="en-US" w:eastAsia="zh-CN" w:bidi="ar"/>
              </w:rPr>
              <w:t xml:space="preserve">元（小写： </w:t>
            </w:r>
            <w:r>
              <w:rPr>
                <w:rFonts w:hint="default" w:ascii="Times New Roman" w:hAnsi="Times New Roman" w:eastAsia="宋体" w:cs="Times New Roman"/>
                <w:color w:val="auto"/>
                <w:kern w:val="2"/>
                <w:sz w:val="24"/>
                <w:szCs w:val="24"/>
                <w:highlight w:val="none"/>
                <w:lang w:val="en-US" w:eastAsia="zh-CN" w:bidi="ar"/>
              </w:rPr>
              <w:t xml:space="preserve">      </w:t>
            </w:r>
            <w:r>
              <w:rPr>
                <w:rFonts w:hint="eastAsia" w:ascii="宋体" w:hAnsi="宋体" w:eastAsia="宋体" w:cs="宋体"/>
                <w:color w:val="auto"/>
                <w:kern w:val="2"/>
                <w:sz w:val="24"/>
                <w:szCs w:val="24"/>
                <w:highlight w:val="none"/>
                <w:lang w:val="en-US" w:eastAsia="zh-CN" w:bidi="ar"/>
              </w:rPr>
              <w:t>元）</w:t>
            </w:r>
          </w:p>
        </w:tc>
      </w:tr>
    </w:tbl>
    <w:p w14:paraId="5F2A7CE6">
      <w:pPr>
        <w:numPr>
          <w:ilvl w:val="0"/>
          <w:numId w:val="0"/>
        </w:numPr>
        <w:spacing w:line="360" w:lineRule="auto"/>
        <w:ind w:firstLine="480" w:firstLineChars="200"/>
        <w:rPr>
          <w:rFonts w:hint="eastAsia" w:ascii="宋体" w:hAnsi="宋体" w:eastAsia="宋体" w:cs="宋体"/>
          <w:color w:val="000000"/>
          <w:kern w:val="0"/>
          <w:sz w:val="24"/>
          <w:szCs w:val="24"/>
          <w:highlight w:val="none"/>
          <w:lang w:val="en-US" w:eastAsia="zh-CN"/>
        </w:rPr>
      </w:pPr>
      <w:bookmarkStart w:id="453" w:name="auto_fouce_1"/>
      <w:r>
        <w:rPr>
          <w:rFonts w:hint="eastAsia" w:ascii="宋体" w:hAnsi="宋体" w:eastAsia="宋体" w:cs="宋体"/>
          <w:color w:val="000000"/>
          <w:kern w:val="0"/>
          <w:sz w:val="24"/>
          <w:szCs w:val="24"/>
          <w:highlight w:val="none"/>
          <w:lang w:val="en-US" w:eastAsia="zh-CN"/>
        </w:rPr>
        <w:t>1.1在合同有效期内，甲方有权根据工程设计变更和工程实施情况对预估数量进行变更</w:t>
      </w:r>
      <w:r>
        <w:rPr>
          <w:rFonts w:hint="eastAsia" w:ascii="宋体" w:hAnsi="宋体" w:cs="宋体"/>
          <w:color w:val="FF0000"/>
          <w:kern w:val="0"/>
          <w:sz w:val="24"/>
          <w:szCs w:val="24"/>
          <w:highlight w:val="none"/>
          <w:lang w:val="en-US" w:eastAsia="zh-CN"/>
          <w:woUserID w:val="1"/>
        </w:rPr>
        <w:t>,</w:t>
      </w:r>
      <w:r>
        <w:rPr>
          <w:rFonts w:hint="eastAsia" w:ascii="宋体" w:hAnsi="宋体" w:eastAsia="宋体" w:cs="宋体"/>
          <w:color w:val="000000"/>
          <w:kern w:val="0"/>
          <w:sz w:val="24"/>
          <w:szCs w:val="24"/>
          <w:highlight w:val="none"/>
          <w:lang w:val="en-US" w:eastAsia="zh-CN"/>
        </w:rPr>
        <w:t>结算以实际供应数量为准，不管实际供应数量与暂定预估数量相比偏差有多大，均不影响本合同的执行</w:t>
      </w:r>
      <w:r>
        <w:rPr>
          <w:rFonts w:hint="eastAsia" w:ascii="宋体" w:hAnsi="宋体" w:cs="宋体"/>
          <w:color w:val="000000"/>
          <w:kern w:val="0"/>
          <w:sz w:val="24"/>
          <w:szCs w:val="24"/>
          <w:highlight w:val="none"/>
          <w:lang w:val="en-US" w:eastAsia="zh-CN"/>
        </w:rPr>
        <w:t>,</w:t>
      </w:r>
      <w:r>
        <w:rPr>
          <w:rFonts w:hint="eastAsia" w:ascii="宋体" w:hAnsi="宋体" w:eastAsia="宋体" w:cs="宋体"/>
          <w:color w:val="000000"/>
          <w:kern w:val="0"/>
          <w:sz w:val="24"/>
          <w:szCs w:val="24"/>
          <w:highlight w:val="none"/>
          <w:lang w:val="en-US" w:eastAsia="zh-CN"/>
        </w:rPr>
        <w:t>乙方无条件</w:t>
      </w:r>
      <w:r>
        <w:rPr>
          <w:rFonts w:hint="eastAsia" w:ascii="宋体" w:hAnsi="宋体" w:cs="宋体"/>
          <w:color w:val="000000"/>
          <w:kern w:val="0"/>
          <w:sz w:val="24"/>
          <w:szCs w:val="24"/>
          <w:highlight w:val="none"/>
          <w:lang w:val="en-US" w:eastAsia="zh-CN"/>
        </w:rPr>
        <w:t>履行</w:t>
      </w:r>
      <w:r>
        <w:rPr>
          <w:rFonts w:hint="eastAsia" w:ascii="宋体" w:hAnsi="宋体" w:eastAsia="宋体" w:cs="宋体"/>
          <w:color w:val="000000"/>
          <w:kern w:val="0"/>
          <w:sz w:val="24"/>
          <w:szCs w:val="24"/>
          <w:highlight w:val="none"/>
          <w:lang w:val="en-US" w:eastAsia="zh-CN"/>
        </w:rPr>
        <w:t>。</w:t>
      </w:r>
      <w:bookmarkEnd w:id="453"/>
      <w:r>
        <w:rPr>
          <w:rFonts w:hint="eastAsia" w:ascii="宋体" w:hAnsi="宋体" w:eastAsia="宋体" w:cs="宋体"/>
          <w:color w:val="000000"/>
          <w:kern w:val="0"/>
          <w:sz w:val="24"/>
          <w:szCs w:val="24"/>
          <w:highlight w:val="none"/>
          <w:lang w:val="en-US" w:eastAsia="zh-CN"/>
        </w:rPr>
        <w:t xml:space="preserve"> </w:t>
      </w:r>
    </w:p>
    <w:p w14:paraId="04ABE975">
      <w:pPr>
        <w:numPr>
          <w:ilvl w:val="0"/>
          <w:numId w:val="0"/>
        </w:numPr>
        <w:spacing w:line="360" w:lineRule="auto"/>
        <w:ind w:firstLine="480" w:firstLineChars="200"/>
        <w:rPr>
          <w:rFonts w:hint="eastAsia"/>
          <w:sz w:val="24"/>
          <w:szCs w:val="24"/>
          <w:lang w:val="en-US" w:eastAsia="zh-CN"/>
        </w:rPr>
      </w:pPr>
      <w:r>
        <w:rPr>
          <w:rFonts w:hint="eastAsia" w:ascii="宋体" w:hAnsi="宋体" w:eastAsia="宋体" w:cs="宋体"/>
          <w:color w:val="000000"/>
          <w:kern w:val="0"/>
          <w:sz w:val="24"/>
          <w:szCs w:val="24"/>
          <w:highlight w:val="none"/>
          <w:lang w:val="en-US" w:eastAsia="zh-CN"/>
        </w:rPr>
        <w:t>1.2本合同增值税税率为</w:t>
      </w:r>
      <w:r>
        <w:rPr>
          <w:rFonts w:hint="eastAsia" w:ascii="宋体" w:hAnsi="宋体" w:eastAsia="宋体" w:cs="宋体"/>
          <w:color w:val="000000"/>
          <w:kern w:val="0"/>
          <w:sz w:val="24"/>
          <w:szCs w:val="24"/>
          <w:highlight w:val="none"/>
          <w:u w:val="single"/>
          <w:lang w:val="en-US" w:eastAsia="zh-CN"/>
        </w:rPr>
        <w:t xml:space="preserve">    </w:t>
      </w:r>
      <w:r>
        <w:rPr>
          <w:rFonts w:hint="eastAsia" w:ascii="宋体" w:hAnsi="宋体" w:eastAsia="宋体" w:cs="宋体"/>
          <w:color w:val="000000"/>
          <w:kern w:val="0"/>
          <w:sz w:val="24"/>
          <w:szCs w:val="24"/>
          <w:highlight w:val="none"/>
          <w:lang w:val="en-US" w:eastAsia="zh-CN"/>
        </w:rPr>
        <w:t>%，若增值税税率调整，则增值税税率按国家最新政策执行。</w:t>
      </w:r>
    </w:p>
    <w:p w14:paraId="2BE17E0C">
      <w:pPr>
        <w:spacing w:line="360" w:lineRule="auto"/>
        <w:ind w:firstLine="482" w:firstLineChars="200"/>
        <w:rPr>
          <w:rFonts w:hint="eastAsia" w:ascii="宋体" w:hAnsi="宋体" w:eastAsia="宋体" w:cs="宋体"/>
          <w:color w:val="auto"/>
          <w:kern w:val="0"/>
          <w:sz w:val="24"/>
          <w:szCs w:val="24"/>
          <w:highlight w:val="none"/>
          <w:lang w:val="en-US" w:eastAsia="zh"/>
          <w:woUserID w:val="1"/>
        </w:rPr>
      </w:pPr>
      <w:bookmarkStart w:id="454" w:name="auto_fouce_2"/>
      <w:r>
        <w:rPr>
          <w:rFonts w:hint="eastAsia" w:ascii="宋体" w:hAnsi="宋体" w:eastAsia="宋体" w:cs="宋体"/>
          <w:b/>
          <w:color w:val="auto"/>
          <w:sz w:val="24"/>
          <w:szCs w:val="24"/>
          <w:highlight w:val="none"/>
          <w:lang w:val="en-US" w:eastAsia="zh-CN"/>
        </w:rPr>
        <w:t>二、供货期：</w:t>
      </w:r>
      <w:r>
        <w:rPr>
          <w:rFonts w:hint="eastAsia" w:ascii="宋体" w:hAnsi="宋体" w:eastAsia="宋体" w:cs="宋体"/>
          <w:color w:val="auto"/>
          <w:kern w:val="0"/>
          <w:sz w:val="24"/>
          <w:szCs w:val="24"/>
          <w:highlight w:val="none"/>
          <w:lang w:val="en-US" w:eastAsia="zh-CN"/>
        </w:rPr>
        <w:t>合同签订生效后至甲方不再需要为止</w:t>
      </w:r>
      <w:r>
        <w:rPr>
          <w:rFonts w:hint="eastAsia" w:ascii="宋体" w:hAnsi="宋体" w:cs="宋体"/>
          <w:color w:val="auto"/>
          <w:kern w:val="0"/>
          <w:sz w:val="24"/>
          <w:szCs w:val="24"/>
          <w:highlight w:val="none"/>
          <w:lang w:val="en-US" w:eastAsia="zh"/>
          <w:woUserID w:val="1"/>
        </w:rPr>
        <w:t>。因</w:t>
      </w:r>
      <w:r>
        <w:rPr>
          <w:rFonts w:hint="eastAsia" w:ascii="宋体" w:hAnsi="宋体" w:cs="宋体"/>
          <w:color w:val="auto"/>
          <w:kern w:val="0"/>
          <w:sz w:val="24"/>
          <w:szCs w:val="24"/>
          <w:highlight w:val="none"/>
          <w:lang w:val="en-US" w:eastAsia="zh-CN"/>
          <w:woUserID w:val="1"/>
        </w:rPr>
        <w:t>重大</w:t>
      </w:r>
      <w:r>
        <w:rPr>
          <w:rFonts w:hint="eastAsia" w:ascii="宋体" w:hAnsi="宋体" w:cs="宋体"/>
          <w:color w:val="auto"/>
          <w:kern w:val="0"/>
          <w:sz w:val="24"/>
          <w:szCs w:val="24"/>
          <w:highlight w:val="none"/>
          <w:lang w:val="en-US" w:eastAsia="zh"/>
          <w:woUserID w:val="1"/>
        </w:rPr>
        <w:t>自然灾害等不可抗力导致迟延交货的，可相应顺延交货期限，乙方应及时通知甲方并提供相关证明。</w:t>
      </w:r>
      <w:bookmarkEnd w:id="454"/>
    </w:p>
    <w:p w14:paraId="453A676E">
      <w:pPr>
        <w:tabs>
          <w:tab w:val="left" w:pos="0"/>
        </w:tabs>
        <w:spacing w:before="0" w:beforeLines="0" w:after="0" w:afterLines="0" w:line="360" w:lineRule="auto"/>
        <w:ind w:firstLine="482" w:firstLineChars="200"/>
        <w:rPr>
          <w:rFonts w:hint="eastAsia" w:ascii="宋体" w:hAnsi="宋体" w:cs="宋体"/>
          <w:b/>
          <w:color w:val="auto"/>
          <w:sz w:val="24"/>
          <w:szCs w:val="24"/>
          <w:highlight w:val="none"/>
        </w:rPr>
      </w:pPr>
      <w:bookmarkStart w:id="455" w:name="auto_fouce_3"/>
      <w:r>
        <w:rPr>
          <w:rFonts w:hint="eastAsia" w:ascii="宋体" w:hAnsi="宋体" w:cs="宋体"/>
          <w:b/>
          <w:color w:val="auto"/>
          <w:sz w:val="24"/>
          <w:szCs w:val="24"/>
          <w:highlight w:val="none"/>
          <w:lang w:eastAsia="zh-CN"/>
        </w:rPr>
        <w:t>三、质量技术标准</w:t>
      </w:r>
      <w:r>
        <w:rPr>
          <w:rFonts w:hint="eastAsia" w:ascii="宋体" w:hAnsi="宋体" w:eastAsia="宋体" w:cs="宋体"/>
          <w:b/>
          <w:color w:val="auto"/>
          <w:sz w:val="24"/>
          <w:szCs w:val="24"/>
          <w:highlight w:val="none"/>
          <w:lang w:val="en-US" w:eastAsia="zh-CN"/>
        </w:rPr>
        <w:t>：</w:t>
      </w:r>
    </w:p>
    <w:p w14:paraId="7BF5D714">
      <w:pPr>
        <w:numPr>
          <w:ilvl w:val="0"/>
          <w:numId w:val="0"/>
        </w:numPr>
        <w:spacing w:beforeLines="0" w:afterLines="0" w:line="360" w:lineRule="auto"/>
        <w:ind w:firstLine="480" w:firstLineChars="200"/>
        <w:rPr>
          <w:rFonts w:hint="eastAsia" w:ascii="宋体" w:hAnsi="宋体" w:eastAsia="宋体" w:cs="宋体"/>
          <w:color w:val="auto"/>
          <w:kern w:val="0"/>
          <w:sz w:val="24"/>
          <w:szCs w:val="24"/>
          <w:highlight w:val="none"/>
          <w:lang w:val="en-US" w:eastAsia="zh"/>
          <w:woUserID w:val="1"/>
        </w:rPr>
      </w:pPr>
      <w:r>
        <w:rPr>
          <w:rFonts w:hint="eastAsia" w:ascii="宋体" w:hAnsi="宋体" w:eastAsia="宋体" w:cs="宋体"/>
          <w:color w:val="auto"/>
          <w:kern w:val="0"/>
          <w:sz w:val="24"/>
          <w:szCs w:val="24"/>
          <w:highlight w:val="none"/>
          <w:lang w:val="en-US" w:eastAsia="zh-CN"/>
        </w:rPr>
        <w:t>质量指标必须应符合国家、行业</w:t>
      </w:r>
      <w:r>
        <w:rPr>
          <w:rFonts w:hint="eastAsia" w:ascii="宋体" w:hAnsi="宋体" w:cs="宋体"/>
          <w:color w:val="auto"/>
          <w:kern w:val="0"/>
          <w:sz w:val="24"/>
          <w:szCs w:val="24"/>
          <w:highlight w:val="none"/>
          <w:lang w:val="en-US" w:eastAsia="zh"/>
          <w:woUserID w:val="1"/>
        </w:rPr>
        <w:t>标准，以及</w:t>
      </w:r>
      <w:r>
        <w:rPr>
          <w:rFonts w:hint="eastAsia" w:ascii="宋体" w:hAnsi="宋体" w:eastAsia="宋体" w:cs="宋体"/>
          <w:color w:val="auto"/>
          <w:kern w:val="0"/>
          <w:sz w:val="24"/>
          <w:szCs w:val="24"/>
          <w:highlight w:val="none"/>
          <w:lang w:val="en-US" w:eastAsia="zh-CN"/>
        </w:rPr>
        <w:t>甲方招标文件相应技术指标参数或性能要求所提供的标准</w:t>
      </w:r>
      <w:r>
        <w:rPr>
          <w:rFonts w:hint="eastAsia" w:ascii="宋体" w:hAnsi="宋体" w:cs="宋体"/>
          <w:color w:val="auto"/>
          <w:kern w:val="0"/>
          <w:sz w:val="24"/>
          <w:szCs w:val="24"/>
          <w:highlight w:val="none"/>
          <w:lang w:val="en-US" w:eastAsia="zh"/>
          <w:woUserID w:val="1"/>
        </w:rPr>
        <w:t>。当甲方要求高于国家、行业标准时</w:t>
      </w:r>
      <w:r>
        <w:rPr>
          <w:rFonts w:hint="eastAsia" w:ascii="宋体" w:hAnsi="宋体" w:eastAsia="宋体" w:cs="宋体"/>
          <w:color w:val="auto"/>
          <w:kern w:val="0"/>
          <w:sz w:val="24"/>
          <w:szCs w:val="24"/>
          <w:highlight w:val="none"/>
          <w:lang w:val="en-US" w:eastAsia="zh-CN"/>
        </w:rPr>
        <w:t>，</w:t>
      </w:r>
      <w:r>
        <w:rPr>
          <w:rFonts w:hint="eastAsia" w:ascii="宋体" w:hAnsi="宋体" w:cs="宋体"/>
          <w:color w:val="auto"/>
          <w:kern w:val="0"/>
          <w:sz w:val="24"/>
          <w:szCs w:val="24"/>
          <w:highlight w:val="none"/>
          <w:lang w:val="en-US" w:eastAsia="zh"/>
          <w:woUserID w:val="1"/>
        </w:rPr>
        <w:t>以招标文件附件列明的具体技术参数为准。</w:t>
      </w:r>
      <w:r>
        <w:rPr>
          <w:rFonts w:hint="eastAsia" w:ascii="宋体" w:hAnsi="宋体" w:eastAsia="宋体" w:cs="宋体"/>
          <w:color w:val="auto"/>
          <w:kern w:val="0"/>
          <w:sz w:val="24"/>
          <w:szCs w:val="24"/>
          <w:highlight w:val="none"/>
          <w:lang w:val="en-US" w:eastAsia="zh-CN"/>
        </w:rPr>
        <w:t>履约期间若出现新的国家标准更新，则以更新后的国家标准为准。同时符合甲方承接的在建项目施工技术及其业主、监理的规范要求。</w:t>
      </w:r>
      <w:r>
        <w:rPr>
          <w:rFonts w:hint="eastAsia" w:ascii="宋体" w:hAnsi="宋体" w:cs="宋体"/>
          <w:color w:val="auto"/>
          <w:kern w:val="0"/>
          <w:sz w:val="24"/>
          <w:szCs w:val="24"/>
          <w:highlight w:val="none"/>
          <w:lang w:val="en-US" w:eastAsia="zh"/>
          <w:woUserID w:val="1"/>
        </w:rPr>
        <w:t>如果出现标准冲突，以省级检测机构复检结果作为最终认定依据。</w:t>
      </w:r>
      <w:bookmarkEnd w:id="455"/>
    </w:p>
    <w:p w14:paraId="5DED1E77">
      <w:pPr>
        <w:keepNext w:val="0"/>
        <w:keepLines w:val="0"/>
        <w:widowControl w:val="0"/>
        <w:suppressLineNumbers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四、供货衔接</w:t>
      </w:r>
    </w:p>
    <w:p w14:paraId="0BD0B8E4">
      <w:pPr>
        <w:pStyle w:val="7"/>
        <w:shd w:val="clear" w:color="auto" w:fill="auto"/>
        <w:spacing w:line="360" w:lineRule="auto"/>
        <w:ind w:firstLine="480" w:firstLineChars="200"/>
        <w:rPr>
          <w:rFonts w:hint="eastAsia" w:ascii="宋体" w:hAnsi="宋体" w:cs="宋体"/>
          <w:snapToGrid w:val="0"/>
          <w:color w:val="auto"/>
          <w:kern w:val="0"/>
          <w:sz w:val="24"/>
          <w:szCs w:val="24"/>
        </w:rPr>
      </w:pPr>
      <w:r>
        <w:rPr>
          <w:rFonts w:hint="eastAsia" w:ascii="宋体" w:hAnsi="宋体"/>
          <w:sz w:val="24"/>
          <w:szCs w:val="24"/>
          <w:lang w:val="en-US" w:eastAsia="zh-CN"/>
        </w:rPr>
        <w:t>4</w:t>
      </w:r>
      <w:r>
        <w:rPr>
          <w:rFonts w:ascii="宋体" w:hAnsi="宋体"/>
          <w:sz w:val="24"/>
          <w:szCs w:val="24"/>
        </w:rPr>
        <w:t>.1</w:t>
      </w:r>
      <w:r>
        <w:rPr>
          <w:rFonts w:hint="eastAsia" w:ascii="宋体" w:hAnsi="宋体" w:cs="宋体"/>
          <w:snapToGrid w:val="0"/>
          <w:color w:val="auto"/>
          <w:kern w:val="0"/>
          <w:sz w:val="24"/>
          <w:szCs w:val="24"/>
          <w:lang w:eastAsia="zh-CN"/>
        </w:rPr>
        <w:t>乙方</w:t>
      </w:r>
      <w:r>
        <w:rPr>
          <w:rFonts w:hint="eastAsia" w:ascii="宋体" w:hAnsi="宋体" w:cs="宋体"/>
          <w:snapToGrid w:val="0"/>
          <w:color w:val="auto"/>
          <w:kern w:val="0"/>
          <w:sz w:val="24"/>
          <w:szCs w:val="24"/>
        </w:rPr>
        <w:t>需按</w:t>
      </w:r>
      <w:r>
        <w:rPr>
          <w:rFonts w:hint="eastAsia" w:ascii="宋体" w:hAnsi="宋体" w:cs="宋体"/>
          <w:snapToGrid w:val="0"/>
          <w:color w:val="auto"/>
          <w:kern w:val="0"/>
          <w:sz w:val="24"/>
          <w:szCs w:val="24"/>
          <w:lang w:eastAsia="zh-CN"/>
        </w:rPr>
        <w:t>甲方</w:t>
      </w:r>
      <w:r>
        <w:rPr>
          <w:rFonts w:hint="eastAsia" w:ascii="宋体" w:hAnsi="宋体" w:cs="宋体"/>
          <w:snapToGrid w:val="0"/>
          <w:color w:val="auto"/>
          <w:kern w:val="0"/>
          <w:sz w:val="24"/>
          <w:szCs w:val="24"/>
        </w:rPr>
        <w:t>的要求和国家及行业规范负责设备安装和调试及试运行。</w:t>
      </w:r>
    </w:p>
    <w:p w14:paraId="6266ED71">
      <w:pPr>
        <w:pStyle w:val="7"/>
        <w:shd w:val="clear" w:color="auto" w:fill="auto"/>
        <w:spacing w:line="360" w:lineRule="auto"/>
        <w:ind w:firstLine="480" w:firstLineChars="200"/>
        <w:rPr>
          <w:rFonts w:hint="eastAsia" w:ascii="宋体" w:hAnsi="宋体" w:cs="宋体"/>
          <w:snapToGrid w:val="0"/>
          <w:color w:val="auto"/>
          <w:kern w:val="0"/>
          <w:sz w:val="24"/>
          <w:szCs w:val="24"/>
        </w:rPr>
      </w:pPr>
      <w:r>
        <w:rPr>
          <w:rFonts w:hint="eastAsia" w:ascii="宋体" w:hAnsi="宋体"/>
          <w:sz w:val="24"/>
          <w:szCs w:val="24"/>
          <w:lang w:val="en-US" w:eastAsia="zh-CN"/>
        </w:rPr>
        <w:t>4</w:t>
      </w:r>
      <w:r>
        <w:rPr>
          <w:rFonts w:ascii="宋体" w:hAnsi="宋体"/>
          <w:sz w:val="24"/>
          <w:szCs w:val="24"/>
        </w:rPr>
        <w:t>.</w:t>
      </w:r>
      <w:r>
        <w:rPr>
          <w:rFonts w:hint="eastAsia" w:ascii="宋体" w:hAnsi="宋体"/>
          <w:sz w:val="24"/>
          <w:szCs w:val="24"/>
          <w:lang w:val="en-US" w:eastAsia="zh-CN"/>
        </w:rPr>
        <w:t>2</w:t>
      </w:r>
      <w:r>
        <w:rPr>
          <w:rFonts w:hint="eastAsia" w:ascii="宋体" w:hAnsi="宋体" w:eastAsia="宋体" w:cs="宋体"/>
          <w:bCs/>
          <w:sz w:val="24"/>
          <w:szCs w:val="24"/>
          <w:lang w:val="en-US" w:eastAsia="zh-CN"/>
        </w:rPr>
        <w:t>合同签订后10天内</w:t>
      </w:r>
      <w:r>
        <w:rPr>
          <w:rFonts w:hint="eastAsia" w:ascii="宋体" w:hAnsi="宋体" w:eastAsia="宋体" w:cs="宋体"/>
          <w:bCs/>
          <w:sz w:val="24"/>
          <w:szCs w:val="24"/>
          <w:lang w:eastAsia="zh-CN"/>
        </w:rPr>
        <w:t>提交最终深化方案和定稿图纸，</w:t>
      </w:r>
      <w:r>
        <w:rPr>
          <w:rFonts w:hint="eastAsia" w:ascii="宋体" w:hAnsi="宋体" w:cs="宋体"/>
          <w:snapToGrid w:val="0"/>
          <w:color w:val="auto"/>
          <w:kern w:val="0"/>
          <w:sz w:val="24"/>
          <w:szCs w:val="24"/>
          <w:lang w:val="en-US" w:eastAsia="zh-CN"/>
        </w:rPr>
        <w:t>20天</w:t>
      </w:r>
      <w:r>
        <w:rPr>
          <w:rFonts w:hint="eastAsia" w:ascii="宋体" w:hAnsi="宋体" w:cs="宋体"/>
          <w:snapToGrid w:val="0"/>
          <w:color w:val="auto"/>
          <w:kern w:val="0"/>
          <w:sz w:val="24"/>
          <w:szCs w:val="24"/>
        </w:rPr>
        <w:t>内完成安装调试工作，同时必须确保设备可正常投入使用后移交给</w:t>
      </w:r>
      <w:r>
        <w:rPr>
          <w:rFonts w:hint="eastAsia" w:ascii="宋体" w:hAnsi="宋体" w:cs="宋体"/>
          <w:snapToGrid w:val="0"/>
          <w:color w:val="auto"/>
          <w:kern w:val="0"/>
          <w:sz w:val="24"/>
          <w:szCs w:val="24"/>
          <w:lang w:eastAsia="zh-CN"/>
        </w:rPr>
        <w:t>甲方</w:t>
      </w:r>
      <w:r>
        <w:rPr>
          <w:rFonts w:hint="eastAsia" w:ascii="宋体" w:hAnsi="宋体" w:cs="宋体"/>
          <w:snapToGrid w:val="0"/>
          <w:color w:val="auto"/>
          <w:kern w:val="0"/>
          <w:sz w:val="24"/>
          <w:szCs w:val="24"/>
        </w:rPr>
        <w:t>。</w:t>
      </w:r>
    </w:p>
    <w:p w14:paraId="6DF67D1E">
      <w:pPr>
        <w:keepNext w:val="0"/>
        <w:keepLines w:val="0"/>
        <w:widowControl w:val="0"/>
        <w:suppressLineNumbers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lang w:val="en-US" w:eastAsia="zh-CN" w:bidi="ar"/>
        </w:rPr>
      </w:pPr>
      <w:r>
        <w:rPr>
          <w:rFonts w:hint="eastAsia" w:ascii="宋体" w:hAnsi="宋体" w:eastAsia="宋体" w:cs="宋体"/>
          <w:b/>
          <w:bCs w:val="0"/>
          <w:color w:val="auto"/>
          <w:kern w:val="2"/>
          <w:sz w:val="24"/>
          <w:szCs w:val="24"/>
          <w:highlight w:val="none"/>
          <w:lang w:val="en-US" w:eastAsia="zh-CN" w:bidi="ar"/>
        </w:rPr>
        <w:t xml:space="preserve">五、交货验收  </w:t>
      </w:r>
    </w:p>
    <w:p w14:paraId="109449DA">
      <w:pPr>
        <w:spacing w:line="360" w:lineRule="auto"/>
        <w:ind w:firstLine="480"/>
        <w:rPr>
          <w:rFonts w:ascii="宋体" w:hAnsi="宋体"/>
          <w:sz w:val="24"/>
          <w:szCs w:val="24"/>
        </w:rPr>
      </w:pPr>
      <w:r>
        <w:rPr>
          <w:rFonts w:hint="eastAsia" w:ascii="宋体" w:hAnsi="宋体"/>
          <w:sz w:val="24"/>
          <w:szCs w:val="24"/>
          <w:lang w:val="en-US" w:eastAsia="zh-CN"/>
        </w:rPr>
        <w:t>5</w:t>
      </w:r>
      <w:r>
        <w:rPr>
          <w:rFonts w:ascii="宋体" w:hAnsi="宋体"/>
          <w:sz w:val="24"/>
          <w:szCs w:val="24"/>
        </w:rPr>
        <w:t>.1交货地点：</w:t>
      </w:r>
      <w:r>
        <w:rPr>
          <w:rFonts w:hint="eastAsia" w:ascii="宋体" w:hAnsi="宋体"/>
          <w:sz w:val="24"/>
          <w:szCs w:val="24"/>
          <w:u w:val="single"/>
        </w:rPr>
        <w:t>绍兴市上虞区交通产业发展有限公司</w:t>
      </w:r>
    </w:p>
    <w:p w14:paraId="32589986">
      <w:pPr>
        <w:spacing w:line="360" w:lineRule="auto"/>
        <w:ind w:firstLine="480"/>
        <w:rPr>
          <w:rFonts w:hint="eastAsia" w:ascii="宋体" w:hAnsi="宋体" w:eastAsia="宋体"/>
          <w:color w:val="FF0000"/>
          <w:sz w:val="24"/>
          <w:szCs w:val="24"/>
          <w:lang w:eastAsia="zh"/>
          <w:woUserID w:val="1"/>
        </w:rPr>
      </w:pPr>
      <w:bookmarkStart w:id="456" w:name="auto_fouce_6"/>
      <w:r>
        <w:rPr>
          <w:rFonts w:hint="eastAsia" w:ascii="宋体" w:hAnsi="宋体"/>
          <w:sz w:val="24"/>
          <w:szCs w:val="24"/>
          <w:lang w:val="en-US" w:eastAsia="zh-CN"/>
        </w:rPr>
        <w:t>5</w:t>
      </w:r>
      <w:r>
        <w:rPr>
          <w:rFonts w:ascii="宋体" w:hAnsi="宋体"/>
          <w:sz w:val="24"/>
          <w:szCs w:val="24"/>
        </w:rPr>
        <w:t>.2交货验收须按甲方的有关规定及指定地点，由甲方安排</w:t>
      </w:r>
      <w:r>
        <w:rPr>
          <w:rFonts w:ascii="宋体" w:hAnsi="宋体"/>
          <w:sz w:val="24"/>
          <w:szCs w:val="24"/>
          <w:u w:val="single"/>
        </w:rPr>
        <w:t xml:space="preserve"> </w:t>
      </w:r>
      <w:r>
        <w:rPr>
          <w:rFonts w:hint="eastAsia" w:ascii="宋体" w:hAnsi="宋体"/>
          <w:sz w:val="24"/>
          <w:szCs w:val="24"/>
          <w:u w:val="single"/>
          <w:lang w:val="en-US" w:eastAsia="zh-CN"/>
        </w:rPr>
        <w:t xml:space="preserve">  </w:t>
      </w:r>
      <w:r>
        <w:rPr>
          <w:rFonts w:ascii="宋体" w:hAnsi="宋体"/>
          <w:sz w:val="24"/>
          <w:szCs w:val="24"/>
          <w:u w:val="single"/>
        </w:rPr>
        <w:t xml:space="preserve">    </w:t>
      </w:r>
      <w:r>
        <w:rPr>
          <w:rFonts w:ascii="宋体" w:hAnsi="宋体"/>
          <w:sz w:val="24"/>
          <w:szCs w:val="24"/>
        </w:rPr>
        <w:t>（有甲方出具关于有权办理货物验收的授权书）进行验收并签署收货回单方能生效，甲乙双方共同负责监督。</w:t>
      </w:r>
      <w:bookmarkStart w:id="457" w:name="auto_fouce_7"/>
    </w:p>
    <w:p w14:paraId="0CE6AA55">
      <w:pPr>
        <w:pStyle w:val="7"/>
        <w:shd w:val="clear" w:color="auto" w:fill="auto"/>
        <w:spacing w:line="360" w:lineRule="auto"/>
        <w:ind w:firstLine="480" w:firstLineChars="200"/>
        <w:rPr>
          <w:rFonts w:hint="eastAsia" w:ascii="宋体" w:hAnsi="宋体" w:cs="宋体"/>
          <w:snapToGrid w:val="0"/>
          <w:kern w:val="0"/>
          <w:sz w:val="24"/>
          <w:szCs w:val="24"/>
        </w:rPr>
      </w:pPr>
      <w:r>
        <w:rPr>
          <w:rFonts w:hint="eastAsia" w:ascii="宋体" w:hAnsi="宋体"/>
          <w:sz w:val="24"/>
          <w:szCs w:val="24"/>
          <w:lang w:val="en-US" w:eastAsia="zh-CN"/>
        </w:rPr>
        <w:t>5</w:t>
      </w:r>
      <w:r>
        <w:rPr>
          <w:rFonts w:ascii="宋体" w:hAnsi="宋体"/>
          <w:sz w:val="24"/>
          <w:szCs w:val="24"/>
        </w:rPr>
        <w:t>.</w:t>
      </w:r>
      <w:r>
        <w:rPr>
          <w:rFonts w:hint="eastAsia" w:ascii="宋体" w:hAnsi="宋体"/>
          <w:sz w:val="24"/>
          <w:szCs w:val="24"/>
          <w:lang w:val="en-US" w:eastAsia="zh-CN"/>
        </w:rPr>
        <w:t>3</w:t>
      </w:r>
      <w:r>
        <w:rPr>
          <w:rFonts w:hint="eastAsia" w:ascii="宋体" w:hAnsi="宋体" w:cs="宋体"/>
          <w:snapToGrid w:val="0"/>
          <w:kern w:val="0"/>
          <w:sz w:val="24"/>
          <w:szCs w:val="24"/>
        </w:rPr>
        <w:t>验收按国家有关规范标准（国家无验收规范标准的按双方合同规定的要求）进行。</w:t>
      </w:r>
    </w:p>
    <w:p w14:paraId="7508649D">
      <w:pPr>
        <w:pStyle w:val="7"/>
        <w:shd w:val="clear" w:color="auto" w:fill="auto"/>
        <w:spacing w:line="360" w:lineRule="auto"/>
        <w:ind w:firstLine="480" w:firstLineChars="200"/>
        <w:rPr>
          <w:rFonts w:hint="eastAsia" w:ascii="宋体" w:hAnsi="宋体" w:cs="宋体"/>
          <w:snapToGrid w:val="0"/>
          <w:color w:val="auto"/>
          <w:kern w:val="0"/>
          <w:sz w:val="24"/>
          <w:szCs w:val="24"/>
        </w:rPr>
      </w:pPr>
      <w:r>
        <w:rPr>
          <w:rFonts w:hint="eastAsia" w:ascii="宋体" w:hAnsi="宋体"/>
          <w:sz w:val="24"/>
          <w:szCs w:val="24"/>
          <w:lang w:val="en-US" w:eastAsia="zh-CN"/>
        </w:rPr>
        <w:t>5</w:t>
      </w:r>
      <w:r>
        <w:rPr>
          <w:rFonts w:ascii="宋体" w:hAnsi="宋体"/>
          <w:sz w:val="24"/>
          <w:szCs w:val="24"/>
        </w:rPr>
        <w:t>.</w:t>
      </w:r>
      <w:r>
        <w:rPr>
          <w:rFonts w:hint="eastAsia" w:ascii="宋体" w:hAnsi="宋体"/>
          <w:sz w:val="24"/>
          <w:szCs w:val="24"/>
          <w:lang w:val="en-US" w:eastAsia="zh-CN"/>
        </w:rPr>
        <w:t>4</w:t>
      </w:r>
      <w:r>
        <w:rPr>
          <w:rFonts w:hint="eastAsia" w:ascii="宋体" w:hAnsi="宋体" w:cs="宋体"/>
          <w:snapToGrid w:val="0"/>
          <w:color w:val="auto"/>
          <w:kern w:val="0"/>
          <w:sz w:val="24"/>
          <w:szCs w:val="24"/>
          <w:lang w:eastAsia="zh-CN"/>
        </w:rPr>
        <w:t>甲方</w:t>
      </w:r>
      <w:r>
        <w:rPr>
          <w:rFonts w:hint="eastAsia" w:ascii="宋体" w:hAnsi="宋体" w:cs="宋体"/>
          <w:snapToGrid w:val="0"/>
          <w:color w:val="auto"/>
          <w:kern w:val="0"/>
          <w:sz w:val="24"/>
          <w:szCs w:val="24"/>
        </w:rPr>
        <w:t>保留邀请参加本项目的第三方机构或相关技术专家参与验收的权利。第三方机构的意见作为验收书的参考资料一并存档。</w:t>
      </w:r>
    </w:p>
    <w:bookmarkEnd w:id="456"/>
    <w:bookmarkEnd w:id="457"/>
    <w:p w14:paraId="3DC4CB8A">
      <w:pPr>
        <w:keepNext w:val="0"/>
        <w:keepLines w:val="0"/>
        <w:widowControl w:val="0"/>
        <w:suppressLineNumbers w:val="0"/>
        <w:spacing w:before="0" w:beforeAutospacing="0" w:after="0" w:afterAutospacing="0" w:line="360" w:lineRule="auto"/>
        <w:ind w:left="0" w:right="-235" w:rightChars="-112" w:firstLine="482" w:firstLineChars="200"/>
        <w:jc w:val="both"/>
        <w:rPr>
          <w:rFonts w:hint="eastAsia" w:ascii="宋体" w:hAnsi="宋体" w:eastAsia="宋体" w:cs="宋体"/>
          <w:b/>
          <w:bCs w:val="0"/>
          <w:color w:val="auto"/>
          <w:kern w:val="2"/>
          <w:sz w:val="24"/>
          <w:szCs w:val="24"/>
          <w:highlight w:val="none"/>
          <w:lang w:val="en-US" w:eastAsia="zh-CN" w:bidi="ar"/>
        </w:rPr>
      </w:pPr>
      <w:r>
        <w:rPr>
          <w:rFonts w:hint="eastAsia" w:ascii="宋体" w:hAnsi="宋体" w:eastAsia="宋体" w:cs="宋体"/>
          <w:b/>
          <w:bCs w:val="0"/>
          <w:color w:val="auto"/>
          <w:kern w:val="2"/>
          <w:sz w:val="24"/>
          <w:szCs w:val="24"/>
          <w:highlight w:val="none"/>
          <w:lang w:val="en-US" w:eastAsia="zh-CN" w:bidi="ar"/>
        </w:rPr>
        <w:t>六、质量检验</w:t>
      </w:r>
    </w:p>
    <w:p w14:paraId="3E586465">
      <w:pPr>
        <w:spacing w:line="360" w:lineRule="auto"/>
        <w:ind w:firstLine="480"/>
        <w:rPr>
          <w:rFonts w:ascii="宋体" w:hAnsi="宋体"/>
          <w:color w:val="auto"/>
          <w:sz w:val="24"/>
          <w:szCs w:val="24"/>
        </w:rPr>
      </w:pPr>
      <w:r>
        <w:rPr>
          <w:rFonts w:hint="eastAsia" w:ascii="宋体" w:hAnsi="宋体"/>
          <w:color w:val="auto"/>
          <w:sz w:val="24"/>
          <w:szCs w:val="24"/>
          <w:lang w:val="en-US" w:eastAsia="zh-CN"/>
        </w:rPr>
        <w:t>6</w:t>
      </w:r>
      <w:r>
        <w:rPr>
          <w:rFonts w:ascii="宋体" w:hAnsi="宋体"/>
          <w:color w:val="auto"/>
          <w:sz w:val="24"/>
          <w:szCs w:val="24"/>
        </w:rPr>
        <w:t>.1乙方的货物在到场、使用等整个过程中均应接受甲方、</w:t>
      </w:r>
      <w:r>
        <w:rPr>
          <w:rFonts w:hint="eastAsia" w:ascii="宋体" w:hAnsi="宋体"/>
          <w:color w:val="auto"/>
          <w:sz w:val="24"/>
          <w:szCs w:val="24"/>
        </w:rPr>
        <w:t>相关</w:t>
      </w:r>
      <w:r>
        <w:rPr>
          <w:rFonts w:ascii="宋体" w:hAnsi="宋体"/>
          <w:color w:val="auto"/>
          <w:sz w:val="24"/>
          <w:szCs w:val="24"/>
        </w:rPr>
        <w:t>工程监理和业主等部门的监督和检查，各项试验检测应满足相关技术标准，有不符合要求的，乙方应立即整改，发生费用由乙方自负；</w:t>
      </w:r>
    </w:p>
    <w:p w14:paraId="56F8054A">
      <w:pPr>
        <w:spacing w:line="360" w:lineRule="auto"/>
        <w:ind w:firstLine="480"/>
        <w:rPr>
          <w:rFonts w:hint="eastAsia" w:ascii="宋体" w:hAnsi="宋体" w:eastAsia="宋体"/>
          <w:color w:val="auto"/>
          <w:sz w:val="24"/>
          <w:szCs w:val="24"/>
          <w:lang w:eastAsia="zh"/>
          <w:woUserID w:val="1"/>
        </w:rPr>
      </w:pPr>
      <w:bookmarkStart w:id="458" w:name="auto_fouce_12"/>
      <w:r>
        <w:rPr>
          <w:rFonts w:hint="eastAsia" w:ascii="宋体" w:hAnsi="宋体"/>
          <w:color w:val="auto"/>
          <w:sz w:val="24"/>
          <w:szCs w:val="24"/>
          <w:lang w:val="en-US" w:eastAsia="zh-CN"/>
        </w:rPr>
        <w:t>6</w:t>
      </w:r>
      <w:r>
        <w:rPr>
          <w:rFonts w:ascii="宋体" w:hAnsi="宋体"/>
          <w:color w:val="auto"/>
          <w:sz w:val="24"/>
          <w:szCs w:val="24"/>
        </w:rPr>
        <w:t>.2质量初检由甲方及驻地监理</w:t>
      </w:r>
      <w:r>
        <w:rPr>
          <w:rFonts w:hint="eastAsia" w:ascii="宋体" w:hAnsi="宋体"/>
          <w:color w:val="auto"/>
          <w:sz w:val="24"/>
          <w:szCs w:val="24"/>
        </w:rPr>
        <w:t>等</w:t>
      </w:r>
      <w:r>
        <w:rPr>
          <w:rFonts w:ascii="宋体" w:hAnsi="宋体"/>
          <w:color w:val="auto"/>
          <w:sz w:val="24"/>
          <w:szCs w:val="24"/>
        </w:rPr>
        <w:t>按有关规定共同取样后送检，初检发现质量有异议时，进行复检，复检由监理、甲乙双方共同取样后，送浙江省交通工程质量监督部门认可的检验机构复检，检验结果作为判断依据。</w:t>
      </w:r>
      <w:bookmarkStart w:id="459" w:name="auto_fouce_13"/>
    </w:p>
    <w:bookmarkEnd w:id="459"/>
    <w:p w14:paraId="75032007">
      <w:pPr>
        <w:spacing w:line="360" w:lineRule="auto"/>
        <w:ind w:firstLine="480"/>
        <w:rPr>
          <w:rFonts w:hint="eastAsia" w:ascii="宋体" w:hAnsi="宋体" w:eastAsia="宋体"/>
          <w:color w:val="auto"/>
          <w:sz w:val="24"/>
          <w:szCs w:val="24"/>
          <w:lang w:eastAsia="zh"/>
          <w:woUserID w:val="1"/>
        </w:rPr>
      </w:pPr>
      <w:r>
        <w:rPr>
          <w:rFonts w:hint="eastAsia" w:ascii="宋体" w:hAnsi="宋体"/>
          <w:color w:val="auto"/>
          <w:sz w:val="24"/>
          <w:szCs w:val="24"/>
          <w:lang w:val="en-US" w:eastAsia="zh-CN"/>
          <w:woUserID w:val="1"/>
        </w:rPr>
        <w:t>6.3</w:t>
      </w:r>
      <w:r>
        <w:rPr>
          <w:rFonts w:hint="eastAsia" w:ascii="宋体" w:hAnsi="宋体"/>
          <w:color w:val="auto"/>
          <w:sz w:val="24"/>
          <w:szCs w:val="24"/>
          <w:lang w:eastAsia="zh"/>
          <w:woUserID w:val="1"/>
        </w:rPr>
        <w:t>初检不合格的复检费用由乙方预付，最终根据检验结果结算。</w:t>
      </w:r>
      <w:r>
        <w:rPr>
          <w:rFonts w:ascii="宋体" w:hAnsi="宋体"/>
          <w:color w:val="auto"/>
          <w:sz w:val="24"/>
          <w:szCs w:val="24"/>
        </w:rPr>
        <w:t>若检验不合格，乙方无条件接受退货，并承担相关损失（包括复检费用）；若检验合格，则复检费用由甲方承担。在复检期间，乙方应在不影响甲方使用的时间内及时提供相同规格、数量的合格产品供甲方使用</w:t>
      </w:r>
      <w:r>
        <w:rPr>
          <w:rFonts w:hint="eastAsia" w:ascii="宋体" w:hAnsi="宋体"/>
          <w:color w:val="auto"/>
          <w:sz w:val="24"/>
          <w:szCs w:val="24"/>
          <w:lang w:eastAsia="zh"/>
          <w:woUserID w:val="1"/>
        </w:rPr>
        <w:t>。</w:t>
      </w:r>
      <w:bookmarkEnd w:id="458"/>
    </w:p>
    <w:p w14:paraId="2E91F5B0">
      <w:pPr>
        <w:spacing w:line="360" w:lineRule="auto"/>
        <w:ind w:firstLine="480"/>
        <w:rPr>
          <w:rFonts w:ascii="宋体" w:hAnsi="宋体"/>
          <w:color w:val="auto"/>
          <w:sz w:val="24"/>
          <w:szCs w:val="24"/>
        </w:rPr>
      </w:pPr>
      <w:r>
        <w:rPr>
          <w:rFonts w:hint="eastAsia" w:ascii="宋体" w:hAnsi="宋体"/>
          <w:color w:val="auto"/>
          <w:sz w:val="24"/>
          <w:szCs w:val="24"/>
          <w:lang w:val="en-US" w:eastAsia="zh-CN"/>
        </w:rPr>
        <w:t>6</w:t>
      </w:r>
      <w:r>
        <w:rPr>
          <w:rFonts w:ascii="宋体" w:hAnsi="宋体"/>
          <w:color w:val="auto"/>
          <w:sz w:val="24"/>
          <w:szCs w:val="24"/>
        </w:rPr>
        <w:t>.</w:t>
      </w:r>
      <w:r>
        <w:rPr>
          <w:rFonts w:hint="eastAsia" w:ascii="宋体" w:hAnsi="宋体"/>
          <w:color w:val="auto"/>
          <w:sz w:val="24"/>
          <w:szCs w:val="24"/>
          <w:lang w:val="en-US" w:eastAsia="zh-CN"/>
        </w:rPr>
        <w:t>4</w:t>
      </w:r>
      <w:r>
        <w:rPr>
          <w:rFonts w:ascii="宋体" w:hAnsi="宋体"/>
          <w:color w:val="auto"/>
          <w:sz w:val="24"/>
          <w:szCs w:val="24"/>
        </w:rPr>
        <w:t>乙方必须履行采购活动过程中所作出的一切承诺。每批次产品虽经初检合格，若使用中发生质量问题或由此引发安全事故，乙方仍须承担因产品质量所引起的一切责任和费用。</w:t>
      </w:r>
    </w:p>
    <w:p w14:paraId="6A8D179E">
      <w:pPr>
        <w:keepNext w:val="0"/>
        <w:keepLines w:val="0"/>
        <w:widowControl w:val="0"/>
        <w:suppressLineNumbers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七、开票及付款方式</w:t>
      </w:r>
    </w:p>
    <w:p w14:paraId="7A25E1C5">
      <w:pPr>
        <w:pStyle w:val="3"/>
        <w:keepLines w:val="0"/>
        <w:pageBreakBefore w:val="0"/>
        <w:shd w:val="clear" w:color="auto" w:fill="auto"/>
        <w:kinsoku/>
        <w:wordWrap/>
        <w:overflowPunct/>
        <w:topLinePunct w:val="0"/>
        <w:bidi w:val="0"/>
        <w:spacing w:line="360" w:lineRule="auto"/>
        <w:ind w:firstLine="480" w:firstLineChars="200"/>
        <w:jc w:val="left"/>
        <w:textAlignment w:val="auto"/>
        <w:rPr>
          <w:rFonts w:hint="eastAsia" w:ascii="宋体" w:hAnsi="宋体" w:eastAsia="宋体" w:cs="宋体"/>
          <w:b w:val="0"/>
          <w:sz w:val="24"/>
          <w:szCs w:val="24"/>
          <w:lang w:eastAsia="zh-CN"/>
        </w:rPr>
      </w:pPr>
      <w:r>
        <w:rPr>
          <w:rFonts w:hint="eastAsia" w:ascii="宋体" w:hAnsi="宋体" w:eastAsia="宋体" w:cs="宋体"/>
          <w:b w:val="0"/>
          <w:sz w:val="24"/>
          <w:szCs w:val="24"/>
        </w:rPr>
        <w:t>设备到货经</w:t>
      </w:r>
      <w:r>
        <w:rPr>
          <w:rFonts w:hint="eastAsia" w:cs="宋体"/>
          <w:b w:val="0"/>
          <w:sz w:val="24"/>
          <w:szCs w:val="24"/>
          <w:lang w:eastAsia="zh-CN"/>
        </w:rPr>
        <w:t>甲方</w:t>
      </w:r>
      <w:r>
        <w:rPr>
          <w:rFonts w:hint="eastAsia" w:ascii="宋体" w:hAnsi="宋体" w:eastAsia="宋体" w:cs="宋体"/>
          <w:b w:val="0"/>
          <w:sz w:val="24"/>
          <w:szCs w:val="24"/>
        </w:rPr>
        <w:t>签收后，</w:t>
      </w:r>
      <w:r>
        <w:rPr>
          <w:rFonts w:hint="eastAsia" w:cs="宋体"/>
          <w:b w:val="0"/>
          <w:sz w:val="24"/>
          <w:szCs w:val="24"/>
          <w:lang w:eastAsia="zh-CN"/>
        </w:rPr>
        <w:t>甲方</w:t>
      </w:r>
      <w:r>
        <w:rPr>
          <w:rFonts w:hint="eastAsia" w:ascii="宋体" w:hAnsi="宋体" w:eastAsia="宋体" w:cs="宋体"/>
          <w:b w:val="0"/>
          <w:sz w:val="24"/>
          <w:szCs w:val="24"/>
        </w:rPr>
        <w:t>向</w:t>
      </w:r>
      <w:r>
        <w:rPr>
          <w:rFonts w:hint="eastAsia" w:cs="宋体"/>
          <w:b w:val="0"/>
          <w:sz w:val="24"/>
          <w:szCs w:val="24"/>
          <w:lang w:eastAsia="zh-CN"/>
        </w:rPr>
        <w:t>乙方</w:t>
      </w:r>
      <w:r>
        <w:rPr>
          <w:rFonts w:hint="eastAsia" w:ascii="宋体" w:hAnsi="宋体" w:eastAsia="宋体" w:cs="宋体"/>
          <w:b w:val="0"/>
          <w:sz w:val="24"/>
          <w:szCs w:val="24"/>
        </w:rPr>
        <w:t>支付至含税到货设备价格的</w:t>
      </w:r>
      <w:r>
        <w:rPr>
          <w:rFonts w:hint="eastAsia" w:cs="宋体"/>
          <w:b w:val="0"/>
          <w:sz w:val="24"/>
          <w:szCs w:val="24"/>
          <w:lang w:val="en-US" w:eastAsia="zh-CN"/>
        </w:rPr>
        <w:t>30</w:t>
      </w:r>
      <w:r>
        <w:rPr>
          <w:rFonts w:hint="eastAsia" w:ascii="宋体" w:hAnsi="宋体" w:eastAsia="宋体" w:cs="宋体"/>
          <w:b w:val="0"/>
          <w:sz w:val="24"/>
          <w:szCs w:val="24"/>
        </w:rPr>
        <w:t>％；设备安装调试完成</w:t>
      </w:r>
      <w:r>
        <w:rPr>
          <w:rFonts w:hint="eastAsia" w:ascii="宋体" w:hAnsi="宋体" w:eastAsia="宋体" w:cs="宋体"/>
          <w:b w:val="0"/>
          <w:sz w:val="24"/>
          <w:szCs w:val="24"/>
          <w:lang w:eastAsia="zh-CN"/>
        </w:rPr>
        <w:t>并投入生产</w:t>
      </w:r>
      <w:r>
        <w:rPr>
          <w:rFonts w:hint="eastAsia" w:ascii="宋体" w:hAnsi="宋体" w:eastAsia="宋体" w:cs="宋体"/>
          <w:b w:val="0"/>
          <w:sz w:val="24"/>
          <w:szCs w:val="24"/>
        </w:rPr>
        <w:t>后，</w:t>
      </w:r>
      <w:r>
        <w:rPr>
          <w:rFonts w:hint="eastAsia" w:cs="宋体"/>
          <w:b w:val="0"/>
          <w:sz w:val="24"/>
          <w:szCs w:val="24"/>
          <w:lang w:eastAsia="zh-CN"/>
        </w:rPr>
        <w:t>甲方</w:t>
      </w:r>
      <w:r>
        <w:rPr>
          <w:rFonts w:hint="eastAsia" w:ascii="宋体" w:hAnsi="宋体" w:eastAsia="宋体" w:cs="宋体"/>
          <w:b w:val="0"/>
          <w:sz w:val="24"/>
          <w:szCs w:val="24"/>
        </w:rPr>
        <w:t>组织人员验收出具签署验收单。验收合格后</w:t>
      </w:r>
      <w:r>
        <w:rPr>
          <w:rFonts w:hint="eastAsia" w:cs="宋体"/>
          <w:b w:val="0"/>
          <w:sz w:val="24"/>
          <w:szCs w:val="24"/>
          <w:lang w:eastAsia="zh-CN"/>
        </w:rPr>
        <w:t>甲方</w:t>
      </w:r>
      <w:r>
        <w:rPr>
          <w:rFonts w:hint="eastAsia" w:ascii="宋体" w:hAnsi="宋体" w:eastAsia="宋体" w:cs="宋体"/>
          <w:b w:val="0"/>
          <w:sz w:val="24"/>
          <w:szCs w:val="24"/>
          <w:lang w:eastAsia="zh-CN"/>
        </w:rPr>
        <w:t>在</w:t>
      </w:r>
      <w:r>
        <w:rPr>
          <w:rFonts w:hint="eastAsia" w:ascii="宋体" w:hAnsi="宋体" w:eastAsia="宋体" w:cs="宋体"/>
          <w:b w:val="0"/>
          <w:sz w:val="24"/>
          <w:szCs w:val="24"/>
          <w:lang w:val="en-US" w:eastAsia="zh-CN"/>
        </w:rPr>
        <w:t>6个月内</w:t>
      </w:r>
      <w:r>
        <w:rPr>
          <w:rFonts w:hint="eastAsia" w:ascii="宋体" w:hAnsi="宋体" w:eastAsia="宋体" w:cs="宋体"/>
          <w:b w:val="0"/>
          <w:sz w:val="24"/>
          <w:szCs w:val="24"/>
        </w:rPr>
        <w:t>向</w:t>
      </w:r>
      <w:r>
        <w:rPr>
          <w:rFonts w:hint="eastAsia" w:cs="宋体"/>
          <w:b w:val="0"/>
          <w:sz w:val="24"/>
          <w:szCs w:val="24"/>
          <w:lang w:eastAsia="zh-CN"/>
        </w:rPr>
        <w:t>乙方</w:t>
      </w:r>
      <w:r>
        <w:rPr>
          <w:rFonts w:hint="eastAsia" w:ascii="宋体" w:hAnsi="宋体" w:eastAsia="宋体" w:cs="宋体"/>
          <w:b w:val="0"/>
          <w:sz w:val="24"/>
          <w:szCs w:val="24"/>
        </w:rPr>
        <w:t>付至含税到货设备价格的95％</w:t>
      </w:r>
      <w:r>
        <w:rPr>
          <w:rFonts w:hint="eastAsia" w:ascii="宋体" w:hAnsi="宋体" w:eastAsia="宋体" w:cs="宋体"/>
          <w:b w:val="0"/>
          <w:sz w:val="24"/>
          <w:szCs w:val="24"/>
          <w:lang w:eastAsia="zh-CN"/>
        </w:rPr>
        <w:t>，</w:t>
      </w:r>
      <w:r>
        <w:rPr>
          <w:rFonts w:hint="eastAsia" w:ascii="宋体" w:hAnsi="宋体" w:eastAsia="宋体" w:cs="宋体"/>
          <w:b w:val="0"/>
          <w:sz w:val="24"/>
          <w:szCs w:val="24"/>
        </w:rPr>
        <w:t>质保金为中标金额的5%，质保到期后支付。</w:t>
      </w:r>
    </w:p>
    <w:p w14:paraId="6DC6A7B1">
      <w:pPr>
        <w:autoSpaceDE w:val="0"/>
        <w:autoSpaceDN w:val="0"/>
        <w:adjustRightInd w:val="0"/>
        <w:spacing w:line="360" w:lineRule="auto"/>
        <w:ind w:left="335" w:firstLine="240" w:firstLineChars="100"/>
        <w:jc w:val="left"/>
        <w:rPr>
          <w:rFonts w:hint="eastAsia" w:ascii="宋体" w:hAnsi="宋体" w:cs="宋体"/>
          <w:b w:val="0"/>
          <w:bCs w:val="0"/>
          <w:sz w:val="24"/>
          <w:szCs w:val="24"/>
          <w:highlight w:val="none"/>
          <w:lang w:val="zh-CN"/>
        </w:rPr>
      </w:pPr>
      <w:r>
        <w:rPr>
          <w:rFonts w:hint="eastAsia" w:ascii="宋体" w:hAnsi="宋体" w:cs="宋体"/>
          <w:b w:val="0"/>
          <w:bCs w:val="0"/>
          <w:sz w:val="24"/>
          <w:szCs w:val="24"/>
          <w:highlight w:val="none"/>
          <w:lang w:eastAsia="zh-CN"/>
        </w:rPr>
        <w:t>注：</w:t>
      </w:r>
      <w:r>
        <w:rPr>
          <w:rFonts w:hint="eastAsia" w:ascii="宋体" w:hAnsi="宋体" w:cs="宋体"/>
          <w:b w:val="0"/>
          <w:bCs w:val="0"/>
          <w:sz w:val="24"/>
          <w:szCs w:val="24"/>
          <w:highlight w:val="none"/>
        </w:rPr>
        <w:t>付款要求</w:t>
      </w:r>
    </w:p>
    <w:p w14:paraId="2B1EB58E">
      <w:pPr>
        <w:shd w:val="clear" w:color="auto" w:fill="auto"/>
        <w:spacing w:line="360" w:lineRule="auto"/>
        <w:ind w:firstLine="460" w:firstLineChars="200"/>
      </w:pPr>
      <w:r>
        <w:rPr>
          <w:rFonts w:hint="eastAsia" w:ascii="宋体" w:hAnsi="宋体" w:eastAsia="宋体" w:cs="Times New Roman"/>
          <w:color w:val="auto"/>
          <w:spacing w:val="-5"/>
          <w:kern w:val="0"/>
          <w:sz w:val="24"/>
          <w:szCs w:val="24"/>
          <w:highlight w:val="none"/>
          <w:lang w:val="en-US" w:eastAsia="zh-CN" w:bidi="he-IL"/>
        </w:rPr>
        <w:t>1、</w:t>
      </w:r>
      <w:r>
        <w:rPr>
          <w:rFonts w:hint="eastAsia" w:ascii="宋体" w:hAnsi="宋体" w:cs="Times New Roman"/>
          <w:sz w:val="24"/>
          <w:lang w:val="en-US" w:eastAsia="zh-CN"/>
        </w:rPr>
        <w:t>乙方</w:t>
      </w:r>
      <w:r>
        <w:rPr>
          <w:rFonts w:hint="eastAsia" w:ascii="宋体" w:hAnsi="宋体" w:eastAsia="宋体" w:cs="Times New Roman"/>
          <w:sz w:val="24"/>
          <w:lang w:val="en-US" w:eastAsia="zh-CN"/>
        </w:rPr>
        <w:t>向</w:t>
      </w:r>
      <w:r>
        <w:rPr>
          <w:rFonts w:hint="eastAsia" w:ascii="宋体" w:hAnsi="宋体" w:cs="Times New Roman"/>
          <w:sz w:val="24"/>
          <w:lang w:val="en-US" w:eastAsia="zh-CN"/>
        </w:rPr>
        <w:t>甲方</w:t>
      </w:r>
      <w:r>
        <w:rPr>
          <w:rFonts w:hint="eastAsia" w:ascii="宋体" w:hAnsi="宋体" w:eastAsia="宋体" w:cs="Times New Roman"/>
          <w:sz w:val="24"/>
          <w:lang w:val="en-US" w:eastAsia="zh-CN"/>
        </w:rPr>
        <w:t>提供增值税专用发票。如</w:t>
      </w:r>
      <w:r>
        <w:rPr>
          <w:rFonts w:hint="eastAsia" w:ascii="宋体" w:hAnsi="宋体" w:cs="Times New Roman"/>
          <w:sz w:val="24"/>
          <w:lang w:val="en-US" w:eastAsia="zh-CN"/>
        </w:rPr>
        <w:t>乙方</w:t>
      </w:r>
      <w:r>
        <w:rPr>
          <w:rFonts w:hint="eastAsia" w:ascii="宋体" w:hAnsi="宋体" w:eastAsia="宋体" w:cs="Times New Roman"/>
          <w:sz w:val="24"/>
          <w:lang w:val="en-US" w:eastAsia="zh-CN"/>
        </w:rPr>
        <w:t>未按约定提供增值税发票的，</w:t>
      </w:r>
      <w:r>
        <w:rPr>
          <w:rFonts w:hint="eastAsia" w:ascii="宋体" w:hAnsi="宋体" w:cs="Times New Roman"/>
          <w:sz w:val="24"/>
          <w:lang w:val="en-US" w:eastAsia="zh-CN"/>
        </w:rPr>
        <w:t>甲方</w:t>
      </w:r>
      <w:r>
        <w:rPr>
          <w:rFonts w:hint="eastAsia" w:ascii="宋体" w:hAnsi="宋体" w:eastAsia="宋体" w:cs="Times New Roman"/>
          <w:sz w:val="24"/>
          <w:lang w:val="en-US" w:eastAsia="zh-CN"/>
        </w:rPr>
        <w:t>有权拒绝付款，直至收到</w:t>
      </w:r>
      <w:r>
        <w:rPr>
          <w:rFonts w:hint="eastAsia" w:ascii="宋体" w:hAnsi="宋体" w:cs="Times New Roman"/>
          <w:sz w:val="24"/>
          <w:lang w:val="en-US" w:eastAsia="zh-CN"/>
        </w:rPr>
        <w:t>乙方</w:t>
      </w:r>
      <w:r>
        <w:rPr>
          <w:rFonts w:hint="eastAsia" w:ascii="宋体" w:hAnsi="宋体" w:eastAsia="宋体" w:cs="Times New Roman"/>
          <w:sz w:val="24"/>
          <w:lang w:val="en-US" w:eastAsia="zh-CN"/>
        </w:rPr>
        <w:t>提交的相应增值税发票为止，在此情况下，</w:t>
      </w:r>
      <w:r>
        <w:rPr>
          <w:rFonts w:hint="eastAsia" w:ascii="宋体" w:hAnsi="宋体" w:cs="Times New Roman"/>
          <w:sz w:val="24"/>
          <w:lang w:eastAsia="zh-CN"/>
        </w:rPr>
        <w:t>甲方</w:t>
      </w:r>
      <w:r>
        <w:rPr>
          <w:rFonts w:hint="eastAsia" w:ascii="宋体" w:hAnsi="宋体" w:eastAsia="宋体" w:cs="Times New Roman"/>
          <w:sz w:val="24"/>
        </w:rPr>
        <w:t>不承担逾期付款违约责任。</w:t>
      </w:r>
    </w:p>
    <w:p w14:paraId="30DF6DD4">
      <w:pPr>
        <w:pStyle w:val="9"/>
        <w:keepNext w:val="0"/>
        <w:keepLines w:val="0"/>
        <w:pageBreakBefore w:val="0"/>
        <w:widowControl/>
        <w:numPr>
          <w:ilvl w:val="0"/>
          <w:numId w:val="0"/>
        </w:numPr>
        <w:kinsoku/>
        <w:wordWrap/>
        <w:overflowPunct/>
        <w:topLinePunct w:val="0"/>
        <w:autoSpaceDE/>
        <w:autoSpaceDN/>
        <w:bidi w:val="0"/>
        <w:adjustRightInd/>
        <w:snapToGrid/>
        <w:spacing w:after="0" w:line="360" w:lineRule="auto"/>
        <w:ind w:left="0" w:leftChars="0" w:firstLine="460" w:firstLineChars="200"/>
        <w:textAlignment w:val="auto"/>
        <w:rPr>
          <w:rFonts w:hint="default" w:ascii="宋体" w:hAnsi="宋体" w:eastAsia="宋体" w:cs="Times New Roman"/>
          <w:color w:val="auto"/>
          <w:spacing w:val="-5"/>
          <w:kern w:val="0"/>
          <w:sz w:val="24"/>
          <w:szCs w:val="24"/>
          <w:highlight w:val="none"/>
          <w:lang w:val="en-US" w:eastAsia="zh-CN" w:bidi="he-IL"/>
        </w:rPr>
      </w:pPr>
      <w:r>
        <w:rPr>
          <w:rFonts w:hint="eastAsia" w:ascii="宋体" w:hAnsi="宋体" w:eastAsia="宋体" w:cs="Times New Roman"/>
          <w:color w:val="auto"/>
          <w:spacing w:val="-5"/>
          <w:kern w:val="0"/>
          <w:sz w:val="24"/>
          <w:szCs w:val="24"/>
          <w:highlight w:val="none"/>
          <w:lang w:val="en-US" w:eastAsia="zh-CN" w:bidi="he-IL"/>
        </w:rPr>
        <w:t>2、乙方提供给甲方的增值税专用发票的“货物或服务名称”</w:t>
      </w:r>
      <w:bookmarkStart w:id="460" w:name="auto_fouce_16"/>
      <w:r>
        <w:rPr>
          <w:rFonts w:hint="eastAsia" w:ascii="宋体" w:hAnsi="宋体" w:eastAsia="宋体" w:cs="Times New Roman"/>
          <w:color w:val="auto"/>
          <w:spacing w:val="-5"/>
          <w:kern w:val="0"/>
          <w:sz w:val="24"/>
          <w:szCs w:val="24"/>
          <w:highlight w:val="none"/>
          <w:lang w:val="en-US" w:eastAsia="zh-CN" w:bidi="he-IL"/>
        </w:rPr>
        <w:t>与合同中的名称应保持一致，且有正确的税收分类编码名称。</w:t>
      </w:r>
      <w:r>
        <w:rPr>
          <w:rFonts w:hint="eastAsia" w:ascii="宋体" w:hAnsi="宋体" w:cs="Times New Roman"/>
          <w:color w:val="auto"/>
          <w:spacing w:val="-5"/>
          <w:kern w:val="0"/>
          <w:sz w:val="24"/>
          <w:szCs w:val="24"/>
          <w:highlight w:val="none"/>
          <w:lang w:val="en-US" w:eastAsia="zh" w:bidi="he-IL"/>
          <w:woUserID w:val="1"/>
        </w:rPr>
        <w:t>税收分类编码以国家税务总局最新颁布目录为准。</w:t>
      </w:r>
      <w:r>
        <w:rPr>
          <w:rFonts w:hint="eastAsia" w:ascii="宋体" w:hAnsi="宋体" w:eastAsia="宋体" w:cs="Times New Roman"/>
          <w:color w:val="auto"/>
          <w:spacing w:val="-5"/>
          <w:kern w:val="0"/>
          <w:sz w:val="24"/>
          <w:szCs w:val="24"/>
          <w:highlight w:val="none"/>
          <w:lang w:val="en-US" w:eastAsia="zh-CN" w:bidi="he-IL"/>
        </w:rPr>
        <w:t>否则，甲方有权拒绝付款并顺延付款时间。</w:t>
      </w:r>
      <w:bookmarkEnd w:id="460"/>
    </w:p>
    <w:p w14:paraId="5736D9B7">
      <w:pPr>
        <w:keepNext w:val="0"/>
        <w:keepLines w:val="0"/>
        <w:widowControl w:val="0"/>
        <w:suppressLineNumbers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u w:val="none"/>
        </w:rPr>
      </w:pPr>
      <w:r>
        <w:rPr>
          <w:rFonts w:hint="eastAsia" w:ascii="宋体" w:hAnsi="宋体" w:eastAsia="宋体" w:cs="宋体"/>
          <w:b/>
          <w:bCs w:val="0"/>
          <w:color w:val="auto"/>
          <w:kern w:val="2"/>
          <w:sz w:val="24"/>
          <w:szCs w:val="24"/>
          <w:highlight w:val="none"/>
          <w:u w:val="none"/>
          <w:lang w:val="en-US" w:eastAsia="zh-CN" w:bidi="ar"/>
        </w:rPr>
        <w:t>八、</w:t>
      </w:r>
      <w:r>
        <w:rPr>
          <w:rFonts w:ascii="宋体" w:hAnsi="宋体"/>
          <w:b/>
          <w:bCs w:val="0"/>
          <w:color w:val="auto"/>
          <w:sz w:val="24"/>
          <w:szCs w:val="24"/>
        </w:rPr>
        <w:t>违约和索赔</w:t>
      </w:r>
    </w:p>
    <w:p w14:paraId="4C332F1C">
      <w:pPr>
        <w:spacing w:line="360" w:lineRule="auto"/>
        <w:ind w:firstLine="470" w:firstLineChars="196"/>
        <w:rPr>
          <w:rFonts w:ascii="宋体" w:hAnsi="宋体"/>
          <w:sz w:val="24"/>
          <w:szCs w:val="24"/>
        </w:rPr>
      </w:pPr>
      <w:bookmarkStart w:id="461" w:name="auto_fouce_17"/>
      <w:r>
        <w:rPr>
          <w:rFonts w:hint="eastAsia" w:ascii="宋体" w:hAnsi="宋体"/>
          <w:color w:val="auto"/>
          <w:sz w:val="24"/>
          <w:szCs w:val="24"/>
          <w:lang w:val="en-US" w:eastAsia="zh-CN"/>
        </w:rPr>
        <w:t>8</w:t>
      </w:r>
      <w:r>
        <w:rPr>
          <w:rFonts w:ascii="宋体" w:hAnsi="宋体"/>
          <w:color w:val="auto"/>
          <w:sz w:val="24"/>
          <w:szCs w:val="24"/>
        </w:rPr>
        <w:t>.1履行合同过程中，乙方若在供货时间、货物数量、质量、规格型号等方面发生严重违约:【严重违约主要</w:t>
      </w:r>
      <w:r>
        <w:rPr>
          <w:rFonts w:hint="eastAsia" w:ascii="宋体" w:hAnsi="宋体"/>
          <w:color w:val="auto"/>
          <w:sz w:val="24"/>
          <w:szCs w:val="24"/>
          <w:lang w:eastAsia="zh-CN"/>
        </w:rPr>
        <w:t>包括但不限于</w:t>
      </w:r>
      <w:r>
        <w:rPr>
          <w:rFonts w:ascii="宋体" w:hAnsi="宋体"/>
          <w:color w:val="auto"/>
          <w:sz w:val="24"/>
          <w:szCs w:val="24"/>
        </w:rPr>
        <w:t>以下几种行为：1）供货有二次（含）以上不及时或数量不满足行为，并导致甲方施工等料的；2）所供货物质量不合格，导致甲方实体返工的；3）所供货物抽检而引起二次及二次以上退货的；4）所供货物在市级及以上质量监督部门执法大检查抽检质量不合格的】，甲方有权单方解除合同，并要求乙方承担不低于合同暂定总</w:t>
      </w:r>
      <w:r>
        <w:rPr>
          <w:rFonts w:hint="eastAsia" w:ascii="宋体" w:hAnsi="宋体"/>
          <w:color w:val="auto"/>
          <w:sz w:val="24"/>
          <w:szCs w:val="24"/>
          <w:lang w:eastAsia="zh"/>
          <w:woUserID w:val="1"/>
        </w:rPr>
        <w:t>金额</w:t>
      </w:r>
      <w:r>
        <w:rPr>
          <w:rFonts w:hint="eastAsia" w:ascii="宋体" w:hAnsi="宋体"/>
          <w:color w:val="auto"/>
          <w:sz w:val="24"/>
          <w:szCs w:val="24"/>
          <w:lang w:val="en-US" w:eastAsia="zh-CN"/>
          <w:woUserID w:val="1"/>
        </w:rPr>
        <w:t>30</w:t>
      </w:r>
      <w:r>
        <w:rPr>
          <w:rFonts w:hint="eastAsia" w:ascii="宋体" w:hAnsi="宋体"/>
          <w:color w:val="auto"/>
          <w:sz w:val="24"/>
          <w:szCs w:val="24"/>
          <w:lang w:eastAsia="zh"/>
          <w:woUserID w:val="1"/>
        </w:rPr>
        <w:t>%的违约金，</w:t>
      </w:r>
      <w:r>
        <w:rPr>
          <w:rFonts w:ascii="宋体" w:hAnsi="宋体"/>
          <w:color w:val="auto"/>
          <w:sz w:val="24"/>
          <w:szCs w:val="24"/>
        </w:rPr>
        <w:t>并</w:t>
      </w:r>
      <w:r>
        <w:rPr>
          <w:rFonts w:hint="eastAsia" w:ascii="宋体" w:hAnsi="宋体"/>
          <w:color w:val="auto"/>
          <w:sz w:val="24"/>
          <w:szCs w:val="24"/>
          <w:lang w:eastAsia="zh"/>
          <w:woUserID w:val="1"/>
        </w:rPr>
        <w:t>由乙方</w:t>
      </w:r>
      <w:r>
        <w:rPr>
          <w:rFonts w:ascii="宋体" w:hAnsi="宋体"/>
          <w:sz w:val="24"/>
          <w:szCs w:val="24"/>
        </w:rPr>
        <w:t>承担由此造成甲方的经济损失；</w:t>
      </w:r>
      <w:bookmarkEnd w:id="461"/>
    </w:p>
    <w:p w14:paraId="3E4C9D1C">
      <w:pPr>
        <w:spacing w:line="360" w:lineRule="auto"/>
        <w:ind w:firstLine="470" w:firstLineChars="196"/>
        <w:rPr>
          <w:rFonts w:ascii="宋体" w:hAnsi="宋体"/>
          <w:sz w:val="24"/>
          <w:szCs w:val="24"/>
        </w:rPr>
      </w:pPr>
      <w:r>
        <w:rPr>
          <w:rFonts w:hint="eastAsia" w:ascii="宋体" w:hAnsi="宋体"/>
          <w:sz w:val="24"/>
          <w:szCs w:val="24"/>
          <w:lang w:val="en-US" w:eastAsia="zh-CN"/>
        </w:rPr>
        <w:t>8</w:t>
      </w:r>
      <w:r>
        <w:rPr>
          <w:rFonts w:ascii="宋体" w:hAnsi="宋体"/>
          <w:sz w:val="24"/>
          <w:szCs w:val="24"/>
        </w:rPr>
        <w:t>.2若乙方不能按照合同约定的交货时间交付任一批次货物（不可抗力除外），每延期一天，乙方须向甲方支付该批次货物总价款1‰的违约金，若因此造成甲方工期延误带来的损失超出该批次货物价款的20%，则乙方应按甲方的实际损失承担赔偿责任；</w:t>
      </w:r>
    </w:p>
    <w:p w14:paraId="4580E0CA">
      <w:pPr>
        <w:spacing w:line="360" w:lineRule="auto"/>
        <w:ind w:firstLine="470" w:firstLineChars="196"/>
        <w:rPr>
          <w:rFonts w:ascii="宋体" w:hAnsi="宋体"/>
          <w:sz w:val="24"/>
          <w:szCs w:val="24"/>
        </w:rPr>
      </w:pPr>
      <w:r>
        <w:rPr>
          <w:rFonts w:hint="eastAsia" w:ascii="宋体" w:hAnsi="宋体"/>
          <w:sz w:val="24"/>
          <w:szCs w:val="24"/>
          <w:lang w:val="en-US" w:eastAsia="zh-CN"/>
        </w:rPr>
        <w:t>8</w:t>
      </w:r>
      <w:r>
        <w:rPr>
          <w:rFonts w:ascii="宋体" w:hAnsi="宋体"/>
          <w:sz w:val="24"/>
          <w:szCs w:val="24"/>
        </w:rPr>
        <w:t>.3乙方在非不可抗力前提下不能按期交货，且在一个月内二次及以上影响甲方施工或造成甲方停工时，首先甲方有权购买其他供应商提供的产品，但乙方必须承担由此引起的</w:t>
      </w:r>
      <w:r>
        <w:rPr>
          <w:rFonts w:hint="eastAsia" w:ascii="宋体" w:hAnsi="宋体"/>
          <w:sz w:val="24"/>
          <w:szCs w:val="24"/>
        </w:rPr>
        <w:t>包括甲方及乙方</w:t>
      </w:r>
      <w:r>
        <w:rPr>
          <w:rFonts w:ascii="宋体" w:hAnsi="宋体"/>
          <w:sz w:val="24"/>
          <w:szCs w:val="24"/>
        </w:rPr>
        <w:t>一切损失（包括产品的差价等），其次如甲方组织不到其他供应商的产品，则乙方应向甲方一次性偿付后面未交货部分（按计划总量核算）货款的5%的违约金（违约金甲方可在未支付的货款中抵扣）；</w:t>
      </w:r>
    </w:p>
    <w:p w14:paraId="5AE0846C">
      <w:pPr>
        <w:spacing w:line="360" w:lineRule="auto"/>
        <w:ind w:firstLine="470" w:firstLineChars="196"/>
        <w:rPr>
          <w:rFonts w:ascii="宋体" w:hAnsi="宋体"/>
          <w:sz w:val="24"/>
          <w:szCs w:val="24"/>
        </w:rPr>
      </w:pPr>
      <w:r>
        <w:rPr>
          <w:rFonts w:hint="eastAsia" w:ascii="宋体" w:hAnsi="宋体"/>
          <w:sz w:val="24"/>
          <w:szCs w:val="24"/>
          <w:lang w:val="en-US" w:eastAsia="zh-CN"/>
        </w:rPr>
        <w:t>8</w:t>
      </w:r>
      <w:r>
        <w:rPr>
          <w:rFonts w:ascii="宋体" w:hAnsi="宋体"/>
          <w:sz w:val="24"/>
          <w:szCs w:val="24"/>
        </w:rPr>
        <w:t>.</w:t>
      </w:r>
      <w:r>
        <w:rPr>
          <w:rFonts w:hint="eastAsia" w:ascii="宋体" w:hAnsi="宋体"/>
          <w:sz w:val="24"/>
          <w:szCs w:val="24"/>
        </w:rPr>
        <w:t>4</w:t>
      </w:r>
      <w:r>
        <w:rPr>
          <w:rFonts w:ascii="宋体" w:hAnsi="宋体"/>
          <w:sz w:val="24"/>
          <w:szCs w:val="24"/>
        </w:rPr>
        <w:t>发票违约：（1）若发票未于结算当月</w:t>
      </w:r>
      <w:r>
        <w:rPr>
          <w:rFonts w:ascii="宋体" w:hAnsi="宋体"/>
          <w:sz w:val="24"/>
          <w:szCs w:val="24"/>
          <w:u w:val="single"/>
        </w:rPr>
        <w:t xml:space="preserve"> 25 </w:t>
      </w:r>
      <w:r>
        <w:rPr>
          <w:rFonts w:ascii="宋体" w:hAnsi="宋体"/>
          <w:sz w:val="24"/>
          <w:szCs w:val="24"/>
        </w:rPr>
        <w:t>日前送达导致甲方发票不能当月抵扣的，推定为乙方的违约责任，乙方应按甲方要求采取重新开具发票等补救措施，乙方应向甲方支付当期结算金额1%的违约金，违约金不足以弥补甲方损失的，乙方予以按实赔偿；（2）因乙方提供的增值税发票未通过税务局认证，造成甲方不能抵扣的，乙方应向甲方支付未通过认证发票中载明的税款金额作为违约金，乙方已经提交履约保证金的，甲方不予退还并有权终止合同；（3）乙方提供增值税专用发票，甲乙双方必须办理发票交接手续，无甲方经办人员签认，视为乙方未提供增值税专用发票，如发生增值税专用发票丢失，由乙方承担责任；（4）乙方账户必须是合同约定的在主管国税机关备案的账户，若账户变更应及时通知甲方，如乙方随意改变账户，甲方将拒付货款，由此引起的延期付款责任及相关的损失由乙方承担。因乙方自身纳税人身份，纳税方式变化带来的适用增值税税率的变化，导致对甲方的损失应由乙方承担。</w:t>
      </w:r>
    </w:p>
    <w:p w14:paraId="2D087730">
      <w:pPr>
        <w:keepNext w:val="0"/>
        <w:keepLines w:val="0"/>
        <w:pageBreakBefore w:val="0"/>
        <w:widowControl w:val="0"/>
        <w:shd w:val="clear"/>
        <w:kinsoku/>
        <w:wordWrap/>
        <w:overflowPunct/>
        <w:topLinePunct w:val="0"/>
        <w:autoSpaceDE/>
        <w:autoSpaceDN/>
        <w:bidi w:val="0"/>
        <w:spacing w:line="360" w:lineRule="auto"/>
        <w:ind w:left="1" w:right="-235" w:rightChars="-112" w:firstLine="482" w:firstLineChars="200"/>
        <w:textAlignment w:val="auto"/>
        <w:rPr>
          <w:rFonts w:hint="eastAsia" w:ascii="宋体" w:hAnsi="宋体" w:eastAsia="宋体" w:cs="宋体"/>
          <w:b/>
          <w:bCs w:val="0"/>
          <w:color w:val="auto"/>
          <w:kern w:val="2"/>
          <w:sz w:val="24"/>
          <w:szCs w:val="24"/>
          <w:highlight w:val="none"/>
          <w:u w:val="none"/>
          <w:lang w:val="en-US" w:eastAsia="zh-CN" w:bidi="ar"/>
        </w:rPr>
      </w:pPr>
      <w:r>
        <w:rPr>
          <w:rFonts w:hint="eastAsia" w:ascii="宋体" w:hAnsi="宋体" w:eastAsia="宋体" w:cs="宋体"/>
          <w:b/>
          <w:bCs w:val="0"/>
          <w:color w:val="auto"/>
          <w:kern w:val="2"/>
          <w:sz w:val="24"/>
          <w:szCs w:val="24"/>
          <w:highlight w:val="none"/>
          <w:u w:val="none"/>
          <w:lang w:val="en-US" w:eastAsia="zh-CN" w:bidi="ar"/>
        </w:rPr>
        <w:t>九、</w:t>
      </w:r>
      <w:r>
        <w:rPr>
          <w:rFonts w:hint="eastAsia" w:ascii="宋体" w:hAnsi="宋体" w:cs="宋体"/>
          <w:b/>
          <w:bCs w:val="0"/>
          <w:color w:val="auto"/>
          <w:kern w:val="2"/>
          <w:sz w:val="24"/>
          <w:szCs w:val="24"/>
          <w:highlight w:val="none"/>
          <w:u w:val="none"/>
          <w:lang w:val="en-US" w:eastAsia="zh-CN" w:bidi="ar"/>
        </w:rPr>
        <w:t>安全</w:t>
      </w:r>
      <w:r>
        <w:rPr>
          <w:rFonts w:hint="eastAsia" w:ascii="宋体" w:hAnsi="宋体" w:eastAsia="宋体" w:cs="宋体"/>
          <w:b/>
          <w:bCs w:val="0"/>
          <w:color w:val="auto"/>
          <w:kern w:val="2"/>
          <w:sz w:val="24"/>
          <w:szCs w:val="24"/>
          <w:highlight w:val="none"/>
          <w:u w:val="none"/>
          <w:lang w:val="en-US" w:eastAsia="zh-CN" w:bidi="ar"/>
        </w:rPr>
        <w:t>处罚措施条款</w:t>
      </w:r>
    </w:p>
    <w:p w14:paraId="0AD8EC66">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cs="宋体"/>
          <w:color w:val="auto"/>
          <w:sz w:val="24"/>
          <w:lang w:eastAsia="zh-CN"/>
        </w:rPr>
        <w:t>乙方</w:t>
      </w:r>
      <w:r>
        <w:rPr>
          <w:rFonts w:hint="eastAsia" w:ascii="宋体" w:hAnsi="宋体" w:eastAsia="宋体" w:cs="宋体"/>
          <w:b w:val="0"/>
          <w:bCs w:val="0"/>
          <w:color w:val="auto"/>
          <w:kern w:val="2"/>
          <w:sz w:val="24"/>
          <w:szCs w:val="24"/>
          <w:highlight w:val="none"/>
          <w:u w:val="none"/>
          <w:lang w:val="en-US" w:eastAsia="zh-CN" w:bidi="ar-SA"/>
        </w:rPr>
        <w:t>或其安排的劳务人员有以下行为之一者，</w:t>
      </w:r>
      <w:r>
        <w:rPr>
          <w:rFonts w:hint="eastAsia" w:ascii="宋体" w:hAnsi="宋体" w:cs="宋体"/>
          <w:color w:val="auto"/>
          <w:sz w:val="24"/>
          <w:lang w:eastAsia="zh-CN"/>
        </w:rPr>
        <w:t>甲方</w:t>
      </w:r>
      <w:r>
        <w:rPr>
          <w:rFonts w:hint="eastAsia" w:ascii="宋体" w:hAnsi="宋体" w:eastAsia="宋体" w:cs="宋体"/>
          <w:b w:val="0"/>
          <w:bCs w:val="0"/>
          <w:color w:val="auto"/>
          <w:kern w:val="2"/>
          <w:sz w:val="24"/>
          <w:szCs w:val="24"/>
          <w:highlight w:val="none"/>
          <w:u w:val="none"/>
          <w:lang w:val="en-US" w:eastAsia="zh-CN" w:bidi="ar-SA"/>
        </w:rPr>
        <w:t>要追究</w:t>
      </w:r>
      <w:r>
        <w:rPr>
          <w:rFonts w:hint="eastAsia" w:ascii="宋体" w:hAnsi="宋体" w:cs="宋体"/>
          <w:color w:val="auto"/>
          <w:sz w:val="24"/>
          <w:lang w:eastAsia="zh-CN"/>
        </w:rPr>
        <w:t>乙方</w:t>
      </w:r>
      <w:r>
        <w:rPr>
          <w:rFonts w:hint="eastAsia" w:ascii="宋体" w:hAnsi="宋体" w:eastAsia="宋体" w:cs="宋体"/>
          <w:b w:val="0"/>
          <w:bCs w:val="0"/>
          <w:color w:val="auto"/>
          <w:kern w:val="2"/>
          <w:sz w:val="24"/>
          <w:szCs w:val="24"/>
          <w:highlight w:val="none"/>
          <w:u w:val="none"/>
          <w:lang w:val="en-US" w:eastAsia="zh-CN" w:bidi="ar-SA"/>
        </w:rPr>
        <w:t>的责任，并对</w:t>
      </w:r>
      <w:r>
        <w:rPr>
          <w:rFonts w:hint="eastAsia" w:ascii="宋体" w:hAnsi="宋体" w:cs="宋体"/>
          <w:color w:val="auto"/>
          <w:sz w:val="24"/>
          <w:lang w:eastAsia="zh-CN"/>
        </w:rPr>
        <w:t>乙方</w:t>
      </w:r>
      <w:r>
        <w:rPr>
          <w:rFonts w:hint="eastAsia" w:ascii="宋体" w:hAnsi="宋体" w:eastAsia="宋体" w:cs="宋体"/>
          <w:b w:val="0"/>
          <w:bCs w:val="0"/>
          <w:color w:val="auto"/>
          <w:kern w:val="2"/>
          <w:sz w:val="24"/>
          <w:szCs w:val="24"/>
          <w:highlight w:val="none"/>
          <w:u w:val="none"/>
          <w:lang w:val="en-US" w:eastAsia="zh-CN" w:bidi="ar-SA"/>
        </w:rPr>
        <w:t>处以500-</w:t>
      </w:r>
      <w:r>
        <w:rPr>
          <w:rFonts w:hint="eastAsia" w:ascii="宋体" w:hAnsi="宋体" w:cs="宋体"/>
          <w:b w:val="0"/>
          <w:bCs w:val="0"/>
          <w:color w:val="auto"/>
          <w:kern w:val="2"/>
          <w:sz w:val="24"/>
          <w:szCs w:val="24"/>
          <w:highlight w:val="none"/>
          <w:u w:val="none"/>
          <w:lang w:val="en-US" w:eastAsia="zh-CN" w:bidi="ar-SA"/>
        </w:rPr>
        <w:t>1</w:t>
      </w:r>
      <w:r>
        <w:rPr>
          <w:rFonts w:hint="eastAsia" w:ascii="宋体" w:hAnsi="宋体" w:eastAsia="宋体" w:cs="宋体"/>
          <w:b w:val="0"/>
          <w:bCs w:val="0"/>
          <w:color w:val="auto"/>
          <w:kern w:val="2"/>
          <w:sz w:val="24"/>
          <w:szCs w:val="24"/>
          <w:highlight w:val="none"/>
          <w:u w:val="none"/>
          <w:lang w:val="en-US" w:eastAsia="zh-CN" w:bidi="ar-SA"/>
        </w:rPr>
        <w:t>0000元的罚款，对责任人处以</w:t>
      </w:r>
      <w:r>
        <w:rPr>
          <w:rFonts w:hint="eastAsia" w:ascii="宋体" w:hAnsi="宋体" w:cs="宋体"/>
          <w:b w:val="0"/>
          <w:bCs w:val="0"/>
          <w:color w:val="auto"/>
          <w:kern w:val="2"/>
          <w:sz w:val="24"/>
          <w:szCs w:val="24"/>
          <w:highlight w:val="none"/>
          <w:u w:val="none"/>
          <w:lang w:val="en-US" w:eastAsia="zh-CN" w:bidi="ar-SA"/>
        </w:rPr>
        <w:t>10</w:t>
      </w:r>
      <w:r>
        <w:rPr>
          <w:rFonts w:hint="eastAsia" w:ascii="宋体" w:hAnsi="宋体" w:eastAsia="宋体" w:cs="宋体"/>
          <w:b w:val="0"/>
          <w:bCs w:val="0"/>
          <w:color w:val="auto"/>
          <w:kern w:val="2"/>
          <w:sz w:val="24"/>
          <w:szCs w:val="24"/>
          <w:highlight w:val="none"/>
          <w:u w:val="none"/>
          <w:lang w:val="en-US" w:eastAsia="zh-CN" w:bidi="ar-SA"/>
        </w:rPr>
        <w:t>0元-</w:t>
      </w:r>
      <w:r>
        <w:rPr>
          <w:rFonts w:hint="eastAsia" w:ascii="宋体" w:hAnsi="宋体" w:cs="宋体"/>
          <w:b w:val="0"/>
          <w:bCs w:val="0"/>
          <w:color w:val="auto"/>
          <w:kern w:val="2"/>
          <w:sz w:val="24"/>
          <w:szCs w:val="24"/>
          <w:highlight w:val="none"/>
          <w:u w:val="none"/>
          <w:lang w:val="en-US" w:eastAsia="zh-CN" w:bidi="ar-SA"/>
        </w:rPr>
        <w:t>2</w:t>
      </w:r>
      <w:r>
        <w:rPr>
          <w:rFonts w:hint="eastAsia" w:ascii="宋体" w:hAnsi="宋体" w:eastAsia="宋体" w:cs="宋体"/>
          <w:b w:val="0"/>
          <w:bCs w:val="0"/>
          <w:color w:val="auto"/>
          <w:kern w:val="2"/>
          <w:sz w:val="24"/>
          <w:szCs w:val="24"/>
          <w:highlight w:val="none"/>
          <w:u w:val="none"/>
          <w:lang w:val="en-US" w:eastAsia="zh-CN" w:bidi="ar-SA"/>
        </w:rPr>
        <w:t>000元的罚款：</w:t>
      </w:r>
    </w:p>
    <w:p w14:paraId="75A06A78">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（1）事故存在安全隐患但未发生伤亡事故的给予警告，责令限期整改，逾期拒不整改的；</w:t>
      </w:r>
    </w:p>
    <w:p w14:paraId="687FF30A">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w:t>
      </w:r>
      <w:r>
        <w:rPr>
          <w:rFonts w:hint="eastAsia" w:ascii="宋体" w:hAnsi="宋体" w:cs="宋体"/>
          <w:b w:val="0"/>
          <w:bCs w:val="0"/>
          <w:color w:val="auto"/>
          <w:kern w:val="2"/>
          <w:sz w:val="24"/>
          <w:szCs w:val="24"/>
          <w:highlight w:val="none"/>
          <w:u w:val="none"/>
          <w:lang w:val="en-US" w:eastAsia="zh-CN" w:bidi="ar-SA"/>
        </w:rPr>
        <w:t>2</w:t>
      </w:r>
      <w:r>
        <w:rPr>
          <w:rFonts w:hint="eastAsia" w:ascii="宋体" w:hAnsi="宋体" w:eastAsia="宋体" w:cs="宋体"/>
          <w:b w:val="0"/>
          <w:bCs w:val="0"/>
          <w:color w:val="auto"/>
          <w:kern w:val="2"/>
          <w:sz w:val="24"/>
          <w:szCs w:val="24"/>
          <w:highlight w:val="none"/>
          <w:u w:val="none"/>
          <w:lang w:val="en-US" w:eastAsia="zh-CN" w:bidi="ar-SA"/>
        </w:rPr>
        <w:t>）安排没有经过安全技术培训或未取得操作资格证书的人员上岗从事特殊工种作业的。供应商驾驶人员无机动车驾驶证、未接受安全技术教育，未进行岗前培训熟知和不遵守本工种的各项安全技术操作规程；</w:t>
      </w:r>
    </w:p>
    <w:p w14:paraId="25EB7605">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w:t>
      </w:r>
      <w:r>
        <w:rPr>
          <w:rFonts w:hint="eastAsia" w:ascii="宋体" w:hAnsi="宋体" w:cs="宋体"/>
          <w:b w:val="0"/>
          <w:bCs w:val="0"/>
          <w:color w:val="auto"/>
          <w:kern w:val="2"/>
          <w:sz w:val="24"/>
          <w:szCs w:val="24"/>
          <w:highlight w:val="none"/>
          <w:u w:val="none"/>
          <w:lang w:val="en-US" w:eastAsia="zh-CN" w:bidi="ar-SA"/>
        </w:rPr>
        <w:t>3</w:t>
      </w:r>
      <w:r>
        <w:rPr>
          <w:rFonts w:hint="eastAsia" w:ascii="宋体" w:hAnsi="宋体" w:eastAsia="宋体" w:cs="宋体"/>
          <w:b w:val="0"/>
          <w:bCs w:val="0"/>
          <w:color w:val="auto"/>
          <w:kern w:val="2"/>
          <w:sz w:val="24"/>
          <w:szCs w:val="24"/>
          <w:highlight w:val="none"/>
          <w:u w:val="none"/>
          <w:lang w:val="en-US" w:eastAsia="zh-CN" w:bidi="ar-SA"/>
        </w:rPr>
        <w:t>）临时用电不规范的；</w:t>
      </w:r>
    </w:p>
    <w:p w14:paraId="798AD23A">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w:t>
      </w:r>
      <w:r>
        <w:rPr>
          <w:rFonts w:hint="eastAsia" w:ascii="宋体" w:hAnsi="宋体" w:cs="宋体"/>
          <w:b w:val="0"/>
          <w:bCs w:val="0"/>
          <w:color w:val="auto"/>
          <w:kern w:val="2"/>
          <w:sz w:val="24"/>
          <w:szCs w:val="24"/>
          <w:highlight w:val="none"/>
          <w:u w:val="none"/>
          <w:lang w:val="en-US" w:eastAsia="zh-CN" w:bidi="ar-SA"/>
        </w:rPr>
        <w:t>4</w:t>
      </w:r>
      <w:r>
        <w:rPr>
          <w:rFonts w:hint="eastAsia" w:ascii="宋体" w:hAnsi="宋体" w:eastAsia="宋体" w:cs="宋体"/>
          <w:b w:val="0"/>
          <w:bCs w:val="0"/>
          <w:color w:val="auto"/>
          <w:kern w:val="2"/>
          <w:sz w:val="24"/>
          <w:szCs w:val="24"/>
          <w:highlight w:val="none"/>
          <w:u w:val="none"/>
          <w:lang w:val="en-US" w:eastAsia="zh-CN" w:bidi="ar-SA"/>
        </w:rPr>
        <w:t>）未按甲方要求或规范要求做好防范措施的；</w:t>
      </w:r>
    </w:p>
    <w:p w14:paraId="284570D0">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ascii="宋体" w:hAnsi="宋体" w:eastAsia="宋体" w:cs="宋体"/>
          <w:b w:val="0"/>
          <w:bCs w:val="0"/>
          <w:color w:val="auto"/>
          <w:kern w:val="2"/>
          <w:sz w:val="24"/>
          <w:szCs w:val="24"/>
          <w:highlight w:val="none"/>
          <w:u w:val="none"/>
          <w:lang w:val="en-US" w:eastAsia="zh-CN" w:bidi="ar-SA"/>
        </w:rPr>
      </w:pPr>
      <w:r>
        <w:rPr>
          <w:rFonts w:hint="eastAsia" w:ascii="宋体" w:hAnsi="宋体" w:eastAsia="宋体" w:cs="宋体"/>
          <w:b w:val="0"/>
          <w:bCs w:val="0"/>
          <w:color w:val="auto"/>
          <w:kern w:val="2"/>
          <w:sz w:val="24"/>
          <w:szCs w:val="24"/>
          <w:highlight w:val="none"/>
          <w:u w:val="none"/>
          <w:lang w:val="en-US" w:eastAsia="zh-CN" w:bidi="ar-SA"/>
        </w:rPr>
        <w:t>（</w:t>
      </w:r>
      <w:r>
        <w:rPr>
          <w:rFonts w:hint="eastAsia" w:ascii="宋体" w:hAnsi="宋体" w:cs="宋体"/>
          <w:b w:val="0"/>
          <w:bCs w:val="0"/>
          <w:color w:val="auto"/>
          <w:kern w:val="2"/>
          <w:sz w:val="24"/>
          <w:szCs w:val="24"/>
          <w:highlight w:val="none"/>
          <w:u w:val="none"/>
          <w:lang w:val="en-US" w:eastAsia="zh-CN" w:bidi="ar-SA"/>
        </w:rPr>
        <w:t>5</w:t>
      </w:r>
      <w:r>
        <w:rPr>
          <w:rFonts w:hint="eastAsia" w:ascii="宋体" w:hAnsi="宋体" w:eastAsia="宋体" w:cs="宋体"/>
          <w:b w:val="0"/>
          <w:bCs w:val="0"/>
          <w:color w:val="auto"/>
          <w:kern w:val="2"/>
          <w:sz w:val="24"/>
          <w:szCs w:val="24"/>
          <w:highlight w:val="none"/>
          <w:u w:val="none"/>
          <w:lang w:val="en-US" w:eastAsia="zh-CN" w:bidi="ar-SA"/>
        </w:rPr>
        <w:t>）发生安全事故的:乙方发生三次无人员伤亡安全事故或发生一起人员伤亡事故或一月内累计被甲方因安全原因处罚3次的，甲方有权解除本合同并清退。</w:t>
      </w:r>
    </w:p>
    <w:p w14:paraId="34CCEEAB">
      <w:pPr>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eastAsia"/>
          <w:color w:val="auto"/>
          <w:lang w:val="zh-CN" w:eastAsia="zh-CN"/>
        </w:rPr>
      </w:pPr>
      <w:r>
        <w:rPr>
          <w:rFonts w:hint="eastAsia" w:ascii="宋体" w:hAnsi="宋体" w:eastAsia="宋体" w:cs="宋体"/>
          <w:b w:val="0"/>
          <w:bCs w:val="0"/>
          <w:color w:val="auto"/>
          <w:kern w:val="2"/>
          <w:sz w:val="24"/>
          <w:szCs w:val="24"/>
          <w:highlight w:val="none"/>
          <w:u w:val="none"/>
          <w:lang w:val="en-US" w:eastAsia="zh-CN" w:bidi="ar-SA"/>
        </w:rPr>
        <w:t>以上相关费用从乙方的应结算的费用中扣除。</w:t>
      </w:r>
    </w:p>
    <w:p w14:paraId="6078C3B1">
      <w:pPr>
        <w:keepNext w:val="0"/>
        <w:keepLines w:val="0"/>
        <w:widowControl w:val="0"/>
        <w:suppressLineNumbers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bookmarkStart w:id="462" w:name="auto_fouce_18"/>
      <w:r>
        <w:rPr>
          <w:rFonts w:hint="eastAsia" w:ascii="宋体" w:hAnsi="宋体" w:eastAsia="宋体" w:cs="宋体"/>
          <w:b/>
          <w:bCs w:val="0"/>
          <w:color w:val="auto"/>
          <w:kern w:val="2"/>
          <w:sz w:val="24"/>
          <w:szCs w:val="24"/>
          <w:highlight w:val="none"/>
          <w:lang w:val="en-US" w:eastAsia="zh-CN" w:bidi="ar"/>
        </w:rPr>
        <w:t xml:space="preserve">十、合同纠纷解决方式  </w:t>
      </w:r>
    </w:p>
    <w:p w14:paraId="270D94FA">
      <w:pPr>
        <w:keepNext w:val="0"/>
        <w:keepLines w:val="0"/>
        <w:widowControl w:val="0"/>
        <w:suppressLineNumbers w:val="0"/>
        <w:spacing w:before="0" w:beforeAutospacing="0" w:after="0" w:afterAutospacing="0" w:line="360" w:lineRule="auto"/>
        <w:ind w:left="1" w:right="-235" w:rightChars="-112" w:firstLine="480" w:firstLineChars="200"/>
        <w:jc w:val="both"/>
        <w:rPr>
          <w:rFonts w:hint="eastAsia" w:ascii="宋体" w:hAnsi="宋体" w:cs="宋体"/>
          <w:b/>
          <w:bCs w:val="0"/>
          <w:color w:val="auto"/>
          <w:kern w:val="2"/>
          <w:sz w:val="24"/>
          <w:szCs w:val="24"/>
          <w:highlight w:val="none"/>
          <w:lang w:val="en-US" w:eastAsia="zh" w:bidi="ar"/>
          <w:woUserID w:val="1"/>
        </w:rPr>
      </w:pPr>
      <w:r>
        <w:rPr>
          <w:rFonts w:hint="eastAsia" w:ascii="宋体" w:hAnsi="宋体" w:eastAsia="宋体" w:cs="宋体"/>
          <w:color w:val="auto"/>
          <w:kern w:val="2"/>
          <w:sz w:val="24"/>
          <w:szCs w:val="24"/>
          <w:highlight w:val="none"/>
          <w:lang w:val="en-US" w:eastAsia="zh-CN" w:bidi="ar"/>
        </w:rPr>
        <w:t>如在合同执行过程中发生争议，甲乙双方应本着真诚友好的态度进行协商解决。如通过协商仍不能解决，双方均有权向绍兴市上虞区人民法院提起诉讼。</w:t>
      </w:r>
      <w:r>
        <w:rPr>
          <w:rFonts w:hint="eastAsia" w:ascii="宋体" w:hAnsi="宋体" w:cs="宋体"/>
          <w:color w:val="auto"/>
          <w:kern w:val="2"/>
          <w:sz w:val="24"/>
          <w:szCs w:val="24"/>
          <w:highlight w:val="none"/>
          <w:lang w:val="en-US" w:eastAsia="zh" w:bidi="ar"/>
          <w:woUserID w:val="1"/>
        </w:rPr>
        <w:t>诉讼期间除争议部分外，其他条款仍应继续履行。</w:t>
      </w:r>
      <w:bookmarkEnd w:id="462"/>
      <w:bookmarkStart w:id="463" w:name="auto_fouce_19"/>
    </w:p>
    <w:bookmarkEnd w:id="463"/>
    <w:p w14:paraId="515326B9">
      <w:pPr>
        <w:keepNext w:val="0"/>
        <w:keepLines w:val="0"/>
        <w:widowControl w:val="0"/>
        <w:suppressLineNumbers w:val="0"/>
        <w:spacing w:before="0" w:beforeAutospacing="0" w:after="0" w:afterAutospacing="0" w:line="360" w:lineRule="auto"/>
        <w:ind w:left="1" w:right="-235" w:rightChars="-112" w:firstLine="482" w:firstLineChars="200"/>
        <w:jc w:val="both"/>
        <w:rPr>
          <w:rFonts w:hint="eastAsia" w:ascii="宋体" w:hAnsi="宋体" w:eastAsia="宋体" w:cs="宋体"/>
          <w:b/>
          <w:bCs w:val="0"/>
          <w:color w:val="auto"/>
          <w:kern w:val="2"/>
          <w:sz w:val="24"/>
          <w:szCs w:val="24"/>
          <w:highlight w:val="none"/>
        </w:rPr>
      </w:pPr>
      <w:r>
        <w:rPr>
          <w:rFonts w:hint="eastAsia" w:ascii="宋体" w:hAnsi="宋体" w:eastAsia="宋体" w:cs="宋体"/>
          <w:b/>
          <w:bCs w:val="0"/>
          <w:color w:val="auto"/>
          <w:kern w:val="2"/>
          <w:sz w:val="24"/>
          <w:szCs w:val="24"/>
          <w:highlight w:val="none"/>
          <w:lang w:val="en-US" w:eastAsia="zh-CN" w:bidi="ar"/>
        </w:rPr>
        <w:t>十一、合同有效期及其他</w:t>
      </w:r>
    </w:p>
    <w:p w14:paraId="0EE050AE">
      <w:pPr>
        <w:keepNext w:val="0"/>
        <w:keepLines w:val="0"/>
        <w:widowControl w:val="0"/>
        <w:suppressLineNumbers w:val="0"/>
        <w:spacing w:before="0" w:beforeAutospacing="0" w:after="0" w:afterAutospacing="0" w:line="360" w:lineRule="auto"/>
        <w:ind w:left="1" w:right="-235" w:rightChars="-112" w:firstLine="480" w:firstLineChars="200"/>
        <w:jc w:val="both"/>
        <w:rPr>
          <w:rFonts w:hint="eastAsia" w:ascii="宋体" w:hAnsi="宋体" w:eastAsia="宋体" w:cs="宋体"/>
          <w:color w:val="auto"/>
          <w:kern w:val="2"/>
          <w:sz w:val="24"/>
          <w:szCs w:val="24"/>
          <w:highlight w:val="none"/>
        </w:rPr>
      </w:pPr>
      <w:bookmarkStart w:id="464" w:name="auto_fouce_20"/>
      <w:r>
        <w:rPr>
          <w:rFonts w:hint="eastAsia" w:ascii="宋体" w:hAnsi="宋体" w:eastAsia="宋体" w:cs="宋体"/>
          <w:color w:val="auto"/>
          <w:kern w:val="2"/>
          <w:sz w:val="24"/>
          <w:szCs w:val="24"/>
          <w:highlight w:val="none"/>
          <w:lang w:val="en-US" w:eastAsia="zh-CN" w:bidi="ar"/>
        </w:rPr>
        <w:t>10.1、合同应在双方法人代表或经办人签字并加盖单位公章或合同章后生效至质保期满之日起终止</w:t>
      </w:r>
      <w:r>
        <w:rPr>
          <w:rFonts w:hint="eastAsia" w:ascii="宋体" w:hAnsi="宋体" w:cs="宋体"/>
          <w:color w:val="auto"/>
          <w:kern w:val="2"/>
          <w:sz w:val="24"/>
          <w:szCs w:val="24"/>
          <w:highlight w:val="none"/>
          <w:lang w:val="en-US" w:eastAsia="zh" w:bidi="ar"/>
          <w:woUserID w:val="1"/>
        </w:rPr>
        <w:t>，质保期为工程竣工验收合格后</w:t>
      </w:r>
      <w:r>
        <w:rPr>
          <w:rFonts w:hint="eastAsia" w:ascii="宋体" w:hAnsi="宋体" w:cs="宋体"/>
          <w:color w:val="auto"/>
          <w:kern w:val="2"/>
          <w:sz w:val="24"/>
          <w:szCs w:val="24"/>
          <w:highlight w:val="none"/>
          <w:u w:val="single"/>
          <w:lang w:val="en-US" w:eastAsia="zh-CN" w:bidi="ar"/>
          <w:woUserID w:val="1"/>
        </w:rPr>
        <w:t xml:space="preserve">    </w:t>
      </w:r>
      <w:r>
        <w:rPr>
          <w:rFonts w:hint="eastAsia" w:ascii="宋体" w:hAnsi="宋体" w:cs="宋体"/>
          <w:color w:val="auto"/>
          <w:kern w:val="2"/>
          <w:sz w:val="24"/>
          <w:szCs w:val="24"/>
          <w:highlight w:val="none"/>
          <w:lang w:val="en-US" w:eastAsia="zh" w:bidi="ar"/>
          <w:woUserID w:val="1"/>
        </w:rPr>
        <w:t>个月</w:t>
      </w:r>
      <w:r>
        <w:rPr>
          <w:rFonts w:hint="eastAsia" w:ascii="宋体" w:hAnsi="宋体" w:cs="宋体"/>
          <w:color w:val="auto"/>
          <w:kern w:val="2"/>
          <w:sz w:val="24"/>
          <w:szCs w:val="24"/>
          <w:highlight w:val="none"/>
          <w:lang w:val="en-US" w:eastAsia="zh-CN" w:bidi="ar"/>
          <w:woUserID w:val="1"/>
        </w:rPr>
        <w:t>（以投标承诺为准）</w:t>
      </w:r>
      <w:r>
        <w:rPr>
          <w:rFonts w:hint="eastAsia" w:ascii="宋体" w:hAnsi="宋体" w:eastAsia="宋体" w:cs="宋体"/>
          <w:color w:val="auto"/>
          <w:kern w:val="2"/>
          <w:sz w:val="24"/>
          <w:szCs w:val="24"/>
          <w:highlight w:val="none"/>
          <w:lang w:val="en-US" w:eastAsia="zh-CN" w:bidi="ar"/>
        </w:rPr>
        <w:t>。</w:t>
      </w:r>
      <w:bookmarkEnd w:id="464"/>
      <w:r>
        <w:rPr>
          <w:rFonts w:hint="eastAsia" w:ascii="宋体" w:hAnsi="宋体" w:eastAsia="宋体" w:cs="宋体"/>
          <w:color w:val="auto"/>
          <w:kern w:val="2"/>
          <w:sz w:val="24"/>
          <w:szCs w:val="24"/>
          <w:highlight w:val="none"/>
          <w:lang w:val="en-US" w:eastAsia="zh-CN" w:bidi="ar"/>
        </w:rPr>
        <w:t>采购文件、响应文件、补充文件、答疑纪要及设计联络会会议纪要等作为本合同的附件，与本合同具有同等法律效力；解释顺序为合同（补充合同）、设计联络会会议纪要、询标承诺、采购文件（答疑纪要）、投标文件等。</w:t>
      </w:r>
    </w:p>
    <w:p w14:paraId="2C78647A">
      <w:pPr>
        <w:spacing w:line="360" w:lineRule="auto"/>
        <w:ind w:firstLine="480" w:firstLineChars="200"/>
        <w:rPr>
          <w:rFonts w:ascii="宋体" w:hAnsi="宋体"/>
          <w:color w:val="auto"/>
          <w:sz w:val="24"/>
          <w:szCs w:val="24"/>
        </w:rPr>
      </w:pPr>
      <w:r>
        <w:rPr>
          <w:rFonts w:hint="eastAsia" w:ascii="宋体" w:hAnsi="宋体" w:eastAsia="宋体" w:cs="宋体"/>
          <w:color w:val="auto"/>
          <w:kern w:val="2"/>
          <w:sz w:val="24"/>
          <w:szCs w:val="24"/>
          <w:highlight w:val="none"/>
          <w:lang w:val="en-US" w:eastAsia="zh-CN" w:bidi="ar"/>
        </w:rPr>
        <w:t>10.2、</w:t>
      </w:r>
      <w:r>
        <w:rPr>
          <w:rFonts w:ascii="宋体" w:hAnsi="宋体"/>
          <w:color w:val="auto"/>
          <w:sz w:val="24"/>
          <w:szCs w:val="24"/>
        </w:rPr>
        <w:t>合同经甲乙双方签字盖章后立即生效，货款两清且双方合同义务均履行完毕后失效。本合同一式四份，其中甲方执三份、乙方执一份</w:t>
      </w:r>
    </w:p>
    <w:p w14:paraId="70E2CC8A">
      <w:pPr>
        <w:spacing w:line="360" w:lineRule="auto"/>
        <w:ind w:firstLine="480" w:firstLineChars="200"/>
        <w:rPr>
          <w:rFonts w:hint="eastAsia" w:ascii="宋体" w:hAnsi="宋体" w:eastAsia="宋体"/>
          <w:color w:val="auto"/>
          <w:sz w:val="24"/>
          <w:szCs w:val="24"/>
          <w:lang w:eastAsia="zh"/>
          <w:woUserID w:val="1"/>
        </w:rPr>
      </w:pPr>
      <w:bookmarkStart w:id="465" w:name="auto_fouce_21"/>
      <w:r>
        <w:rPr>
          <w:rFonts w:hint="eastAsia" w:ascii="宋体" w:hAnsi="宋体" w:eastAsia="宋体" w:cs="宋体"/>
          <w:color w:val="auto"/>
          <w:kern w:val="2"/>
          <w:sz w:val="24"/>
          <w:szCs w:val="24"/>
          <w:highlight w:val="none"/>
          <w:lang w:val="en-US" w:eastAsia="zh-CN" w:bidi="ar"/>
        </w:rPr>
        <w:t>10.</w:t>
      </w:r>
      <w:r>
        <w:rPr>
          <w:rFonts w:hint="eastAsia" w:ascii="宋体" w:hAnsi="宋体"/>
          <w:color w:val="auto"/>
          <w:sz w:val="24"/>
          <w:szCs w:val="24"/>
          <w:lang w:val="en-US" w:eastAsia="zh-CN"/>
        </w:rPr>
        <w:t>3</w:t>
      </w:r>
      <w:r>
        <w:rPr>
          <w:rFonts w:ascii="宋体" w:hAnsi="宋体"/>
          <w:color w:val="auto"/>
          <w:sz w:val="24"/>
          <w:szCs w:val="24"/>
        </w:rPr>
        <w:t>双方组织机构代码证（如有）、营业执照、税务登记证副本（如有）、银行开户证明附后，作为本合同的有效组成部分。</w:t>
      </w:r>
    </w:p>
    <w:p w14:paraId="7152D750">
      <w:pPr>
        <w:pStyle w:val="36"/>
        <w:rPr>
          <w:rFonts w:hint="eastAsia" w:ascii="宋体" w:hAnsi="宋体"/>
          <w:color w:val="auto"/>
          <w:sz w:val="24"/>
          <w:szCs w:val="24"/>
          <w:lang w:eastAsia="zh"/>
          <w:woUserID w:val="1"/>
        </w:rPr>
      </w:pPr>
      <w:r>
        <w:rPr>
          <w:rFonts w:hint="eastAsia" w:ascii="宋体" w:hAnsi="宋体"/>
          <w:color w:val="auto"/>
          <w:sz w:val="24"/>
          <w:szCs w:val="24"/>
          <w:lang w:eastAsia="zh"/>
          <w:woUserID w:val="1"/>
        </w:rPr>
        <w:t>10.4 本合同条款变更须经双方协商一致并以书面补充协议形式签订，任何单方修改的采购文件、会议纪要等不作为合同组成部分。</w:t>
      </w:r>
      <w:bookmarkEnd w:id="465"/>
    </w:p>
    <w:p w14:paraId="238D75F3">
      <w:pPr>
        <w:pStyle w:val="36"/>
        <w:rPr>
          <w:rFonts w:hint="eastAsia" w:ascii="宋体" w:hAnsi="宋体" w:eastAsia="宋体" w:cs="Times New Roman"/>
          <w:color w:val="auto"/>
          <w:sz w:val="24"/>
          <w:szCs w:val="24"/>
          <w:lang w:eastAsia="zh"/>
          <w:woUserID w:val="1"/>
        </w:rPr>
      </w:pPr>
      <w:r>
        <w:rPr>
          <w:rFonts w:hint="eastAsia" w:ascii="宋体" w:hAnsi="宋体" w:eastAsia="宋体" w:cs="Times New Roman"/>
          <w:color w:val="auto"/>
          <w:sz w:val="24"/>
          <w:lang w:val="en-US" w:eastAsia="zh-CN"/>
          <w:woUserID w:val="1"/>
        </w:rPr>
        <w:t>10.5</w:t>
      </w:r>
      <w:r>
        <w:rPr>
          <w:rFonts w:hint="eastAsia" w:ascii="宋体" w:hAnsi="宋体" w:eastAsia="宋体" w:cs="Times New Roman"/>
          <w:color w:val="auto"/>
          <w:sz w:val="24"/>
          <w:lang w:eastAsia="zh"/>
          <w:woUserID w:val="1"/>
        </w:rPr>
        <w:t>本项目货物如涉及柴油动力移动源，柴油动力移动源应当符合低排放要求。</w:t>
      </w:r>
    </w:p>
    <w:p w14:paraId="7E7514E1">
      <w:pPr>
        <w:spacing w:line="360" w:lineRule="auto"/>
        <w:rPr>
          <w:rFonts w:hint="eastAsia" w:ascii="宋体" w:hAnsi="宋体"/>
          <w:color w:val="auto"/>
          <w:sz w:val="24"/>
          <w:szCs w:val="24"/>
        </w:rPr>
      </w:pPr>
      <w:r>
        <w:rPr>
          <w:rFonts w:ascii="宋体" w:hAnsi="宋体"/>
          <w:color w:val="auto"/>
          <w:sz w:val="24"/>
          <w:szCs w:val="24"/>
        </w:rPr>
        <w:t>第二部分：专用条款</w:t>
      </w:r>
    </w:p>
    <w:p w14:paraId="64B7B1BA">
      <w:pPr>
        <w:keepNext w:val="0"/>
        <w:keepLines w:val="0"/>
        <w:pageBreakBefore w:val="0"/>
        <w:widowControl/>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cs="宋体"/>
          <w:color w:val="auto"/>
          <w:kern w:val="0"/>
          <w:sz w:val="24"/>
          <w:szCs w:val="24"/>
          <w:highlight w:val="none"/>
        </w:rPr>
      </w:pPr>
      <w:r>
        <w:rPr>
          <w:rFonts w:hint="eastAsia" w:ascii="宋体" w:hAnsi="宋体"/>
          <w:color w:val="auto"/>
          <w:sz w:val="24"/>
          <w:szCs w:val="24"/>
        </w:rPr>
        <w:t>11.1在</w:t>
      </w:r>
      <w:r>
        <w:rPr>
          <w:rFonts w:hint="eastAsia" w:ascii="宋体" w:hAnsi="宋体"/>
          <w:color w:val="auto"/>
          <w:sz w:val="24"/>
          <w:szCs w:val="24"/>
          <w:lang w:eastAsia="zh-CN"/>
        </w:rPr>
        <w:t>设备</w:t>
      </w:r>
      <w:r>
        <w:rPr>
          <w:rFonts w:hint="eastAsia" w:ascii="宋体" w:hAnsi="宋体"/>
          <w:color w:val="auto"/>
          <w:sz w:val="24"/>
          <w:szCs w:val="24"/>
        </w:rPr>
        <w:t xml:space="preserve">的进出场、运输、现场校验等各种环节中，乙方应确保其货物质量符合技术标准要求。如经甲方验收，发现质量不符合合同约定，乙方必须承担因此给甲方造成的一切损失，并负责承担将不合格产品自行处理的一切费用。 </w:t>
      </w:r>
      <w:r>
        <w:rPr>
          <w:rFonts w:hint="eastAsia" w:ascii="宋体" w:hAnsi="宋体"/>
          <w:sz w:val="24"/>
          <w:szCs w:val="24"/>
        </w:rPr>
        <w:t xml:space="preserve">  </w:t>
      </w:r>
    </w:p>
    <w:p w14:paraId="1442430C">
      <w:pPr>
        <w:spacing w:line="360" w:lineRule="auto"/>
        <w:rPr>
          <w:rFonts w:ascii="宋体" w:hAnsi="宋体"/>
          <w:sz w:val="24"/>
          <w:szCs w:val="24"/>
        </w:rPr>
      </w:pPr>
      <w:r>
        <w:rPr>
          <w:rFonts w:ascii="宋体" w:hAnsi="宋体"/>
          <w:sz w:val="24"/>
          <w:szCs w:val="24"/>
        </w:rPr>
        <w:t xml:space="preserve">甲方：                           </w:t>
      </w:r>
      <w:r>
        <w:rPr>
          <w:rFonts w:hint="eastAsia" w:ascii="宋体" w:hAnsi="宋体"/>
          <w:sz w:val="24"/>
          <w:szCs w:val="24"/>
        </w:rPr>
        <w:t xml:space="preserve">               </w:t>
      </w:r>
      <w:r>
        <w:rPr>
          <w:rFonts w:ascii="宋体" w:hAnsi="宋体"/>
          <w:sz w:val="24"/>
          <w:szCs w:val="24"/>
        </w:rPr>
        <w:t>乙方：</w:t>
      </w:r>
    </w:p>
    <w:p w14:paraId="6840BC2A">
      <w:pPr>
        <w:spacing w:line="360" w:lineRule="auto"/>
        <w:ind w:left="4680" w:hanging="4680" w:hangingChars="1950"/>
        <w:rPr>
          <w:rFonts w:ascii="宋体" w:hAnsi="宋体"/>
          <w:sz w:val="24"/>
          <w:szCs w:val="24"/>
        </w:rPr>
      </w:pPr>
      <w:r>
        <w:rPr>
          <w:rFonts w:ascii="宋体" w:hAnsi="宋体"/>
          <w:sz w:val="24"/>
          <w:szCs w:val="24"/>
        </w:rPr>
        <w:t xml:space="preserve">地址：                          </w:t>
      </w:r>
      <w:r>
        <w:rPr>
          <w:rFonts w:hint="eastAsia" w:ascii="宋体" w:hAnsi="宋体"/>
          <w:sz w:val="24"/>
          <w:szCs w:val="24"/>
        </w:rPr>
        <w:t xml:space="preserve">               </w:t>
      </w:r>
      <w:r>
        <w:rPr>
          <w:rFonts w:ascii="宋体" w:hAnsi="宋体"/>
          <w:sz w:val="24"/>
          <w:szCs w:val="24"/>
        </w:rPr>
        <w:t xml:space="preserve"> 地址：</w:t>
      </w:r>
    </w:p>
    <w:p w14:paraId="29FFA8E4">
      <w:pPr>
        <w:spacing w:line="360" w:lineRule="auto"/>
        <w:rPr>
          <w:rFonts w:ascii="宋体" w:hAnsi="宋体"/>
          <w:sz w:val="24"/>
          <w:szCs w:val="24"/>
        </w:rPr>
      </w:pPr>
      <w:r>
        <w:rPr>
          <w:rFonts w:ascii="宋体" w:hAnsi="宋体"/>
          <w:sz w:val="24"/>
          <w:szCs w:val="24"/>
        </w:rPr>
        <w:t xml:space="preserve">电话：                          </w:t>
      </w:r>
      <w:r>
        <w:rPr>
          <w:rFonts w:hint="eastAsia" w:ascii="宋体" w:hAnsi="宋体"/>
          <w:sz w:val="24"/>
          <w:szCs w:val="24"/>
        </w:rPr>
        <w:t xml:space="preserve">                </w:t>
      </w:r>
      <w:r>
        <w:rPr>
          <w:rFonts w:ascii="宋体" w:hAnsi="宋体"/>
          <w:sz w:val="24"/>
          <w:szCs w:val="24"/>
        </w:rPr>
        <w:t>电话：</w:t>
      </w:r>
    </w:p>
    <w:p w14:paraId="7B7B7605">
      <w:pPr>
        <w:spacing w:line="360" w:lineRule="auto"/>
        <w:rPr>
          <w:rFonts w:ascii="宋体" w:hAnsi="宋体"/>
          <w:sz w:val="24"/>
          <w:szCs w:val="24"/>
        </w:rPr>
      </w:pPr>
      <w:r>
        <w:rPr>
          <w:rFonts w:ascii="宋体" w:hAnsi="宋体"/>
          <w:sz w:val="24"/>
          <w:szCs w:val="24"/>
        </w:rPr>
        <w:t xml:space="preserve">法定代表人（或授权人）：          </w:t>
      </w:r>
      <w:r>
        <w:rPr>
          <w:rFonts w:hint="eastAsia" w:ascii="宋体" w:hAnsi="宋体"/>
          <w:sz w:val="24"/>
          <w:szCs w:val="24"/>
        </w:rPr>
        <w:t xml:space="preserve">                </w:t>
      </w:r>
      <w:r>
        <w:rPr>
          <w:rFonts w:ascii="宋体" w:hAnsi="宋体"/>
          <w:sz w:val="24"/>
          <w:szCs w:val="24"/>
        </w:rPr>
        <w:t>法定代表人（或授权人）：</w:t>
      </w:r>
    </w:p>
    <w:p w14:paraId="4469734B">
      <w:pPr>
        <w:spacing w:line="360" w:lineRule="auto"/>
        <w:ind w:firstLine="720" w:firstLineChars="300"/>
        <w:rPr>
          <w:rFonts w:ascii="宋体" w:hAnsi="宋体"/>
          <w:sz w:val="24"/>
          <w:szCs w:val="24"/>
        </w:rPr>
      </w:pPr>
      <w:r>
        <w:rPr>
          <w:rFonts w:ascii="宋体" w:hAnsi="宋体"/>
          <w:sz w:val="24"/>
          <w:szCs w:val="24"/>
        </w:rPr>
        <w:t xml:space="preserve">（签字）                       </w:t>
      </w:r>
      <w:r>
        <w:rPr>
          <w:rFonts w:hint="eastAsia" w:ascii="宋体" w:hAnsi="宋体"/>
          <w:sz w:val="24"/>
          <w:szCs w:val="24"/>
        </w:rPr>
        <w:t xml:space="preserve">                 </w:t>
      </w:r>
      <w:r>
        <w:rPr>
          <w:rFonts w:ascii="宋体" w:hAnsi="宋体"/>
          <w:sz w:val="24"/>
          <w:szCs w:val="24"/>
        </w:rPr>
        <w:t>（签字）</w:t>
      </w:r>
    </w:p>
    <w:p w14:paraId="300F7609">
      <w:pPr>
        <w:spacing w:line="360" w:lineRule="auto"/>
        <w:ind w:left="5160" w:hanging="5160" w:hangingChars="2150"/>
        <w:rPr>
          <w:rFonts w:ascii="宋体" w:hAnsi="宋体"/>
          <w:sz w:val="24"/>
          <w:szCs w:val="24"/>
        </w:rPr>
      </w:pPr>
      <w:r>
        <w:rPr>
          <w:rFonts w:ascii="宋体" w:hAnsi="宋体"/>
          <w:sz w:val="24"/>
          <w:szCs w:val="24"/>
        </w:rPr>
        <w:t xml:space="preserve">开户银行：                       </w:t>
      </w:r>
      <w:r>
        <w:rPr>
          <w:rFonts w:hint="eastAsia" w:ascii="宋体" w:hAnsi="宋体"/>
          <w:sz w:val="24"/>
          <w:szCs w:val="24"/>
        </w:rPr>
        <w:t xml:space="preserve">               </w:t>
      </w:r>
      <w:r>
        <w:rPr>
          <w:rFonts w:ascii="宋体" w:hAnsi="宋体"/>
          <w:sz w:val="24"/>
          <w:szCs w:val="24"/>
        </w:rPr>
        <w:t>开户银行：</w:t>
      </w:r>
    </w:p>
    <w:p w14:paraId="3C90CFF8">
      <w:pPr>
        <w:spacing w:line="360" w:lineRule="auto"/>
        <w:rPr>
          <w:rFonts w:ascii="宋体" w:hAnsi="宋体"/>
          <w:sz w:val="24"/>
          <w:szCs w:val="24"/>
        </w:rPr>
      </w:pPr>
      <w:r>
        <w:rPr>
          <w:rFonts w:ascii="宋体" w:hAnsi="宋体"/>
          <w:sz w:val="24"/>
          <w:szCs w:val="24"/>
        </w:rPr>
        <w:t xml:space="preserve">账    号：                      </w:t>
      </w:r>
      <w:r>
        <w:rPr>
          <w:rFonts w:hint="eastAsia" w:ascii="宋体" w:hAnsi="宋体"/>
          <w:sz w:val="24"/>
          <w:szCs w:val="24"/>
        </w:rPr>
        <w:t xml:space="preserve">               </w:t>
      </w:r>
      <w:r>
        <w:rPr>
          <w:rFonts w:ascii="宋体" w:hAnsi="宋体"/>
          <w:sz w:val="24"/>
          <w:szCs w:val="24"/>
        </w:rPr>
        <w:t xml:space="preserve"> 账    号：</w:t>
      </w:r>
    </w:p>
    <w:p w14:paraId="79440130">
      <w:pPr>
        <w:spacing w:line="360" w:lineRule="auto"/>
        <w:rPr>
          <w:rFonts w:ascii="宋体" w:hAnsi="宋体"/>
          <w:sz w:val="24"/>
          <w:szCs w:val="24"/>
        </w:rPr>
      </w:pPr>
      <w:r>
        <w:rPr>
          <w:rFonts w:ascii="宋体" w:hAnsi="宋体"/>
          <w:sz w:val="24"/>
          <w:szCs w:val="24"/>
        </w:rPr>
        <w:t xml:space="preserve">纳税人识别号：                   </w:t>
      </w:r>
      <w:r>
        <w:rPr>
          <w:rFonts w:hint="eastAsia" w:ascii="宋体" w:hAnsi="宋体"/>
          <w:sz w:val="24"/>
          <w:szCs w:val="24"/>
        </w:rPr>
        <w:t xml:space="preserve">               </w:t>
      </w:r>
      <w:r>
        <w:rPr>
          <w:rFonts w:ascii="宋体" w:hAnsi="宋体"/>
          <w:sz w:val="24"/>
          <w:szCs w:val="24"/>
        </w:rPr>
        <w:t>纳税人识别号：</w:t>
      </w:r>
    </w:p>
    <w:p w14:paraId="3A2BE813">
      <w:pPr>
        <w:rPr>
          <w:rFonts w:hint="eastAsia"/>
          <w:lang w:eastAsia="zh-CN"/>
        </w:rPr>
      </w:pPr>
    </w:p>
    <w:p w14:paraId="2CF40FF3">
      <w:pPr>
        <w:spacing w:line="420" w:lineRule="exact"/>
        <w:jc w:val="center"/>
        <w:rPr>
          <w:rFonts w:ascii="宋体" w:hAnsi="宋体" w:cs="宋体"/>
          <w:b/>
          <w:color w:val="auto"/>
          <w:sz w:val="36"/>
          <w:szCs w:val="36"/>
          <w:highlight w:val="none"/>
        </w:rPr>
      </w:pPr>
      <w:r>
        <w:rPr>
          <w:rFonts w:hint="eastAsia" w:ascii="宋体" w:hAnsi="宋体" w:cs="宋体"/>
          <w:b/>
          <w:color w:val="auto"/>
          <w:sz w:val="36"/>
          <w:szCs w:val="36"/>
          <w:highlight w:val="none"/>
        </w:rPr>
        <w:br w:type="page"/>
      </w:r>
      <w:bookmarkStart w:id="466" w:name="_Toc3463"/>
      <w:r>
        <w:rPr>
          <w:rStyle w:val="55"/>
          <w:rFonts w:hint="eastAsia"/>
          <w:color w:val="auto"/>
          <w:sz w:val="32"/>
          <w:szCs w:val="21"/>
          <w:highlight w:val="none"/>
        </w:rPr>
        <w:t>第六部分</w:t>
      </w:r>
      <w:bookmarkEnd w:id="433"/>
      <w:bookmarkEnd w:id="434"/>
      <w:r>
        <w:rPr>
          <w:rStyle w:val="55"/>
          <w:rFonts w:hint="eastAsia"/>
          <w:color w:val="auto"/>
          <w:sz w:val="32"/>
          <w:szCs w:val="21"/>
          <w:highlight w:val="none"/>
          <w:lang w:val="en-US" w:eastAsia="zh-CN"/>
        </w:rPr>
        <w:t xml:space="preserve"> </w:t>
      </w:r>
      <w:r>
        <w:rPr>
          <w:rStyle w:val="55"/>
          <w:rFonts w:hint="eastAsia"/>
          <w:color w:val="auto"/>
          <w:sz w:val="32"/>
          <w:szCs w:val="21"/>
          <w:highlight w:val="none"/>
        </w:rPr>
        <w:t>应提交的有关格式范例</w:t>
      </w:r>
      <w:bookmarkEnd w:id="466"/>
    </w:p>
    <w:p w14:paraId="62BFE879">
      <w:pPr>
        <w:spacing w:line="360" w:lineRule="auto"/>
        <w:ind w:firstLine="480" w:firstLineChars="200"/>
        <w:outlineLvl w:val="0"/>
        <w:rPr>
          <w:rFonts w:ascii="宋体" w:hAnsi="宋体" w:cs="宋体"/>
          <w:color w:val="auto"/>
          <w:sz w:val="24"/>
          <w:highlight w:val="none"/>
        </w:rPr>
      </w:pPr>
    </w:p>
    <w:p w14:paraId="399E13E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投标人按照以下格式编制投标文件，并将资格文件、商务技术文件、报价文件分别上传，并与招标文件的评分要点准确设置关联点。</w:t>
      </w:r>
    </w:p>
    <w:p w14:paraId="6EE6B789">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此格式内容仅为参考模板，具体内容投标人应根据招标文件要求进行调整。未按以下格式编制投标文件或因格式不规范、页码不清等原因引发的一切后果由投标人自行承担。</w:t>
      </w:r>
    </w:p>
    <w:p w14:paraId="09862CC1">
      <w:pPr>
        <w:spacing w:line="360" w:lineRule="auto"/>
        <w:jc w:val="center"/>
        <w:rPr>
          <w:rFonts w:ascii="宋体" w:hAnsi="宋体" w:cs="宋体"/>
          <w:b/>
          <w:color w:val="auto"/>
          <w:kern w:val="0"/>
          <w:sz w:val="36"/>
          <w:szCs w:val="36"/>
          <w:highlight w:val="none"/>
        </w:rPr>
      </w:pPr>
      <w:r>
        <w:rPr>
          <w:rFonts w:hint="eastAsia" w:ascii="宋体" w:hAnsi="宋体" w:cs="宋体"/>
          <w:b/>
          <w:color w:val="auto"/>
          <w:sz w:val="24"/>
          <w:highlight w:val="none"/>
        </w:rPr>
        <w:br w:type="page"/>
      </w:r>
      <w:r>
        <w:rPr>
          <w:rFonts w:hint="eastAsia" w:ascii="宋体" w:hAnsi="宋体" w:cs="宋体"/>
          <w:b/>
          <w:color w:val="auto"/>
          <w:kern w:val="0"/>
          <w:sz w:val="36"/>
          <w:szCs w:val="36"/>
          <w:highlight w:val="none"/>
        </w:rPr>
        <w:t>资格文件部分</w:t>
      </w:r>
    </w:p>
    <w:p w14:paraId="7E23F8BE">
      <w:pPr>
        <w:spacing w:line="360" w:lineRule="auto"/>
        <w:jc w:val="center"/>
        <w:rPr>
          <w:rFonts w:ascii="宋体" w:hAnsi="宋体" w:cs="宋体"/>
          <w:b/>
          <w:color w:val="auto"/>
          <w:kern w:val="0"/>
          <w:sz w:val="36"/>
          <w:szCs w:val="36"/>
          <w:highlight w:val="none"/>
        </w:rPr>
      </w:pPr>
    </w:p>
    <w:p w14:paraId="324BFB60">
      <w:pPr>
        <w:spacing w:line="360" w:lineRule="auto"/>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9217E1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（1）法定代表人授权书（格式见附件）；</w:t>
      </w:r>
    </w:p>
    <w:p w14:paraId="1011735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营业执照(或事业法人登记证或其他工商等登记证明材料)复印件、税务登记证(或其它缴纳证明材料)复印件、社保登记证（或其它缴纳证明材料）复印件；实施“五证合一、一照一码”登记制度改革的，只需提供改革后取得的营业执照复印件；事业单位的，则提供有效的《事业单位法人证书》副本复印件并加盖单位公章；</w:t>
      </w:r>
    </w:p>
    <w:p w14:paraId="55D87A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采购活动，由单位负责人签署相关文件材料；</w:t>
      </w:r>
    </w:p>
    <w:p w14:paraId="5EF3418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（3）具有履行合同所必需的产品和专业技术能力的承诺函；</w:t>
      </w:r>
    </w:p>
    <w:p w14:paraId="03D6471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（4）投标人承诺函（格式见附件）</w:t>
      </w:r>
      <w:r>
        <w:rPr>
          <w:rFonts w:hint="eastAsia" w:ascii="宋体" w:hAnsi="宋体" w:eastAsia="宋体" w:cs="宋体"/>
          <w:color w:val="auto"/>
          <w:sz w:val="24"/>
          <w:szCs w:val="24"/>
          <w:highlight w:val="none"/>
        </w:rPr>
        <w:t>；</w:t>
      </w:r>
    </w:p>
    <w:p w14:paraId="3A13FF67">
      <w:pPr>
        <w:pStyle w:val="11"/>
        <w:ind w:firstLine="486"/>
        <w:rPr>
          <w:rFonts w:ascii="宋体" w:hAnsi="宋体" w:cs="宋体"/>
          <w:color w:val="auto"/>
          <w:highlight w:val="none"/>
        </w:rPr>
      </w:pPr>
    </w:p>
    <w:p w14:paraId="030E3D41">
      <w:pPr>
        <w:pStyle w:val="11"/>
        <w:ind w:firstLine="486"/>
        <w:rPr>
          <w:rFonts w:ascii="宋体" w:hAnsi="宋体" w:cs="宋体"/>
          <w:color w:val="auto"/>
          <w:highlight w:val="none"/>
        </w:rPr>
      </w:pPr>
    </w:p>
    <w:p w14:paraId="6A0E9C4F">
      <w:pPr>
        <w:pStyle w:val="11"/>
        <w:ind w:firstLine="486"/>
        <w:rPr>
          <w:rFonts w:ascii="宋体" w:hAnsi="宋体" w:cs="宋体"/>
          <w:color w:val="auto"/>
          <w:highlight w:val="none"/>
        </w:rPr>
      </w:pPr>
    </w:p>
    <w:p w14:paraId="13D6A1B9">
      <w:pPr>
        <w:pStyle w:val="11"/>
        <w:ind w:firstLine="486"/>
        <w:rPr>
          <w:rFonts w:ascii="宋体" w:hAnsi="宋体" w:cs="宋体"/>
          <w:color w:val="auto"/>
          <w:highlight w:val="none"/>
        </w:rPr>
      </w:pPr>
    </w:p>
    <w:p w14:paraId="3C56F29B">
      <w:pPr>
        <w:pStyle w:val="11"/>
        <w:ind w:firstLine="486"/>
        <w:rPr>
          <w:rFonts w:ascii="宋体" w:hAnsi="宋体" w:cs="宋体"/>
          <w:color w:val="auto"/>
          <w:highlight w:val="none"/>
        </w:rPr>
      </w:pPr>
    </w:p>
    <w:p w14:paraId="50F165D1">
      <w:pPr>
        <w:pStyle w:val="4"/>
        <w:rPr>
          <w:rFonts w:hAnsi="宋体" w:cs="宋体"/>
          <w:b w:val="0"/>
          <w:color w:val="auto"/>
          <w:sz w:val="24"/>
          <w:szCs w:val="24"/>
          <w:highlight w:val="none"/>
        </w:rPr>
      </w:pPr>
      <w:bookmarkStart w:id="467" w:name="_Toc24699"/>
      <w:r>
        <w:rPr>
          <w:rFonts w:hint="eastAsia" w:hAnsi="宋体" w:cs="宋体"/>
          <w:color w:val="auto"/>
          <w:sz w:val="24"/>
          <w:szCs w:val="24"/>
          <w:highlight w:val="none"/>
        </w:rPr>
        <w:br w:type="page"/>
      </w:r>
      <w:r>
        <w:rPr>
          <w:rFonts w:hint="eastAsia" w:hAnsi="宋体" w:cs="宋体"/>
          <w:color w:val="auto"/>
          <w:sz w:val="24"/>
          <w:szCs w:val="24"/>
          <w:highlight w:val="none"/>
        </w:rPr>
        <w:t>附件一：</w:t>
      </w:r>
    </w:p>
    <w:p w14:paraId="66F13F21">
      <w:pPr>
        <w:spacing w:line="360" w:lineRule="auto"/>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法定代表人授权书</w:t>
      </w:r>
      <w:bookmarkEnd w:id="467"/>
    </w:p>
    <w:p w14:paraId="459BF818">
      <w:pPr>
        <w:pStyle w:val="7"/>
        <w:spacing w:line="360" w:lineRule="auto"/>
        <w:rPr>
          <w:rFonts w:ascii="宋体" w:hAnsi="宋体" w:cs="宋体"/>
          <w:color w:val="auto"/>
          <w:highlight w:val="none"/>
        </w:rPr>
      </w:pPr>
    </w:p>
    <w:p w14:paraId="4B0EC86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CN"/>
        </w:rPr>
        <w:t>绍兴市上虞区交通产业发展有限公司</w:t>
      </w:r>
      <w:r>
        <w:rPr>
          <w:rFonts w:hint="eastAsia" w:ascii="宋体" w:hAnsi="宋体" w:cs="宋体"/>
          <w:color w:val="auto"/>
          <w:sz w:val="24"/>
          <w:highlight w:val="none"/>
        </w:rPr>
        <w:t>：</w:t>
      </w:r>
    </w:p>
    <w:p w14:paraId="4C9FA9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浙江宇康工程管理咨询有限公司：</w:t>
      </w:r>
    </w:p>
    <w:p w14:paraId="64CC2F3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rPr>
        <w:t xml:space="preserve">  （投标人全称） </w:t>
      </w:r>
      <w:r>
        <w:rPr>
          <w:rFonts w:hint="eastAsia" w:ascii="宋体" w:hAnsi="宋体" w:cs="宋体"/>
          <w:color w:val="auto"/>
          <w:sz w:val="24"/>
          <w:highlight w:val="none"/>
        </w:rPr>
        <w:t>法定代表人授权</w:t>
      </w:r>
      <w:r>
        <w:rPr>
          <w:rFonts w:hint="eastAsia" w:ascii="宋体" w:hAnsi="宋体" w:cs="宋体"/>
          <w:color w:val="auto"/>
          <w:sz w:val="24"/>
          <w:highlight w:val="none"/>
          <w:u w:val="single"/>
        </w:rPr>
        <w:t>（授权代表名称）</w:t>
      </w:r>
      <w:r>
        <w:rPr>
          <w:rFonts w:hint="eastAsia" w:ascii="宋体" w:hAnsi="宋体" w:cs="宋体"/>
          <w:color w:val="auto"/>
          <w:sz w:val="24"/>
          <w:highlight w:val="none"/>
        </w:rPr>
        <w:t>为授权代表，参加贵处组织的项目</w:t>
      </w:r>
      <w:r>
        <w:rPr>
          <w:rFonts w:hint="eastAsia" w:ascii="宋体" w:hAnsi="宋体" w:cs="宋体"/>
          <w:color w:val="auto"/>
          <w:sz w:val="24"/>
          <w:highlight w:val="none"/>
          <w:u w:val="single"/>
        </w:rPr>
        <w:t>（括号内填写招标编号）</w:t>
      </w:r>
      <w:r>
        <w:rPr>
          <w:rFonts w:hint="eastAsia" w:ascii="宋体" w:hAnsi="宋体" w:cs="宋体"/>
          <w:color w:val="auto"/>
          <w:sz w:val="24"/>
          <w:highlight w:val="none"/>
        </w:rPr>
        <w:t>，授权处理招投标活动中的一切事宜。</w:t>
      </w:r>
    </w:p>
    <w:p w14:paraId="46BEFA35">
      <w:pPr>
        <w:spacing w:line="360" w:lineRule="auto"/>
        <w:ind w:firstLine="480" w:firstLineChars="200"/>
        <w:rPr>
          <w:rFonts w:ascii="宋体" w:hAnsi="宋体" w:cs="宋体"/>
          <w:color w:val="auto"/>
          <w:sz w:val="24"/>
          <w:highlight w:val="none"/>
        </w:rPr>
      </w:pPr>
    </w:p>
    <w:p w14:paraId="6B1D871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法定代表人签字：</w:t>
      </w:r>
    </w:p>
    <w:p w14:paraId="51B0FDF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投标人全称：（盖章）</w:t>
      </w:r>
    </w:p>
    <w:p w14:paraId="51ED48B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日期：</w:t>
      </w:r>
    </w:p>
    <w:p w14:paraId="3043CB3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附：</w:t>
      </w:r>
    </w:p>
    <w:p w14:paraId="3DEE3D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授权代表姓名：</w:t>
      </w:r>
    </w:p>
    <w:p w14:paraId="1564068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职务：</w:t>
      </w:r>
    </w:p>
    <w:p w14:paraId="0D47176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详细通讯地址：</w:t>
      </w:r>
    </w:p>
    <w:p w14:paraId="1F10988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传真：</w:t>
      </w:r>
    </w:p>
    <w:p w14:paraId="1A3073A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电话：</w:t>
      </w:r>
    </w:p>
    <w:p w14:paraId="5026A04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邮政编码：</w:t>
      </w:r>
    </w:p>
    <w:p w14:paraId="06792B92">
      <w:pPr>
        <w:pStyle w:val="15"/>
        <w:snapToGrid w:val="0"/>
        <w:spacing w:line="360" w:lineRule="auto"/>
        <w:rPr>
          <w:rFonts w:hAnsi="宋体" w:cs="宋体"/>
          <w:color w:val="auto"/>
          <w:sz w:val="24"/>
          <w:highlight w:val="none"/>
        </w:rPr>
      </w:pPr>
    </w:p>
    <w:p w14:paraId="602585AF">
      <w:pPr>
        <w:pStyle w:val="15"/>
        <w:snapToGrid w:val="0"/>
        <w:spacing w:line="360" w:lineRule="auto"/>
        <w:rPr>
          <w:rFonts w:hAnsi="宋体" w:cs="宋体"/>
          <w:color w:val="auto"/>
          <w:sz w:val="24"/>
          <w:highlight w:val="none"/>
        </w:rPr>
      </w:pPr>
    </w:p>
    <w:p w14:paraId="307F5D67">
      <w:pPr>
        <w:pStyle w:val="15"/>
        <w:snapToGrid w:val="0"/>
        <w:spacing w:line="360" w:lineRule="auto"/>
        <w:rPr>
          <w:rFonts w:hAnsi="宋体" w:cs="宋体"/>
          <w:color w:val="auto"/>
          <w:sz w:val="24"/>
          <w:highlight w:val="none"/>
        </w:rPr>
      </w:pPr>
    </w:p>
    <w:p w14:paraId="70DBE033">
      <w:pPr>
        <w:spacing w:line="360" w:lineRule="auto"/>
        <w:rPr>
          <w:rFonts w:ascii="宋体" w:hAnsi="宋体" w:cs="宋体"/>
          <w:b/>
          <w:color w:val="auto"/>
          <w:sz w:val="24"/>
          <w:highlight w:val="none"/>
        </w:rPr>
      </w:pPr>
      <w:r>
        <w:rPr>
          <w:rFonts w:hint="eastAsia" w:ascii="宋体" w:hAnsi="宋体" w:cs="宋体"/>
          <w:b/>
          <w:color w:val="auto"/>
          <w:sz w:val="24"/>
          <w:highlight w:val="none"/>
        </w:rPr>
        <w:t>附：授权代表身份证复印件（正反面）</w:t>
      </w:r>
    </w:p>
    <w:p w14:paraId="62A2AFB8">
      <w:pPr>
        <w:spacing w:line="360" w:lineRule="auto"/>
        <w:rPr>
          <w:rFonts w:ascii="宋体" w:hAnsi="宋体" w:cs="宋体"/>
          <w:b/>
          <w:color w:val="auto"/>
          <w:sz w:val="24"/>
          <w:highlight w:val="none"/>
        </w:rPr>
      </w:pPr>
    </w:p>
    <w:p w14:paraId="703A8A99">
      <w:pPr>
        <w:pStyle w:val="11"/>
        <w:ind w:firstLine="486"/>
        <w:rPr>
          <w:rFonts w:ascii="宋体" w:hAnsi="宋体" w:cs="宋体"/>
          <w:color w:val="auto"/>
          <w:highlight w:val="none"/>
        </w:rPr>
      </w:pPr>
    </w:p>
    <w:p w14:paraId="627C74B1">
      <w:pPr>
        <w:snapToGrid w:val="0"/>
        <w:spacing w:before="50" w:afterLines="50"/>
        <w:jc w:val="left"/>
        <w:rPr>
          <w:rFonts w:ascii="宋体" w:hAnsi="宋体" w:cs="宋体"/>
          <w:b/>
          <w:bCs/>
          <w:color w:val="auto"/>
          <w:sz w:val="24"/>
          <w:highlight w:val="none"/>
          <w:lang w:val="zh-CN"/>
        </w:rPr>
      </w:pPr>
      <w:r>
        <w:rPr>
          <w:rFonts w:hint="eastAsia" w:ascii="宋体" w:hAnsi="宋体" w:cs="宋体"/>
          <w:b/>
          <w:bCs/>
          <w:color w:val="auto"/>
          <w:sz w:val="24"/>
          <w:highlight w:val="none"/>
        </w:rPr>
        <w:br w:type="page"/>
      </w:r>
      <w:r>
        <w:rPr>
          <w:rFonts w:hint="eastAsia" w:ascii="宋体" w:hAnsi="宋体" w:cs="宋体"/>
          <w:b/>
          <w:bCs/>
          <w:color w:val="auto"/>
          <w:sz w:val="24"/>
          <w:highlight w:val="none"/>
          <w:lang w:val="zh-CN"/>
        </w:rPr>
        <w:t>附件二：</w:t>
      </w:r>
    </w:p>
    <w:p w14:paraId="6742D46C">
      <w:pPr>
        <w:snapToGrid w:val="0"/>
        <w:spacing w:before="50" w:afterLines="50"/>
        <w:jc w:val="center"/>
        <w:outlineLvl w:val="0"/>
        <w:rPr>
          <w:rFonts w:ascii="宋体" w:hAnsi="宋体" w:cs="宋体"/>
          <w:b/>
          <w:color w:val="auto"/>
          <w:sz w:val="30"/>
          <w:szCs w:val="30"/>
          <w:highlight w:val="none"/>
        </w:rPr>
      </w:pPr>
      <w:bookmarkStart w:id="468" w:name="_Toc16254"/>
      <w:bookmarkStart w:id="469" w:name="_Toc18952"/>
      <w:bookmarkStart w:id="470" w:name="_Toc5553"/>
      <w:bookmarkStart w:id="471" w:name="_Toc17524"/>
      <w:r>
        <w:rPr>
          <w:rFonts w:hint="eastAsia" w:ascii="宋体" w:hAnsi="宋体" w:cs="宋体"/>
          <w:b/>
          <w:color w:val="auto"/>
          <w:sz w:val="30"/>
          <w:szCs w:val="30"/>
          <w:highlight w:val="none"/>
          <w:lang w:val="zh-CN"/>
        </w:rPr>
        <w:t>投 标 人 承 诺 函</w:t>
      </w:r>
      <w:bookmarkEnd w:id="468"/>
      <w:bookmarkEnd w:id="469"/>
      <w:bookmarkEnd w:id="470"/>
      <w:bookmarkEnd w:id="471"/>
    </w:p>
    <w:p w14:paraId="79673FC4">
      <w:pPr>
        <w:spacing w:line="360" w:lineRule="auto"/>
        <w:ind w:firstLine="420" w:firstLineChars="200"/>
        <w:rPr>
          <w:rFonts w:ascii="宋体" w:hAnsi="宋体" w:cs="宋体"/>
          <w:color w:val="auto"/>
          <w:highlight w:val="none"/>
        </w:rPr>
      </w:pPr>
    </w:p>
    <w:p w14:paraId="6709C03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CN"/>
        </w:rPr>
        <w:t>绍兴市上虞区交通产业发展有限公司</w:t>
      </w:r>
      <w:r>
        <w:rPr>
          <w:rFonts w:hint="eastAsia" w:ascii="宋体" w:hAnsi="宋体" w:cs="宋体"/>
          <w:color w:val="auto"/>
          <w:sz w:val="24"/>
          <w:highlight w:val="none"/>
        </w:rPr>
        <w:t>：</w:t>
      </w:r>
    </w:p>
    <w:p w14:paraId="684E3A9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浙江宇康工程管理咨询有限公司：</w:t>
      </w:r>
    </w:p>
    <w:p w14:paraId="4AFAEC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rPr>
        <w:t>（投标人名称）</w:t>
      </w:r>
      <w:r>
        <w:rPr>
          <w:rFonts w:hint="eastAsia" w:ascii="宋体" w:hAnsi="宋体" w:cs="宋体"/>
          <w:color w:val="auto"/>
          <w:sz w:val="24"/>
          <w:highlight w:val="none"/>
        </w:rPr>
        <w:t>系中华人民共和国合法企业，经营地址。</w:t>
      </w:r>
    </w:p>
    <w:p w14:paraId="3355E47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（姓名）</w:t>
      </w:r>
      <w:r>
        <w:rPr>
          <w:rFonts w:hint="eastAsia" w:ascii="宋体" w:hAnsi="宋体" w:cs="宋体"/>
          <w:color w:val="auto"/>
          <w:sz w:val="24"/>
          <w:highlight w:val="none"/>
        </w:rPr>
        <w:t>系</w:t>
      </w:r>
      <w:r>
        <w:rPr>
          <w:rFonts w:hint="eastAsia" w:ascii="宋体" w:hAnsi="宋体" w:cs="宋体"/>
          <w:color w:val="auto"/>
          <w:sz w:val="24"/>
          <w:highlight w:val="none"/>
          <w:u w:val="single"/>
        </w:rPr>
        <w:t>（投标人名称）</w:t>
      </w:r>
      <w:r>
        <w:rPr>
          <w:rFonts w:hint="eastAsia" w:ascii="宋体" w:hAnsi="宋体" w:cs="宋体"/>
          <w:color w:val="auto"/>
          <w:sz w:val="24"/>
          <w:highlight w:val="none"/>
        </w:rPr>
        <w:t>的法定代表人，我方愿意参加贵方组织的</w:t>
      </w:r>
      <w:r>
        <w:rPr>
          <w:rFonts w:hint="eastAsia" w:ascii="宋体" w:hAnsi="宋体" w:cs="宋体"/>
          <w:color w:val="auto"/>
          <w:sz w:val="24"/>
          <w:highlight w:val="none"/>
          <w:u w:val="single"/>
        </w:rPr>
        <w:t>（招标项目名称）（编号为）</w:t>
      </w:r>
      <w:r>
        <w:rPr>
          <w:rFonts w:hint="eastAsia" w:ascii="宋体" w:hAnsi="宋体" w:cs="宋体"/>
          <w:color w:val="auto"/>
          <w:sz w:val="24"/>
          <w:highlight w:val="none"/>
        </w:rPr>
        <w:t>的投标，为此，我方就本次投标有关事项郑重承诺如下：</w:t>
      </w:r>
    </w:p>
    <w:p w14:paraId="71D0FDC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1、我方已详细审查全部招标文件，同意招标文件的各项要求。</w:t>
      </w:r>
    </w:p>
    <w:p w14:paraId="04385CB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2、我方向贵方提交的所有投标文件、资料都是准确的和真实的。</w:t>
      </w:r>
    </w:p>
    <w:p w14:paraId="6EE3330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3、若中标，我方将按招标文件规定履行合同责任和义务。</w:t>
      </w:r>
    </w:p>
    <w:p w14:paraId="12DB6E9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4、我方不是采购人的附属机构；在获知本项目采购信息后，与采购人聘请的为此项目提供咨询服务的公司及其附属机构没有任何联系。</w:t>
      </w:r>
    </w:p>
    <w:p w14:paraId="16C3879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5、投标文件自开标日起有效期为90天。</w:t>
      </w:r>
    </w:p>
    <w:p w14:paraId="03EC61A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6、我方参与本项目前3年内的经营活动中没有重大违法记录；</w:t>
      </w:r>
    </w:p>
    <w:p w14:paraId="053AF56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7、我方通过“信用中国”网站（www.creditchina.gov.cn）、中国政府采购网（www.ccgp.gov.cn）查询，未被列入失信被执行人、重大税收违法案件当事人名单、政府采购严重违法失信行为记录名单。</w:t>
      </w:r>
    </w:p>
    <w:p w14:paraId="583755FA">
      <w:pPr>
        <w:pStyle w:val="43"/>
        <w:spacing w:before="0"/>
        <w:ind w:firstLine="480"/>
        <w:jc w:val="left"/>
        <w:rPr>
          <w:rFonts w:ascii="宋体" w:hAnsi="宋体" w:cs="宋体"/>
          <w:color w:val="auto"/>
          <w:szCs w:val="24"/>
          <w:highlight w:val="none"/>
        </w:rPr>
      </w:pPr>
      <w:r>
        <w:rPr>
          <w:rFonts w:hint="eastAsia" w:ascii="宋体" w:hAnsi="宋体" w:cs="宋体"/>
          <w:color w:val="auto"/>
          <w:highlight w:val="none"/>
        </w:rPr>
        <w:t>8、</w:t>
      </w:r>
      <w:r>
        <w:rPr>
          <w:rFonts w:hint="eastAsia" w:ascii="宋体" w:hAnsi="宋体" w:cs="宋体"/>
          <w:color w:val="auto"/>
          <w:szCs w:val="24"/>
          <w:highlight w:val="none"/>
        </w:rPr>
        <w:t>具有良好的商业信誉和健全的财务会计制度；</w:t>
      </w:r>
    </w:p>
    <w:p w14:paraId="3C086D6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9、具有依法缴纳税收和社会保障资金的良好记录；</w:t>
      </w:r>
    </w:p>
    <w:p w14:paraId="7C03708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10、以上事项如有虚假或隐瞒，我方愿意承担一切后果，并不再寻求任何旨在减轻或免除法律责任的辩解。</w:t>
      </w:r>
    </w:p>
    <w:p w14:paraId="43B1BBE1">
      <w:pPr>
        <w:spacing w:line="360" w:lineRule="auto"/>
        <w:ind w:firstLine="480" w:firstLineChars="200"/>
        <w:rPr>
          <w:rFonts w:ascii="宋体" w:hAnsi="宋体" w:cs="宋体"/>
          <w:color w:val="auto"/>
          <w:sz w:val="24"/>
          <w:highlight w:val="none"/>
        </w:rPr>
      </w:pPr>
    </w:p>
    <w:p w14:paraId="16DDBF48">
      <w:pPr>
        <w:pStyle w:val="11"/>
        <w:rPr>
          <w:rFonts w:ascii="宋体" w:hAnsi="宋体" w:cs="宋体"/>
          <w:color w:val="auto"/>
          <w:highlight w:val="none"/>
        </w:rPr>
      </w:pPr>
    </w:p>
    <w:p w14:paraId="468D1313">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 xml:space="preserve">法定代表人签名（或签名章）：                       </w:t>
      </w:r>
    </w:p>
    <w:p w14:paraId="366BEEF9">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日 期：</w:t>
      </w:r>
    </w:p>
    <w:p w14:paraId="419AB62F">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投标人全称（公章）：</w:t>
      </w:r>
    </w:p>
    <w:p w14:paraId="728F7EAF">
      <w:pPr>
        <w:spacing w:line="360" w:lineRule="auto"/>
        <w:ind w:left="3780" w:leftChars="1800" w:firstLine="480" w:firstLineChars="200"/>
        <w:rPr>
          <w:rFonts w:ascii="宋体" w:hAnsi="宋体" w:cs="宋体"/>
          <w:color w:val="auto"/>
          <w:sz w:val="24"/>
          <w:highlight w:val="none"/>
        </w:rPr>
      </w:pPr>
    </w:p>
    <w:p w14:paraId="344B858A">
      <w:pPr>
        <w:pStyle w:val="11"/>
        <w:ind w:firstLine="566"/>
        <w:rPr>
          <w:rFonts w:ascii="宋体" w:hAnsi="宋体" w:cs="宋体"/>
          <w:color w:val="auto"/>
          <w:sz w:val="28"/>
          <w:szCs w:val="28"/>
          <w:highlight w:val="none"/>
        </w:rPr>
      </w:pPr>
    </w:p>
    <w:p w14:paraId="40EA0492">
      <w:pPr>
        <w:pStyle w:val="7"/>
        <w:rPr>
          <w:rFonts w:ascii="宋体" w:hAnsi="宋体" w:cs="宋体"/>
          <w:color w:val="auto"/>
          <w:highlight w:val="none"/>
        </w:rPr>
      </w:pPr>
    </w:p>
    <w:p w14:paraId="603D2A08">
      <w:pPr>
        <w:spacing w:line="360" w:lineRule="auto"/>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技术文件</w:t>
      </w:r>
    </w:p>
    <w:p w14:paraId="4816008C">
      <w:pPr>
        <w:spacing w:line="360" w:lineRule="auto"/>
        <w:jc w:val="center"/>
        <w:rPr>
          <w:rFonts w:ascii="宋体" w:hAnsi="宋体" w:cs="宋体"/>
          <w:b/>
          <w:color w:val="auto"/>
          <w:kern w:val="0"/>
          <w:sz w:val="36"/>
          <w:szCs w:val="36"/>
          <w:highlight w:val="none"/>
        </w:rPr>
      </w:pPr>
    </w:p>
    <w:p w14:paraId="1B7DE491">
      <w:pPr>
        <w:spacing w:line="360" w:lineRule="auto"/>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2CF594FF">
      <w:pPr>
        <w:pStyle w:val="11"/>
        <w:ind w:firstLine="486"/>
        <w:rPr>
          <w:rFonts w:ascii="宋体" w:hAnsi="宋体" w:cs="宋体"/>
          <w:color w:val="auto"/>
          <w:highlight w:val="none"/>
        </w:rPr>
      </w:pPr>
    </w:p>
    <w:p w14:paraId="6AAEA844">
      <w:pPr>
        <w:pStyle w:val="43"/>
        <w:numPr>
          <w:ilvl w:val="0"/>
          <w:numId w:val="0"/>
        </w:numPr>
        <w:adjustRightInd/>
        <w:spacing w:before="0"/>
        <w:ind w:left="425" w:hanging="425" w:firstLineChars="0"/>
        <w:rPr>
          <w:rFonts w:hint="default" w:ascii="宋体" w:hAnsi="宋体" w:eastAsia="宋体" w:cs="宋体"/>
          <w:color w:val="auto"/>
          <w:szCs w:val="21"/>
        </w:rPr>
      </w:pPr>
      <w:r>
        <w:rPr>
          <w:rFonts w:hint="default" w:ascii="宋体" w:hAnsi="宋体" w:eastAsia="宋体" w:cs="宋体"/>
          <w:color w:val="auto"/>
          <w:kern w:val="2"/>
          <w:sz w:val="24"/>
          <w:szCs w:val="21"/>
          <w:lang w:val="en-US" w:eastAsia="zh-CN" w:bidi="ar-SA"/>
        </w:rPr>
        <w:t>(1)</w:t>
      </w:r>
      <w:r>
        <w:rPr>
          <w:rFonts w:hint="default" w:ascii="宋体" w:hAnsi="宋体" w:eastAsia="宋体" w:cs="宋体"/>
          <w:color w:val="auto"/>
          <w:szCs w:val="21"/>
        </w:rPr>
        <w:t>供应商技术文件中</w:t>
      </w:r>
      <w:r>
        <w:rPr>
          <w:rFonts w:hint="default" w:ascii="宋体" w:hAnsi="宋体" w:eastAsia="宋体" w:cs="宋体"/>
          <w:color w:val="auto"/>
          <w:szCs w:val="21"/>
          <w:lang w:eastAsia="zh-CN"/>
        </w:rPr>
        <w:t>技术</w:t>
      </w:r>
      <w:r>
        <w:rPr>
          <w:rFonts w:hint="default" w:ascii="宋体" w:hAnsi="宋体" w:eastAsia="宋体" w:cs="宋体"/>
          <w:color w:val="auto"/>
          <w:szCs w:val="21"/>
        </w:rPr>
        <w:t>分自评表（格式见附件）；</w:t>
      </w:r>
    </w:p>
    <w:p w14:paraId="15B0F221">
      <w:pPr>
        <w:pStyle w:val="43"/>
        <w:numPr>
          <w:ilvl w:val="0"/>
          <w:numId w:val="0"/>
        </w:numPr>
        <w:adjustRightInd/>
        <w:spacing w:before="0"/>
        <w:ind w:left="425" w:hanging="425" w:firstLineChars="0"/>
        <w:rPr>
          <w:rFonts w:hint="default" w:ascii="宋体" w:hAnsi="宋体" w:eastAsia="宋体" w:cs="宋体"/>
          <w:color w:val="auto"/>
          <w:szCs w:val="21"/>
        </w:rPr>
      </w:pPr>
      <w:r>
        <w:rPr>
          <w:rFonts w:hint="default" w:ascii="宋体" w:hAnsi="宋体" w:eastAsia="宋体" w:cs="宋体"/>
          <w:color w:val="auto"/>
          <w:kern w:val="2"/>
          <w:sz w:val="24"/>
          <w:szCs w:val="21"/>
          <w:lang w:val="en-US" w:eastAsia="zh-CN" w:bidi="ar-SA"/>
        </w:rPr>
        <w:t>(2)</w:t>
      </w:r>
      <w:r>
        <w:rPr>
          <w:rFonts w:hint="default" w:ascii="宋体" w:hAnsi="宋体" w:eastAsia="宋体" w:cs="宋体"/>
          <w:color w:val="auto"/>
          <w:szCs w:val="21"/>
        </w:rPr>
        <w:t>投标项目明细清单（格式见附件）；</w:t>
      </w:r>
    </w:p>
    <w:p w14:paraId="610051CA">
      <w:pPr>
        <w:pStyle w:val="43"/>
        <w:numPr>
          <w:ilvl w:val="0"/>
          <w:numId w:val="0"/>
        </w:numPr>
        <w:adjustRightInd/>
        <w:spacing w:before="0"/>
        <w:ind w:left="425" w:hanging="425" w:firstLineChars="0"/>
        <w:rPr>
          <w:rFonts w:hint="default" w:ascii="宋体" w:hAnsi="宋体" w:eastAsia="宋体" w:cs="宋体"/>
          <w:color w:val="auto"/>
          <w:szCs w:val="21"/>
        </w:rPr>
      </w:pPr>
      <w:r>
        <w:rPr>
          <w:rFonts w:hint="default" w:ascii="宋体" w:hAnsi="宋体" w:eastAsia="宋体" w:cs="宋体"/>
          <w:color w:val="auto"/>
          <w:kern w:val="2"/>
          <w:sz w:val="24"/>
          <w:szCs w:val="21"/>
          <w:lang w:val="en-US" w:eastAsia="zh-CN" w:bidi="ar-SA"/>
        </w:rPr>
        <w:t>(3)</w:t>
      </w:r>
      <w:r>
        <w:rPr>
          <w:rFonts w:hint="default" w:ascii="宋体" w:hAnsi="宋体" w:eastAsia="宋体" w:cs="宋体"/>
          <w:color w:val="auto"/>
          <w:szCs w:val="21"/>
        </w:rPr>
        <w:t>技术响应及建议表（格式见附件）；</w:t>
      </w:r>
    </w:p>
    <w:p w14:paraId="382C4883">
      <w:pPr>
        <w:pStyle w:val="43"/>
        <w:numPr>
          <w:ilvl w:val="0"/>
          <w:numId w:val="0"/>
        </w:numPr>
        <w:adjustRightInd/>
        <w:spacing w:before="0"/>
        <w:ind w:left="425" w:hanging="425" w:firstLineChars="0"/>
        <w:rPr>
          <w:rFonts w:hint="default" w:ascii="宋体" w:hAnsi="宋体" w:eastAsia="宋体" w:cs="宋体"/>
          <w:color w:val="auto"/>
          <w:szCs w:val="21"/>
          <w:lang w:val="en-US" w:eastAsia="zh-CN"/>
        </w:rPr>
      </w:pPr>
      <w:r>
        <w:rPr>
          <w:rFonts w:hint="default" w:ascii="宋体" w:hAnsi="宋体" w:eastAsia="宋体" w:cs="宋体"/>
          <w:color w:val="auto"/>
          <w:kern w:val="2"/>
          <w:sz w:val="24"/>
          <w:szCs w:val="21"/>
          <w:lang w:val="en-US" w:eastAsia="zh-CN" w:bidi="ar-SA"/>
        </w:rPr>
        <w:t>(4)</w:t>
      </w:r>
      <w:r>
        <w:rPr>
          <w:rFonts w:hint="default" w:ascii="宋体" w:hAnsi="宋体" w:eastAsia="宋体" w:cs="宋体"/>
          <w:color w:val="auto"/>
          <w:szCs w:val="21"/>
          <w:lang w:val="en-US" w:eastAsia="zh-CN"/>
        </w:rPr>
        <w:t>维修改造方案；</w:t>
      </w:r>
    </w:p>
    <w:p w14:paraId="124709D2">
      <w:pPr>
        <w:pStyle w:val="43"/>
        <w:numPr>
          <w:ilvl w:val="0"/>
          <w:numId w:val="0"/>
        </w:numPr>
        <w:adjustRightInd/>
        <w:spacing w:before="0"/>
        <w:ind w:left="425" w:hanging="425" w:firstLineChars="0"/>
        <w:rPr>
          <w:rFonts w:hint="default" w:ascii="宋体" w:hAnsi="宋体" w:eastAsia="宋体" w:cs="宋体"/>
          <w:color w:val="auto"/>
          <w:szCs w:val="21"/>
          <w:lang w:val="en-US" w:eastAsia="zh-CN"/>
        </w:rPr>
      </w:pPr>
      <w:r>
        <w:rPr>
          <w:rFonts w:hint="default" w:ascii="宋体" w:hAnsi="宋体" w:eastAsia="宋体" w:cs="宋体"/>
          <w:color w:val="auto"/>
          <w:kern w:val="2"/>
          <w:sz w:val="24"/>
          <w:szCs w:val="21"/>
          <w:lang w:val="en-US" w:eastAsia="zh-CN" w:bidi="ar-SA"/>
        </w:rPr>
        <w:t>(5)</w:t>
      </w:r>
      <w:r>
        <w:rPr>
          <w:rFonts w:hint="default" w:ascii="宋体" w:hAnsi="宋体" w:eastAsia="宋体" w:cs="宋体"/>
          <w:color w:val="auto"/>
          <w:szCs w:val="21"/>
          <w:lang w:val="en-US" w:eastAsia="zh-CN"/>
        </w:rPr>
        <w:t>进度方案；</w:t>
      </w:r>
    </w:p>
    <w:p w14:paraId="20560818">
      <w:pPr>
        <w:pStyle w:val="43"/>
        <w:numPr>
          <w:ilvl w:val="0"/>
          <w:numId w:val="0"/>
        </w:numPr>
        <w:adjustRightInd/>
        <w:spacing w:before="0"/>
        <w:ind w:left="425" w:hanging="425" w:firstLineChars="0"/>
        <w:rPr>
          <w:rFonts w:hint="default" w:ascii="宋体" w:hAnsi="宋体" w:eastAsia="宋体" w:cs="宋体"/>
          <w:color w:val="auto"/>
          <w:szCs w:val="21"/>
          <w:lang w:val="en-US" w:eastAsia="zh-CN"/>
        </w:rPr>
      </w:pPr>
      <w:r>
        <w:rPr>
          <w:rFonts w:hint="default" w:ascii="宋体" w:hAnsi="宋体" w:eastAsia="宋体" w:cs="宋体"/>
          <w:color w:val="auto"/>
          <w:kern w:val="2"/>
          <w:sz w:val="24"/>
          <w:szCs w:val="21"/>
          <w:lang w:val="en-US" w:eastAsia="zh-CN" w:bidi="ar-SA"/>
        </w:rPr>
        <w:t>(6)</w:t>
      </w:r>
      <w:r>
        <w:rPr>
          <w:rFonts w:hint="default" w:ascii="宋体" w:hAnsi="宋体" w:eastAsia="宋体" w:cs="宋体"/>
          <w:color w:val="auto"/>
          <w:sz w:val="24"/>
        </w:rPr>
        <w:t>安全防护和文明施工管理措施</w:t>
      </w:r>
      <w:r>
        <w:rPr>
          <w:rFonts w:hint="default" w:ascii="宋体" w:hAnsi="宋体" w:eastAsia="宋体" w:cs="宋体"/>
          <w:color w:val="auto"/>
          <w:szCs w:val="21"/>
          <w:lang w:val="en-US" w:eastAsia="zh-CN"/>
        </w:rPr>
        <w:t>；</w:t>
      </w:r>
    </w:p>
    <w:p w14:paraId="52279AC7">
      <w:pPr>
        <w:pStyle w:val="43"/>
        <w:numPr>
          <w:ilvl w:val="0"/>
          <w:numId w:val="0"/>
        </w:numPr>
        <w:adjustRightInd/>
        <w:spacing w:before="0"/>
        <w:ind w:left="425" w:hanging="425" w:firstLineChars="0"/>
        <w:rPr>
          <w:rFonts w:hint="default" w:ascii="宋体" w:hAnsi="宋体" w:eastAsia="宋体" w:cs="宋体"/>
          <w:color w:val="auto"/>
          <w:szCs w:val="21"/>
          <w:lang w:val="en-US" w:eastAsia="zh-CN"/>
        </w:rPr>
      </w:pPr>
      <w:r>
        <w:rPr>
          <w:rFonts w:hint="default" w:ascii="宋体" w:hAnsi="宋体" w:eastAsia="宋体" w:cs="宋体"/>
          <w:color w:val="auto"/>
          <w:kern w:val="2"/>
          <w:sz w:val="24"/>
          <w:szCs w:val="21"/>
          <w:lang w:val="en-US" w:eastAsia="zh-CN" w:bidi="ar-SA"/>
        </w:rPr>
        <w:t>(7)</w:t>
      </w:r>
      <w:r>
        <w:rPr>
          <w:rFonts w:hint="default" w:ascii="宋体" w:hAnsi="宋体" w:eastAsia="宋体" w:cs="宋体"/>
          <w:color w:val="auto"/>
          <w:sz w:val="24"/>
          <w:lang w:val="en-US" w:eastAsia="zh-CN"/>
        </w:rPr>
        <w:t>主机需求匹配性</w:t>
      </w:r>
      <w:r>
        <w:rPr>
          <w:rFonts w:hint="default" w:ascii="宋体" w:hAnsi="宋体" w:eastAsia="宋体" w:cs="宋体"/>
          <w:color w:val="auto"/>
          <w:szCs w:val="21"/>
          <w:lang w:val="en-US" w:eastAsia="zh-CN"/>
        </w:rPr>
        <w:t>；</w:t>
      </w:r>
    </w:p>
    <w:p w14:paraId="5F983719">
      <w:pPr>
        <w:pStyle w:val="43"/>
        <w:numPr>
          <w:ilvl w:val="0"/>
          <w:numId w:val="0"/>
        </w:numPr>
        <w:adjustRightInd/>
        <w:spacing w:before="0"/>
        <w:ind w:left="425" w:hanging="425" w:firstLineChars="0"/>
        <w:rPr>
          <w:rFonts w:hint="default" w:ascii="宋体" w:hAnsi="宋体" w:eastAsia="宋体" w:cs="宋体"/>
          <w:color w:val="auto"/>
          <w:szCs w:val="21"/>
          <w:lang w:val="en-US" w:eastAsia="zh-CN"/>
        </w:rPr>
      </w:pPr>
      <w:r>
        <w:rPr>
          <w:rFonts w:hint="default" w:ascii="宋体" w:hAnsi="宋体" w:eastAsia="宋体" w:cs="宋体"/>
          <w:color w:val="auto"/>
          <w:kern w:val="2"/>
          <w:sz w:val="24"/>
          <w:szCs w:val="21"/>
          <w:lang w:val="en-US" w:eastAsia="zh-CN" w:bidi="ar-SA"/>
        </w:rPr>
        <w:t>(8)</w:t>
      </w:r>
      <w:r>
        <w:rPr>
          <w:rFonts w:hint="default" w:ascii="宋体" w:hAnsi="宋体" w:eastAsia="宋体" w:cs="宋体"/>
          <w:color w:val="auto"/>
          <w:sz w:val="24"/>
          <w:szCs w:val="21"/>
          <w:lang w:val="en-US" w:eastAsia="zh-CN"/>
        </w:rPr>
        <w:t>服务响应能力</w:t>
      </w:r>
      <w:r>
        <w:rPr>
          <w:rFonts w:hint="default" w:ascii="宋体" w:hAnsi="宋体" w:eastAsia="宋体" w:cs="宋体"/>
          <w:color w:val="auto"/>
          <w:szCs w:val="21"/>
          <w:lang w:val="en-US" w:eastAsia="zh-CN"/>
        </w:rPr>
        <w:t>；</w:t>
      </w:r>
    </w:p>
    <w:p w14:paraId="5E9E1F40">
      <w:pPr>
        <w:pStyle w:val="43"/>
        <w:numPr>
          <w:ilvl w:val="0"/>
          <w:numId w:val="0"/>
        </w:numPr>
        <w:adjustRightInd/>
        <w:spacing w:before="0"/>
        <w:ind w:left="425" w:hanging="425" w:firstLineChars="0"/>
        <w:rPr>
          <w:rFonts w:hint="default" w:ascii="宋体" w:hAnsi="宋体" w:eastAsia="宋体" w:cs="宋体"/>
          <w:color w:val="auto"/>
          <w:szCs w:val="21"/>
        </w:rPr>
      </w:pPr>
      <w:r>
        <w:rPr>
          <w:rFonts w:hint="default" w:ascii="宋体" w:hAnsi="宋体" w:eastAsia="宋体" w:cs="宋体"/>
          <w:color w:val="auto"/>
          <w:kern w:val="2"/>
          <w:sz w:val="24"/>
          <w:szCs w:val="21"/>
          <w:lang w:val="en-US" w:eastAsia="zh-CN" w:bidi="ar-SA"/>
        </w:rPr>
        <w:t>(9)</w:t>
      </w:r>
      <w:r>
        <w:rPr>
          <w:rFonts w:hint="default" w:ascii="宋体" w:hAnsi="宋体" w:eastAsia="宋体" w:cs="宋体"/>
          <w:color w:val="auto"/>
          <w:szCs w:val="21"/>
        </w:rPr>
        <w:t xml:space="preserve">供应商认为需要的其他文件资料。 </w:t>
      </w:r>
    </w:p>
    <w:p w14:paraId="7FE5BE8A">
      <w:pPr>
        <w:pStyle w:val="43"/>
        <w:numPr>
          <w:ilvl w:val="0"/>
          <w:numId w:val="0"/>
        </w:numPr>
        <w:adjustRightInd/>
        <w:spacing w:before="0"/>
        <w:ind w:left="425" w:hanging="425" w:firstLineChars="0"/>
        <w:rPr>
          <w:rFonts w:hint="default" w:ascii="宋体" w:hAnsi="宋体" w:eastAsia="宋体" w:cs="宋体"/>
          <w:color w:val="auto"/>
          <w:szCs w:val="21"/>
        </w:rPr>
      </w:pPr>
      <w:r>
        <w:rPr>
          <w:rFonts w:hint="default" w:ascii="宋体" w:hAnsi="宋体" w:eastAsia="宋体" w:cs="宋体"/>
          <w:color w:val="auto"/>
          <w:kern w:val="2"/>
          <w:sz w:val="24"/>
          <w:szCs w:val="21"/>
          <w:lang w:val="en-US" w:eastAsia="zh-CN" w:bidi="ar-SA"/>
        </w:rPr>
        <w:t>(10)</w:t>
      </w:r>
      <w:r>
        <w:rPr>
          <w:rFonts w:hint="default" w:ascii="宋体" w:hAnsi="宋体" w:eastAsia="宋体" w:cs="宋体"/>
          <w:color w:val="auto"/>
          <w:szCs w:val="21"/>
        </w:rPr>
        <w:t>注：以上内容应与评标办法中内容具有一致性。</w:t>
      </w:r>
    </w:p>
    <w:p w14:paraId="55BC5584">
      <w:pPr>
        <w:pStyle w:val="11"/>
        <w:ind w:firstLine="566"/>
        <w:rPr>
          <w:rFonts w:ascii="宋体" w:hAnsi="宋体" w:cs="宋体"/>
          <w:color w:val="auto"/>
          <w:sz w:val="28"/>
          <w:szCs w:val="28"/>
          <w:highlight w:val="none"/>
        </w:rPr>
      </w:pPr>
    </w:p>
    <w:p w14:paraId="1A1542AE">
      <w:pPr>
        <w:pStyle w:val="11"/>
        <w:ind w:left="0" w:leftChars="0"/>
        <w:jc w:val="left"/>
        <w:rPr>
          <w:rFonts w:ascii="宋体" w:hAnsi="宋体" w:cs="宋体"/>
          <w:b/>
          <w:bCs/>
          <w:color w:val="auto"/>
          <w:sz w:val="24"/>
          <w:highlight w:val="none"/>
          <w:lang w:val="zh-CN"/>
        </w:rPr>
      </w:pPr>
      <w:bookmarkStart w:id="472" w:name="_Toc10131"/>
      <w:r>
        <w:rPr>
          <w:rFonts w:hint="eastAsia" w:ascii="宋体" w:hAnsi="宋体" w:cs="宋体"/>
          <w:b/>
          <w:bCs/>
          <w:color w:val="auto"/>
          <w:sz w:val="24"/>
          <w:highlight w:val="none"/>
          <w:lang w:val="zh-CN"/>
        </w:rPr>
        <w:br w:type="page"/>
      </w:r>
      <w:r>
        <w:rPr>
          <w:rFonts w:hint="eastAsia" w:ascii="宋体" w:hAnsi="宋体" w:cs="宋体"/>
          <w:b/>
          <w:bCs/>
          <w:color w:val="auto"/>
          <w:sz w:val="24"/>
          <w:highlight w:val="none"/>
          <w:lang w:val="zh-CN"/>
        </w:rPr>
        <w:t>附件三：</w:t>
      </w:r>
    </w:p>
    <w:p w14:paraId="5924F932">
      <w:pPr>
        <w:spacing w:line="360" w:lineRule="auto"/>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投标人技术文件中自评表</w:t>
      </w:r>
      <w:bookmarkEnd w:id="472"/>
    </w:p>
    <w:p w14:paraId="0547BC96">
      <w:pPr>
        <w:snapToGrid w:val="0"/>
        <w:spacing w:before="50"/>
        <w:jc w:val="center"/>
        <w:rPr>
          <w:rFonts w:ascii="宋体" w:hAnsi="宋体" w:cs="宋体"/>
          <w:b/>
          <w:color w:val="auto"/>
          <w:sz w:val="32"/>
          <w:szCs w:val="32"/>
          <w:highlight w:val="none"/>
        </w:rPr>
      </w:pPr>
    </w:p>
    <w:p w14:paraId="02A109B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项目名称：</w:t>
      </w:r>
    </w:p>
    <w:p w14:paraId="42A5BB8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采购编号：</w:t>
      </w:r>
    </w:p>
    <w:tbl>
      <w:tblPr>
        <w:tblStyle w:val="3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14:paraId="4953EF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ign w:val="center"/>
          </w:tcPr>
          <w:p w14:paraId="42E5DE1B">
            <w:pPr>
              <w:jc w:val="center"/>
              <w:rPr>
                <w:rFonts w:ascii="宋体" w:hAnsi="宋体" w:cs="宋体"/>
                <w:color w:val="auto"/>
                <w:sz w:val="24"/>
                <w:highlight w:val="none"/>
              </w:rPr>
            </w:pPr>
            <w:r>
              <w:rPr>
                <w:rFonts w:hint="eastAsia" w:ascii="宋体" w:hAnsi="宋体" w:cs="宋体"/>
                <w:color w:val="auto"/>
                <w:sz w:val="24"/>
                <w:highlight w:val="none"/>
              </w:rPr>
              <w:t>序号</w:t>
            </w:r>
          </w:p>
        </w:tc>
        <w:tc>
          <w:tcPr>
            <w:tcW w:w="2387" w:type="dxa"/>
            <w:noWrap/>
            <w:vAlign w:val="center"/>
          </w:tcPr>
          <w:p w14:paraId="12EFEB6F">
            <w:pPr>
              <w:jc w:val="center"/>
              <w:rPr>
                <w:rFonts w:ascii="宋体" w:hAnsi="宋体" w:cs="宋体"/>
                <w:color w:val="auto"/>
                <w:sz w:val="24"/>
                <w:highlight w:val="none"/>
              </w:rPr>
            </w:pPr>
            <w:r>
              <w:rPr>
                <w:rFonts w:hint="eastAsia" w:ascii="宋体" w:hAnsi="宋体" w:cs="宋体"/>
                <w:color w:val="auto"/>
                <w:sz w:val="24"/>
                <w:highlight w:val="none"/>
              </w:rPr>
              <w:t>资信分内容</w:t>
            </w:r>
          </w:p>
        </w:tc>
        <w:tc>
          <w:tcPr>
            <w:tcW w:w="1462" w:type="dxa"/>
            <w:noWrap/>
            <w:vAlign w:val="center"/>
          </w:tcPr>
          <w:p w14:paraId="3B2EB3D8">
            <w:pPr>
              <w:jc w:val="center"/>
              <w:rPr>
                <w:rFonts w:ascii="宋体" w:hAnsi="宋体" w:cs="宋体"/>
                <w:color w:val="auto"/>
                <w:sz w:val="24"/>
                <w:highlight w:val="none"/>
              </w:rPr>
            </w:pPr>
            <w:r>
              <w:rPr>
                <w:rFonts w:hint="eastAsia" w:ascii="宋体" w:hAnsi="宋体" w:cs="宋体"/>
                <w:color w:val="auto"/>
                <w:sz w:val="24"/>
                <w:highlight w:val="none"/>
              </w:rPr>
              <w:t>自评得分</w:t>
            </w:r>
          </w:p>
        </w:tc>
        <w:tc>
          <w:tcPr>
            <w:tcW w:w="2415" w:type="dxa"/>
            <w:tcBorders>
              <w:right w:val="single" w:color="auto" w:sz="4" w:space="0"/>
            </w:tcBorders>
            <w:noWrap/>
            <w:vAlign w:val="center"/>
          </w:tcPr>
          <w:p w14:paraId="7BEB6490">
            <w:pPr>
              <w:jc w:val="center"/>
              <w:rPr>
                <w:rFonts w:ascii="宋体" w:hAnsi="宋体" w:cs="宋体"/>
                <w:color w:val="auto"/>
                <w:sz w:val="24"/>
                <w:highlight w:val="none"/>
              </w:rPr>
            </w:pPr>
            <w:r>
              <w:rPr>
                <w:rFonts w:hint="eastAsia" w:ascii="宋体" w:hAnsi="宋体" w:cs="宋体"/>
                <w:color w:val="auto"/>
                <w:sz w:val="24"/>
                <w:highlight w:val="none"/>
              </w:rPr>
              <w:t>投标文件对应资料</w:t>
            </w:r>
          </w:p>
        </w:tc>
        <w:tc>
          <w:tcPr>
            <w:tcW w:w="1746" w:type="dxa"/>
            <w:tcBorders>
              <w:left w:val="single" w:color="auto" w:sz="4" w:space="0"/>
            </w:tcBorders>
            <w:noWrap/>
            <w:vAlign w:val="center"/>
          </w:tcPr>
          <w:p w14:paraId="5706DC2D">
            <w:pPr>
              <w:jc w:val="center"/>
              <w:rPr>
                <w:rFonts w:ascii="宋体" w:hAnsi="宋体" w:cs="宋体"/>
                <w:color w:val="auto"/>
                <w:sz w:val="24"/>
                <w:highlight w:val="none"/>
              </w:rPr>
            </w:pPr>
            <w:r>
              <w:rPr>
                <w:rFonts w:hint="eastAsia" w:ascii="宋体" w:hAnsi="宋体" w:cs="宋体"/>
                <w:color w:val="auto"/>
                <w:sz w:val="24"/>
                <w:highlight w:val="none"/>
              </w:rPr>
              <w:t>投标文件页码</w:t>
            </w:r>
          </w:p>
        </w:tc>
      </w:tr>
      <w:tr w14:paraId="4F9C10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ign w:val="center"/>
          </w:tcPr>
          <w:p w14:paraId="3C4A278E">
            <w:pPr>
              <w:jc w:val="center"/>
              <w:rPr>
                <w:rFonts w:ascii="宋体" w:hAnsi="宋体" w:cs="宋体"/>
                <w:color w:val="auto"/>
                <w:sz w:val="24"/>
                <w:highlight w:val="none"/>
              </w:rPr>
            </w:pPr>
            <w:r>
              <w:rPr>
                <w:rFonts w:hint="eastAsia" w:ascii="宋体" w:hAnsi="宋体" w:cs="宋体"/>
                <w:color w:val="auto"/>
                <w:sz w:val="24"/>
                <w:highlight w:val="none"/>
              </w:rPr>
              <w:t>1</w:t>
            </w:r>
          </w:p>
        </w:tc>
        <w:tc>
          <w:tcPr>
            <w:tcW w:w="2387" w:type="dxa"/>
            <w:noWrap/>
          </w:tcPr>
          <w:p w14:paraId="24428D2A">
            <w:pPr>
              <w:jc w:val="center"/>
              <w:rPr>
                <w:rFonts w:ascii="宋体" w:hAnsi="宋体" w:cs="宋体"/>
                <w:color w:val="auto"/>
                <w:sz w:val="24"/>
                <w:highlight w:val="none"/>
              </w:rPr>
            </w:pPr>
          </w:p>
        </w:tc>
        <w:tc>
          <w:tcPr>
            <w:tcW w:w="1462" w:type="dxa"/>
            <w:noWrap/>
          </w:tcPr>
          <w:p w14:paraId="7F0CC4D6">
            <w:pPr>
              <w:jc w:val="center"/>
              <w:rPr>
                <w:rFonts w:ascii="宋体" w:hAnsi="宋体" w:cs="宋体"/>
                <w:color w:val="auto"/>
                <w:sz w:val="24"/>
                <w:highlight w:val="none"/>
              </w:rPr>
            </w:pPr>
          </w:p>
        </w:tc>
        <w:tc>
          <w:tcPr>
            <w:tcW w:w="2415" w:type="dxa"/>
            <w:tcBorders>
              <w:right w:val="single" w:color="auto" w:sz="4" w:space="0"/>
            </w:tcBorders>
            <w:noWrap/>
          </w:tcPr>
          <w:p w14:paraId="168737B8">
            <w:pPr>
              <w:jc w:val="center"/>
              <w:rPr>
                <w:rFonts w:ascii="宋体" w:hAnsi="宋体" w:cs="宋体"/>
                <w:color w:val="auto"/>
                <w:sz w:val="24"/>
                <w:highlight w:val="none"/>
              </w:rPr>
            </w:pPr>
          </w:p>
        </w:tc>
        <w:tc>
          <w:tcPr>
            <w:tcW w:w="1746" w:type="dxa"/>
            <w:tcBorders>
              <w:left w:val="single" w:color="auto" w:sz="4" w:space="0"/>
            </w:tcBorders>
            <w:noWrap/>
          </w:tcPr>
          <w:p w14:paraId="110E4B80">
            <w:pPr>
              <w:jc w:val="center"/>
              <w:rPr>
                <w:rFonts w:ascii="宋体" w:hAnsi="宋体" w:cs="宋体"/>
                <w:color w:val="auto"/>
                <w:sz w:val="24"/>
                <w:highlight w:val="none"/>
              </w:rPr>
            </w:pPr>
          </w:p>
        </w:tc>
      </w:tr>
      <w:tr w14:paraId="45179C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ign w:val="center"/>
          </w:tcPr>
          <w:p w14:paraId="63F70408">
            <w:pPr>
              <w:jc w:val="center"/>
              <w:rPr>
                <w:rFonts w:ascii="宋体" w:hAnsi="宋体" w:cs="宋体"/>
                <w:color w:val="auto"/>
                <w:sz w:val="24"/>
                <w:highlight w:val="none"/>
              </w:rPr>
            </w:pPr>
            <w:r>
              <w:rPr>
                <w:rFonts w:hint="eastAsia" w:ascii="宋体" w:hAnsi="宋体" w:cs="宋体"/>
                <w:color w:val="auto"/>
                <w:sz w:val="24"/>
                <w:highlight w:val="none"/>
              </w:rPr>
              <w:t>2</w:t>
            </w:r>
          </w:p>
        </w:tc>
        <w:tc>
          <w:tcPr>
            <w:tcW w:w="2387" w:type="dxa"/>
            <w:noWrap/>
          </w:tcPr>
          <w:p w14:paraId="09DA0F23">
            <w:pPr>
              <w:jc w:val="center"/>
              <w:rPr>
                <w:rFonts w:ascii="宋体" w:hAnsi="宋体" w:cs="宋体"/>
                <w:color w:val="auto"/>
                <w:sz w:val="24"/>
                <w:highlight w:val="none"/>
              </w:rPr>
            </w:pPr>
          </w:p>
        </w:tc>
        <w:tc>
          <w:tcPr>
            <w:tcW w:w="1462" w:type="dxa"/>
            <w:noWrap/>
          </w:tcPr>
          <w:p w14:paraId="79FB359E">
            <w:pPr>
              <w:jc w:val="center"/>
              <w:rPr>
                <w:rFonts w:ascii="宋体" w:hAnsi="宋体" w:cs="宋体"/>
                <w:color w:val="auto"/>
                <w:sz w:val="24"/>
                <w:highlight w:val="none"/>
              </w:rPr>
            </w:pPr>
          </w:p>
        </w:tc>
        <w:tc>
          <w:tcPr>
            <w:tcW w:w="2415" w:type="dxa"/>
            <w:tcBorders>
              <w:right w:val="single" w:color="auto" w:sz="4" w:space="0"/>
            </w:tcBorders>
            <w:noWrap/>
          </w:tcPr>
          <w:p w14:paraId="4DFE2285">
            <w:pPr>
              <w:jc w:val="center"/>
              <w:rPr>
                <w:rFonts w:ascii="宋体" w:hAnsi="宋体" w:cs="宋体"/>
                <w:color w:val="auto"/>
                <w:sz w:val="24"/>
                <w:highlight w:val="none"/>
              </w:rPr>
            </w:pPr>
          </w:p>
        </w:tc>
        <w:tc>
          <w:tcPr>
            <w:tcW w:w="1746" w:type="dxa"/>
            <w:tcBorders>
              <w:left w:val="single" w:color="auto" w:sz="4" w:space="0"/>
            </w:tcBorders>
            <w:noWrap/>
          </w:tcPr>
          <w:p w14:paraId="6B40AE3E">
            <w:pPr>
              <w:jc w:val="center"/>
              <w:rPr>
                <w:rFonts w:ascii="宋体" w:hAnsi="宋体" w:cs="宋体"/>
                <w:color w:val="auto"/>
                <w:sz w:val="24"/>
                <w:highlight w:val="none"/>
              </w:rPr>
            </w:pPr>
          </w:p>
        </w:tc>
      </w:tr>
      <w:tr w14:paraId="4B7D27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ign w:val="center"/>
          </w:tcPr>
          <w:p w14:paraId="0FFFAE50">
            <w:pPr>
              <w:jc w:val="center"/>
              <w:rPr>
                <w:rFonts w:ascii="宋体" w:hAnsi="宋体" w:cs="宋体"/>
                <w:color w:val="auto"/>
                <w:sz w:val="24"/>
                <w:highlight w:val="none"/>
              </w:rPr>
            </w:pPr>
            <w:r>
              <w:rPr>
                <w:rFonts w:hint="eastAsia" w:ascii="宋体" w:hAnsi="宋体" w:cs="宋体"/>
                <w:color w:val="auto"/>
                <w:sz w:val="24"/>
                <w:highlight w:val="none"/>
              </w:rPr>
              <w:t>3</w:t>
            </w:r>
          </w:p>
        </w:tc>
        <w:tc>
          <w:tcPr>
            <w:tcW w:w="2387" w:type="dxa"/>
            <w:noWrap/>
          </w:tcPr>
          <w:p w14:paraId="75504C72">
            <w:pPr>
              <w:jc w:val="center"/>
              <w:rPr>
                <w:rFonts w:ascii="宋体" w:hAnsi="宋体" w:cs="宋体"/>
                <w:color w:val="auto"/>
                <w:sz w:val="24"/>
                <w:highlight w:val="none"/>
              </w:rPr>
            </w:pPr>
          </w:p>
        </w:tc>
        <w:tc>
          <w:tcPr>
            <w:tcW w:w="1462" w:type="dxa"/>
            <w:noWrap/>
          </w:tcPr>
          <w:p w14:paraId="611F96CA">
            <w:pPr>
              <w:jc w:val="center"/>
              <w:rPr>
                <w:rFonts w:ascii="宋体" w:hAnsi="宋体" w:cs="宋体"/>
                <w:color w:val="auto"/>
                <w:sz w:val="24"/>
                <w:highlight w:val="none"/>
              </w:rPr>
            </w:pPr>
          </w:p>
        </w:tc>
        <w:tc>
          <w:tcPr>
            <w:tcW w:w="2415" w:type="dxa"/>
            <w:tcBorders>
              <w:right w:val="single" w:color="auto" w:sz="4" w:space="0"/>
            </w:tcBorders>
            <w:noWrap/>
          </w:tcPr>
          <w:p w14:paraId="604E6564">
            <w:pPr>
              <w:jc w:val="center"/>
              <w:rPr>
                <w:rFonts w:ascii="宋体" w:hAnsi="宋体" w:cs="宋体"/>
                <w:color w:val="auto"/>
                <w:sz w:val="24"/>
                <w:highlight w:val="none"/>
              </w:rPr>
            </w:pPr>
          </w:p>
        </w:tc>
        <w:tc>
          <w:tcPr>
            <w:tcW w:w="1746" w:type="dxa"/>
            <w:tcBorders>
              <w:left w:val="single" w:color="auto" w:sz="4" w:space="0"/>
            </w:tcBorders>
            <w:noWrap/>
          </w:tcPr>
          <w:p w14:paraId="39BFB3A8">
            <w:pPr>
              <w:jc w:val="center"/>
              <w:rPr>
                <w:rFonts w:ascii="宋体" w:hAnsi="宋体" w:cs="宋体"/>
                <w:color w:val="auto"/>
                <w:sz w:val="24"/>
                <w:highlight w:val="none"/>
              </w:rPr>
            </w:pPr>
          </w:p>
        </w:tc>
      </w:tr>
      <w:tr w14:paraId="151F8C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ign w:val="center"/>
          </w:tcPr>
          <w:p w14:paraId="77A815E0">
            <w:pPr>
              <w:jc w:val="center"/>
              <w:rPr>
                <w:rFonts w:ascii="宋体" w:hAnsi="宋体" w:cs="宋体"/>
                <w:color w:val="auto"/>
                <w:sz w:val="24"/>
                <w:highlight w:val="none"/>
              </w:rPr>
            </w:pPr>
            <w:r>
              <w:rPr>
                <w:rFonts w:hint="eastAsia" w:ascii="宋体" w:hAnsi="宋体" w:cs="宋体"/>
                <w:color w:val="auto"/>
                <w:sz w:val="24"/>
                <w:highlight w:val="none"/>
              </w:rPr>
              <w:t>4</w:t>
            </w:r>
          </w:p>
        </w:tc>
        <w:tc>
          <w:tcPr>
            <w:tcW w:w="2387" w:type="dxa"/>
            <w:noWrap/>
          </w:tcPr>
          <w:p w14:paraId="377D1748">
            <w:pPr>
              <w:jc w:val="center"/>
              <w:rPr>
                <w:rFonts w:ascii="宋体" w:hAnsi="宋体" w:cs="宋体"/>
                <w:color w:val="auto"/>
                <w:sz w:val="24"/>
                <w:highlight w:val="none"/>
              </w:rPr>
            </w:pPr>
          </w:p>
        </w:tc>
        <w:tc>
          <w:tcPr>
            <w:tcW w:w="1462" w:type="dxa"/>
            <w:noWrap/>
          </w:tcPr>
          <w:p w14:paraId="3DE09BB1">
            <w:pPr>
              <w:jc w:val="center"/>
              <w:rPr>
                <w:rFonts w:ascii="宋体" w:hAnsi="宋体" w:cs="宋体"/>
                <w:color w:val="auto"/>
                <w:sz w:val="24"/>
                <w:highlight w:val="none"/>
              </w:rPr>
            </w:pPr>
          </w:p>
        </w:tc>
        <w:tc>
          <w:tcPr>
            <w:tcW w:w="2415" w:type="dxa"/>
            <w:tcBorders>
              <w:right w:val="single" w:color="auto" w:sz="4" w:space="0"/>
            </w:tcBorders>
            <w:noWrap/>
          </w:tcPr>
          <w:p w14:paraId="4A1FFC22">
            <w:pPr>
              <w:jc w:val="center"/>
              <w:rPr>
                <w:rFonts w:ascii="宋体" w:hAnsi="宋体" w:cs="宋体"/>
                <w:color w:val="auto"/>
                <w:sz w:val="24"/>
                <w:highlight w:val="none"/>
              </w:rPr>
            </w:pPr>
          </w:p>
        </w:tc>
        <w:tc>
          <w:tcPr>
            <w:tcW w:w="1746" w:type="dxa"/>
            <w:tcBorders>
              <w:left w:val="single" w:color="auto" w:sz="4" w:space="0"/>
            </w:tcBorders>
            <w:noWrap/>
          </w:tcPr>
          <w:p w14:paraId="0F9A4A01">
            <w:pPr>
              <w:jc w:val="center"/>
              <w:rPr>
                <w:rFonts w:ascii="宋体" w:hAnsi="宋体" w:cs="宋体"/>
                <w:color w:val="auto"/>
                <w:sz w:val="24"/>
                <w:highlight w:val="none"/>
              </w:rPr>
            </w:pPr>
          </w:p>
        </w:tc>
      </w:tr>
      <w:tr w14:paraId="109093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ign w:val="center"/>
          </w:tcPr>
          <w:p w14:paraId="5547241E">
            <w:pPr>
              <w:jc w:val="center"/>
              <w:rPr>
                <w:rFonts w:ascii="宋体" w:hAnsi="宋体" w:cs="宋体"/>
                <w:color w:val="auto"/>
                <w:sz w:val="24"/>
                <w:highlight w:val="none"/>
              </w:rPr>
            </w:pPr>
            <w:r>
              <w:rPr>
                <w:rFonts w:hint="eastAsia" w:ascii="宋体" w:hAnsi="宋体" w:cs="宋体"/>
                <w:color w:val="auto"/>
                <w:sz w:val="24"/>
                <w:highlight w:val="none"/>
              </w:rPr>
              <w:t>5</w:t>
            </w:r>
          </w:p>
        </w:tc>
        <w:tc>
          <w:tcPr>
            <w:tcW w:w="2387" w:type="dxa"/>
            <w:noWrap/>
          </w:tcPr>
          <w:p w14:paraId="1E251C1D">
            <w:pPr>
              <w:jc w:val="center"/>
              <w:rPr>
                <w:rFonts w:ascii="宋体" w:hAnsi="宋体" w:cs="宋体"/>
                <w:color w:val="auto"/>
                <w:sz w:val="24"/>
                <w:highlight w:val="none"/>
              </w:rPr>
            </w:pPr>
          </w:p>
        </w:tc>
        <w:tc>
          <w:tcPr>
            <w:tcW w:w="1462" w:type="dxa"/>
            <w:noWrap/>
          </w:tcPr>
          <w:p w14:paraId="6307904E">
            <w:pPr>
              <w:jc w:val="center"/>
              <w:rPr>
                <w:rFonts w:ascii="宋体" w:hAnsi="宋体" w:cs="宋体"/>
                <w:color w:val="auto"/>
                <w:sz w:val="24"/>
                <w:highlight w:val="none"/>
              </w:rPr>
            </w:pPr>
          </w:p>
        </w:tc>
        <w:tc>
          <w:tcPr>
            <w:tcW w:w="2415" w:type="dxa"/>
            <w:tcBorders>
              <w:right w:val="single" w:color="auto" w:sz="4" w:space="0"/>
            </w:tcBorders>
            <w:noWrap/>
          </w:tcPr>
          <w:p w14:paraId="7707A0E9">
            <w:pPr>
              <w:jc w:val="center"/>
              <w:rPr>
                <w:rFonts w:ascii="宋体" w:hAnsi="宋体" w:cs="宋体"/>
                <w:color w:val="auto"/>
                <w:sz w:val="24"/>
                <w:highlight w:val="none"/>
              </w:rPr>
            </w:pPr>
          </w:p>
        </w:tc>
        <w:tc>
          <w:tcPr>
            <w:tcW w:w="1746" w:type="dxa"/>
            <w:tcBorders>
              <w:left w:val="single" w:color="auto" w:sz="4" w:space="0"/>
            </w:tcBorders>
            <w:noWrap/>
          </w:tcPr>
          <w:p w14:paraId="61898A2B">
            <w:pPr>
              <w:jc w:val="center"/>
              <w:rPr>
                <w:rFonts w:ascii="宋体" w:hAnsi="宋体" w:cs="宋体"/>
                <w:color w:val="auto"/>
                <w:sz w:val="24"/>
                <w:highlight w:val="none"/>
              </w:rPr>
            </w:pPr>
          </w:p>
        </w:tc>
      </w:tr>
      <w:tr w14:paraId="45CC46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ign w:val="center"/>
          </w:tcPr>
          <w:p w14:paraId="5B9A24C6">
            <w:pPr>
              <w:jc w:val="center"/>
              <w:rPr>
                <w:rFonts w:ascii="宋体" w:hAnsi="宋体" w:cs="宋体"/>
                <w:color w:val="auto"/>
                <w:sz w:val="24"/>
                <w:highlight w:val="none"/>
              </w:rPr>
            </w:pPr>
            <w:r>
              <w:rPr>
                <w:rFonts w:hint="eastAsia" w:ascii="宋体" w:hAnsi="宋体" w:cs="宋体"/>
                <w:color w:val="auto"/>
                <w:sz w:val="24"/>
                <w:highlight w:val="none"/>
              </w:rPr>
              <w:t>6</w:t>
            </w:r>
          </w:p>
        </w:tc>
        <w:tc>
          <w:tcPr>
            <w:tcW w:w="2387" w:type="dxa"/>
            <w:noWrap/>
          </w:tcPr>
          <w:p w14:paraId="6BAAEBFB">
            <w:pPr>
              <w:jc w:val="center"/>
              <w:rPr>
                <w:rFonts w:ascii="宋体" w:hAnsi="宋体" w:cs="宋体"/>
                <w:color w:val="auto"/>
                <w:sz w:val="24"/>
                <w:highlight w:val="none"/>
              </w:rPr>
            </w:pPr>
          </w:p>
        </w:tc>
        <w:tc>
          <w:tcPr>
            <w:tcW w:w="1462" w:type="dxa"/>
            <w:noWrap/>
          </w:tcPr>
          <w:p w14:paraId="0917BD87">
            <w:pPr>
              <w:jc w:val="center"/>
              <w:rPr>
                <w:rFonts w:ascii="宋体" w:hAnsi="宋体" w:cs="宋体"/>
                <w:color w:val="auto"/>
                <w:sz w:val="24"/>
                <w:highlight w:val="none"/>
              </w:rPr>
            </w:pPr>
          </w:p>
        </w:tc>
        <w:tc>
          <w:tcPr>
            <w:tcW w:w="2415" w:type="dxa"/>
            <w:tcBorders>
              <w:right w:val="single" w:color="auto" w:sz="4" w:space="0"/>
            </w:tcBorders>
            <w:noWrap/>
          </w:tcPr>
          <w:p w14:paraId="029E616E">
            <w:pPr>
              <w:jc w:val="center"/>
              <w:rPr>
                <w:rFonts w:ascii="宋体" w:hAnsi="宋体" w:cs="宋体"/>
                <w:color w:val="auto"/>
                <w:sz w:val="24"/>
                <w:highlight w:val="none"/>
              </w:rPr>
            </w:pPr>
          </w:p>
        </w:tc>
        <w:tc>
          <w:tcPr>
            <w:tcW w:w="1746" w:type="dxa"/>
            <w:tcBorders>
              <w:left w:val="single" w:color="auto" w:sz="4" w:space="0"/>
            </w:tcBorders>
            <w:noWrap/>
          </w:tcPr>
          <w:p w14:paraId="22E14050">
            <w:pPr>
              <w:jc w:val="center"/>
              <w:rPr>
                <w:rFonts w:ascii="宋体" w:hAnsi="宋体" w:cs="宋体"/>
                <w:color w:val="auto"/>
                <w:sz w:val="24"/>
                <w:highlight w:val="none"/>
              </w:rPr>
            </w:pPr>
          </w:p>
        </w:tc>
      </w:tr>
      <w:tr w14:paraId="30EE8B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ign w:val="center"/>
          </w:tcPr>
          <w:p w14:paraId="0618390D">
            <w:pPr>
              <w:jc w:val="center"/>
              <w:rPr>
                <w:rFonts w:ascii="宋体" w:hAnsi="宋体" w:cs="宋体"/>
                <w:color w:val="auto"/>
                <w:sz w:val="24"/>
                <w:highlight w:val="none"/>
              </w:rPr>
            </w:pPr>
            <w:r>
              <w:rPr>
                <w:rFonts w:hint="eastAsia" w:ascii="宋体" w:hAnsi="宋体" w:cs="宋体"/>
                <w:color w:val="auto"/>
                <w:sz w:val="24"/>
                <w:highlight w:val="none"/>
              </w:rPr>
              <w:t>7</w:t>
            </w:r>
          </w:p>
        </w:tc>
        <w:tc>
          <w:tcPr>
            <w:tcW w:w="2387" w:type="dxa"/>
            <w:noWrap/>
          </w:tcPr>
          <w:p w14:paraId="45B38E4E">
            <w:pPr>
              <w:jc w:val="center"/>
              <w:rPr>
                <w:rFonts w:ascii="宋体" w:hAnsi="宋体" w:cs="宋体"/>
                <w:color w:val="auto"/>
                <w:sz w:val="24"/>
                <w:highlight w:val="none"/>
              </w:rPr>
            </w:pPr>
          </w:p>
        </w:tc>
        <w:tc>
          <w:tcPr>
            <w:tcW w:w="1462" w:type="dxa"/>
            <w:noWrap/>
          </w:tcPr>
          <w:p w14:paraId="5B2F5081">
            <w:pPr>
              <w:jc w:val="center"/>
              <w:rPr>
                <w:rFonts w:ascii="宋体" w:hAnsi="宋体" w:cs="宋体"/>
                <w:color w:val="auto"/>
                <w:sz w:val="24"/>
                <w:highlight w:val="none"/>
              </w:rPr>
            </w:pPr>
          </w:p>
        </w:tc>
        <w:tc>
          <w:tcPr>
            <w:tcW w:w="2415" w:type="dxa"/>
            <w:tcBorders>
              <w:right w:val="single" w:color="auto" w:sz="4" w:space="0"/>
            </w:tcBorders>
            <w:noWrap/>
          </w:tcPr>
          <w:p w14:paraId="7BD09DDC">
            <w:pPr>
              <w:jc w:val="center"/>
              <w:rPr>
                <w:rFonts w:ascii="宋体" w:hAnsi="宋体" w:cs="宋体"/>
                <w:color w:val="auto"/>
                <w:sz w:val="24"/>
                <w:highlight w:val="none"/>
              </w:rPr>
            </w:pPr>
          </w:p>
        </w:tc>
        <w:tc>
          <w:tcPr>
            <w:tcW w:w="1746" w:type="dxa"/>
            <w:tcBorders>
              <w:left w:val="single" w:color="auto" w:sz="4" w:space="0"/>
            </w:tcBorders>
            <w:noWrap/>
          </w:tcPr>
          <w:p w14:paraId="501DB26B">
            <w:pPr>
              <w:jc w:val="center"/>
              <w:rPr>
                <w:rFonts w:ascii="宋体" w:hAnsi="宋体" w:cs="宋体"/>
                <w:color w:val="auto"/>
                <w:sz w:val="24"/>
                <w:highlight w:val="none"/>
              </w:rPr>
            </w:pPr>
          </w:p>
        </w:tc>
      </w:tr>
      <w:tr w14:paraId="4AD0ED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ign w:val="center"/>
          </w:tcPr>
          <w:p w14:paraId="452EB5EE">
            <w:pPr>
              <w:jc w:val="center"/>
              <w:rPr>
                <w:rFonts w:ascii="宋体" w:hAnsi="宋体" w:cs="宋体"/>
                <w:color w:val="auto"/>
                <w:sz w:val="24"/>
                <w:highlight w:val="none"/>
              </w:rPr>
            </w:pPr>
            <w:r>
              <w:rPr>
                <w:rFonts w:hint="eastAsia" w:ascii="宋体" w:hAnsi="宋体" w:cs="宋体"/>
                <w:color w:val="auto"/>
                <w:sz w:val="24"/>
                <w:highlight w:val="none"/>
              </w:rPr>
              <w:t>8</w:t>
            </w:r>
          </w:p>
        </w:tc>
        <w:tc>
          <w:tcPr>
            <w:tcW w:w="2387" w:type="dxa"/>
            <w:noWrap/>
          </w:tcPr>
          <w:p w14:paraId="7E220787">
            <w:pPr>
              <w:jc w:val="center"/>
              <w:rPr>
                <w:rFonts w:ascii="宋体" w:hAnsi="宋体" w:cs="宋体"/>
                <w:color w:val="auto"/>
                <w:sz w:val="24"/>
                <w:highlight w:val="none"/>
              </w:rPr>
            </w:pPr>
          </w:p>
        </w:tc>
        <w:tc>
          <w:tcPr>
            <w:tcW w:w="1462" w:type="dxa"/>
            <w:noWrap/>
          </w:tcPr>
          <w:p w14:paraId="30B73434">
            <w:pPr>
              <w:jc w:val="center"/>
              <w:rPr>
                <w:rFonts w:ascii="宋体" w:hAnsi="宋体" w:cs="宋体"/>
                <w:color w:val="auto"/>
                <w:sz w:val="24"/>
                <w:highlight w:val="none"/>
              </w:rPr>
            </w:pPr>
          </w:p>
        </w:tc>
        <w:tc>
          <w:tcPr>
            <w:tcW w:w="2415" w:type="dxa"/>
            <w:tcBorders>
              <w:right w:val="single" w:color="auto" w:sz="4" w:space="0"/>
            </w:tcBorders>
            <w:noWrap/>
          </w:tcPr>
          <w:p w14:paraId="52C93EE3">
            <w:pPr>
              <w:jc w:val="center"/>
              <w:rPr>
                <w:rFonts w:ascii="宋体" w:hAnsi="宋体" w:cs="宋体"/>
                <w:color w:val="auto"/>
                <w:sz w:val="24"/>
                <w:highlight w:val="none"/>
              </w:rPr>
            </w:pPr>
          </w:p>
        </w:tc>
        <w:tc>
          <w:tcPr>
            <w:tcW w:w="1746" w:type="dxa"/>
            <w:tcBorders>
              <w:left w:val="single" w:color="auto" w:sz="4" w:space="0"/>
            </w:tcBorders>
            <w:noWrap/>
          </w:tcPr>
          <w:p w14:paraId="3F6B0046">
            <w:pPr>
              <w:jc w:val="center"/>
              <w:rPr>
                <w:rFonts w:ascii="宋体" w:hAnsi="宋体" w:cs="宋体"/>
                <w:color w:val="auto"/>
                <w:sz w:val="24"/>
                <w:highlight w:val="none"/>
              </w:rPr>
            </w:pPr>
          </w:p>
        </w:tc>
      </w:tr>
      <w:tr w14:paraId="6DD2F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ign w:val="center"/>
          </w:tcPr>
          <w:p w14:paraId="7C5EEE36">
            <w:pPr>
              <w:jc w:val="center"/>
              <w:rPr>
                <w:rFonts w:ascii="宋体" w:hAnsi="宋体" w:cs="宋体"/>
                <w:color w:val="auto"/>
                <w:sz w:val="24"/>
                <w:highlight w:val="none"/>
              </w:rPr>
            </w:pPr>
            <w:r>
              <w:rPr>
                <w:rFonts w:hint="eastAsia" w:ascii="宋体" w:hAnsi="宋体" w:cs="宋体"/>
                <w:color w:val="auto"/>
                <w:sz w:val="24"/>
                <w:highlight w:val="none"/>
              </w:rPr>
              <w:t>合计</w:t>
            </w:r>
          </w:p>
        </w:tc>
        <w:tc>
          <w:tcPr>
            <w:tcW w:w="2387" w:type="dxa"/>
            <w:noWrap/>
          </w:tcPr>
          <w:p w14:paraId="6E3EB193">
            <w:pPr>
              <w:jc w:val="center"/>
              <w:rPr>
                <w:rFonts w:ascii="宋体" w:hAnsi="宋体" w:cs="宋体"/>
                <w:color w:val="auto"/>
                <w:sz w:val="24"/>
                <w:highlight w:val="none"/>
              </w:rPr>
            </w:pPr>
          </w:p>
        </w:tc>
        <w:tc>
          <w:tcPr>
            <w:tcW w:w="1462" w:type="dxa"/>
            <w:noWrap/>
          </w:tcPr>
          <w:p w14:paraId="1B1E8200">
            <w:pPr>
              <w:jc w:val="center"/>
              <w:rPr>
                <w:rFonts w:ascii="宋体" w:hAnsi="宋体" w:cs="宋体"/>
                <w:color w:val="auto"/>
                <w:sz w:val="24"/>
                <w:highlight w:val="none"/>
              </w:rPr>
            </w:pPr>
          </w:p>
        </w:tc>
        <w:tc>
          <w:tcPr>
            <w:tcW w:w="2415" w:type="dxa"/>
            <w:tcBorders>
              <w:right w:val="single" w:color="auto" w:sz="4" w:space="0"/>
            </w:tcBorders>
            <w:noWrap/>
          </w:tcPr>
          <w:p w14:paraId="60F4EACD">
            <w:pPr>
              <w:jc w:val="center"/>
              <w:rPr>
                <w:rFonts w:ascii="宋体" w:hAnsi="宋体" w:cs="宋体"/>
                <w:color w:val="auto"/>
                <w:sz w:val="24"/>
                <w:highlight w:val="none"/>
              </w:rPr>
            </w:pPr>
          </w:p>
        </w:tc>
        <w:tc>
          <w:tcPr>
            <w:tcW w:w="1746" w:type="dxa"/>
            <w:tcBorders>
              <w:left w:val="single" w:color="auto" w:sz="4" w:space="0"/>
            </w:tcBorders>
            <w:noWrap/>
          </w:tcPr>
          <w:p w14:paraId="6449D77C">
            <w:pPr>
              <w:jc w:val="center"/>
              <w:rPr>
                <w:rFonts w:ascii="宋体" w:hAnsi="宋体" w:cs="宋体"/>
                <w:color w:val="auto"/>
                <w:sz w:val="24"/>
                <w:highlight w:val="none"/>
              </w:rPr>
            </w:pPr>
          </w:p>
        </w:tc>
      </w:tr>
    </w:tbl>
    <w:p w14:paraId="6A429AFE">
      <w:pPr>
        <w:spacing w:line="360" w:lineRule="auto"/>
        <w:ind w:firstLine="480" w:firstLineChars="200"/>
        <w:rPr>
          <w:rFonts w:ascii="宋体" w:hAnsi="宋体" w:cs="宋体"/>
          <w:color w:val="auto"/>
          <w:sz w:val="24"/>
          <w:highlight w:val="none"/>
        </w:rPr>
      </w:pPr>
    </w:p>
    <w:p w14:paraId="2B11EE76">
      <w:pPr>
        <w:spacing w:line="360" w:lineRule="auto"/>
        <w:ind w:left="3780" w:leftChars="1800" w:firstLine="480" w:firstLineChars="200"/>
        <w:rPr>
          <w:rFonts w:ascii="宋体" w:hAnsi="宋体" w:cs="宋体"/>
          <w:color w:val="auto"/>
          <w:sz w:val="24"/>
          <w:highlight w:val="none"/>
        </w:rPr>
      </w:pPr>
    </w:p>
    <w:p w14:paraId="56226A14">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 xml:space="preserve">法定代表人签名（或签名章）：                       </w:t>
      </w:r>
    </w:p>
    <w:p w14:paraId="48CFF4A2">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日 期：</w:t>
      </w:r>
    </w:p>
    <w:p w14:paraId="615B03CC">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投标人全称（公章）：</w:t>
      </w:r>
    </w:p>
    <w:p w14:paraId="203B9D74">
      <w:pPr>
        <w:pStyle w:val="11"/>
        <w:ind w:firstLine="566"/>
        <w:rPr>
          <w:rFonts w:ascii="宋体" w:hAnsi="宋体" w:cs="宋体"/>
          <w:color w:val="auto"/>
          <w:sz w:val="28"/>
          <w:szCs w:val="28"/>
          <w:highlight w:val="none"/>
        </w:rPr>
      </w:pPr>
    </w:p>
    <w:p w14:paraId="69CB75E1">
      <w:pPr>
        <w:snapToGrid w:val="0"/>
        <w:spacing w:before="50" w:afterLines="50"/>
        <w:jc w:val="left"/>
        <w:rPr>
          <w:rFonts w:ascii="宋体" w:hAnsi="宋体" w:cs="宋体"/>
          <w:b/>
          <w:bCs/>
          <w:color w:val="auto"/>
          <w:sz w:val="24"/>
          <w:highlight w:val="none"/>
          <w:lang w:val="zh-CN"/>
        </w:rPr>
      </w:pPr>
      <w:r>
        <w:rPr>
          <w:rFonts w:hint="eastAsia" w:ascii="宋体" w:hAnsi="宋体" w:cs="宋体"/>
          <w:b/>
          <w:bCs/>
          <w:color w:val="auto"/>
          <w:sz w:val="24"/>
          <w:highlight w:val="none"/>
          <w:lang w:val="zh-CN"/>
        </w:rPr>
        <w:t>附件四：</w:t>
      </w:r>
    </w:p>
    <w:p w14:paraId="34B1A6A5">
      <w:pPr>
        <w:spacing w:line="360" w:lineRule="auto"/>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投标项目明细清单</w:t>
      </w:r>
    </w:p>
    <w:p w14:paraId="26BA8162">
      <w:pPr>
        <w:spacing w:line="360" w:lineRule="auto"/>
        <w:ind w:firstLine="480" w:firstLineChars="200"/>
        <w:rPr>
          <w:rFonts w:ascii="宋体" w:hAnsi="宋体" w:cs="宋体"/>
          <w:color w:val="auto"/>
          <w:sz w:val="24"/>
          <w:highlight w:val="none"/>
        </w:rPr>
      </w:pPr>
    </w:p>
    <w:p w14:paraId="5B118A9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项目名称：</w:t>
      </w:r>
    </w:p>
    <w:p w14:paraId="1C74ECA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采购编号：</w:t>
      </w:r>
    </w:p>
    <w:tbl>
      <w:tblPr>
        <w:tblStyle w:val="3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2829"/>
        <w:gridCol w:w="2829"/>
        <w:gridCol w:w="2830"/>
      </w:tblGrid>
      <w:tr w14:paraId="5EFF14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CE87EA8">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序号</w:t>
            </w:r>
          </w:p>
        </w:tc>
        <w:tc>
          <w:tcPr>
            <w:tcW w:w="2829" w:type="dxa"/>
            <w:tcBorders>
              <w:top w:val="single" w:color="auto" w:sz="4" w:space="0"/>
              <w:left w:val="single" w:color="auto" w:sz="4" w:space="0"/>
              <w:bottom w:val="single" w:color="auto" w:sz="4" w:space="0"/>
              <w:right w:val="single" w:color="auto" w:sz="4" w:space="0"/>
            </w:tcBorders>
            <w:noWrap/>
            <w:vAlign w:val="center"/>
          </w:tcPr>
          <w:p w14:paraId="1AF8510A">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服务内容</w:t>
            </w:r>
          </w:p>
        </w:tc>
        <w:tc>
          <w:tcPr>
            <w:tcW w:w="2829" w:type="dxa"/>
            <w:tcBorders>
              <w:top w:val="single" w:color="auto" w:sz="4" w:space="0"/>
              <w:left w:val="single" w:color="auto" w:sz="4" w:space="0"/>
              <w:bottom w:val="single" w:color="auto" w:sz="4" w:space="0"/>
              <w:right w:val="single" w:color="auto" w:sz="4" w:space="0"/>
            </w:tcBorders>
            <w:noWrap/>
            <w:vAlign w:val="center"/>
          </w:tcPr>
          <w:p w14:paraId="2B595A81">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服务人员数量</w:t>
            </w:r>
          </w:p>
        </w:tc>
        <w:tc>
          <w:tcPr>
            <w:tcW w:w="2830" w:type="dxa"/>
            <w:tcBorders>
              <w:top w:val="single" w:color="auto" w:sz="4" w:space="0"/>
              <w:left w:val="single" w:color="auto" w:sz="4" w:space="0"/>
              <w:bottom w:val="single" w:color="auto" w:sz="4" w:space="0"/>
              <w:right w:val="single" w:color="auto" w:sz="4" w:space="0"/>
            </w:tcBorders>
            <w:noWrap/>
            <w:vAlign w:val="center"/>
          </w:tcPr>
          <w:p w14:paraId="48519DC6">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工作量</w:t>
            </w:r>
          </w:p>
        </w:tc>
      </w:tr>
      <w:tr w14:paraId="1BD44B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22A61AE">
            <w:pPr>
              <w:snapToGrid w:val="0"/>
              <w:spacing w:before="50" w:after="50"/>
              <w:jc w:val="center"/>
              <w:rPr>
                <w:rFonts w:ascii="宋体" w:hAnsi="宋体" w:cs="宋体"/>
                <w:color w:val="auto"/>
                <w:sz w:val="24"/>
                <w:highlight w:val="none"/>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2FD38F4C">
            <w:pPr>
              <w:snapToGrid w:val="0"/>
              <w:spacing w:before="50" w:after="50"/>
              <w:jc w:val="center"/>
              <w:rPr>
                <w:rFonts w:ascii="宋体" w:hAnsi="宋体" w:cs="宋体"/>
                <w:color w:val="auto"/>
                <w:sz w:val="24"/>
                <w:highlight w:val="none"/>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7C9B756A">
            <w:pPr>
              <w:snapToGrid w:val="0"/>
              <w:spacing w:before="50" w:after="50"/>
              <w:ind w:left="480" w:hanging="480"/>
              <w:jc w:val="center"/>
              <w:rPr>
                <w:rFonts w:ascii="宋体" w:hAnsi="宋体" w:cs="宋体"/>
                <w:color w:val="auto"/>
                <w:sz w:val="24"/>
                <w:highlight w:val="none"/>
              </w:rPr>
            </w:pPr>
          </w:p>
        </w:tc>
        <w:tc>
          <w:tcPr>
            <w:tcW w:w="2830" w:type="dxa"/>
            <w:tcBorders>
              <w:top w:val="single" w:color="auto" w:sz="4" w:space="0"/>
              <w:left w:val="single" w:color="auto" w:sz="4" w:space="0"/>
              <w:bottom w:val="single" w:color="auto" w:sz="4" w:space="0"/>
              <w:right w:val="single" w:color="auto" w:sz="4" w:space="0"/>
            </w:tcBorders>
            <w:noWrap/>
            <w:vAlign w:val="center"/>
          </w:tcPr>
          <w:p w14:paraId="48AB1731">
            <w:pPr>
              <w:snapToGrid w:val="0"/>
              <w:spacing w:before="50" w:after="50"/>
              <w:jc w:val="center"/>
              <w:rPr>
                <w:rFonts w:ascii="宋体" w:hAnsi="宋体" w:cs="宋体"/>
                <w:color w:val="auto"/>
                <w:sz w:val="24"/>
                <w:highlight w:val="none"/>
              </w:rPr>
            </w:pPr>
          </w:p>
        </w:tc>
      </w:tr>
      <w:tr w14:paraId="576A39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5BB0EE8">
            <w:pPr>
              <w:snapToGrid w:val="0"/>
              <w:spacing w:before="50" w:after="50"/>
              <w:jc w:val="center"/>
              <w:rPr>
                <w:rFonts w:ascii="宋体" w:hAnsi="宋体" w:cs="宋体"/>
                <w:color w:val="auto"/>
                <w:sz w:val="24"/>
                <w:highlight w:val="none"/>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6390C55E">
            <w:pPr>
              <w:snapToGrid w:val="0"/>
              <w:spacing w:before="50" w:after="50"/>
              <w:jc w:val="center"/>
              <w:rPr>
                <w:rFonts w:ascii="宋体" w:hAnsi="宋体" w:cs="宋体"/>
                <w:color w:val="auto"/>
                <w:sz w:val="24"/>
                <w:highlight w:val="none"/>
              </w:rPr>
            </w:pPr>
          </w:p>
        </w:tc>
        <w:tc>
          <w:tcPr>
            <w:tcW w:w="2829" w:type="dxa"/>
            <w:tcBorders>
              <w:top w:val="single" w:color="auto" w:sz="4" w:space="0"/>
              <w:left w:val="single" w:color="auto" w:sz="4" w:space="0"/>
              <w:bottom w:val="single" w:color="auto" w:sz="4" w:space="0"/>
              <w:right w:val="single" w:color="auto" w:sz="4" w:space="0"/>
            </w:tcBorders>
            <w:noWrap/>
            <w:vAlign w:val="center"/>
          </w:tcPr>
          <w:p w14:paraId="5B1093CA">
            <w:pPr>
              <w:snapToGrid w:val="0"/>
              <w:spacing w:before="50" w:after="50"/>
              <w:ind w:left="480" w:hanging="480"/>
              <w:jc w:val="center"/>
              <w:rPr>
                <w:rFonts w:ascii="宋体" w:hAnsi="宋体" w:cs="宋体"/>
                <w:color w:val="auto"/>
                <w:sz w:val="24"/>
                <w:highlight w:val="none"/>
              </w:rPr>
            </w:pPr>
          </w:p>
        </w:tc>
        <w:tc>
          <w:tcPr>
            <w:tcW w:w="2830" w:type="dxa"/>
            <w:tcBorders>
              <w:top w:val="single" w:color="auto" w:sz="4" w:space="0"/>
              <w:left w:val="single" w:color="auto" w:sz="4" w:space="0"/>
              <w:bottom w:val="single" w:color="auto" w:sz="4" w:space="0"/>
              <w:right w:val="single" w:color="auto" w:sz="4" w:space="0"/>
            </w:tcBorders>
            <w:noWrap/>
            <w:vAlign w:val="center"/>
          </w:tcPr>
          <w:p w14:paraId="23F6737E">
            <w:pPr>
              <w:snapToGrid w:val="0"/>
              <w:spacing w:before="50" w:after="50"/>
              <w:jc w:val="center"/>
              <w:rPr>
                <w:rFonts w:ascii="宋体" w:hAnsi="宋体" w:cs="宋体"/>
                <w:color w:val="auto"/>
                <w:sz w:val="24"/>
                <w:highlight w:val="none"/>
              </w:rPr>
            </w:pPr>
          </w:p>
        </w:tc>
      </w:tr>
    </w:tbl>
    <w:p w14:paraId="74BB1B06">
      <w:pPr>
        <w:snapToGrid w:val="0"/>
        <w:spacing w:beforeLines="50"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注：在填写时，如上表不适合本项目的实际情况，可在确保投标明细内容完整的情况下，根据上表格式自行划表填写。</w:t>
      </w:r>
    </w:p>
    <w:p w14:paraId="738EE51D">
      <w:pPr>
        <w:pStyle w:val="11"/>
        <w:rPr>
          <w:rFonts w:ascii="宋体" w:hAnsi="宋体" w:cs="宋体"/>
          <w:color w:val="auto"/>
          <w:sz w:val="24"/>
          <w:highlight w:val="none"/>
        </w:rPr>
      </w:pPr>
    </w:p>
    <w:p w14:paraId="0F6CC171">
      <w:pPr>
        <w:pStyle w:val="11"/>
        <w:rPr>
          <w:rFonts w:ascii="宋体" w:hAnsi="宋体" w:cs="宋体"/>
          <w:color w:val="auto"/>
          <w:sz w:val="24"/>
          <w:highlight w:val="none"/>
        </w:rPr>
      </w:pPr>
    </w:p>
    <w:p w14:paraId="256262C7">
      <w:pPr>
        <w:pStyle w:val="11"/>
        <w:rPr>
          <w:rFonts w:ascii="宋体" w:hAnsi="宋体" w:cs="宋体"/>
          <w:color w:val="auto"/>
          <w:sz w:val="24"/>
          <w:highlight w:val="none"/>
        </w:rPr>
      </w:pPr>
    </w:p>
    <w:p w14:paraId="629C820B">
      <w:pPr>
        <w:snapToGrid w:val="0"/>
        <w:spacing w:beforeLines="50"/>
        <w:rPr>
          <w:rFonts w:ascii="宋体" w:hAnsi="宋体" w:cs="宋体"/>
          <w:color w:val="auto"/>
          <w:sz w:val="24"/>
          <w:highlight w:val="none"/>
        </w:rPr>
      </w:pPr>
    </w:p>
    <w:p w14:paraId="60E68CDA">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 xml:space="preserve">法定代表人签名（或签名章）：                       </w:t>
      </w:r>
    </w:p>
    <w:p w14:paraId="7E21869A">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日 期：</w:t>
      </w:r>
    </w:p>
    <w:p w14:paraId="158E9EA4">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投标人全称（公章）：</w:t>
      </w:r>
    </w:p>
    <w:p w14:paraId="07FAB255">
      <w:pPr>
        <w:snapToGrid w:val="0"/>
        <w:spacing w:before="50" w:after="50"/>
        <w:rPr>
          <w:rFonts w:ascii="宋体" w:hAnsi="宋体" w:cs="宋体"/>
          <w:color w:val="auto"/>
          <w:spacing w:val="20"/>
          <w:sz w:val="24"/>
          <w:highlight w:val="none"/>
        </w:rPr>
      </w:pPr>
    </w:p>
    <w:p w14:paraId="557CBEC0">
      <w:pPr>
        <w:snapToGrid w:val="0"/>
        <w:spacing w:before="50" w:after="50"/>
        <w:rPr>
          <w:rFonts w:ascii="宋体" w:hAnsi="宋体" w:cs="宋体"/>
          <w:color w:val="auto"/>
          <w:spacing w:val="20"/>
          <w:sz w:val="30"/>
          <w:szCs w:val="30"/>
          <w:highlight w:val="none"/>
        </w:rPr>
      </w:pPr>
    </w:p>
    <w:p w14:paraId="7F629184">
      <w:pPr>
        <w:pStyle w:val="11"/>
        <w:ind w:firstLine="686"/>
        <w:rPr>
          <w:rFonts w:ascii="宋体" w:hAnsi="宋体" w:cs="宋体"/>
          <w:color w:val="auto"/>
          <w:spacing w:val="20"/>
          <w:sz w:val="30"/>
          <w:szCs w:val="30"/>
          <w:highlight w:val="none"/>
        </w:rPr>
      </w:pPr>
    </w:p>
    <w:p w14:paraId="54C3A69F">
      <w:pPr>
        <w:pStyle w:val="11"/>
        <w:ind w:firstLine="686"/>
        <w:rPr>
          <w:rFonts w:ascii="宋体" w:hAnsi="宋体" w:cs="宋体"/>
          <w:color w:val="auto"/>
          <w:spacing w:val="20"/>
          <w:sz w:val="30"/>
          <w:szCs w:val="30"/>
          <w:highlight w:val="none"/>
        </w:rPr>
      </w:pPr>
    </w:p>
    <w:p w14:paraId="4DF09ECE">
      <w:pPr>
        <w:pStyle w:val="11"/>
        <w:ind w:firstLine="686"/>
        <w:rPr>
          <w:rFonts w:ascii="宋体" w:hAnsi="宋体" w:cs="宋体"/>
          <w:color w:val="auto"/>
          <w:spacing w:val="20"/>
          <w:sz w:val="30"/>
          <w:szCs w:val="30"/>
          <w:highlight w:val="none"/>
        </w:rPr>
      </w:pPr>
    </w:p>
    <w:p w14:paraId="26F00B86">
      <w:pPr>
        <w:pStyle w:val="11"/>
        <w:ind w:firstLine="686"/>
        <w:rPr>
          <w:rFonts w:ascii="宋体" w:hAnsi="宋体" w:cs="宋体"/>
          <w:color w:val="auto"/>
          <w:spacing w:val="20"/>
          <w:sz w:val="30"/>
          <w:szCs w:val="30"/>
          <w:highlight w:val="none"/>
        </w:rPr>
      </w:pPr>
    </w:p>
    <w:p w14:paraId="1D252691">
      <w:pPr>
        <w:pStyle w:val="4"/>
        <w:rPr>
          <w:rFonts w:hAnsi="宋体" w:cs="宋体"/>
          <w:bCs/>
          <w:color w:val="auto"/>
          <w:sz w:val="24"/>
          <w:szCs w:val="24"/>
          <w:highlight w:val="none"/>
        </w:rPr>
      </w:pPr>
      <w:bookmarkStart w:id="473" w:name="_Toc2823"/>
      <w:r>
        <w:rPr>
          <w:rFonts w:hint="eastAsia" w:hAnsi="宋体" w:cs="宋体"/>
          <w:bCs/>
          <w:color w:val="auto"/>
          <w:sz w:val="24"/>
          <w:szCs w:val="24"/>
          <w:highlight w:val="none"/>
        </w:rPr>
        <w:br w:type="page"/>
      </w:r>
      <w:r>
        <w:rPr>
          <w:rFonts w:hint="eastAsia" w:hAnsi="宋体" w:cs="宋体"/>
          <w:bCs/>
          <w:color w:val="auto"/>
          <w:sz w:val="24"/>
          <w:szCs w:val="24"/>
          <w:highlight w:val="none"/>
        </w:rPr>
        <w:t>附件</w:t>
      </w:r>
      <w:r>
        <w:rPr>
          <w:rFonts w:hint="eastAsia" w:hAnsi="宋体" w:cs="宋体"/>
          <w:bCs/>
          <w:color w:val="auto"/>
          <w:sz w:val="24"/>
          <w:szCs w:val="24"/>
          <w:highlight w:val="none"/>
          <w:lang w:eastAsia="zh-CN"/>
        </w:rPr>
        <w:t>五</w:t>
      </w:r>
      <w:r>
        <w:rPr>
          <w:rFonts w:hint="eastAsia" w:hAnsi="宋体" w:cs="宋体"/>
          <w:bCs/>
          <w:color w:val="auto"/>
          <w:sz w:val="24"/>
          <w:szCs w:val="24"/>
          <w:highlight w:val="none"/>
        </w:rPr>
        <w:t>：</w:t>
      </w:r>
    </w:p>
    <w:p w14:paraId="7440D6B7">
      <w:pPr>
        <w:spacing w:line="360" w:lineRule="auto"/>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技术响应及建议表</w:t>
      </w:r>
      <w:bookmarkEnd w:id="473"/>
    </w:p>
    <w:p w14:paraId="2D2003F3">
      <w:pPr>
        <w:spacing w:line="360" w:lineRule="auto"/>
        <w:ind w:firstLine="480" w:firstLineChars="200"/>
        <w:rPr>
          <w:rFonts w:ascii="宋体" w:hAnsi="宋体" w:cs="宋体"/>
          <w:color w:val="auto"/>
          <w:sz w:val="24"/>
          <w:highlight w:val="none"/>
        </w:rPr>
      </w:pPr>
    </w:p>
    <w:p w14:paraId="374F09D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项目名称：</w:t>
      </w:r>
    </w:p>
    <w:p w14:paraId="538EE37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采购编号：</w:t>
      </w:r>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440"/>
        <w:gridCol w:w="1980"/>
        <w:gridCol w:w="2520"/>
        <w:gridCol w:w="1953"/>
      </w:tblGrid>
      <w:tr w14:paraId="11ED46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ign w:val="center"/>
          </w:tcPr>
          <w:p w14:paraId="2ABC6CFB">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序号</w:t>
            </w:r>
          </w:p>
        </w:tc>
        <w:tc>
          <w:tcPr>
            <w:tcW w:w="1440" w:type="dxa"/>
            <w:noWrap/>
            <w:vAlign w:val="center"/>
          </w:tcPr>
          <w:p w14:paraId="03DA993E">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名称</w:t>
            </w:r>
          </w:p>
        </w:tc>
        <w:tc>
          <w:tcPr>
            <w:tcW w:w="1980" w:type="dxa"/>
            <w:noWrap/>
            <w:vAlign w:val="center"/>
          </w:tcPr>
          <w:p w14:paraId="5C3EE15B">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招标文件要求</w:t>
            </w:r>
          </w:p>
        </w:tc>
        <w:tc>
          <w:tcPr>
            <w:tcW w:w="2520" w:type="dxa"/>
            <w:noWrap/>
            <w:vAlign w:val="center"/>
          </w:tcPr>
          <w:p w14:paraId="0A18ABC0">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投标文件响应</w:t>
            </w:r>
          </w:p>
        </w:tc>
        <w:tc>
          <w:tcPr>
            <w:tcW w:w="1953" w:type="dxa"/>
            <w:noWrap/>
            <w:vAlign w:val="center"/>
          </w:tcPr>
          <w:p w14:paraId="646A7DE6">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偏离情况</w:t>
            </w:r>
          </w:p>
        </w:tc>
      </w:tr>
      <w:tr w14:paraId="31AE6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ign w:val="center"/>
          </w:tcPr>
          <w:p w14:paraId="774F3154">
            <w:pPr>
              <w:snapToGrid w:val="0"/>
              <w:spacing w:before="50" w:after="50"/>
              <w:jc w:val="center"/>
              <w:rPr>
                <w:rFonts w:ascii="宋体" w:hAnsi="宋体" w:cs="宋体"/>
                <w:color w:val="auto"/>
                <w:sz w:val="24"/>
                <w:highlight w:val="none"/>
              </w:rPr>
            </w:pPr>
          </w:p>
        </w:tc>
        <w:tc>
          <w:tcPr>
            <w:tcW w:w="1440" w:type="dxa"/>
            <w:noWrap/>
            <w:vAlign w:val="center"/>
          </w:tcPr>
          <w:p w14:paraId="3F55EF0F">
            <w:pPr>
              <w:snapToGrid w:val="0"/>
              <w:spacing w:before="50" w:after="50"/>
              <w:jc w:val="center"/>
              <w:rPr>
                <w:rFonts w:ascii="宋体" w:hAnsi="宋体" w:cs="宋体"/>
                <w:color w:val="auto"/>
                <w:sz w:val="24"/>
                <w:highlight w:val="none"/>
              </w:rPr>
            </w:pPr>
          </w:p>
        </w:tc>
        <w:tc>
          <w:tcPr>
            <w:tcW w:w="1980" w:type="dxa"/>
            <w:noWrap/>
            <w:vAlign w:val="center"/>
          </w:tcPr>
          <w:p w14:paraId="627B6EAD">
            <w:pPr>
              <w:snapToGrid w:val="0"/>
              <w:spacing w:before="50" w:after="50"/>
              <w:jc w:val="center"/>
              <w:rPr>
                <w:rFonts w:ascii="宋体" w:hAnsi="宋体" w:cs="宋体"/>
                <w:color w:val="auto"/>
                <w:sz w:val="24"/>
                <w:highlight w:val="none"/>
              </w:rPr>
            </w:pPr>
          </w:p>
        </w:tc>
        <w:tc>
          <w:tcPr>
            <w:tcW w:w="2520" w:type="dxa"/>
            <w:noWrap/>
            <w:vAlign w:val="center"/>
          </w:tcPr>
          <w:p w14:paraId="1AC1D820">
            <w:pPr>
              <w:snapToGrid w:val="0"/>
              <w:spacing w:before="50" w:after="50"/>
              <w:jc w:val="center"/>
              <w:rPr>
                <w:rFonts w:ascii="宋体" w:hAnsi="宋体" w:cs="宋体"/>
                <w:color w:val="auto"/>
                <w:sz w:val="24"/>
                <w:highlight w:val="none"/>
              </w:rPr>
            </w:pPr>
          </w:p>
        </w:tc>
        <w:tc>
          <w:tcPr>
            <w:tcW w:w="1953" w:type="dxa"/>
            <w:noWrap/>
            <w:vAlign w:val="center"/>
          </w:tcPr>
          <w:p w14:paraId="77A69561">
            <w:pPr>
              <w:snapToGrid w:val="0"/>
              <w:spacing w:before="50" w:after="50"/>
              <w:jc w:val="center"/>
              <w:rPr>
                <w:rFonts w:ascii="宋体" w:hAnsi="宋体" w:cs="宋体"/>
                <w:color w:val="auto"/>
                <w:sz w:val="24"/>
                <w:highlight w:val="none"/>
              </w:rPr>
            </w:pPr>
          </w:p>
        </w:tc>
      </w:tr>
      <w:tr w14:paraId="4C10F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ign w:val="center"/>
          </w:tcPr>
          <w:p w14:paraId="59A6138B">
            <w:pPr>
              <w:snapToGrid w:val="0"/>
              <w:spacing w:before="50" w:after="50"/>
              <w:jc w:val="center"/>
              <w:rPr>
                <w:rFonts w:ascii="宋体" w:hAnsi="宋体" w:cs="宋体"/>
                <w:color w:val="auto"/>
                <w:sz w:val="24"/>
                <w:highlight w:val="none"/>
              </w:rPr>
            </w:pPr>
          </w:p>
        </w:tc>
        <w:tc>
          <w:tcPr>
            <w:tcW w:w="1440" w:type="dxa"/>
            <w:noWrap/>
            <w:vAlign w:val="center"/>
          </w:tcPr>
          <w:p w14:paraId="56933A5A">
            <w:pPr>
              <w:snapToGrid w:val="0"/>
              <w:spacing w:before="50" w:after="50"/>
              <w:jc w:val="center"/>
              <w:rPr>
                <w:rFonts w:ascii="宋体" w:hAnsi="宋体" w:cs="宋体"/>
                <w:color w:val="auto"/>
                <w:sz w:val="24"/>
                <w:highlight w:val="none"/>
              </w:rPr>
            </w:pPr>
          </w:p>
        </w:tc>
        <w:tc>
          <w:tcPr>
            <w:tcW w:w="1980" w:type="dxa"/>
            <w:noWrap/>
            <w:vAlign w:val="center"/>
          </w:tcPr>
          <w:p w14:paraId="0EBACB18">
            <w:pPr>
              <w:snapToGrid w:val="0"/>
              <w:spacing w:before="50" w:after="50"/>
              <w:jc w:val="center"/>
              <w:rPr>
                <w:rFonts w:ascii="宋体" w:hAnsi="宋体" w:cs="宋体"/>
                <w:color w:val="auto"/>
                <w:sz w:val="24"/>
                <w:highlight w:val="none"/>
              </w:rPr>
            </w:pPr>
          </w:p>
        </w:tc>
        <w:tc>
          <w:tcPr>
            <w:tcW w:w="2520" w:type="dxa"/>
            <w:noWrap/>
            <w:vAlign w:val="center"/>
          </w:tcPr>
          <w:p w14:paraId="64CBEA08">
            <w:pPr>
              <w:snapToGrid w:val="0"/>
              <w:spacing w:before="50" w:after="50"/>
              <w:jc w:val="center"/>
              <w:rPr>
                <w:rFonts w:ascii="宋体" w:hAnsi="宋体" w:cs="宋体"/>
                <w:color w:val="auto"/>
                <w:sz w:val="24"/>
                <w:highlight w:val="none"/>
              </w:rPr>
            </w:pPr>
          </w:p>
        </w:tc>
        <w:tc>
          <w:tcPr>
            <w:tcW w:w="1953" w:type="dxa"/>
            <w:noWrap/>
            <w:vAlign w:val="center"/>
          </w:tcPr>
          <w:p w14:paraId="12C43CC9">
            <w:pPr>
              <w:snapToGrid w:val="0"/>
              <w:spacing w:before="50" w:after="50"/>
              <w:jc w:val="center"/>
              <w:rPr>
                <w:rFonts w:ascii="宋体" w:hAnsi="宋体" w:cs="宋体"/>
                <w:color w:val="auto"/>
                <w:sz w:val="24"/>
                <w:highlight w:val="none"/>
              </w:rPr>
            </w:pPr>
          </w:p>
        </w:tc>
      </w:tr>
      <w:tr w14:paraId="7F856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ign w:val="center"/>
          </w:tcPr>
          <w:p w14:paraId="518E79D4">
            <w:pPr>
              <w:snapToGrid w:val="0"/>
              <w:spacing w:before="50" w:after="50"/>
              <w:jc w:val="center"/>
              <w:rPr>
                <w:rFonts w:ascii="宋体" w:hAnsi="宋体" w:cs="宋体"/>
                <w:color w:val="auto"/>
                <w:sz w:val="24"/>
                <w:highlight w:val="none"/>
              </w:rPr>
            </w:pPr>
          </w:p>
        </w:tc>
        <w:tc>
          <w:tcPr>
            <w:tcW w:w="1440" w:type="dxa"/>
            <w:noWrap/>
            <w:vAlign w:val="center"/>
          </w:tcPr>
          <w:p w14:paraId="195E012A">
            <w:pPr>
              <w:snapToGrid w:val="0"/>
              <w:spacing w:before="50" w:after="50"/>
              <w:jc w:val="center"/>
              <w:rPr>
                <w:rFonts w:ascii="宋体" w:hAnsi="宋体" w:cs="宋体"/>
                <w:color w:val="auto"/>
                <w:sz w:val="24"/>
                <w:highlight w:val="none"/>
              </w:rPr>
            </w:pPr>
          </w:p>
        </w:tc>
        <w:tc>
          <w:tcPr>
            <w:tcW w:w="1980" w:type="dxa"/>
            <w:noWrap/>
            <w:vAlign w:val="center"/>
          </w:tcPr>
          <w:p w14:paraId="5E30AB61">
            <w:pPr>
              <w:snapToGrid w:val="0"/>
              <w:spacing w:before="50" w:after="50"/>
              <w:jc w:val="center"/>
              <w:rPr>
                <w:rFonts w:ascii="宋体" w:hAnsi="宋体" w:cs="宋体"/>
                <w:color w:val="auto"/>
                <w:sz w:val="24"/>
                <w:highlight w:val="none"/>
              </w:rPr>
            </w:pPr>
          </w:p>
        </w:tc>
        <w:tc>
          <w:tcPr>
            <w:tcW w:w="2520" w:type="dxa"/>
            <w:noWrap/>
            <w:vAlign w:val="center"/>
          </w:tcPr>
          <w:p w14:paraId="761B5B99">
            <w:pPr>
              <w:snapToGrid w:val="0"/>
              <w:spacing w:before="50" w:after="50"/>
              <w:jc w:val="center"/>
              <w:rPr>
                <w:rFonts w:ascii="宋体" w:hAnsi="宋体" w:cs="宋体"/>
                <w:color w:val="auto"/>
                <w:sz w:val="24"/>
                <w:highlight w:val="none"/>
              </w:rPr>
            </w:pPr>
          </w:p>
        </w:tc>
        <w:tc>
          <w:tcPr>
            <w:tcW w:w="1953" w:type="dxa"/>
            <w:noWrap/>
            <w:vAlign w:val="center"/>
          </w:tcPr>
          <w:p w14:paraId="67F43D14">
            <w:pPr>
              <w:snapToGrid w:val="0"/>
              <w:spacing w:before="50" w:after="50"/>
              <w:jc w:val="center"/>
              <w:rPr>
                <w:rFonts w:ascii="宋体" w:hAnsi="宋体" w:cs="宋体"/>
                <w:color w:val="auto"/>
                <w:sz w:val="24"/>
                <w:highlight w:val="none"/>
              </w:rPr>
            </w:pPr>
          </w:p>
        </w:tc>
      </w:tr>
      <w:tr w14:paraId="1F95B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ign w:val="center"/>
          </w:tcPr>
          <w:p w14:paraId="1734FBE8">
            <w:pPr>
              <w:snapToGrid w:val="0"/>
              <w:spacing w:before="50" w:after="50"/>
              <w:jc w:val="center"/>
              <w:rPr>
                <w:rFonts w:ascii="宋体" w:hAnsi="宋体" w:cs="宋体"/>
                <w:color w:val="auto"/>
                <w:sz w:val="24"/>
                <w:highlight w:val="none"/>
              </w:rPr>
            </w:pPr>
          </w:p>
        </w:tc>
        <w:tc>
          <w:tcPr>
            <w:tcW w:w="1440" w:type="dxa"/>
            <w:noWrap/>
            <w:vAlign w:val="center"/>
          </w:tcPr>
          <w:p w14:paraId="4947B30C">
            <w:pPr>
              <w:snapToGrid w:val="0"/>
              <w:spacing w:before="50" w:after="50"/>
              <w:jc w:val="center"/>
              <w:rPr>
                <w:rFonts w:ascii="宋体" w:hAnsi="宋体" w:cs="宋体"/>
                <w:color w:val="auto"/>
                <w:sz w:val="24"/>
                <w:highlight w:val="none"/>
              </w:rPr>
            </w:pPr>
          </w:p>
        </w:tc>
        <w:tc>
          <w:tcPr>
            <w:tcW w:w="1980" w:type="dxa"/>
            <w:noWrap/>
            <w:vAlign w:val="center"/>
          </w:tcPr>
          <w:p w14:paraId="6CC4C7BA">
            <w:pPr>
              <w:snapToGrid w:val="0"/>
              <w:spacing w:before="50" w:after="50"/>
              <w:jc w:val="center"/>
              <w:rPr>
                <w:rFonts w:ascii="宋体" w:hAnsi="宋体" w:cs="宋体"/>
                <w:color w:val="auto"/>
                <w:sz w:val="24"/>
                <w:highlight w:val="none"/>
              </w:rPr>
            </w:pPr>
          </w:p>
        </w:tc>
        <w:tc>
          <w:tcPr>
            <w:tcW w:w="2520" w:type="dxa"/>
            <w:noWrap/>
            <w:vAlign w:val="center"/>
          </w:tcPr>
          <w:p w14:paraId="44725C2E">
            <w:pPr>
              <w:snapToGrid w:val="0"/>
              <w:spacing w:before="50" w:after="50"/>
              <w:jc w:val="center"/>
              <w:rPr>
                <w:rFonts w:ascii="宋体" w:hAnsi="宋体" w:cs="宋体"/>
                <w:color w:val="auto"/>
                <w:sz w:val="24"/>
                <w:highlight w:val="none"/>
              </w:rPr>
            </w:pPr>
          </w:p>
        </w:tc>
        <w:tc>
          <w:tcPr>
            <w:tcW w:w="1953" w:type="dxa"/>
            <w:noWrap/>
            <w:vAlign w:val="center"/>
          </w:tcPr>
          <w:p w14:paraId="3BA52F34">
            <w:pPr>
              <w:snapToGrid w:val="0"/>
              <w:spacing w:before="50" w:after="50"/>
              <w:jc w:val="center"/>
              <w:rPr>
                <w:rFonts w:ascii="宋体" w:hAnsi="宋体" w:cs="宋体"/>
                <w:color w:val="auto"/>
                <w:sz w:val="24"/>
                <w:highlight w:val="none"/>
              </w:rPr>
            </w:pPr>
          </w:p>
        </w:tc>
      </w:tr>
      <w:tr w14:paraId="084A8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720" w:type="dxa"/>
            <w:noWrap/>
            <w:vAlign w:val="center"/>
          </w:tcPr>
          <w:p w14:paraId="03675C73">
            <w:pPr>
              <w:snapToGrid w:val="0"/>
              <w:spacing w:before="50" w:after="50"/>
              <w:jc w:val="center"/>
              <w:rPr>
                <w:rFonts w:ascii="宋体" w:hAnsi="宋体" w:cs="宋体"/>
                <w:color w:val="auto"/>
                <w:sz w:val="24"/>
                <w:highlight w:val="none"/>
              </w:rPr>
            </w:pPr>
          </w:p>
        </w:tc>
        <w:tc>
          <w:tcPr>
            <w:tcW w:w="1440" w:type="dxa"/>
            <w:noWrap/>
            <w:vAlign w:val="center"/>
          </w:tcPr>
          <w:p w14:paraId="1538C319">
            <w:pPr>
              <w:snapToGrid w:val="0"/>
              <w:spacing w:before="50" w:after="50"/>
              <w:jc w:val="center"/>
              <w:rPr>
                <w:rFonts w:ascii="宋体" w:hAnsi="宋体" w:cs="宋体"/>
                <w:color w:val="auto"/>
                <w:sz w:val="24"/>
                <w:highlight w:val="none"/>
              </w:rPr>
            </w:pPr>
          </w:p>
        </w:tc>
        <w:tc>
          <w:tcPr>
            <w:tcW w:w="1980" w:type="dxa"/>
            <w:noWrap/>
            <w:vAlign w:val="center"/>
          </w:tcPr>
          <w:p w14:paraId="187195E4">
            <w:pPr>
              <w:snapToGrid w:val="0"/>
              <w:spacing w:before="50" w:after="50"/>
              <w:jc w:val="center"/>
              <w:rPr>
                <w:rFonts w:ascii="宋体" w:hAnsi="宋体" w:cs="宋体"/>
                <w:color w:val="auto"/>
                <w:sz w:val="24"/>
                <w:highlight w:val="none"/>
              </w:rPr>
            </w:pPr>
          </w:p>
        </w:tc>
        <w:tc>
          <w:tcPr>
            <w:tcW w:w="2520" w:type="dxa"/>
            <w:noWrap/>
            <w:vAlign w:val="center"/>
          </w:tcPr>
          <w:p w14:paraId="69616E94">
            <w:pPr>
              <w:snapToGrid w:val="0"/>
              <w:spacing w:before="50" w:after="50"/>
              <w:jc w:val="center"/>
              <w:rPr>
                <w:rFonts w:ascii="宋体" w:hAnsi="宋体" w:cs="宋体"/>
                <w:color w:val="auto"/>
                <w:sz w:val="24"/>
                <w:highlight w:val="none"/>
              </w:rPr>
            </w:pPr>
          </w:p>
        </w:tc>
        <w:tc>
          <w:tcPr>
            <w:tcW w:w="1953" w:type="dxa"/>
            <w:noWrap/>
            <w:vAlign w:val="center"/>
          </w:tcPr>
          <w:p w14:paraId="174D6851">
            <w:pPr>
              <w:snapToGrid w:val="0"/>
              <w:spacing w:before="50" w:after="50"/>
              <w:jc w:val="center"/>
              <w:rPr>
                <w:rFonts w:ascii="宋体" w:hAnsi="宋体" w:cs="宋体"/>
                <w:color w:val="auto"/>
                <w:sz w:val="24"/>
                <w:highlight w:val="none"/>
              </w:rPr>
            </w:pPr>
          </w:p>
        </w:tc>
      </w:tr>
      <w:tr w14:paraId="65A30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2160" w:type="dxa"/>
            <w:gridSpan w:val="2"/>
            <w:noWrap/>
            <w:vAlign w:val="center"/>
          </w:tcPr>
          <w:p w14:paraId="50A48BDB">
            <w:pPr>
              <w:snapToGrid w:val="0"/>
              <w:spacing w:before="50" w:after="50"/>
              <w:jc w:val="center"/>
              <w:rPr>
                <w:rFonts w:ascii="宋体" w:hAnsi="宋体" w:cs="宋体"/>
                <w:color w:val="auto"/>
                <w:sz w:val="24"/>
                <w:highlight w:val="none"/>
              </w:rPr>
            </w:pPr>
            <w:r>
              <w:rPr>
                <w:rFonts w:hint="eastAsia" w:ascii="宋体" w:hAnsi="宋体" w:cs="宋体"/>
                <w:color w:val="auto"/>
                <w:sz w:val="24"/>
                <w:highlight w:val="none"/>
              </w:rPr>
              <w:t>投标建议</w:t>
            </w:r>
          </w:p>
        </w:tc>
        <w:tc>
          <w:tcPr>
            <w:tcW w:w="6453" w:type="dxa"/>
            <w:gridSpan w:val="3"/>
            <w:noWrap/>
            <w:vAlign w:val="center"/>
          </w:tcPr>
          <w:p w14:paraId="0982B808">
            <w:pPr>
              <w:spacing w:line="360" w:lineRule="auto"/>
              <w:jc w:val="center"/>
              <w:rPr>
                <w:rFonts w:ascii="宋体" w:hAnsi="宋体" w:cs="宋体"/>
                <w:color w:val="auto"/>
                <w:sz w:val="24"/>
                <w:highlight w:val="none"/>
              </w:rPr>
            </w:pPr>
          </w:p>
        </w:tc>
      </w:tr>
    </w:tbl>
    <w:p w14:paraId="20046867">
      <w:pPr>
        <w:snapToGrid w:val="0"/>
        <w:spacing w:line="360" w:lineRule="auto"/>
        <w:rPr>
          <w:rFonts w:ascii="宋体" w:hAnsi="宋体" w:cs="宋体"/>
          <w:color w:val="auto"/>
          <w:sz w:val="24"/>
          <w:highlight w:val="none"/>
        </w:rPr>
      </w:pPr>
    </w:p>
    <w:p w14:paraId="4F8592B4">
      <w:pPr>
        <w:pStyle w:val="15"/>
        <w:spacing w:line="360" w:lineRule="auto"/>
        <w:rPr>
          <w:rFonts w:hAnsi="宋体" w:cs="宋体"/>
          <w:color w:val="auto"/>
          <w:sz w:val="24"/>
          <w:highlight w:val="none"/>
        </w:rPr>
      </w:pPr>
      <w:r>
        <w:rPr>
          <w:rFonts w:hint="eastAsia" w:hAnsi="宋体" w:cs="宋体"/>
          <w:color w:val="auto"/>
          <w:sz w:val="24"/>
          <w:highlight w:val="none"/>
        </w:rPr>
        <w:t>注：名称可基于项目清单根据投标人实际情况调整。</w:t>
      </w:r>
    </w:p>
    <w:p w14:paraId="68BF05B5">
      <w:pPr>
        <w:rPr>
          <w:rFonts w:ascii="宋体" w:hAnsi="宋体" w:cs="宋体"/>
          <w:color w:val="auto"/>
          <w:sz w:val="24"/>
          <w:highlight w:val="none"/>
        </w:rPr>
      </w:pPr>
    </w:p>
    <w:p w14:paraId="22B57BE1">
      <w:pPr>
        <w:pStyle w:val="11"/>
        <w:rPr>
          <w:color w:val="auto"/>
          <w:highlight w:val="none"/>
        </w:rPr>
      </w:pPr>
    </w:p>
    <w:p w14:paraId="0DD35F1B">
      <w:pPr>
        <w:snapToGrid w:val="0"/>
        <w:spacing w:line="360" w:lineRule="auto"/>
        <w:rPr>
          <w:rFonts w:ascii="宋体" w:hAnsi="宋体" w:cs="宋体"/>
          <w:color w:val="auto"/>
          <w:sz w:val="24"/>
          <w:highlight w:val="none"/>
        </w:rPr>
      </w:pPr>
    </w:p>
    <w:p w14:paraId="516DFC7E">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 xml:space="preserve">法定代表人签名（或签名章）：                       </w:t>
      </w:r>
    </w:p>
    <w:p w14:paraId="4AE282FE">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日 期：</w:t>
      </w:r>
    </w:p>
    <w:p w14:paraId="1500B865">
      <w:pPr>
        <w:spacing w:line="360" w:lineRule="auto"/>
        <w:ind w:left="3780" w:leftChars="1800"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投标人全称（公章）：</w:t>
      </w:r>
    </w:p>
    <w:p w14:paraId="1008ECEE">
      <w:pPr>
        <w:pStyle w:val="9"/>
      </w:pPr>
    </w:p>
    <w:p w14:paraId="2C6BA1D5">
      <w:pPr>
        <w:spacing w:line="360" w:lineRule="auto"/>
        <w:jc w:val="center"/>
        <w:rPr>
          <w:rFonts w:hint="eastAsia" w:ascii="宋体" w:hAnsi="宋体" w:cs="宋体"/>
          <w:b/>
          <w:color w:val="auto"/>
          <w:kern w:val="0"/>
          <w:sz w:val="36"/>
          <w:szCs w:val="36"/>
          <w:highlight w:val="none"/>
        </w:rPr>
      </w:pPr>
      <w:r>
        <w:rPr>
          <w:rFonts w:hint="eastAsia" w:hAnsi="宋体" w:cs="宋体"/>
          <w:bCs/>
          <w:color w:val="auto"/>
          <w:sz w:val="24"/>
          <w:szCs w:val="24"/>
          <w:highlight w:val="none"/>
        </w:rPr>
        <w:br w:type="page"/>
      </w:r>
      <w:r>
        <w:rPr>
          <w:rFonts w:hint="eastAsia" w:ascii="宋体" w:hAnsi="宋体" w:cs="宋体"/>
          <w:b/>
          <w:color w:val="auto"/>
          <w:kern w:val="0"/>
          <w:sz w:val="36"/>
          <w:szCs w:val="36"/>
          <w:highlight w:val="none"/>
        </w:rPr>
        <w:t>商务文件</w:t>
      </w:r>
    </w:p>
    <w:p w14:paraId="584A59AE">
      <w:pPr>
        <w:spacing w:line="360" w:lineRule="auto"/>
        <w:jc w:val="center"/>
        <w:rPr>
          <w:rFonts w:hint="eastAsia" w:ascii="宋体" w:hAnsi="宋体" w:cs="宋体"/>
          <w:b/>
          <w:color w:val="auto"/>
          <w:kern w:val="0"/>
          <w:sz w:val="36"/>
          <w:szCs w:val="36"/>
          <w:highlight w:val="none"/>
        </w:rPr>
      </w:pPr>
    </w:p>
    <w:p w14:paraId="2A1631E2">
      <w:pPr>
        <w:spacing w:line="360" w:lineRule="auto"/>
        <w:jc w:val="center"/>
        <w:rPr>
          <w:rFonts w:hint="eastAsia"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1846FAD">
      <w:pPr>
        <w:pStyle w:val="11"/>
        <w:ind w:firstLine="486"/>
        <w:rPr>
          <w:rFonts w:hint="eastAsia" w:ascii="宋体" w:hAnsi="宋体" w:cs="宋体"/>
          <w:color w:val="auto"/>
          <w:highlight w:val="none"/>
        </w:rPr>
      </w:pPr>
    </w:p>
    <w:p w14:paraId="14BA9530">
      <w:pPr>
        <w:pStyle w:val="43"/>
        <w:numPr>
          <w:ilvl w:val="0"/>
          <w:numId w:val="42"/>
        </w:numPr>
        <w:adjustRightInd/>
        <w:spacing w:before="0"/>
        <w:ind w:left="425" w:hanging="425"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投标人商务文件中商务分自评表（格式见附件）；</w:t>
      </w:r>
    </w:p>
    <w:p w14:paraId="2B3CBBBB">
      <w:pPr>
        <w:pStyle w:val="43"/>
        <w:numPr>
          <w:ilvl w:val="0"/>
          <w:numId w:val="42"/>
        </w:numPr>
        <w:adjustRightInd/>
        <w:spacing w:before="0"/>
        <w:ind w:left="425" w:hanging="425"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Cs w:val="21"/>
          <w:highlight w:val="none"/>
          <w:lang w:val="en-US" w:eastAsia="zh-CN"/>
        </w:rPr>
        <w:t>商务响应表（格式见附件）；</w:t>
      </w:r>
    </w:p>
    <w:p w14:paraId="2A7D717D">
      <w:pPr>
        <w:pStyle w:val="43"/>
        <w:numPr>
          <w:ilvl w:val="0"/>
          <w:numId w:val="42"/>
        </w:numPr>
        <w:adjustRightInd/>
        <w:spacing w:before="0"/>
        <w:ind w:left="425" w:hanging="425" w:firstLineChars="0"/>
        <w:rPr>
          <w:rFonts w:hint="default" w:ascii="宋体" w:hAnsi="宋体" w:eastAsia="宋体" w:cs="宋体"/>
          <w:color w:val="auto"/>
          <w:szCs w:val="21"/>
          <w:highlight w:val="none"/>
          <w:lang w:val="en-US" w:eastAsia="zh-CN"/>
        </w:rPr>
      </w:pPr>
      <w:r>
        <w:rPr>
          <w:rFonts w:hint="default" w:ascii="宋体" w:hAnsi="宋体" w:eastAsia="宋体" w:cs="宋体"/>
          <w:color w:val="auto"/>
          <w:sz w:val="24"/>
          <w:szCs w:val="21"/>
          <w:highlight w:val="none"/>
        </w:rPr>
        <w:t>类似业绩</w:t>
      </w:r>
      <w:r>
        <w:rPr>
          <w:rFonts w:hint="default" w:ascii="宋体" w:hAnsi="宋体" w:eastAsia="宋体" w:cs="宋体"/>
          <w:color w:val="auto"/>
          <w:szCs w:val="21"/>
          <w:highlight w:val="none"/>
          <w:lang w:val="en-US" w:eastAsia="zh-CN"/>
        </w:rPr>
        <w:t>；</w:t>
      </w:r>
    </w:p>
    <w:p w14:paraId="29F990A9">
      <w:pPr>
        <w:pStyle w:val="43"/>
        <w:numPr>
          <w:ilvl w:val="0"/>
          <w:numId w:val="42"/>
        </w:numPr>
        <w:adjustRightInd/>
        <w:spacing w:before="0"/>
        <w:ind w:left="425" w:hanging="425" w:firstLineChars="0"/>
        <w:rPr>
          <w:rFonts w:hint="default" w:ascii="宋体" w:hAnsi="宋体" w:eastAsia="宋体" w:cs="宋体"/>
          <w:color w:val="auto"/>
          <w:szCs w:val="21"/>
          <w:highlight w:val="none"/>
        </w:rPr>
      </w:pPr>
      <w:r>
        <w:rPr>
          <w:rFonts w:hint="default" w:ascii="宋体" w:hAnsi="宋体" w:eastAsia="宋体" w:cs="宋体"/>
          <w:color w:val="auto"/>
          <w:szCs w:val="21"/>
          <w:highlight w:val="none"/>
        </w:rPr>
        <w:t xml:space="preserve">供应商认为需要的其他文件资料。 </w:t>
      </w:r>
    </w:p>
    <w:p w14:paraId="713EDCF5">
      <w:pPr>
        <w:pStyle w:val="43"/>
        <w:numPr>
          <w:ilvl w:val="0"/>
          <w:numId w:val="42"/>
        </w:numPr>
        <w:adjustRightInd/>
        <w:spacing w:before="0"/>
        <w:ind w:left="425" w:hanging="425" w:firstLineChars="0"/>
        <w:rPr>
          <w:rFonts w:hint="default" w:ascii="宋体" w:hAnsi="宋体" w:cs="宋体"/>
          <w:color w:val="auto"/>
          <w:szCs w:val="21"/>
          <w:highlight w:val="none"/>
        </w:rPr>
      </w:pPr>
      <w:r>
        <w:rPr>
          <w:rFonts w:hint="default" w:ascii="宋体" w:hAnsi="宋体" w:cs="宋体"/>
          <w:color w:val="auto"/>
          <w:szCs w:val="21"/>
          <w:highlight w:val="none"/>
        </w:rPr>
        <w:t>注：以上内容应与评标办法中内容具有一致性。</w:t>
      </w:r>
    </w:p>
    <w:p w14:paraId="52B73AC1">
      <w:pPr>
        <w:spacing w:line="360" w:lineRule="auto"/>
        <w:jc w:val="center"/>
        <w:rPr>
          <w:rFonts w:hint="eastAsia" w:ascii="宋体" w:hAnsi="宋体" w:cs="宋体"/>
          <w:b/>
          <w:color w:val="auto"/>
          <w:kern w:val="0"/>
          <w:sz w:val="36"/>
          <w:szCs w:val="36"/>
          <w:highlight w:val="none"/>
        </w:rPr>
      </w:pPr>
    </w:p>
    <w:p w14:paraId="3D2ED8FF">
      <w:pPr>
        <w:pStyle w:val="29"/>
        <w:rPr>
          <w:rFonts w:hint="eastAsia"/>
        </w:rPr>
        <w:sectPr>
          <w:footerReference r:id="rId6" w:type="default"/>
          <w:pgSz w:w="11906" w:h="16838"/>
          <w:pgMar w:top="1440" w:right="1800" w:bottom="1440" w:left="1800" w:header="851" w:footer="992" w:gutter="0"/>
          <w:cols w:space="720" w:num="1"/>
          <w:docGrid w:type="lines" w:linePitch="312" w:charSpace="0"/>
        </w:sectPr>
      </w:pPr>
    </w:p>
    <w:p w14:paraId="72808544">
      <w:pPr>
        <w:pStyle w:val="4"/>
        <w:rPr>
          <w:rFonts w:hint="eastAsia" w:hAnsi="宋体" w:cs="宋体"/>
          <w:bCs/>
          <w:color w:val="auto"/>
          <w:sz w:val="24"/>
          <w:szCs w:val="24"/>
          <w:highlight w:val="none"/>
        </w:rPr>
      </w:pPr>
      <w:r>
        <w:rPr>
          <w:rFonts w:hint="eastAsia" w:hAnsi="宋体" w:cs="宋体"/>
          <w:bCs/>
          <w:color w:val="auto"/>
          <w:sz w:val="24"/>
          <w:szCs w:val="24"/>
          <w:highlight w:val="none"/>
        </w:rPr>
        <w:t>附件</w:t>
      </w:r>
      <w:r>
        <w:rPr>
          <w:rFonts w:hint="eastAsia" w:hAnsi="宋体" w:cs="宋体"/>
          <w:bCs/>
          <w:color w:val="auto"/>
          <w:sz w:val="24"/>
          <w:szCs w:val="24"/>
          <w:highlight w:val="none"/>
          <w:lang w:val="en-US" w:eastAsia="zh-CN"/>
        </w:rPr>
        <w:t>六</w:t>
      </w:r>
      <w:r>
        <w:rPr>
          <w:rFonts w:hint="eastAsia" w:hAnsi="宋体" w:cs="宋体"/>
          <w:bCs/>
          <w:color w:val="auto"/>
          <w:sz w:val="24"/>
          <w:szCs w:val="24"/>
          <w:highlight w:val="none"/>
        </w:rPr>
        <w:t>：</w:t>
      </w:r>
    </w:p>
    <w:p w14:paraId="533323A4">
      <w:pPr>
        <w:spacing w:line="360" w:lineRule="auto"/>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投标人商务文件中</w:t>
      </w:r>
      <w:r>
        <w:rPr>
          <w:rFonts w:hint="eastAsia" w:ascii="宋体" w:hAnsi="宋体" w:cs="宋体"/>
          <w:b/>
          <w:bCs/>
          <w:color w:val="auto"/>
          <w:sz w:val="32"/>
          <w:szCs w:val="32"/>
          <w:highlight w:val="none"/>
          <w:lang w:val="en-US" w:eastAsia="zh-CN"/>
        </w:rPr>
        <w:t>商务</w:t>
      </w:r>
      <w:r>
        <w:rPr>
          <w:rFonts w:hint="eastAsia" w:ascii="宋体" w:hAnsi="宋体" w:cs="宋体"/>
          <w:b/>
          <w:bCs/>
          <w:color w:val="auto"/>
          <w:sz w:val="32"/>
          <w:szCs w:val="32"/>
          <w:highlight w:val="none"/>
        </w:rPr>
        <w:t>分自评表</w:t>
      </w:r>
    </w:p>
    <w:p w14:paraId="7AF3E21B">
      <w:pPr>
        <w:snapToGrid w:val="0"/>
        <w:spacing w:before="50"/>
        <w:jc w:val="center"/>
        <w:rPr>
          <w:rFonts w:hint="eastAsia" w:ascii="宋体" w:hAnsi="宋体" w:cs="宋体"/>
          <w:b/>
          <w:color w:val="auto"/>
          <w:sz w:val="32"/>
          <w:szCs w:val="32"/>
          <w:highlight w:val="none"/>
        </w:rPr>
      </w:pPr>
    </w:p>
    <w:p w14:paraId="36D949A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项目名称：</w:t>
      </w:r>
    </w:p>
    <w:p w14:paraId="1C6A795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采购编号：</w:t>
      </w:r>
    </w:p>
    <w:tbl>
      <w:tblPr>
        <w:tblStyle w:val="30"/>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982"/>
        <w:gridCol w:w="2387"/>
        <w:gridCol w:w="1462"/>
        <w:gridCol w:w="2415"/>
        <w:gridCol w:w="1746"/>
      </w:tblGrid>
      <w:tr w14:paraId="270E690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3C36D2C9">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2387" w:type="dxa"/>
            <w:noWrap w:val="0"/>
            <w:vAlign w:val="center"/>
          </w:tcPr>
          <w:p w14:paraId="124C7548">
            <w:pPr>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商务</w:t>
            </w:r>
            <w:r>
              <w:rPr>
                <w:rFonts w:hint="eastAsia" w:ascii="宋体" w:hAnsi="宋体" w:cs="宋体"/>
                <w:color w:val="auto"/>
                <w:sz w:val="24"/>
                <w:highlight w:val="none"/>
              </w:rPr>
              <w:t>分内容</w:t>
            </w:r>
          </w:p>
        </w:tc>
        <w:tc>
          <w:tcPr>
            <w:tcW w:w="1462" w:type="dxa"/>
            <w:noWrap w:val="0"/>
            <w:vAlign w:val="center"/>
          </w:tcPr>
          <w:p w14:paraId="688E2C70">
            <w:pPr>
              <w:jc w:val="center"/>
              <w:rPr>
                <w:rFonts w:hint="eastAsia" w:ascii="宋体" w:hAnsi="宋体" w:cs="宋体"/>
                <w:color w:val="auto"/>
                <w:sz w:val="24"/>
                <w:highlight w:val="none"/>
              </w:rPr>
            </w:pPr>
            <w:r>
              <w:rPr>
                <w:rFonts w:hint="eastAsia" w:ascii="宋体" w:hAnsi="宋体" w:cs="宋体"/>
                <w:color w:val="auto"/>
                <w:sz w:val="24"/>
                <w:highlight w:val="none"/>
              </w:rPr>
              <w:t>自评得分</w:t>
            </w:r>
          </w:p>
        </w:tc>
        <w:tc>
          <w:tcPr>
            <w:tcW w:w="2415" w:type="dxa"/>
            <w:tcBorders>
              <w:right w:val="single" w:color="auto" w:sz="4" w:space="0"/>
            </w:tcBorders>
            <w:noWrap w:val="0"/>
            <w:vAlign w:val="center"/>
          </w:tcPr>
          <w:p w14:paraId="246FD86E">
            <w:pPr>
              <w:jc w:val="center"/>
              <w:rPr>
                <w:rFonts w:hint="eastAsia" w:ascii="宋体" w:hAnsi="宋体" w:cs="宋体"/>
                <w:color w:val="auto"/>
                <w:sz w:val="24"/>
                <w:highlight w:val="none"/>
              </w:rPr>
            </w:pPr>
            <w:r>
              <w:rPr>
                <w:rFonts w:hint="eastAsia" w:ascii="宋体" w:hAnsi="宋体" w:cs="宋体"/>
                <w:color w:val="auto"/>
                <w:sz w:val="24"/>
                <w:highlight w:val="none"/>
              </w:rPr>
              <w:t>投标文件对应资料</w:t>
            </w:r>
          </w:p>
        </w:tc>
        <w:tc>
          <w:tcPr>
            <w:tcW w:w="1746" w:type="dxa"/>
            <w:tcBorders>
              <w:left w:val="single" w:color="auto" w:sz="4" w:space="0"/>
            </w:tcBorders>
            <w:noWrap w:val="0"/>
            <w:vAlign w:val="center"/>
          </w:tcPr>
          <w:p w14:paraId="4A96FC23">
            <w:pPr>
              <w:jc w:val="center"/>
              <w:rPr>
                <w:rFonts w:hint="eastAsia" w:ascii="宋体" w:hAnsi="宋体" w:cs="宋体"/>
                <w:color w:val="auto"/>
                <w:sz w:val="24"/>
                <w:highlight w:val="none"/>
              </w:rPr>
            </w:pPr>
            <w:r>
              <w:rPr>
                <w:rFonts w:hint="eastAsia" w:ascii="宋体" w:hAnsi="宋体" w:cs="宋体"/>
                <w:color w:val="auto"/>
                <w:sz w:val="24"/>
                <w:highlight w:val="none"/>
              </w:rPr>
              <w:t>投标文件页码</w:t>
            </w:r>
          </w:p>
        </w:tc>
      </w:tr>
      <w:tr w14:paraId="1BF4193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32B4714F">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2387" w:type="dxa"/>
            <w:noWrap w:val="0"/>
            <w:vAlign w:val="top"/>
          </w:tcPr>
          <w:p w14:paraId="3E578D82">
            <w:pPr>
              <w:jc w:val="center"/>
              <w:rPr>
                <w:rFonts w:hint="eastAsia" w:ascii="宋体" w:hAnsi="宋体" w:cs="宋体"/>
                <w:color w:val="auto"/>
                <w:sz w:val="24"/>
                <w:highlight w:val="none"/>
              </w:rPr>
            </w:pPr>
          </w:p>
        </w:tc>
        <w:tc>
          <w:tcPr>
            <w:tcW w:w="1462" w:type="dxa"/>
            <w:noWrap w:val="0"/>
            <w:vAlign w:val="top"/>
          </w:tcPr>
          <w:p w14:paraId="400BBD4D">
            <w:pPr>
              <w:jc w:val="center"/>
              <w:rPr>
                <w:rFonts w:hint="eastAsia" w:ascii="宋体" w:hAnsi="宋体" w:cs="宋体"/>
                <w:color w:val="auto"/>
                <w:sz w:val="24"/>
                <w:highlight w:val="none"/>
              </w:rPr>
            </w:pPr>
          </w:p>
        </w:tc>
        <w:tc>
          <w:tcPr>
            <w:tcW w:w="2415" w:type="dxa"/>
            <w:tcBorders>
              <w:right w:val="single" w:color="auto" w:sz="4" w:space="0"/>
            </w:tcBorders>
            <w:noWrap w:val="0"/>
            <w:vAlign w:val="top"/>
          </w:tcPr>
          <w:p w14:paraId="7F5C2A7D">
            <w:pPr>
              <w:jc w:val="center"/>
              <w:rPr>
                <w:rFonts w:hint="eastAsia" w:ascii="宋体" w:hAnsi="宋体" w:cs="宋体"/>
                <w:color w:val="auto"/>
                <w:sz w:val="24"/>
                <w:highlight w:val="none"/>
              </w:rPr>
            </w:pPr>
          </w:p>
        </w:tc>
        <w:tc>
          <w:tcPr>
            <w:tcW w:w="1746" w:type="dxa"/>
            <w:tcBorders>
              <w:left w:val="single" w:color="auto" w:sz="4" w:space="0"/>
            </w:tcBorders>
            <w:noWrap w:val="0"/>
            <w:vAlign w:val="top"/>
          </w:tcPr>
          <w:p w14:paraId="3ED2C835">
            <w:pPr>
              <w:jc w:val="center"/>
              <w:rPr>
                <w:rFonts w:hint="eastAsia" w:ascii="宋体" w:hAnsi="宋体" w:cs="宋体"/>
                <w:color w:val="auto"/>
                <w:sz w:val="24"/>
                <w:highlight w:val="none"/>
              </w:rPr>
            </w:pPr>
          </w:p>
        </w:tc>
      </w:tr>
      <w:tr w14:paraId="4D77E87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4623E275">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2387" w:type="dxa"/>
            <w:noWrap w:val="0"/>
            <w:vAlign w:val="top"/>
          </w:tcPr>
          <w:p w14:paraId="7AFF248F">
            <w:pPr>
              <w:jc w:val="center"/>
              <w:rPr>
                <w:rFonts w:hint="eastAsia" w:ascii="宋体" w:hAnsi="宋体" w:cs="宋体"/>
                <w:color w:val="auto"/>
                <w:sz w:val="24"/>
                <w:highlight w:val="none"/>
              </w:rPr>
            </w:pPr>
          </w:p>
        </w:tc>
        <w:tc>
          <w:tcPr>
            <w:tcW w:w="1462" w:type="dxa"/>
            <w:noWrap w:val="0"/>
            <w:vAlign w:val="top"/>
          </w:tcPr>
          <w:p w14:paraId="3B103DC2">
            <w:pPr>
              <w:jc w:val="center"/>
              <w:rPr>
                <w:rFonts w:hint="eastAsia" w:ascii="宋体" w:hAnsi="宋体" w:cs="宋体"/>
                <w:color w:val="auto"/>
                <w:sz w:val="24"/>
                <w:highlight w:val="none"/>
              </w:rPr>
            </w:pPr>
          </w:p>
        </w:tc>
        <w:tc>
          <w:tcPr>
            <w:tcW w:w="2415" w:type="dxa"/>
            <w:tcBorders>
              <w:right w:val="single" w:color="auto" w:sz="4" w:space="0"/>
            </w:tcBorders>
            <w:noWrap w:val="0"/>
            <w:vAlign w:val="top"/>
          </w:tcPr>
          <w:p w14:paraId="1CA9B4AA">
            <w:pPr>
              <w:jc w:val="center"/>
              <w:rPr>
                <w:rFonts w:hint="eastAsia" w:ascii="宋体" w:hAnsi="宋体" w:cs="宋体"/>
                <w:color w:val="auto"/>
                <w:sz w:val="24"/>
                <w:highlight w:val="none"/>
              </w:rPr>
            </w:pPr>
          </w:p>
        </w:tc>
        <w:tc>
          <w:tcPr>
            <w:tcW w:w="1746" w:type="dxa"/>
            <w:tcBorders>
              <w:left w:val="single" w:color="auto" w:sz="4" w:space="0"/>
            </w:tcBorders>
            <w:noWrap w:val="0"/>
            <w:vAlign w:val="top"/>
          </w:tcPr>
          <w:p w14:paraId="13D56297">
            <w:pPr>
              <w:jc w:val="center"/>
              <w:rPr>
                <w:rFonts w:hint="eastAsia" w:ascii="宋体" w:hAnsi="宋体" w:cs="宋体"/>
                <w:color w:val="auto"/>
                <w:sz w:val="24"/>
                <w:highlight w:val="none"/>
              </w:rPr>
            </w:pPr>
          </w:p>
        </w:tc>
      </w:tr>
      <w:tr w14:paraId="421AAB4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2BF11A55">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2387" w:type="dxa"/>
            <w:noWrap w:val="0"/>
            <w:vAlign w:val="top"/>
          </w:tcPr>
          <w:p w14:paraId="14B98599">
            <w:pPr>
              <w:jc w:val="center"/>
              <w:rPr>
                <w:rFonts w:hint="eastAsia" w:ascii="宋体" w:hAnsi="宋体" w:cs="宋体"/>
                <w:color w:val="auto"/>
                <w:sz w:val="24"/>
                <w:highlight w:val="none"/>
              </w:rPr>
            </w:pPr>
          </w:p>
        </w:tc>
        <w:tc>
          <w:tcPr>
            <w:tcW w:w="1462" w:type="dxa"/>
            <w:noWrap w:val="0"/>
            <w:vAlign w:val="top"/>
          </w:tcPr>
          <w:p w14:paraId="3D81F98F">
            <w:pPr>
              <w:jc w:val="center"/>
              <w:rPr>
                <w:rFonts w:hint="eastAsia" w:ascii="宋体" w:hAnsi="宋体" w:cs="宋体"/>
                <w:color w:val="auto"/>
                <w:sz w:val="24"/>
                <w:highlight w:val="none"/>
              </w:rPr>
            </w:pPr>
          </w:p>
        </w:tc>
        <w:tc>
          <w:tcPr>
            <w:tcW w:w="2415" w:type="dxa"/>
            <w:tcBorders>
              <w:right w:val="single" w:color="auto" w:sz="4" w:space="0"/>
            </w:tcBorders>
            <w:noWrap w:val="0"/>
            <w:vAlign w:val="top"/>
          </w:tcPr>
          <w:p w14:paraId="334125E2">
            <w:pPr>
              <w:jc w:val="center"/>
              <w:rPr>
                <w:rFonts w:hint="eastAsia" w:ascii="宋体" w:hAnsi="宋体" w:cs="宋体"/>
                <w:color w:val="auto"/>
                <w:sz w:val="24"/>
                <w:highlight w:val="none"/>
              </w:rPr>
            </w:pPr>
          </w:p>
        </w:tc>
        <w:tc>
          <w:tcPr>
            <w:tcW w:w="1746" w:type="dxa"/>
            <w:tcBorders>
              <w:left w:val="single" w:color="auto" w:sz="4" w:space="0"/>
            </w:tcBorders>
            <w:noWrap w:val="0"/>
            <w:vAlign w:val="top"/>
          </w:tcPr>
          <w:p w14:paraId="6A1C4373">
            <w:pPr>
              <w:jc w:val="center"/>
              <w:rPr>
                <w:rFonts w:hint="eastAsia" w:ascii="宋体" w:hAnsi="宋体" w:cs="宋体"/>
                <w:color w:val="auto"/>
                <w:sz w:val="24"/>
                <w:highlight w:val="none"/>
              </w:rPr>
            </w:pPr>
          </w:p>
        </w:tc>
      </w:tr>
      <w:tr w14:paraId="0121E9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75A3E00D">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2387" w:type="dxa"/>
            <w:noWrap w:val="0"/>
            <w:vAlign w:val="top"/>
          </w:tcPr>
          <w:p w14:paraId="14225A6B">
            <w:pPr>
              <w:jc w:val="center"/>
              <w:rPr>
                <w:rFonts w:hint="eastAsia" w:ascii="宋体" w:hAnsi="宋体" w:cs="宋体"/>
                <w:color w:val="auto"/>
                <w:sz w:val="24"/>
                <w:highlight w:val="none"/>
              </w:rPr>
            </w:pPr>
          </w:p>
        </w:tc>
        <w:tc>
          <w:tcPr>
            <w:tcW w:w="1462" w:type="dxa"/>
            <w:noWrap w:val="0"/>
            <w:vAlign w:val="top"/>
          </w:tcPr>
          <w:p w14:paraId="2A6C7C7B">
            <w:pPr>
              <w:jc w:val="center"/>
              <w:rPr>
                <w:rFonts w:hint="eastAsia" w:ascii="宋体" w:hAnsi="宋体" w:cs="宋体"/>
                <w:color w:val="auto"/>
                <w:sz w:val="24"/>
                <w:highlight w:val="none"/>
              </w:rPr>
            </w:pPr>
          </w:p>
        </w:tc>
        <w:tc>
          <w:tcPr>
            <w:tcW w:w="2415" w:type="dxa"/>
            <w:tcBorders>
              <w:right w:val="single" w:color="auto" w:sz="4" w:space="0"/>
            </w:tcBorders>
            <w:noWrap w:val="0"/>
            <w:vAlign w:val="top"/>
          </w:tcPr>
          <w:p w14:paraId="6CD6DF58">
            <w:pPr>
              <w:jc w:val="center"/>
              <w:rPr>
                <w:rFonts w:hint="eastAsia" w:ascii="宋体" w:hAnsi="宋体" w:cs="宋体"/>
                <w:color w:val="auto"/>
                <w:sz w:val="24"/>
                <w:highlight w:val="none"/>
              </w:rPr>
            </w:pPr>
          </w:p>
        </w:tc>
        <w:tc>
          <w:tcPr>
            <w:tcW w:w="1746" w:type="dxa"/>
            <w:tcBorders>
              <w:left w:val="single" w:color="auto" w:sz="4" w:space="0"/>
            </w:tcBorders>
            <w:noWrap w:val="0"/>
            <w:vAlign w:val="top"/>
          </w:tcPr>
          <w:p w14:paraId="5BC48C17">
            <w:pPr>
              <w:jc w:val="center"/>
              <w:rPr>
                <w:rFonts w:hint="eastAsia" w:ascii="宋体" w:hAnsi="宋体" w:cs="宋体"/>
                <w:color w:val="auto"/>
                <w:sz w:val="24"/>
                <w:highlight w:val="none"/>
              </w:rPr>
            </w:pPr>
          </w:p>
        </w:tc>
      </w:tr>
      <w:tr w14:paraId="3F9498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5BB45980">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2387" w:type="dxa"/>
            <w:noWrap w:val="0"/>
            <w:vAlign w:val="top"/>
          </w:tcPr>
          <w:p w14:paraId="4221EE0C">
            <w:pPr>
              <w:jc w:val="center"/>
              <w:rPr>
                <w:rFonts w:hint="eastAsia" w:ascii="宋体" w:hAnsi="宋体" w:cs="宋体"/>
                <w:color w:val="auto"/>
                <w:sz w:val="24"/>
                <w:highlight w:val="none"/>
              </w:rPr>
            </w:pPr>
          </w:p>
        </w:tc>
        <w:tc>
          <w:tcPr>
            <w:tcW w:w="1462" w:type="dxa"/>
            <w:noWrap w:val="0"/>
            <w:vAlign w:val="top"/>
          </w:tcPr>
          <w:p w14:paraId="04D62650">
            <w:pPr>
              <w:jc w:val="center"/>
              <w:rPr>
                <w:rFonts w:hint="eastAsia" w:ascii="宋体" w:hAnsi="宋体" w:cs="宋体"/>
                <w:color w:val="auto"/>
                <w:sz w:val="24"/>
                <w:highlight w:val="none"/>
              </w:rPr>
            </w:pPr>
          </w:p>
        </w:tc>
        <w:tc>
          <w:tcPr>
            <w:tcW w:w="2415" w:type="dxa"/>
            <w:tcBorders>
              <w:right w:val="single" w:color="auto" w:sz="4" w:space="0"/>
            </w:tcBorders>
            <w:noWrap w:val="0"/>
            <w:vAlign w:val="top"/>
          </w:tcPr>
          <w:p w14:paraId="659B1D11">
            <w:pPr>
              <w:jc w:val="center"/>
              <w:rPr>
                <w:rFonts w:hint="eastAsia" w:ascii="宋体" w:hAnsi="宋体" w:cs="宋体"/>
                <w:color w:val="auto"/>
                <w:sz w:val="24"/>
                <w:highlight w:val="none"/>
              </w:rPr>
            </w:pPr>
          </w:p>
        </w:tc>
        <w:tc>
          <w:tcPr>
            <w:tcW w:w="1746" w:type="dxa"/>
            <w:tcBorders>
              <w:left w:val="single" w:color="auto" w:sz="4" w:space="0"/>
            </w:tcBorders>
            <w:noWrap w:val="0"/>
            <w:vAlign w:val="top"/>
          </w:tcPr>
          <w:p w14:paraId="0933C695">
            <w:pPr>
              <w:jc w:val="center"/>
              <w:rPr>
                <w:rFonts w:hint="eastAsia" w:ascii="宋体" w:hAnsi="宋体" w:cs="宋体"/>
                <w:color w:val="auto"/>
                <w:sz w:val="24"/>
                <w:highlight w:val="none"/>
              </w:rPr>
            </w:pPr>
          </w:p>
        </w:tc>
      </w:tr>
      <w:tr w14:paraId="070AD5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2103DD56">
            <w:pPr>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2387" w:type="dxa"/>
            <w:noWrap w:val="0"/>
            <w:vAlign w:val="top"/>
          </w:tcPr>
          <w:p w14:paraId="1E008C47">
            <w:pPr>
              <w:jc w:val="center"/>
              <w:rPr>
                <w:rFonts w:hint="eastAsia" w:ascii="宋体" w:hAnsi="宋体" w:cs="宋体"/>
                <w:color w:val="auto"/>
                <w:sz w:val="24"/>
                <w:highlight w:val="none"/>
              </w:rPr>
            </w:pPr>
          </w:p>
        </w:tc>
        <w:tc>
          <w:tcPr>
            <w:tcW w:w="1462" w:type="dxa"/>
            <w:noWrap w:val="0"/>
            <w:vAlign w:val="top"/>
          </w:tcPr>
          <w:p w14:paraId="3371445F">
            <w:pPr>
              <w:jc w:val="center"/>
              <w:rPr>
                <w:rFonts w:hint="eastAsia" w:ascii="宋体" w:hAnsi="宋体" w:cs="宋体"/>
                <w:color w:val="auto"/>
                <w:sz w:val="24"/>
                <w:highlight w:val="none"/>
              </w:rPr>
            </w:pPr>
          </w:p>
        </w:tc>
        <w:tc>
          <w:tcPr>
            <w:tcW w:w="2415" w:type="dxa"/>
            <w:tcBorders>
              <w:right w:val="single" w:color="auto" w:sz="4" w:space="0"/>
            </w:tcBorders>
            <w:noWrap w:val="0"/>
            <w:vAlign w:val="top"/>
          </w:tcPr>
          <w:p w14:paraId="37723349">
            <w:pPr>
              <w:jc w:val="center"/>
              <w:rPr>
                <w:rFonts w:hint="eastAsia" w:ascii="宋体" w:hAnsi="宋体" w:cs="宋体"/>
                <w:color w:val="auto"/>
                <w:sz w:val="24"/>
                <w:highlight w:val="none"/>
              </w:rPr>
            </w:pPr>
          </w:p>
        </w:tc>
        <w:tc>
          <w:tcPr>
            <w:tcW w:w="1746" w:type="dxa"/>
            <w:tcBorders>
              <w:left w:val="single" w:color="auto" w:sz="4" w:space="0"/>
            </w:tcBorders>
            <w:noWrap w:val="0"/>
            <w:vAlign w:val="top"/>
          </w:tcPr>
          <w:p w14:paraId="15C51DAA">
            <w:pPr>
              <w:jc w:val="center"/>
              <w:rPr>
                <w:rFonts w:hint="eastAsia" w:ascii="宋体" w:hAnsi="宋体" w:cs="宋体"/>
                <w:color w:val="auto"/>
                <w:sz w:val="24"/>
                <w:highlight w:val="none"/>
              </w:rPr>
            </w:pPr>
          </w:p>
        </w:tc>
      </w:tr>
      <w:tr w14:paraId="4F0A30F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3CE1E889">
            <w:pP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2387" w:type="dxa"/>
            <w:noWrap w:val="0"/>
            <w:vAlign w:val="top"/>
          </w:tcPr>
          <w:p w14:paraId="7E86200D">
            <w:pPr>
              <w:jc w:val="center"/>
              <w:rPr>
                <w:rFonts w:hint="eastAsia" w:ascii="宋体" w:hAnsi="宋体" w:cs="宋体"/>
                <w:color w:val="auto"/>
                <w:sz w:val="24"/>
                <w:highlight w:val="none"/>
              </w:rPr>
            </w:pPr>
          </w:p>
        </w:tc>
        <w:tc>
          <w:tcPr>
            <w:tcW w:w="1462" w:type="dxa"/>
            <w:noWrap w:val="0"/>
            <w:vAlign w:val="top"/>
          </w:tcPr>
          <w:p w14:paraId="7E919ADB">
            <w:pPr>
              <w:jc w:val="center"/>
              <w:rPr>
                <w:rFonts w:hint="eastAsia" w:ascii="宋体" w:hAnsi="宋体" w:cs="宋体"/>
                <w:color w:val="auto"/>
                <w:sz w:val="24"/>
                <w:highlight w:val="none"/>
              </w:rPr>
            </w:pPr>
          </w:p>
        </w:tc>
        <w:tc>
          <w:tcPr>
            <w:tcW w:w="2415" w:type="dxa"/>
            <w:tcBorders>
              <w:right w:val="single" w:color="auto" w:sz="4" w:space="0"/>
            </w:tcBorders>
            <w:noWrap w:val="0"/>
            <w:vAlign w:val="top"/>
          </w:tcPr>
          <w:p w14:paraId="6908622F">
            <w:pPr>
              <w:jc w:val="center"/>
              <w:rPr>
                <w:rFonts w:hint="eastAsia" w:ascii="宋体" w:hAnsi="宋体" w:cs="宋体"/>
                <w:color w:val="auto"/>
                <w:sz w:val="24"/>
                <w:highlight w:val="none"/>
              </w:rPr>
            </w:pPr>
          </w:p>
        </w:tc>
        <w:tc>
          <w:tcPr>
            <w:tcW w:w="1746" w:type="dxa"/>
            <w:tcBorders>
              <w:left w:val="single" w:color="auto" w:sz="4" w:space="0"/>
            </w:tcBorders>
            <w:noWrap w:val="0"/>
            <w:vAlign w:val="top"/>
          </w:tcPr>
          <w:p w14:paraId="18FC6E66">
            <w:pPr>
              <w:jc w:val="center"/>
              <w:rPr>
                <w:rFonts w:hint="eastAsia" w:ascii="宋体" w:hAnsi="宋体" w:cs="宋体"/>
                <w:color w:val="auto"/>
                <w:sz w:val="24"/>
                <w:highlight w:val="none"/>
              </w:rPr>
            </w:pPr>
          </w:p>
        </w:tc>
      </w:tr>
      <w:tr w14:paraId="49034F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6A51B58B">
            <w:pPr>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2387" w:type="dxa"/>
            <w:noWrap w:val="0"/>
            <w:vAlign w:val="top"/>
          </w:tcPr>
          <w:p w14:paraId="3C5B6532">
            <w:pPr>
              <w:jc w:val="center"/>
              <w:rPr>
                <w:rFonts w:hint="eastAsia" w:ascii="宋体" w:hAnsi="宋体" w:cs="宋体"/>
                <w:color w:val="auto"/>
                <w:sz w:val="24"/>
                <w:highlight w:val="none"/>
              </w:rPr>
            </w:pPr>
          </w:p>
        </w:tc>
        <w:tc>
          <w:tcPr>
            <w:tcW w:w="1462" w:type="dxa"/>
            <w:noWrap w:val="0"/>
            <w:vAlign w:val="top"/>
          </w:tcPr>
          <w:p w14:paraId="438435D5">
            <w:pPr>
              <w:jc w:val="center"/>
              <w:rPr>
                <w:rFonts w:hint="eastAsia" w:ascii="宋体" w:hAnsi="宋体" w:cs="宋体"/>
                <w:color w:val="auto"/>
                <w:sz w:val="24"/>
                <w:highlight w:val="none"/>
              </w:rPr>
            </w:pPr>
          </w:p>
        </w:tc>
        <w:tc>
          <w:tcPr>
            <w:tcW w:w="2415" w:type="dxa"/>
            <w:tcBorders>
              <w:right w:val="single" w:color="auto" w:sz="4" w:space="0"/>
            </w:tcBorders>
            <w:noWrap w:val="0"/>
            <w:vAlign w:val="top"/>
          </w:tcPr>
          <w:p w14:paraId="0E66B3DB">
            <w:pPr>
              <w:jc w:val="center"/>
              <w:rPr>
                <w:rFonts w:hint="eastAsia" w:ascii="宋体" w:hAnsi="宋体" w:cs="宋体"/>
                <w:color w:val="auto"/>
                <w:sz w:val="24"/>
                <w:highlight w:val="none"/>
              </w:rPr>
            </w:pPr>
          </w:p>
        </w:tc>
        <w:tc>
          <w:tcPr>
            <w:tcW w:w="1746" w:type="dxa"/>
            <w:tcBorders>
              <w:left w:val="single" w:color="auto" w:sz="4" w:space="0"/>
            </w:tcBorders>
            <w:noWrap w:val="0"/>
            <w:vAlign w:val="top"/>
          </w:tcPr>
          <w:p w14:paraId="30EA039E">
            <w:pPr>
              <w:jc w:val="center"/>
              <w:rPr>
                <w:rFonts w:hint="eastAsia" w:ascii="宋体" w:hAnsi="宋体" w:cs="宋体"/>
                <w:color w:val="auto"/>
                <w:sz w:val="24"/>
                <w:highlight w:val="none"/>
              </w:rPr>
            </w:pPr>
          </w:p>
        </w:tc>
      </w:tr>
      <w:tr w14:paraId="5D6A6C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982" w:type="dxa"/>
            <w:noWrap w:val="0"/>
            <w:vAlign w:val="center"/>
          </w:tcPr>
          <w:p w14:paraId="50C79A1E">
            <w:pPr>
              <w:jc w:val="center"/>
              <w:rPr>
                <w:rFonts w:hint="eastAsia" w:ascii="宋体" w:hAnsi="宋体" w:cs="宋体"/>
                <w:color w:val="auto"/>
                <w:sz w:val="24"/>
                <w:highlight w:val="none"/>
              </w:rPr>
            </w:pPr>
            <w:r>
              <w:rPr>
                <w:rFonts w:hint="eastAsia" w:ascii="宋体" w:hAnsi="宋体" w:cs="宋体"/>
                <w:color w:val="auto"/>
                <w:sz w:val="24"/>
                <w:highlight w:val="none"/>
              </w:rPr>
              <w:t>合计</w:t>
            </w:r>
          </w:p>
        </w:tc>
        <w:tc>
          <w:tcPr>
            <w:tcW w:w="2387" w:type="dxa"/>
            <w:noWrap w:val="0"/>
            <w:vAlign w:val="top"/>
          </w:tcPr>
          <w:p w14:paraId="1946F6C2">
            <w:pPr>
              <w:jc w:val="center"/>
              <w:rPr>
                <w:rFonts w:hint="eastAsia" w:ascii="宋体" w:hAnsi="宋体" w:cs="宋体"/>
                <w:color w:val="auto"/>
                <w:sz w:val="24"/>
                <w:highlight w:val="none"/>
              </w:rPr>
            </w:pPr>
          </w:p>
        </w:tc>
        <w:tc>
          <w:tcPr>
            <w:tcW w:w="1462" w:type="dxa"/>
            <w:noWrap w:val="0"/>
            <w:vAlign w:val="top"/>
          </w:tcPr>
          <w:p w14:paraId="54DBD7E0">
            <w:pPr>
              <w:jc w:val="center"/>
              <w:rPr>
                <w:rFonts w:hint="eastAsia" w:ascii="宋体" w:hAnsi="宋体" w:cs="宋体"/>
                <w:color w:val="auto"/>
                <w:sz w:val="24"/>
                <w:highlight w:val="none"/>
              </w:rPr>
            </w:pPr>
          </w:p>
        </w:tc>
        <w:tc>
          <w:tcPr>
            <w:tcW w:w="2415" w:type="dxa"/>
            <w:tcBorders>
              <w:right w:val="single" w:color="auto" w:sz="4" w:space="0"/>
            </w:tcBorders>
            <w:noWrap w:val="0"/>
            <w:vAlign w:val="top"/>
          </w:tcPr>
          <w:p w14:paraId="2A0B69F2">
            <w:pPr>
              <w:jc w:val="center"/>
              <w:rPr>
                <w:rFonts w:hint="eastAsia" w:ascii="宋体" w:hAnsi="宋体" w:cs="宋体"/>
                <w:color w:val="auto"/>
                <w:sz w:val="24"/>
                <w:highlight w:val="none"/>
              </w:rPr>
            </w:pPr>
          </w:p>
        </w:tc>
        <w:tc>
          <w:tcPr>
            <w:tcW w:w="1746" w:type="dxa"/>
            <w:tcBorders>
              <w:left w:val="single" w:color="auto" w:sz="4" w:space="0"/>
            </w:tcBorders>
            <w:noWrap w:val="0"/>
            <w:vAlign w:val="top"/>
          </w:tcPr>
          <w:p w14:paraId="2D07DF26">
            <w:pPr>
              <w:jc w:val="center"/>
              <w:rPr>
                <w:rFonts w:hint="eastAsia" w:ascii="宋体" w:hAnsi="宋体" w:cs="宋体"/>
                <w:color w:val="auto"/>
                <w:sz w:val="24"/>
                <w:highlight w:val="none"/>
              </w:rPr>
            </w:pPr>
          </w:p>
        </w:tc>
      </w:tr>
    </w:tbl>
    <w:p w14:paraId="097CCB98">
      <w:pPr>
        <w:spacing w:line="360" w:lineRule="auto"/>
        <w:ind w:firstLine="480" w:firstLineChars="200"/>
        <w:rPr>
          <w:rFonts w:hint="eastAsia" w:ascii="宋体" w:hAnsi="宋体" w:cs="宋体"/>
          <w:color w:val="auto"/>
          <w:sz w:val="24"/>
          <w:highlight w:val="none"/>
        </w:rPr>
      </w:pPr>
    </w:p>
    <w:p w14:paraId="2050E61E">
      <w:pPr>
        <w:spacing w:line="360" w:lineRule="auto"/>
        <w:ind w:left="3780" w:leftChars="1800" w:firstLine="480" w:firstLineChars="200"/>
        <w:rPr>
          <w:rFonts w:hint="eastAsia" w:ascii="宋体" w:hAnsi="宋体" w:cs="宋体"/>
          <w:color w:val="auto"/>
          <w:sz w:val="24"/>
          <w:highlight w:val="none"/>
        </w:rPr>
      </w:pPr>
    </w:p>
    <w:p w14:paraId="49502B3D">
      <w:pPr>
        <w:spacing w:line="360" w:lineRule="auto"/>
        <w:ind w:left="3780" w:leftChars="18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法定代表人签名（或签名章）：                       </w:t>
      </w:r>
    </w:p>
    <w:p w14:paraId="7955CA60">
      <w:pPr>
        <w:spacing w:line="360" w:lineRule="auto"/>
        <w:ind w:left="3780" w:leftChars="1800" w:firstLine="480" w:firstLineChars="200"/>
        <w:rPr>
          <w:rFonts w:hint="eastAsia" w:ascii="宋体" w:hAnsi="宋体" w:cs="宋体"/>
          <w:color w:val="auto"/>
          <w:sz w:val="24"/>
          <w:highlight w:val="none"/>
        </w:rPr>
      </w:pPr>
      <w:r>
        <w:rPr>
          <w:rFonts w:hint="eastAsia" w:ascii="宋体" w:hAnsi="宋体" w:cs="宋体"/>
          <w:color w:val="auto"/>
          <w:sz w:val="24"/>
          <w:highlight w:val="none"/>
        </w:rPr>
        <w:t>日 期：</w:t>
      </w:r>
    </w:p>
    <w:p w14:paraId="57858409">
      <w:pPr>
        <w:spacing w:line="360" w:lineRule="auto"/>
        <w:ind w:left="3780" w:leftChars="1800"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投标人(或联合体牵头人)全称（公章）：</w:t>
      </w:r>
    </w:p>
    <w:p w14:paraId="369985E6">
      <w:pPr>
        <w:pStyle w:val="4"/>
        <w:rPr>
          <w:rFonts w:hint="eastAsia" w:hAnsi="宋体" w:cs="宋体"/>
          <w:bCs/>
          <w:color w:val="auto"/>
          <w:sz w:val="24"/>
          <w:szCs w:val="24"/>
          <w:highlight w:val="none"/>
        </w:rPr>
      </w:pPr>
      <w:r>
        <w:rPr>
          <w:rFonts w:hint="eastAsia" w:hAnsi="宋体" w:cs="宋体"/>
          <w:bCs/>
          <w:color w:val="auto"/>
          <w:sz w:val="24"/>
          <w:szCs w:val="24"/>
          <w:highlight w:val="none"/>
        </w:rPr>
        <w:t>附件</w:t>
      </w:r>
      <w:r>
        <w:rPr>
          <w:rFonts w:hint="eastAsia" w:hAnsi="宋体" w:cs="宋体"/>
          <w:bCs/>
          <w:color w:val="auto"/>
          <w:sz w:val="24"/>
          <w:szCs w:val="24"/>
          <w:highlight w:val="none"/>
          <w:lang w:val="en-US" w:eastAsia="zh-CN"/>
        </w:rPr>
        <w:t>七</w:t>
      </w:r>
      <w:r>
        <w:rPr>
          <w:rFonts w:hint="eastAsia" w:hAnsi="宋体" w:cs="宋体"/>
          <w:bCs/>
          <w:color w:val="auto"/>
          <w:sz w:val="24"/>
          <w:szCs w:val="24"/>
          <w:highlight w:val="none"/>
        </w:rPr>
        <w:t>：</w:t>
      </w:r>
    </w:p>
    <w:p w14:paraId="55C2ABB3">
      <w:pPr>
        <w:spacing w:line="360" w:lineRule="auto"/>
        <w:jc w:val="center"/>
        <w:rPr>
          <w:rFonts w:hint="eastAsia" w:ascii="宋体" w:hAnsi="宋体" w:cs="宋体"/>
          <w:b/>
          <w:bCs/>
          <w:color w:val="auto"/>
          <w:sz w:val="32"/>
          <w:szCs w:val="32"/>
          <w:highlight w:val="none"/>
        </w:rPr>
      </w:pPr>
      <w:r>
        <w:rPr>
          <w:rFonts w:hint="eastAsia" w:ascii="宋体" w:hAnsi="宋体" w:cs="宋体"/>
          <w:b/>
          <w:bCs/>
          <w:color w:val="auto"/>
          <w:sz w:val="32"/>
          <w:szCs w:val="32"/>
          <w:highlight w:val="none"/>
        </w:rPr>
        <w:t>商务响应表</w:t>
      </w:r>
    </w:p>
    <w:p w14:paraId="67D51F7B">
      <w:pPr>
        <w:snapToGrid w:val="0"/>
        <w:spacing w:before="50"/>
        <w:jc w:val="center"/>
        <w:rPr>
          <w:rFonts w:hint="eastAsia" w:ascii="宋体" w:hAnsi="宋体" w:cs="宋体"/>
          <w:b/>
          <w:color w:val="auto"/>
          <w:sz w:val="32"/>
          <w:szCs w:val="32"/>
          <w:highlight w:val="none"/>
        </w:rPr>
      </w:pPr>
    </w:p>
    <w:p w14:paraId="4E0A3C2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项目名称：</w:t>
      </w:r>
    </w:p>
    <w:p w14:paraId="66B17FE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采购编号：</w:t>
      </w:r>
    </w:p>
    <w:tbl>
      <w:tblPr>
        <w:tblStyle w:val="3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454"/>
        <w:gridCol w:w="2700"/>
        <w:gridCol w:w="1260"/>
        <w:gridCol w:w="3020"/>
      </w:tblGrid>
      <w:tr w14:paraId="0AC95A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0B979F6D">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项目</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49CBD45D">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招标文件要求</w:t>
            </w:r>
          </w:p>
        </w:tc>
        <w:tc>
          <w:tcPr>
            <w:tcW w:w="1260" w:type="dxa"/>
            <w:tcBorders>
              <w:top w:val="single" w:color="auto" w:sz="4" w:space="0"/>
              <w:left w:val="single" w:color="auto" w:sz="4" w:space="0"/>
              <w:bottom w:val="single" w:color="auto" w:sz="4" w:space="0"/>
              <w:right w:val="single" w:color="auto" w:sz="4" w:space="0"/>
            </w:tcBorders>
            <w:noWrap w:val="0"/>
            <w:vAlign w:val="center"/>
          </w:tcPr>
          <w:p w14:paraId="2EEC81D5">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是否</w:t>
            </w:r>
          </w:p>
          <w:p w14:paraId="71C10D85">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响应</w:t>
            </w:r>
          </w:p>
        </w:tc>
        <w:tc>
          <w:tcPr>
            <w:tcW w:w="3020" w:type="dxa"/>
            <w:tcBorders>
              <w:top w:val="single" w:color="auto" w:sz="4" w:space="0"/>
              <w:left w:val="single" w:color="auto" w:sz="4" w:space="0"/>
              <w:bottom w:val="single" w:color="auto" w:sz="4" w:space="0"/>
              <w:right w:val="single" w:color="auto" w:sz="4" w:space="0"/>
            </w:tcBorders>
            <w:noWrap w:val="0"/>
            <w:vAlign w:val="center"/>
          </w:tcPr>
          <w:p w14:paraId="0AF87959">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投标人的承诺或说明</w:t>
            </w:r>
          </w:p>
        </w:tc>
      </w:tr>
      <w:tr w14:paraId="5C2605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27119535">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服务时间及地点</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01744472">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4663EB1B">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1E28FB88">
            <w:pPr>
              <w:snapToGrid w:val="0"/>
              <w:spacing w:before="50" w:after="50"/>
              <w:jc w:val="center"/>
              <w:rPr>
                <w:rFonts w:hint="eastAsia" w:ascii="宋体" w:hAnsi="宋体" w:cs="宋体"/>
                <w:color w:val="auto"/>
                <w:sz w:val="24"/>
                <w:highlight w:val="none"/>
              </w:rPr>
            </w:pPr>
          </w:p>
        </w:tc>
      </w:tr>
      <w:tr w14:paraId="03F826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6152730C">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付款条件</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66F44E8F">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46264077">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780025DA">
            <w:pPr>
              <w:snapToGrid w:val="0"/>
              <w:spacing w:before="50" w:after="50"/>
              <w:jc w:val="center"/>
              <w:rPr>
                <w:rFonts w:hint="eastAsia" w:ascii="宋体" w:hAnsi="宋体" w:cs="宋体"/>
                <w:color w:val="auto"/>
                <w:sz w:val="24"/>
                <w:highlight w:val="none"/>
              </w:rPr>
            </w:pPr>
          </w:p>
        </w:tc>
      </w:tr>
      <w:tr w14:paraId="511A07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597DEBEB">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违约责任及争议解决方式</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46FA8DCB">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53B766AE">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6C33E762">
            <w:pPr>
              <w:snapToGrid w:val="0"/>
              <w:spacing w:before="50" w:after="50"/>
              <w:jc w:val="center"/>
              <w:rPr>
                <w:rFonts w:hint="eastAsia" w:ascii="宋体" w:hAnsi="宋体" w:cs="宋体"/>
                <w:color w:val="auto"/>
                <w:sz w:val="24"/>
                <w:highlight w:val="none"/>
              </w:rPr>
            </w:pPr>
          </w:p>
        </w:tc>
      </w:tr>
      <w:tr w14:paraId="49B626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05650300">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项目维护计划</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23389517">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413213A1">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55E2CF33">
            <w:pPr>
              <w:snapToGrid w:val="0"/>
              <w:spacing w:before="50" w:after="50"/>
              <w:jc w:val="center"/>
              <w:rPr>
                <w:rFonts w:hint="eastAsia" w:ascii="宋体" w:hAnsi="宋体" w:cs="宋体"/>
                <w:color w:val="auto"/>
                <w:sz w:val="24"/>
                <w:highlight w:val="none"/>
              </w:rPr>
            </w:pPr>
          </w:p>
        </w:tc>
      </w:tr>
      <w:tr w14:paraId="7A9409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1D8DBFD7">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售后服务响应情况</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1B236817">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3F59A5A0">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223BD61C">
            <w:pPr>
              <w:snapToGrid w:val="0"/>
              <w:spacing w:before="50" w:after="50"/>
              <w:jc w:val="center"/>
              <w:rPr>
                <w:rFonts w:hint="eastAsia" w:ascii="宋体" w:hAnsi="宋体" w:cs="宋体"/>
                <w:color w:val="auto"/>
                <w:sz w:val="24"/>
                <w:highlight w:val="none"/>
              </w:rPr>
            </w:pPr>
          </w:p>
        </w:tc>
      </w:tr>
      <w:tr w14:paraId="2B87CD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3D1614DF">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本地化服务</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098B779D">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53F3E4E1">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08B13C38">
            <w:pPr>
              <w:snapToGrid w:val="0"/>
              <w:spacing w:before="50" w:after="50"/>
              <w:jc w:val="center"/>
              <w:rPr>
                <w:rFonts w:hint="eastAsia" w:ascii="宋体" w:hAnsi="宋体" w:cs="宋体"/>
                <w:color w:val="auto"/>
                <w:sz w:val="24"/>
                <w:highlight w:val="none"/>
              </w:rPr>
            </w:pPr>
          </w:p>
        </w:tc>
      </w:tr>
      <w:tr w14:paraId="6F2EA7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1E790A53">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技术培训</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50F73F68">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7EA3832D">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15FEC6D4">
            <w:pPr>
              <w:snapToGrid w:val="0"/>
              <w:spacing w:before="50" w:after="50"/>
              <w:jc w:val="center"/>
              <w:rPr>
                <w:rFonts w:hint="eastAsia" w:ascii="宋体" w:hAnsi="宋体" w:cs="宋体"/>
                <w:color w:val="auto"/>
                <w:sz w:val="24"/>
                <w:highlight w:val="none"/>
              </w:rPr>
            </w:pPr>
          </w:p>
        </w:tc>
      </w:tr>
      <w:tr w14:paraId="27308B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2819E831">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公司技术力量情况</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4CDEE435">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51A92A18">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7689F341">
            <w:pPr>
              <w:snapToGrid w:val="0"/>
              <w:spacing w:before="50" w:after="50"/>
              <w:jc w:val="center"/>
              <w:rPr>
                <w:rFonts w:hint="eastAsia" w:ascii="宋体" w:hAnsi="宋体" w:cs="宋体"/>
                <w:color w:val="auto"/>
                <w:sz w:val="24"/>
                <w:highlight w:val="none"/>
              </w:rPr>
            </w:pPr>
          </w:p>
        </w:tc>
      </w:tr>
      <w:tr w14:paraId="0629FC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2EDC54A6">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经验或业绩要求</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07153683">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1B50396C">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22F8BC6F">
            <w:pPr>
              <w:snapToGrid w:val="0"/>
              <w:spacing w:before="50" w:after="50"/>
              <w:jc w:val="center"/>
              <w:rPr>
                <w:rFonts w:hint="eastAsia" w:ascii="宋体" w:hAnsi="宋体" w:cs="宋体"/>
                <w:color w:val="auto"/>
                <w:sz w:val="24"/>
                <w:highlight w:val="none"/>
              </w:rPr>
            </w:pPr>
          </w:p>
        </w:tc>
      </w:tr>
      <w:tr w14:paraId="7C46B1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37A6D38A">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各类证书</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3B6F55DC">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4A50B966">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0ADFF3B1">
            <w:pPr>
              <w:snapToGrid w:val="0"/>
              <w:spacing w:before="50" w:after="50"/>
              <w:jc w:val="center"/>
              <w:rPr>
                <w:rFonts w:hint="eastAsia" w:ascii="宋体" w:hAnsi="宋体" w:cs="宋体"/>
                <w:color w:val="auto"/>
                <w:sz w:val="24"/>
                <w:highlight w:val="none"/>
              </w:rPr>
            </w:pPr>
          </w:p>
        </w:tc>
      </w:tr>
      <w:tr w14:paraId="2FEDB5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2454" w:type="dxa"/>
            <w:tcBorders>
              <w:top w:val="single" w:color="auto" w:sz="4" w:space="0"/>
              <w:left w:val="single" w:color="auto" w:sz="4" w:space="0"/>
              <w:bottom w:val="single" w:color="auto" w:sz="4" w:space="0"/>
              <w:right w:val="single" w:color="auto" w:sz="4" w:space="0"/>
            </w:tcBorders>
            <w:noWrap w:val="0"/>
            <w:vAlign w:val="center"/>
          </w:tcPr>
          <w:p w14:paraId="10358703">
            <w:pPr>
              <w:snapToGrid w:val="0"/>
              <w:spacing w:before="50" w:after="50"/>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2700" w:type="dxa"/>
            <w:tcBorders>
              <w:top w:val="single" w:color="auto" w:sz="4" w:space="0"/>
              <w:left w:val="single" w:color="auto" w:sz="4" w:space="0"/>
              <w:bottom w:val="single" w:color="auto" w:sz="4" w:space="0"/>
              <w:right w:val="single" w:color="auto" w:sz="4" w:space="0"/>
            </w:tcBorders>
            <w:noWrap w:val="0"/>
            <w:vAlign w:val="center"/>
          </w:tcPr>
          <w:p w14:paraId="2BD807A9">
            <w:pPr>
              <w:snapToGrid w:val="0"/>
              <w:spacing w:before="50" w:after="50"/>
              <w:jc w:val="center"/>
              <w:rPr>
                <w:rFonts w:hint="eastAsia"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noWrap w:val="0"/>
            <w:vAlign w:val="center"/>
          </w:tcPr>
          <w:p w14:paraId="0ED55BD2">
            <w:pPr>
              <w:snapToGrid w:val="0"/>
              <w:spacing w:before="50" w:after="50"/>
              <w:jc w:val="center"/>
              <w:rPr>
                <w:rFonts w:hint="eastAsia" w:ascii="宋体" w:hAnsi="宋体" w:cs="宋体"/>
                <w:color w:val="auto"/>
                <w:sz w:val="24"/>
                <w:highlight w:val="none"/>
              </w:rPr>
            </w:pPr>
          </w:p>
        </w:tc>
        <w:tc>
          <w:tcPr>
            <w:tcW w:w="3020" w:type="dxa"/>
            <w:tcBorders>
              <w:top w:val="single" w:color="auto" w:sz="4" w:space="0"/>
              <w:left w:val="single" w:color="auto" w:sz="4" w:space="0"/>
              <w:bottom w:val="single" w:color="auto" w:sz="4" w:space="0"/>
              <w:right w:val="single" w:color="auto" w:sz="4" w:space="0"/>
            </w:tcBorders>
            <w:noWrap w:val="0"/>
            <w:vAlign w:val="center"/>
          </w:tcPr>
          <w:p w14:paraId="42737619">
            <w:pPr>
              <w:snapToGrid w:val="0"/>
              <w:spacing w:before="50" w:after="50"/>
              <w:jc w:val="center"/>
              <w:rPr>
                <w:rFonts w:hint="eastAsia" w:ascii="宋体" w:hAnsi="宋体" w:cs="宋体"/>
                <w:color w:val="auto"/>
                <w:sz w:val="24"/>
                <w:highlight w:val="none"/>
              </w:rPr>
            </w:pPr>
          </w:p>
        </w:tc>
      </w:tr>
    </w:tbl>
    <w:p w14:paraId="202935A4">
      <w:pPr>
        <w:spacing w:line="360" w:lineRule="auto"/>
        <w:ind w:left="3780" w:leftChars="1800" w:firstLine="480" w:firstLineChars="200"/>
        <w:rPr>
          <w:rFonts w:hint="eastAsia" w:ascii="宋体" w:hAnsi="宋体" w:cs="宋体"/>
          <w:color w:val="auto"/>
          <w:sz w:val="24"/>
          <w:highlight w:val="none"/>
        </w:rPr>
      </w:pPr>
    </w:p>
    <w:p w14:paraId="1744E7A2">
      <w:pPr>
        <w:spacing w:line="360" w:lineRule="auto"/>
        <w:ind w:left="3780" w:leftChars="1800" w:firstLine="480" w:firstLineChars="200"/>
        <w:rPr>
          <w:rFonts w:hint="eastAsia" w:ascii="宋体" w:hAnsi="宋体" w:cs="宋体"/>
          <w:color w:val="auto"/>
          <w:sz w:val="24"/>
          <w:highlight w:val="none"/>
        </w:rPr>
      </w:pPr>
    </w:p>
    <w:p w14:paraId="39EF5CE2">
      <w:pPr>
        <w:spacing w:line="360" w:lineRule="auto"/>
        <w:ind w:left="3780" w:leftChars="1800" w:firstLine="480" w:firstLineChars="200"/>
        <w:rPr>
          <w:rFonts w:hint="eastAsia" w:ascii="宋体" w:hAnsi="宋体" w:cs="宋体"/>
          <w:color w:val="auto"/>
          <w:sz w:val="24"/>
          <w:highlight w:val="none"/>
        </w:rPr>
      </w:pPr>
    </w:p>
    <w:p w14:paraId="042A3BF8">
      <w:pPr>
        <w:spacing w:line="360" w:lineRule="auto"/>
        <w:ind w:left="3780" w:leftChars="18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法定代表人签名（或签名章）：                       </w:t>
      </w:r>
    </w:p>
    <w:p w14:paraId="09D984E0">
      <w:pPr>
        <w:spacing w:line="360" w:lineRule="auto"/>
        <w:ind w:left="3780" w:leftChars="1800" w:firstLine="480" w:firstLineChars="200"/>
        <w:rPr>
          <w:rFonts w:hint="eastAsia" w:ascii="宋体" w:hAnsi="宋体" w:cs="宋体"/>
          <w:color w:val="auto"/>
          <w:sz w:val="24"/>
          <w:highlight w:val="none"/>
        </w:rPr>
      </w:pPr>
      <w:r>
        <w:rPr>
          <w:rFonts w:hint="eastAsia" w:ascii="宋体" w:hAnsi="宋体" w:cs="宋体"/>
          <w:color w:val="auto"/>
          <w:sz w:val="24"/>
          <w:highlight w:val="none"/>
        </w:rPr>
        <w:t>日 期：</w:t>
      </w:r>
    </w:p>
    <w:p w14:paraId="4467CEDF">
      <w:pPr>
        <w:spacing w:line="360" w:lineRule="auto"/>
        <w:ind w:left="3780" w:leftChars="1800"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投标人(或联合体牵头人)全称公章）：</w:t>
      </w:r>
    </w:p>
    <w:p w14:paraId="151EBF6E">
      <w:pPr>
        <w:spacing w:line="360" w:lineRule="auto"/>
        <w:jc w:val="center"/>
        <w:rPr>
          <w:rFonts w:hint="eastAsia" w:ascii="宋体" w:hAnsi="宋体" w:cs="宋体"/>
          <w:b/>
          <w:color w:val="auto"/>
          <w:kern w:val="0"/>
          <w:sz w:val="36"/>
          <w:szCs w:val="36"/>
          <w:highlight w:val="none"/>
        </w:rPr>
        <w:sectPr>
          <w:pgSz w:w="11906" w:h="16838"/>
          <w:pgMar w:top="1440" w:right="1800" w:bottom="1440" w:left="1800" w:header="851" w:footer="992" w:gutter="0"/>
          <w:cols w:space="720" w:num="1"/>
          <w:docGrid w:type="lines" w:linePitch="312" w:charSpace="0"/>
        </w:sectPr>
      </w:pPr>
      <w:r>
        <w:rPr>
          <w:rFonts w:hint="eastAsia" w:ascii="宋体" w:hAnsi="宋体" w:cs="宋体"/>
          <w:b/>
          <w:color w:val="auto"/>
          <w:kern w:val="0"/>
          <w:sz w:val="36"/>
          <w:szCs w:val="36"/>
          <w:highlight w:val="none"/>
        </w:rPr>
        <w:br w:type="page"/>
      </w:r>
    </w:p>
    <w:p w14:paraId="2EE380B5">
      <w:pPr>
        <w:spacing w:line="360" w:lineRule="auto"/>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w:t>
      </w:r>
    </w:p>
    <w:p w14:paraId="18F9F49A">
      <w:pPr>
        <w:spacing w:line="360" w:lineRule="auto"/>
        <w:jc w:val="center"/>
        <w:rPr>
          <w:rFonts w:ascii="宋体" w:hAnsi="宋体" w:cs="宋体"/>
          <w:b/>
          <w:color w:val="auto"/>
          <w:kern w:val="0"/>
          <w:sz w:val="36"/>
          <w:szCs w:val="36"/>
          <w:highlight w:val="none"/>
        </w:rPr>
      </w:pPr>
    </w:p>
    <w:p w14:paraId="0EBFA81E">
      <w:pPr>
        <w:spacing w:line="360" w:lineRule="auto"/>
        <w:jc w:val="center"/>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52408A9D">
      <w:pPr>
        <w:pStyle w:val="11"/>
        <w:ind w:firstLine="723"/>
        <w:rPr>
          <w:rFonts w:ascii="宋体" w:hAnsi="宋体" w:cs="宋体"/>
          <w:b/>
          <w:color w:val="auto"/>
          <w:kern w:val="0"/>
          <w:sz w:val="36"/>
          <w:szCs w:val="36"/>
          <w:highlight w:val="none"/>
        </w:rPr>
      </w:pPr>
    </w:p>
    <w:p w14:paraId="78406D06">
      <w:pPr>
        <w:tabs>
          <w:tab w:val="left" w:pos="1440"/>
          <w:tab w:val="left" w:pos="1620"/>
          <w:tab w:val="left" w:pos="1800"/>
          <w:tab w:val="left" w:pos="1980"/>
        </w:tabs>
        <w:autoSpaceDE w:val="0"/>
        <w:autoSpaceDN w:val="0"/>
        <w:spacing w:line="360" w:lineRule="auto"/>
        <w:ind w:left="420" w:leftChars="200" w:firstLine="240" w:firstLineChars="100"/>
        <w:textAlignment w:val="bottom"/>
        <w:rPr>
          <w:rFonts w:ascii="宋体" w:hAnsi="宋体" w:cs="宋体"/>
          <w:color w:val="auto"/>
          <w:sz w:val="24"/>
          <w:highlight w:val="none"/>
        </w:rPr>
      </w:pPr>
      <w:r>
        <w:rPr>
          <w:rFonts w:hint="eastAsia" w:ascii="宋体" w:hAnsi="宋体" w:cs="宋体"/>
          <w:color w:val="auto"/>
          <w:sz w:val="24"/>
          <w:highlight w:val="none"/>
        </w:rPr>
        <w:t>（1）投标函（格式见附件）；</w:t>
      </w:r>
    </w:p>
    <w:p w14:paraId="420E49BD">
      <w:pPr>
        <w:tabs>
          <w:tab w:val="left" w:pos="1440"/>
          <w:tab w:val="left" w:pos="1620"/>
          <w:tab w:val="left" w:pos="1800"/>
          <w:tab w:val="left" w:pos="1980"/>
        </w:tabs>
        <w:autoSpaceDE w:val="0"/>
        <w:autoSpaceDN w:val="0"/>
        <w:spacing w:line="360" w:lineRule="auto"/>
        <w:ind w:left="420" w:leftChars="200" w:firstLine="240" w:firstLineChars="100"/>
        <w:textAlignment w:val="bottom"/>
        <w:rPr>
          <w:rFonts w:ascii="宋体" w:hAnsi="宋体" w:cs="宋体"/>
          <w:color w:val="auto"/>
          <w:sz w:val="24"/>
          <w:highlight w:val="none"/>
        </w:rPr>
      </w:pPr>
      <w:r>
        <w:rPr>
          <w:rFonts w:hint="eastAsia" w:ascii="宋体" w:hAnsi="宋体" w:cs="宋体"/>
          <w:color w:val="auto"/>
          <w:sz w:val="24"/>
          <w:highlight w:val="none"/>
        </w:rPr>
        <w:t>（2）开标一览表（格式见附件）；</w:t>
      </w:r>
    </w:p>
    <w:p w14:paraId="4DF0EF58">
      <w:pPr>
        <w:tabs>
          <w:tab w:val="left" w:pos="1440"/>
          <w:tab w:val="left" w:pos="1620"/>
          <w:tab w:val="left" w:pos="1800"/>
          <w:tab w:val="left" w:pos="1980"/>
        </w:tabs>
        <w:autoSpaceDE w:val="0"/>
        <w:autoSpaceDN w:val="0"/>
        <w:spacing w:line="360" w:lineRule="auto"/>
        <w:ind w:left="420" w:leftChars="200" w:firstLine="240" w:firstLineChars="100"/>
        <w:textAlignment w:val="bottom"/>
        <w:rPr>
          <w:rFonts w:ascii="宋体" w:hAnsi="宋体" w:cs="宋体"/>
          <w:color w:val="auto"/>
          <w:sz w:val="24"/>
          <w:highlight w:val="none"/>
        </w:rPr>
      </w:pPr>
      <w:r>
        <w:rPr>
          <w:rFonts w:hint="eastAsia" w:ascii="宋体" w:hAnsi="宋体" w:cs="宋体"/>
          <w:color w:val="auto"/>
          <w:sz w:val="24"/>
          <w:highlight w:val="none"/>
        </w:rPr>
        <w:t>（3）投标报价明细表（格式见附件）。</w:t>
      </w:r>
    </w:p>
    <w:p w14:paraId="5CBF9523">
      <w:pPr>
        <w:pStyle w:val="11"/>
        <w:ind w:firstLine="560"/>
        <w:rPr>
          <w:rFonts w:ascii="宋体" w:hAnsi="宋体" w:cs="宋体"/>
          <w:color w:val="auto"/>
          <w:sz w:val="28"/>
          <w:szCs w:val="28"/>
          <w:highlight w:val="none"/>
        </w:rPr>
      </w:pPr>
    </w:p>
    <w:p w14:paraId="0EC59FE4">
      <w:pPr>
        <w:pStyle w:val="11"/>
        <w:ind w:firstLine="560"/>
        <w:rPr>
          <w:rFonts w:ascii="宋体" w:hAnsi="宋体" w:cs="宋体"/>
          <w:color w:val="auto"/>
          <w:sz w:val="28"/>
          <w:szCs w:val="28"/>
          <w:highlight w:val="none"/>
        </w:rPr>
      </w:pPr>
    </w:p>
    <w:p w14:paraId="3989F5BA">
      <w:pPr>
        <w:pStyle w:val="11"/>
        <w:ind w:firstLine="560"/>
        <w:rPr>
          <w:rFonts w:ascii="宋体" w:hAnsi="宋体" w:cs="宋体"/>
          <w:color w:val="auto"/>
          <w:sz w:val="28"/>
          <w:szCs w:val="28"/>
          <w:highlight w:val="none"/>
        </w:rPr>
      </w:pPr>
    </w:p>
    <w:p w14:paraId="7A835594">
      <w:pPr>
        <w:pStyle w:val="11"/>
        <w:ind w:firstLine="560"/>
        <w:rPr>
          <w:rFonts w:ascii="宋体" w:hAnsi="宋体" w:cs="宋体"/>
          <w:color w:val="auto"/>
          <w:sz w:val="28"/>
          <w:szCs w:val="28"/>
          <w:highlight w:val="none"/>
        </w:rPr>
      </w:pPr>
    </w:p>
    <w:p w14:paraId="72924555">
      <w:pPr>
        <w:pStyle w:val="11"/>
        <w:ind w:firstLine="560"/>
        <w:rPr>
          <w:rFonts w:ascii="宋体" w:hAnsi="宋体" w:cs="宋体"/>
          <w:color w:val="auto"/>
          <w:sz w:val="28"/>
          <w:szCs w:val="28"/>
          <w:highlight w:val="none"/>
        </w:rPr>
      </w:pPr>
    </w:p>
    <w:p w14:paraId="5379FBCC">
      <w:pPr>
        <w:pStyle w:val="11"/>
        <w:ind w:firstLine="560"/>
        <w:rPr>
          <w:rFonts w:ascii="宋体" w:hAnsi="宋体" w:cs="宋体"/>
          <w:color w:val="auto"/>
          <w:sz w:val="28"/>
          <w:szCs w:val="28"/>
          <w:highlight w:val="none"/>
        </w:rPr>
      </w:pPr>
    </w:p>
    <w:p w14:paraId="79858644">
      <w:pPr>
        <w:pStyle w:val="11"/>
        <w:ind w:firstLine="560"/>
        <w:rPr>
          <w:rFonts w:ascii="宋体" w:hAnsi="宋体" w:cs="宋体"/>
          <w:color w:val="auto"/>
          <w:sz w:val="28"/>
          <w:szCs w:val="28"/>
          <w:highlight w:val="none"/>
        </w:rPr>
      </w:pPr>
    </w:p>
    <w:p w14:paraId="759A542E">
      <w:pPr>
        <w:pStyle w:val="11"/>
        <w:ind w:firstLine="560"/>
        <w:rPr>
          <w:rFonts w:ascii="宋体" w:hAnsi="宋体" w:cs="宋体"/>
          <w:color w:val="auto"/>
          <w:sz w:val="28"/>
          <w:szCs w:val="28"/>
          <w:highlight w:val="none"/>
        </w:rPr>
      </w:pPr>
    </w:p>
    <w:p w14:paraId="611C959A">
      <w:pPr>
        <w:pStyle w:val="11"/>
        <w:ind w:firstLine="560"/>
        <w:rPr>
          <w:rFonts w:ascii="宋体" w:hAnsi="宋体" w:cs="宋体"/>
          <w:color w:val="auto"/>
          <w:sz w:val="28"/>
          <w:szCs w:val="28"/>
          <w:highlight w:val="none"/>
        </w:rPr>
      </w:pPr>
    </w:p>
    <w:p w14:paraId="2A648815">
      <w:pPr>
        <w:pStyle w:val="4"/>
        <w:rPr>
          <w:rFonts w:hAnsi="宋体" w:cs="宋体"/>
          <w:bCs/>
          <w:color w:val="auto"/>
          <w:sz w:val="24"/>
          <w:szCs w:val="24"/>
          <w:highlight w:val="none"/>
          <w:lang w:val="zh-CN"/>
        </w:rPr>
      </w:pPr>
      <w:r>
        <w:rPr>
          <w:rFonts w:hint="eastAsia" w:hAnsi="宋体" w:cs="宋体"/>
          <w:color w:val="auto"/>
          <w:szCs w:val="28"/>
          <w:highlight w:val="none"/>
        </w:rPr>
        <w:br w:type="page"/>
      </w:r>
      <w:bookmarkStart w:id="474" w:name="_Toc3094"/>
      <w:r>
        <w:rPr>
          <w:rFonts w:hint="eastAsia" w:hAnsi="宋体" w:cs="宋体"/>
          <w:bCs/>
          <w:color w:val="auto"/>
          <w:sz w:val="24"/>
          <w:szCs w:val="24"/>
          <w:highlight w:val="none"/>
          <w:lang w:val="zh-CN"/>
        </w:rPr>
        <w:t>附件</w:t>
      </w:r>
      <w:bookmarkStart w:id="475" w:name="_Toc98731770"/>
      <w:bookmarkStart w:id="476" w:name="_Toc130094924"/>
      <w:r>
        <w:rPr>
          <w:rFonts w:hint="eastAsia" w:hAnsi="宋体" w:cs="宋体"/>
          <w:bCs/>
          <w:color w:val="auto"/>
          <w:sz w:val="24"/>
          <w:szCs w:val="24"/>
          <w:highlight w:val="none"/>
          <w:lang w:eastAsia="zh-CN"/>
        </w:rPr>
        <w:t>八</w:t>
      </w:r>
      <w:r>
        <w:rPr>
          <w:rFonts w:hint="eastAsia" w:hAnsi="宋体" w:cs="宋体"/>
          <w:bCs/>
          <w:color w:val="auto"/>
          <w:sz w:val="24"/>
          <w:szCs w:val="24"/>
          <w:highlight w:val="none"/>
        </w:rPr>
        <w:t>：</w:t>
      </w:r>
    </w:p>
    <w:p w14:paraId="52710316">
      <w:pPr>
        <w:spacing w:line="360" w:lineRule="auto"/>
        <w:jc w:val="center"/>
        <w:rPr>
          <w:rFonts w:ascii="宋体" w:hAnsi="宋体" w:cs="宋体"/>
          <w:b/>
          <w:bCs/>
          <w:color w:val="auto"/>
          <w:sz w:val="32"/>
          <w:szCs w:val="32"/>
          <w:highlight w:val="none"/>
        </w:rPr>
      </w:pPr>
      <w:r>
        <w:rPr>
          <w:rFonts w:hint="eastAsia" w:ascii="宋体" w:hAnsi="宋体" w:cs="宋体"/>
          <w:b/>
          <w:bCs/>
          <w:color w:val="auto"/>
          <w:sz w:val="32"/>
          <w:szCs w:val="32"/>
          <w:highlight w:val="none"/>
        </w:rPr>
        <w:t>投 标 函</w:t>
      </w:r>
      <w:bookmarkEnd w:id="474"/>
      <w:bookmarkEnd w:id="475"/>
      <w:bookmarkEnd w:id="476"/>
    </w:p>
    <w:p w14:paraId="4F18C7F6">
      <w:pPr>
        <w:spacing w:line="360" w:lineRule="auto"/>
        <w:ind w:firstLine="480" w:firstLineChars="200"/>
        <w:rPr>
          <w:rFonts w:ascii="宋体" w:hAnsi="宋体" w:cs="宋体"/>
          <w:color w:val="auto"/>
          <w:sz w:val="24"/>
          <w:highlight w:val="none"/>
          <w:u w:val="single"/>
        </w:rPr>
      </w:pPr>
    </w:p>
    <w:p w14:paraId="6BA2925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eastAsia="zh-CN"/>
        </w:rPr>
        <w:t>绍兴市上虞区交通产业发展有限公司</w:t>
      </w:r>
      <w:r>
        <w:rPr>
          <w:rFonts w:hint="eastAsia" w:ascii="宋体" w:hAnsi="宋体" w:cs="宋体"/>
          <w:color w:val="auto"/>
          <w:sz w:val="24"/>
          <w:highlight w:val="none"/>
        </w:rPr>
        <w:t>：</w:t>
      </w:r>
    </w:p>
    <w:p w14:paraId="35F63FB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浙江宇康工程管理咨询有限公司：</w:t>
      </w:r>
    </w:p>
    <w:p w14:paraId="7B6D4461">
      <w:pPr>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我单位认真研究了关于的招标文件，包括修改文件（如有的话）以及全部参考资料和有关附件。我们完全理解并接受招标文件的各项规定和要求，对招标文件的合理性、合法性不再有异议。如招标文件前后有矛盾的，我方完全同意按贵方的理解处理。我单位承诺：</w:t>
      </w:r>
    </w:p>
    <w:p w14:paraId="71B8A74A">
      <w:pPr>
        <w:spacing w:line="360" w:lineRule="auto"/>
        <w:ind w:firstLine="576" w:firstLineChars="240"/>
        <w:rPr>
          <w:rFonts w:ascii="宋体" w:hAnsi="宋体" w:cs="宋体"/>
          <w:color w:val="auto"/>
          <w:sz w:val="24"/>
          <w:highlight w:val="none"/>
        </w:rPr>
      </w:pPr>
      <w:r>
        <w:rPr>
          <w:rFonts w:ascii="宋体" w:hAnsi="宋体" w:cs="宋体"/>
          <w:color w:val="auto"/>
          <w:sz w:val="24"/>
          <w:highlight w:val="none"/>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495300</wp:posOffset>
                </wp:positionV>
                <wp:extent cx="635"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9pt;margin-top:39pt;height:0pt;width:0.05pt;z-index:251659264;mso-width-relative:page;mso-height-relative:page;" filled="f" stroked="t" coordsize="21600,21600" o:allowincell="f" o:gfxdata="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6T0kGtIAAAAHAQAADwAAAAAAAAABACAAAAAiAAAAZHJzL2Rvd25yZXYueG1sUEsBAhQAFAAA&#10;AAgAh07iQIScJp71AQAA7gMAAA4AAAAAAAAAAQAgAAAAIQEAAGRycy9lMm9Eb2MueG1sUEsFBgAA&#10;AAAGAAYAWQEAAIgFAAAAAA==&#10;">
                <v:fill on="f" focussize="0,0"/>
                <v:stroke color="#000000" joinstyle="round"/>
                <v:imagedata o:title=""/>
                <o:lock v:ext="edit" aspectratio="f"/>
              </v:line>
            </w:pict>
          </mc:Fallback>
        </mc:AlternateContent>
      </w:r>
      <w:r>
        <w:rPr>
          <w:rFonts w:hint="eastAsia" w:ascii="宋体" w:hAnsi="宋体" w:cs="宋体"/>
          <w:color w:val="auto"/>
          <w:sz w:val="24"/>
          <w:highlight w:val="none"/>
        </w:rPr>
        <w:t>1、一旦我单位中标，我单位愿意承接开标一览表和投标报价明细表中所列的所有服务，服务期为：</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天</w:t>
      </w:r>
      <w:r>
        <w:rPr>
          <w:rFonts w:hint="eastAsia" w:ascii="宋体" w:hAnsi="宋体" w:cs="宋体"/>
          <w:color w:val="auto"/>
          <w:sz w:val="24"/>
          <w:highlight w:val="none"/>
        </w:rPr>
        <w:t>。</w:t>
      </w:r>
    </w:p>
    <w:p w14:paraId="26AA059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2、我单位同意提供按照</w:t>
      </w:r>
      <w:r>
        <w:rPr>
          <w:rFonts w:hint="eastAsia" w:ascii="宋体" w:hAnsi="宋体" w:cs="宋体"/>
          <w:bCs/>
          <w:color w:val="auto"/>
          <w:sz w:val="24"/>
          <w:highlight w:val="none"/>
        </w:rPr>
        <w:t>采购人的可能要求与其投标有关的一切数据和资料，完全理解采购人不一定要接受最低价者作为中标人</w:t>
      </w:r>
      <w:r>
        <w:rPr>
          <w:rFonts w:hint="eastAsia" w:ascii="宋体" w:hAnsi="宋体" w:cs="宋体"/>
          <w:color w:val="auto"/>
          <w:sz w:val="24"/>
          <w:highlight w:val="none"/>
        </w:rPr>
        <w:t>。</w:t>
      </w:r>
    </w:p>
    <w:p w14:paraId="36DEA05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3、一旦我单位中标，我们保证按照招标文件的要求，完成服务。</w:t>
      </w:r>
    </w:p>
    <w:p w14:paraId="2D22B60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4、如果我单位中标，我方将按照要求提交履约保证金，严格履行合同义务。</w:t>
      </w:r>
    </w:p>
    <w:p w14:paraId="551C9EE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5、除非另行达成协议并生效，你方的中标通知书和本投标函将构成约束你我双方的合同。</w:t>
      </w:r>
    </w:p>
    <w:p w14:paraId="513BD5D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6、我单位承诺，一旦发生招标文件第二部分第12条规定情形之一的，承担该条款约定的责任。</w:t>
      </w:r>
    </w:p>
    <w:p w14:paraId="4B5DC55E">
      <w:pPr>
        <w:pStyle w:val="15"/>
        <w:snapToGrid w:val="0"/>
        <w:spacing w:line="360" w:lineRule="auto"/>
        <w:ind w:left="480"/>
        <w:jc w:val="left"/>
        <w:rPr>
          <w:rFonts w:hAnsi="宋体" w:cs="宋体"/>
          <w:color w:val="auto"/>
          <w:sz w:val="24"/>
          <w:highlight w:val="none"/>
        </w:rPr>
      </w:pPr>
    </w:p>
    <w:p w14:paraId="5D949D00">
      <w:pPr>
        <w:spacing w:line="360" w:lineRule="auto"/>
        <w:ind w:firstLine="480" w:firstLineChars="200"/>
        <w:rPr>
          <w:rFonts w:ascii="宋体" w:hAnsi="宋体" w:cs="宋体"/>
          <w:bCs/>
          <w:color w:val="auto"/>
          <w:sz w:val="24"/>
          <w:szCs w:val="21"/>
          <w:highlight w:val="none"/>
        </w:rPr>
      </w:pPr>
      <w:r>
        <w:rPr>
          <w:rFonts w:hint="eastAsia" w:ascii="宋体" w:hAnsi="宋体" w:cs="宋体"/>
          <w:bCs/>
          <w:color w:val="auto"/>
          <w:sz w:val="24"/>
          <w:szCs w:val="21"/>
          <w:highlight w:val="none"/>
        </w:rPr>
        <w:t>地址：邮编：</w:t>
      </w:r>
    </w:p>
    <w:p w14:paraId="664AE982">
      <w:pPr>
        <w:spacing w:line="360" w:lineRule="auto"/>
        <w:ind w:firstLine="480" w:firstLineChars="200"/>
        <w:rPr>
          <w:rFonts w:ascii="宋体" w:hAnsi="宋体" w:cs="宋体"/>
          <w:bCs/>
          <w:color w:val="auto"/>
          <w:sz w:val="24"/>
          <w:szCs w:val="21"/>
          <w:highlight w:val="none"/>
          <w:u w:val="single"/>
        </w:rPr>
      </w:pPr>
      <w:r>
        <w:rPr>
          <w:rFonts w:hint="eastAsia" w:ascii="宋体" w:hAnsi="宋体" w:cs="宋体"/>
          <w:bCs/>
          <w:color w:val="auto"/>
          <w:sz w:val="24"/>
          <w:szCs w:val="21"/>
          <w:highlight w:val="none"/>
        </w:rPr>
        <w:t>电话：传真：</w:t>
      </w:r>
    </w:p>
    <w:p w14:paraId="5852B0C0">
      <w:pPr>
        <w:spacing w:line="360" w:lineRule="auto"/>
        <w:ind w:firstLine="480" w:firstLineChars="200"/>
        <w:rPr>
          <w:rFonts w:ascii="宋体" w:hAnsi="宋体" w:cs="宋体"/>
          <w:bCs/>
          <w:color w:val="auto"/>
          <w:sz w:val="24"/>
          <w:szCs w:val="21"/>
          <w:highlight w:val="none"/>
        </w:rPr>
      </w:pPr>
      <w:r>
        <w:rPr>
          <w:rFonts w:hint="eastAsia" w:ascii="宋体" w:hAnsi="宋体" w:cs="宋体"/>
          <w:bCs/>
          <w:color w:val="auto"/>
          <w:sz w:val="24"/>
          <w:szCs w:val="21"/>
          <w:highlight w:val="none"/>
        </w:rPr>
        <w:t>供应商代表姓名：职务：</w:t>
      </w:r>
    </w:p>
    <w:p w14:paraId="346C0DF6">
      <w:pPr>
        <w:spacing w:line="360" w:lineRule="auto"/>
        <w:ind w:firstLine="480" w:firstLineChars="200"/>
        <w:rPr>
          <w:rFonts w:ascii="宋体" w:hAnsi="宋体" w:cs="宋体"/>
          <w:bCs/>
          <w:color w:val="auto"/>
          <w:sz w:val="24"/>
          <w:szCs w:val="21"/>
          <w:highlight w:val="none"/>
        </w:rPr>
      </w:pPr>
      <w:r>
        <w:rPr>
          <w:rFonts w:hint="eastAsia" w:ascii="宋体" w:hAnsi="宋体" w:cs="宋体"/>
          <w:bCs/>
          <w:color w:val="auto"/>
          <w:sz w:val="24"/>
          <w:szCs w:val="21"/>
          <w:highlight w:val="none"/>
        </w:rPr>
        <w:t>供应商名称</w:t>
      </w:r>
      <w:r>
        <w:rPr>
          <w:rFonts w:hint="eastAsia" w:ascii="宋体" w:hAnsi="宋体" w:cs="宋体"/>
          <w:bCs/>
          <w:color w:val="auto"/>
          <w:sz w:val="24"/>
          <w:szCs w:val="21"/>
          <w:highlight w:val="none"/>
          <w:u w:val="single"/>
        </w:rPr>
        <w:t>：                   　　　</w:t>
      </w:r>
    </w:p>
    <w:p w14:paraId="1928D583">
      <w:pPr>
        <w:spacing w:line="360" w:lineRule="auto"/>
        <w:ind w:firstLine="480" w:firstLineChars="200"/>
        <w:rPr>
          <w:rFonts w:ascii="宋体" w:hAnsi="宋体" w:cs="宋体"/>
          <w:bCs/>
          <w:color w:val="auto"/>
          <w:sz w:val="24"/>
          <w:szCs w:val="21"/>
          <w:highlight w:val="none"/>
        </w:rPr>
      </w:pPr>
      <w:r>
        <w:rPr>
          <w:rFonts w:hint="eastAsia" w:ascii="宋体" w:hAnsi="宋体" w:cs="宋体"/>
          <w:bCs/>
          <w:color w:val="auto"/>
          <w:sz w:val="24"/>
          <w:szCs w:val="21"/>
          <w:highlight w:val="none"/>
        </w:rPr>
        <w:t xml:space="preserve">（公章）：                   </w:t>
      </w:r>
    </w:p>
    <w:p w14:paraId="655FF56B">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 xml:space="preserve">法定代表人签名（或签名章）：                       </w:t>
      </w:r>
    </w:p>
    <w:p w14:paraId="5DB9A950">
      <w:pPr>
        <w:spacing w:line="360" w:lineRule="auto"/>
        <w:ind w:left="3780" w:leftChars="1800" w:firstLine="480" w:firstLineChars="200"/>
        <w:rPr>
          <w:rFonts w:ascii="宋体" w:hAnsi="宋体" w:cs="宋体"/>
          <w:color w:val="auto"/>
          <w:sz w:val="24"/>
          <w:highlight w:val="none"/>
        </w:rPr>
      </w:pPr>
      <w:r>
        <w:rPr>
          <w:rFonts w:hint="eastAsia" w:ascii="宋体" w:hAnsi="宋体" w:cs="宋体"/>
          <w:color w:val="auto"/>
          <w:sz w:val="24"/>
          <w:highlight w:val="none"/>
        </w:rPr>
        <w:t>日 期：</w:t>
      </w:r>
    </w:p>
    <w:p w14:paraId="765429E5">
      <w:pPr>
        <w:spacing w:line="360" w:lineRule="auto"/>
        <w:ind w:firstLine="5280" w:firstLineChars="2200"/>
        <w:rPr>
          <w:rFonts w:ascii="宋体" w:hAnsi="宋体" w:cs="宋体"/>
          <w:bCs/>
          <w:color w:val="auto"/>
          <w:sz w:val="24"/>
          <w:szCs w:val="21"/>
          <w:highlight w:val="none"/>
        </w:rPr>
      </w:pPr>
    </w:p>
    <w:p w14:paraId="7BECF550">
      <w:pPr>
        <w:pStyle w:val="4"/>
        <w:rPr>
          <w:rFonts w:hAnsi="宋体" w:cs="宋体"/>
          <w:bCs/>
          <w:color w:val="auto"/>
          <w:sz w:val="24"/>
          <w:szCs w:val="24"/>
          <w:highlight w:val="none"/>
          <w:lang w:val="zh-CN"/>
        </w:rPr>
        <w:sectPr>
          <w:pgSz w:w="11906" w:h="16838"/>
          <w:pgMar w:top="1440" w:right="1800" w:bottom="1440" w:left="1800" w:header="851" w:footer="992" w:gutter="0"/>
          <w:cols w:space="720" w:num="1"/>
          <w:docGrid w:type="lines" w:linePitch="312" w:charSpace="0"/>
        </w:sectPr>
      </w:pPr>
      <w:bookmarkStart w:id="477" w:name="_Toc12011"/>
    </w:p>
    <w:p w14:paraId="645974C5">
      <w:pPr>
        <w:pStyle w:val="15"/>
        <w:spacing w:line="460" w:lineRule="atLeast"/>
        <w:rPr>
          <w:rFonts w:hAnsi="宋体"/>
          <w:b/>
          <w:bCs/>
          <w:color w:val="auto"/>
          <w:sz w:val="24"/>
          <w:highlight w:val="none"/>
        </w:rPr>
      </w:pPr>
      <w:r>
        <w:rPr>
          <w:rFonts w:hint="eastAsia" w:hAnsi="宋体"/>
          <w:b/>
          <w:bCs/>
          <w:color w:val="auto"/>
          <w:sz w:val="24"/>
          <w:highlight w:val="none"/>
        </w:rPr>
        <w:t>附件</w:t>
      </w:r>
      <w:r>
        <w:rPr>
          <w:rFonts w:hint="eastAsia" w:hAnsi="宋体"/>
          <w:b/>
          <w:bCs/>
          <w:color w:val="auto"/>
          <w:sz w:val="24"/>
          <w:highlight w:val="none"/>
          <w:lang w:eastAsia="zh-CN"/>
        </w:rPr>
        <w:t>九</w:t>
      </w:r>
      <w:r>
        <w:rPr>
          <w:rFonts w:hint="eastAsia" w:hAnsi="宋体"/>
          <w:b/>
          <w:bCs/>
          <w:color w:val="auto"/>
          <w:sz w:val="24"/>
          <w:highlight w:val="none"/>
        </w:rPr>
        <w:t>：</w:t>
      </w:r>
    </w:p>
    <w:p w14:paraId="63D81176">
      <w:pPr>
        <w:pStyle w:val="15"/>
        <w:spacing w:line="460" w:lineRule="atLeast"/>
        <w:jc w:val="center"/>
        <w:rPr>
          <w:rFonts w:hAnsi="宋体"/>
          <w:b/>
          <w:bCs/>
          <w:color w:val="auto"/>
          <w:sz w:val="24"/>
          <w:highlight w:val="none"/>
        </w:rPr>
      </w:pPr>
      <w:r>
        <w:rPr>
          <w:rFonts w:hint="eastAsia" w:hAnsi="宋体" w:cs="宋体"/>
          <w:b/>
          <w:bCs/>
          <w:color w:val="auto"/>
          <w:sz w:val="32"/>
          <w:szCs w:val="32"/>
          <w:highlight w:val="none"/>
        </w:rPr>
        <w:t>开标一览表</w:t>
      </w:r>
    </w:p>
    <w:p w14:paraId="21F33334">
      <w:pPr>
        <w:pStyle w:val="15"/>
        <w:spacing w:line="460" w:lineRule="atLeast"/>
        <w:rPr>
          <w:rFonts w:hAnsi="宋体"/>
          <w:color w:val="auto"/>
          <w:sz w:val="24"/>
          <w:highlight w:val="none"/>
        </w:rPr>
      </w:pPr>
    </w:p>
    <w:bookmarkEnd w:id="477"/>
    <w:p w14:paraId="57B6D5D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项目名称：</w:t>
      </w:r>
    </w:p>
    <w:p w14:paraId="49D3F2B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项目编号：</w:t>
      </w:r>
    </w:p>
    <w:tbl>
      <w:tblPr>
        <w:tblStyle w:val="30"/>
        <w:tblW w:w="87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6707"/>
      </w:tblGrid>
      <w:tr w14:paraId="0C2A1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1283" w:hRule="atLeast"/>
          <w:jc w:val="center"/>
        </w:trPr>
        <w:tc>
          <w:tcPr>
            <w:tcW w:w="2089" w:type="dxa"/>
            <w:noWrap/>
            <w:vAlign w:val="center"/>
          </w:tcPr>
          <w:p w14:paraId="0CE42B36">
            <w:pPr>
              <w:pStyle w:val="15"/>
              <w:spacing w:line="360" w:lineRule="auto"/>
              <w:jc w:val="center"/>
              <w:rPr>
                <w:rFonts w:hint="eastAsia" w:hAnsi="宋体" w:cs="宋体"/>
                <w:b/>
                <w:bCs/>
                <w:color w:val="auto"/>
                <w:sz w:val="24"/>
                <w:highlight w:val="none"/>
              </w:rPr>
            </w:pPr>
            <w:r>
              <w:rPr>
                <w:rFonts w:hint="eastAsia" w:hAnsi="宋体" w:cs="宋体"/>
                <w:b/>
                <w:bCs/>
                <w:color w:val="auto"/>
                <w:sz w:val="24"/>
                <w:highlight w:val="none"/>
              </w:rPr>
              <w:t>投标报价</w:t>
            </w:r>
          </w:p>
          <w:p w14:paraId="41143B7B">
            <w:pPr>
              <w:pStyle w:val="15"/>
              <w:spacing w:line="360" w:lineRule="auto"/>
              <w:jc w:val="center"/>
              <w:rPr>
                <w:rFonts w:hint="eastAsia" w:hAnsi="宋体" w:eastAsia="宋体" w:cs="宋体"/>
                <w:b/>
                <w:bCs/>
                <w:color w:val="auto"/>
                <w:sz w:val="24"/>
                <w:highlight w:val="none"/>
                <w:lang w:eastAsia="zh-CN"/>
              </w:rPr>
            </w:pPr>
            <w:r>
              <w:rPr>
                <w:rFonts w:hint="eastAsia" w:hAnsi="宋体" w:cs="宋体"/>
                <w:b/>
                <w:bCs/>
                <w:color w:val="auto"/>
                <w:sz w:val="24"/>
                <w:highlight w:val="none"/>
                <w:lang w:eastAsia="zh-CN"/>
              </w:rPr>
              <w:t>（不含税）</w:t>
            </w:r>
          </w:p>
        </w:tc>
        <w:tc>
          <w:tcPr>
            <w:tcW w:w="6707" w:type="dxa"/>
            <w:noWrap/>
            <w:vAlign w:val="center"/>
          </w:tcPr>
          <w:p w14:paraId="6DF5675D">
            <w:pPr>
              <w:pStyle w:val="15"/>
              <w:spacing w:line="360" w:lineRule="auto"/>
              <w:jc w:val="center"/>
              <w:rPr>
                <w:rFonts w:hint="eastAsia" w:hAnsi="宋体" w:eastAsia="宋体" w:cs="宋体"/>
                <w:b/>
                <w:bCs/>
                <w:color w:val="auto"/>
                <w:sz w:val="24"/>
                <w:highlight w:val="none"/>
                <w:lang w:eastAsia="zh-CN"/>
              </w:rPr>
            </w:pPr>
            <w:r>
              <w:rPr>
                <w:rFonts w:hint="eastAsia" w:hAnsi="宋体" w:cs="宋体"/>
                <w:b/>
                <w:bCs/>
                <w:color w:val="auto"/>
                <w:sz w:val="24"/>
                <w:highlight w:val="none"/>
              </w:rPr>
              <w:t>大写：</w:t>
            </w:r>
            <w:r>
              <w:rPr>
                <w:rFonts w:hint="eastAsia" w:hAnsi="宋体" w:cs="宋体"/>
                <w:b/>
                <w:bCs/>
                <w:color w:val="auto"/>
                <w:sz w:val="24"/>
                <w:highlight w:val="none"/>
                <w:u w:val="single"/>
              </w:rPr>
              <w:t xml:space="preserve">　　　　            </w:t>
            </w:r>
            <w:r>
              <w:rPr>
                <w:rFonts w:hint="eastAsia" w:hAnsi="宋体" w:cs="宋体"/>
                <w:b/>
                <w:bCs/>
                <w:color w:val="auto"/>
                <w:sz w:val="24"/>
                <w:highlight w:val="none"/>
              </w:rPr>
              <w:t>元（小写：</w:t>
            </w:r>
            <w:r>
              <w:rPr>
                <w:rFonts w:hint="eastAsia" w:hAnsi="宋体" w:cs="宋体"/>
                <w:b/>
                <w:bCs/>
                <w:color w:val="auto"/>
                <w:sz w:val="24"/>
                <w:highlight w:val="none"/>
                <w:u w:val="single"/>
              </w:rPr>
              <w:t xml:space="preserve">　　　　 </w:t>
            </w:r>
            <w:r>
              <w:rPr>
                <w:rFonts w:hint="eastAsia" w:hAnsi="宋体" w:cs="宋体"/>
                <w:b/>
                <w:bCs/>
                <w:color w:val="auto"/>
                <w:sz w:val="24"/>
                <w:highlight w:val="none"/>
              </w:rPr>
              <w:t>元）</w:t>
            </w:r>
          </w:p>
        </w:tc>
      </w:tr>
      <w:tr w14:paraId="38835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83" w:hRule="atLeast"/>
          <w:jc w:val="center"/>
        </w:trPr>
        <w:tc>
          <w:tcPr>
            <w:tcW w:w="2089" w:type="dxa"/>
            <w:noWrap/>
            <w:vAlign w:val="center"/>
          </w:tcPr>
          <w:p w14:paraId="5E15BDAC">
            <w:pPr>
              <w:pStyle w:val="15"/>
              <w:spacing w:line="360" w:lineRule="auto"/>
              <w:jc w:val="center"/>
              <w:rPr>
                <w:rFonts w:hint="eastAsia" w:hAnsi="宋体" w:eastAsia="宋体" w:cs="宋体"/>
                <w:b/>
                <w:bCs/>
                <w:color w:val="auto"/>
                <w:sz w:val="24"/>
                <w:highlight w:val="none"/>
                <w:lang w:val="en-US" w:eastAsia="zh-CN"/>
              </w:rPr>
            </w:pPr>
            <w:r>
              <w:rPr>
                <w:rFonts w:hint="eastAsia" w:hAnsi="宋体" w:cs="宋体"/>
                <w:b/>
                <w:bCs/>
                <w:color w:val="auto"/>
                <w:sz w:val="24"/>
                <w:highlight w:val="none"/>
                <w:lang w:val="en-US" w:eastAsia="zh-CN"/>
              </w:rPr>
              <w:t>税率（%）</w:t>
            </w:r>
          </w:p>
        </w:tc>
        <w:tc>
          <w:tcPr>
            <w:tcW w:w="6707" w:type="dxa"/>
            <w:noWrap/>
            <w:vAlign w:val="center"/>
          </w:tcPr>
          <w:p w14:paraId="4A458C51">
            <w:pPr>
              <w:pStyle w:val="15"/>
              <w:spacing w:line="360" w:lineRule="auto"/>
              <w:jc w:val="center"/>
              <w:rPr>
                <w:rFonts w:hint="eastAsia" w:hAnsi="宋体" w:cs="宋体"/>
                <w:b/>
                <w:bCs/>
                <w:color w:val="auto"/>
                <w:sz w:val="24"/>
                <w:highlight w:val="none"/>
              </w:rPr>
            </w:pPr>
          </w:p>
        </w:tc>
      </w:tr>
      <w:tr w14:paraId="12970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69" w:hRule="atLeast"/>
          <w:jc w:val="center"/>
        </w:trPr>
        <w:tc>
          <w:tcPr>
            <w:tcW w:w="2089" w:type="dxa"/>
            <w:noWrap/>
            <w:vAlign w:val="center"/>
          </w:tcPr>
          <w:p w14:paraId="65888F3F">
            <w:pPr>
              <w:pStyle w:val="15"/>
              <w:spacing w:line="360" w:lineRule="auto"/>
              <w:jc w:val="center"/>
              <w:rPr>
                <w:rFonts w:hint="eastAsia" w:hAnsi="宋体" w:cs="宋体"/>
                <w:b/>
                <w:bCs/>
                <w:color w:val="auto"/>
                <w:sz w:val="24"/>
                <w:highlight w:val="none"/>
              </w:rPr>
            </w:pPr>
            <w:r>
              <w:rPr>
                <w:rFonts w:hint="eastAsia" w:hAnsi="宋体" w:cs="宋体"/>
                <w:b/>
                <w:bCs/>
                <w:color w:val="auto"/>
                <w:sz w:val="24"/>
                <w:highlight w:val="none"/>
              </w:rPr>
              <w:t>投标报价</w:t>
            </w:r>
          </w:p>
          <w:p w14:paraId="148D3E70">
            <w:pPr>
              <w:pStyle w:val="15"/>
              <w:spacing w:line="360" w:lineRule="auto"/>
              <w:jc w:val="center"/>
              <w:rPr>
                <w:rFonts w:hint="eastAsia" w:hAnsi="宋体" w:cs="宋体"/>
                <w:b/>
                <w:bCs/>
                <w:color w:val="auto"/>
                <w:sz w:val="24"/>
                <w:highlight w:val="none"/>
              </w:rPr>
            </w:pPr>
            <w:r>
              <w:rPr>
                <w:rFonts w:hint="eastAsia" w:hAnsi="宋体" w:cs="宋体"/>
                <w:b/>
                <w:bCs/>
                <w:color w:val="auto"/>
                <w:sz w:val="24"/>
                <w:highlight w:val="none"/>
                <w:lang w:eastAsia="zh-CN"/>
              </w:rPr>
              <w:t>（含税）</w:t>
            </w:r>
          </w:p>
        </w:tc>
        <w:tc>
          <w:tcPr>
            <w:tcW w:w="6707" w:type="dxa"/>
            <w:noWrap/>
            <w:vAlign w:val="center"/>
          </w:tcPr>
          <w:p w14:paraId="7742AB1D">
            <w:pPr>
              <w:pStyle w:val="15"/>
              <w:spacing w:line="360" w:lineRule="auto"/>
              <w:jc w:val="center"/>
              <w:rPr>
                <w:rFonts w:hint="eastAsia" w:hAnsi="宋体" w:cs="宋体"/>
                <w:b/>
                <w:bCs/>
                <w:color w:val="auto"/>
                <w:sz w:val="24"/>
                <w:highlight w:val="none"/>
              </w:rPr>
            </w:pPr>
            <w:r>
              <w:rPr>
                <w:rFonts w:hint="eastAsia" w:hAnsi="宋体" w:cs="宋体"/>
                <w:b/>
                <w:bCs/>
                <w:color w:val="auto"/>
                <w:sz w:val="24"/>
                <w:highlight w:val="none"/>
              </w:rPr>
              <w:t>大写：</w:t>
            </w:r>
            <w:r>
              <w:rPr>
                <w:rFonts w:hint="eastAsia" w:hAnsi="宋体" w:cs="宋体"/>
                <w:b/>
                <w:bCs/>
                <w:color w:val="auto"/>
                <w:sz w:val="24"/>
                <w:highlight w:val="none"/>
                <w:u w:val="single"/>
              </w:rPr>
              <w:t xml:space="preserve">　　　　            </w:t>
            </w:r>
            <w:r>
              <w:rPr>
                <w:rFonts w:hint="eastAsia" w:hAnsi="宋体" w:cs="宋体"/>
                <w:b/>
                <w:bCs/>
                <w:color w:val="auto"/>
                <w:sz w:val="24"/>
                <w:highlight w:val="none"/>
              </w:rPr>
              <w:t>元（小写：</w:t>
            </w:r>
            <w:r>
              <w:rPr>
                <w:rFonts w:hint="eastAsia" w:hAnsi="宋体" w:cs="宋体"/>
                <w:b/>
                <w:bCs/>
                <w:color w:val="auto"/>
                <w:sz w:val="24"/>
                <w:highlight w:val="none"/>
                <w:u w:val="single"/>
              </w:rPr>
              <w:t xml:space="preserve">　　　　 </w:t>
            </w:r>
            <w:r>
              <w:rPr>
                <w:rFonts w:hint="eastAsia" w:hAnsi="宋体" w:cs="宋体"/>
                <w:b/>
                <w:bCs/>
                <w:color w:val="auto"/>
                <w:sz w:val="24"/>
                <w:highlight w:val="none"/>
              </w:rPr>
              <w:t>元）</w:t>
            </w:r>
          </w:p>
        </w:tc>
      </w:tr>
      <w:tr w14:paraId="17672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8" w:hRule="atLeast"/>
          <w:jc w:val="center"/>
        </w:trPr>
        <w:tc>
          <w:tcPr>
            <w:tcW w:w="8796" w:type="dxa"/>
            <w:gridSpan w:val="2"/>
            <w:noWrap/>
            <w:vAlign w:val="center"/>
          </w:tcPr>
          <w:p w14:paraId="0AE3223C">
            <w:pPr>
              <w:pStyle w:val="43"/>
              <w:numPr>
                <w:ilvl w:val="-1"/>
                <w:numId w:val="0"/>
              </w:numPr>
              <w:tabs>
                <w:tab w:val="left" w:pos="0"/>
              </w:tabs>
              <w:spacing w:before="0"/>
              <w:ind w:left="0" w:firstLine="480"/>
              <w:rPr>
                <w:rFonts w:ascii="宋体" w:hAnsi="宋体" w:cs="宋体"/>
                <w:b/>
                <w:bCs/>
                <w:color w:val="auto"/>
                <w:highlight w:val="none"/>
              </w:rPr>
            </w:pPr>
            <w:r>
              <w:rPr>
                <w:rFonts w:hint="eastAsia"/>
                <w:b w:val="0"/>
                <w:bCs w:val="0"/>
                <w:color w:val="auto"/>
                <w:sz w:val="24"/>
                <w:szCs w:val="24"/>
                <w:highlight w:val="none"/>
              </w:rPr>
              <w:t>投标报价统一为人民币计价，本次报价方式为总价包干，投标报价为完税价已经包括投标人在设备</w:t>
            </w:r>
            <w:r>
              <w:rPr>
                <w:rFonts w:hint="eastAsia"/>
                <w:b w:val="0"/>
                <w:bCs w:val="0"/>
                <w:color w:val="auto"/>
                <w:sz w:val="24"/>
                <w:szCs w:val="24"/>
                <w:highlight w:val="none"/>
                <w:lang w:eastAsia="zh-CN"/>
              </w:rPr>
              <w:t>拆除费、维修费、改造费</w:t>
            </w:r>
            <w:r>
              <w:rPr>
                <w:rFonts w:hint="eastAsia"/>
                <w:b w:val="0"/>
                <w:bCs w:val="0"/>
                <w:color w:val="auto"/>
                <w:sz w:val="24"/>
                <w:szCs w:val="24"/>
                <w:highlight w:val="none"/>
              </w:rPr>
              <w:t>、</w:t>
            </w:r>
            <w:r>
              <w:rPr>
                <w:rFonts w:hint="eastAsia"/>
                <w:b w:val="0"/>
                <w:bCs w:val="0"/>
                <w:color w:val="auto"/>
                <w:sz w:val="24"/>
                <w:szCs w:val="24"/>
                <w:highlight w:val="none"/>
                <w:lang w:eastAsia="zh-CN"/>
              </w:rPr>
              <w:t>运输费、吊装费、代理费、</w:t>
            </w:r>
            <w:r>
              <w:rPr>
                <w:rFonts w:hint="eastAsia"/>
                <w:b w:val="0"/>
                <w:bCs w:val="0"/>
                <w:color w:val="auto"/>
                <w:sz w:val="24"/>
                <w:szCs w:val="24"/>
                <w:highlight w:val="none"/>
              </w:rPr>
              <w:t>安装调试</w:t>
            </w:r>
            <w:r>
              <w:rPr>
                <w:rFonts w:hint="eastAsia"/>
                <w:b w:val="0"/>
                <w:bCs w:val="0"/>
                <w:color w:val="auto"/>
                <w:sz w:val="24"/>
                <w:szCs w:val="24"/>
                <w:highlight w:val="none"/>
                <w:lang w:eastAsia="zh-CN"/>
              </w:rPr>
              <w:t>费</w:t>
            </w:r>
            <w:r>
              <w:rPr>
                <w:rFonts w:hint="eastAsia"/>
                <w:b w:val="0"/>
                <w:bCs w:val="0"/>
                <w:color w:val="auto"/>
                <w:sz w:val="24"/>
                <w:szCs w:val="24"/>
                <w:highlight w:val="none"/>
              </w:rPr>
              <w:t>、验收合格前可能发生的一切费用，投标人无权再就货物向招标方要求支付任何款项。该总价不受市场价格变化及国家政策性调整的影</w:t>
            </w:r>
            <w:r>
              <w:rPr>
                <w:rFonts w:hint="eastAsia"/>
                <w:b w:val="0"/>
                <w:bCs w:val="0"/>
                <w:color w:val="auto"/>
                <w:sz w:val="24"/>
                <w:szCs w:val="24"/>
                <w:highlight w:val="none"/>
                <w:lang w:eastAsia="zh-CN"/>
              </w:rPr>
              <w:t>，</w:t>
            </w:r>
            <w:r>
              <w:rPr>
                <w:rFonts w:hint="eastAsia" w:ascii="宋体" w:hAnsi="宋体" w:cs="宋体"/>
                <w:color w:val="auto"/>
                <w:szCs w:val="24"/>
                <w:highlight w:val="none"/>
              </w:rPr>
              <w:t>其它费用处理招标文件未列明，而投标人认为必需的费用也需列入报价。</w:t>
            </w:r>
          </w:p>
        </w:tc>
      </w:tr>
    </w:tbl>
    <w:p w14:paraId="5896579C">
      <w:pPr>
        <w:pStyle w:val="29"/>
        <w:rPr>
          <w:color w:val="auto"/>
          <w:highlight w:val="none"/>
        </w:rPr>
      </w:pPr>
    </w:p>
    <w:p w14:paraId="2957A45D">
      <w:pPr>
        <w:spacing w:line="360" w:lineRule="auto"/>
        <w:jc w:val="left"/>
        <w:rPr>
          <w:rFonts w:ascii="宋体" w:hAnsi="宋体" w:cs="宋体"/>
          <w:color w:val="auto"/>
          <w:sz w:val="24"/>
          <w:highlight w:val="none"/>
        </w:rPr>
      </w:pPr>
      <w:r>
        <w:rPr>
          <w:rFonts w:hint="eastAsia" w:ascii="宋体" w:hAnsi="宋体" w:cs="宋体"/>
          <w:color w:val="auto"/>
          <w:sz w:val="24"/>
          <w:highlight w:val="none"/>
        </w:rPr>
        <w:t xml:space="preserve">注: </w:t>
      </w:r>
    </w:p>
    <w:p w14:paraId="4F883187">
      <w:pPr>
        <w:numPr>
          <w:ilvl w:val="0"/>
          <w:numId w:val="43"/>
        </w:num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报价一经涂改，应在涂改处加盖单位公章或者由法定代表人或授权委托人签字或盖章，否则其投标作无效标处理。</w:t>
      </w:r>
    </w:p>
    <w:p w14:paraId="3458CABA">
      <w:pPr>
        <w:numPr>
          <w:ilvl w:val="0"/>
          <w:numId w:val="43"/>
        </w:num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lang w:val="en-US" w:eastAsia="zh-CN"/>
        </w:rPr>
        <w:t>开标一览表格式不得修改，</w:t>
      </w:r>
      <w:r>
        <w:rPr>
          <w:rFonts w:hint="eastAsia" w:ascii="宋体" w:hAnsi="宋体" w:cs="宋体"/>
          <w:color w:val="auto"/>
          <w:sz w:val="24"/>
          <w:highlight w:val="none"/>
        </w:rPr>
        <w:t>否则其投标作无效标处理。</w:t>
      </w:r>
    </w:p>
    <w:p w14:paraId="74362E8B">
      <w:pPr>
        <w:spacing w:line="360" w:lineRule="auto"/>
        <w:rPr>
          <w:rFonts w:ascii="宋体" w:hAnsi="宋体" w:cs="宋体"/>
          <w:color w:val="auto"/>
          <w:sz w:val="24"/>
          <w:highlight w:val="none"/>
        </w:rPr>
      </w:pPr>
    </w:p>
    <w:p w14:paraId="042626A5">
      <w:pPr>
        <w:spacing w:line="360" w:lineRule="auto"/>
        <w:rPr>
          <w:rFonts w:ascii="宋体" w:hAnsi="宋体" w:cs="宋体"/>
          <w:color w:val="auto"/>
          <w:sz w:val="24"/>
          <w:highlight w:val="none"/>
        </w:rPr>
      </w:pPr>
    </w:p>
    <w:p w14:paraId="512A36AB">
      <w:pPr>
        <w:pStyle w:val="15"/>
        <w:spacing w:line="420" w:lineRule="auto"/>
        <w:rPr>
          <w:rFonts w:hAnsi="宋体" w:cs="宋体"/>
          <w:color w:val="auto"/>
          <w:sz w:val="24"/>
          <w:highlight w:val="none"/>
        </w:rPr>
      </w:pPr>
      <w:r>
        <w:rPr>
          <w:rFonts w:hint="eastAsia" w:hAnsi="宋体" w:cs="宋体"/>
          <w:color w:val="auto"/>
          <w:sz w:val="24"/>
          <w:highlight w:val="none"/>
        </w:rPr>
        <w:t xml:space="preserve">                                  投标人全称（盖章）：</w:t>
      </w:r>
    </w:p>
    <w:p w14:paraId="6F1013DE">
      <w:pPr>
        <w:pStyle w:val="15"/>
        <w:spacing w:line="420" w:lineRule="auto"/>
        <w:rPr>
          <w:rFonts w:hAnsi="宋体" w:cs="宋体"/>
          <w:color w:val="auto"/>
          <w:sz w:val="24"/>
          <w:highlight w:val="none"/>
        </w:rPr>
      </w:pPr>
      <w:r>
        <w:rPr>
          <w:rFonts w:hint="eastAsia" w:hAnsi="宋体" w:cs="宋体"/>
          <w:color w:val="auto"/>
          <w:sz w:val="24"/>
          <w:highlight w:val="none"/>
        </w:rPr>
        <w:t xml:space="preserve">                                  法定代表人或授权委托人（签字或盖章）：</w:t>
      </w:r>
    </w:p>
    <w:p w14:paraId="52D92513">
      <w:pPr>
        <w:jc w:val="center"/>
        <w:rPr>
          <w:rFonts w:ascii="宋体" w:hAnsi="宋体" w:cs="宋体"/>
          <w:color w:val="auto"/>
          <w:sz w:val="24"/>
          <w:highlight w:val="none"/>
        </w:rPr>
      </w:pP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日   期：</w:t>
      </w:r>
    </w:p>
    <w:p w14:paraId="5847D092">
      <w:pPr>
        <w:rPr>
          <w:rFonts w:ascii="宋体" w:hAnsi="宋体" w:cs="宋体"/>
          <w:color w:val="auto"/>
          <w:sz w:val="24"/>
          <w:highlight w:val="none"/>
        </w:rPr>
      </w:pPr>
      <w:r>
        <w:rPr>
          <w:rFonts w:hint="eastAsia" w:ascii="宋体" w:hAnsi="宋体" w:cs="宋体"/>
          <w:color w:val="auto"/>
          <w:sz w:val="24"/>
          <w:highlight w:val="none"/>
        </w:rPr>
        <w:br w:type="page"/>
      </w:r>
    </w:p>
    <w:p w14:paraId="3DC36B92">
      <w:pPr>
        <w:pStyle w:val="4"/>
        <w:rPr>
          <w:rFonts w:hAnsi="宋体" w:cs="宋体"/>
          <w:bCs/>
          <w:color w:val="auto"/>
          <w:sz w:val="24"/>
          <w:szCs w:val="24"/>
          <w:highlight w:val="none"/>
          <w:lang w:val="zh-CN"/>
        </w:rPr>
      </w:pPr>
      <w:r>
        <w:rPr>
          <w:rFonts w:hint="eastAsia" w:hAnsi="宋体" w:cs="宋体"/>
          <w:bCs/>
          <w:color w:val="auto"/>
          <w:sz w:val="24"/>
          <w:szCs w:val="24"/>
          <w:highlight w:val="none"/>
          <w:lang w:val="zh-CN"/>
        </w:rPr>
        <w:t>附件</w:t>
      </w:r>
      <w:r>
        <w:rPr>
          <w:rFonts w:hint="eastAsia" w:hAnsi="宋体" w:cs="宋体"/>
          <w:bCs/>
          <w:color w:val="auto"/>
          <w:sz w:val="24"/>
          <w:szCs w:val="24"/>
          <w:highlight w:val="none"/>
        </w:rPr>
        <w:t>十：</w:t>
      </w:r>
    </w:p>
    <w:p w14:paraId="616C61E2">
      <w:pPr>
        <w:pStyle w:val="15"/>
        <w:shd w:val="clear" w:color="auto" w:fill="auto"/>
        <w:spacing w:line="460" w:lineRule="atLeast"/>
        <w:ind w:firstLine="3855" w:firstLineChars="1200"/>
        <w:jc w:val="both"/>
        <w:rPr>
          <w:rFonts w:hint="eastAsia" w:ascii="宋体" w:hAnsi="宋体" w:eastAsia="宋体" w:cs="宋体"/>
          <w:b/>
          <w:bCs/>
          <w:color w:val="auto"/>
          <w:sz w:val="32"/>
          <w:szCs w:val="32"/>
          <w:highlight w:val="none"/>
        </w:rPr>
      </w:pPr>
      <w:bookmarkStart w:id="478" w:name="_Toc32063"/>
      <w:bookmarkStart w:id="479" w:name="_Toc24574"/>
      <w:r>
        <w:rPr>
          <w:rFonts w:hint="eastAsia" w:ascii="宋体" w:hAnsi="宋体" w:eastAsia="宋体" w:cs="宋体"/>
          <w:b/>
          <w:bCs/>
          <w:color w:val="auto"/>
          <w:sz w:val="32"/>
          <w:szCs w:val="32"/>
          <w:highlight w:val="none"/>
        </w:rPr>
        <w:t>报价明细表</w:t>
      </w:r>
      <w:bookmarkEnd w:id="478"/>
      <w:bookmarkEnd w:id="479"/>
    </w:p>
    <w:p w14:paraId="4C61D2E8">
      <w:pPr>
        <w:spacing w:line="360" w:lineRule="auto"/>
        <w:ind w:firstLine="0" w:firstLineChars="0"/>
        <w:rPr>
          <w:rFonts w:ascii="宋体" w:hAnsi="宋体" w:cs="宋体"/>
          <w:color w:val="auto"/>
          <w:sz w:val="24"/>
          <w:highlight w:val="none"/>
        </w:rPr>
      </w:pPr>
      <w:r>
        <w:rPr>
          <w:rFonts w:hint="eastAsia" w:ascii="宋体" w:hAnsi="宋体" w:cs="宋体"/>
          <w:color w:val="auto"/>
          <w:sz w:val="24"/>
          <w:highlight w:val="none"/>
        </w:rPr>
        <w:t>项目名称：</w:t>
      </w:r>
    </w:p>
    <w:p w14:paraId="19CA4512">
      <w:pPr>
        <w:spacing w:line="360" w:lineRule="auto"/>
        <w:ind w:firstLine="0" w:firstLineChars="0"/>
        <w:rPr>
          <w:rFonts w:ascii="宋体" w:hAnsi="宋体" w:cs="宋体"/>
          <w:color w:val="auto"/>
          <w:sz w:val="24"/>
          <w:highlight w:val="none"/>
        </w:rPr>
      </w:pPr>
      <w:r>
        <w:rPr>
          <w:rFonts w:hint="eastAsia" w:ascii="宋体" w:hAnsi="宋体" w:cs="宋体"/>
          <w:color w:val="auto"/>
          <w:sz w:val="24"/>
          <w:highlight w:val="none"/>
        </w:rPr>
        <w:t>项目编号：</w:t>
      </w:r>
    </w:p>
    <w:tbl>
      <w:tblPr>
        <w:tblStyle w:val="30"/>
        <w:tblW w:w="103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8"/>
        <w:gridCol w:w="2320"/>
        <w:gridCol w:w="2825"/>
        <w:gridCol w:w="1275"/>
        <w:gridCol w:w="525"/>
        <w:gridCol w:w="510"/>
        <w:gridCol w:w="953"/>
        <w:gridCol w:w="1162"/>
      </w:tblGrid>
      <w:tr w14:paraId="0E3FB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68" w:type="dxa"/>
            <w:vMerge w:val="restart"/>
            <w:noWrap w:val="0"/>
            <w:vAlign w:val="center"/>
          </w:tcPr>
          <w:p w14:paraId="02FDDA27">
            <w:pPr>
              <w:shd w:val="clear" w:color="auto" w:fill="auto"/>
              <w:spacing w:line="360" w:lineRule="auto"/>
              <w:jc w:val="center"/>
              <w:rPr>
                <w:rFonts w:hAnsi="宋体" w:cs="宋体"/>
                <w:sz w:val="24"/>
              </w:rPr>
            </w:pPr>
            <w:r>
              <w:rPr>
                <w:rFonts w:hint="eastAsia" w:hAnsi="宋体"/>
                <w:sz w:val="24"/>
              </w:rPr>
              <w:t xml:space="preserve">      </w:t>
            </w:r>
            <w:r>
              <w:rPr>
                <w:rFonts w:hint="eastAsia" w:hAnsi="宋体" w:cs="宋体"/>
                <w:sz w:val="24"/>
              </w:rPr>
              <w:t>序号</w:t>
            </w:r>
          </w:p>
        </w:tc>
        <w:tc>
          <w:tcPr>
            <w:tcW w:w="2320" w:type="dxa"/>
            <w:vMerge w:val="restart"/>
            <w:noWrap w:val="0"/>
            <w:vAlign w:val="center"/>
          </w:tcPr>
          <w:p w14:paraId="42AF6B73">
            <w:pPr>
              <w:pStyle w:val="15"/>
              <w:shd w:val="clear" w:color="auto" w:fill="auto"/>
              <w:spacing w:line="360" w:lineRule="auto"/>
              <w:jc w:val="center"/>
              <w:rPr>
                <w:rFonts w:hAnsi="宋体" w:cs="宋体"/>
                <w:sz w:val="24"/>
              </w:rPr>
            </w:pPr>
            <w:r>
              <w:rPr>
                <w:rFonts w:hint="eastAsia" w:hAnsi="宋体" w:cs="宋体"/>
                <w:sz w:val="24"/>
                <w:lang w:eastAsia="zh-CN"/>
              </w:rPr>
              <w:t>维修改造</w:t>
            </w:r>
            <w:r>
              <w:rPr>
                <w:rFonts w:hint="eastAsia" w:hAnsi="宋体" w:cs="宋体"/>
                <w:sz w:val="24"/>
              </w:rPr>
              <w:t>内容</w:t>
            </w:r>
          </w:p>
        </w:tc>
        <w:tc>
          <w:tcPr>
            <w:tcW w:w="2825" w:type="dxa"/>
            <w:vMerge w:val="restart"/>
            <w:noWrap w:val="0"/>
            <w:vAlign w:val="center"/>
          </w:tcPr>
          <w:p w14:paraId="3422019C">
            <w:pPr>
              <w:pStyle w:val="15"/>
              <w:shd w:val="clear" w:color="auto" w:fill="auto"/>
              <w:spacing w:line="360" w:lineRule="auto"/>
              <w:jc w:val="center"/>
              <w:rPr>
                <w:rFonts w:hAnsi="宋体" w:cs="宋体"/>
                <w:sz w:val="24"/>
              </w:rPr>
            </w:pPr>
            <w:r>
              <w:rPr>
                <w:rFonts w:hint="eastAsia" w:hAnsi="宋体" w:cs="宋体"/>
                <w:sz w:val="24"/>
                <w:szCs w:val="24"/>
              </w:rPr>
              <w:t>分项描述</w:t>
            </w:r>
          </w:p>
        </w:tc>
        <w:tc>
          <w:tcPr>
            <w:tcW w:w="1275" w:type="dxa"/>
            <w:vMerge w:val="restart"/>
            <w:noWrap w:val="0"/>
            <w:vAlign w:val="center"/>
          </w:tcPr>
          <w:p w14:paraId="5EF846CE">
            <w:pPr>
              <w:pStyle w:val="15"/>
              <w:shd w:val="clear" w:color="auto" w:fill="auto"/>
              <w:spacing w:line="360" w:lineRule="auto"/>
              <w:jc w:val="center"/>
              <w:rPr>
                <w:rFonts w:hAnsi="宋体" w:cs="宋体"/>
                <w:sz w:val="24"/>
              </w:rPr>
            </w:pPr>
            <w:r>
              <w:rPr>
                <w:rFonts w:hint="eastAsia" w:hAnsi="宋体" w:cs="宋体"/>
                <w:sz w:val="24"/>
              </w:rPr>
              <w:t>制造商名</w:t>
            </w:r>
          </w:p>
          <w:p w14:paraId="57010378">
            <w:pPr>
              <w:pStyle w:val="15"/>
              <w:shd w:val="clear" w:color="auto" w:fill="auto"/>
              <w:spacing w:line="360" w:lineRule="auto"/>
              <w:jc w:val="center"/>
              <w:rPr>
                <w:rFonts w:hAnsi="宋体" w:cs="宋体"/>
                <w:sz w:val="24"/>
              </w:rPr>
            </w:pPr>
            <w:r>
              <w:rPr>
                <w:rFonts w:hint="eastAsia" w:hAnsi="宋体" w:cs="宋体"/>
                <w:sz w:val="24"/>
              </w:rPr>
              <w:t>称及产地</w:t>
            </w:r>
          </w:p>
        </w:tc>
        <w:tc>
          <w:tcPr>
            <w:tcW w:w="525" w:type="dxa"/>
            <w:vMerge w:val="restart"/>
            <w:noWrap w:val="0"/>
            <w:vAlign w:val="center"/>
          </w:tcPr>
          <w:p w14:paraId="735FFC12">
            <w:pPr>
              <w:pStyle w:val="15"/>
              <w:shd w:val="clear" w:color="auto" w:fill="auto"/>
              <w:spacing w:line="360" w:lineRule="auto"/>
              <w:jc w:val="center"/>
              <w:rPr>
                <w:rFonts w:hint="eastAsia" w:hAnsi="宋体" w:cs="宋体"/>
              </w:rPr>
            </w:pPr>
            <w:r>
              <w:rPr>
                <w:rFonts w:hint="eastAsia" w:hAnsi="宋体" w:cs="宋体"/>
                <w:sz w:val="24"/>
              </w:rPr>
              <w:t>数量</w:t>
            </w:r>
          </w:p>
        </w:tc>
        <w:tc>
          <w:tcPr>
            <w:tcW w:w="510" w:type="dxa"/>
            <w:vMerge w:val="restart"/>
            <w:noWrap w:val="0"/>
            <w:vAlign w:val="center"/>
          </w:tcPr>
          <w:p w14:paraId="768DEA80">
            <w:pPr>
              <w:pStyle w:val="15"/>
              <w:shd w:val="clear" w:color="auto" w:fill="auto"/>
              <w:spacing w:line="360" w:lineRule="auto"/>
              <w:jc w:val="center"/>
              <w:rPr>
                <w:rFonts w:hint="eastAsia" w:hAnsi="宋体" w:cs="宋体"/>
                <w:sz w:val="24"/>
              </w:rPr>
            </w:pPr>
            <w:r>
              <w:rPr>
                <w:rFonts w:hint="eastAsia" w:hAnsi="宋体" w:cs="宋体"/>
                <w:sz w:val="24"/>
              </w:rPr>
              <w:t>单位</w:t>
            </w:r>
          </w:p>
        </w:tc>
        <w:tc>
          <w:tcPr>
            <w:tcW w:w="2115" w:type="dxa"/>
            <w:gridSpan w:val="2"/>
            <w:noWrap w:val="0"/>
            <w:vAlign w:val="center"/>
          </w:tcPr>
          <w:p w14:paraId="0EB68952">
            <w:pPr>
              <w:pStyle w:val="15"/>
              <w:shd w:val="clear" w:color="auto" w:fill="auto"/>
              <w:spacing w:line="360" w:lineRule="auto"/>
              <w:jc w:val="center"/>
              <w:rPr>
                <w:rFonts w:hAnsi="宋体" w:cs="宋体"/>
                <w:sz w:val="24"/>
              </w:rPr>
            </w:pPr>
            <w:r>
              <w:rPr>
                <w:rFonts w:hint="eastAsia" w:hAnsi="宋体" w:cs="宋体"/>
                <w:sz w:val="24"/>
              </w:rPr>
              <w:t>投标报价（元）</w:t>
            </w:r>
          </w:p>
        </w:tc>
      </w:tr>
      <w:tr w14:paraId="1D7402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68" w:type="dxa"/>
            <w:vMerge w:val="continue"/>
            <w:noWrap w:val="0"/>
            <w:vAlign w:val="center"/>
          </w:tcPr>
          <w:p w14:paraId="2F6FA2CF">
            <w:pPr>
              <w:pStyle w:val="15"/>
              <w:shd w:val="clear" w:color="auto" w:fill="auto"/>
              <w:spacing w:line="360" w:lineRule="auto"/>
              <w:jc w:val="center"/>
              <w:rPr>
                <w:rFonts w:hAnsi="宋体" w:cs="宋体"/>
                <w:sz w:val="24"/>
              </w:rPr>
            </w:pPr>
          </w:p>
        </w:tc>
        <w:tc>
          <w:tcPr>
            <w:tcW w:w="2320" w:type="dxa"/>
            <w:vMerge w:val="continue"/>
            <w:noWrap w:val="0"/>
            <w:vAlign w:val="center"/>
          </w:tcPr>
          <w:p w14:paraId="1800545B">
            <w:pPr>
              <w:pStyle w:val="15"/>
              <w:shd w:val="clear" w:color="auto" w:fill="auto"/>
              <w:spacing w:line="360" w:lineRule="auto"/>
              <w:jc w:val="center"/>
              <w:rPr>
                <w:rFonts w:hAnsi="宋体" w:cs="宋体"/>
                <w:sz w:val="24"/>
              </w:rPr>
            </w:pPr>
          </w:p>
        </w:tc>
        <w:tc>
          <w:tcPr>
            <w:tcW w:w="2825" w:type="dxa"/>
            <w:vMerge w:val="continue"/>
            <w:noWrap w:val="0"/>
            <w:vAlign w:val="center"/>
          </w:tcPr>
          <w:p w14:paraId="17EEFD2C">
            <w:pPr>
              <w:pStyle w:val="15"/>
              <w:shd w:val="clear" w:color="auto" w:fill="auto"/>
              <w:spacing w:line="360" w:lineRule="auto"/>
              <w:jc w:val="center"/>
              <w:rPr>
                <w:rFonts w:hAnsi="宋体" w:cs="宋体"/>
                <w:sz w:val="24"/>
              </w:rPr>
            </w:pPr>
          </w:p>
        </w:tc>
        <w:tc>
          <w:tcPr>
            <w:tcW w:w="1275" w:type="dxa"/>
            <w:vMerge w:val="continue"/>
            <w:noWrap w:val="0"/>
            <w:vAlign w:val="center"/>
          </w:tcPr>
          <w:p w14:paraId="36014206">
            <w:pPr>
              <w:pStyle w:val="15"/>
              <w:shd w:val="clear" w:color="auto" w:fill="auto"/>
              <w:spacing w:line="360" w:lineRule="auto"/>
              <w:jc w:val="center"/>
              <w:rPr>
                <w:rFonts w:hAnsi="宋体" w:cs="宋体"/>
                <w:sz w:val="24"/>
              </w:rPr>
            </w:pPr>
          </w:p>
        </w:tc>
        <w:tc>
          <w:tcPr>
            <w:tcW w:w="525" w:type="dxa"/>
            <w:vMerge w:val="continue"/>
            <w:noWrap w:val="0"/>
            <w:vAlign w:val="center"/>
          </w:tcPr>
          <w:p w14:paraId="74C93461">
            <w:pPr>
              <w:pStyle w:val="15"/>
              <w:shd w:val="clear" w:color="auto" w:fill="auto"/>
              <w:spacing w:line="360" w:lineRule="auto"/>
              <w:jc w:val="center"/>
              <w:rPr>
                <w:rFonts w:hAnsi="宋体" w:cs="宋体"/>
                <w:sz w:val="24"/>
              </w:rPr>
            </w:pPr>
          </w:p>
        </w:tc>
        <w:tc>
          <w:tcPr>
            <w:tcW w:w="510" w:type="dxa"/>
            <w:vMerge w:val="continue"/>
            <w:noWrap w:val="0"/>
            <w:vAlign w:val="center"/>
          </w:tcPr>
          <w:p w14:paraId="52DFF803">
            <w:pPr>
              <w:pStyle w:val="15"/>
              <w:shd w:val="clear" w:color="auto" w:fill="auto"/>
              <w:spacing w:line="360" w:lineRule="auto"/>
              <w:jc w:val="center"/>
              <w:rPr>
                <w:rFonts w:hAnsi="宋体" w:cs="宋体"/>
                <w:sz w:val="24"/>
              </w:rPr>
            </w:pPr>
          </w:p>
        </w:tc>
        <w:tc>
          <w:tcPr>
            <w:tcW w:w="953" w:type="dxa"/>
            <w:noWrap w:val="0"/>
            <w:vAlign w:val="center"/>
          </w:tcPr>
          <w:p w14:paraId="5F298B9B">
            <w:pPr>
              <w:pStyle w:val="15"/>
              <w:shd w:val="clear" w:color="auto" w:fill="auto"/>
              <w:spacing w:line="360" w:lineRule="auto"/>
              <w:jc w:val="center"/>
              <w:rPr>
                <w:rFonts w:hAnsi="宋体" w:cs="宋体"/>
                <w:sz w:val="24"/>
              </w:rPr>
            </w:pPr>
            <w:r>
              <w:rPr>
                <w:rFonts w:hint="eastAsia" w:hAnsi="宋体" w:cs="宋体"/>
                <w:sz w:val="24"/>
              </w:rPr>
              <w:t>单价</w:t>
            </w:r>
          </w:p>
        </w:tc>
        <w:tc>
          <w:tcPr>
            <w:tcW w:w="1162" w:type="dxa"/>
            <w:noWrap w:val="0"/>
            <w:vAlign w:val="center"/>
          </w:tcPr>
          <w:p w14:paraId="789ED765">
            <w:pPr>
              <w:pStyle w:val="15"/>
              <w:shd w:val="clear" w:color="auto" w:fill="auto"/>
              <w:spacing w:line="360" w:lineRule="auto"/>
              <w:jc w:val="center"/>
              <w:rPr>
                <w:rFonts w:hAnsi="宋体" w:cs="宋体"/>
                <w:sz w:val="24"/>
              </w:rPr>
            </w:pPr>
            <w:r>
              <w:rPr>
                <w:rFonts w:hint="eastAsia" w:hAnsi="宋体" w:cs="宋体"/>
                <w:sz w:val="24"/>
              </w:rPr>
              <w:t>小计</w:t>
            </w:r>
          </w:p>
        </w:tc>
      </w:tr>
      <w:tr w14:paraId="3A54D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68" w:type="dxa"/>
            <w:noWrap w:val="0"/>
            <w:vAlign w:val="center"/>
          </w:tcPr>
          <w:p w14:paraId="1DAA81BC">
            <w:pPr>
              <w:pStyle w:val="60"/>
              <w:shd w:val="clear" w:color="auto" w:fill="auto"/>
              <w:kinsoku w:val="0"/>
              <w:overflowPunct w:val="0"/>
              <w:ind w:left="102"/>
              <w:jc w:val="center"/>
              <w:rPr>
                <w:rFonts w:hint="eastAsia" w:ascii="宋体" w:hAnsi="宋体" w:cs="宋体"/>
                <w:highlight w:val="yellow"/>
              </w:rPr>
            </w:pPr>
          </w:p>
        </w:tc>
        <w:tc>
          <w:tcPr>
            <w:tcW w:w="2320" w:type="dxa"/>
            <w:noWrap w:val="0"/>
            <w:vAlign w:val="center"/>
          </w:tcPr>
          <w:p w14:paraId="6654A141">
            <w:pPr>
              <w:widowControl/>
              <w:shd w:val="clear" w:color="auto" w:fill="auto"/>
              <w:jc w:val="left"/>
              <w:textAlignment w:val="center"/>
              <w:rPr>
                <w:rFonts w:hint="eastAsia" w:ascii="宋体" w:hAnsi="宋体" w:cs="宋体"/>
                <w:sz w:val="24"/>
                <w:highlight w:val="yellow"/>
              </w:rPr>
            </w:pPr>
          </w:p>
        </w:tc>
        <w:tc>
          <w:tcPr>
            <w:tcW w:w="2825" w:type="dxa"/>
            <w:noWrap w:val="0"/>
            <w:vAlign w:val="center"/>
          </w:tcPr>
          <w:p w14:paraId="7121F71A">
            <w:pPr>
              <w:widowControl/>
              <w:shd w:val="clear" w:color="auto" w:fill="auto"/>
              <w:jc w:val="left"/>
              <w:textAlignment w:val="center"/>
              <w:rPr>
                <w:rFonts w:hint="eastAsia" w:ascii="宋体" w:hAnsi="宋体" w:cs="宋体"/>
                <w:sz w:val="24"/>
                <w:highlight w:val="yellow"/>
              </w:rPr>
            </w:pPr>
          </w:p>
        </w:tc>
        <w:tc>
          <w:tcPr>
            <w:tcW w:w="1275" w:type="dxa"/>
            <w:noWrap w:val="0"/>
            <w:vAlign w:val="center"/>
          </w:tcPr>
          <w:p w14:paraId="3C103995">
            <w:pPr>
              <w:widowControl/>
              <w:shd w:val="clear" w:color="auto" w:fill="auto"/>
              <w:jc w:val="center"/>
              <w:textAlignment w:val="center"/>
              <w:rPr>
                <w:rFonts w:hAnsi="宋体" w:cs="宋体"/>
                <w:b/>
                <w:sz w:val="24"/>
                <w:highlight w:val="yellow"/>
              </w:rPr>
            </w:pPr>
          </w:p>
        </w:tc>
        <w:tc>
          <w:tcPr>
            <w:tcW w:w="525" w:type="dxa"/>
            <w:noWrap w:val="0"/>
            <w:vAlign w:val="center"/>
          </w:tcPr>
          <w:p w14:paraId="4FF3659B">
            <w:pPr>
              <w:widowControl/>
              <w:shd w:val="clear" w:color="auto" w:fill="auto"/>
              <w:jc w:val="center"/>
              <w:textAlignment w:val="center"/>
              <w:rPr>
                <w:rFonts w:hint="eastAsia" w:ascii="宋体" w:hAnsi="宋体" w:cs="宋体"/>
                <w:sz w:val="24"/>
                <w:highlight w:val="yellow"/>
              </w:rPr>
            </w:pPr>
          </w:p>
        </w:tc>
        <w:tc>
          <w:tcPr>
            <w:tcW w:w="510" w:type="dxa"/>
            <w:noWrap w:val="0"/>
            <w:vAlign w:val="center"/>
          </w:tcPr>
          <w:p w14:paraId="1497752F">
            <w:pPr>
              <w:widowControl/>
              <w:shd w:val="clear" w:color="auto" w:fill="auto"/>
              <w:jc w:val="center"/>
              <w:textAlignment w:val="center"/>
              <w:rPr>
                <w:rFonts w:ascii="宋体" w:hAnsi="宋体" w:cs="宋体"/>
                <w:sz w:val="24"/>
                <w:highlight w:val="yellow"/>
              </w:rPr>
            </w:pPr>
          </w:p>
        </w:tc>
        <w:tc>
          <w:tcPr>
            <w:tcW w:w="953" w:type="dxa"/>
            <w:noWrap w:val="0"/>
            <w:vAlign w:val="top"/>
          </w:tcPr>
          <w:p w14:paraId="5C2E69ED">
            <w:pPr>
              <w:pStyle w:val="15"/>
              <w:shd w:val="clear" w:color="auto" w:fill="auto"/>
              <w:spacing w:line="360" w:lineRule="auto"/>
              <w:rPr>
                <w:rFonts w:hAnsi="宋体" w:cs="宋体"/>
                <w:sz w:val="24"/>
                <w:highlight w:val="yellow"/>
              </w:rPr>
            </w:pPr>
          </w:p>
        </w:tc>
        <w:tc>
          <w:tcPr>
            <w:tcW w:w="1162" w:type="dxa"/>
            <w:noWrap w:val="0"/>
            <w:vAlign w:val="top"/>
          </w:tcPr>
          <w:p w14:paraId="267A45BC">
            <w:pPr>
              <w:pStyle w:val="15"/>
              <w:shd w:val="clear" w:color="auto" w:fill="auto"/>
              <w:spacing w:line="360" w:lineRule="auto"/>
              <w:rPr>
                <w:rFonts w:hAnsi="宋体" w:cs="宋体"/>
                <w:sz w:val="24"/>
                <w:highlight w:val="yellow"/>
              </w:rPr>
            </w:pPr>
          </w:p>
        </w:tc>
      </w:tr>
      <w:tr w14:paraId="11BBB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68" w:type="dxa"/>
            <w:noWrap w:val="0"/>
            <w:vAlign w:val="center"/>
          </w:tcPr>
          <w:p w14:paraId="36A9531C">
            <w:pPr>
              <w:pStyle w:val="60"/>
              <w:shd w:val="clear" w:color="auto" w:fill="auto"/>
              <w:kinsoku w:val="0"/>
              <w:overflowPunct w:val="0"/>
              <w:spacing w:before="139"/>
              <w:jc w:val="center"/>
              <w:rPr>
                <w:rFonts w:hint="eastAsia" w:ascii="宋体" w:hAnsi="宋体" w:cs="宋体"/>
                <w:highlight w:val="yellow"/>
              </w:rPr>
            </w:pPr>
          </w:p>
        </w:tc>
        <w:tc>
          <w:tcPr>
            <w:tcW w:w="2320" w:type="dxa"/>
            <w:noWrap w:val="0"/>
            <w:vAlign w:val="center"/>
          </w:tcPr>
          <w:p w14:paraId="7FC922DC">
            <w:pPr>
              <w:widowControl/>
              <w:shd w:val="clear" w:color="auto" w:fill="auto"/>
              <w:jc w:val="left"/>
              <w:textAlignment w:val="center"/>
              <w:rPr>
                <w:rFonts w:hint="eastAsia" w:ascii="宋体" w:hAnsi="宋体" w:cs="宋体"/>
                <w:sz w:val="24"/>
                <w:highlight w:val="yellow"/>
              </w:rPr>
            </w:pPr>
          </w:p>
        </w:tc>
        <w:tc>
          <w:tcPr>
            <w:tcW w:w="2825" w:type="dxa"/>
            <w:noWrap w:val="0"/>
            <w:vAlign w:val="center"/>
          </w:tcPr>
          <w:p w14:paraId="7C6CE327">
            <w:pPr>
              <w:widowControl/>
              <w:shd w:val="clear" w:color="auto" w:fill="auto"/>
              <w:jc w:val="left"/>
              <w:textAlignment w:val="center"/>
              <w:rPr>
                <w:rFonts w:hint="eastAsia" w:ascii="宋体" w:hAnsi="宋体" w:cs="宋体"/>
                <w:sz w:val="24"/>
                <w:highlight w:val="yellow"/>
              </w:rPr>
            </w:pPr>
          </w:p>
        </w:tc>
        <w:tc>
          <w:tcPr>
            <w:tcW w:w="1275" w:type="dxa"/>
            <w:noWrap w:val="0"/>
            <w:vAlign w:val="center"/>
          </w:tcPr>
          <w:p w14:paraId="249347C5">
            <w:pPr>
              <w:widowControl/>
              <w:shd w:val="clear" w:color="auto" w:fill="auto"/>
              <w:jc w:val="center"/>
              <w:textAlignment w:val="center"/>
              <w:rPr>
                <w:rFonts w:hAnsi="宋体" w:cs="宋体"/>
                <w:b/>
                <w:sz w:val="24"/>
                <w:highlight w:val="yellow"/>
              </w:rPr>
            </w:pPr>
          </w:p>
        </w:tc>
        <w:tc>
          <w:tcPr>
            <w:tcW w:w="525" w:type="dxa"/>
            <w:noWrap w:val="0"/>
            <w:vAlign w:val="center"/>
          </w:tcPr>
          <w:p w14:paraId="708E5D27">
            <w:pPr>
              <w:widowControl/>
              <w:shd w:val="clear" w:color="auto" w:fill="auto"/>
              <w:jc w:val="center"/>
              <w:textAlignment w:val="center"/>
              <w:rPr>
                <w:rFonts w:hint="eastAsia" w:ascii="宋体" w:hAnsi="宋体" w:cs="宋体"/>
                <w:sz w:val="24"/>
                <w:highlight w:val="yellow"/>
              </w:rPr>
            </w:pPr>
          </w:p>
        </w:tc>
        <w:tc>
          <w:tcPr>
            <w:tcW w:w="510" w:type="dxa"/>
            <w:noWrap w:val="0"/>
            <w:vAlign w:val="center"/>
          </w:tcPr>
          <w:p w14:paraId="56CE93D7">
            <w:pPr>
              <w:widowControl/>
              <w:shd w:val="clear" w:color="auto" w:fill="auto"/>
              <w:jc w:val="center"/>
              <w:textAlignment w:val="center"/>
              <w:rPr>
                <w:rFonts w:hint="eastAsia" w:ascii="宋体" w:hAnsi="宋体" w:cs="宋体"/>
                <w:sz w:val="24"/>
                <w:highlight w:val="yellow"/>
              </w:rPr>
            </w:pPr>
          </w:p>
        </w:tc>
        <w:tc>
          <w:tcPr>
            <w:tcW w:w="953" w:type="dxa"/>
            <w:noWrap w:val="0"/>
            <w:vAlign w:val="top"/>
          </w:tcPr>
          <w:p w14:paraId="2FBE7444">
            <w:pPr>
              <w:pStyle w:val="15"/>
              <w:shd w:val="clear" w:color="auto" w:fill="auto"/>
              <w:spacing w:line="360" w:lineRule="auto"/>
              <w:rPr>
                <w:rFonts w:hAnsi="宋体" w:cs="宋体"/>
                <w:sz w:val="24"/>
                <w:highlight w:val="yellow"/>
              </w:rPr>
            </w:pPr>
          </w:p>
        </w:tc>
        <w:tc>
          <w:tcPr>
            <w:tcW w:w="1162" w:type="dxa"/>
            <w:noWrap w:val="0"/>
            <w:vAlign w:val="top"/>
          </w:tcPr>
          <w:p w14:paraId="5BB9A545">
            <w:pPr>
              <w:pStyle w:val="15"/>
              <w:shd w:val="clear" w:color="auto" w:fill="auto"/>
              <w:spacing w:line="360" w:lineRule="auto"/>
              <w:rPr>
                <w:rFonts w:hAnsi="宋体" w:cs="宋体"/>
                <w:sz w:val="24"/>
                <w:highlight w:val="yellow"/>
              </w:rPr>
            </w:pPr>
          </w:p>
        </w:tc>
      </w:tr>
      <w:tr w14:paraId="00D2F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768" w:type="dxa"/>
            <w:noWrap w:val="0"/>
            <w:vAlign w:val="center"/>
          </w:tcPr>
          <w:p w14:paraId="4369B375">
            <w:pPr>
              <w:pStyle w:val="60"/>
              <w:shd w:val="clear" w:color="auto" w:fill="auto"/>
              <w:kinsoku w:val="0"/>
              <w:overflowPunct w:val="0"/>
              <w:spacing w:before="153"/>
              <w:jc w:val="center"/>
              <w:rPr>
                <w:rFonts w:hint="eastAsia" w:ascii="宋体" w:hAnsi="宋体" w:cs="宋体"/>
                <w:highlight w:val="yellow"/>
              </w:rPr>
            </w:pPr>
          </w:p>
        </w:tc>
        <w:tc>
          <w:tcPr>
            <w:tcW w:w="2320" w:type="dxa"/>
            <w:noWrap w:val="0"/>
            <w:vAlign w:val="center"/>
          </w:tcPr>
          <w:p w14:paraId="6088B95A">
            <w:pPr>
              <w:widowControl/>
              <w:shd w:val="clear" w:color="auto" w:fill="auto"/>
              <w:textAlignment w:val="center"/>
              <w:rPr>
                <w:rFonts w:hint="eastAsia" w:ascii="宋体" w:hAnsi="宋体" w:cs="宋体"/>
                <w:sz w:val="24"/>
                <w:highlight w:val="yellow"/>
              </w:rPr>
            </w:pPr>
          </w:p>
        </w:tc>
        <w:tc>
          <w:tcPr>
            <w:tcW w:w="2825" w:type="dxa"/>
            <w:noWrap w:val="0"/>
            <w:vAlign w:val="center"/>
          </w:tcPr>
          <w:p w14:paraId="3F4583B9">
            <w:pPr>
              <w:widowControl/>
              <w:shd w:val="clear" w:color="auto" w:fill="auto"/>
              <w:textAlignment w:val="center"/>
              <w:rPr>
                <w:rFonts w:hint="eastAsia" w:ascii="宋体" w:hAnsi="宋体" w:cs="宋体"/>
                <w:sz w:val="24"/>
                <w:highlight w:val="yellow"/>
              </w:rPr>
            </w:pPr>
          </w:p>
        </w:tc>
        <w:tc>
          <w:tcPr>
            <w:tcW w:w="1275" w:type="dxa"/>
            <w:noWrap w:val="0"/>
            <w:vAlign w:val="center"/>
          </w:tcPr>
          <w:p w14:paraId="7399CDB1">
            <w:pPr>
              <w:widowControl/>
              <w:shd w:val="clear" w:color="auto" w:fill="auto"/>
              <w:jc w:val="center"/>
              <w:textAlignment w:val="center"/>
              <w:rPr>
                <w:rFonts w:hAnsi="宋体" w:cs="宋体"/>
                <w:b/>
                <w:sz w:val="24"/>
                <w:highlight w:val="yellow"/>
              </w:rPr>
            </w:pPr>
          </w:p>
        </w:tc>
        <w:tc>
          <w:tcPr>
            <w:tcW w:w="525" w:type="dxa"/>
            <w:noWrap w:val="0"/>
            <w:vAlign w:val="center"/>
          </w:tcPr>
          <w:p w14:paraId="38871F02">
            <w:pPr>
              <w:widowControl/>
              <w:shd w:val="clear" w:color="auto" w:fill="auto"/>
              <w:jc w:val="center"/>
              <w:textAlignment w:val="center"/>
              <w:rPr>
                <w:rFonts w:hint="eastAsia" w:ascii="宋体" w:hAnsi="宋体" w:cs="宋体"/>
                <w:sz w:val="24"/>
                <w:highlight w:val="yellow"/>
              </w:rPr>
            </w:pPr>
          </w:p>
        </w:tc>
        <w:tc>
          <w:tcPr>
            <w:tcW w:w="510" w:type="dxa"/>
            <w:noWrap w:val="0"/>
            <w:vAlign w:val="center"/>
          </w:tcPr>
          <w:p w14:paraId="5B3CAB6E">
            <w:pPr>
              <w:widowControl/>
              <w:shd w:val="clear" w:color="auto" w:fill="auto"/>
              <w:jc w:val="center"/>
              <w:textAlignment w:val="center"/>
              <w:rPr>
                <w:rFonts w:hint="eastAsia" w:ascii="宋体" w:hAnsi="宋体" w:cs="宋体"/>
                <w:sz w:val="24"/>
                <w:highlight w:val="yellow"/>
              </w:rPr>
            </w:pPr>
          </w:p>
        </w:tc>
        <w:tc>
          <w:tcPr>
            <w:tcW w:w="953" w:type="dxa"/>
            <w:noWrap w:val="0"/>
            <w:vAlign w:val="top"/>
          </w:tcPr>
          <w:p w14:paraId="79FFE91D">
            <w:pPr>
              <w:pStyle w:val="15"/>
              <w:shd w:val="clear" w:color="auto" w:fill="auto"/>
              <w:spacing w:line="360" w:lineRule="auto"/>
              <w:rPr>
                <w:rFonts w:hAnsi="宋体" w:cs="宋体"/>
                <w:sz w:val="24"/>
                <w:highlight w:val="yellow"/>
              </w:rPr>
            </w:pPr>
          </w:p>
        </w:tc>
        <w:tc>
          <w:tcPr>
            <w:tcW w:w="1162" w:type="dxa"/>
            <w:noWrap w:val="0"/>
            <w:vAlign w:val="top"/>
          </w:tcPr>
          <w:p w14:paraId="0E3E748C">
            <w:pPr>
              <w:pStyle w:val="15"/>
              <w:shd w:val="clear" w:color="auto" w:fill="auto"/>
              <w:spacing w:line="360" w:lineRule="auto"/>
              <w:rPr>
                <w:rFonts w:hAnsi="宋体" w:cs="宋体"/>
                <w:sz w:val="24"/>
                <w:highlight w:val="yellow"/>
              </w:rPr>
            </w:pPr>
          </w:p>
        </w:tc>
      </w:tr>
      <w:tr w14:paraId="1CED7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52D9117B">
            <w:pPr>
              <w:pStyle w:val="60"/>
              <w:shd w:val="clear" w:color="auto" w:fill="auto"/>
              <w:kinsoku w:val="0"/>
              <w:overflowPunct w:val="0"/>
              <w:spacing w:before="153"/>
              <w:jc w:val="center"/>
              <w:rPr>
                <w:rFonts w:hint="eastAsia" w:ascii="宋体" w:hAnsi="宋体" w:cs="宋体"/>
                <w:highlight w:val="yellow"/>
              </w:rPr>
            </w:pPr>
          </w:p>
        </w:tc>
        <w:tc>
          <w:tcPr>
            <w:tcW w:w="2320" w:type="dxa"/>
            <w:noWrap w:val="0"/>
            <w:vAlign w:val="center"/>
          </w:tcPr>
          <w:p w14:paraId="5025CEAF">
            <w:pPr>
              <w:widowControl/>
              <w:shd w:val="clear" w:color="auto" w:fill="auto"/>
              <w:textAlignment w:val="center"/>
              <w:rPr>
                <w:rFonts w:hint="eastAsia" w:ascii="宋体" w:hAnsi="宋体" w:cs="宋体"/>
                <w:sz w:val="24"/>
                <w:highlight w:val="yellow"/>
              </w:rPr>
            </w:pPr>
          </w:p>
        </w:tc>
        <w:tc>
          <w:tcPr>
            <w:tcW w:w="2825" w:type="dxa"/>
            <w:noWrap w:val="0"/>
            <w:vAlign w:val="center"/>
          </w:tcPr>
          <w:p w14:paraId="232344BB">
            <w:pPr>
              <w:widowControl/>
              <w:shd w:val="clear" w:color="auto" w:fill="auto"/>
              <w:textAlignment w:val="center"/>
              <w:rPr>
                <w:rFonts w:hint="eastAsia" w:ascii="宋体" w:hAnsi="宋体" w:cs="宋体"/>
                <w:sz w:val="24"/>
                <w:highlight w:val="yellow"/>
              </w:rPr>
            </w:pPr>
          </w:p>
        </w:tc>
        <w:tc>
          <w:tcPr>
            <w:tcW w:w="1275" w:type="dxa"/>
            <w:noWrap w:val="0"/>
            <w:vAlign w:val="center"/>
          </w:tcPr>
          <w:p w14:paraId="1E1EF5B1">
            <w:pPr>
              <w:widowControl/>
              <w:shd w:val="clear" w:color="auto" w:fill="auto"/>
              <w:jc w:val="center"/>
              <w:textAlignment w:val="center"/>
              <w:rPr>
                <w:rFonts w:hAnsi="宋体" w:cs="宋体"/>
                <w:sz w:val="24"/>
                <w:highlight w:val="yellow"/>
              </w:rPr>
            </w:pPr>
          </w:p>
        </w:tc>
        <w:tc>
          <w:tcPr>
            <w:tcW w:w="525" w:type="dxa"/>
            <w:noWrap w:val="0"/>
            <w:vAlign w:val="center"/>
          </w:tcPr>
          <w:p w14:paraId="3743B8E3">
            <w:pPr>
              <w:widowControl/>
              <w:shd w:val="clear" w:color="auto" w:fill="auto"/>
              <w:jc w:val="center"/>
              <w:textAlignment w:val="center"/>
              <w:rPr>
                <w:rFonts w:hint="eastAsia" w:ascii="宋体" w:hAnsi="宋体" w:cs="宋体"/>
                <w:sz w:val="24"/>
                <w:highlight w:val="yellow"/>
              </w:rPr>
            </w:pPr>
          </w:p>
        </w:tc>
        <w:tc>
          <w:tcPr>
            <w:tcW w:w="510" w:type="dxa"/>
            <w:noWrap w:val="0"/>
            <w:vAlign w:val="center"/>
          </w:tcPr>
          <w:p w14:paraId="2D92006C">
            <w:pPr>
              <w:widowControl/>
              <w:shd w:val="clear" w:color="auto" w:fill="auto"/>
              <w:jc w:val="center"/>
              <w:textAlignment w:val="center"/>
              <w:rPr>
                <w:rFonts w:hint="eastAsia" w:ascii="宋体" w:hAnsi="宋体" w:cs="宋体"/>
                <w:sz w:val="24"/>
                <w:highlight w:val="yellow"/>
              </w:rPr>
            </w:pPr>
          </w:p>
        </w:tc>
        <w:tc>
          <w:tcPr>
            <w:tcW w:w="953" w:type="dxa"/>
            <w:noWrap w:val="0"/>
            <w:vAlign w:val="top"/>
          </w:tcPr>
          <w:p w14:paraId="22F459D4">
            <w:pPr>
              <w:pStyle w:val="15"/>
              <w:shd w:val="clear" w:color="auto" w:fill="auto"/>
              <w:spacing w:line="360" w:lineRule="auto"/>
              <w:rPr>
                <w:rFonts w:hAnsi="宋体" w:cs="宋体"/>
                <w:sz w:val="24"/>
                <w:highlight w:val="yellow"/>
              </w:rPr>
            </w:pPr>
          </w:p>
        </w:tc>
        <w:tc>
          <w:tcPr>
            <w:tcW w:w="1162" w:type="dxa"/>
            <w:noWrap w:val="0"/>
            <w:vAlign w:val="top"/>
          </w:tcPr>
          <w:p w14:paraId="4EB58F26">
            <w:pPr>
              <w:pStyle w:val="15"/>
              <w:shd w:val="clear" w:color="auto" w:fill="auto"/>
              <w:spacing w:line="360" w:lineRule="auto"/>
              <w:rPr>
                <w:rFonts w:hAnsi="宋体" w:cs="宋体"/>
                <w:sz w:val="24"/>
                <w:highlight w:val="yellow"/>
              </w:rPr>
            </w:pPr>
          </w:p>
        </w:tc>
      </w:tr>
      <w:tr w14:paraId="42C76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23C367F6">
            <w:pPr>
              <w:pStyle w:val="60"/>
              <w:shd w:val="clear" w:color="auto" w:fill="auto"/>
              <w:kinsoku w:val="0"/>
              <w:overflowPunct w:val="0"/>
              <w:spacing w:before="153"/>
              <w:jc w:val="center"/>
              <w:rPr>
                <w:rFonts w:hint="eastAsia" w:ascii="宋体" w:hAnsi="宋体" w:cs="宋体"/>
                <w:highlight w:val="yellow"/>
              </w:rPr>
            </w:pPr>
          </w:p>
        </w:tc>
        <w:tc>
          <w:tcPr>
            <w:tcW w:w="2320" w:type="dxa"/>
            <w:noWrap w:val="0"/>
            <w:vAlign w:val="center"/>
          </w:tcPr>
          <w:p w14:paraId="62BA2D1A">
            <w:pPr>
              <w:widowControl/>
              <w:shd w:val="clear" w:color="auto" w:fill="auto"/>
              <w:jc w:val="left"/>
              <w:textAlignment w:val="center"/>
              <w:rPr>
                <w:rFonts w:hint="eastAsia" w:ascii="宋体" w:hAnsi="宋体" w:cs="宋体"/>
                <w:sz w:val="24"/>
                <w:highlight w:val="yellow"/>
              </w:rPr>
            </w:pPr>
          </w:p>
        </w:tc>
        <w:tc>
          <w:tcPr>
            <w:tcW w:w="2825" w:type="dxa"/>
            <w:noWrap w:val="0"/>
            <w:vAlign w:val="center"/>
          </w:tcPr>
          <w:p w14:paraId="415C7B0D">
            <w:pPr>
              <w:widowControl/>
              <w:shd w:val="clear" w:color="auto" w:fill="auto"/>
              <w:jc w:val="left"/>
              <w:textAlignment w:val="center"/>
              <w:rPr>
                <w:rFonts w:hint="eastAsia" w:ascii="宋体" w:hAnsi="宋体" w:cs="宋体"/>
                <w:sz w:val="24"/>
                <w:highlight w:val="yellow"/>
              </w:rPr>
            </w:pPr>
          </w:p>
        </w:tc>
        <w:tc>
          <w:tcPr>
            <w:tcW w:w="1275" w:type="dxa"/>
            <w:noWrap w:val="0"/>
            <w:vAlign w:val="center"/>
          </w:tcPr>
          <w:p w14:paraId="3236BF95">
            <w:pPr>
              <w:widowControl/>
              <w:shd w:val="clear" w:color="auto" w:fill="auto"/>
              <w:jc w:val="center"/>
              <w:textAlignment w:val="center"/>
              <w:rPr>
                <w:rFonts w:hAnsi="宋体" w:cs="宋体"/>
                <w:sz w:val="24"/>
                <w:highlight w:val="yellow"/>
              </w:rPr>
            </w:pPr>
          </w:p>
        </w:tc>
        <w:tc>
          <w:tcPr>
            <w:tcW w:w="525" w:type="dxa"/>
            <w:noWrap w:val="0"/>
            <w:vAlign w:val="center"/>
          </w:tcPr>
          <w:p w14:paraId="0F491F92">
            <w:pPr>
              <w:widowControl/>
              <w:shd w:val="clear" w:color="auto" w:fill="auto"/>
              <w:jc w:val="center"/>
              <w:textAlignment w:val="center"/>
              <w:rPr>
                <w:rFonts w:hint="eastAsia" w:ascii="宋体" w:hAnsi="宋体" w:cs="宋体"/>
                <w:sz w:val="24"/>
                <w:highlight w:val="yellow"/>
              </w:rPr>
            </w:pPr>
          </w:p>
        </w:tc>
        <w:tc>
          <w:tcPr>
            <w:tcW w:w="510" w:type="dxa"/>
            <w:noWrap w:val="0"/>
            <w:vAlign w:val="center"/>
          </w:tcPr>
          <w:p w14:paraId="13E8E95F">
            <w:pPr>
              <w:widowControl/>
              <w:shd w:val="clear" w:color="auto" w:fill="auto"/>
              <w:jc w:val="center"/>
              <w:textAlignment w:val="center"/>
              <w:rPr>
                <w:rFonts w:hint="eastAsia" w:ascii="宋体" w:hAnsi="宋体" w:cs="宋体"/>
                <w:sz w:val="24"/>
                <w:highlight w:val="yellow"/>
              </w:rPr>
            </w:pPr>
          </w:p>
        </w:tc>
        <w:tc>
          <w:tcPr>
            <w:tcW w:w="953" w:type="dxa"/>
            <w:noWrap w:val="0"/>
            <w:vAlign w:val="top"/>
          </w:tcPr>
          <w:p w14:paraId="3E6CEC05">
            <w:pPr>
              <w:pStyle w:val="15"/>
              <w:shd w:val="clear" w:color="auto" w:fill="auto"/>
              <w:spacing w:line="360" w:lineRule="auto"/>
              <w:rPr>
                <w:rFonts w:hAnsi="宋体" w:cs="宋体"/>
                <w:sz w:val="24"/>
                <w:highlight w:val="yellow"/>
              </w:rPr>
            </w:pPr>
          </w:p>
        </w:tc>
        <w:tc>
          <w:tcPr>
            <w:tcW w:w="1162" w:type="dxa"/>
            <w:noWrap w:val="0"/>
            <w:vAlign w:val="top"/>
          </w:tcPr>
          <w:p w14:paraId="45AA196E">
            <w:pPr>
              <w:pStyle w:val="15"/>
              <w:shd w:val="clear" w:color="auto" w:fill="auto"/>
              <w:spacing w:line="360" w:lineRule="auto"/>
              <w:rPr>
                <w:rFonts w:hAnsi="宋体" w:cs="宋体"/>
                <w:sz w:val="24"/>
                <w:highlight w:val="yellow"/>
              </w:rPr>
            </w:pPr>
          </w:p>
        </w:tc>
      </w:tr>
      <w:tr w14:paraId="68017E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6D8545FA">
            <w:pPr>
              <w:pStyle w:val="60"/>
              <w:shd w:val="clear" w:color="auto" w:fill="auto"/>
              <w:kinsoku w:val="0"/>
              <w:overflowPunct w:val="0"/>
              <w:spacing w:before="153"/>
              <w:jc w:val="center"/>
              <w:rPr>
                <w:rFonts w:hint="eastAsia" w:ascii="宋体" w:hAnsi="宋体" w:cs="宋体"/>
                <w:highlight w:val="yellow"/>
              </w:rPr>
            </w:pPr>
          </w:p>
        </w:tc>
        <w:tc>
          <w:tcPr>
            <w:tcW w:w="2320" w:type="dxa"/>
            <w:noWrap w:val="0"/>
            <w:vAlign w:val="center"/>
          </w:tcPr>
          <w:p w14:paraId="4DC22B1C">
            <w:pPr>
              <w:widowControl/>
              <w:shd w:val="clear" w:color="auto" w:fill="auto"/>
              <w:jc w:val="left"/>
              <w:textAlignment w:val="center"/>
              <w:rPr>
                <w:rFonts w:hint="eastAsia" w:ascii="宋体" w:hAnsi="宋体" w:cs="宋体"/>
                <w:sz w:val="24"/>
                <w:highlight w:val="yellow"/>
              </w:rPr>
            </w:pPr>
          </w:p>
        </w:tc>
        <w:tc>
          <w:tcPr>
            <w:tcW w:w="2825" w:type="dxa"/>
            <w:noWrap w:val="0"/>
            <w:vAlign w:val="center"/>
          </w:tcPr>
          <w:p w14:paraId="630509FB">
            <w:pPr>
              <w:widowControl/>
              <w:shd w:val="clear" w:color="auto" w:fill="auto"/>
              <w:jc w:val="left"/>
              <w:textAlignment w:val="center"/>
              <w:rPr>
                <w:rFonts w:hint="eastAsia" w:ascii="宋体" w:hAnsi="宋体" w:cs="宋体"/>
                <w:sz w:val="24"/>
                <w:highlight w:val="yellow"/>
              </w:rPr>
            </w:pPr>
          </w:p>
        </w:tc>
        <w:tc>
          <w:tcPr>
            <w:tcW w:w="1275" w:type="dxa"/>
            <w:noWrap w:val="0"/>
            <w:vAlign w:val="center"/>
          </w:tcPr>
          <w:p w14:paraId="6C65010F">
            <w:pPr>
              <w:widowControl/>
              <w:shd w:val="clear" w:color="auto" w:fill="auto"/>
              <w:jc w:val="center"/>
              <w:textAlignment w:val="center"/>
              <w:rPr>
                <w:rFonts w:hAnsi="宋体" w:cs="宋体"/>
                <w:sz w:val="24"/>
                <w:highlight w:val="yellow"/>
              </w:rPr>
            </w:pPr>
          </w:p>
        </w:tc>
        <w:tc>
          <w:tcPr>
            <w:tcW w:w="525" w:type="dxa"/>
            <w:noWrap w:val="0"/>
            <w:vAlign w:val="center"/>
          </w:tcPr>
          <w:p w14:paraId="4A62353C">
            <w:pPr>
              <w:widowControl/>
              <w:shd w:val="clear" w:color="auto" w:fill="auto"/>
              <w:jc w:val="center"/>
              <w:textAlignment w:val="center"/>
              <w:rPr>
                <w:rFonts w:hint="eastAsia" w:ascii="宋体" w:hAnsi="宋体" w:cs="宋体"/>
                <w:sz w:val="24"/>
                <w:highlight w:val="yellow"/>
              </w:rPr>
            </w:pPr>
          </w:p>
        </w:tc>
        <w:tc>
          <w:tcPr>
            <w:tcW w:w="510" w:type="dxa"/>
            <w:noWrap w:val="0"/>
            <w:vAlign w:val="center"/>
          </w:tcPr>
          <w:p w14:paraId="2CAFC8AD">
            <w:pPr>
              <w:widowControl/>
              <w:shd w:val="clear" w:color="auto" w:fill="auto"/>
              <w:jc w:val="center"/>
              <w:textAlignment w:val="center"/>
              <w:rPr>
                <w:rFonts w:hint="eastAsia" w:ascii="宋体" w:hAnsi="宋体" w:cs="宋体"/>
                <w:sz w:val="24"/>
                <w:highlight w:val="yellow"/>
              </w:rPr>
            </w:pPr>
          </w:p>
        </w:tc>
        <w:tc>
          <w:tcPr>
            <w:tcW w:w="953" w:type="dxa"/>
            <w:noWrap w:val="0"/>
            <w:vAlign w:val="top"/>
          </w:tcPr>
          <w:p w14:paraId="0BA6ACBB">
            <w:pPr>
              <w:pStyle w:val="15"/>
              <w:shd w:val="clear" w:color="auto" w:fill="auto"/>
              <w:spacing w:line="360" w:lineRule="auto"/>
              <w:rPr>
                <w:rFonts w:hAnsi="宋体" w:cs="宋体"/>
                <w:sz w:val="24"/>
                <w:highlight w:val="yellow"/>
              </w:rPr>
            </w:pPr>
          </w:p>
        </w:tc>
        <w:tc>
          <w:tcPr>
            <w:tcW w:w="1162" w:type="dxa"/>
            <w:noWrap w:val="0"/>
            <w:vAlign w:val="top"/>
          </w:tcPr>
          <w:p w14:paraId="3EB378A1">
            <w:pPr>
              <w:pStyle w:val="15"/>
              <w:shd w:val="clear" w:color="auto" w:fill="auto"/>
              <w:spacing w:line="360" w:lineRule="auto"/>
              <w:rPr>
                <w:rFonts w:hAnsi="宋体" w:cs="宋体"/>
                <w:sz w:val="24"/>
                <w:highlight w:val="yellow"/>
              </w:rPr>
            </w:pPr>
          </w:p>
        </w:tc>
      </w:tr>
      <w:tr w14:paraId="353AE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68" w:type="dxa"/>
            <w:noWrap w:val="0"/>
            <w:vAlign w:val="center"/>
          </w:tcPr>
          <w:p w14:paraId="28EA8B20">
            <w:pPr>
              <w:pStyle w:val="60"/>
              <w:shd w:val="clear" w:color="auto" w:fill="auto"/>
              <w:kinsoku w:val="0"/>
              <w:overflowPunct w:val="0"/>
              <w:spacing w:before="153"/>
              <w:jc w:val="center"/>
              <w:rPr>
                <w:rFonts w:hint="eastAsia" w:ascii="宋体" w:hAnsi="宋体" w:cs="宋体"/>
                <w:highlight w:val="yellow"/>
              </w:rPr>
            </w:pPr>
          </w:p>
        </w:tc>
        <w:tc>
          <w:tcPr>
            <w:tcW w:w="2320" w:type="dxa"/>
            <w:noWrap w:val="0"/>
            <w:vAlign w:val="center"/>
          </w:tcPr>
          <w:p w14:paraId="08970F4C">
            <w:pPr>
              <w:widowControl/>
              <w:shd w:val="clear" w:color="auto" w:fill="auto"/>
              <w:jc w:val="left"/>
              <w:textAlignment w:val="center"/>
              <w:rPr>
                <w:rFonts w:hint="eastAsia" w:ascii="宋体" w:hAnsi="宋体" w:cs="宋体"/>
                <w:sz w:val="24"/>
                <w:highlight w:val="yellow"/>
              </w:rPr>
            </w:pPr>
          </w:p>
        </w:tc>
        <w:tc>
          <w:tcPr>
            <w:tcW w:w="2825" w:type="dxa"/>
            <w:noWrap w:val="0"/>
            <w:vAlign w:val="center"/>
          </w:tcPr>
          <w:p w14:paraId="2A77AC5C">
            <w:pPr>
              <w:widowControl/>
              <w:shd w:val="clear" w:color="auto" w:fill="auto"/>
              <w:jc w:val="left"/>
              <w:textAlignment w:val="center"/>
              <w:rPr>
                <w:rFonts w:hint="eastAsia" w:ascii="宋体" w:hAnsi="宋体" w:cs="宋体"/>
                <w:sz w:val="24"/>
                <w:highlight w:val="yellow"/>
              </w:rPr>
            </w:pPr>
          </w:p>
        </w:tc>
        <w:tc>
          <w:tcPr>
            <w:tcW w:w="1275" w:type="dxa"/>
            <w:noWrap w:val="0"/>
            <w:vAlign w:val="center"/>
          </w:tcPr>
          <w:p w14:paraId="60FAD033">
            <w:pPr>
              <w:widowControl/>
              <w:shd w:val="clear" w:color="auto" w:fill="auto"/>
              <w:jc w:val="center"/>
              <w:textAlignment w:val="center"/>
              <w:rPr>
                <w:rFonts w:hAnsi="宋体" w:cs="宋体"/>
                <w:sz w:val="24"/>
                <w:highlight w:val="yellow"/>
              </w:rPr>
            </w:pPr>
          </w:p>
        </w:tc>
        <w:tc>
          <w:tcPr>
            <w:tcW w:w="525" w:type="dxa"/>
            <w:noWrap w:val="0"/>
            <w:vAlign w:val="center"/>
          </w:tcPr>
          <w:p w14:paraId="65A76DE6">
            <w:pPr>
              <w:widowControl/>
              <w:shd w:val="clear" w:color="auto" w:fill="auto"/>
              <w:jc w:val="center"/>
              <w:textAlignment w:val="center"/>
              <w:rPr>
                <w:rFonts w:hint="eastAsia" w:ascii="宋体" w:hAnsi="宋体" w:cs="宋体"/>
                <w:sz w:val="24"/>
                <w:highlight w:val="yellow"/>
              </w:rPr>
            </w:pPr>
          </w:p>
        </w:tc>
        <w:tc>
          <w:tcPr>
            <w:tcW w:w="510" w:type="dxa"/>
            <w:noWrap w:val="0"/>
            <w:vAlign w:val="center"/>
          </w:tcPr>
          <w:p w14:paraId="1E5FD6F5">
            <w:pPr>
              <w:widowControl/>
              <w:shd w:val="clear" w:color="auto" w:fill="auto"/>
              <w:jc w:val="center"/>
              <w:textAlignment w:val="center"/>
              <w:rPr>
                <w:rFonts w:hint="eastAsia" w:ascii="宋体" w:hAnsi="宋体" w:cs="宋体"/>
                <w:sz w:val="24"/>
                <w:highlight w:val="yellow"/>
              </w:rPr>
            </w:pPr>
          </w:p>
        </w:tc>
        <w:tc>
          <w:tcPr>
            <w:tcW w:w="953" w:type="dxa"/>
            <w:noWrap w:val="0"/>
            <w:vAlign w:val="top"/>
          </w:tcPr>
          <w:p w14:paraId="43DF17CB">
            <w:pPr>
              <w:pStyle w:val="15"/>
              <w:shd w:val="clear" w:color="auto" w:fill="auto"/>
              <w:spacing w:line="360" w:lineRule="auto"/>
              <w:rPr>
                <w:rFonts w:hAnsi="宋体" w:cs="宋体"/>
                <w:sz w:val="24"/>
                <w:highlight w:val="yellow"/>
              </w:rPr>
            </w:pPr>
          </w:p>
        </w:tc>
        <w:tc>
          <w:tcPr>
            <w:tcW w:w="1162" w:type="dxa"/>
            <w:noWrap w:val="0"/>
            <w:vAlign w:val="top"/>
          </w:tcPr>
          <w:p w14:paraId="4C830C2E">
            <w:pPr>
              <w:pStyle w:val="15"/>
              <w:shd w:val="clear" w:color="auto" w:fill="auto"/>
              <w:spacing w:line="360" w:lineRule="auto"/>
              <w:rPr>
                <w:rFonts w:hAnsi="宋体" w:cs="宋体"/>
                <w:sz w:val="24"/>
                <w:highlight w:val="yellow"/>
              </w:rPr>
            </w:pPr>
          </w:p>
        </w:tc>
      </w:tr>
      <w:tr w14:paraId="6D1CF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7" w:hRule="atLeast"/>
          <w:jc w:val="center"/>
        </w:trPr>
        <w:tc>
          <w:tcPr>
            <w:tcW w:w="3088" w:type="dxa"/>
            <w:gridSpan w:val="2"/>
            <w:noWrap w:val="0"/>
            <w:vAlign w:val="center"/>
          </w:tcPr>
          <w:p w14:paraId="5F15984B">
            <w:pPr>
              <w:pStyle w:val="15"/>
              <w:shd w:val="clear" w:color="auto" w:fill="auto"/>
              <w:spacing w:line="360" w:lineRule="auto"/>
              <w:jc w:val="center"/>
              <w:rPr>
                <w:rFonts w:hAnsi="宋体" w:cs="宋体"/>
                <w:sz w:val="24"/>
              </w:rPr>
            </w:pPr>
            <w:r>
              <w:rPr>
                <w:rFonts w:hint="eastAsia" w:hAnsi="宋体" w:cs="宋体"/>
                <w:sz w:val="24"/>
              </w:rPr>
              <w:t>投标总价</w:t>
            </w:r>
          </w:p>
        </w:tc>
        <w:tc>
          <w:tcPr>
            <w:tcW w:w="7250" w:type="dxa"/>
            <w:gridSpan w:val="6"/>
            <w:noWrap w:val="0"/>
            <w:vAlign w:val="center"/>
          </w:tcPr>
          <w:p w14:paraId="0DD22C72">
            <w:pPr>
              <w:pStyle w:val="15"/>
              <w:shd w:val="clear" w:color="auto" w:fill="auto"/>
              <w:spacing w:line="360" w:lineRule="auto"/>
              <w:jc w:val="center"/>
              <w:rPr>
                <w:rFonts w:hAnsi="宋体" w:cs="宋体"/>
                <w:sz w:val="24"/>
              </w:rPr>
            </w:pPr>
            <w:r>
              <w:rPr>
                <w:rFonts w:hint="eastAsia" w:hAnsi="宋体" w:cs="宋体"/>
                <w:sz w:val="24"/>
              </w:rPr>
              <w:t>大写：</w:t>
            </w:r>
            <w:r>
              <w:rPr>
                <w:rFonts w:hint="eastAsia" w:hAnsi="宋体" w:cs="宋体"/>
                <w:sz w:val="24"/>
                <w:u w:val="single"/>
              </w:rPr>
              <w:t xml:space="preserve">　　　　                </w:t>
            </w:r>
            <w:r>
              <w:rPr>
                <w:rFonts w:hint="eastAsia" w:hAnsi="宋体" w:cs="宋体"/>
                <w:sz w:val="24"/>
              </w:rPr>
              <w:t>元（小写：</w:t>
            </w:r>
            <w:r>
              <w:rPr>
                <w:rFonts w:hint="eastAsia" w:hAnsi="宋体" w:cs="宋体"/>
                <w:sz w:val="24"/>
                <w:u w:val="single"/>
              </w:rPr>
              <w:t>　　　　　</w:t>
            </w:r>
            <w:r>
              <w:rPr>
                <w:rFonts w:hint="eastAsia" w:hAnsi="宋体" w:cs="宋体"/>
                <w:sz w:val="24"/>
              </w:rPr>
              <w:t>）</w:t>
            </w:r>
          </w:p>
        </w:tc>
      </w:tr>
      <w:tr w14:paraId="4D7CA0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10338" w:type="dxa"/>
            <w:gridSpan w:val="8"/>
            <w:noWrap w:val="0"/>
            <w:vAlign w:val="top"/>
          </w:tcPr>
          <w:p w14:paraId="1154B7C4">
            <w:pPr>
              <w:pStyle w:val="15"/>
              <w:shd w:val="clear" w:color="auto" w:fill="auto"/>
              <w:spacing w:line="360" w:lineRule="auto"/>
              <w:ind w:firstLine="480" w:firstLineChars="200"/>
              <w:rPr>
                <w:rFonts w:hAnsi="宋体" w:cs="宋体"/>
                <w:sz w:val="24"/>
              </w:rPr>
            </w:pPr>
            <w:r>
              <w:rPr>
                <w:rFonts w:hint="eastAsia" w:hAnsi="宋体" w:cs="宋体"/>
                <w:sz w:val="24"/>
              </w:rPr>
              <w:t>投标报价统一为人民币计价，本次报价方式为总价包干，投标报价为完税价已经包括投标人在设备</w:t>
            </w:r>
            <w:r>
              <w:rPr>
                <w:rFonts w:hint="eastAsia" w:hAnsi="宋体" w:cs="宋体"/>
                <w:sz w:val="24"/>
                <w:lang w:eastAsia="zh-CN"/>
              </w:rPr>
              <w:t>拆除费、维修费、改造费</w:t>
            </w:r>
            <w:r>
              <w:rPr>
                <w:rFonts w:hint="eastAsia" w:hAnsi="宋体" w:cs="宋体"/>
                <w:sz w:val="24"/>
              </w:rPr>
              <w:t>、</w:t>
            </w:r>
            <w:r>
              <w:rPr>
                <w:rFonts w:hint="eastAsia" w:hAnsi="宋体" w:cs="宋体"/>
                <w:sz w:val="24"/>
                <w:lang w:eastAsia="zh-CN"/>
              </w:rPr>
              <w:t>运输费、吊装费、代理费、</w:t>
            </w:r>
            <w:r>
              <w:rPr>
                <w:rFonts w:hint="eastAsia" w:hAnsi="宋体" w:cs="宋体"/>
                <w:sz w:val="24"/>
              </w:rPr>
              <w:t>安装调试</w:t>
            </w:r>
            <w:r>
              <w:rPr>
                <w:rFonts w:hint="eastAsia" w:hAnsi="宋体" w:cs="宋体"/>
                <w:sz w:val="24"/>
                <w:lang w:eastAsia="zh-CN"/>
              </w:rPr>
              <w:t>费</w:t>
            </w:r>
            <w:r>
              <w:rPr>
                <w:rFonts w:hint="eastAsia" w:hAnsi="宋体" w:cs="宋体"/>
                <w:sz w:val="24"/>
              </w:rPr>
              <w:t>、验收合格前可能发生的一切费用，投标人无权再就货物向招标方要求支付任何款项。该总价不受市场价格变化及国家政策性调整的影</w:t>
            </w:r>
            <w:r>
              <w:rPr>
                <w:rFonts w:hint="eastAsia" w:hAnsi="宋体" w:cs="宋体"/>
                <w:sz w:val="24"/>
                <w:lang w:eastAsia="zh-CN"/>
              </w:rPr>
              <w:t>，</w:t>
            </w:r>
            <w:r>
              <w:rPr>
                <w:rFonts w:hint="eastAsia" w:hAnsi="宋体" w:cs="宋体"/>
                <w:sz w:val="24"/>
              </w:rPr>
              <w:t>其它费用处理招标文件未列明，而投标人认为必需的费用也需列入报价。</w:t>
            </w:r>
          </w:p>
        </w:tc>
      </w:tr>
    </w:tbl>
    <w:p w14:paraId="640BF6F2">
      <w:pPr>
        <w:pStyle w:val="15"/>
        <w:shd w:val="clear" w:color="auto" w:fill="auto"/>
        <w:spacing w:line="360" w:lineRule="auto"/>
        <w:jc w:val="right"/>
        <w:rPr>
          <w:rFonts w:hint="eastAsia" w:hAnsi="宋体"/>
          <w:sz w:val="24"/>
        </w:rPr>
      </w:pPr>
    </w:p>
    <w:p w14:paraId="294E8112">
      <w:pPr>
        <w:pStyle w:val="15"/>
        <w:shd w:val="clear" w:color="auto" w:fill="auto"/>
        <w:spacing w:line="360" w:lineRule="auto"/>
        <w:ind w:firstLine="4080" w:firstLineChars="1700"/>
        <w:rPr>
          <w:rFonts w:hint="eastAsia" w:hAnsi="宋体"/>
          <w:sz w:val="24"/>
        </w:rPr>
      </w:pPr>
      <w:r>
        <w:rPr>
          <w:rFonts w:hint="eastAsia" w:hAnsi="宋体"/>
          <w:sz w:val="24"/>
        </w:rPr>
        <w:t>投标人全称（盖章）：</w:t>
      </w:r>
    </w:p>
    <w:p w14:paraId="5AF457F7">
      <w:pPr>
        <w:pStyle w:val="15"/>
        <w:shd w:val="clear" w:color="auto" w:fill="auto"/>
        <w:spacing w:line="360" w:lineRule="auto"/>
        <w:rPr>
          <w:rFonts w:hint="eastAsia" w:hAnsi="宋体"/>
          <w:sz w:val="24"/>
        </w:rPr>
      </w:pPr>
      <w:r>
        <w:rPr>
          <w:rFonts w:hint="eastAsia" w:hAnsi="宋体"/>
          <w:sz w:val="24"/>
        </w:rPr>
        <w:t xml:space="preserve">                                </w:t>
      </w:r>
      <w:r>
        <w:rPr>
          <w:rFonts w:hint="eastAsia" w:hAnsi="宋体" w:cs="宋体"/>
          <w:sz w:val="24"/>
        </w:rPr>
        <w:t>法定代表人或授权委托人（签字或盖章）：</w:t>
      </w:r>
    </w:p>
    <w:p w14:paraId="61B05BB7">
      <w:pPr>
        <w:spacing w:line="360" w:lineRule="auto"/>
        <w:jc w:val="center"/>
        <w:rPr>
          <w:rStyle w:val="61"/>
          <w:rFonts w:hint="eastAsia"/>
          <w:lang w:val="en-US" w:eastAsia="zh-CN"/>
        </w:rPr>
      </w:pPr>
      <w:r>
        <w:rPr>
          <w:rStyle w:val="61"/>
          <w:rFonts w:hint="eastAsia"/>
          <w:lang w:val="en-US" w:eastAsia="zh-CN"/>
        </w:rPr>
        <w:t xml:space="preserve">       日   期：</w:t>
      </w:r>
    </w:p>
    <w:p w14:paraId="6AAC52DF">
      <w:pPr>
        <w:pStyle w:val="29"/>
        <w:rPr>
          <w:color w:val="auto"/>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B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Tahoma">
    <w:panose1 w:val="020B0604030504040204"/>
    <w:charset w:val="00"/>
    <w:family w:val="swiss"/>
    <w:pitch w:val="default"/>
    <w:sig w:usb0="E1002EFF" w:usb1="C000605B" w:usb2="00000029" w:usb3="00000000" w:csb0="200101FF" w:csb1="2028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Helvetica">
    <w:altName w:val="Arial"/>
    <w:panose1 w:val="020B0504020202020204"/>
    <w:charset w:val="00"/>
    <w:family w:val="auto"/>
    <w:pitch w:val="default"/>
    <w:sig w:usb0="00000000"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27816D">
    <w:pPr>
      <w:pStyle w:val="20"/>
      <w:rPr>
        <w:rStyle w:val="33"/>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C4DDE55">
                          <w:pPr>
                            <w:pStyle w:val="20"/>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iC+ss0BAACn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9iC+ss0BAACnAwAADgAAAAAAAAABACAAAAAeAQAAZHJzL2Uy&#10;b0RvYy54bWxQSwUGAAAAAAYABgBZAQAAXQUAAAAA&#10;">
              <v:fill on="f" focussize="0,0"/>
              <v:stroke on="f"/>
              <v:imagedata o:title=""/>
              <o:lock v:ext="edit" aspectratio="f"/>
              <v:textbox inset="0mm,0mm,0mm,0mm" style="mso-fit-shape-to-text:t;">
                <w:txbxContent>
                  <w:p w14:paraId="0C4DDE55">
                    <w:pPr>
                      <w:pStyle w:val="20"/>
                    </w:pPr>
                    <w:r>
                      <w:fldChar w:fldCharType="begin"/>
                    </w:r>
                    <w:r>
                      <w:instrText xml:space="preserve"> PAGE  \* MERGEFORMAT </w:instrText>
                    </w:r>
                    <w:r>
                      <w:fldChar w:fldCharType="separate"/>
                    </w:r>
                    <w:r>
                      <w:t>1</w:t>
                    </w:r>
                    <w:r>
                      <w:fldChar w:fldCharType="end"/>
                    </w:r>
                  </w:p>
                </w:txbxContent>
              </v:textbox>
            </v:shape>
          </w:pict>
        </mc:Fallback>
      </mc:AlternateContent>
    </w:r>
  </w:p>
  <w:p w14:paraId="2B07937F">
    <w:pPr>
      <w:pStyle w:val="2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B2C5A">
    <w:pPr>
      <w:pStyle w:val="20"/>
      <w:rPr>
        <w:rStyle w:val="33"/>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28465640">
                          <w:pPr>
                            <w:pStyle w:val="20"/>
                          </w:pPr>
                          <w:r>
                            <w:fldChar w:fldCharType="begin"/>
                          </w:r>
                          <w:r>
                            <w:instrText xml:space="preserve"> PAGE  \* MERGEFORMAT </w:instrText>
                          </w:r>
                          <w:r>
                            <w:fldChar w:fldCharType="separate"/>
                          </w:r>
                          <w:r>
                            <w:t>45</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14:paraId="28465640">
                    <w:pPr>
                      <w:pStyle w:val="20"/>
                    </w:pPr>
                    <w:r>
                      <w:fldChar w:fldCharType="begin"/>
                    </w:r>
                    <w:r>
                      <w:instrText xml:space="preserve"> PAGE  \* MERGEFORMAT </w:instrText>
                    </w:r>
                    <w:r>
                      <w:fldChar w:fldCharType="separate"/>
                    </w:r>
                    <w:r>
                      <w:t>45</w:t>
                    </w:r>
                    <w:r>
                      <w:fldChar w:fldCharType="end"/>
                    </w:r>
                  </w:p>
                </w:txbxContent>
              </v:textbox>
            </v:shape>
          </w:pict>
        </mc:Fallback>
      </mc:AlternateContent>
    </w:r>
  </w:p>
  <w:p w14:paraId="23340224">
    <w:pPr>
      <w:pStyle w:val="2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9BEF3">
    <w:pPr>
      <w:pStyle w:val="20"/>
      <w:rPr>
        <w:rStyle w:val="33"/>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5549F21A">
                          <w:pPr>
                            <w:pStyle w:val="20"/>
                          </w:pPr>
                          <w:r>
                            <w:fldChar w:fldCharType="begin"/>
                          </w:r>
                          <w:r>
                            <w:instrText xml:space="preserve"> PAGE  \* MERGEFORMAT </w:instrText>
                          </w:r>
                          <w:r>
                            <w:fldChar w:fldCharType="separate"/>
                          </w:r>
                          <w:r>
                            <w:t>69</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S3tjc0BAACnAwAADgAAAGRycy9lMm9Eb2MueG1srVNLbtswEN0X6B0I&#10;7mspR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BS3tjc0BAACnAwAADgAAAAAAAAABACAAAAAeAQAAZHJzL2Uy&#10;b0RvYy54bWxQSwUGAAAAAAYABgBZAQAAXQUAAAAA&#10;">
              <v:fill on="f" focussize="0,0"/>
              <v:stroke on="f"/>
              <v:imagedata o:title=""/>
              <o:lock v:ext="edit" aspectratio="f"/>
              <v:textbox inset="0mm,0mm,0mm,0mm" style="mso-fit-shape-to-text:t;">
                <w:txbxContent>
                  <w:p w14:paraId="5549F21A">
                    <w:pPr>
                      <w:pStyle w:val="20"/>
                    </w:pPr>
                    <w:r>
                      <w:fldChar w:fldCharType="begin"/>
                    </w:r>
                    <w:r>
                      <w:instrText xml:space="preserve"> PAGE  \* MERGEFORMAT </w:instrText>
                    </w:r>
                    <w:r>
                      <w:fldChar w:fldCharType="separate"/>
                    </w:r>
                    <w:r>
                      <w:t>69</w:t>
                    </w:r>
                    <w:r>
                      <w:fldChar w:fldCharType="end"/>
                    </w:r>
                  </w:p>
                </w:txbxContent>
              </v:textbox>
            </v:shape>
          </w:pict>
        </mc:Fallback>
      </mc:AlternateContent>
    </w:r>
  </w:p>
  <w:p w14:paraId="30EC557A">
    <w:pPr>
      <w:pStyle w:val="20"/>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3035A">
    <w:pPr>
      <w:pStyle w:val="21"/>
      <w:pBdr>
        <w:bottom w:val="none" w:color="auto" w:sz="0" w:space="1"/>
      </w:pBdr>
      <w:ind w:left="1080" w:hanging="1080" w:hangingChars="600"/>
      <w:jc w:val="both"/>
      <w:rPr>
        <w:color w:val="FF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8140E2"/>
    <w:multiLevelType w:val="singleLevel"/>
    <w:tmpl w:val="818140E2"/>
    <w:lvl w:ilvl="0" w:tentative="0">
      <w:start w:val="1"/>
      <w:numFmt w:val="decimal"/>
      <w:suff w:val="nothing"/>
      <w:lvlText w:val="（%1）"/>
      <w:lvlJc w:val="left"/>
    </w:lvl>
  </w:abstractNum>
  <w:abstractNum w:abstractNumId="1">
    <w:nsid w:val="84B173AF"/>
    <w:multiLevelType w:val="singleLevel"/>
    <w:tmpl w:val="84B173AF"/>
    <w:lvl w:ilvl="0" w:tentative="0">
      <w:start w:val="1"/>
      <w:numFmt w:val="decimal"/>
      <w:suff w:val="nothing"/>
      <w:lvlText w:val="%1．"/>
      <w:lvlJc w:val="left"/>
      <w:pPr>
        <w:ind w:left="0" w:firstLine="40"/>
      </w:pPr>
      <w:rPr>
        <w:rFonts w:hint="default"/>
      </w:rPr>
    </w:lvl>
  </w:abstractNum>
  <w:abstractNum w:abstractNumId="2">
    <w:nsid w:val="8CA00E09"/>
    <w:multiLevelType w:val="singleLevel"/>
    <w:tmpl w:val="8CA00E09"/>
    <w:lvl w:ilvl="0" w:tentative="0">
      <w:start w:val="1"/>
      <w:numFmt w:val="decimalEnclosedCircleChinese"/>
      <w:suff w:val="nothing"/>
      <w:lvlText w:val="%1　"/>
      <w:lvlJc w:val="left"/>
      <w:pPr>
        <w:ind w:left="0" w:firstLine="1134"/>
      </w:pPr>
      <w:rPr>
        <w:rFonts w:hint="eastAsia"/>
      </w:rPr>
    </w:lvl>
  </w:abstractNum>
  <w:abstractNum w:abstractNumId="3">
    <w:nsid w:val="8D4C08E0"/>
    <w:multiLevelType w:val="singleLevel"/>
    <w:tmpl w:val="8D4C08E0"/>
    <w:lvl w:ilvl="0" w:tentative="0">
      <w:start w:val="1"/>
      <w:numFmt w:val="decimal"/>
      <w:suff w:val="nothing"/>
      <w:lvlText w:val="%1、"/>
      <w:lvlJc w:val="left"/>
    </w:lvl>
  </w:abstractNum>
  <w:abstractNum w:abstractNumId="4">
    <w:nsid w:val="9577F733"/>
    <w:multiLevelType w:val="singleLevel"/>
    <w:tmpl w:val="9577F733"/>
    <w:lvl w:ilvl="0" w:tentative="0">
      <w:start w:val="1"/>
      <w:numFmt w:val="decimal"/>
      <w:suff w:val="nothing"/>
      <w:lvlText w:val="10.%1 "/>
      <w:lvlJc w:val="left"/>
      <w:pPr>
        <w:tabs>
          <w:tab w:val="left" w:pos="0"/>
        </w:tabs>
        <w:ind w:left="0" w:firstLine="40"/>
      </w:pPr>
      <w:rPr>
        <w:rFonts w:hint="default" w:ascii="宋体" w:hAnsi="宋体" w:eastAsia="宋体" w:cs="宋体"/>
      </w:rPr>
    </w:lvl>
  </w:abstractNum>
  <w:abstractNum w:abstractNumId="5">
    <w:nsid w:val="960C84E7"/>
    <w:multiLevelType w:val="singleLevel"/>
    <w:tmpl w:val="960C84E7"/>
    <w:lvl w:ilvl="0" w:tentative="0">
      <w:start w:val="1"/>
      <w:numFmt w:val="decimal"/>
      <w:suff w:val="nothing"/>
      <w:lvlText w:val="14.%1 "/>
      <w:lvlJc w:val="left"/>
      <w:pPr>
        <w:tabs>
          <w:tab w:val="left" w:pos="0"/>
        </w:tabs>
        <w:ind w:left="0" w:firstLine="40"/>
      </w:pPr>
      <w:rPr>
        <w:rFonts w:hint="default" w:ascii="宋体" w:hAnsi="宋体" w:eastAsia="宋体" w:cs="宋体"/>
      </w:rPr>
    </w:lvl>
  </w:abstractNum>
  <w:abstractNum w:abstractNumId="6">
    <w:nsid w:val="9DEC2DD6"/>
    <w:multiLevelType w:val="singleLevel"/>
    <w:tmpl w:val="9DEC2DD6"/>
    <w:lvl w:ilvl="0" w:tentative="0">
      <w:start w:val="1"/>
      <w:numFmt w:val="decimal"/>
      <w:suff w:val="nothing"/>
      <w:lvlText w:val="%1、"/>
      <w:lvlJc w:val="left"/>
    </w:lvl>
  </w:abstractNum>
  <w:abstractNum w:abstractNumId="7">
    <w:nsid w:val="A51B0742"/>
    <w:multiLevelType w:val="singleLevel"/>
    <w:tmpl w:val="A51B0742"/>
    <w:lvl w:ilvl="0" w:tentative="0">
      <w:start w:val="1"/>
      <w:numFmt w:val="decimalEnclosedCircleChinese"/>
      <w:suff w:val="nothing"/>
      <w:lvlText w:val="%1　"/>
      <w:lvlJc w:val="left"/>
      <w:pPr>
        <w:ind w:left="0" w:firstLine="1134"/>
      </w:pPr>
      <w:rPr>
        <w:rFonts w:hint="eastAsia"/>
      </w:rPr>
    </w:lvl>
  </w:abstractNum>
  <w:abstractNum w:abstractNumId="8">
    <w:nsid w:val="A623EEB2"/>
    <w:multiLevelType w:val="singleLevel"/>
    <w:tmpl w:val="A623EEB2"/>
    <w:lvl w:ilvl="0" w:tentative="0">
      <w:start w:val="1"/>
      <w:numFmt w:val="decimal"/>
      <w:suff w:val="nothing"/>
      <w:lvlText w:val="4.%1 "/>
      <w:lvlJc w:val="left"/>
      <w:pPr>
        <w:tabs>
          <w:tab w:val="left" w:pos="0"/>
        </w:tabs>
        <w:ind w:left="0" w:firstLine="40"/>
      </w:pPr>
      <w:rPr>
        <w:rFonts w:hint="default" w:ascii="宋体" w:hAnsi="宋体" w:eastAsia="宋体" w:cs="宋体"/>
      </w:rPr>
    </w:lvl>
  </w:abstractNum>
  <w:abstractNum w:abstractNumId="9">
    <w:nsid w:val="A81026D7"/>
    <w:multiLevelType w:val="singleLevel"/>
    <w:tmpl w:val="A81026D7"/>
    <w:lvl w:ilvl="0" w:tentative="0">
      <w:start w:val="1"/>
      <w:numFmt w:val="chineseCounting"/>
      <w:suff w:val="nothing"/>
      <w:lvlText w:val="%1、"/>
      <w:lvlJc w:val="left"/>
      <w:pPr>
        <w:tabs>
          <w:tab w:val="left" w:pos="0"/>
        </w:tabs>
        <w:ind w:left="0" w:firstLine="40"/>
      </w:pPr>
      <w:rPr>
        <w:rFonts w:hint="eastAsia" w:ascii="宋体" w:hAnsi="宋体" w:eastAsia="宋体" w:cs="宋体"/>
      </w:rPr>
    </w:lvl>
  </w:abstractNum>
  <w:abstractNum w:abstractNumId="10">
    <w:nsid w:val="BED6ED46"/>
    <w:multiLevelType w:val="singleLevel"/>
    <w:tmpl w:val="BED6ED46"/>
    <w:lvl w:ilvl="0" w:tentative="0">
      <w:start w:val="1"/>
      <w:numFmt w:val="decimal"/>
      <w:suff w:val="nothing"/>
      <w:lvlText w:val="%1、"/>
      <w:lvlJc w:val="left"/>
    </w:lvl>
  </w:abstractNum>
  <w:abstractNum w:abstractNumId="11">
    <w:nsid w:val="C65771D8"/>
    <w:multiLevelType w:val="singleLevel"/>
    <w:tmpl w:val="C65771D8"/>
    <w:lvl w:ilvl="0" w:tentative="0">
      <w:start w:val="1"/>
      <w:numFmt w:val="decimal"/>
      <w:suff w:val="nothing"/>
      <w:lvlText w:val="19.%1 "/>
      <w:lvlJc w:val="left"/>
      <w:pPr>
        <w:tabs>
          <w:tab w:val="left" w:pos="0"/>
        </w:tabs>
        <w:ind w:left="0" w:firstLine="40"/>
      </w:pPr>
      <w:rPr>
        <w:rFonts w:hint="default" w:ascii="宋体" w:hAnsi="宋体" w:eastAsia="宋体" w:cs="宋体"/>
      </w:rPr>
    </w:lvl>
  </w:abstractNum>
  <w:abstractNum w:abstractNumId="12">
    <w:nsid w:val="C88B87FA"/>
    <w:multiLevelType w:val="singleLevel"/>
    <w:tmpl w:val="C88B87FA"/>
    <w:lvl w:ilvl="0" w:tentative="0">
      <w:start w:val="1"/>
      <w:numFmt w:val="decimal"/>
      <w:suff w:val="nothing"/>
      <w:lvlText w:val="22.%1 "/>
      <w:lvlJc w:val="left"/>
      <w:pPr>
        <w:tabs>
          <w:tab w:val="left" w:pos="0"/>
        </w:tabs>
        <w:ind w:left="0" w:firstLine="40"/>
      </w:pPr>
      <w:rPr>
        <w:rFonts w:hint="default" w:ascii="宋体" w:hAnsi="宋体" w:eastAsia="宋体" w:cs="宋体"/>
      </w:rPr>
    </w:lvl>
  </w:abstractNum>
  <w:abstractNum w:abstractNumId="13">
    <w:nsid w:val="CA005832"/>
    <w:multiLevelType w:val="singleLevel"/>
    <w:tmpl w:val="CA005832"/>
    <w:lvl w:ilvl="0" w:tentative="0">
      <w:start w:val="1"/>
      <w:numFmt w:val="decimal"/>
      <w:suff w:val="nothing"/>
      <w:lvlText w:val="6.%1 "/>
      <w:lvlJc w:val="left"/>
      <w:pPr>
        <w:tabs>
          <w:tab w:val="left" w:pos="0"/>
        </w:tabs>
        <w:ind w:left="0" w:firstLine="40"/>
      </w:pPr>
      <w:rPr>
        <w:rFonts w:hint="default" w:ascii="宋体" w:hAnsi="宋体" w:eastAsia="宋体" w:cs="宋体"/>
      </w:rPr>
    </w:lvl>
  </w:abstractNum>
  <w:abstractNum w:abstractNumId="14">
    <w:nsid w:val="D4A5989A"/>
    <w:multiLevelType w:val="singleLevel"/>
    <w:tmpl w:val="D4A5989A"/>
    <w:lvl w:ilvl="0" w:tentative="0">
      <w:start w:val="1"/>
      <w:numFmt w:val="decimal"/>
      <w:suff w:val="nothing"/>
      <w:lvlText w:val="（%1）"/>
      <w:lvlJc w:val="left"/>
    </w:lvl>
  </w:abstractNum>
  <w:abstractNum w:abstractNumId="15">
    <w:nsid w:val="D5C663A9"/>
    <w:multiLevelType w:val="singleLevel"/>
    <w:tmpl w:val="D5C663A9"/>
    <w:lvl w:ilvl="0" w:tentative="0">
      <w:start w:val="1"/>
      <w:numFmt w:val="decimalEnclosedCircleChinese"/>
      <w:suff w:val="nothing"/>
      <w:lvlText w:val="%1　"/>
      <w:lvlJc w:val="left"/>
      <w:pPr>
        <w:ind w:left="0" w:firstLine="1134"/>
      </w:pPr>
      <w:rPr>
        <w:rFonts w:hint="eastAsia"/>
      </w:rPr>
    </w:lvl>
  </w:abstractNum>
  <w:abstractNum w:abstractNumId="16">
    <w:nsid w:val="E0EB0541"/>
    <w:multiLevelType w:val="singleLevel"/>
    <w:tmpl w:val="E0EB0541"/>
    <w:lvl w:ilvl="0" w:tentative="0">
      <w:start w:val="1"/>
      <w:numFmt w:val="decimal"/>
      <w:lvlText w:val="(%1)"/>
      <w:lvlJc w:val="left"/>
      <w:pPr>
        <w:ind w:left="425" w:hanging="425"/>
      </w:pPr>
      <w:rPr>
        <w:rFonts w:hint="default"/>
      </w:rPr>
    </w:lvl>
  </w:abstractNum>
  <w:abstractNum w:abstractNumId="17">
    <w:nsid w:val="E3D28C86"/>
    <w:multiLevelType w:val="singleLevel"/>
    <w:tmpl w:val="E3D28C86"/>
    <w:lvl w:ilvl="0" w:tentative="0">
      <w:start w:val="1"/>
      <w:numFmt w:val="decimal"/>
      <w:suff w:val="nothing"/>
      <w:lvlText w:val="18.%1 "/>
      <w:lvlJc w:val="left"/>
      <w:pPr>
        <w:tabs>
          <w:tab w:val="left" w:pos="0"/>
        </w:tabs>
        <w:ind w:left="0" w:firstLine="40"/>
      </w:pPr>
      <w:rPr>
        <w:rFonts w:hint="default" w:ascii="宋体" w:hAnsi="宋体" w:eastAsia="宋体" w:cs="宋体"/>
      </w:rPr>
    </w:lvl>
  </w:abstractNum>
  <w:abstractNum w:abstractNumId="18">
    <w:nsid w:val="EC5EF8C8"/>
    <w:multiLevelType w:val="singleLevel"/>
    <w:tmpl w:val="EC5EF8C8"/>
    <w:lvl w:ilvl="0" w:tentative="0">
      <w:start w:val="1"/>
      <w:numFmt w:val="decimalEnclosedCircleChinese"/>
      <w:suff w:val="nothing"/>
      <w:lvlText w:val="%1　"/>
      <w:lvlJc w:val="left"/>
      <w:pPr>
        <w:ind w:left="0" w:firstLine="1134"/>
      </w:pPr>
      <w:rPr>
        <w:rFonts w:hint="eastAsia"/>
      </w:rPr>
    </w:lvl>
  </w:abstractNum>
  <w:abstractNum w:abstractNumId="19">
    <w:nsid w:val="EDC34A36"/>
    <w:multiLevelType w:val="singleLevel"/>
    <w:tmpl w:val="EDC34A36"/>
    <w:lvl w:ilvl="0" w:tentative="0">
      <w:start w:val="1"/>
      <w:numFmt w:val="decimal"/>
      <w:suff w:val="nothing"/>
      <w:lvlText w:val="12.%1 "/>
      <w:lvlJc w:val="left"/>
      <w:pPr>
        <w:tabs>
          <w:tab w:val="left" w:pos="0"/>
        </w:tabs>
        <w:ind w:left="0" w:firstLine="40"/>
      </w:pPr>
      <w:rPr>
        <w:rFonts w:hint="default" w:ascii="宋体" w:hAnsi="宋体" w:eastAsia="宋体" w:cs="宋体"/>
      </w:rPr>
    </w:lvl>
  </w:abstractNum>
  <w:abstractNum w:abstractNumId="20">
    <w:nsid w:val="0486B618"/>
    <w:multiLevelType w:val="singleLevel"/>
    <w:tmpl w:val="0486B618"/>
    <w:lvl w:ilvl="0" w:tentative="0">
      <w:start w:val="1"/>
      <w:numFmt w:val="decimalEnclosedCircleChinese"/>
      <w:suff w:val="nothing"/>
      <w:lvlText w:val="%1　"/>
      <w:lvlJc w:val="left"/>
      <w:pPr>
        <w:ind w:left="0" w:firstLine="1134"/>
      </w:pPr>
      <w:rPr>
        <w:rFonts w:hint="eastAsia"/>
      </w:rPr>
    </w:lvl>
  </w:abstractNum>
  <w:abstractNum w:abstractNumId="21">
    <w:nsid w:val="12802061"/>
    <w:multiLevelType w:val="singleLevel"/>
    <w:tmpl w:val="12802061"/>
    <w:lvl w:ilvl="0" w:tentative="0">
      <w:start w:val="2"/>
      <w:numFmt w:val="decimal"/>
      <w:suff w:val="nothing"/>
      <w:lvlText w:val="%1、"/>
      <w:lvlJc w:val="left"/>
    </w:lvl>
  </w:abstractNum>
  <w:abstractNum w:abstractNumId="22">
    <w:nsid w:val="139B6DF6"/>
    <w:multiLevelType w:val="singleLevel"/>
    <w:tmpl w:val="139B6DF6"/>
    <w:lvl w:ilvl="0" w:tentative="0">
      <w:start w:val="1"/>
      <w:numFmt w:val="decimal"/>
      <w:suff w:val="nothing"/>
      <w:lvlText w:val="9.%1 "/>
      <w:lvlJc w:val="left"/>
      <w:pPr>
        <w:tabs>
          <w:tab w:val="left" w:pos="0"/>
        </w:tabs>
        <w:ind w:left="0" w:firstLine="40"/>
      </w:pPr>
      <w:rPr>
        <w:rFonts w:hint="default" w:ascii="宋体" w:hAnsi="宋体" w:eastAsia="宋体" w:cs="宋体"/>
      </w:rPr>
    </w:lvl>
  </w:abstractNum>
  <w:abstractNum w:abstractNumId="23">
    <w:nsid w:val="18D8B6CC"/>
    <w:multiLevelType w:val="singleLevel"/>
    <w:tmpl w:val="18D8B6CC"/>
    <w:lvl w:ilvl="0" w:tentative="0">
      <w:start w:val="35"/>
      <w:numFmt w:val="decimal"/>
      <w:lvlText w:val="%1."/>
      <w:lvlJc w:val="left"/>
      <w:pPr>
        <w:tabs>
          <w:tab w:val="left" w:pos="312"/>
        </w:tabs>
      </w:pPr>
    </w:lvl>
  </w:abstractNum>
  <w:abstractNum w:abstractNumId="24">
    <w:nsid w:val="1DBCF645"/>
    <w:multiLevelType w:val="singleLevel"/>
    <w:tmpl w:val="1DBCF645"/>
    <w:lvl w:ilvl="0" w:tentative="0">
      <w:start w:val="1"/>
      <w:numFmt w:val="decimalEnclosedCircleChinese"/>
      <w:suff w:val="nothing"/>
      <w:lvlText w:val="%1　"/>
      <w:lvlJc w:val="left"/>
      <w:pPr>
        <w:ind w:left="0" w:firstLine="397"/>
      </w:pPr>
      <w:rPr>
        <w:rFonts w:hint="eastAsia"/>
      </w:rPr>
    </w:lvl>
  </w:abstractNum>
  <w:abstractNum w:abstractNumId="25">
    <w:nsid w:val="1EC1A361"/>
    <w:multiLevelType w:val="singleLevel"/>
    <w:tmpl w:val="1EC1A361"/>
    <w:lvl w:ilvl="0" w:tentative="0">
      <w:start w:val="1"/>
      <w:numFmt w:val="decimalEnclosedCircleChinese"/>
      <w:suff w:val="nothing"/>
      <w:lvlText w:val="%1　"/>
      <w:lvlJc w:val="left"/>
      <w:pPr>
        <w:ind w:left="0" w:firstLine="397"/>
      </w:pPr>
      <w:rPr>
        <w:rFonts w:hint="eastAsia"/>
      </w:rPr>
    </w:lvl>
  </w:abstractNum>
  <w:abstractNum w:abstractNumId="26">
    <w:nsid w:val="22CAA529"/>
    <w:multiLevelType w:val="singleLevel"/>
    <w:tmpl w:val="22CAA529"/>
    <w:lvl w:ilvl="0" w:tentative="0">
      <w:start w:val="1"/>
      <w:numFmt w:val="decimal"/>
      <w:suff w:val="nothing"/>
      <w:lvlText w:val="16.%1 "/>
      <w:lvlJc w:val="left"/>
      <w:pPr>
        <w:ind w:left="0" w:firstLine="1134"/>
      </w:pPr>
      <w:rPr>
        <w:rFonts w:hint="default"/>
      </w:rPr>
    </w:lvl>
  </w:abstractNum>
  <w:abstractNum w:abstractNumId="27">
    <w:nsid w:val="25F33ADD"/>
    <w:multiLevelType w:val="singleLevel"/>
    <w:tmpl w:val="25F33ADD"/>
    <w:lvl w:ilvl="0" w:tentative="0">
      <w:start w:val="1"/>
      <w:numFmt w:val="decimalEnclosedCircleChinese"/>
      <w:suff w:val="nothing"/>
      <w:lvlText w:val="%1　"/>
      <w:lvlJc w:val="left"/>
      <w:pPr>
        <w:ind w:left="0" w:firstLine="1134"/>
      </w:pPr>
      <w:rPr>
        <w:rFonts w:hint="eastAsia"/>
      </w:rPr>
    </w:lvl>
  </w:abstractNum>
  <w:abstractNum w:abstractNumId="28">
    <w:nsid w:val="27029FB5"/>
    <w:multiLevelType w:val="singleLevel"/>
    <w:tmpl w:val="27029FB5"/>
    <w:lvl w:ilvl="0" w:tentative="0">
      <w:start w:val="1"/>
      <w:numFmt w:val="decimal"/>
      <w:suff w:val="nothing"/>
      <w:lvlText w:val="11.%1 "/>
      <w:lvlJc w:val="left"/>
      <w:pPr>
        <w:tabs>
          <w:tab w:val="left" w:pos="0"/>
        </w:tabs>
        <w:ind w:left="0" w:firstLine="40"/>
      </w:pPr>
      <w:rPr>
        <w:rFonts w:hint="default" w:ascii="宋体" w:hAnsi="宋体" w:eastAsia="宋体" w:cs="宋体"/>
      </w:rPr>
    </w:lvl>
  </w:abstractNum>
  <w:abstractNum w:abstractNumId="29">
    <w:nsid w:val="272BB4B6"/>
    <w:multiLevelType w:val="singleLevel"/>
    <w:tmpl w:val="272BB4B6"/>
    <w:lvl w:ilvl="0" w:tentative="0">
      <w:start w:val="1"/>
      <w:numFmt w:val="decimal"/>
      <w:suff w:val="nothing"/>
      <w:lvlText w:val="1.%1 "/>
      <w:lvlJc w:val="left"/>
      <w:pPr>
        <w:ind w:left="0" w:firstLine="397"/>
      </w:pPr>
      <w:rPr>
        <w:rFonts w:hint="default"/>
      </w:rPr>
    </w:lvl>
  </w:abstractNum>
  <w:abstractNum w:abstractNumId="30">
    <w:nsid w:val="31FBB5E1"/>
    <w:multiLevelType w:val="singleLevel"/>
    <w:tmpl w:val="31FBB5E1"/>
    <w:lvl w:ilvl="0" w:tentative="0">
      <w:start w:val="1"/>
      <w:numFmt w:val="decimal"/>
      <w:suff w:val="nothing"/>
      <w:lvlText w:val="23.%1 "/>
      <w:lvlJc w:val="left"/>
      <w:pPr>
        <w:tabs>
          <w:tab w:val="left" w:pos="0"/>
        </w:tabs>
        <w:ind w:left="0" w:firstLine="40"/>
      </w:pPr>
      <w:rPr>
        <w:rFonts w:hint="default" w:ascii="宋体" w:hAnsi="宋体" w:eastAsia="宋体" w:cs="宋体"/>
      </w:rPr>
    </w:lvl>
  </w:abstractNum>
  <w:abstractNum w:abstractNumId="31">
    <w:nsid w:val="3543FC97"/>
    <w:multiLevelType w:val="singleLevel"/>
    <w:tmpl w:val="3543FC97"/>
    <w:lvl w:ilvl="0" w:tentative="0">
      <w:start w:val="1"/>
      <w:numFmt w:val="decimal"/>
      <w:suff w:val="nothing"/>
      <w:lvlText w:val="17.%1 "/>
      <w:lvlJc w:val="left"/>
      <w:pPr>
        <w:tabs>
          <w:tab w:val="left" w:pos="0"/>
        </w:tabs>
        <w:ind w:left="0" w:firstLine="40"/>
      </w:pPr>
      <w:rPr>
        <w:rFonts w:hint="default" w:ascii="宋体" w:hAnsi="宋体" w:eastAsia="宋体" w:cs="宋体"/>
      </w:rPr>
    </w:lvl>
  </w:abstractNum>
  <w:abstractNum w:abstractNumId="32">
    <w:nsid w:val="396DDD4E"/>
    <w:multiLevelType w:val="singleLevel"/>
    <w:tmpl w:val="396DDD4E"/>
    <w:lvl w:ilvl="0" w:tentative="0">
      <w:start w:val="1"/>
      <w:numFmt w:val="decimalEnclosedCircleChinese"/>
      <w:suff w:val="nothing"/>
      <w:lvlText w:val="%1　"/>
      <w:lvlJc w:val="left"/>
      <w:pPr>
        <w:ind w:left="0" w:firstLine="1134"/>
      </w:pPr>
      <w:rPr>
        <w:rFonts w:hint="eastAsia"/>
      </w:rPr>
    </w:lvl>
  </w:abstractNum>
  <w:abstractNum w:abstractNumId="33">
    <w:nsid w:val="3EF86D65"/>
    <w:multiLevelType w:val="multilevel"/>
    <w:tmpl w:val="3EF86D65"/>
    <w:lvl w:ilvl="0" w:tentative="0">
      <w:start w:val="1"/>
      <w:numFmt w:val="lowerLetter"/>
      <w:lvlText w:val="%1)"/>
      <w:lvlJc w:val="left"/>
      <w:pPr>
        <w:ind w:left="780" w:hanging="360"/>
      </w:pPr>
      <w:rPr>
        <w:rFonts w:hint="eastAsia"/>
      </w:r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4">
    <w:nsid w:val="3F34804C"/>
    <w:multiLevelType w:val="singleLevel"/>
    <w:tmpl w:val="3F34804C"/>
    <w:lvl w:ilvl="0" w:tentative="0">
      <w:start w:val="1"/>
      <w:numFmt w:val="decimal"/>
      <w:suff w:val="nothing"/>
      <w:lvlText w:val="21.%1 "/>
      <w:lvlJc w:val="left"/>
      <w:pPr>
        <w:tabs>
          <w:tab w:val="left" w:pos="0"/>
        </w:tabs>
        <w:ind w:left="0" w:firstLine="40"/>
      </w:pPr>
      <w:rPr>
        <w:rFonts w:hint="default" w:ascii="宋体" w:hAnsi="宋体" w:eastAsia="宋体" w:cs="宋体"/>
      </w:rPr>
    </w:lvl>
  </w:abstractNum>
  <w:abstractNum w:abstractNumId="35">
    <w:nsid w:val="474E1A63"/>
    <w:multiLevelType w:val="singleLevel"/>
    <w:tmpl w:val="474E1A63"/>
    <w:lvl w:ilvl="0" w:tentative="0">
      <w:start w:val="1"/>
      <w:numFmt w:val="decimalEnclosedCircleChinese"/>
      <w:suff w:val="nothing"/>
      <w:lvlText w:val="%1　"/>
      <w:lvlJc w:val="left"/>
      <w:pPr>
        <w:ind w:left="0" w:firstLine="1134"/>
      </w:pPr>
      <w:rPr>
        <w:rFonts w:hint="eastAsia"/>
      </w:rPr>
    </w:lvl>
  </w:abstractNum>
  <w:abstractNum w:abstractNumId="36">
    <w:nsid w:val="4BE30CC1"/>
    <w:multiLevelType w:val="multilevel"/>
    <w:tmpl w:val="4BE30CC1"/>
    <w:lvl w:ilvl="0" w:tentative="0">
      <w:start w:val="1"/>
      <w:numFmt w:val="lowerLetter"/>
      <w:lvlText w:val="%1)"/>
      <w:lvlJc w:val="left"/>
      <w:pPr>
        <w:ind w:left="840" w:hanging="420"/>
      </w:pPr>
    </w:lvl>
    <w:lvl w:ilvl="1" w:tentative="0">
      <w:start w:val="1"/>
      <w:numFmt w:val="lowerLetter"/>
      <w:lvlText w:val="%2)"/>
      <w:lvlJc w:val="left"/>
      <w:pPr>
        <w:ind w:left="1260" w:hanging="420"/>
      </w:pPr>
    </w:lvl>
    <w:lvl w:ilvl="2" w:tentative="0">
      <w:start w:val="1"/>
      <w:numFmt w:val="lowerRoman"/>
      <w:lvlText w:val="%3."/>
      <w:lvlJc w:val="right"/>
      <w:pPr>
        <w:ind w:left="1680" w:hanging="420"/>
      </w:pPr>
    </w:lvl>
    <w:lvl w:ilvl="3" w:tentative="0">
      <w:start w:val="1"/>
      <w:numFmt w:val="decimal"/>
      <w:lvlText w:val="%4."/>
      <w:lvlJc w:val="left"/>
      <w:pPr>
        <w:ind w:left="2100" w:hanging="420"/>
      </w:pPr>
    </w:lvl>
    <w:lvl w:ilvl="4" w:tentative="0">
      <w:start w:val="1"/>
      <w:numFmt w:val="lowerLetter"/>
      <w:lvlText w:val="%5)"/>
      <w:lvlJc w:val="left"/>
      <w:pPr>
        <w:ind w:left="2520" w:hanging="420"/>
      </w:pPr>
    </w:lvl>
    <w:lvl w:ilvl="5" w:tentative="0">
      <w:start w:val="1"/>
      <w:numFmt w:val="lowerRoman"/>
      <w:lvlText w:val="%6."/>
      <w:lvlJc w:val="right"/>
      <w:pPr>
        <w:ind w:left="2940" w:hanging="420"/>
      </w:pPr>
    </w:lvl>
    <w:lvl w:ilvl="6" w:tentative="0">
      <w:start w:val="1"/>
      <w:numFmt w:val="decimal"/>
      <w:lvlText w:val="%7."/>
      <w:lvlJc w:val="left"/>
      <w:pPr>
        <w:ind w:left="3360" w:hanging="420"/>
      </w:pPr>
    </w:lvl>
    <w:lvl w:ilvl="7" w:tentative="0">
      <w:start w:val="1"/>
      <w:numFmt w:val="lowerLetter"/>
      <w:lvlText w:val="%8)"/>
      <w:lvlJc w:val="left"/>
      <w:pPr>
        <w:ind w:left="3780" w:hanging="420"/>
      </w:pPr>
    </w:lvl>
    <w:lvl w:ilvl="8" w:tentative="0">
      <w:start w:val="1"/>
      <w:numFmt w:val="lowerRoman"/>
      <w:lvlText w:val="%9."/>
      <w:lvlJc w:val="right"/>
      <w:pPr>
        <w:ind w:left="4200" w:hanging="420"/>
      </w:pPr>
    </w:lvl>
  </w:abstractNum>
  <w:abstractNum w:abstractNumId="37">
    <w:nsid w:val="4D4A2151"/>
    <w:multiLevelType w:val="singleLevel"/>
    <w:tmpl w:val="4D4A2151"/>
    <w:lvl w:ilvl="0" w:tentative="0">
      <w:start w:val="1"/>
      <w:numFmt w:val="decimal"/>
      <w:suff w:val="nothing"/>
      <w:lvlText w:val="%1．"/>
      <w:lvlJc w:val="left"/>
      <w:pPr>
        <w:ind w:left="0" w:firstLine="397"/>
      </w:pPr>
      <w:rPr>
        <w:rFonts w:hint="default"/>
      </w:rPr>
    </w:lvl>
  </w:abstractNum>
  <w:abstractNum w:abstractNumId="38">
    <w:nsid w:val="56581EFE"/>
    <w:multiLevelType w:val="singleLevel"/>
    <w:tmpl w:val="56581EFE"/>
    <w:lvl w:ilvl="0" w:tentative="0">
      <w:start w:val="1"/>
      <w:numFmt w:val="decimal"/>
      <w:suff w:val="nothing"/>
      <w:lvlText w:val="24.%1 "/>
      <w:lvlJc w:val="left"/>
      <w:pPr>
        <w:ind w:left="0" w:firstLine="397"/>
      </w:pPr>
      <w:rPr>
        <w:rFonts w:hint="default"/>
      </w:rPr>
    </w:lvl>
  </w:abstractNum>
  <w:abstractNum w:abstractNumId="39">
    <w:nsid w:val="62705028"/>
    <w:multiLevelType w:val="singleLevel"/>
    <w:tmpl w:val="62705028"/>
    <w:lvl w:ilvl="0" w:tentative="0">
      <w:start w:val="1"/>
      <w:numFmt w:val="decimalEnclosedCircleChinese"/>
      <w:suff w:val="nothing"/>
      <w:lvlText w:val="%1　"/>
      <w:lvlJc w:val="left"/>
      <w:pPr>
        <w:ind w:left="0" w:firstLine="397"/>
      </w:pPr>
      <w:rPr>
        <w:rFonts w:hint="eastAsia"/>
      </w:rPr>
    </w:lvl>
  </w:abstractNum>
  <w:abstractNum w:abstractNumId="40">
    <w:nsid w:val="6271A596"/>
    <w:multiLevelType w:val="singleLevel"/>
    <w:tmpl w:val="6271A596"/>
    <w:lvl w:ilvl="0" w:tentative="0">
      <w:start w:val="1"/>
      <w:numFmt w:val="decimal"/>
      <w:suff w:val="nothing"/>
      <w:lvlText w:val="5.%1 "/>
      <w:lvlJc w:val="left"/>
      <w:pPr>
        <w:tabs>
          <w:tab w:val="left" w:pos="0"/>
        </w:tabs>
        <w:ind w:left="0" w:firstLine="40"/>
      </w:pPr>
      <w:rPr>
        <w:rFonts w:hint="default" w:ascii="宋体" w:hAnsi="宋体" w:eastAsia="宋体" w:cs="宋体"/>
      </w:rPr>
    </w:lvl>
  </w:abstractNum>
  <w:abstractNum w:abstractNumId="41">
    <w:nsid w:val="6EF32394"/>
    <w:multiLevelType w:val="singleLevel"/>
    <w:tmpl w:val="6EF32394"/>
    <w:lvl w:ilvl="0" w:tentative="0">
      <w:start w:val="1"/>
      <w:numFmt w:val="decimal"/>
      <w:suff w:val="nothing"/>
      <w:lvlText w:val="7.%1 "/>
      <w:lvlJc w:val="left"/>
      <w:pPr>
        <w:tabs>
          <w:tab w:val="left" w:pos="0"/>
        </w:tabs>
        <w:ind w:left="0" w:firstLine="40"/>
      </w:pPr>
      <w:rPr>
        <w:rFonts w:hint="default" w:ascii="宋体" w:hAnsi="宋体" w:eastAsia="宋体" w:cs="宋体"/>
      </w:rPr>
    </w:lvl>
  </w:abstractNum>
  <w:abstractNum w:abstractNumId="42">
    <w:nsid w:val="6F596645"/>
    <w:multiLevelType w:val="singleLevel"/>
    <w:tmpl w:val="6F596645"/>
    <w:lvl w:ilvl="0" w:tentative="0">
      <w:start w:val="1"/>
      <w:numFmt w:val="decimal"/>
      <w:suff w:val="nothing"/>
      <w:lvlText w:val="27.%1 "/>
      <w:lvlJc w:val="left"/>
      <w:pPr>
        <w:tabs>
          <w:tab w:val="left" w:pos="0"/>
        </w:tabs>
        <w:ind w:left="0" w:firstLine="40"/>
      </w:pPr>
      <w:rPr>
        <w:rFonts w:hint="default" w:ascii="宋体" w:hAnsi="宋体" w:eastAsia="宋体" w:cs="宋体"/>
      </w:rPr>
    </w:lvl>
  </w:abstractNum>
  <w:num w:numId="1">
    <w:abstractNumId w:val="37"/>
  </w:num>
  <w:num w:numId="2">
    <w:abstractNumId w:val="24"/>
  </w:num>
  <w:num w:numId="3">
    <w:abstractNumId w:val="25"/>
  </w:num>
  <w:num w:numId="4">
    <w:abstractNumId w:val="39"/>
  </w:num>
  <w:num w:numId="5">
    <w:abstractNumId w:val="6"/>
  </w:num>
  <w:num w:numId="6">
    <w:abstractNumId w:val="1"/>
  </w:num>
  <w:num w:numId="7">
    <w:abstractNumId w:val="29"/>
  </w:num>
  <w:num w:numId="8">
    <w:abstractNumId w:val="7"/>
  </w:num>
  <w:num w:numId="9">
    <w:abstractNumId w:val="8"/>
  </w:num>
  <w:num w:numId="10">
    <w:abstractNumId w:val="20"/>
  </w:num>
  <w:num w:numId="11">
    <w:abstractNumId w:val="40"/>
  </w:num>
  <w:num w:numId="12">
    <w:abstractNumId w:val="13"/>
  </w:num>
  <w:num w:numId="13">
    <w:abstractNumId w:val="41"/>
  </w:num>
  <w:num w:numId="14">
    <w:abstractNumId w:val="22"/>
  </w:num>
  <w:num w:numId="15">
    <w:abstractNumId w:val="35"/>
  </w:num>
  <w:num w:numId="16">
    <w:abstractNumId w:val="32"/>
  </w:num>
  <w:num w:numId="17">
    <w:abstractNumId w:val="18"/>
  </w:num>
  <w:num w:numId="18">
    <w:abstractNumId w:val="15"/>
  </w:num>
  <w:num w:numId="19">
    <w:abstractNumId w:val="4"/>
  </w:num>
  <w:num w:numId="20">
    <w:abstractNumId w:val="28"/>
  </w:num>
  <w:num w:numId="21">
    <w:abstractNumId w:val="19"/>
  </w:num>
  <w:num w:numId="22">
    <w:abstractNumId w:val="5"/>
  </w:num>
  <w:num w:numId="23">
    <w:abstractNumId w:val="26"/>
  </w:num>
  <w:num w:numId="24">
    <w:abstractNumId w:val="31"/>
  </w:num>
  <w:num w:numId="25">
    <w:abstractNumId w:val="17"/>
  </w:num>
  <w:num w:numId="26">
    <w:abstractNumId w:val="11"/>
  </w:num>
  <w:num w:numId="27">
    <w:abstractNumId w:val="34"/>
  </w:num>
  <w:num w:numId="28">
    <w:abstractNumId w:val="12"/>
  </w:num>
  <w:num w:numId="29">
    <w:abstractNumId w:val="30"/>
  </w:num>
  <w:num w:numId="30">
    <w:abstractNumId w:val="38"/>
  </w:num>
  <w:num w:numId="31">
    <w:abstractNumId w:val="27"/>
  </w:num>
  <w:num w:numId="32">
    <w:abstractNumId w:val="42"/>
  </w:num>
  <w:num w:numId="33">
    <w:abstractNumId w:val="23"/>
  </w:num>
  <w:num w:numId="34">
    <w:abstractNumId w:val="2"/>
  </w:num>
  <w:num w:numId="35">
    <w:abstractNumId w:val="0"/>
  </w:num>
  <w:num w:numId="36">
    <w:abstractNumId w:val="3"/>
  </w:num>
  <w:num w:numId="37">
    <w:abstractNumId w:val="14"/>
  </w:num>
  <w:num w:numId="38">
    <w:abstractNumId w:val="36"/>
  </w:num>
  <w:num w:numId="39">
    <w:abstractNumId w:val="33"/>
  </w:num>
  <w:num w:numId="40">
    <w:abstractNumId w:val="21"/>
  </w:num>
  <w:num w:numId="41">
    <w:abstractNumId w:val="9"/>
  </w:num>
  <w:num w:numId="42">
    <w:abstractNumId w:val="16"/>
  </w:num>
  <w:num w:numId="4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c5OWQzNjRlYmYzYzFmZTAxN2M4NWRhOGM3OGFhZTgifQ=="/>
  </w:docVars>
  <w:rsids>
    <w:rsidRoot w:val="1326542E"/>
    <w:rsid w:val="001410E2"/>
    <w:rsid w:val="00166C4F"/>
    <w:rsid w:val="00206564"/>
    <w:rsid w:val="00407472"/>
    <w:rsid w:val="004708A9"/>
    <w:rsid w:val="00504D96"/>
    <w:rsid w:val="006D3276"/>
    <w:rsid w:val="00744DC1"/>
    <w:rsid w:val="007D1C86"/>
    <w:rsid w:val="00885B63"/>
    <w:rsid w:val="00A47BF1"/>
    <w:rsid w:val="00AA399D"/>
    <w:rsid w:val="00AE45D1"/>
    <w:rsid w:val="00B16F79"/>
    <w:rsid w:val="00B935EE"/>
    <w:rsid w:val="00C31BFF"/>
    <w:rsid w:val="00C84BFF"/>
    <w:rsid w:val="00CB3EE8"/>
    <w:rsid w:val="00DF4450"/>
    <w:rsid w:val="00ED5754"/>
    <w:rsid w:val="00F83739"/>
    <w:rsid w:val="00FE5D19"/>
    <w:rsid w:val="04AB2624"/>
    <w:rsid w:val="04F96FF0"/>
    <w:rsid w:val="067D59FE"/>
    <w:rsid w:val="07461C28"/>
    <w:rsid w:val="08B80F70"/>
    <w:rsid w:val="09C927F6"/>
    <w:rsid w:val="0AAB3963"/>
    <w:rsid w:val="0B1117A6"/>
    <w:rsid w:val="0BB07098"/>
    <w:rsid w:val="0C782EF0"/>
    <w:rsid w:val="0CB2382D"/>
    <w:rsid w:val="0E032C8D"/>
    <w:rsid w:val="10A423BE"/>
    <w:rsid w:val="1204293D"/>
    <w:rsid w:val="12B001D9"/>
    <w:rsid w:val="1326542E"/>
    <w:rsid w:val="1609139A"/>
    <w:rsid w:val="161F5B3C"/>
    <w:rsid w:val="16201F02"/>
    <w:rsid w:val="16552432"/>
    <w:rsid w:val="16695C98"/>
    <w:rsid w:val="17055096"/>
    <w:rsid w:val="17525F99"/>
    <w:rsid w:val="17B251A8"/>
    <w:rsid w:val="185C5905"/>
    <w:rsid w:val="19801636"/>
    <w:rsid w:val="1A163D48"/>
    <w:rsid w:val="1AB236D7"/>
    <w:rsid w:val="1C657AC9"/>
    <w:rsid w:val="1C907DE2"/>
    <w:rsid w:val="1C9B22E3"/>
    <w:rsid w:val="1D6476B7"/>
    <w:rsid w:val="1E7E3740"/>
    <w:rsid w:val="219E28BE"/>
    <w:rsid w:val="21E43C7D"/>
    <w:rsid w:val="23C16FB3"/>
    <w:rsid w:val="25B34B41"/>
    <w:rsid w:val="26105AE5"/>
    <w:rsid w:val="273303C5"/>
    <w:rsid w:val="29B8415C"/>
    <w:rsid w:val="2A3E2549"/>
    <w:rsid w:val="2B2040F4"/>
    <w:rsid w:val="2BDF3C5D"/>
    <w:rsid w:val="2BE12FE4"/>
    <w:rsid w:val="2C8C4BC6"/>
    <w:rsid w:val="2E417334"/>
    <w:rsid w:val="2EB35A19"/>
    <w:rsid w:val="2F210D6D"/>
    <w:rsid w:val="2FAD1495"/>
    <w:rsid w:val="310426F5"/>
    <w:rsid w:val="324A67B5"/>
    <w:rsid w:val="3289171F"/>
    <w:rsid w:val="339B178F"/>
    <w:rsid w:val="34551CE2"/>
    <w:rsid w:val="34B42429"/>
    <w:rsid w:val="3592207D"/>
    <w:rsid w:val="375C64CD"/>
    <w:rsid w:val="378325C5"/>
    <w:rsid w:val="388A7983"/>
    <w:rsid w:val="38F413D5"/>
    <w:rsid w:val="39E979EF"/>
    <w:rsid w:val="3AA07F0A"/>
    <w:rsid w:val="3AD82C28"/>
    <w:rsid w:val="3B475490"/>
    <w:rsid w:val="3D256684"/>
    <w:rsid w:val="3DFA1107"/>
    <w:rsid w:val="41F77E21"/>
    <w:rsid w:val="43313C05"/>
    <w:rsid w:val="449D74EC"/>
    <w:rsid w:val="459B245A"/>
    <w:rsid w:val="46935C55"/>
    <w:rsid w:val="490B1DBB"/>
    <w:rsid w:val="49A34F2E"/>
    <w:rsid w:val="4B1F21AD"/>
    <w:rsid w:val="4B946F03"/>
    <w:rsid w:val="4C0B026A"/>
    <w:rsid w:val="4C0F7FED"/>
    <w:rsid w:val="4E495C3D"/>
    <w:rsid w:val="510F4A72"/>
    <w:rsid w:val="512039EF"/>
    <w:rsid w:val="526447D7"/>
    <w:rsid w:val="53504AE3"/>
    <w:rsid w:val="53FF3B61"/>
    <w:rsid w:val="549279F4"/>
    <w:rsid w:val="555F41B2"/>
    <w:rsid w:val="580F4F49"/>
    <w:rsid w:val="58BD71A2"/>
    <w:rsid w:val="5A56261B"/>
    <w:rsid w:val="5A87698E"/>
    <w:rsid w:val="5B796777"/>
    <w:rsid w:val="5DB40D99"/>
    <w:rsid w:val="5EB07633"/>
    <w:rsid w:val="5EC22673"/>
    <w:rsid w:val="5ECA396F"/>
    <w:rsid w:val="5F67226E"/>
    <w:rsid w:val="604C0FE5"/>
    <w:rsid w:val="612F5580"/>
    <w:rsid w:val="62815DD2"/>
    <w:rsid w:val="628A6A31"/>
    <w:rsid w:val="643E149E"/>
    <w:rsid w:val="645B763F"/>
    <w:rsid w:val="66263F98"/>
    <w:rsid w:val="66EF082E"/>
    <w:rsid w:val="67620EEF"/>
    <w:rsid w:val="6B3A0950"/>
    <w:rsid w:val="6B52226C"/>
    <w:rsid w:val="6CD54886"/>
    <w:rsid w:val="6DAA410D"/>
    <w:rsid w:val="6E263343"/>
    <w:rsid w:val="6F6A775F"/>
    <w:rsid w:val="70614152"/>
    <w:rsid w:val="732565B7"/>
    <w:rsid w:val="745C4473"/>
    <w:rsid w:val="747405C4"/>
    <w:rsid w:val="74F82FA3"/>
    <w:rsid w:val="759C4277"/>
    <w:rsid w:val="75A1196B"/>
    <w:rsid w:val="792A2958"/>
    <w:rsid w:val="796D40A2"/>
    <w:rsid w:val="7A853FE3"/>
    <w:rsid w:val="7AAA6867"/>
    <w:rsid w:val="7B643141"/>
    <w:rsid w:val="7D822298"/>
    <w:rsid w:val="7E590CDC"/>
    <w:rsid w:val="7F534D1E"/>
    <w:rsid w:val="7F647CBC"/>
    <w:rsid w:val="7F8950F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name="toc 1"/>
    <w:lsdException w:unhideWhenUsed="0" w:uiPriority="0" w:semiHidden="0" w:name="toc 2"/>
    <w:lsdException w:qFormat="1" w:unhideWhenUsed="0" w:uiPriority="0" w:name="toc 3"/>
    <w:lsdException w:qFormat="1" w:unhideWhenUsed="0" w:uiPriority="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qFormat="1" w:uiPriority="99"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5"/>
    <w:qFormat/>
    <w:uiPriority w:val="0"/>
    <w:pPr>
      <w:keepNext/>
      <w:spacing w:line="216" w:lineRule="auto"/>
      <w:jc w:val="center"/>
      <w:outlineLvl w:val="0"/>
    </w:pPr>
    <w:rPr>
      <w:rFonts w:ascii="宋体" w:hAnsi="宋体"/>
      <w:b/>
      <w:sz w:val="30"/>
      <w:szCs w:val="20"/>
    </w:rPr>
  </w:style>
  <w:style w:type="paragraph" w:styleId="4">
    <w:name w:val="heading 2"/>
    <w:basedOn w:val="1"/>
    <w:next w:val="1"/>
    <w:link w:val="46"/>
    <w:qFormat/>
    <w:uiPriority w:val="0"/>
    <w:pPr>
      <w:keepNext/>
      <w:spacing w:line="216" w:lineRule="auto"/>
      <w:outlineLvl w:val="1"/>
    </w:pPr>
    <w:rPr>
      <w:rFonts w:ascii="宋体"/>
      <w:b/>
      <w:sz w:val="28"/>
      <w:szCs w:val="20"/>
    </w:rPr>
  </w:style>
  <w:style w:type="paragraph" w:styleId="5">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paragraph" w:styleId="6">
    <w:name w:val="heading 6"/>
    <w:basedOn w:val="1"/>
    <w:next w:val="1"/>
    <w:unhideWhenUsed/>
    <w:qFormat/>
    <w:uiPriority w:val="9"/>
    <w:pPr>
      <w:keepNext/>
      <w:keepLines/>
      <w:spacing w:before="240" w:after="64" w:line="320" w:lineRule="auto"/>
      <w:outlineLvl w:val="5"/>
    </w:pPr>
    <w:rPr>
      <w:rFonts w:ascii="Cambria" w:hAnsi="Cambria" w:eastAsia="宋体" w:cs="Times New Roman"/>
      <w:b/>
      <w:bCs/>
      <w:sz w:val="24"/>
    </w:rPr>
  </w:style>
  <w:style w:type="character" w:default="1" w:styleId="32">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customStyle="1" w:styleId="2">
    <w:name w:val="_Style 2"/>
    <w:qFormat/>
    <w:uiPriority w:val="1"/>
    <w:pPr>
      <w:adjustRightInd w:val="0"/>
      <w:snapToGrid w:val="0"/>
    </w:pPr>
    <w:rPr>
      <w:rFonts w:ascii="Tahoma" w:hAnsi="Tahoma" w:eastAsia="宋体" w:cs="Times New Roman"/>
      <w:sz w:val="22"/>
      <w:szCs w:val="22"/>
      <w:lang w:val="en-US" w:eastAsia="zh-CN" w:bidi="ar-SA"/>
    </w:rPr>
  </w:style>
  <w:style w:type="paragraph" w:styleId="7">
    <w:name w:val="Normal Indent"/>
    <w:basedOn w:val="1"/>
    <w:next w:val="1"/>
    <w:qFormat/>
    <w:uiPriority w:val="0"/>
    <w:pPr>
      <w:ind w:firstLine="420"/>
    </w:pPr>
    <w:rPr>
      <w:szCs w:val="20"/>
    </w:rPr>
  </w:style>
  <w:style w:type="paragraph" w:styleId="8">
    <w:name w:val="annotation text"/>
    <w:basedOn w:val="1"/>
    <w:qFormat/>
    <w:uiPriority w:val="0"/>
    <w:pPr>
      <w:adjustRightInd w:val="0"/>
      <w:jc w:val="left"/>
    </w:pPr>
  </w:style>
  <w:style w:type="paragraph" w:styleId="9">
    <w:name w:val="Body Text"/>
    <w:basedOn w:val="1"/>
    <w:next w:val="10"/>
    <w:link w:val="61"/>
    <w:qFormat/>
    <w:uiPriority w:val="0"/>
    <w:pPr>
      <w:autoSpaceDE w:val="0"/>
      <w:autoSpaceDN w:val="0"/>
      <w:adjustRightInd w:val="0"/>
      <w:spacing w:line="360" w:lineRule="auto"/>
    </w:pPr>
    <w:rPr>
      <w:rFonts w:ascii="宋体" w:hAnsi="Arial" w:cs="Arial"/>
      <w:snapToGrid w:val="0"/>
      <w:sz w:val="24"/>
      <w:szCs w:val="21"/>
      <w:lang w:val="zh-CN"/>
    </w:rPr>
  </w:style>
  <w:style w:type="paragraph" w:customStyle="1" w:styleId="10">
    <w:name w:val="Body Text First Indent1"/>
    <w:basedOn w:val="9"/>
    <w:qFormat/>
    <w:uiPriority w:val="0"/>
    <w:pPr>
      <w:tabs>
        <w:tab w:val="left" w:pos="1275"/>
      </w:tabs>
      <w:ind w:firstLine="420" w:firstLineChars="100"/>
    </w:pPr>
  </w:style>
  <w:style w:type="paragraph" w:styleId="11">
    <w:name w:val="Body Text Indent"/>
    <w:basedOn w:val="1"/>
    <w:next w:val="12"/>
    <w:qFormat/>
    <w:uiPriority w:val="0"/>
    <w:pPr>
      <w:spacing w:after="120"/>
      <w:ind w:left="420" w:leftChars="200"/>
    </w:pPr>
  </w:style>
  <w:style w:type="paragraph" w:styleId="12">
    <w:name w:val="envelope return"/>
    <w:basedOn w:val="1"/>
    <w:qFormat/>
    <w:uiPriority w:val="0"/>
    <w:pPr>
      <w:snapToGrid w:val="0"/>
    </w:pPr>
    <w:rPr>
      <w:rFonts w:ascii="Arial" w:hAnsi="Arial"/>
    </w:rPr>
  </w:style>
  <w:style w:type="paragraph" w:styleId="13">
    <w:name w:val="Block Text"/>
    <w:basedOn w:val="1"/>
    <w:semiHidden/>
    <w:unhideWhenUsed/>
    <w:qFormat/>
    <w:uiPriority w:val="99"/>
    <w:pPr>
      <w:spacing w:after="120"/>
      <w:ind w:left="1440" w:leftChars="700" w:right="1440" w:rightChars="700"/>
    </w:pPr>
  </w:style>
  <w:style w:type="paragraph" w:styleId="14">
    <w:name w:val="toc 3"/>
    <w:basedOn w:val="1"/>
    <w:next w:val="1"/>
    <w:semiHidden/>
    <w:qFormat/>
    <w:uiPriority w:val="0"/>
    <w:pPr>
      <w:ind w:left="840" w:leftChars="400"/>
    </w:pPr>
  </w:style>
  <w:style w:type="paragraph" w:styleId="15">
    <w:name w:val="Plain Text"/>
    <w:basedOn w:val="1"/>
    <w:qFormat/>
    <w:uiPriority w:val="0"/>
    <w:rPr>
      <w:rFonts w:ascii="宋体" w:hAnsi="Courier New" w:cs="Courier New"/>
      <w:szCs w:val="21"/>
    </w:rPr>
  </w:style>
  <w:style w:type="paragraph" w:styleId="16">
    <w:name w:val="Date"/>
    <w:basedOn w:val="1"/>
    <w:next w:val="1"/>
    <w:qFormat/>
    <w:uiPriority w:val="0"/>
    <w:pPr>
      <w:ind w:left="100" w:leftChars="2500"/>
    </w:pPr>
    <w:rPr>
      <w:rFonts w:ascii="宋体" w:hAnsi="宋体"/>
      <w:color w:val="000000"/>
      <w:sz w:val="24"/>
    </w:rPr>
  </w:style>
  <w:style w:type="paragraph" w:styleId="17">
    <w:name w:val="Body Text Indent 2"/>
    <w:basedOn w:val="1"/>
    <w:next w:val="18"/>
    <w:qFormat/>
    <w:uiPriority w:val="0"/>
    <w:pPr>
      <w:spacing w:line="360" w:lineRule="auto"/>
      <w:ind w:firstLine="420" w:firstLineChars="200"/>
    </w:pPr>
  </w:style>
  <w:style w:type="paragraph" w:customStyle="1" w:styleId="18">
    <w:name w:val="z正文"/>
    <w:basedOn w:val="15"/>
    <w:qFormat/>
    <w:uiPriority w:val="99"/>
    <w:pPr>
      <w:tabs>
        <w:tab w:val="left" w:pos="525"/>
      </w:tabs>
      <w:snapToGrid w:val="0"/>
      <w:spacing w:line="360" w:lineRule="auto"/>
    </w:pPr>
    <w:rPr>
      <w:rFonts w:hAnsi="宋体" w:eastAsia="宋体"/>
      <w:kern w:val="2"/>
      <w:sz w:val="24"/>
      <w:szCs w:val="20"/>
    </w:rPr>
  </w:style>
  <w:style w:type="paragraph" w:styleId="19">
    <w:name w:val="Balloon Text"/>
    <w:basedOn w:val="1"/>
    <w:link w:val="48"/>
    <w:qFormat/>
    <w:uiPriority w:val="0"/>
    <w:rPr>
      <w:sz w:val="18"/>
      <w:szCs w:val="18"/>
    </w:rPr>
  </w:style>
  <w:style w:type="paragraph" w:styleId="20">
    <w:name w:val="footer"/>
    <w:basedOn w:val="1"/>
    <w:qFormat/>
    <w:uiPriority w:val="0"/>
    <w:pPr>
      <w:tabs>
        <w:tab w:val="center" w:pos="4153"/>
        <w:tab w:val="right" w:pos="8306"/>
      </w:tabs>
      <w:snapToGrid w:val="0"/>
      <w:jc w:val="left"/>
    </w:pPr>
    <w:rPr>
      <w:sz w:val="18"/>
      <w:szCs w:val="18"/>
    </w:rPr>
  </w:style>
  <w:style w:type="paragraph" w:styleId="21">
    <w:name w:val="header"/>
    <w:basedOn w:val="1"/>
    <w:qFormat/>
    <w:uiPriority w:val="0"/>
    <w:pPr>
      <w:pBdr>
        <w:bottom w:val="single" w:color="auto" w:sz="6" w:space="1"/>
      </w:pBdr>
      <w:tabs>
        <w:tab w:val="center" w:pos="4153"/>
        <w:tab w:val="right" w:pos="8306"/>
      </w:tabs>
      <w:adjustRightInd w:val="0"/>
      <w:snapToGrid w:val="0"/>
      <w:spacing w:line="240" w:lineRule="atLeast"/>
      <w:jc w:val="center"/>
      <w:textAlignment w:val="baseline"/>
    </w:pPr>
    <w:rPr>
      <w:rFonts w:ascii="宋体"/>
      <w:kern w:val="0"/>
      <w:sz w:val="18"/>
      <w:szCs w:val="20"/>
    </w:rPr>
  </w:style>
  <w:style w:type="paragraph" w:styleId="22">
    <w:name w:val="toc 1"/>
    <w:basedOn w:val="1"/>
    <w:next w:val="1"/>
    <w:semiHidden/>
    <w:qFormat/>
    <w:uiPriority w:val="0"/>
  </w:style>
  <w:style w:type="paragraph" w:styleId="23">
    <w:name w:val="toc 4"/>
    <w:basedOn w:val="1"/>
    <w:next w:val="1"/>
    <w:semiHidden/>
    <w:qFormat/>
    <w:uiPriority w:val="0"/>
    <w:pPr>
      <w:ind w:left="1260" w:leftChars="600"/>
    </w:pPr>
  </w:style>
  <w:style w:type="paragraph" w:styleId="24">
    <w:name w:val="Subtitle"/>
    <w:basedOn w:val="1"/>
    <w:next w:val="1"/>
    <w:qFormat/>
    <w:uiPriority w:val="0"/>
    <w:pPr>
      <w:spacing w:line="360" w:lineRule="auto"/>
      <w:jc w:val="left"/>
      <w:outlineLvl w:val="2"/>
    </w:pPr>
    <w:rPr>
      <w:rFonts w:ascii="Cambria" w:hAnsi="Cambria"/>
      <w:b/>
      <w:bCs/>
      <w:kern w:val="28"/>
      <w:sz w:val="30"/>
      <w:szCs w:val="32"/>
    </w:rPr>
  </w:style>
  <w:style w:type="paragraph" w:styleId="25">
    <w:name w:val="toc 6"/>
    <w:basedOn w:val="1"/>
    <w:next w:val="1"/>
    <w:qFormat/>
    <w:uiPriority w:val="0"/>
    <w:pPr>
      <w:ind w:left="2100" w:leftChars="1000"/>
    </w:pPr>
  </w:style>
  <w:style w:type="paragraph" w:styleId="26">
    <w:name w:val="Body Text 2"/>
    <w:basedOn w:val="1"/>
    <w:qFormat/>
    <w:uiPriority w:val="0"/>
    <w:pPr>
      <w:spacing w:after="120" w:line="480" w:lineRule="auto"/>
    </w:pPr>
    <w:rPr>
      <w:szCs w:val="20"/>
    </w:rPr>
  </w:style>
  <w:style w:type="paragraph" w:styleId="27">
    <w:name w:val="Normal (Web)"/>
    <w:basedOn w:val="1"/>
    <w:qFormat/>
    <w:uiPriority w:val="99"/>
    <w:pPr>
      <w:widowControl/>
      <w:spacing w:before="100" w:beforeAutospacing="1" w:after="100" w:afterAutospacing="1"/>
      <w:jc w:val="left"/>
    </w:pPr>
    <w:rPr>
      <w:rFonts w:ascii="宋体" w:hAnsi="宋体" w:cs="宋体"/>
      <w:kern w:val="0"/>
      <w:sz w:val="24"/>
    </w:rPr>
  </w:style>
  <w:style w:type="paragraph" w:styleId="28">
    <w:name w:val="Body Text First Indent"/>
    <w:basedOn w:val="9"/>
    <w:next w:val="25"/>
    <w:qFormat/>
    <w:uiPriority w:val="0"/>
    <w:pPr>
      <w:spacing w:line="312" w:lineRule="auto"/>
      <w:ind w:firstLine="420"/>
    </w:pPr>
  </w:style>
  <w:style w:type="paragraph" w:styleId="29">
    <w:name w:val="Body Text First Indent 2"/>
    <w:basedOn w:val="11"/>
    <w:next w:val="17"/>
    <w:qFormat/>
    <w:uiPriority w:val="0"/>
    <w:pPr>
      <w:ind w:firstLine="420" w:firstLineChars="200"/>
    </w:pPr>
  </w:style>
  <w:style w:type="table" w:styleId="31">
    <w:name w:val="Table Grid"/>
    <w:basedOn w:val="30"/>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styleId="33">
    <w:name w:val="page number"/>
    <w:qFormat/>
    <w:uiPriority w:val="0"/>
  </w:style>
  <w:style w:type="character" w:styleId="34">
    <w:name w:val="Hyperlink"/>
    <w:basedOn w:val="32"/>
    <w:qFormat/>
    <w:uiPriority w:val="0"/>
    <w:rPr>
      <w:color w:val="0000FF"/>
      <w:u w:val="single"/>
    </w:rPr>
  </w:style>
  <w:style w:type="character" w:styleId="35">
    <w:name w:val="annotation reference"/>
    <w:basedOn w:val="32"/>
    <w:qFormat/>
    <w:uiPriority w:val="0"/>
    <w:rPr>
      <w:sz w:val="21"/>
      <w:szCs w:val="21"/>
    </w:rPr>
  </w:style>
  <w:style w:type="paragraph" w:customStyle="1" w:styleId="36">
    <w:name w:val="样式 首行缩进:  2 字符"/>
    <w:basedOn w:val="1"/>
    <w:qFormat/>
    <w:uiPriority w:val="0"/>
    <w:pPr>
      <w:spacing w:line="480" w:lineRule="exact"/>
      <w:ind w:firstLine="200" w:firstLineChars="200"/>
    </w:pPr>
    <w:rPr>
      <w:sz w:val="24"/>
    </w:rPr>
  </w:style>
  <w:style w:type="paragraph" w:customStyle="1" w:styleId="37">
    <w:name w:val="样式 表格正文 + 两端对齐"/>
    <w:basedOn w:val="1"/>
    <w:next w:val="38"/>
    <w:qFormat/>
    <w:uiPriority w:val="99"/>
    <w:pPr>
      <w:spacing w:line="300" w:lineRule="auto"/>
    </w:pPr>
    <w:rPr>
      <w:sz w:val="24"/>
      <w:szCs w:val="24"/>
    </w:rPr>
  </w:style>
  <w:style w:type="paragraph" w:customStyle="1" w:styleId="38">
    <w:name w:val="正文1"/>
    <w:basedOn w:val="14"/>
    <w:next w:val="39"/>
    <w:qFormat/>
    <w:uiPriority w:val="99"/>
    <w:pPr>
      <w:widowControl/>
      <w:snapToGrid w:val="0"/>
      <w:spacing w:line="500" w:lineRule="exact"/>
      <w:ind w:firstLine="567"/>
    </w:pPr>
    <w:rPr>
      <w:rFonts w:ascii="楷体_GB2312" w:eastAsia="楷体_GB2312" w:cs="楷体_GB2312"/>
      <w:kern w:val="0"/>
      <w:sz w:val="28"/>
      <w:szCs w:val="28"/>
    </w:rPr>
  </w:style>
  <w:style w:type="paragraph" w:customStyle="1" w:styleId="39">
    <w:name w:val="自动更正"/>
    <w:next w:val="40"/>
    <w:qFormat/>
    <w:uiPriority w:val="99"/>
    <w:pPr>
      <w:widowControl w:val="0"/>
      <w:jc w:val="both"/>
    </w:pPr>
    <w:rPr>
      <w:rFonts w:ascii="Times New Roman" w:hAnsi="Times New Roman" w:eastAsia="宋体" w:cs="Times New Roman"/>
      <w:kern w:val="2"/>
      <w:sz w:val="21"/>
      <w:szCs w:val="21"/>
      <w:lang w:val="en-US" w:eastAsia="zh-CN" w:bidi="ar-SA"/>
    </w:rPr>
  </w:style>
  <w:style w:type="paragraph" w:customStyle="1" w:styleId="40">
    <w:name w:val="xl39"/>
    <w:basedOn w:val="1"/>
    <w:next w:val="41"/>
    <w:qFormat/>
    <w:uiPriority w:val="99"/>
    <w:pPr>
      <w:widowControl/>
      <w:pBdr>
        <w:top w:val="single" w:color="auto" w:sz="4" w:space="0"/>
        <w:bottom w:val="single" w:color="auto" w:sz="4" w:space="0"/>
        <w:right w:val="single" w:color="auto" w:sz="4" w:space="0"/>
      </w:pBdr>
      <w:spacing w:before="100" w:after="100"/>
      <w:jc w:val="left"/>
      <w:textAlignment w:val="center"/>
    </w:pPr>
    <w:rPr>
      <w:kern w:val="0"/>
    </w:rPr>
  </w:style>
  <w:style w:type="paragraph" w:customStyle="1" w:styleId="41">
    <w:name w:val="分手多日，近况如何？"/>
    <w:next w:val="1"/>
    <w:qFormat/>
    <w:uiPriority w:val="99"/>
    <w:pPr>
      <w:widowControl w:val="0"/>
      <w:jc w:val="both"/>
    </w:pPr>
    <w:rPr>
      <w:rFonts w:ascii="Times New Roman" w:hAnsi="Times New Roman" w:eastAsia="宋体" w:cs="Times New Roman"/>
      <w:sz w:val="21"/>
      <w:szCs w:val="21"/>
      <w:lang w:val="en-US" w:eastAsia="zh-CN" w:bidi="ar-SA"/>
    </w:rPr>
  </w:style>
  <w:style w:type="paragraph" w:customStyle="1" w:styleId="42">
    <w:name w:val="Normal Indent1"/>
    <w:basedOn w:val="1"/>
    <w:qFormat/>
    <w:uiPriority w:val="0"/>
    <w:pPr>
      <w:ind w:firstLine="420" w:firstLineChars="200"/>
    </w:pPr>
  </w:style>
  <w:style w:type="paragraph" w:customStyle="1" w:styleId="43">
    <w:name w:val="正文2"/>
    <w:basedOn w:val="44"/>
    <w:link w:val="49"/>
    <w:qFormat/>
    <w:uiPriority w:val="0"/>
    <w:pPr>
      <w:adjustRightInd w:val="0"/>
      <w:spacing w:before="156" w:line="360" w:lineRule="auto"/>
      <w:ind w:firstLine="510" w:firstLineChars="200"/>
    </w:pPr>
    <w:rPr>
      <w:sz w:val="24"/>
    </w:rPr>
  </w:style>
  <w:style w:type="paragraph" w:customStyle="1" w:styleId="44">
    <w:name w:val="Normal"/>
    <w:basedOn w:val="1"/>
    <w:qFormat/>
    <w:uiPriority w:val="0"/>
    <w:rPr>
      <w:rFonts w:ascii="宋体" w:hAnsi="宋体" w:cs="宋体"/>
      <w:szCs w:val="21"/>
    </w:rPr>
  </w:style>
  <w:style w:type="character" w:customStyle="1" w:styleId="45">
    <w:name w:val="NormalCharacter"/>
    <w:semiHidden/>
    <w:qFormat/>
    <w:uiPriority w:val="0"/>
  </w:style>
  <w:style w:type="character" w:customStyle="1" w:styleId="46">
    <w:name w:val="标题 2 Char"/>
    <w:basedOn w:val="32"/>
    <w:link w:val="4"/>
    <w:qFormat/>
    <w:uiPriority w:val="0"/>
    <w:rPr>
      <w:rFonts w:ascii="宋体"/>
      <w:b/>
      <w:sz w:val="28"/>
      <w:szCs w:val="20"/>
    </w:rPr>
  </w:style>
  <w:style w:type="paragraph" w:customStyle="1" w:styleId="47">
    <w:name w:val="样式3"/>
    <w:basedOn w:val="15"/>
    <w:qFormat/>
    <w:uiPriority w:val="0"/>
    <w:pPr>
      <w:spacing w:line="0" w:lineRule="atLeast"/>
      <w:outlineLvl w:val="0"/>
    </w:pPr>
    <w:rPr>
      <w:sz w:val="28"/>
    </w:rPr>
  </w:style>
  <w:style w:type="character" w:customStyle="1" w:styleId="48">
    <w:name w:val="批注框文本 Char"/>
    <w:basedOn w:val="32"/>
    <w:link w:val="19"/>
    <w:qFormat/>
    <w:uiPriority w:val="0"/>
    <w:rPr>
      <w:rFonts w:ascii="Times New Roman" w:hAnsi="Times New Roman" w:eastAsia="宋体" w:cs="Times New Roman"/>
      <w:kern w:val="2"/>
      <w:sz w:val="18"/>
      <w:szCs w:val="18"/>
    </w:rPr>
  </w:style>
  <w:style w:type="character" w:customStyle="1" w:styleId="49">
    <w:name w:val="正文2 Char Char"/>
    <w:link w:val="43"/>
    <w:qFormat/>
    <w:uiPriority w:val="0"/>
    <w:rPr>
      <w:rFonts w:ascii="Times New Roman" w:hAnsi="Times New Roman" w:eastAsia="宋体" w:cs="Times New Roman"/>
      <w:kern w:val="2"/>
      <w:sz w:val="24"/>
    </w:rPr>
  </w:style>
  <w:style w:type="paragraph" w:customStyle="1" w:styleId="50">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51">
    <w:name w:val="BodyText1I2"/>
    <w:basedOn w:val="52"/>
    <w:qFormat/>
    <w:uiPriority w:val="0"/>
    <w:pPr>
      <w:spacing w:line="360" w:lineRule="auto"/>
      <w:ind w:firstLine="420"/>
      <w:jc w:val="left"/>
    </w:pPr>
    <w:rPr>
      <w:rFonts w:ascii="宋体" w:hAnsi="宋体"/>
    </w:rPr>
  </w:style>
  <w:style w:type="paragraph" w:customStyle="1" w:styleId="52">
    <w:name w:val="BodyTextIndent"/>
    <w:basedOn w:val="1"/>
    <w:next w:val="51"/>
    <w:qFormat/>
    <w:uiPriority w:val="0"/>
    <w:pPr>
      <w:spacing w:line="360" w:lineRule="auto"/>
      <w:ind w:firstLine="490"/>
      <w:jc w:val="left"/>
    </w:pPr>
    <w:rPr>
      <w:rFonts w:ascii="宋体" w:hAnsi="宋体"/>
      <w:sz w:val="24"/>
    </w:rPr>
  </w:style>
  <w:style w:type="paragraph" w:customStyle="1" w:styleId="53">
    <w:name w:val="正文 New New New New New New New New New New New New New New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4">
    <w:name w:val="List Paragraph"/>
    <w:basedOn w:val="1"/>
    <w:qFormat/>
    <w:uiPriority w:val="34"/>
    <w:pPr>
      <w:ind w:firstLine="420" w:firstLineChars="200"/>
    </w:pPr>
  </w:style>
  <w:style w:type="character" w:customStyle="1" w:styleId="55">
    <w:name w:val="标题 1 Char"/>
    <w:link w:val="3"/>
    <w:qFormat/>
    <w:uiPriority w:val="0"/>
    <w:rPr>
      <w:rFonts w:ascii="宋体" w:hAnsi="宋体"/>
      <w:b/>
      <w:sz w:val="30"/>
      <w:szCs w:val="20"/>
    </w:rPr>
  </w:style>
  <w:style w:type="paragraph" w:customStyle="1" w:styleId="56">
    <w:name w:val="章正文"/>
    <w:basedOn w:val="1"/>
    <w:qFormat/>
    <w:uiPriority w:val="0"/>
    <w:pPr>
      <w:spacing w:beforeLines="50" w:after="120" w:line="300" w:lineRule="auto"/>
      <w:ind w:firstLine="480"/>
    </w:pPr>
    <w:rPr>
      <w:rFonts w:ascii="Helvetica" w:hAnsi="Helvetica"/>
      <w:kern w:val="0"/>
      <w:sz w:val="24"/>
    </w:rPr>
  </w:style>
  <w:style w:type="table" w:customStyle="1" w:styleId="57">
    <w:name w:val="网格型1"/>
    <w:basedOn w:val="30"/>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58">
    <w:name w:val="font21"/>
    <w:basedOn w:val="32"/>
    <w:qFormat/>
    <w:uiPriority w:val="0"/>
    <w:rPr>
      <w:rFonts w:hint="eastAsia" w:ascii="宋体" w:hAnsi="宋体" w:eastAsia="宋体" w:cs="宋体"/>
      <w:color w:val="000000"/>
      <w:sz w:val="24"/>
      <w:szCs w:val="24"/>
      <w:u w:val="none"/>
    </w:rPr>
  </w:style>
  <w:style w:type="paragraph" w:customStyle="1" w:styleId="59">
    <w:name w:val="CM26"/>
    <w:basedOn w:val="1"/>
    <w:next w:val="1"/>
    <w:qFormat/>
    <w:uiPriority w:val="0"/>
    <w:pPr>
      <w:autoSpaceDE w:val="0"/>
      <w:autoSpaceDN w:val="0"/>
      <w:adjustRightInd w:val="0"/>
      <w:spacing w:line="400" w:lineRule="atLeast"/>
      <w:jc w:val="left"/>
    </w:pPr>
    <w:rPr>
      <w:rFonts w:ascii="宋体" w:hAnsi="宋体"/>
      <w:kern w:val="0"/>
      <w:sz w:val="24"/>
    </w:rPr>
  </w:style>
  <w:style w:type="paragraph" w:customStyle="1" w:styleId="60">
    <w:name w:val="Table Paragraph"/>
    <w:basedOn w:val="1"/>
    <w:unhideWhenUsed/>
    <w:qFormat/>
    <w:uiPriority w:val="1"/>
    <w:pPr>
      <w:spacing w:beforeLines="0" w:afterLines="0"/>
    </w:pPr>
    <w:rPr>
      <w:rFonts w:hint="default"/>
      <w:sz w:val="24"/>
      <w:szCs w:val="24"/>
    </w:rPr>
  </w:style>
  <w:style w:type="character" w:customStyle="1" w:styleId="61">
    <w:name w:val="正文文本 Char"/>
    <w:link w:val="9"/>
    <w:qFormat/>
    <w:uiPriority w:val="0"/>
    <w:rPr>
      <w:rFonts w:ascii="宋体" w:hAnsi="Arial" w:cs="Arial"/>
      <w:snapToGrid w:val="0"/>
      <w:sz w:val="24"/>
      <w:szCs w:val="21"/>
      <w:lang w:val="zh-CN"/>
    </w:rPr>
  </w:style>
  <w:style w:type="paragraph" w:customStyle="1" w:styleId="62">
    <w:name w:val="_Style 3"/>
    <w:basedOn w:val="1"/>
    <w:qFormat/>
    <w:uiPriority w:val="1"/>
    <w:pPr>
      <w:adjustRightInd/>
      <w:ind w:firstLine="420" w:firstLineChars="200"/>
    </w:pPr>
    <w:rPr>
      <w:rFonts w:eastAsia="仿宋_GB2312"/>
      <w:sz w:val="28"/>
    </w:rPr>
  </w:style>
  <w:style w:type="paragraph" w:customStyle="1" w:styleId="63">
    <w:name w:val="Table Text"/>
    <w:basedOn w:val="1"/>
    <w:semiHidden/>
    <w:qFormat/>
    <w:uiPriority w:val="0"/>
    <w:rPr>
      <w:rFonts w:ascii="宋体" w:hAnsi="宋体" w:eastAsia="宋体" w:cs="宋体"/>
      <w:sz w:val="37"/>
      <w:szCs w:val="37"/>
      <w:lang w:val="en-US" w:eastAsia="en-US" w:bidi="ar-SA"/>
    </w:rPr>
  </w:style>
  <w:style w:type="table" w:customStyle="1" w:styleId="6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jpe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55</Pages>
  <Words>13381</Words>
  <Characters>14275</Characters>
  <Lines>345</Lines>
  <Paragraphs>97</Paragraphs>
  <TotalTime>5</TotalTime>
  <ScaleCrop>false</ScaleCrop>
  <LinksUpToDate>false</LinksUpToDate>
  <CharactersWithSpaces>14509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2022-11-10T00:47:00Z</dcterms:created>
  <dc:creator>王成</dc:creator>
  <cp:lastModifiedBy>开心小杰</cp:lastModifiedBy>
  <cp:lastPrinted>2022-11-10T01:42:00Z</cp:lastPrinted>
  <dcterms:modified xsi:type="dcterms:W3CDTF">2025-04-24T07:37:57Z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DBD3A18A103A4E308BC60663604D0827_13</vt:lpwstr>
  </property>
  <property fmtid="{D5CDD505-2E9C-101B-9397-08002B2CF9AE}" pid="4" name="KSOTemplateDocerSaveRecord">
    <vt:lpwstr>eyJoZGlkIjoiZThkYzliN2FhZjk3MGY0NGE3NWU0MjJmNDVjMTM5YWMiLCJ1c2VySWQiOiI1NDY0MzM0MDAifQ==</vt:lpwstr>
  </property>
</Properties>
</file>