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CA450">
      <w:pPr>
        <w:pStyle w:val="20"/>
        <w:jc w:val="center"/>
        <w:rPr>
          <w:rFonts w:hint="eastAsia" w:ascii="宋体" w:hAnsi="宋体" w:eastAsia="宋体" w:cs="宋体"/>
          <w:sz w:val="48"/>
          <w:szCs w:val="48"/>
          <w:lang w:eastAsia="zh-CN"/>
        </w:rPr>
      </w:pPr>
    </w:p>
    <w:p w14:paraId="4130D7C1">
      <w:pPr>
        <w:spacing w:line="600" w:lineRule="auto"/>
        <w:jc w:val="center"/>
        <w:rPr>
          <w:rFonts w:hint="eastAsia" w:ascii="宋体" w:hAnsi="宋体" w:eastAsia="宋体" w:cs="宋体"/>
          <w:color w:val="000000"/>
          <w:sz w:val="72"/>
          <w:szCs w:val="72"/>
        </w:rPr>
      </w:pPr>
      <w:r>
        <w:rPr>
          <w:rFonts w:hint="eastAsia" w:ascii="宋体" w:hAnsi="宋体" w:eastAsia="宋体" w:cs="宋体"/>
          <w:sz w:val="48"/>
          <w:szCs w:val="48"/>
          <w:lang w:eastAsia="zh-CN"/>
        </w:rPr>
        <w:t>桐庐县红灯笼乡村家园户外游乐设施采购及安装项目</w:t>
      </w:r>
      <w:r>
        <w:rPr>
          <w:rFonts w:hint="eastAsia" w:ascii="宋体" w:hAnsi="宋体" w:eastAsia="宋体" w:cs="宋体"/>
          <w:bCs/>
          <w:sz w:val="48"/>
          <w:szCs w:val="48"/>
          <w:lang w:eastAsia="zh-CN"/>
        </w:rPr>
        <w:t>（</w:t>
      </w:r>
      <w:r>
        <w:rPr>
          <w:rFonts w:hint="eastAsia" w:ascii="宋体" w:hAnsi="宋体" w:eastAsia="宋体" w:cs="宋体"/>
          <w:bCs/>
          <w:sz w:val="48"/>
          <w:szCs w:val="48"/>
          <w:lang w:val="en-US" w:eastAsia="zh-CN"/>
        </w:rPr>
        <w:t>国企采购</w:t>
      </w:r>
      <w:r>
        <w:rPr>
          <w:rFonts w:hint="eastAsia" w:ascii="宋体" w:hAnsi="宋体" w:eastAsia="宋体" w:cs="宋体"/>
          <w:bCs/>
          <w:sz w:val="48"/>
          <w:szCs w:val="48"/>
          <w:lang w:eastAsia="zh-CN"/>
        </w:rPr>
        <w:t>）</w:t>
      </w:r>
    </w:p>
    <w:p w14:paraId="422CE5E0">
      <w:pPr>
        <w:pStyle w:val="20"/>
        <w:jc w:val="center"/>
        <w:rPr>
          <w:rFonts w:hint="eastAsia" w:ascii="宋体" w:hAnsi="宋体" w:eastAsia="宋体" w:cs="宋体"/>
          <w:color w:val="000000"/>
          <w:sz w:val="72"/>
          <w:szCs w:val="72"/>
        </w:rPr>
      </w:pPr>
      <w:r>
        <w:rPr>
          <w:rFonts w:hint="eastAsia" w:ascii="宋体" w:hAnsi="宋体" w:eastAsia="宋体" w:cs="宋体"/>
          <w:color w:val="000000"/>
          <w:sz w:val="72"/>
          <w:szCs w:val="72"/>
        </w:rPr>
        <w:t>招 标 文 件</w:t>
      </w:r>
    </w:p>
    <w:p w14:paraId="0A876F22">
      <w:pPr>
        <w:snapToGrid w:val="0"/>
        <w:jc w:val="center"/>
        <w:rPr>
          <w:rFonts w:hint="eastAsia" w:ascii="宋体" w:hAnsi="宋体" w:eastAsia="宋体" w:cs="宋体"/>
          <w:sz w:val="28"/>
          <w:szCs w:val="28"/>
        </w:rPr>
      </w:pPr>
    </w:p>
    <w:p w14:paraId="762E38CA">
      <w:pPr>
        <w:snapToGrid w:val="0"/>
        <w:jc w:val="center"/>
        <w:rPr>
          <w:rFonts w:hint="eastAsia" w:ascii="宋体" w:hAnsi="宋体" w:eastAsia="宋体" w:cs="宋体"/>
          <w:sz w:val="28"/>
          <w:szCs w:val="28"/>
        </w:rPr>
      </w:pPr>
      <w:r>
        <w:rPr>
          <w:rFonts w:hint="eastAsia" w:ascii="宋体" w:hAnsi="宋体" w:eastAsia="宋体" w:cs="宋体"/>
          <w:sz w:val="28"/>
          <w:szCs w:val="28"/>
        </w:rPr>
        <w:t>（编号：</w:t>
      </w:r>
      <w:r>
        <w:rPr>
          <w:rFonts w:hint="eastAsia" w:ascii="宋体" w:hAnsi="宋体" w:eastAsia="宋体" w:cs="宋体"/>
          <w:color w:val="auto"/>
          <w:sz w:val="28"/>
          <w:szCs w:val="28"/>
          <w:lang w:val="en-US" w:eastAsia="zh-CN"/>
        </w:rPr>
        <w:t>HZKYTLCG-2025-03</w:t>
      </w:r>
      <w:r>
        <w:rPr>
          <w:rFonts w:hint="eastAsia" w:ascii="宋体" w:hAnsi="宋体" w:eastAsia="宋体" w:cs="宋体"/>
          <w:sz w:val="28"/>
          <w:szCs w:val="28"/>
        </w:rPr>
        <w:t>）</w:t>
      </w:r>
    </w:p>
    <w:p w14:paraId="086D901F">
      <w:pPr>
        <w:snapToGrid w:val="0"/>
        <w:jc w:val="center"/>
        <w:rPr>
          <w:rFonts w:hint="eastAsia" w:ascii="宋体" w:hAnsi="宋体" w:eastAsia="宋体" w:cs="宋体"/>
          <w:sz w:val="28"/>
          <w:szCs w:val="28"/>
        </w:rPr>
      </w:pPr>
    </w:p>
    <w:p w14:paraId="2F5C91C3">
      <w:pPr>
        <w:spacing w:line="360" w:lineRule="auto"/>
        <w:ind w:right="-2"/>
        <w:jc w:val="center"/>
        <w:rPr>
          <w:rFonts w:hint="eastAsia" w:ascii="宋体" w:hAnsi="宋体" w:eastAsia="宋体" w:cs="宋体"/>
          <w:b/>
          <w:color w:val="auto"/>
          <w:sz w:val="36"/>
        </w:rPr>
      </w:pPr>
      <w:r>
        <w:rPr>
          <w:rFonts w:hint="eastAsia" w:ascii="宋体" w:hAnsi="宋体" w:eastAsia="宋体" w:cs="宋体"/>
          <w:b/>
          <w:color w:val="auto"/>
          <w:sz w:val="36"/>
        </w:rPr>
        <w:t>（线上电子化招投标）</w:t>
      </w:r>
    </w:p>
    <w:p w14:paraId="49BB336C">
      <w:pPr>
        <w:snapToGrid w:val="0"/>
        <w:jc w:val="center"/>
        <w:rPr>
          <w:rFonts w:hint="eastAsia" w:ascii="宋体" w:hAnsi="宋体" w:eastAsia="宋体" w:cs="宋体"/>
          <w:sz w:val="28"/>
          <w:szCs w:val="28"/>
        </w:rPr>
      </w:pPr>
    </w:p>
    <w:p w14:paraId="7314BB0F">
      <w:pPr>
        <w:snapToGrid w:val="0"/>
        <w:rPr>
          <w:rFonts w:hint="eastAsia" w:ascii="宋体" w:hAnsi="宋体" w:eastAsia="宋体" w:cs="宋体"/>
          <w:sz w:val="36"/>
          <w:szCs w:val="36"/>
        </w:rPr>
      </w:pPr>
      <w:r>
        <w:rPr>
          <w:rFonts w:hint="eastAsia" w:ascii="宋体" w:hAnsi="宋体" w:eastAsia="宋体" w:cs="宋体"/>
          <w:sz w:val="52"/>
          <w:szCs w:val="52"/>
        </w:rPr>
        <w:t xml:space="preserve">         </w:t>
      </w:r>
      <w:r>
        <w:rPr>
          <w:rFonts w:hint="eastAsia" w:ascii="宋体" w:hAnsi="宋体" w:eastAsia="宋体" w:cs="宋体"/>
          <w:b/>
          <w:sz w:val="52"/>
          <w:szCs w:val="52"/>
        </w:rPr>
        <w:t xml:space="preserve">   </w:t>
      </w:r>
    </w:p>
    <w:p w14:paraId="1A961405">
      <w:pPr>
        <w:tabs>
          <w:tab w:val="left" w:pos="1980"/>
          <w:tab w:val="left" w:pos="3240"/>
          <w:tab w:val="left" w:pos="3420"/>
          <w:tab w:val="left" w:pos="3600"/>
          <w:tab w:val="left" w:pos="3780"/>
        </w:tabs>
        <w:snapToGrid w:val="0"/>
        <w:spacing w:line="600" w:lineRule="auto"/>
        <w:ind w:firstLine="320" w:firstLineChars="100"/>
        <w:rPr>
          <w:rFonts w:hint="eastAsia" w:ascii="宋体" w:hAnsi="宋体" w:eastAsia="宋体" w:cs="宋体"/>
          <w:sz w:val="32"/>
          <w:szCs w:val="32"/>
          <w:u w:val="single"/>
        </w:rPr>
      </w:pPr>
      <w:r>
        <w:rPr>
          <w:rFonts w:hint="eastAsia" w:ascii="宋体" w:hAnsi="宋体" w:eastAsia="宋体" w:cs="宋体"/>
          <w:sz w:val="32"/>
          <w:szCs w:val="32"/>
        </w:rPr>
        <w:t>采购单位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lang w:eastAsia="zh-CN"/>
        </w:rPr>
        <w:t>桐庐富春旅游开发有限公司</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14:paraId="7A39B5C8">
      <w:pPr>
        <w:tabs>
          <w:tab w:val="left" w:pos="1980"/>
          <w:tab w:val="left" w:pos="3240"/>
          <w:tab w:val="left" w:pos="3420"/>
          <w:tab w:val="left" w:pos="3600"/>
          <w:tab w:val="left" w:pos="3780"/>
        </w:tabs>
        <w:snapToGrid w:val="0"/>
        <w:spacing w:line="600" w:lineRule="auto"/>
        <w:ind w:firstLine="320" w:firstLineChars="100"/>
        <w:rPr>
          <w:rFonts w:hint="eastAsia" w:ascii="宋体" w:hAnsi="宋体" w:eastAsia="宋体" w:cs="宋体"/>
          <w:sz w:val="32"/>
          <w:szCs w:val="32"/>
          <w:u w:val="single"/>
        </w:rPr>
      </w:pPr>
      <w:r>
        <w:rPr>
          <w:rFonts w:hint="eastAsia" w:ascii="宋体" w:hAnsi="宋体" w:eastAsia="宋体" w:cs="宋体"/>
          <w:sz w:val="32"/>
          <w:szCs w:val="32"/>
        </w:rPr>
        <w:t>法定代表人或其委托代理人: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lang w:eastAsia="zh-CN"/>
        </w:rPr>
        <w:t>周磊</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14:paraId="67372E88">
      <w:pPr>
        <w:snapToGrid w:val="0"/>
        <w:spacing w:line="600" w:lineRule="auto"/>
        <w:ind w:firstLine="330" w:firstLineChars="100"/>
        <w:rPr>
          <w:rFonts w:hint="eastAsia" w:ascii="宋体" w:hAnsi="宋体" w:eastAsia="宋体" w:cs="宋体"/>
          <w:sz w:val="33"/>
          <w:szCs w:val="33"/>
          <w:u w:val="single"/>
        </w:rPr>
      </w:pPr>
      <w:r>
        <w:rPr>
          <w:rFonts w:hint="eastAsia" w:ascii="宋体" w:hAnsi="宋体" w:eastAsia="宋体" w:cs="宋体"/>
          <w:sz w:val="33"/>
          <w:szCs w:val="33"/>
        </w:rPr>
        <w:t>采购机构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杭州开元物产集团有限公司</w:t>
      </w:r>
      <w:r>
        <w:rPr>
          <w:rFonts w:hint="eastAsia" w:ascii="宋体" w:hAnsi="宋体" w:eastAsia="宋体" w:cs="宋体"/>
          <w:sz w:val="32"/>
          <w:szCs w:val="32"/>
          <w:u w:val="single"/>
        </w:rPr>
        <w:t xml:space="preserve">        </w:t>
      </w:r>
    </w:p>
    <w:p w14:paraId="0D8077F7">
      <w:pPr>
        <w:snapToGrid w:val="0"/>
        <w:spacing w:line="720" w:lineRule="auto"/>
        <w:ind w:firstLine="320" w:firstLineChars="100"/>
        <w:rPr>
          <w:rFonts w:hint="eastAsia" w:ascii="宋体" w:hAnsi="宋体" w:eastAsia="宋体" w:cs="宋体"/>
          <w:sz w:val="33"/>
          <w:szCs w:val="33"/>
          <w:u w:val="none"/>
        </w:rPr>
      </w:pPr>
      <w:r>
        <w:rPr>
          <w:rFonts w:hint="eastAsia" w:ascii="宋体" w:hAnsi="宋体" w:eastAsia="宋体" w:cs="宋体"/>
          <w:sz w:val="32"/>
          <w:szCs w:val="32"/>
        </w:rPr>
        <w:t>法定代表人或其委托代理人: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lang w:eastAsia="zh-CN"/>
        </w:rPr>
        <w:t>刘丹</w:t>
      </w:r>
      <w:r>
        <w:rPr>
          <w:rFonts w:hint="eastAsia" w:ascii="宋体" w:hAnsi="宋体" w:eastAsia="宋体" w:cs="宋体"/>
          <w:sz w:val="32"/>
          <w:szCs w:val="32"/>
          <w:u w:val="single"/>
        </w:rPr>
        <w:t xml:space="preserve">            </w:t>
      </w:r>
      <w:r>
        <w:rPr>
          <w:rFonts w:hint="eastAsia" w:ascii="宋体" w:hAnsi="宋体" w:eastAsia="宋体" w:cs="宋体"/>
          <w:sz w:val="33"/>
          <w:szCs w:val="33"/>
          <w:u w:val="single"/>
        </w:rPr>
        <w:t xml:space="preserve"> </w:t>
      </w:r>
    </w:p>
    <w:p w14:paraId="6216089E">
      <w:pPr>
        <w:snapToGrid w:val="0"/>
        <w:spacing w:line="720" w:lineRule="auto"/>
        <w:ind w:firstLine="330" w:firstLineChars="100"/>
        <w:rPr>
          <w:rFonts w:hint="eastAsia" w:ascii="宋体" w:hAnsi="宋体" w:eastAsia="宋体" w:cs="宋体"/>
          <w:sz w:val="33"/>
          <w:szCs w:val="33"/>
        </w:rPr>
      </w:pPr>
      <w:r>
        <w:rPr>
          <w:rFonts w:hint="eastAsia" w:ascii="宋体" w:hAnsi="宋体" w:eastAsia="宋体" w:cs="宋体"/>
          <w:sz w:val="33"/>
          <w:szCs w:val="33"/>
          <w:u w:val="none"/>
        </w:rPr>
        <w:t>备案单位：</w:t>
      </w:r>
      <w:r>
        <w:rPr>
          <w:rFonts w:hint="eastAsia" w:ascii="宋体" w:hAnsi="宋体" w:eastAsia="宋体" w:cs="宋体"/>
          <w:sz w:val="32"/>
          <w:szCs w:val="32"/>
          <w:u w:val="single"/>
          <w:lang w:eastAsia="zh-CN"/>
        </w:rPr>
        <w:t xml:space="preserve">     </w:t>
      </w:r>
      <w:r>
        <w:rPr>
          <w:rFonts w:hint="eastAsia" w:ascii="宋体" w:hAnsi="宋体" w:eastAsia="宋体" w:cs="宋体"/>
          <w:color w:val="auto"/>
          <w:sz w:val="33"/>
          <w:szCs w:val="33"/>
          <w:u w:val="single"/>
          <w:lang w:eastAsia="zh-CN"/>
        </w:rPr>
        <w:t>桐庐县文化旅游投资集团有限公司</w:t>
      </w:r>
      <w:r>
        <w:rPr>
          <w:rFonts w:hint="eastAsia" w:ascii="宋体" w:hAnsi="宋体" w:eastAsia="宋体" w:cs="宋体"/>
          <w:sz w:val="33"/>
          <w:szCs w:val="33"/>
          <w:u w:val="single"/>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 xml:space="preserve"> </w:t>
      </w:r>
      <w:r>
        <w:rPr>
          <w:rFonts w:hint="eastAsia" w:ascii="宋体" w:hAnsi="宋体" w:eastAsia="宋体" w:cs="宋体"/>
          <w:b/>
          <w:bCs/>
          <w:sz w:val="33"/>
          <w:szCs w:val="33"/>
          <w:u w:val="single"/>
        </w:rPr>
        <w:t xml:space="preserve"> </w:t>
      </w:r>
      <w:r>
        <w:rPr>
          <w:rFonts w:hint="eastAsia" w:ascii="宋体" w:hAnsi="宋体" w:eastAsia="宋体" w:cs="宋体"/>
          <w:sz w:val="33"/>
          <w:szCs w:val="33"/>
          <w:u w:val="single"/>
        </w:rPr>
        <w:t xml:space="preserve">  </w:t>
      </w:r>
    </w:p>
    <w:p w14:paraId="480C27CA">
      <w:pPr>
        <w:snapToGrid w:val="0"/>
        <w:ind w:left="99"/>
        <w:jc w:val="center"/>
        <w:rPr>
          <w:rFonts w:hint="eastAsia" w:ascii="宋体" w:hAnsi="宋体" w:eastAsia="宋体" w:cs="宋体"/>
          <w:sz w:val="28"/>
          <w:szCs w:val="28"/>
        </w:rPr>
      </w:pPr>
      <w:r>
        <w:rPr>
          <w:rFonts w:hint="eastAsia" w:ascii="宋体" w:hAnsi="宋体" w:eastAsia="宋体" w:cs="宋体"/>
          <w:sz w:val="33"/>
          <w:szCs w:val="33"/>
        </w:rPr>
        <w:t>202</w:t>
      </w:r>
      <w:r>
        <w:rPr>
          <w:rFonts w:hint="eastAsia" w:ascii="宋体" w:hAnsi="宋体" w:eastAsia="宋体" w:cs="宋体"/>
          <w:sz w:val="33"/>
          <w:szCs w:val="33"/>
          <w:lang w:val="en-US" w:eastAsia="zh-CN"/>
        </w:rPr>
        <w:t>5</w:t>
      </w:r>
      <w:r>
        <w:rPr>
          <w:rFonts w:hint="eastAsia" w:ascii="宋体" w:hAnsi="宋体" w:eastAsia="宋体" w:cs="宋体"/>
          <w:sz w:val="33"/>
          <w:szCs w:val="33"/>
        </w:rPr>
        <w:t>年</w:t>
      </w:r>
      <w:r>
        <w:rPr>
          <w:rFonts w:hint="eastAsia" w:ascii="宋体" w:hAnsi="宋体" w:eastAsia="宋体" w:cs="宋体"/>
          <w:sz w:val="33"/>
          <w:szCs w:val="33"/>
          <w:lang w:val="en-US" w:eastAsia="zh-CN"/>
        </w:rPr>
        <w:t>01</w:t>
      </w:r>
      <w:r>
        <w:rPr>
          <w:rFonts w:hint="eastAsia" w:ascii="宋体" w:hAnsi="宋体" w:eastAsia="宋体" w:cs="宋体"/>
          <w:sz w:val="33"/>
          <w:szCs w:val="33"/>
        </w:rPr>
        <w:t>月</w:t>
      </w:r>
    </w:p>
    <w:p w14:paraId="241BE933">
      <w:pPr>
        <w:snapToGrid w:val="0"/>
        <w:ind w:left="99"/>
        <w:jc w:val="center"/>
        <w:rPr>
          <w:rFonts w:hint="eastAsia" w:ascii="宋体" w:hAnsi="宋体" w:eastAsia="宋体" w:cs="宋体"/>
          <w:b/>
          <w:sz w:val="44"/>
          <w:szCs w:val="44"/>
        </w:rPr>
        <w:sectPr>
          <w:footerReference r:id="rId5" w:type="default"/>
          <w:pgSz w:w="11906" w:h="16838"/>
          <w:pgMar w:top="993" w:right="1466" w:bottom="993" w:left="1440" w:header="851" w:footer="992" w:gutter="0"/>
          <w:lnNumType w:countBy="0" w:distance="360"/>
          <w:pgNumType w:fmt="decimal" w:start="2"/>
          <w:cols w:space="720" w:num="1"/>
          <w:docGrid w:type="lines" w:linePitch="312" w:charSpace="0"/>
        </w:sectPr>
      </w:pPr>
    </w:p>
    <w:p w14:paraId="2EB672B3">
      <w:pPr>
        <w:snapToGrid w:val="0"/>
        <w:ind w:left="99"/>
        <w:jc w:val="center"/>
        <w:rPr>
          <w:rFonts w:hint="eastAsia" w:ascii="宋体" w:hAnsi="宋体" w:eastAsia="宋体" w:cs="宋体"/>
          <w:b/>
          <w:sz w:val="44"/>
          <w:szCs w:val="44"/>
        </w:rPr>
      </w:pPr>
    </w:p>
    <w:p w14:paraId="6CA1DB96">
      <w:pPr>
        <w:snapToGrid w:val="0"/>
        <w:ind w:left="99"/>
        <w:jc w:val="center"/>
        <w:rPr>
          <w:rFonts w:hint="eastAsia" w:ascii="宋体" w:hAnsi="宋体" w:eastAsia="宋体" w:cs="宋体"/>
        </w:rPr>
      </w:pPr>
      <w:r>
        <w:rPr>
          <w:rFonts w:hint="eastAsia" w:ascii="宋体" w:hAnsi="宋体" w:eastAsia="宋体" w:cs="宋体"/>
          <w:b/>
          <w:sz w:val="44"/>
          <w:szCs w:val="44"/>
        </w:rPr>
        <w:t>目     录</w:t>
      </w:r>
    </w:p>
    <w:p w14:paraId="5CD980D5">
      <w:pPr>
        <w:snapToGrid w:val="0"/>
        <w:rPr>
          <w:rFonts w:hint="eastAsia" w:ascii="宋体" w:hAnsi="宋体" w:eastAsia="宋体" w:cs="宋体"/>
        </w:rPr>
      </w:pPr>
    </w:p>
    <w:p w14:paraId="1D21DC00">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第一章   招标公告</w:t>
      </w:r>
    </w:p>
    <w:p w14:paraId="76A47FB4">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第二章   招标需求    </w:t>
      </w:r>
    </w:p>
    <w:p w14:paraId="2D1CAFC9">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第三章   投标人须知</w:t>
      </w:r>
    </w:p>
    <w:p w14:paraId="7FC3D234">
      <w:pPr>
        <w:spacing w:before="120" w:line="480" w:lineRule="exact"/>
        <w:ind w:left="1440"/>
        <w:rPr>
          <w:rFonts w:hint="eastAsia" w:ascii="宋体" w:hAnsi="宋体" w:eastAsia="宋体" w:cs="宋体"/>
          <w:color w:val="000000"/>
          <w:sz w:val="28"/>
          <w:szCs w:val="28"/>
        </w:rPr>
      </w:pPr>
      <w:r>
        <w:rPr>
          <w:rFonts w:hint="eastAsia" w:ascii="宋体" w:hAnsi="宋体" w:eastAsia="宋体" w:cs="宋体"/>
          <w:color w:val="000000"/>
          <w:sz w:val="28"/>
          <w:szCs w:val="28"/>
        </w:rPr>
        <w:t>前附表</w:t>
      </w:r>
    </w:p>
    <w:p w14:paraId="62285C26">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总 则</w:t>
      </w:r>
    </w:p>
    <w:p w14:paraId="566BBE05">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招标文件</w:t>
      </w:r>
    </w:p>
    <w:p w14:paraId="1F59DB5C">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投标文件的编制</w:t>
      </w:r>
    </w:p>
    <w:p w14:paraId="5BBD4E22">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开标</w:t>
      </w:r>
    </w:p>
    <w:p w14:paraId="3789D098">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评标</w:t>
      </w:r>
    </w:p>
    <w:p w14:paraId="208AD61E">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定标</w:t>
      </w:r>
    </w:p>
    <w:p w14:paraId="1C2D9749">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合同授予</w:t>
      </w:r>
    </w:p>
    <w:p w14:paraId="28AA00F7">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第四章   评标办法及评分标准</w:t>
      </w:r>
    </w:p>
    <w:p w14:paraId="6A499CB0">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第五章   采购合同</w:t>
      </w:r>
    </w:p>
    <w:p w14:paraId="4C396ED1">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第六章   投标文件格式</w:t>
      </w:r>
    </w:p>
    <w:p w14:paraId="791AC4E0">
      <w:pPr>
        <w:tabs>
          <w:tab w:val="left" w:pos="360"/>
        </w:tabs>
        <w:autoSpaceDE w:val="0"/>
        <w:autoSpaceDN w:val="0"/>
        <w:snapToGrid w:val="0"/>
        <w:spacing w:before="340" w:after="330" w:line="360" w:lineRule="auto"/>
        <w:jc w:val="left"/>
        <w:rPr>
          <w:rFonts w:hint="eastAsia" w:ascii="宋体" w:hAnsi="宋体" w:eastAsia="宋体" w:cs="宋体"/>
          <w:color w:val="000000"/>
          <w:sz w:val="32"/>
          <w:szCs w:val="32"/>
        </w:rPr>
      </w:pPr>
    </w:p>
    <w:p w14:paraId="1B19EE33">
      <w:pPr>
        <w:pStyle w:val="2"/>
        <w:jc w:val="center"/>
        <w:rPr>
          <w:rFonts w:hint="eastAsia" w:ascii="宋体" w:hAnsi="宋体" w:eastAsia="宋体" w:cs="宋体"/>
          <w:color w:val="auto"/>
          <w:kern w:val="2"/>
          <w:szCs w:val="36"/>
        </w:rPr>
        <w:sectPr>
          <w:footerReference r:id="rId6" w:type="default"/>
          <w:pgSz w:w="11906" w:h="16838"/>
          <w:pgMar w:top="1440" w:right="1293" w:bottom="1440" w:left="1293" w:header="851" w:footer="992" w:gutter="0"/>
          <w:pgNumType w:fmt="decimal" w:start="1"/>
          <w:cols w:space="720" w:num="1"/>
          <w:docGrid w:linePitch="312" w:charSpace="0"/>
        </w:sectPr>
      </w:pPr>
    </w:p>
    <w:p w14:paraId="207CE9B2">
      <w:pPr>
        <w:pStyle w:val="2"/>
        <w:numPr>
          <w:ilvl w:val="0"/>
          <w:numId w:val="0"/>
        </w:numPr>
        <w:ind w:left="420" w:leftChars="0"/>
        <w:jc w:val="center"/>
        <w:rPr>
          <w:rFonts w:hint="eastAsia" w:ascii="宋体" w:hAnsi="宋体" w:eastAsia="宋体" w:cs="宋体"/>
          <w:b w:val="0"/>
          <w:sz w:val="32"/>
          <w:szCs w:val="32"/>
        </w:rPr>
      </w:pPr>
      <w:r>
        <w:rPr>
          <w:rFonts w:hint="eastAsia" w:ascii="宋体" w:hAnsi="宋体" w:eastAsia="宋体" w:cs="宋体"/>
          <w:color w:val="auto"/>
          <w:kern w:val="2"/>
          <w:szCs w:val="36"/>
        </w:rPr>
        <w:t>第一章   招标公告</w:t>
      </w:r>
    </w:p>
    <w:p w14:paraId="45126203">
      <w:pPr>
        <w:pStyle w:val="20"/>
        <w:jc w:val="left"/>
        <w:rPr>
          <w:rFonts w:hint="eastAsia" w:ascii="宋体" w:hAnsi="宋体" w:eastAsia="宋体" w:cs="宋体"/>
          <w:sz w:val="24"/>
          <w:szCs w:val="24"/>
          <w:u w:val="single"/>
          <w:lang w:eastAsia="zh-CN"/>
        </w:rPr>
      </w:pPr>
      <w:r>
        <w:rPr>
          <w:rFonts w:hint="eastAsia" w:ascii="宋体" w:hAnsi="宋体" w:eastAsia="宋体" w:cs="宋体"/>
          <w:sz w:val="24"/>
          <w:szCs w:val="24"/>
        </w:rPr>
        <w:t>根据相关规定，经上级主管部门批准，现就</w:t>
      </w:r>
      <w:r>
        <w:rPr>
          <w:rFonts w:hint="eastAsia" w:ascii="宋体" w:hAnsi="宋体" w:eastAsia="宋体" w:cs="宋体"/>
          <w:sz w:val="24"/>
          <w:szCs w:val="24"/>
          <w:u w:val="single"/>
          <w:lang w:val="en-US" w:eastAsia="zh-CN"/>
        </w:rPr>
        <w:t xml:space="preserve"> </w:t>
      </w:r>
      <w:r>
        <w:rPr>
          <w:rFonts w:hint="eastAsia" w:hAnsi="宋体" w:eastAsia="宋体" w:cs="宋体"/>
          <w:sz w:val="24"/>
          <w:szCs w:val="24"/>
          <w:u w:val="single"/>
          <w:lang w:eastAsia="zh-CN"/>
        </w:rPr>
        <w:t>桐庐县红灯笼乡村家园户外游乐设施采购及安装项目</w:t>
      </w:r>
    </w:p>
    <w:p w14:paraId="47D491D7">
      <w:pPr>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rPr>
        <w:t>采用公开招标（线上电子招投标）的方式进行采购，欢迎符合资格条件的供应商前来投标：</w:t>
      </w:r>
    </w:p>
    <w:p w14:paraId="1B33294C">
      <w:pPr>
        <w:numPr>
          <w:ilvl w:val="0"/>
          <w:numId w:val="4"/>
        </w:num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项目编号</w:t>
      </w:r>
      <w:r>
        <w:rPr>
          <w:rFonts w:hint="eastAsia" w:ascii="宋体" w:hAnsi="宋体" w:eastAsia="宋体" w:cs="宋体"/>
          <w:b/>
          <w:bCs/>
          <w:color w:val="auto"/>
          <w:sz w:val="24"/>
          <w:szCs w:val="24"/>
        </w:rPr>
        <w:t>：</w:t>
      </w:r>
      <w:r>
        <w:rPr>
          <w:rFonts w:hint="eastAsia" w:ascii="宋体" w:hAnsi="宋体" w:eastAsia="宋体" w:cs="宋体"/>
          <w:sz w:val="24"/>
          <w:szCs w:val="24"/>
          <w:lang w:val="en-US" w:eastAsia="zh-CN"/>
        </w:rPr>
        <w:t>HZKYTLCG-2025-03</w:t>
      </w:r>
    </w:p>
    <w:p w14:paraId="6FD3FD5A">
      <w:pPr>
        <w:spacing w:line="360" w:lineRule="auto"/>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rPr>
        <w:t>二、采购组织类型：</w:t>
      </w:r>
      <w:r>
        <w:rPr>
          <w:rFonts w:hint="eastAsia" w:ascii="宋体" w:hAnsi="宋体" w:eastAsia="宋体" w:cs="宋体"/>
          <w:sz w:val="24"/>
          <w:szCs w:val="24"/>
        </w:rPr>
        <w:t>分散采购委托代理</w:t>
      </w:r>
      <w:r>
        <w:rPr>
          <w:rFonts w:hint="eastAsia" w:ascii="宋体" w:hAnsi="宋体" w:eastAsia="宋体" w:cs="宋体"/>
          <w:sz w:val="24"/>
          <w:szCs w:val="24"/>
          <w:lang w:eastAsia="zh-CN"/>
        </w:rPr>
        <w:t>（国企采购）</w:t>
      </w:r>
    </w:p>
    <w:p w14:paraId="046DC027">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三、采购方式：</w:t>
      </w:r>
      <w:r>
        <w:rPr>
          <w:rFonts w:hint="eastAsia" w:ascii="宋体" w:hAnsi="宋体" w:eastAsia="宋体" w:cs="宋体"/>
          <w:sz w:val="24"/>
          <w:szCs w:val="24"/>
        </w:rPr>
        <w:t>公开招标</w:t>
      </w:r>
    </w:p>
    <w:p w14:paraId="7EC90592">
      <w:pPr>
        <w:snapToGrid w:val="0"/>
        <w:spacing w:line="360" w:lineRule="auto"/>
        <w:ind w:left="523" w:leftChars="200" w:hanging="43" w:hangingChars="18"/>
        <w:jc w:val="left"/>
        <w:rPr>
          <w:rFonts w:hint="eastAsia" w:ascii="宋体" w:hAnsi="宋体" w:eastAsia="宋体" w:cs="宋体"/>
          <w:sz w:val="24"/>
          <w:szCs w:val="24"/>
          <w:lang w:eastAsia="zh-CN"/>
        </w:rPr>
      </w:pPr>
      <w:r>
        <w:rPr>
          <w:rFonts w:hint="eastAsia" w:ascii="宋体" w:hAnsi="宋体" w:eastAsia="宋体" w:cs="宋体"/>
          <w:b/>
          <w:bCs/>
          <w:sz w:val="24"/>
          <w:szCs w:val="24"/>
        </w:rPr>
        <w:t>四、公告期限（招标文件公告期限）：</w:t>
      </w:r>
      <w:r>
        <w:rPr>
          <w:rFonts w:hint="eastAsia" w:ascii="宋体" w:hAnsi="宋体" w:eastAsia="宋体" w:cs="宋体"/>
          <w:sz w:val="24"/>
          <w:szCs w:val="24"/>
        </w:rPr>
        <w:t>本公告发布之日起 5 个工作日</w:t>
      </w:r>
    </w:p>
    <w:p w14:paraId="7B1DAE9B">
      <w:pPr>
        <w:snapToGrid w:val="0"/>
        <w:spacing w:line="360" w:lineRule="auto"/>
        <w:ind w:left="523" w:leftChars="200" w:hanging="43" w:hangingChars="18"/>
        <w:jc w:val="left"/>
        <w:rPr>
          <w:rFonts w:hint="eastAsia" w:ascii="宋体" w:hAnsi="宋体" w:eastAsia="宋体" w:cs="宋体"/>
          <w:b/>
          <w:bCs/>
          <w:sz w:val="24"/>
          <w:szCs w:val="24"/>
        </w:rPr>
      </w:pPr>
      <w:r>
        <w:rPr>
          <w:rFonts w:hint="eastAsia" w:ascii="宋体" w:hAnsi="宋体" w:eastAsia="宋体" w:cs="宋体"/>
          <w:b/>
          <w:bCs/>
          <w:sz w:val="24"/>
          <w:szCs w:val="24"/>
        </w:rPr>
        <w:t>五、采购内容：</w:t>
      </w:r>
    </w:p>
    <w:tbl>
      <w:tblPr>
        <w:tblStyle w:val="28"/>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3"/>
        <w:gridCol w:w="1318"/>
        <w:gridCol w:w="2446"/>
        <w:gridCol w:w="1550"/>
      </w:tblGrid>
      <w:tr w14:paraId="45E7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863" w:type="dxa"/>
            <w:tcBorders>
              <w:top w:val="single" w:color="auto" w:sz="4" w:space="0"/>
              <w:left w:val="single" w:color="auto" w:sz="4" w:space="0"/>
              <w:bottom w:val="single" w:color="auto" w:sz="4" w:space="0"/>
              <w:right w:val="single" w:color="auto" w:sz="4" w:space="0"/>
            </w:tcBorders>
            <w:noWrap w:val="0"/>
            <w:vAlign w:val="center"/>
          </w:tcPr>
          <w:p w14:paraId="7941361A">
            <w:pPr>
              <w:spacing w:line="240" w:lineRule="auto"/>
              <w:jc w:val="center"/>
              <w:rPr>
                <w:rFonts w:hint="eastAsia" w:ascii="宋体" w:hAnsi="宋体" w:eastAsia="宋体" w:cs="宋体"/>
                <w:bCs/>
                <w:color w:val="000000"/>
                <w:sz w:val="24"/>
              </w:rPr>
            </w:pPr>
            <w:r>
              <w:rPr>
                <w:rFonts w:hint="eastAsia" w:ascii="宋体" w:hAnsi="宋体" w:eastAsia="宋体" w:cs="宋体"/>
                <w:bCs/>
                <w:color w:val="000000"/>
                <w:sz w:val="24"/>
              </w:rPr>
              <w:t>采购内容</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1F655AD">
            <w:pPr>
              <w:spacing w:line="240" w:lineRule="auto"/>
              <w:ind w:left="0" w:leftChars="0" w:firstLine="0" w:firstLineChars="0"/>
              <w:jc w:val="center"/>
              <w:rPr>
                <w:rFonts w:hint="eastAsia" w:ascii="宋体" w:hAnsi="宋体" w:eastAsia="宋体" w:cs="宋体"/>
                <w:bCs/>
                <w:color w:val="000000"/>
                <w:sz w:val="24"/>
              </w:rPr>
            </w:pPr>
            <w:r>
              <w:rPr>
                <w:rFonts w:hint="eastAsia" w:ascii="宋体" w:hAnsi="宋体" w:eastAsia="宋体" w:cs="宋体"/>
                <w:bCs/>
                <w:color w:val="000000"/>
                <w:sz w:val="24"/>
              </w:rPr>
              <w:t>数量</w:t>
            </w:r>
          </w:p>
        </w:tc>
        <w:tc>
          <w:tcPr>
            <w:tcW w:w="2446" w:type="dxa"/>
            <w:tcBorders>
              <w:top w:val="single" w:color="auto" w:sz="4" w:space="0"/>
              <w:left w:val="single" w:color="auto" w:sz="4" w:space="0"/>
              <w:bottom w:val="single" w:color="auto" w:sz="4" w:space="0"/>
              <w:right w:val="single" w:color="auto" w:sz="4" w:space="0"/>
            </w:tcBorders>
            <w:noWrap w:val="0"/>
            <w:vAlign w:val="center"/>
          </w:tcPr>
          <w:p w14:paraId="4D180E1D">
            <w:pPr>
              <w:spacing w:line="240" w:lineRule="auto"/>
              <w:ind w:left="0" w:leftChars="0" w:firstLine="0" w:firstLineChars="0"/>
              <w:jc w:val="center"/>
              <w:rPr>
                <w:rFonts w:hint="eastAsia" w:ascii="宋体" w:hAnsi="宋体" w:eastAsia="宋体" w:cs="宋体"/>
                <w:bCs/>
                <w:color w:val="000000"/>
                <w:sz w:val="24"/>
              </w:rPr>
            </w:pPr>
            <w:r>
              <w:rPr>
                <w:rFonts w:hint="eastAsia" w:ascii="宋体" w:hAnsi="宋体" w:eastAsia="宋体" w:cs="宋体"/>
                <w:bCs/>
                <w:color w:val="000000"/>
                <w:sz w:val="24"/>
                <w:lang w:eastAsia="zh-CN"/>
              </w:rPr>
              <w:t>预算价（</w:t>
            </w:r>
            <w:r>
              <w:rPr>
                <w:rFonts w:hint="eastAsia" w:ascii="宋体" w:hAnsi="宋体" w:eastAsia="宋体" w:cs="宋体"/>
                <w:bCs/>
                <w:color w:val="000000"/>
                <w:sz w:val="24"/>
              </w:rPr>
              <w:t>最高限价</w:t>
            </w:r>
            <w:r>
              <w:rPr>
                <w:rFonts w:hint="eastAsia" w:ascii="宋体" w:hAnsi="宋体" w:eastAsia="宋体" w:cs="宋体"/>
                <w:bCs/>
                <w:color w:val="000000"/>
                <w:sz w:val="24"/>
                <w:lang w:eastAsia="zh-CN"/>
              </w:rPr>
              <w:t>）</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3C9C851B">
            <w:pPr>
              <w:spacing w:line="240" w:lineRule="auto"/>
              <w:jc w:val="center"/>
              <w:rPr>
                <w:rFonts w:hint="eastAsia" w:ascii="宋体" w:hAnsi="宋体" w:eastAsia="宋体" w:cs="宋体"/>
                <w:bCs/>
                <w:color w:val="000000"/>
                <w:sz w:val="24"/>
              </w:rPr>
            </w:pPr>
            <w:r>
              <w:rPr>
                <w:rFonts w:hint="eastAsia" w:ascii="宋体" w:hAnsi="宋体" w:eastAsia="宋体" w:cs="宋体"/>
                <w:bCs/>
                <w:color w:val="000000"/>
                <w:sz w:val="24"/>
              </w:rPr>
              <w:t>备 注</w:t>
            </w:r>
          </w:p>
        </w:tc>
      </w:tr>
      <w:tr w14:paraId="7AB0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3863" w:type="dxa"/>
            <w:tcBorders>
              <w:top w:val="single" w:color="auto" w:sz="4" w:space="0"/>
              <w:left w:val="single" w:color="auto" w:sz="4" w:space="0"/>
              <w:bottom w:val="single" w:color="auto" w:sz="4" w:space="0"/>
              <w:right w:val="single" w:color="auto" w:sz="4" w:space="0"/>
            </w:tcBorders>
            <w:noWrap w:val="0"/>
            <w:vAlign w:val="center"/>
          </w:tcPr>
          <w:p w14:paraId="3438B9BB">
            <w:pPr>
              <w:spacing w:line="240" w:lineRule="auto"/>
              <w:jc w:val="center"/>
              <w:rPr>
                <w:rFonts w:hint="eastAsia" w:ascii="宋体" w:hAnsi="宋体" w:eastAsia="宋体" w:cs="宋体"/>
                <w:sz w:val="24"/>
                <w:lang w:val="zh-CN" w:eastAsia="zh-CN"/>
              </w:rPr>
            </w:pPr>
            <w:r>
              <w:rPr>
                <w:rFonts w:hint="eastAsia" w:ascii="宋体" w:hAnsi="宋体" w:eastAsia="宋体" w:cs="宋体"/>
                <w:sz w:val="24"/>
                <w:lang w:val="en-US" w:eastAsia="zh-CN"/>
              </w:rPr>
              <w:t xml:space="preserve"> </w:t>
            </w:r>
            <w:r>
              <w:rPr>
                <w:rFonts w:hint="eastAsia" w:ascii="宋体" w:hAnsi="宋体" w:eastAsia="宋体" w:cs="宋体"/>
                <w:sz w:val="24"/>
                <w:lang w:eastAsia="zh-CN"/>
              </w:rPr>
              <w:t>桐庐县红灯笼乡村家园户外游乐设施采购及安装项目</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6B9CF13">
            <w:pPr>
              <w:spacing w:line="240" w:lineRule="auto"/>
              <w:ind w:left="0" w:leftChars="0" w:firstLine="0" w:firstLineChars="0"/>
              <w:jc w:val="center"/>
              <w:rPr>
                <w:rFonts w:hint="eastAsia" w:ascii="宋体" w:hAnsi="宋体" w:eastAsia="宋体" w:cs="宋体"/>
                <w:bCs/>
                <w:color w:val="000000"/>
                <w:sz w:val="24"/>
                <w:lang w:eastAsia="zh-CN"/>
              </w:rPr>
            </w:pPr>
            <w:r>
              <w:rPr>
                <w:rFonts w:hint="eastAsia" w:ascii="宋体" w:hAnsi="宋体" w:eastAsia="宋体" w:cs="宋体"/>
                <w:bCs/>
                <w:color w:val="000000"/>
                <w:sz w:val="24"/>
              </w:rPr>
              <w:t>1</w:t>
            </w:r>
            <w:r>
              <w:rPr>
                <w:rFonts w:hint="eastAsia" w:ascii="宋体" w:hAnsi="宋体" w:eastAsia="宋体" w:cs="宋体"/>
                <w:bCs/>
                <w:color w:val="000000"/>
                <w:sz w:val="24"/>
                <w:lang w:eastAsia="zh-CN"/>
              </w:rPr>
              <w:t>批</w:t>
            </w:r>
          </w:p>
        </w:tc>
        <w:tc>
          <w:tcPr>
            <w:tcW w:w="2446" w:type="dxa"/>
            <w:tcBorders>
              <w:top w:val="single" w:color="auto" w:sz="4" w:space="0"/>
              <w:left w:val="single" w:color="auto" w:sz="4" w:space="0"/>
              <w:bottom w:val="single" w:color="auto" w:sz="4" w:space="0"/>
              <w:right w:val="single" w:color="auto" w:sz="4" w:space="0"/>
            </w:tcBorders>
            <w:noWrap w:val="0"/>
            <w:vAlign w:val="center"/>
          </w:tcPr>
          <w:p w14:paraId="44D41EC6">
            <w:pPr>
              <w:spacing w:line="240" w:lineRule="auto"/>
              <w:ind w:left="0" w:leftChars="0" w:firstLine="0" w:firstLineChars="0"/>
              <w:jc w:val="center"/>
              <w:rPr>
                <w:rFonts w:hint="eastAsia" w:ascii="宋体" w:hAnsi="宋体" w:eastAsia="宋体" w:cs="宋体"/>
                <w:bCs/>
                <w:color w:val="000000"/>
                <w:sz w:val="24"/>
                <w:lang w:val="en-US" w:eastAsia="zh-CN"/>
              </w:rPr>
            </w:pPr>
            <w:r>
              <w:rPr>
                <w:rFonts w:hint="eastAsia" w:ascii="宋体" w:hAnsi="宋体" w:eastAsia="宋体" w:cs="宋体"/>
                <w:bCs/>
                <w:color w:val="000000"/>
                <w:sz w:val="24"/>
                <w:highlight w:val="none"/>
                <w:lang w:val="en-US" w:eastAsia="zh-CN"/>
              </w:rPr>
              <w:t>182万元</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15C034A6">
            <w:pPr>
              <w:spacing w:line="24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具体详见</w:t>
            </w:r>
          </w:p>
          <w:p w14:paraId="7193BF85">
            <w:pPr>
              <w:spacing w:line="240" w:lineRule="auto"/>
              <w:ind w:left="0" w:leftChars="0" w:firstLine="0" w:firstLineChars="0"/>
              <w:jc w:val="center"/>
              <w:rPr>
                <w:rFonts w:hint="eastAsia" w:ascii="宋体" w:hAnsi="宋体" w:eastAsia="宋体" w:cs="宋体"/>
                <w:bCs/>
                <w:color w:val="000000"/>
                <w:sz w:val="24"/>
              </w:rPr>
            </w:pPr>
            <w:r>
              <w:rPr>
                <w:rFonts w:hint="eastAsia" w:ascii="宋体" w:hAnsi="宋体" w:eastAsia="宋体" w:cs="宋体"/>
                <w:sz w:val="24"/>
              </w:rPr>
              <w:t>采购需求</w:t>
            </w:r>
          </w:p>
        </w:tc>
      </w:tr>
    </w:tbl>
    <w:p w14:paraId="6F166796">
      <w:pPr>
        <w:spacing w:line="360" w:lineRule="auto"/>
        <w:ind w:firstLine="482" w:firstLineChars="200"/>
        <w:rPr>
          <w:rFonts w:hint="eastAsia" w:ascii="宋体" w:hAnsi="宋体" w:eastAsia="宋体" w:cs="宋体"/>
          <w:lang w:eastAsia="zh-CN"/>
        </w:rPr>
      </w:pPr>
      <w:r>
        <w:rPr>
          <w:rFonts w:hint="eastAsia" w:ascii="宋体" w:hAnsi="宋体" w:eastAsia="宋体" w:cs="宋体"/>
          <w:b/>
          <w:bCs/>
          <w:color w:val="000000"/>
          <w:sz w:val="24"/>
          <w:szCs w:val="24"/>
        </w:rPr>
        <w:t>六、</w:t>
      </w:r>
      <w:r>
        <w:rPr>
          <w:rFonts w:hint="eastAsia" w:ascii="宋体" w:hAnsi="宋体" w:eastAsia="宋体" w:cs="宋体"/>
          <w:b/>
          <w:bCs/>
          <w:sz w:val="24"/>
          <w:szCs w:val="24"/>
        </w:rPr>
        <w:t>合格供应商的资格要求</w:t>
      </w:r>
      <w:r>
        <w:rPr>
          <w:rFonts w:hint="eastAsia" w:ascii="宋体" w:hAnsi="宋体" w:eastAsia="宋体" w:cs="宋体"/>
          <w:b/>
          <w:bCs/>
          <w:sz w:val="24"/>
          <w:szCs w:val="24"/>
          <w:lang w:eastAsia="zh-CN"/>
        </w:rPr>
        <w:t>：</w:t>
      </w:r>
    </w:p>
    <w:p w14:paraId="799604A6">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sz w:val="24"/>
        </w:rPr>
      </w:pPr>
      <w:r>
        <w:rPr>
          <w:rFonts w:hint="eastAsia" w:ascii="宋体" w:hAnsi="宋体" w:eastAsia="宋体" w:cs="宋体"/>
          <w:sz w:val="24"/>
        </w:rPr>
        <w:t>1．基本要求：</w:t>
      </w:r>
    </w:p>
    <w:p w14:paraId="3F1E60F6">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具有独立承担民事责任的能力；</w:t>
      </w:r>
    </w:p>
    <w:p w14:paraId="48C836ED">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具有良好的商业信誉和健全的财务会计制度；</w:t>
      </w:r>
    </w:p>
    <w:p w14:paraId="01E5E4E0">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具有履行合同所必需的设备和专业技术能力；</w:t>
      </w:r>
    </w:p>
    <w:p w14:paraId="742E0558">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有依法缴纳税收和社会保障资金的良好记录；</w:t>
      </w:r>
    </w:p>
    <w:p w14:paraId="2F06D138">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参加采购活动前三年内，在经营活动中没有重大违法记录；</w:t>
      </w:r>
    </w:p>
    <w:p w14:paraId="60A7DB8F">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未被列入失信被执行人名单、重大税收违法案件当事人名单、政府采购严重违法失信行为记录名单，信用信息以投标截止日信用中国网站（www.creditchina.gov.cn）、中国政府采购网（www.ccgp.gov.cn）公布为准；</w:t>
      </w:r>
    </w:p>
    <w:p w14:paraId="42CE4FB2">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b/>
          <w:bCs/>
          <w:color w:val="000000"/>
          <w:sz w:val="24"/>
          <w:szCs w:val="24"/>
        </w:rPr>
      </w:pPr>
      <w:r>
        <w:rPr>
          <w:rFonts w:hint="eastAsia" w:ascii="宋体" w:hAnsi="宋体" w:eastAsia="宋体" w:cs="宋体"/>
          <w:sz w:val="24"/>
          <w:lang w:val="en-US" w:eastAsia="zh-CN"/>
        </w:rPr>
        <w:t>注：</w:t>
      </w:r>
      <w:r>
        <w:rPr>
          <w:rFonts w:hint="eastAsia" w:ascii="宋体" w:hAnsi="宋体" w:eastAsia="宋体" w:cs="宋体"/>
          <w:sz w:val="24"/>
        </w:rPr>
        <w:t>本项目</w:t>
      </w:r>
      <w:r>
        <w:rPr>
          <w:rFonts w:hint="eastAsia" w:ascii="宋体" w:hAnsi="宋体" w:eastAsia="宋体" w:cs="宋体"/>
          <w:sz w:val="24"/>
          <w:u w:val="single"/>
          <w:lang w:val="en-US" w:eastAsia="zh-CN"/>
        </w:rPr>
        <w:t>不</w:t>
      </w:r>
      <w:r>
        <w:rPr>
          <w:rFonts w:hint="eastAsia" w:ascii="宋体" w:hAnsi="宋体" w:eastAsia="宋体" w:cs="宋体"/>
          <w:sz w:val="24"/>
          <w:u w:val="single"/>
        </w:rPr>
        <w:t>接受</w:t>
      </w:r>
      <w:r>
        <w:rPr>
          <w:rFonts w:hint="eastAsia" w:ascii="宋体" w:hAnsi="宋体" w:eastAsia="宋体" w:cs="宋体"/>
          <w:sz w:val="24"/>
        </w:rPr>
        <w:t>联合体投标。</w:t>
      </w:r>
    </w:p>
    <w:p w14:paraId="59E1F509">
      <w:pPr>
        <w:spacing w:line="360" w:lineRule="auto"/>
        <w:ind w:firstLine="482"/>
        <w:rPr>
          <w:rFonts w:hint="eastAsia" w:ascii="宋体" w:hAnsi="宋体" w:eastAsia="宋体" w:cs="宋体"/>
          <w:color w:val="000000"/>
          <w:sz w:val="24"/>
          <w:szCs w:val="24"/>
        </w:rPr>
      </w:pPr>
      <w:r>
        <w:rPr>
          <w:rFonts w:hint="eastAsia" w:ascii="宋体" w:hAnsi="宋体" w:eastAsia="宋体" w:cs="宋体"/>
          <w:b/>
          <w:bCs/>
          <w:color w:val="000000"/>
          <w:sz w:val="24"/>
          <w:szCs w:val="24"/>
        </w:rPr>
        <w:t>七、招标文件的获取</w:t>
      </w:r>
      <w:r>
        <w:rPr>
          <w:rFonts w:hint="eastAsia" w:ascii="宋体" w:hAnsi="宋体" w:eastAsia="宋体" w:cs="宋体"/>
          <w:color w:val="000000"/>
          <w:sz w:val="24"/>
          <w:szCs w:val="24"/>
        </w:rPr>
        <w:t>：</w:t>
      </w:r>
    </w:p>
    <w:p w14:paraId="5A245A46">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1、本项目招标文件实行“</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”在线获取，不提供招标文件纸质版。供应商获取招标文件前应先完成“</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”的账号注册；</w:t>
      </w:r>
    </w:p>
    <w:p w14:paraId="36C47EA1">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2、地点：乐采云平台www.lecaiyun.com在线申请获取采购文件；</w:t>
      </w:r>
    </w:p>
    <w:p w14:paraId="763A6FB4">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3、方式：潜在供应商登陆</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在线申请获取招标文件（进入“项目采购”应用，在获取招标文件菜单中选择项目，申请获取招标文件，本项目招标文件不收取工本费；仅需浏览招标文件的供应商可点击“游客，浏览招标文件”直接下载招标文件浏览）；</w:t>
      </w:r>
    </w:p>
    <w:p w14:paraId="0912E910">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4、供应商获取招标文件时须提交的文件资料：无；</w:t>
      </w:r>
    </w:p>
    <w:p w14:paraId="64738F12">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5、提示：招标公告附件内的招标文件（或采购需求）仅供阅览使用，供应商只有在“</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”完成获取招标文件申请并下载了招标文件后才视作依法获取招标文件（法律法规所指的供应商获取招标文件时间以供应商完成获取招标文件申请后下载招标文件的时间为准）。</w:t>
      </w:r>
    </w:p>
    <w:p w14:paraId="67D22558">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注：请供应商按上述要求获取招标文件，如未在“</w:t>
      </w:r>
      <w:r>
        <w:rPr>
          <w:rFonts w:hint="eastAsia" w:ascii="宋体" w:hAnsi="宋体" w:eastAsia="宋体" w:cs="宋体"/>
          <w:b w:val="0"/>
          <w:bCs w:val="0"/>
          <w:sz w:val="24"/>
          <w:szCs w:val="24"/>
          <w:lang w:eastAsia="zh-CN"/>
        </w:rPr>
        <w:t>乐</w:t>
      </w:r>
      <w:r>
        <w:rPr>
          <w:rFonts w:hint="eastAsia" w:ascii="宋体" w:hAnsi="宋体" w:eastAsia="宋体" w:cs="宋体"/>
          <w:b w:val="0"/>
          <w:bCs w:val="0"/>
          <w:sz w:val="24"/>
          <w:szCs w:val="24"/>
        </w:rPr>
        <w:t>采云”系统内完成相关流程，引起的投标无效责任自负。</w:t>
      </w:r>
    </w:p>
    <w:p w14:paraId="2A512B82">
      <w:pPr>
        <w:spacing w:line="480" w:lineRule="exact"/>
        <w:ind w:firstLine="482" w:firstLineChars="200"/>
        <w:rPr>
          <w:rFonts w:hint="eastAsia" w:ascii="宋体" w:hAnsi="宋体" w:eastAsia="宋体" w:cs="宋体"/>
          <w:b/>
          <w:bCs/>
          <w:color w:val="FF0000"/>
          <w:sz w:val="24"/>
        </w:rPr>
      </w:pPr>
      <w:r>
        <w:rPr>
          <w:rFonts w:hint="eastAsia" w:ascii="宋体" w:hAnsi="宋体" w:eastAsia="宋体" w:cs="宋体"/>
          <w:b/>
          <w:bCs/>
          <w:color w:val="000000"/>
          <w:sz w:val="24"/>
        </w:rPr>
        <w:t>八、投标截止时间和地点：</w:t>
      </w:r>
      <w:r>
        <w:rPr>
          <w:rFonts w:hint="eastAsia" w:ascii="宋体" w:hAnsi="宋体" w:eastAsia="宋体" w:cs="宋体"/>
          <w:b/>
          <w:bCs/>
          <w:color w:val="FF0000"/>
          <w:sz w:val="24"/>
          <w:lang w:val="en-US" w:eastAsia="zh-CN"/>
        </w:rPr>
        <w:t>2025</w:t>
      </w:r>
      <w:r>
        <w:rPr>
          <w:rFonts w:hint="eastAsia" w:ascii="宋体" w:hAnsi="宋体" w:eastAsia="宋体" w:cs="宋体"/>
          <w:b/>
          <w:bCs/>
          <w:color w:val="FF0000"/>
          <w:sz w:val="24"/>
          <w:lang w:eastAsia="zh-CN"/>
        </w:rPr>
        <w:t>年</w:t>
      </w:r>
      <w:r>
        <w:rPr>
          <w:rFonts w:hint="eastAsia" w:ascii="宋体" w:hAnsi="宋体" w:eastAsia="宋体" w:cs="宋体"/>
          <w:b/>
          <w:bCs/>
          <w:color w:val="FF0000"/>
          <w:sz w:val="24"/>
          <w:lang w:val="en-US" w:eastAsia="zh-CN"/>
        </w:rPr>
        <w:t>02</w:t>
      </w:r>
      <w:r>
        <w:rPr>
          <w:rFonts w:hint="eastAsia" w:ascii="宋体" w:hAnsi="宋体" w:eastAsia="宋体" w:cs="宋体"/>
          <w:b/>
          <w:bCs/>
          <w:color w:val="FF0000"/>
          <w:sz w:val="24"/>
          <w:lang w:eastAsia="zh-CN"/>
        </w:rPr>
        <w:t>月</w:t>
      </w:r>
      <w:r>
        <w:rPr>
          <w:rFonts w:hint="eastAsia" w:ascii="宋体" w:hAnsi="宋体" w:eastAsia="宋体" w:cs="宋体"/>
          <w:b/>
          <w:bCs/>
          <w:color w:val="FF0000"/>
          <w:sz w:val="24"/>
          <w:lang w:val="en-US" w:eastAsia="zh-CN"/>
        </w:rPr>
        <w:t>10</w:t>
      </w:r>
      <w:r>
        <w:rPr>
          <w:rFonts w:hint="eastAsia" w:ascii="宋体" w:hAnsi="宋体" w:eastAsia="宋体" w:cs="宋体"/>
          <w:b/>
          <w:bCs/>
          <w:color w:val="FF0000"/>
          <w:sz w:val="24"/>
          <w:lang w:eastAsia="zh-CN"/>
        </w:rPr>
        <w:t xml:space="preserve">日 </w:t>
      </w:r>
      <w:r>
        <w:rPr>
          <w:rFonts w:hint="eastAsia" w:ascii="宋体" w:hAnsi="宋体" w:eastAsia="宋体" w:cs="宋体"/>
          <w:b/>
          <w:bCs/>
          <w:color w:val="FF0000"/>
          <w:sz w:val="24"/>
          <w:lang w:val="en-US" w:eastAsia="zh-CN"/>
        </w:rPr>
        <w:t>10</w:t>
      </w:r>
      <w:r>
        <w:rPr>
          <w:rFonts w:hint="eastAsia" w:ascii="宋体" w:hAnsi="宋体" w:eastAsia="宋体" w:cs="宋体"/>
          <w:b/>
          <w:bCs/>
          <w:color w:val="FF0000"/>
          <w:sz w:val="24"/>
          <w:lang w:eastAsia="zh-CN"/>
        </w:rPr>
        <w:t>时</w:t>
      </w:r>
      <w:r>
        <w:rPr>
          <w:rFonts w:hint="eastAsia" w:ascii="宋体" w:hAnsi="宋体" w:eastAsia="宋体" w:cs="宋体"/>
          <w:b/>
          <w:bCs/>
          <w:color w:val="FF0000"/>
          <w:sz w:val="24"/>
          <w:lang w:val="en-US" w:eastAsia="zh-CN"/>
        </w:rPr>
        <w:t>00</w:t>
      </w:r>
      <w:r>
        <w:rPr>
          <w:rFonts w:hint="eastAsia" w:ascii="宋体" w:hAnsi="宋体" w:eastAsia="宋体" w:cs="宋体"/>
          <w:b/>
          <w:bCs/>
          <w:color w:val="FF0000"/>
          <w:sz w:val="24"/>
          <w:lang w:eastAsia="zh-CN"/>
        </w:rPr>
        <w:t>分</w:t>
      </w:r>
      <w:r>
        <w:rPr>
          <w:rFonts w:hint="eastAsia" w:ascii="宋体" w:hAnsi="宋体" w:eastAsia="宋体" w:cs="宋体"/>
          <w:b/>
          <w:bCs/>
          <w:color w:val="FF0000"/>
          <w:sz w:val="24"/>
        </w:rPr>
        <w:t>。</w:t>
      </w:r>
    </w:p>
    <w:p w14:paraId="6BB324AC">
      <w:pPr>
        <w:spacing w:line="480" w:lineRule="exact"/>
        <w:ind w:firstLine="472" w:firstLineChars="196"/>
        <w:rPr>
          <w:rFonts w:hint="eastAsia" w:ascii="宋体" w:hAnsi="宋体" w:eastAsia="宋体" w:cs="宋体"/>
        </w:rPr>
      </w:pPr>
      <w:r>
        <w:rPr>
          <w:rFonts w:hint="eastAsia" w:ascii="宋体" w:hAnsi="宋体" w:eastAsia="宋体" w:cs="宋体"/>
          <w:b/>
          <w:bCs/>
          <w:color w:val="000000"/>
          <w:sz w:val="24"/>
        </w:rPr>
        <w:t>九、投标地点：</w:t>
      </w:r>
      <w:r>
        <w:rPr>
          <w:rFonts w:hint="eastAsia" w:ascii="宋体" w:hAnsi="宋体" w:eastAsia="宋体" w:cs="宋体"/>
          <w:color w:val="FF0000"/>
          <w:sz w:val="24"/>
          <w:u w:val="single"/>
          <w:lang w:eastAsia="zh-CN"/>
        </w:rPr>
        <w:t>乐采云</w:t>
      </w:r>
      <w:r>
        <w:rPr>
          <w:rFonts w:hint="eastAsia" w:ascii="宋体" w:hAnsi="宋体" w:eastAsia="宋体" w:cs="宋体"/>
          <w:color w:val="FF0000"/>
          <w:sz w:val="24"/>
          <w:u w:val="single"/>
        </w:rPr>
        <w:t>在线投标</w:t>
      </w:r>
      <w:r>
        <w:rPr>
          <w:rFonts w:hint="eastAsia" w:ascii="宋体" w:hAnsi="宋体" w:eastAsia="宋体" w:cs="宋体"/>
          <w:color w:val="000000"/>
          <w:sz w:val="24"/>
        </w:rPr>
        <w:t>。</w:t>
      </w:r>
    </w:p>
    <w:p w14:paraId="2007A31F">
      <w:pPr>
        <w:snapToGrid w:val="0"/>
        <w:spacing w:line="480" w:lineRule="exact"/>
        <w:ind w:firstLine="479" w:firstLineChars="199"/>
        <w:rPr>
          <w:rFonts w:hint="eastAsia" w:ascii="宋体" w:hAnsi="宋体" w:eastAsia="宋体" w:cs="宋体"/>
          <w:b/>
          <w:color w:val="000000"/>
          <w:sz w:val="24"/>
        </w:rPr>
      </w:pPr>
      <w:r>
        <w:rPr>
          <w:rFonts w:hint="eastAsia" w:ascii="宋体" w:hAnsi="宋体" w:eastAsia="宋体" w:cs="宋体"/>
          <w:b/>
          <w:color w:val="000000"/>
          <w:sz w:val="24"/>
        </w:rPr>
        <w:t>十、开标时间及地点：</w:t>
      </w:r>
    </w:p>
    <w:p w14:paraId="38C3C03B">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rPr>
        <w:t>本次招标将</w:t>
      </w:r>
      <w:r>
        <w:rPr>
          <w:rFonts w:hint="eastAsia" w:ascii="宋体" w:hAnsi="宋体" w:eastAsia="宋体" w:cs="宋体"/>
          <w:b/>
          <w:bCs/>
          <w:color w:val="FF0000"/>
          <w:sz w:val="24"/>
          <w:lang w:val="en-US" w:eastAsia="zh-CN"/>
        </w:rPr>
        <w:t>2025</w:t>
      </w:r>
      <w:r>
        <w:rPr>
          <w:rFonts w:hint="eastAsia" w:ascii="宋体" w:hAnsi="宋体" w:eastAsia="宋体" w:cs="宋体"/>
          <w:b/>
          <w:bCs/>
          <w:color w:val="FF0000"/>
          <w:sz w:val="24"/>
          <w:lang w:eastAsia="zh-CN"/>
        </w:rPr>
        <w:t>年</w:t>
      </w:r>
      <w:r>
        <w:rPr>
          <w:rFonts w:hint="eastAsia" w:ascii="宋体" w:hAnsi="宋体" w:eastAsia="宋体" w:cs="宋体"/>
          <w:b/>
          <w:bCs/>
          <w:color w:val="FF0000"/>
          <w:sz w:val="24"/>
          <w:lang w:val="en-US" w:eastAsia="zh-CN"/>
        </w:rPr>
        <w:t>02</w:t>
      </w:r>
      <w:r>
        <w:rPr>
          <w:rFonts w:hint="eastAsia" w:ascii="宋体" w:hAnsi="宋体" w:eastAsia="宋体" w:cs="宋体"/>
          <w:b/>
          <w:bCs/>
          <w:color w:val="FF0000"/>
          <w:sz w:val="24"/>
          <w:lang w:eastAsia="zh-CN"/>
        </w:rPr>
        <w:t>月</w:t>
      </w:r>
      <w:r>
        <w:rPr>
          <w:rFonts w:hint="eastAsia" w:ascii="宋体" w:hAnsi="宋体" w:eastAsia="宋体" w:cs="宋体"/>
          <w:b/>
          <w:bCs/>
          <w:color w:val="FF0000"/>
          <w:sz w:val="24"/>
          <w:lang w:val="en-US" w:eastAsia="zh-CN"/>
        </w:rPr>
        <w:t>10</w:t>
      </w:r>
      <w:r>
        <w:rPr>
          <w:rFonts w:hint="eastAsia" w:ascii="宋体" w:hAnsi="宋体" w:eastAsia="宋体" w:cs="宋体"/>
          <w:b/>
          <w:bCs/>
          <w:color w:val="FF0000"/>
          <w:sz w:val="24"/>
          <w:lang w:eastAsia="zh-CN"/>
        </w:rPr>
        <w:t xml:space="preserve">日 </w:t>
      </w:r>
      <w:r>
        <w:rPr>
          <w:rFonts w:hint="eastAsia" w:ascii="宋体" w:hAnsi="宋体" w:eastAsia="宋体" w:cs="宋体"/>
          <w:b/>
          <w:bCs/>
          <w:color w:val="FF0000"/>
          <w:sz w:val="24"/>
          <w:lang w:val="en-US" w:eastAsia="zh-CN"/>
        </w:rPr>
        <w:t>10</w:t>
      </w:r>
      <w:r>
        <w:rPr>
          <w:rFonts w:hint="eastAsia" w:ascii="宋体" w:hAnsi="宋体" w:eastAsia="宋体" w:cs="宋体"/>
          <w:b/>
          <w:bCs/>
          <w:color w:val="FF0000"/>
          <w:sz w:val="24"/>
          <w:lang w:eastAsia="zh-CN"/>
        </w:rPr>
        <w:t>时</w:t>
      </w:r>
      <w:r>
        <w:rPr>
          <w:rFonts w:hint="eastAsia" w:ascii="宋体" w:hAnsi="宋体" w:eastAsia="宋体" w:cs="宋体"/>
          <w:b/>
          <w:bCs/>
          <w:color w:val="FF0000"/>
          <w:sz w:val="24"/>
          <w:lang w:val="en-US" w:eastAsia="zh-CN"/>
        </w:rPr>
        <w:t>00</w:t>
      </w:r>
      <w:r>
        <w:rPr>
          <w:rFonts w:hint="eastAsia" w:ascii="宋体" w:hAnsi="宋体" w:eastAsia="宋体" w:cs="宋体"/>
          <w:b/>
          <w:bCs/>
          <w:color w:val="FF0000"/>
          <w:sz w:val="24"/>
          <w:lang w:eastAsia="zh-CN"/>
        </w:rPr>
        <w:t>分</w:t>
      </w:r>
      <w:r>
        <w:rPr>
          <w:rFonts w:hint="eastAsia" w:ascii="宋体" w:hAnsi="宋体" w:eastAsia="宋体" w:cs="宋体"/>
          <w:sz w:val="24"/>
        </w:rPr>
        <w:t>在</w:t>
      </w:r>
      <w:r>
        <w:rPr>
          <w:rFonts w:hint="eastAsia" w:ascii="宋体" w:hAnsi="宋体" w:eastAsia="宋体" w:cs="宋体"/>
          <w:color w:val="FF0000"/>
          <w:sz w:val="24"/>
          <w:u w:val="single"/>
          <w:lang w:eastAsia="zh-CN"/>
        </w:rPr>
        <w:t>乐采云</w:t>
      </w:r>
      <w:r>
        <w:rPr>
          <w:rFonts w:hint="eastAsia" w:ascii="宋体" w:hAnsi="宋体" w:eastAsia="宋体" w:cs="宋体"/>
          <w:color w:val="FF0000"/>
          <w:sz w:val="24"/>
          <w:u w:val="single"/>
        </w:rPr>
        <w:t>在线</w:t>
      </w:r>
      <w:r>
        <w:rPr>
          <w:rFonts w:hint="eastAsia" w:ascii="宋体" w:hAnsi="宋体" w:eastAsia="宋体" w:cs="宋体"/>
          <w:color w:val="000000"/>
          <w:sz w:val="24"/>
        </w:rPr>
        <w:t>开标</w:t>
      </w:r>
      <w:r>
        <w:rPr>
          <w:rFonts w:hint="eastAsia" w:ascii="宋体" w:hAnsi="宋体" w:eastAsia="宋体" w:cs="宋体"/>
          <w:sz w:val="24"/>
        </w:rPr>
        <w:t>。</w:t>
      </w:r>
    </w:p>
    <w:p w14:paraId="1B543DEE">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十一、投标保证金：</w:t>
      </w:r>
      <w:r>
        <w:rPr>
          <w:rFonts w:hint="eastAsia" w:ascii="宋体" w:hAnsi="宋体" w:eastAsia="宋体" w:cs="宋体"/>
          <w:bCs/>
          <w:color w:val="000000"/>
          <w:sz w:val="24"/>
          <w:szCs w:val="24"/>
        </w:rPr>
        <w:t>无</w:t>
      </w:r>
    </w:p>
    <w:p w14:paraId="30A6EA6F">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十二、在线投标响应（电子投标）说明</w:t>
      </w:r>
    </w:p>
    <w:p w14:paraId="11B6BB2B">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rPr>
        <w:t>1、本项目通过“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w:t>
      </w:r>
      <w:r>
        <w:rPr>
          <w:rFonts w:hint="eastAsia" w:ascii="宋体" w:hAnsi="宋体" w:eastAsia="宋体" w:cs="宋体"/>
          <w:b/>
          <w:bCs/>
          <w:sz w:val="24"/>
          <w:szCs w:val="24"/>
          <w:lang w:eastAsia="zh-CN"/>
        </w:rPr>
        <w:t>www.lecaiyun.com</w:t>
      </w:r>
      <w:r>
        <w:rPr>
          <w:rFonts w:hint="eastAsia" w:ascii="宋体" w:hAnsi="宋体" w:eastAsia="宋体" w:cs="宋体"/>
          <w:b/>
          <w:bCs/>
          <w:sz w:val="24"/>
          <w:szCs w:val="24"/>
        </w:rPr>
        <w:t>）”实行在线投标响应（电子投标），供应商应先安装“</w:t>
      </w:r>
      <w:r>
        <w:rPr>
          <w:rFonts w:hint="eastAsia" w:ascii="宋体" w:hAnsi="宋体" w:eastAsia="宋体" w:cs="宋体"/>
          <w:b/>
          <w:bCs/>
          <w:sz w:val="24"/>
          <w:szCs w:val="24"/>
          <w:lang w:eastAsia="zh-CN"/>
        </w:rPr>
        <w:t>乐采云电子交易客户端</w:t>
      </w:r>
      <w:r>
        <w:rPr>
          <w:rFonts w:hint="eastAsia" w:ascii="宋体" w:hAnsi="宋体" w:eastAsia="宋体" w:cs="宋体"/>
          <w:b/>
          <w:bCs/>
          <w:sz w:val="24"/>
          <w:szCs w:val="24"/>
        </w:rPr>
        <w:t>”，并按照本招标文件和“</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”的要求，通过“</w:t>
      </w:r>
      <w:r>
        <w:rPr>
          <w:rFonts w:hint="eastAsia" w:ascii="宋体" w:hAnsi="宋体" w:eastAsia="宋体" w:cs="宋体"/>
          <w:b/>
          <w:bCs/>
          <w:sz w:val="24"/>
          <w:szCs w:val="24"/>
          <w:lang w:eastAsia="zh-CN"/>
        </w:rPr>
        <w:t>乐采云电子交易客户端</w:t>
      </w:r>
      <w:r>
        <w:rPr>
          <w:rFonts w:hint="eastAsia" w:ascii="宋体" w:hAnsi="宋体" w:eastAsia="宋体" w:cs="宋体"/>
          <w:b/>
          <w:bCs/>
          <w:sz w:val="24"/>
          <w:szCs w:val="24"/>
        </w:rPr>
        <w:t>”编制并加密投标文件。供应商未按规定加密的投标文件，“</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”将予以拒收。</w:t>
      </w:r>
    </w:p>
    <w:p w14:paraId="23603310">
      <w:pPr>
        <w:keepNext w:val="0"/>
        <w:keepLines w:val="0"/>
        <w:pageBreakBefore w:val="0"/>
        <w:widowControl/>
        <w:kinsoku/>
        <w:wordWrap w:val="0"/>
        <w:overflowPunct/>
        <w:topLinePunct w:val="0"/>
        <w:autoSpaceDE/>
        <w:autoSpaceDN/>
        <w:bidi w:val="0"/>
        <w:adjustRightInd/>
        <w:snapToGrid w:val="0"/>
        <w:spacing w:line="360" w:lineRule="auto"/>
        <w:ind w:firstLine="542" w:firstLineChars="225"/>
        <w:textAlignment w:val="auto"/>
        <w:rPr>
          <w:rFonts w:hint="eastAsia" w:ascii="宋体" w:hAnsi="宋体" w:eastAsia="宋体" w:cs="宋体"/>
          <w:b/>
          <w:bCs/>
          <w:sz w:val="24"/>
          <w:szCs w:val="24"/>
          <w:highlight w:val="yellow"/>
          <w:lang w:eastAsia="zh-CN"/>
        </w:rPr>
      </w:pPr>
      <w:r>
        <w:rPr>
          <w:rFonts w:hint="eastAsia" w:ascii="宋体" w:hAnsi="宋体" w:eastAsia="宋体" w:cs="宋体"/>
          <w:b/>
          <w:bCs/>
          <w:sz w:val="24"/>
          <w:szCs w:val="24"/>
          <w:highlight w:val="yellow"/>
        </w:rPr>
        <w:t>请登录乐采云投标客户端投标，客户端下载地址https://sitecdn.zcycdn.com/zcy-client/bidding-client-new/official/lcy/LeCaiYunSetup.latest.exe</w:t>
      </w:r>
    </w:p>
    <w:p w14:paraId="6376C709">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、投标供应商应当在投标截止时间前，将生成的“电子加密投标文件”上传递交至“</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”。投标截止时间以后上传递交的投标文件将被“</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”拒收。</w:t>
      </w:r>
    </w:p>
    <w:p w14:paraId="4CC4235D">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、投标供应商在“</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14:paraId="0255C589">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”上传递交的“电子加密投标文件”无法按时解密，投标供应商递交了备份投标文件的，以备份投标文件为依据，否则视为投标文件撤回。通过“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”上传递交的“电子加密投标文件”已按时解密的，“备份投标文件”自动失效。投标供应商仅递交备份投标文件的，投标无效。</w:t>
      </w:r>
    </w:p>
    <w:p w14:paraId="262C268B">
      <w:pPr>
        <w:snapToGrid w:val="0"/>
        <w:spacing w:line="360" w:lineRule="auto"/>
        <w:ind w:firstLine="241" w:firstLineChars="100"/>
        <w:rPr>
          <w:rFonts w:hint="eastAsia" w:ascii="宋体" w:hAnsi="宋体" w:eastAsia="宋体" w:cs="宋体"/>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eastAsia="zh-CN"/>
        </w:rPr>
        <w:t>三</w:t>
      </w:r>
      <w:r>
        <w:rPr>
          <w:rFonts w:hint="eastAsia" w:ascii="宋体" w:hAnsi="宋体" w:eastAsia="宋体" w:cs="宋体"/>
          <w:b/>
          <w:color w:val="000000"/>
          <w:sz w:val="24"/>
          <w:szCs w:val="24"/>
        </w:rPr>
        <w:t>、业务咨询：</w:t>
      </w:r>
    </w:p>
    <w:p w14:paraId="614AFA2E">
      <w:pPr>
        <w:keepNext w:val="0"/>
        <w:keepLines w:val="0"/>
        <w:pageBreakBefore w:val="0"/>
        <w:widowControl/>
        <w:kinsoku/>
        <w:wordWrap/>
        <w:overflowPunct/>
        <w:topLinePunct w:val="0"/>
        <w:autoSpaceDE/>
        <w:autoSpaceDN/>
        <w:bidi w:val="0"/>
        <w:adjustRightInd/>
        <w:snapToGrid w:val="0"/>
        <w:spacing w:line="360" w:lineRule="exact"/>
        <w:ind w:firstLine="676" w:firstLineChars="282"/>
        <w:textAlignment w:val="auto"/>
        <w:rPr>
          <w:rFonts w:hint="eastAsia" w:ascii="宋体" w:hAnsi="宋体" w:eastAsia="宋体" w:cs="宋体"/>
          <w:color w:val="000000"/>
          <w:kern w:val="0"/>
          <w:sz w:val="24"/>
          <w:lang w:eastAsia="zh-CN"/>
        </w:rPr>
      </w:pPr>
      <w:r>
        <w:rPr>
          <w:rFonts w:hint="eastAsia" w:ascii="宋体" w:hAnsi="宋体" w:eastAsia="宋体" w:cs="宋体"/>
          <w:sz w:val="24"/>
          <w:szCs w:val="24"/>
        </w:rPr>
        <w:t>采购人名称：</w:t>
      </w:r>
      <w:r>
        <w:rPr>
          <w:rFonts w:hint="eastAsia" w:ascii="宋体" w:hAnsi="宋体" w:eastAsia="宋体" w:cs="宋体"/>
          <w:color w:val="000000"/>
          <w:kern w:val="0"/>
          <w:sz w:val="24"/>
          <w:lang w:eastAsia="zh-CN"/>
        </w:rPr>
        <w:t>桐庐富春旅游开发有限公司</w:t>
      </w:r>
      <w:r>
        <w:rPr>
          <w:rFonts w:hint="eastAsia" w:ascii="宋体" w:hAnsi="宋体" w:eastAsia="宋体" w:cs="宋体"/>
          <w:color w:val="000000"/>
          <w:kern w:val="0"/>
          <w:sz w:val="24"/>
        </w:rPr>
        <w:t xml:space="preserve">  </w:t>
      </w:r>
    </w:p>
    <w:p w14:paraId="6DC4FACF">
      <w:pPr>
        <w:keepNext w:val="0"/>
        <w:keepLines w:val="0"/>
        <w:pageBreakBefore w:val="0"/>
        <w:widowControl/>
        <w:kinsoku/>
        <w:wordWrap/>
        <w:overflowPunct/>
        <w:topLinePunct w:val="0"/>
        <w:autoSpaceDE/>
        <w:autoSpaceDN/>
        <w:bidi w:val="0"/>
        <w:adjustRightInd/>
        <w:snapToGrid w:val="0"/>
        <w:spacing w:line="360" w:lineRule="exact"/>
        <w:ind w:firstLine="676" w:firstLineChars="282"/>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王月月</w:t>
      </w:r>
      <w:r>
        <w:rPr>
          <w:rFonts w:hint="eastAsia" w:ascii="宋体" w:hAnsi="宋体" w:eastAsia="宋体" w:cs="宋体"/>
          <w:color w:val="000000"/>
          <w:kern w:val="0"/>
          <w:sz w:val="24"/>
        </w:rPr>
        <w:t xml:space="preserve"> </w:t>
      </w:r>
    </w:p>
    <w:p w14:paraId="3D991B06">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0571-58595622</w:t>
      </w:r>
    </w:p>
    <w:p w14:paraId="14489E2E">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址：桐庐县县城春江西路69号滨江大厦</w:t>
      </w:r>
    </w:p>
    <w:p w14:paraId="5E61B2AD">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书面质疑受理联系人：</w:t>
      </w:r>
      <w:r>
        <w:rPr>
          <w:rFonts w:hint="eastAsia" w:ascii="宋体" w:hAnsi="宋体" w:eastAsia="宋体" w:cs="宋体"/>
          <w:sz w:val="24"/>
          <w:szCs w:val="24"/>
          <w:lang w:eastAsia="zh-CN"/>
        </w:rPr>
        <w:t>周磊</w:t>
      </w:r>
      <w:r>
        <w:rPr>
          <w:rFonts w:hint="eastAsia" w:ascii="宋体" w:hAnsi="宋体" w:eastAsia="宋体" w:cs="宋体"/>
          <w:color w:val="auto"/>
          <w:sz w:val="24"/>
          <w:szCs w:val="24"/>
        </w:rPr>
        <w:t xml:space="preserve">  </w:t>
      </w:r>
    </w:p>
    <w:p w14:paraId="2597D3FB">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sz w:val="24"/>
          <w:szCs w:val="24"/>
          <w:lang w:val="en-US" w:eastAsia="zh-CN"/>
        </w:rPr>
        <w:t>0571-58595622</w:t>
      </w:r>
    </w:p>
    <w:p w14:paraId="1FAD5FF3">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p>
    <w:p w14:paraId="7315515B">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rPr>
        <w:t>采购代理机构名称：</w:t>
      </w:r>
      <w:r>
        <w:rPr>
          <w:rFonts w:hint="eastAsia" w:ascii="宋体" w:hAnsi="宋体" w:eastAsia="宋体" w:cs="宋体"/>
          <w:sz w:val="24"/>
          <w:szCs w:val="24"/>
          <w:lang w:eastAsia="zh-CN"/>
        </w:rPr>
        <w:t>杭州开元物产集团有限公司</w:t>
      </w:r>
    </w:p>
    <w:p w14:paraId="1CF21540">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钟梨霞</w:t>
      </w:r>
    </w:p>
    <w:p w14:paraId="002A87EF">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18058144473</w:t>
      </w:r>
    </w:p>
    <w:p w14:paraId="61D9D553">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址：浙江省杭州市萧山区萧山北干街道市心中路818号十六层</w:t>
      </w:r>
    </w:p>
    <w:p w14:paraId="13550CE4">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书面质疑受理联系人：</w:t>
      </w:r>
      <w:r>
        <w:rPr>
          <w:rFonts w:hint="eastAsia" w:ascii="宋体" w:hAnsi="宋体" w:eastAsia="宋体" w:cs="宋体"/>
          <w:sz w:val="24"/>
          <w:szCs w:val="24"/>
          <w:lang w:eastAsia="zh-CN"/>
        </w:rPr>
        <w:t>刘丹</w:t>
      </w:r>
      <w:r>
        <w:rPr>
          <w:rFonts w:hint="eastAsia" w:ascii="宋体" w:hAnsi="宋体" w:eastAsia="宋体" w:cs="宋体"/>
          <w:sz w:val="24"/>
          <w:szCs w:val="24"/>
        </w:rPr>
        <w:t xml:space="preserve">  </w:t>
      </w:r>
    </w:p>
    <w:p w14:paraId="21F7AECD">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000000"/>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13588419202</w:t>
      </w:r>
    </w:p>
    <w:p w14:paraId="1266A4C3">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000000"/>
          <w:sz w:val="24"/>
          <w:szCs w:val="24"/>
        </w:rPr>
      </w:pPr>
    </w:p>
    <w:p w14:paraId="261A079E">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同级政府采购监管部门：</w:t>
      </w:r>
      <w:r>
        <w:rPr>
          <w:rFonts w:hint="eastAsia" w:ascii="宋体" w:hAnsi="宋体" w:eastAsia="宋体" w:cs="宋体"/>
          <w:bCs/>
          <w:color w:val="auto"/>
          <w:sz w:val="24"/>
          <w:szCs w:val="24"/>
          <w:lang w:eastAsia="zh-CN"/>
        </w:rPr>
        <w:t>桐庐县文化旅游投资集团有限公司</w:t>
      </w:r>
      <w:r>
        <w:rPr>
          <w:rFonts w:hint="eastAsia" w:ascii="宋体" w:hAnsi="宋体" w:eastAsia="宋体" w:cs="宋体"/>
          <w:color w:val="auto"/>
          <w:kern w:val="0"/>
          <w:sz w:val="24"/>
        </w:rPr>
        <w:t xml:space="preserve"> </w:t>
      </w:r>
    </w:p>
    <w:p w14:paraId="472D90B7">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联系人：</w:t>
      </w:r>
      <w:r>
        <w:rPr>
          <w:rFonts w:hint="eastAsia" w:ascii="宋体" w:hAnsi="宋体" w:eastAsia="宋体" w:cs="宋体"/>
          <w:bCs/>
          <w:color w:val="auto"/>
          <w:sz w:val="24"/>
          <w:szCs w:val="24"/>
          <w:lang w:eastAsia="zh-CN"/>
        </w:rPr>
        <w:t>朱子墨</w:t>
      </w:r>
      <w:r>
        <w:rPr>
          <w:rFonts w:hint="eastAsia" w:ascii="宋体" w:hAnsi="宋体" w:eastAsia="宋体" w:cs="宋体"/>
          <w:color w:val="auto"/>
          <w:kern w:val="0"/>
          <w:sz w:val="24"/>
        </w:rPr>
        <w:t xml:space="preserve">  </w:t>
      </w:r>
    </w:p>
    <w:p w14:paraId="00B34D13">
      <w:pPr>
        <w:keepNext w:val="0"/>
        <w:keepLines w:val="0"/>
        <w:pageBreakBefore w:val="0"/>
        <w:widowControl/>
        <w:kinsoku/>
        <w:wordWrap/>
        <w:overflowPunct/>
        <w:topLinePunct w:val="0"/>
        <w:autoSpaceDE/>
        <w:autoSpaceDN/>
        <w:bidi w:val="0"/>
        <w:adjustRightInd/>
        <w:snapToGrid w:val="0"/>
        <w:spacing w:line="400" w:lineRule="exact"/>
        <w:ind w:firstLine="720" w:firstLineChars="3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监督投诉电话：</w:t>
      </w:r>
      <w:r>
        <w:rPr>
          <w:rFonts w:hint="eastAsia" w:ascii="宋体" w:hAnsi="宋体" w:eastAsia="宋体" w:cs="宋体"/>
          <w:bCs/>
          <w:color w:val="auto"/>
          <w:sz w:val="24"/>
          <w:szCs w:val="24"/>
          <w:lang w:val="en-US" w:eastAsia="zh-CN"/>
        </w:rPr>
        <w:t>0571-58587276</w:t>
      </w:r>
    </w:p>
    <w:p w14:paraId="038ACCA4">
      <w:pPr>
        <w:keepNext w:val="0"/>
        <w:keepLines w:val="0"/>
        <w:pageBreakBefore w:val="0"/>
        <w:widowControl/>
        <w:kinsoku/>
        <w:wordWrap/>
        <w:overflowPunct/>
        <w:topLinePunct w:val="0"/>
        <w:autoSpaceDE/>
        <w:autoSpaceDN/>
        <w:bidi w:val="0"/>
        <w:adjustRightInd/>
        <w:snapToGrid w:val="0"/>
        <w:spacing w:line="400" w:lineRule="exact"/>
        <w:ind w:firstLine="720" w:firstLineChars="3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地址：桐庐县县城春江西路69号滨江大厦</w:t>
      </w:r>
    </w:p>
    <w:p w14:paraId="5181D271">
      <w:pPr>
        <w:keepNext w:val="0"/>
        <w:keepLines w:val="0"/>
        <w:pageBreakBefore w:val="0"/>
        <w:widowControl/>
        <w:kinsoku/>
        <w:wordWrap/>
        <w:overflowPunct/>
        <w:topLinePunct w:val="0"/>
        <w:autoSpaceDE/>
        <w:autoSpaceDN/>
        <w:bidi w:val="0"/>
        <w:adjustRightInd/>
        <w:snapToGrid w:val="0"/>
        <w:spacing w:line="400" w:lineRule="exact"/>
        <w:ind w:firstLine="1080" w:firstLineChars="300"/>
        <w:textAlignment w:val="auto"/>
        <w:rPr>
          <w:rFonts w:hint="eastAsia" w:ascii="宋体" w:hAnsi="宋体" w:eastAsia="宋体" w:cs="宋体"/>
          <w:b w:val="0"/>
          <w:sz w:val="36"/>
          <w:szCs w:val="36"/>
        </w:rPr>
        <w:sectPr>
          <w:headerReference r:id="rId7" w:type="default"/>
          <w:footerReference r:id="rId8" w:type="default"/>
          <w:pgSz w:w="11906" w:h="16838"/>
          <w:pgMar w:top="1440" w:right="1457" w:bottom="1440" w:left="1457" w:header="851" w:footer="992" w:gutter="0"/>
          <w:pgNumType w:fmt="decimal"/>
          <w:cols w:space="720" w:num="1"/>
          <w:docGrid w:type="lines" w:linePitch="319" w:charSpace="0"/>
        </w:sectPr>
      </w:pPr>
      <w:r>
        <w:rPr>
          <w:rFonts w:hint="eastAsia" w:ascii="宋体" w:hAnsi="宋体" w:eastAsia="宋体" w:cs="宋体"/>
          <w:b w:val="0"/>
          <w:sz w:val="36"/>
          <w:szCs w:val="36"/>
        </w:rPr>
        <w:t xml:space="preserve"> </w:t>
      </w:r>
    </w:p>
    <w:p w14:paraId="612648DE">
      <w:pPr>
        <w:pageBreakBefore w:val="0"/>
        <w:numPr>
          <w:ilvl w:val="0"/>
          <w:numId w:val="0"/>
        </w:numPr>
        <w:kinsoku/>
        <w:wordWrap/>
        <w:overflowPunct/>
        <w:topLinePunct w:val="0"/>
        <w:autoSpaceDE/>
        <w:autoSpaceDN/>
        <w:bidi w:val="0"/>
        <w:adjustRightInd/>
        <w:snapToGrid w:val="0"/>
        <w:spacing w:line="400" w:lineRule="exact"/>
        <w:jc w:val="center"/>
        <w:textAlignment w:val="auto"/>
        <w:rPr>
          <w:rFonts w:hint="eastAsia" w:ascii="宋体" w:hAnsi="宋体" w:eastAsia="宋体" w:cs="宋体"/>
        </w:rPr>
      </w:pPr>
      <w:r>
        <w:rPr>
          <w:rFonts w:hint="eastAsia" w:ascii="宋体" w:hAnsi="宋体" w:eastAsia="宋体" w:cs="宋体"/>
          <w:b/>
          <w:sz w:val="32"/>
          <w:szCs w:val="32"/>
          <w:lang w:eastAsia="zh-CN"/>
        </w:rPr>
        <w:t>第二章</w:t>
      </w:r>
      <w:r>
        <w:rPr>
          <w:rFonts w:hint="eastAsia" w:ascii="宋体" w:hAnsi="宋体" w:eastAsia="宋体" w:cs="宋体"/>
          <w:b/>
          <w:sz w:val="32"/>
          <w:szCs w:val="32"/>
        </w:rPr>
        <w:t xml:space="preserve">  招标需求</w:t>
      </w:r>
    </w:p>
    <w:p w14:paraId="4ACBE9AD">
      <w:pPr>
        <w:pStyle w:val="4"/>
        <w:pageBreakBefore w:val="0"/>
        <w:numPr>
          <w:ilvl w:val="0"/>
          <w:numId w:val="0"/>
        </w:numPr>
        <w:tabs>
          <w:tab w:val="left" w:pos="576"/>
          <w:tab w:val="clear" w:pos="360"/>
        </w:tabs>
        <w:kinsoku/>
        <w:wordWrap/>
        <w:overflowPunct/>
        <w:topLinePunct w:val="0"/>
        <w:autoSpaceDE/>
        <w:autoSpaceDN/>
        <w:bidi w:val="0"/>
        <w:adjustRightInd/>
        <w:snapToGrid/>
        <w:spacing w:line="480" w:lineRule="exact"/>
        <w:ind w:leftChars="0" w:firstLine="482" w:firstLineChars="200"/>
        <w:textAlignment w:val="auto"/>
        <w:rPr>
          <w:rFonts w:hint="eastAsia" w:ascii="宋体" w:hAnsi="宋体" w:eastAsia="宋体" w:cs="宋体"/>
          <w:sz w:val="24"/>
          <w:szCs w:val="24"/>
          <w:lang w:eastAsia="zh-CN"/>
        </w:rPr>
      </w:pPr>
      <w:bookmarkStart w:id="0" w:name="_Toc91899903"/>
      <w:r>
        <w:rPr>
          <w:rFonts w:hint="eastAsia" w:ascii="宋体" w:hAnsi="宋体" w:eastAsia="宋体" w:cs="宋体"/>
          <w:sz w:val="24"/>
          <w:szCs w:val="24"/>
        </w:rPr>
        <w:t>一、</w:t>
      </w:r>
      <w:r>
        <w:rPr>
          <w:rFonts w:hint="eastAsia" w:ascii="宋体" w:hAnsi="宋体" w:eastAsia="宋体" w:cs="宋体"/>
          <w:sz w:val="24"/>
          <w:szCs w:val="24"/>
          <w:lang w:eastAsia="zh-CN"/>
        </w:rPr>
        <w:t>项目概况</w:t>
      </w:r>
    </w:p>
    <w:p w14:paraId="7C732134">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1</w:t>
      </w:r>
      <w:r>
        <w:rPr>
          <w:rFonts w:hint="eastAsia" w:ascii="宋体" w:hAnsi="宋体" w:eastAsia="宋体" w:cs="宋体"/>
          <w:sz w:val="24"/>
          <w:lang w:val="en-US" w:eastAsia="zh-CN"/>
        </w:rPr>
        <w:t>.</w:t>
      </w:r>
      <w:r>
        <w:rPr>
          <w:rFonts w:hint="eastAsia" w:ascii="宋体" w:hAnsi="宋体" w:eastAsia="宋体" w:cs="宋体"/>
          <w:sz w:val="24"/>
          <w:lang w:eastAsia="zh-CN"/>
        </w:rPr>
        <w:t>项目名称：桐庐县红灯笼乡村家园户外游乐设施采购及安装项目。</w:t>
      </w:r>
    </w:p>
    <w:p w14:paraId="20555404">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2</w:t>
      </w:r>
      <w:r>
        <w:rPr>
          <w:rFonts w:hint="eastAsia" w:ascii="宋体" w:hAnsi="宋体" w:eastAsia="宋体" w:cs="宋体"/>
          <w:sz w:val="24"/>
          <w:lang w:val="en-US" w:eastAsia="zh-CN"/>
        </w:rPr>
        <w:t>.</w:t>
      </w:r>
      <w:r>
        <w:rPr>
          <w:rFonts w:hint="eastAsia" w:ascii="宋体" w:hAnsi="宋体" w:eastAsia="宋体" w:cs="宋体"/>
          <w:sz w:val="24"/>
          <w:lang w:eastAsia="zh-CN"/>
        </w:rPr>
        <w:t>供货、安装地点：本项目供货地址为桐庐县红灯笼乡村家园。</w:t>
      </w:r>
    </w:p>
    <w:p w14:paraId="5A584CD4">
      <w:pPr>
        <w:pStyle w:val="4"/>
        <w:pageBreakBefore w:val="0"/>
        <w:numPr>
          <w:ilvl w:val="0"/>
          <w:numId w:val="0"/>
        </w:numPr>
        <w:tabs>
          <w:tab w:val="left" w:pos="576"/>
          <w:tab w:val="clear" w:pos="360"/>
        </w:tabs>
        <w:kinsoku/>
        <w:wordWrap/>
        <w:overflowPunct/>
        <w:topLinePunct w:val="0"/>
        <w:autoSpaceDE/>
        <w:autoSpaceDN/>
        <w:bidi w:val="0"/>
        <w:adjustRightInd/>
        <w:snapToGrid/>
        <w:spacing w:line="480" w:lineRule="exact"/>
        <w:ind w:lef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、采购货物清单及要求</w:t>
      </w:r>
    </w:p>
    <w:p w14:paraId="53185F4E">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详见公告附件</w:t>
      </w:r>
      <w:r>
        <w:rPr>
          <w:rFonts w:hint="eastAsia" w:ascii="宋体" w:hAnsi="宋体" w:eastAsia="宋体" w:cs="宋体"/>
          <w:sz w:val="24"/>
          <w:lang w:eastAsia="zh-CN"/>
        </w:rPr>
        <w:t>。</w:t>
      </w:r>
    </w:p>
    <w:p w14:paraId="1B0BD6C6">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采购清单标注的尺寸及数量仅为参考尺寸及数量应由中标人根据实际施工情况进行现场复核，并进行适当调整优化。</w:t>
      </w:r>
    </w:p>
    <w:p w14:paraId="5906CD5F">
      <w:pPr>
        <w:pageBreakBefore w:val="0"/>
        <w:kinsoku/>
        <w:wordWrap/>
        <w:overflowPunct/>
        <w:topLinePunct w:val="0"/>
        <w:autoSpaceDE/>
        <w:autoSpaceDN/>
        <w:bidi w:val="0"/>
        <w:adjustRightInd/>
        <w:snapToGrid/>
        <w:spacing w:line="480" w:lineRule="exact"/>
        <w:ind w:left="480" w:leftChars="200" w:firstLine="0" w:firstLineChars="0"/>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lang w:eastAsia="zh-CN"/>
        </w:rPr>
        <w:t>采购清单所示图片仅为参考，造型、材质及颜色等都以经采购人最终确认为准。</w:t>
      </w:r>
    </w:p>
    <w:p w14:paraId="6D65EC68">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在生产前，需提供三视图、材料表及样品小样，需设计单位，业主单位及酒管单位签字确认。</w:t>
      </w:r>
    </w:p>
    <w:p w14:paraId="5A4DEC1C">
      <w:pPr>
        <w:pStyle w:val="4"/>
        <w:pageBreakBefore w:val="0"/>
        <w:numPr>
          <w:ilvl w:val="0"/>
          <w:numId w:val="0"/>
        </w:numPr>
        <w:tabs>
          <w:tab w:val="left" w:pos="576"/>
          <w:tab w:val="clear" w:pos="360"/>
        </w:tabs>
        <w:kinsoku/>
        <w:wordWrap/>
        <w:overflowPunct/>
        <w:topLinePunct w:val="0"/>
        <w:autoSpaceDE/>
        <w:autoSpaceDN/>
        <w:bidi w:val="0"/>
        <w:adjustRightInd/>
        <w:snapToGrid/>
        <w:spacing w:line="480" w:lineRule="exact"/>
        <w:ind w:lef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、质量与服务要求</w:t>
      </w:r>
    </w:p>
    <w:p w14:paraId="696D212E">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1.中标人必须对货物提供终身维修维护服务并负责售后服务，货物的质保期</w:t>
      </w:r>
      <w:r>
        <w:rPr>
          <w:rFonts w:hint="eastAsia" w:ascii="宋体" w:hAnsi="宋体" w:eastAsia="宋体" w:cs="宋体"/>
          <w:b/>
          <w:sz w:val="24"/>
        </w:rPr>
        <w:t>不得少于</w:t>
      </w:r>
      <w:r>
        <w:rPr>
          <w:rFonts w:hint="eastAsia" w:ascii="宋体" w:hAnsi="宋体" w:eastAsia="宋体" w:cs="宋体"/>
          <w:b/>
          <w:sz w:val="24"/>
          <w:lang w:val="en-US" w:eastAsia="zh-CN"/>
        </w:rPr>
        <w:t>2</w:t>
      </w:r>
      <w:r>
        <w:rPr>
          <w:rFonts w:hint="eastAsia" w:ascii="宋体" w:hAnsi="宋体" w:eastAsia="宋体" w:cs="宋体"/>
          <w:b/>
          <w:sz w:val="24"/>
        </w:rPr>
        <w:t>年，</w:t>
      </w:r>
      <w:r>
        <w:rPr>
          <w:rFonts w:hint="eastAsia" w:ascii="宋体" w:hAnsi="宋体" w:eastAsia="宋体" w:cs="宋体"/>
          <w:sz w:val="24"/>
        </w:rPr>
        <w:t>质保期内的维修费用（包括材料）全部由中标人负责，质保期后的维修按成本价酌情收费，中标人在接到维修电话后</w:t>
      </w:r>
      <w:r>
        <w:rPr>
          <w:rFonts w:hint="eastAsia" w:ascii="宋体" w:hAnsi="宋体" w:eastAsia="宋体" w:cs="宋体"/>
          <w:sz w:val="24"/>
          <w:lang w:val="en-US" w:eastAsia="zh-CN"/>
        </w:rPr>
        <w:t>2</w:t>
      </w:r>
      <w:r>
        <w:rPr>
          <w:rFonts w:hint="eastAsia" w:ascii="宋体" w:hAnsi="宋体" w:eastAsia="宋体" w:cs="宋体"/>
          <w:sz w:val="24"/>
        </w:rPr>
        <w:t>小时内响应</w:t>
      </w:r>
      <w:r>
        <w:rPr>
          <w:rFonts w:hint="eastAsia" w:ascii="宋体" w:hAnsi="宋体" w:eastAsia="宋体" w:cs="宋体"/>
          <w:sz w:val="24"/>
          <w:lang w:eastAsia="zh-CN"/>
        </w:rPr>
        <w:t>并提出解决方案</w:t>
      </w:r>
      <w:r>
        <w:rPr>
          <w:rFonts w:hint="eastAsia" w:ascii="宋体" w:hAnsi="宋体" w:eastAsia="宋体" w:cs="宋体"/>
          <w:sz w:val="24"/>
        </w:rPr>
        <w:t>，最迟在接到维修电话后</w:t>
      </w:r>
      <w:r>
        <w:rPr>
          <w:rFonts w:hint="eastAsia" w:ascii="宋体" w:hAnsi="宋体" w:eastAsia="宋体" w:cs="宋体"/>
          <w:sz w:val="24"/>
          <w:lang w:val="en-US" w:eastAsia="zh-CN"/>
        </w:rPr>
        <w:t>4小时内到达现场处理</w:t>
      </w:r>
      <w:r>
        <w:rPr>
          <w:rFonts w:hint="eastAsia" w:ascii="宋体" w:hAnsi="宋体" w:eastAsia="宋体" w:cs="宋体"/>
          <w:sz w:val="24"/>
        </w:rPr>
        <w:t>，要求在</w:t>
      </w:r>
      <w:r>
        <w:rPr>
          <w:rFonts w:hint="eastAsia" w:ascii="宋体" w:hAnsi="宋体" w:eastAsia="宋体" w:cs="宋体"/>
          <w:sz w:val="24"/>
          <w:lang w:val="en-US" w:eastAsia="zh-CN"/>
        </w:rPr>
        <w:t>8</w:t>
      </w:r>
      <w:r>
        <w:rPr>
          <w:rFonts w:hint="eastAsia" w:ascii="宋体" w:hAnsi="宋体" w:eastAsia="宋体" w:cs="宋体"/>
          <w:sz w:val="24"/>
        </w:rPr>
        <w:t>小时内解决问题</w:t>
      </w:r>
      <w:r>
        <w:rPr>
          <w:rFonts w:hint="eastAsia" w:ascii="宋体" w:hAnsi="宋体" w:eastAsia="宋体" w:cs="宋体"/>
          <w:sz w:val="24"/>
          <w:lang w:eastAsia="zh-CN"/>
        </w:rPr>
        <w:t>，</w:t>
      </w:r>
      <w:r>
        <w:rPr>
          <w:rFonts w:hint="eastAsia" w:ascii="宋体" w:hAnsi="宋体" w:eastAsia="宋体" w:cs="宋体"/>
          <w:sz w:val="24"/>
        </w:rPr>
        <w:t>如不能修复应采取补救措施的，免费提供相应同档次备</w:t>
      </w:r>
      <w:r>
        <w:rPr>
          <w:rFonts w:hint="eastAsia" w:ascii="宋体" w:hAnsi="宋体" w:eastAsia="宋体" w:cs="宋体"/>
          <w:sz w:val="24"/>
          <w:lang w:eastAsia="zh-CN"/>
        </w:rPr>
        <w:t>用产品并负责安装调试</w:t>
      </w:r>
      <w:r>
        <w:rPr>
          <w:rFonts w:hint="eastAsia" w:ascii="宋体" w:hAnsi="宋体" w:eastAsia="宋体" w:cs="宋体"/>
          <w:sz w:val="24"/>
        </w:rPr>
        <w:t>，以保证使用方的正常工作。</w:t>
      </w:r>
    </w:p>
    <w:p w14:paraId="00678D94">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中标人须在签订合同前,提供的产品必须取得采购人认可后方可生产并供货。若中标人不能提供符合投标文件承诺标准的样品（产品优于样品除外），采购人有权不与其签订合同，且由中标人承担所有因此产生的法律责任。</w:t>
      </w:r>
    </w:p>
    <w:p w14:paraId="36463F23">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.中标人必须保证所供货物全新、正宗、原包装</w:t>
      </w:r>
      <w:r>
        <w:rPr>
          <w:rFonts w:hint="eastAsia" w:ascii="宋体" w:hAnsi="宋体" w:eastAsia="宋体" w:cs="宋体"/>
          <w:b/>
          <w:sz w:val="24"/>
        </w:rPr>
        <w:t>（须按要求新生产的货物）</w:t>
      </w:r>
      <w:r>
        <w:rPr>
          <w:rFonts w:hint="eastAsia" w:ascii="宋体" w:hAnsi="宋体" w:eastAsia="宋体" w:cs="宋体"/>
          <w:sz w:val="24"/>
        </w:rPr>
        <w:t>，至</w:t>
      </w:r>
      <w:r>
        <w:rPr>
          <w:rFonts w:hint="eastAsia" w:ascii="宋体" w:hAnsi="宋体" w:eastAsia="宋体" w:cs="宋体"/>
          <w:sz w:val="24"/>
          <w:lang w:eastAsia="zh-CN"/>
        </w:rPr>
        <w:t>采购人</w:t>
      </w:r>
      <w:r>
        <w:rPr>
          <w:rFonts w:hint="eastAsia" w:ascii="宋体" w:hAnsi="宋体" w:eastAsia="宋体" w:cs="宋体"/>
          <w:sz w:val="24"/>
        </w:rPr>
        <w:t>手中时不拆封。采购供应的材料、设备均须有合格证、质保书或试验报告等技术资料。</w:t>
      </w:r>
    </w:p>
    <w:p w14:paraId="02B0B1BC">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4.在生产制作过程中采购人有权进入生产或制作现场，不定期对材质、配件进行原材料到货核查及生产场地、生产过程、生产工艺进行检查，对发现的问题和瑕疵提出整改要求，期间所发生的费用由投标人承担。</w:t>
      </w:r>
    </w:p>
    <w:p w14:paraId="234BCCB3">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产品安装完毕后，由采购</w:t>
      </w:r>
      <w:r>
        <w:rPr>
          <w:rFonts w:hint="eastAsia" w:ascii="宋体" w:hAnsi="宋体" w:eastAsia="宋体" w:cs="宋体"/>
          <w:sz w:val="24"/>
          <w:lang w:eastAsia="zh-CN"/>
        </w:rPr>
        <w:t>人</w:t>
      </w:r>
      <w:r>
        <w:rPr>
          <w:rFonts w:hint="eastAsia" w:ascii="宋体" w:hAnsi="宋体" w:eastAsia="宋体" w:cs="宋体"/>
          <w:sz w:val="24"/>
        </w:rPr>
        <w:t>组织专业人员验收。验收以国家行业标准为基础，结合本次招标文件和正式合同为依据进行。如不符要求，一律返工，直到符合要求为止，否则拒付货款，并扣总价款5%的违约金。</w:t>
      </w:r>
    </w:p>
    <w:p w14:paraId="3F584F0F">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eastAsia="zh-CN"/>
        </w:rPr>
        <w:t>中标人</w:t>
      </w:r>
      <w:r>
        <w:rPr>
          <w:rFonts w:hint="eastAsia" w:ascii="宋体" w:hAnsi="宋体" w:eastAsia="宋体" w:cs="宋体"/>
          <w:sz w:val="24"/>
        </w:rPr>
        <w:t>应根据招标项目内容要求确定投标报价。包括设备费（包括必备的附件）、零配件、水电费、设备预埋件、仓储费、检测费、材料费、人工费、运输费、搬运费、现场成品保护费、保险费、采购人指定地点的卸货费、就位及安装费、安装材料费、垃圾清运费、保洁费、安装调试费、深化设计费、检验试验费、售后服务、税费、利润等其他一切费用。当采购数量与实际使用数量不一致时，乙方应根据实际使用量供货，合同的最终结算金额按实际使用量乘以成交单价进行计算。</w:t>
      </w:r>
    </w:p>
    <w:p w14:paraId="0EC5BA9F">
      <w:pPr>
        <w:pStyle w:val="20"/>
        <w:pageBreakBefore w:val="0"/>
        <w:tabs>
          <w:tab w:val="left" w:pos="4830"/>
        </w:tabs>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lang w:eastAsia="zh-CN"/>
        </w:rPr>
      </w:pPr>
    </w:p>
    <w:p w14:paraId="5DDA2F71">
      <w:pPr>
        <w:pStyle w:val="20"/>
        <w:pageBreakBefore w:val="0"/>
        <w:tabs>
          <w:tab w:val="left" w:pos="4830"/>
        </w:tabs>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lang w:eastAsia="zh-CN"/>
        </w:rPr>
      </w:pPr>
      <w:r>
        <w:rPr>
          <w:rFonts w:hint="eastAsia" w:ascii="宋体" w:hAnsi="宋体" w:eastAsia="宋体" w:cs="宋体"/>
          <w:b/>
          <w:sz w:val="24"/>
          <w:lang w:eastAsia="zh-CN"/>
        </w:rPr>
        <w:t>四</w:t>
      </w:r>
      <w:r>
        <w:rPr>
          <w:rFonts w:hint="eastAsia" w:ascii="宋体" w:hAnsi="宋体" w:eastAsia="宋体" w:cs="宋体"/>
          <w:b/>
          <w:sz w:val="24"/>
        </w:rPr>
        <w:t>、货物交付期限、地点和方式</w:t>
      </w:r>
    </w:p>
    <w:p w14:paraId="32A8CF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sz w:val="24"/>
          <w:lang w:eastAsia="zh-CN"/>
        </w:rPr>
        <w:t>交付期限：合同签订</w:t>
      </w:r>
      <w:r>
        <w:rPr>
          <w:rFonts w:hint="eastAsia" w:ascii="宋体" w:hAnsi="宋体" w:eastAsia="宋体" w:cs="宋体"/>
          <w:color w:val="auto"/>
          <w:sz w:val="24"/>
          <w:lang w:eastAsia="zh-CN"/>
        </w:rPr>
        <w:t>后</w:t>
      </w:r>
      <w:r>
        <w:rPr>
          <w:rFonts w:hint="eastAsia" w:ascii="宋体" w:hAnsi="宋体" w:eastAsia="宋体" w:cs="宋体"/>
          <w:color w:val="auto"/>
          <w:sz w:val="24"/>
          <w:u w:val="single"/>
          <w:lang w:val="en-US" w:eastAsia="zh-CN"/>
        </w:rPr>
        <w:t xml:space="preserve"> 80 </w:t>
      </w:r>
      <w:r>
        <w:rPr>
          <w:rFonts w:hint="eastAsia" w:ascii="宋体" w:hAnsi="宋体" w:eastAsia="宋体" w:cs="宋体"/>
          <w:color w:val="auto"/>
          <w:sz w:val="24"/>
          <w:lang w:val="en-US" w:eastAsia="zh-CN"/>
        </w:rPr>
        <w:t>日</w:t>
      </w:r>
      <w:r>
        <w:rPr>
          <w:rFonts w:hint="eastAsia" w:ascii="宋体" w:hAnsi="宋体" w:eastAsia="宋体" w:cs="宋体"/>
          <w:color w:val="auto"/>
          <w:sz w:val="24"/>
          <w:lang w:eastAsia="zh-CN"/>
        </w:rPr>
        <w:t>内</w:t>
      </w:r>
      <w:r>
        <w:rPr>
          <w:rFonts w:hint="eastAsia" w:ascii="宋体" w:hAnsi="宋体" w:eastAsia="宋体" w:cs="宋体"/>
          <w:sz w:val="24"/>
          <w:lang w:eastAsia="zh-CN"/>
        </w:rPr>
        <w:t>完成所有货物的生产、安装、调试并交付验收。每延期一天扣款</w:t>
      </w:r>
      <w:r>
        <w:rPr>
          <w:rFonts w:hint="eastAsia" w:ascii="宋体" w:hAnsi="宋体" w:eastAsia="宋体" w:cs="宋体"/>
          <w:sz w:val="24"/>
          <w:lang w:val="en-US" w:eastAsia="zh-CN"/>
        </w:rPr>
        <w:t>50000</w:t>
      </w:r>
      <w:r>
        <w:rPr>
          <w:rFonts w:hint="eastAsia" w:ascii="宋体" w:hAnsi="宋体" w:eastAsia="宋体" w:cs="宋体"/>
          <w:sz w:val="24"/>
          <w:lang w:eastAsia="zh-CN"/>
        </w:rPr>
        <w:t>元。</w:t>
      </w:r>
    </w:p>
    <w:p w14:paraId="6B35C7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交付地点：采购人指定地点。</w:t>
      </w:r>
    </w:p>
    <w:p w14:paraId="3140468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lang w:eastAsia="zh-CN"/>
        </w:rPr>
        <w:t>安装标准：符合我国国家有关技术规范要求和技术标准，所有的货物必须保证同时安装到位。</w:t>
      </w:r>
    </w:p>
    <w:p w14:paraId="453657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中标人免费提供中标产品的安装服务，</w:t>
      </w:r>
      <w:r>
        <w:rPr>
          <w:rFonts w:hint="eastAsia" w:ascii="宋体" w:hAnsi="宋体" w:eastAsia="宋体" w:cs="宋体"/>
          <w:sz w:val="24"/>
          <w:lang w:val="en-US" w:eastAsia="zh-CN"/>
        </w:rPr>
        <w:t>安装完毕后须进行卫生清理，破损修补，其他货物等破坏的须进行相应赔偿。</w:t>
      </w:r>
    </w:p>
    <w:p w14:paraId="5AC1823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调试所需专用工具设施材料由中标方自备、自运到现场，完工后自费搬走。</w:t>
      </w:r>
    </w:p>
    <w:p w14:paraId="64D84343">
      <w:pPr>
        <w:pStyle w:val="20"/>
        <w:pageBreakBefore w:val="0"/>
        <w:tabs>
          <w:tab w:val="left" w:pos="4830"/>
        </w:tabs>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rPr>
      </w:pPr>
      <w:r>
        <w:rPr>
          <w:rFonts w:hint="eastAsia" w:ascii="宋体" w:hAnsi="宋体" w:eastAsia="宋体" w:cs="宋体"/>
          <w:b/>
          <w:sz w:val="24"/>
          <w:lang w:eastAsia="zh-CN"/>
        </w:rPr>
        <w:t>五、</w:t>
      </w:r>
      <w:r>
        <w:rPr>
          <w:rFonts w:hint="eastAsia" w:ascii="宋体" w:hAnsi="宋体" w:eastAsia="宋体" w:cs="宋体"/>
          <w:b/>
          <w:sz w:val="24"/>
        </w:rPr>
        <w:t>付款</w:t>
      </w:r>
      <w:r>
        <w:rPr>
          <w:rFonts w:hint="eastAsia" w:ascii="宋体" w:hAnsi="宋体" w:eastAsia="宋体" w:cs="宋体"/>
          <w:b/>
          <w:sz w:val="24"/>
          <w:lang w:eastAsia="zh-CN"/>
        </w:rPr>
        <w:t>方式</w:t>
      </w:r>
    </w:p>
    <w:p w14:paraId="5109927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sz w:val="24"/>
          <w:szCs w:val="20"/>
          <w:lang w:eastAsia="zh-CN"/>
        </w:rPr>
      </w:pPr>
      <w:r>
        <w:rPr>
          <w:rFonts w:hint="eastAsia" w:ascii="宋体" w:hAnsi="宋体" w:eastAsia="宋体" w:cs="宋体"/>
          <w:sz w:val="24"/>
          <w:highlight w:val="none"/>
        </w:rPr>
        <w:t>合同签订且具备实施条件进场施工后7个工作日内支付合同金额的</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w:t>
      </w:r>
      <w:r>
        <w:rPr>
          <w:rFonts w:hint="eastAsia" w:ascii="宋体" w:hAnsi="宋体" w:eastAsia="宋体" w:cs="宋体"/>
          <w:sz w:val="24"/>
          <w:highlight w:val="none"/>
          <w:lang w:eastAsia="zh-CN"/>
        </w:rPr>
        <w:t>预付款，</w:t>
      </w:r>
      <w:r>
        <w:rPr>
          <w:rFonts w:hint="eastAsia" w:ascii="宋体" w:hAnsi="宋体" w:eastAsia="宋体" w:cs="宋体"/>
          <w:sz w:val="24"/>
          <w:highlight w:val="none"/>
        </w:rPr>
        <w:t>货物、设备在中标人供货、安装调试完毕经采购人确认后支付至合同金额的80%，项目最终验收合格后经审计后支付至审定金额的95%，剩余5%作为项目质保金，待中标人承诺的质保期满，经采购人确认无任何问题后一次性付清（不计息）。</w:t>
      </w:r>
    </w:p>
    <w:p w14:paraId="5A0EF9C7">
      <w:pPr>
        <w:pStyle w:val="20"/>
        <w:pageBreakBefore w:val="0"/>
        <w:tabs>
          <w:tab w:val="left" w:pos="4830"/>
        </w:tabs>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rPr>
      </w:pPr>
      <w:r>
        <w:rPr>
          <w:rFonts w:hint="eastAsia" w:ascii="宋体" w:hAnsi="宋体" w:eastAsia="宋体" w:cs="宋体"/>
          <w:b/>
          <w:sz w:val="24"/>
          <w:lang w:eastAsia="zh-CN"/>
        </w:rPr>
        <w:t>六</w:t>
      </w:r>
      <w:r>
        <w:rPr>
          <w:rFonts w:hint="eastAsia" w:ascii="宋体" w:hAnsi="宋体" w:eastAsia="宋体" w:cs="宋体"/>
          <w:b/>
          <w:sz w:val="24"/>
        </w:rPr>
        <w:t>、其他</w:t>
      </w:r>
    </w:p>
    <w:p w14:paraId="628841E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sz w:val="24"/>
          <w:szCs w:val="20"/>
          <w:lang w:eastAsia="zh-CN"/>
        </w:rPr>
      </w:pPr>
      <w:r>
        <w:rPr>
          <w:rFonts w:hint="eastAsia" w:ascii="宋体" w:hAnsi="宋体" w:eastAsia="宋体" w:cs="宋体"/>
          <w:sz w:val="24"/>
          <w:highlight w:val="none"/>
        </w:rPr>
        <w:t>履约保证金：本项目签订合同之前，投标人需缴纳2%中标价的履约担保金（采用转账或见索即付、不可撤销的银行保函方式，若采用保函方式，如保函担保时间到期，到期延期）</w:t>
      </w:r>
      <w:r>
        <w:rPr>
          <w:rFonts w:hint="eastAsia" w:ascii="宋体" w:hAnsi="宋体" w:eastAsia="宋体" w:cs="宋体"/>
          <w:sz w:val="24"/>
          <w:highlight w:val="none"/>
          <w:lang w:eastAsia="zh-CN"/>
        </w:rPr>
        <w:t>，</w:t>
      </w:r>
      <w:r>
        <w:rPr>
          <w:rFonts w:hint="eastAsia" w:ascii="宋体" w:hAnsi="宋体" w:eastAsia="宋体" w:cs="宋体"/>
          <w:sz w:val="24"/>
          <w:highlight w:val="none"/>
        </w:rPr>
        <w:t>验收合格之日起</w:t>
      </w:r>
      <w:r>
        <w:rPr>
          <w:rFonts w:hint="eastAsia" w:ascii="宋体" w:hAnsi="宋体" w:eastAsia="宋体" w:cs="宋体"/>
          <w:sz w:val="24"/>
          <w:highlight w:val="none"/>
          <w:lang w:val="en-US" w:eastAsia="zh-CN"/>
        </w:rPr>
        <w:t>30天内</w:t>
      </w:r>
      <w:r>
        <w:rPr>
          <w:rFonts w:hint="eastAsia" w:ascii="宋体" w:hAnsi="宋体" w:eastAsia="宋体" w:cs="宋体"/>
          <w:sz w:val="24"/>
          <w:highlight w:val="none"/>
        </w:rPr>
        <w:t>无息退还</w:t>
      </w:r>
      <w:r>
        <w:rPr>
          <w:rFonts w:hint="eastAsia" w:ascii="宋体" w:hAnsi="宋体" w:eastAsia="宋体" w:cs="宋体"/>
          <w:sz w:val="24"/>
          <w:highlight w:val="none"/>
          <w:lang w:eastAsia="zh-CN"/>
        </w:rPr>
        <w:t>（不计息）</w:t>
      </w:r>
      <w:r>
        <w:rPr>
          <w:rFonts w:hint="eastAsia" w:ascii="宋体" w:hAnsi="宋体" w:eastAsia="宋体" w:cs="宋体"/>
          <w:sz w:val="24"/>
          <w:highlight w:val="none"/>
        </w:rPr>
        <w:t>。</w:t>
      </w:r>
    </w:p>
    <w:p w14:paraId="41DA2726">
      <w:pPr>
        <w:spacing w:line="560" w:lineRule="exact"/>
        <w:rPr>
          <w:rFonts w:hint="eastAsia" w:ascii="宋体" w:hAnsi="宋体" w:eastAsia="宋体" w:cs="宋体"/>
          <w:b/>
          <w:bCs/>
          <w:sz w:val="24"/>
        </w:rPr>
      </w:pPr>
      <w:r>
        <w:rPr>
          <w:rFonts w:hint="eastAsia" w:ascii="宋体" w:hAnsi="宋体" w:eastAsia="宋体" w:cs="宋体"/>
          <w:b/>
          <w:bCs/>
          <w:sz w:val="24"/>
          <w:lang w:val="en-US" w:eastAsia="zh-CN"/>
        </w:rPr>
        <w:t>七</w:t>
      </w:r>
      <w:r>
        <w:rPr>
          <w:rFonts w:hint="eastAsia" w:ascii="宋体" w:hAnsi="宋体" w:eastAsia="宋体" w:cs="宋体"/>
          <w:b/>
          <w:bCs/>
          <w:sz w:val="24"/>
        </w:rPr>
        <w:t>.风险控制价</w:t>
      </w:r>
    </w:p>
    <w:p w14:paraId="0C483DC9">
      <w:pPr>
        <w:pStyle w:val="17"/>
        <w:rPr>
          <w:rFonts w:hint="eastAsia" w:ascii="宋体" w:hAnsi="宋体" w:eastAsia="宋体" w:cs="宋体"/>
          <w:szCs w:val="24"/>
          <w:lang w:val="en-US"/>
        </w:rPr>
      </w:pPr>
      <w:r>
        <w:rPr>
          <w:rFonts w:hint="eastAsia" w:ascii="宋体" w:hAnsi="宋体" w:eastAsia="宋体" w:cs="宋体"/>
          <w:szCs w:val="24"/>
          <w:lang w:val="en-US"/>
        </w:rPr>
        <w:t>本项目设置风险控制价为</w:t>
      </w:r>
      <w:r>
        <w:rPr>
          <w:rFonts w:hint="eastAsia" w:ascii="宋体" w:hAnsi="宋体" w:eastAsia="宋体" w:cs="宋体"/>
          <w:szCs w:val="24"/>
          <w:u w:val="single"/>
          <w:lang w:val="en-US"/>
        </w:rPr>
        <w:t xml:space="preserve"> </w:t>
      </w:r>
      <w:r>
        <w:rPr>
          <w:rFonts w:hint="eastAsia" w:ascii="宋体" w:hAnsi="宋体" w:eastAsia="宋体" w:cs="宋体"/>
          <w:szCs w:val="24"/>
          <w:u w:val="single"/>
          <w:lang w:val="en-US" w:eastAsia="zh-CN"/>
        </w:rPr>
        <w:t xml:space="preserve">   127.4   </w:t>
      </w:r>
      <w:r>
        <w:rPr>
          <w:rFonts w:hint="eastAsia" w:ascii="宋体" w:hAnsi="宋体" w:eastAsia="宋体" w:cs="宋体"/>
          <w:szCs w:val="24"/>
          <w:lang w:val="en-US"/>
        </w:rPr>
        <w:t>万元（为最高限价的70%），投标报价低于风险控制价的，中标人在提交履约保证金的同时须额外向采购人提交中标净值与风险控制价之差额作为风险担保金（采用转账或见索即付、不可撤销的银行保函方式，若采用保函方式，如保函担保时间到期，到期延期），风险保证金至本项目按要求验收合格后5日内无息退还。如未按要求完成的，采购人有权扣留风险保证金。允许投标人报价低于风险控制价。</w:t>
      </w:r>
    </w:p>
    <w:p w14:paraId="67965333">
      <w:pPr>
        <w:snapToGrid w:val="0"/>
        <w:spacing w:before="159" w:beforeLines="50" w:line="240" w:lineRule="auto"/>
        <w:ind w:firstLine="3213" w:firstLineChars="1000"/>
        <w:jc w:val="both"/>
        <w:rPr>
          <w:rFonts w:hint="eastAsia" w:ascii="宋体" w:hAnsi="宋体" w:eastAsia="宋体" w:cs="宋体"/>
          <w:b/>
          <w:sz w:val="32"/>
        </w:rPr>
      </w:pPr>
      <w:r>
        <w:rPr>
          <w:rFonts w:hint="eastAsia" w:ascii="宋体" w:hAnsi="宋体" w:eastAsia="宋体" w:cs="宋体"/>
          <w:b/>
          <w:sz w:val="32"/>
        </w:rPr>
        <w:t>第三章 投标人须知</w:t>
      </w:r>
    </w:p>
    <w:p w14:paraId="20EE33B0">
      <w:pPr>
        <w:spacing w:line="240" w:lineRule="auto"/>
        <w:jc w:val="center"/>
        <w:rPr>
          <w:rFonts w:hint="eastAsia" w:ascii="宋体" w:hAnsi="宋体" w:eastAsia="宋体" w:cs="宋体"/>
          <w:b/>
          <w:bCs/>
          <w:sz w:val="32"/>
          <w:szCs w:val="32"/>
        </w:rPr>
      </w:pPr>
      <w:r>
        <w:rPr>
          <w:rFonts w:hint="eastAsia" w:ascii="宋体" w:hAnsi="宋体" w:eastAsia="宋体" w:cs="宋体"/>
          <w:kern w:val="2"/>
          <w:sz w:val="32"/>
          <w:szCs w:val="32"/>
        </w:rPr>
        <w:t>前附表</w:t>
      </w:r>
      <w:bookmarkEnd w:id="0"/>
    </w:p>
    <w:tbl>
      <w:tblPr>
        <w:tblStyle w:val="28"/>
        <w:tblW w:w="9843"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048"/>
      </w:tblGrid>
      <w:tr w14:paraId="58FB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95" w:type="dxa"/>
            <w:noWrap w:val="0"/>
            <w:vAlign w:val="center"/>
          </w:tcPr>
          <w:p w14:paraId="4E9E7A19">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9048" w:type="dxa"/>
            <w:noWrap w:val="0"/>
            <w:vAlign w:val="center"/>
          </w:tcPr>
          <w:p w14:paraId="5924B224">
            <w:pPr>
              <w:keepNext w:val="0"/>
              <w:keepLines w:val="0"/>
              <w:pageBreakBefore w:val="0"/>
              <w:widowControl/>
              <w:kinsoku/>
              <w:wordWrap/>
              <w:overflowPunct/>
              <w:topLinePunct w:val="0"/>
              <w:autoSpaceDE/>
              <w:autoSpaceDN/>
              <w:bidi w:val="0"/>
              <w:adjustRightInd/>
              <w:snapToGrid w:val="0"/>
              <w:spacing w:line="44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内容、要求</w:t>
            </w:r>
          </w:p>
        </w:tc>
      </w:tr>
      <w:tr w14:paraId="3961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5" w:type="dxa"/>
            <w:noWrap w:val="0"/>
            <w:vAlign w:val="center"/>
          </w:tcPr>
          <w:p w14:paraId="163105CF">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048" w:type="dxa"/>
            <w:noWrap w:val="0"/>
            <w:vAlign w:val="center"/>
          </w:tcPr>
          <w:p w14:paraId="0D5ED35E">
            <w:pPr>
              <w:keepNext w:val="0"/>
              <w:keepLines w:val="0"/>
              <w:pageBreakBefore w:val="0"/>
              <w:widowControl/>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rPr>
              <w:t>项目名称：</w:t>
            </w:r>
            <w:r>
              <w:rPr>
                <w:rFonts w:hint="eastAsia" w:ascii="宋体" w:hAnsi="宋体" w:eastAsia="宋体" w:cs="宋体"/>
                <w:sz w:val="24"/>
                <w:lang w:eastAsia="zh-CN"/>
              </w:rPr>
              <w:t>桐庐县红灯笼乡村家园户外游乐设施采购及安装项目</w:t>
            </w:r>
          </w:p>
        </w:tc>
      </w:tr>
      <w:tr w14:paraId="0503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95" w:type="dxa"/>
            <w:noWrap w:val="0"/>
            <w:vAlign w:val="center"/>
          </w:tcPr>
          <w:p w14:paraId="304F16B3">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048" w:type="dxa"/>
            <w:noWrap w:val="0"/>
            <w:vAlign w:val="center"/>
          </w:tcPr>
          <w:p w14:paraId="7F74355B">
            <w:pPr>
              <w:keepNext w:val="0"/>
              <w:keepLines w:val="0"/>
              <w:pageBreakBefore w:val="0"/>
              <w:widowControl/>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采购数量及单位：详见采购需求</w:t>
            </w:r>
          </w:p>
        </w:tc>
      </w:tr>
      <w:tr w14:paraId="0CCF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95" w:type="dxa"/>
            <w:noWrap w:val="0"/>
            <w:vAlign w:val="center"/>
          </w:tcPr>
          <w:p w14:paraId="535A7F67">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048" w:type="dxa"/>
            <w:noWrap w:val="0"/>
            <w:vAlign w:val="center"/>
          </w:tcPr>
          <w:p w14:paraId="45E71020">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投标报价及费用：1.本项目投标应以人民币报价；2.不论投标结果如何，供应商均应自行承担所有与投标有关的全部费用。</w:t>
            </w:r>
          </w:p>
        </w:tc>
      </w:tr>
      <w:tr w14:paraId="3D77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5" w:type="dxa"/>
            <w:noWrap w:val="0"/>
            <w:vAlign w:val="center"/>
          </w:tcPr>
          <w:p w14:paraId="59F2B0E5">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9048" w:type="dxa"/>
            <w:noWrap w:val="0"/>
            <w:vAlign w:val="center"/>
          </w:tcPr>
          <w:p w14:paraId="642D1808">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投标保证金：无。</w:t>
            </w:r>
          </w:p>
        </w:tc>
      </w:tr>
      <w:tr w14:paraId="4923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14:paraId="49CD024E">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048" w:type="dxa"/>
            <w:noWrap w:val="0"/>
            <w:vAlign w:val="center"/>
          </w:tcPr>
          <w:p w14:paraId="5C0BEB6E">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投标文件组成：</w:t>
            </w:r>
            <w:r>
              <w:rPr>
                <w:rFonts w:hint="eastAsia" w:ascii="宋体" w:hAnsi="宋体" w:eastAsia="宋体" w:cs="宋体"/>
                <w:color w:val="000000"/>
                <w:sz w:val="24"/>
                <w:szCs w:val="24"/>
                <w:lang w:bidi="ar"/>
              </w:rPr>
              <w:t>《投标文件》由“资格文件”、“商务技术文件”和“报价文件”三个部分组成。</w:t>
            </w:r>
          </w:p>
        </w:tc>
      </w:tr>
      <w:tr w14:paraId="6F61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14:paraId="2D8114C5">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9048" w:type="dxa"/>
            <w:noWrap w:val="0"/>
            <w:vAlign w:val="center"/>
          </w:tcPr>
          <w:p w14:paraId="4CD9F790">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投标文件的编制：</w:t>
            </w:r>
            <w:r>
              <w:rPr>
                <w:rFonts w:hint="eastAsia" w:ascii="宋体" w:hAnsi="宋体" w:eastAsia="宋体" w:cs="宋体"/>
                <w:color w:val="000000"/>
                <w:sz w:val="24"/>
                <w:szCs w:val="24"/>
                <w:lang w:bidi="ar"/>
              </w:rPr>
              <w:t>供应商应先安装“</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”，并按照本招标文件和“</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”的要求，通过“</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”编制并加密投标文件。</w:t>
            </w:r>
          </w:p>
        </w:tc>
      </w:tr>
      <w:tr w14:paraId="3736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noWrap w:val="0"/>
            <w:vAlign w:val="center"/>
          </w:tcPr>
          <w:p w14:paraId="3ED82B27">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9048" w:type="dxa"/>
            <w:noWrap w:val="0"/>
            <w:vAlign w:val="center"/>
          </w:tcPr>
          <w:p w14:paraId="238B4F05">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bidi="ar"/>
              </w:rPr>
              <w:t>投标文件的签章按照采购文件要求签章。</w:t>
            </w:r>
          </w:p>
        </w:tc>
      </w:tr>
      <w:tr w14:paraId="6235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14:paraId="5CA913B8">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8</w:t>
            </w:r>
          </w:p>
        </w:tc>
        <w:tc>
          <w:tcPr>
            <w:tcW w:w="9048" w:type="dxa"/>
            <w:noWrap w:val="0"/>
            <w:vAlign w:val="center"/>
          </w:tcPr>
          <w:p w14:paraId="76C5580B">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投标文件的形式：电子投标文件（包括“电子加密投标文件”和“备份投标文件”，在投标文件编制完成后同时生成）；</w:t>
            </w:r>
          </w:p>
          <w:p w14:paraId="2B4D88A0">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（1）“电子加密投标文件”是指通过“</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”完成投标文件编制后生成并加密的数据电文形式的投标文件。</w:t>
            </w:r>
          </w:p>
          <w:p w14:paraId="73E95CB3">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（2）“备份投标文件”是指与“电子加密投标文件”同时生成的数据电文形式的电子文件（备份标书），其他方式编制的备份投标文件视为无效备份投标文件。</w:t>
            </w:r>
          </w:p>
        </w:tc>
      </w:tr>
      <w:tr w14:paraId="7B2D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95" w:type="dxa"/>
            <w:noWrap w:val="0"/>
            <w:vAlign w:val="center"/>
          </w:tcPr>
          <w:p w14:paraId="5BF80F74">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9</w:t>
            </w:r>
          </w:p>
        </w:tc>
        <w:tc>
          <w:tcPr>
            <w:tcW w:w="9048" w:type="dxa"/>
            <w:noWrap w:val="0"/>
            <w:vAlign w:val="center"/>
          </w:tcPr>
          <w:p w14:paraId="5AE69E8E">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投标文件份数：（1）“电子加密投标文件”：在线上传递交、一份。（2）“备份投标文件”：密封包装后</w:t>
            </w:r>
            <w:r>
              <w:rPr>
                <w:rFonts w:hint="eastAsia" w:ascii="宋体" w:hAnsi="宋体" w:eastAsia="宋体" w:cs="宋体"/>
                <w:sz w:val="24"/>
                <w:szCs w:val="24"/>
                <w:lang w:bidi="ar"/>
              </w:rPr>
              <w:t>（邮寄形式）投标截止时间前</w:t>
            </w:r>
            <w:r>
              <w:rPr>
                <w:rFonts w:hint="eastAsia" w:ascii="宋体" w:hAnsi="宋体" w:eastAsia="宋体" w:cs="宋体"/>
                <w:color w:val="000000"/>
                <w:sz w:val="24"/>
                <w:szCs w:val="24"/>
                <w:lang w:bidi="ar"/>
              </w:rPr>
              <w:t>递交、一份</w:t>
            </w:r>
          </w:p>
          <w:p w14:paraId="16CA0052">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（邮寄地址：浙江省杭州市萧山区萧山城厢街道市心中路818号十六层 </w:t>
            </w:r>
            <w:r>
              <w:rPr>
                <w:rFonts w:hint="eastAsia" w:ascii="宋体" w:hAnsi="宋体" w:eastAsia="宋体" w:cs="宋体"/>
                <w:color w:val="000000"/>
                <w:sz w:val="24"/>
                <w:szCs w:val="24"/>
                <w:lang w:eastAsia="zh-CN" w:bidi="ar"/>
              </w:rPr>
              <w:t>钟梨霞</w:t>
            </w:r>
            <w:r>
              <w:rPr>
                <w:rFonts w:hint="eastAsia" w:ascii="宋体" w:hAnsi="宋体" w:eastAsia="宋体" w:cs="宋体"/>
                <w:color w:val="000000"/>
                <w:sz w:val="24"/>
                <w:szCs w:val="24"/>
                <w:lang w:bidi="ar"/>
              </w:rPr>
              <w:t>收）</w:t>
            </w:r>
          </w:p>
        </w:tc>
      </w:tr>
      <w:tr w14:paraId="3149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14:paraId="0216D40E">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p>
        </w:tc>
        <w:tc>
          <w:tcPr>
            <w:tcW w:w="9048" w:type="dxa"/>
            <w:noWrap w:val="0"/>
            <w:vAlign w:val="center"/>
          </w:tcPr>
          <w:p w14:paraId="1730D2BE">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投标文件的上传和递交：</w:t>
            </w:r>
          </w:p>
          <w:p w14:paraId="1F4149F0">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（1）“电子加密投标文件”的上传、递交：</w:t>
            </w:r>
          </w:p>
          <w:p w14:paraId="6D30E0BE">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a.投标供应商应在投标截止时间前将“电子加密投标文件”成功上传递交至“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”，否则投标无效。</w:t>
            </w:r>
          </w:p>
          <w:p w14:paraId="1698D462">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b.“电子加密投标文件”成功上传递交后，供应商可自行打印投标文件接收回执。</w:t>
            </w:r>
          </w:p>
          <w:p w14:paraId="0C8C2EDE">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（2）“备份投标文件”的密封包装、递交：</w:t>
            </w:r>
          </w:p>
          <w:p w14:paraId="15B6F4A3">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a.投标供应商在“</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”完成“电子加密投标文件”的上传递交后，还可以（</w:t>
            </w:r>
            <w:r>
              <w:rPr>
                <w:rFonts w:hint="eastAsia" w:ascii="宋体" w:hAnsi="宋体" w:eastAsia="宋体" w:cs="宋体"/>
                <w:sz w:val="24"/>
                <w:szCs w:val="24"/>
                <w:lang w:bidi="ar"/>
              </w:rPr>
              <w:t>邮寄形式）</w:t>
            </w:r>
            <w:r>
              <w:rPr>
                <w:rFonts w:hint="eastAsia" w:ascii="宋体" w:hAnsi="宋体" w:eastAsia="宋体" w:cs="宋体"/>
                <w:color w:val="000000"/>
                <w:sz w:val="24"/>
                <w:szCs w:val="24"/>
                <w:lang w:bidi="ar"/>
              </w:rPr>
              <w:t>在投标截止时间前递交以介质（U盘）存储的 “备份投标文件”（一份）；</w:t>
            </w:r>
          </w:p>
          <w:p w14:paraId="3E0B5F7A">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b.“备份投标文件”应当密封包装，并在包装上标注投标项目名称、投标单位名称并加盖公章。没有密封包装或者逾期</w:t>
            </w:r>
            <w:r>
              <w:rPr>
                <w:rFonts w:hint="eastAsia" w:ascii="宋体" w:hAnsi="宋体" w:eastAsia="宋体" w:cs="宋体"/>
                <w:sz w:val="24"/>
                <w:szCs w:val="24"/>
                <w:lang w:bidi="ar"/>
              </w:rPr>
              <w:t>邮寄</w:t>
            </w:r>
            <w:r>
              <w:rPr>
                <w:rFonts w:hint="eastAsia" w:ascii="宋体" w:hAnsi="宋体" w:eastAsia="宋体" w:cs="宋体"/>
                <w:color w:val="000000"/>
                <w:sz w:val="24"/>
                <w:szCs w:val="24"/>
                <w:lang w:bidi="ar"/>
              </w:rPr>
              <w:t>送达至投标地点的“备份投标文件”将不予接收；</w:t>
            </w:r>
          </w:p>
          <w:p w14:paraId="0284ACE0">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c.通过“</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”的，投标无效。</w:t>
            </w:r>
          </w:p>
        </w:tc>
      </w:tr>
      <w:tr w14:paraId="2A2C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95" w:type="dxa"/>
            <w:noWrap w:val="0"/>
            <w:vAlign w:val="center"/>
          </w:tcPr>
          <w:p w14:paraId="4BD8FEB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p>
        </w:tc>
        <w:tc>
          <w:tcPr>
            <w:tcW w:w="9048" w:type="dxa"/>
            <w:noWrap w:val="0"/>
            <w:vAlign w:val="center"/>
          </w:tcPr>
          <w:p w14:paraId="79A5B597">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电子加密投标文件的解密和异常情况处理：</w:t>
            </w:r>
          </w:p>
          <w:p w14:paraId="3235FBD3">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（1）开标后，采购组织机构将向各投标供应商发出“电子加密投标文件”的解密通知，各投标供应商代表应当在接到解密通知后30分钟内自行完成“电子加密投标文件”的在线解密。</w:t>
            </w:r>
          </w:p>
          <w:p w14:paraId="20FF04A2">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（2）通过“</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”操作规范将“备份投标文件”上传至“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”，上传成功后，“电子加密投标文件”自动失效），否则视为投标文件撤回。</w:t>
            </w:r>
          </w:p>
          <w:p w14:paraId="22A7F9FE">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（3）投标截止时间前，投标供应商仅递交了“备份投标文件”而未将电子加密投标文件上传至“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”的，投标无效。</w:t>
            </w:r>
          </w:p>
        </w:tc>
      </w:tr>
      <w:tr w14:paraId="60A4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95" w:type="dxa"/>
            <w:noWrap w:val="0"/>
            <w:vAlign w:val="center"/>
          </w:tcPr>
          <w:p w14:paraId="3A6F02EB">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9048" w:type="dxa"/>
            <w:noWrap w:val="0"/>
            <w:vAlign w:val="center"/>
          </w:tcPr>
          <w:p w14:paraId="50A3236D">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b/>
                <w:color w:val="000000"/>
                <w:kern w:val="10"/>
                <w:sz w:val="24"/>
                <w:szCs w:val="24"/>
              </w:rPr>
              <w:t>潜在供应商需在乐采云平台www.lecaiyun.com进行免费注册。</w:t>
            </w:r>
          </w:p>
        </w:tc>
      </w:tr>
      <w:tr w14:paraId="2A78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95" w:type="dxa"/>
            <w:noWrap w:val="0"/>
            <w:vAlign w:val="center"/>
          </w:tcPr>
          <w:p w14:paraId="7F2A98CC">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9048" w:type="dxa"/>
            <w:noWrap w:val="0"/>
            <w:vAlign w:val="center"/>
          </w:tcPr>
          <w:p w14:paraId="067E07F6">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投标截止时间及地点：</w:t>
            </w:r>
            <w:r>
              <w:rPr>
                <w:rFonts w:hint="eastAsia" w:ascii="宋体" w:hAnsi="宋体" w:eastAsia="宋体" w:cs="宋体"/>
                <w:b/>
                <w:bCs/>
                <w:color w:val="FF0000"/>
                <w:sz w:val="24"/>
                <w:lang w:val="en-US" w:eastAsia="zh-CN"/>
              </w:rPr>
              <w:t>2025</w:t>
            </w:r>
            <w:r>
              <w:rPr>
                <w:rFonts w:hint="eastAsia" w:ascii="宋体" w:hAnsi="宋体" w:eastAsia="宋体" w:cs="宋体"/>
                <w:b/>
                <w:bCs/>
                <w:color w:val="FF0000"/>
                <w:sz w:val="24"/>
                <w:lang w:eastAsia="zh-CN"/>
              </w:rPr>
              <w:t>年</w:t>
            </w:r>
            <w:r>
              <w:rPr>
                <w:rFonts w:hint="eastAsia" w:ascii="宋体" w:hAnsi="宋体" w:eastAsia="宋体" w:cs="宋体"/>
                <w:b/>
                <w:bCs/>
                <w:color w:val="FF0000"/>
                <w:sz w:val="24"/>
                <w:lang w:val="en-US" w:eastAsia="zh-CN"/>
              </w:rPr>
              <w:t>02</w:t>
            </w:r>
            <w:r>
              <w:rPr>
                <w:rFonts w:hint="eastAsia" w:ascii="宋体" w:hAnsi="宋体" w:eastAsia="宋体" w:cs="宋体"/>
                <w:b/>
                <w:bCs/>
                <w:color w:val="FF0000"/>
                <w:sz w:val="24"/>
                <w:lang w:eastAsia="zh-CN"/>
              </w:rPr>
              <w:t>月</w:t>
            </w:r>
            <w:r>
              <w:rPr>
                <w:rFonts w:hint="eastAsia" w:ascii="宋体" w:hAnsi="宋体" w:eastAsia="宋体" w:cs="宋体"/>
                <w:b/>
                <w:bCs/>
                <w:color w:val="FF0000"/>
                <w:sz w:val="24"/>
                <w:lang w:val="en-US" w:eastAsia="zh-CN"/>
              </w:rPr>
              <w:t>10</w:t>
            </w:r>
            <w:r>
              <w:rPr>
                <w:rFonts w:hint="eastAsia" w:ascii="宋体" w:hAnsi="宋体" w:eastAsia="宋体" w:cs="宋体"/>
                <w:b/>
                <w:bCs/>
                <w:color w:val="FF0000"/>
                <w:sz w:val="24"/>
                <w:lang w:eastAsia="zh-CN"/>
              </w:rPr>
              <w:t xml:space="preserve">日 </w:t>
            </w:r>
            <w:r>
              <w:rPr>
                <w:rFonts w:hint="eastAsia" w:ascii="宋体" w:hAnsi="宋体" w:eastAsia="宋体" w:cs="宋体"/>
                <w:b/>
                <w:bCs/>
                <w:color w:val="FF0000"/>
                <w:sz w:val="24"/>
                <w:lang w:val="en-US" w:eastAsia="zh-CN"/>
              </w:rPr>
              <w:t>10</w:t>
            </w:r>
            <w:r>
              <w:rPr>
                <w:rFonts w:hint="eastAsia" w:ascii="宋体" w:hAnsi="宋体" w:eastAsia="宋体" w:cs="宋体"/>
                <w:b/>
                <w:bCs/>
                <w:color w:val="FF0000"/>
                <w:sz w:val="24"/>
                <w:lang w:eastAsia="zh-CN"/>
              </w:rPr>
              <w:t>时</w:t>
            </w:r>
            <w:r>
              <w:rPr>
                <w:rFonts w:hint="eastAsia" w:ascii="宋体" w:hAnsi="宋体" w:eastAsia="宋体" w:cs="宋体"/>
                <w:b/>
                <w:bCs/>
                <w:color w:val="FF0000"/>
                <w:sz w:val="24"/>
                <w:lang w:val="en-US" w:eastAsia="zh-CN"/>
              </w:rPr>
              <w:t>00</w:t>
            </w:r>
            <w:r>
              <w:rPr>
                <w:rFonts w:hint="eastAsia" w:ascii="宋体" w:hAnsi="宋体" w:eastAsia="宋体" w:cs="宋体"/>
                <w:b/>
                <w:bCs/>
                <w:color w:val="FF0000"/>
                <w:sz w:val="24"/>
                <w:lang w:eastAsia="zh-CN"/>
              </w:rPr>
              <w:t>分</w:t>
            </w:r>
          </w:p>
        </w:tc>
      </w:tr>
      <w:tr w14:paraId="3BF9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95" w:type="dxa"/>
            <w:noWrap w:val="0"/>
            <w:vAlign w:val="center"/>
          </w:tcPr>
          <w:p w14:paraId="2DCC2230">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9048" w:type="dxa"/>
            <w:noWrap w:val="0"/>
            <w:vAlign w:val="center"/>
          </w:tcPr>
          <w:p w14:paraId="083CF992">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投标地点：</w:t>
            </w:r>
            <w:r>
              <w:rPr>
                <w:rFonts w:hint="eastAsia" w:ascii="宋体" w:hAnsi="宋体" w:eastAsia="宋体" w:cs="宋体"/>
                <w:color w:val="000000"/>
                <w:sz w:val="24"/>
                <w:szCs w:val="24"/>
                <w:u w:val="single"/>
                <w:lang w:eastAsia="zh-CN"/>
              </w:rPr>
              <w:t>乐采云</w:t>
            </w:r>
            <w:r>
              <w:rPr>
                <w:rFonts w:hint="eastAsia" w:ascii="宋体" w:hAnsi="宋体" w:eastAsia="宋体" w:cs="宋体"/>
                <w:color w:val="000000"/>
                <w:sz w:val="24"/>
                <w:szCs w:val="24"/>
                <w:u w:val="single"/>
              </w:rPr>
              <w:t>在线投标</w:t>
            </w:r>
            <w:r>
              <w:rPr>
                <w:rFonts w:hint="eastAsia" w:ascii="宋体" w:hAnsi="宋体" w:eastAsia="宋体" w:cs="宋体"/>
                <w:color w:val="000000"/>
                <w:sz w:val="24"/>
                <w:szCs w:val="24"/>
                <w:u w:val="none"/>
                <w:lang w:eastAsia="zh-CN"/>
              </w:rPr>
              <w:t>。</w:t>
            </w:r>
          </w:p>
        </w:tc>
      </w:tr>
      <w:tr w14:paraId="1498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5" w:type="dxa"/>
            <w:noWrap w:val="0"/>
            <w:vAlign w:val="center"/>
          </w:tcPr>
          <w:p w14:paraId="494ABCBF">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9048" w:type="dxa"/>
            <w:noWrap w:val="0"/>
            <w:vAlign w:val="center"/>
          </w:tcPr>
          <w:p w14:paraId="17DA410B">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开标时间及地点：本次招标于</w:t>
            </w:r>
            <w:r>
              <w:rPr>
                <w:rFonts w:hint="eastAsia" w:ascii="宋体" w:hAnsi="宋体" w:eastAsia="宋体" w:cs="宋体"/>
                <w:b/>
                <w:bCs/>
                <w:color w:val="FF0000"/>
                <w:sz w:val="24"/>
                <w:lang w:val="en-US" w:eastAsia="zh-CN"/>
              </w:rPr>
              <w:t>2025</w:t>
            </w:r>
            <w:r>
              <w:rPr>
                <w:rFonts w:hint="eastAsia" w:ascii="宋体" w:hAnsi="宋体" w:eastAsia="宋体" w:cs="宋体"/>
                <w:b/>
                <w:bCs/>
                <w:color w:val="FF0000"/>
                <w:sz w:val="24"/>
                <w:lang w:eastAsia="zh-CN"/>
              </w:rPr>
              <w:t>年</w:t>
            </w:r>
            <w:r>
              <w:rPr>
                <w:rFonts w:hint="eastAsia" w:ascii="宋体" w:hAnsi="宋体" w:eastAsia="宋体" w:cs="宋体"/>
                <w:b/>
                <w:bCs/>
                <w:color w:val="FF0000"/>
                <w:sz w:val="24"/>
                <w:lang w:val="en-US" w:eastAsia="zh-CN"/>
              </w:rPr>
              <w:t>02</w:t>
            </w:r>
            <w:r>
              <w:rPr>
                <w:rFonts w:hint="eastAsia" w:ascii="宋体" w:hAnsi="宋体" w:eastAsia="宋体" w:cs="宋体"/>
                <w:b/>
                <w:bCs/>
                <w:color w:val="FF0000"/>
                <w:sz w:val="24"/>
                <w:lang w:eastAsia="zh-CN"/>
              </w:rPr>
              <w:t>月</w:t>
            </w:r>
            <w:r>
              <w:rPr>
                <w:rFonts w:hint="eastAsia" w:ascii="宋体" w:hAnsi="宋体" w:eastAsia="宋体" w:cs="宋体"/>
                <w:b/>
                <w:bCs/>
                <w:color w:val="FF0000"/>
                <w:sz w:val="24"/>
                <w:lang w:val="en-US" w:eastAsia="zh-CN"/>
              </w:rPr>
              <w:t>10</w:t>
            </w:r>
            <w:r>
              <w:rPr>
                <w:rFonts w:hint="eastAsia" w:ascii="宋体" w:hAnsi="宋体" w:eastAsia="宋体" w:cs="宋体"/>
                <w:b/>
                <w:bCs/>
                <w:color w:val="FF0000"/>
                <w:sz w:val="24"/>
                <w:lang w:eastAsia="zh-CN"/>
              </w:rPr>
              <w:t xml:space="preserve">日 </w:t>
            </w:r>
            <w:r>
              <w:rPr>
                <w:rFonts w:hint="eastAsia" w:ascii="宋体" w:hAnsi="宋体" w:eastAsia="宋体" w:cs="宋体"/>
                <w:b/>
                <w:bCs/>
                <w:color w:val="FF0000"/>
                <w:sz w:val="24"/>
                <w:lang w:val="en-US" w:eastAsia="zh-CN"/>
              </w:rPr>
              <w:t>10</w:t>
            </w:r>
            <w:r>
              <w:rPr>
                <w:rFonts w:hint="eastAsia" w:ascii="宋体" w:hAnsi="宋体" w:eastAsia="宋体" w:cs="宋体"/>
                <w:b/>
                <w:bCs/>
                <w:color w:val="FF0000"/>
                <w:sz w:val="24"/>
                <w:lang w:eastAsia="zh-CN"/>
              </w:rPr>
              <w:t>时</w:t>
            </w:r>
            <w:r>
              <w:rPr>
                <w:rFonts w:hint="eastAsia" w:ascii="宋体" w:hAnsi="宋体" w:eastAsia="宋体" w:cs="宋体"/>
                <w:b/>
                <w:bCs/>
                <w:color w:val="FF0000"/>
                <w:sz w:val="24"/>
                <w:lang w:val="en-US" w:eastAsia="zh-CN"/>
              </w:rPr>
              <w:t>00</w:t>
            </w:r>
            <w:r>
              <w:rPr>
                <w:rFonts w:hint="eastAsia" w:ascii="宋体" w:hAnsi="宋体" w:eastAsia="宋体" w:cs="宋体"/>
                <w:b/>
                <w:bCs/>
                <w:color w:val="FF0000"/>
                <w:sz w:val="24"/>
                <w:lang w:eastAsia="zh-CN"/>
              </w:rPr>
              <w:t>分</w:t>
            </w:r>
            <w:r>
              <w:rPr>
                <w:rFonts w:hint="eastAsia" w:ascii="宋体" w:hAnsi="宋体" w:eastAsia="宋体" w:cs="宋体"/>
                <w:color w:val="000000"/>
                <w:sz w:val="24"/>
                <w:szCs w:val="24"/>
                <w:u w:val="single"/>
                <w:lang w:eastAsia="zh-CN"/>
              </w:rPr>
              <w:t>乐采云</w:t>
            </w:r>
            <w:r>
              <w:rPr>
                <w:rFonts w:hint="eastAsia" w:ascii="宋体" w:hAnsi="宋体" w:eastAsia="宋体" w:cs="宋体"/>
                <w:color w:val="000000"/>
                <w:sz w:val="24"/>
                <w:szCs w:val="24"/>
                <w:u w:val="single"/>
              </w:rPr>
              <w:t>在线开标</w:t>
            </w:r>
            <w:r>
              <w:rPr>
                <w:rFonts w:hint="eastAsia" w:ascii="宋体" w:hAnsi="宋体" w:eastAsia="宋体" w:cs="宋体"/>
                <w:color w:val="000000"/>
                <w:sz w:val="24"/>
                <w:szCs w:val="24"/>
              </w:rPr>
              <w:t>。</w:t>
            </w:r>
          </w:p>
        </w:tc>
      </w:tr>
      <w:tr w14:paraId="31BE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 w:type="dxa"/>
            <w:noWrap w:val="0"/>
            <w:vAlign w:val="center"/>
          </w:tcPr>
          <w:p w14:paraId="58793867">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9048" w:type="dxa"/>
            <w:noWrap w:val="0"/>
            <w:vAlign w:val="center"/>
          </w:tcPr>
          <w:p w14:paraId="05AF5CB1">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评标办法及标准：按照采购文件第四章评标办法及评分标准。</w:t>
            </w:r>
          </w:p>
        </w:tc>
      </w:tr>
      <w:tr w14:paraId="2211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95" w:type="dxa"/>
            <w:noWrap w:val="0"/>
            <w:vAlign w:val="center"/>
          </w:tcPr>
          <w:p w14:paraId="6663524C">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9048" w:type="dxa"/>
            <w:noWrap w:val="0"/>
            <w:vAlign w:val="center"/>
          </w:tcPr>
          <w:p w14:paraId="268A5CF9">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sz w:val="23"/>
                <w:szCs w:val="23"/>
              </w:rPr>
              <w:t>中标（成交）公告：采购人确定中标人后，在浙江政府采购网（http://zfcg.czt.zj.gov.cn/）上进行1个工作日的中标（成交）公告。</w:t>
            </w:r>
          </w:p>
        </w:tc>
      </w:tr>
      <w:tr w14:paraId="41E5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95" w:type="dxa"/>
            <w:noWrap w:val="0"/>
            <w:vAlign w:val="center"/>
          </w:tcPr>
          <w:p w14:paraId="187FF81E">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9048" w:type="dxa"/>
            <w:noWrap w:val="0"/>
            <w:vAlign w:val="center"/>
          </w:tcPr>
          <w:p w14:paraId="4125962A">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中标（成交）通知书：成交结果在中标（成交）公告时，代理机构以书面形式发出《成交通知书》。</w:t>
            </w:r>
          </w:p>
        </w:tc>
      </w:tr>
      <w:tr w14:paraId="3A33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95" w:type="dxa"/>
            <w:noWrap w:val="0"/>
            <w:vAlign w:val="center"/>
          </w:tcPr>
          <w:p w14:paraId="0350BCB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9048" w:type="dxa"/>
            <w:noWrap w:val="0"/>
            <w:vAlign w:val="center"/>
          </w:tcPr>
          <w:p w14:paraId="617317BB">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签订合同：中标（成交）通知书发出后30天内。</w:t>
            </w:r>
          </w:p>
        </w:tc>
      </w:tr>
      <w:tr w14:paraId="3DB2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5" w:type="dxa"/>
            <w:noWrap w:val="0"/>
            <w:vAlign w:val="center"/>
          </w:tcPr>
          <w:p w14:paraId="3D434D79">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p>
        </w:tc>
        <w:tc>
          <w:tcPr>
            <w:tcW w:w="9048" w:type="dxa"/>
            <w:noWrap w:val="0"/>
            <w:vAlign w:val="center"/>
          </w:tcPr>
          <w:p w14:paraId="4E527515">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投标文件有效期：</w:t>
            </w:r>
            <w:r>
              <w:rPr>
                <w:rFonts w:hint="eastAsia" w:ascii="宋体" w:hAnsi="宋体" w:eastAsia="宋体" w:cs="宋体"/>
                <w:sz w:val="24"/>
                <w:szCs w:val="24"/>
                <w:u w:val="single"/>
              </w:rPr>
              <w:t>90</w:t>
            </w:r>
            <w:r>
              <w:rPr>
                <w:rFonts w:hint="eastAsia" w:ascii="宋体" w:hAnsi="宋体" w:eastAsia="宋体" w:cs="宋体"/>
                <w:sz w:val="24"/>
                <w:szCs w:val="24"/>
              </w:rPr>
              <w:t xml:space="preserve"> 天。</w:t>
            </w:r>
          </w:p>
        </w:tc>
      </w:tr>
      <w:tr w14:paraId="401F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95" w:type="dxa"/>
            <w:noWrap w:val="0"/>
            <w:vAlign w:val="center"/>
          </w:tcPr>
          <w:p w14:paraId="6273A59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9048" w:type="dxa"/>
            <w:noWrap w:val="0"/>
            <w:vAlign w:val="center"/>
          </w:tcPr>
          <w:p w14:paraId="7839366A">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解释：本招标文件的解释权属于招标采购单位。</w:t>
            </w:r>
          </w:p>
        </w:tc>
      </w:tr>
      <w:tr w14:paraId="3AD6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5" w:type="dxa"/>
            <w:noWrap w:val="0"/>
            <w:vAlign w:val="center"/>
          </w:tcPr>
          <w:p w14:paraId="1F1E000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9048" w:type="dxa"/>
            <w:noWrap w:val="0"/>
            <w:vAlign w:val="center"/>
          </w:tcPr>
          <w:p w14:paraId="30C27943">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FF0000"/>
                <w:sz w:val="24"/>
                <w:szCs w:val="24"/>
              </w:rPr>
              <w:t>本次招标设定最高限价</w:t>
            </w:r>
            <w:r>
              <w:rPr>
                <w:rFonts w:hint="eastAsia" w:ascii="宋体" w:hAnsi="宋体" w:eastAsia="宋体" w:cs="宋体"/>
                <w:b/>
                <w:bCs/>
                <w:color w:val="FF0000"/>
                <w:sz w:val="24"/>
                <w:szCs w:val="24"/>
                <w:u w:val="single"/>
                <w:lang w:val="en-US" w:eastAsia="zh-CN"/>
              </w:rPr>
              <w:t xml:space="preserve">182 </w:t>
            </w:r>
            <w:r>
              <w:rPr>
                <w:rFonts w:hint="eastAsia" w:ascii="宋体" w:hAnsi="宋体" w:eastAsia="宋体" w:cs="宋体"/>
                <w:b/>
                <w:bCs/>
                <w:color w:val="FF0000"/>
                <w:sz w:val="24"/>
                <w:szCs w:val="24"/>
                <w:lang w:eastAsia="zh-CN"/>
              </w:rPr>
              <w:t>万元</w:t>
            </w:r>
            <w:r>
              <w:rPr>
                <w:rFonts w:hint="eastAsia" w:ascii="宋体" w:hAnsi="宋体" w:eastAsia="宋体" w:cs="宋体"/>
                <w:color w:val="FF0000"/>
                <w:sz w:val="24"/>
                <w:szCs w:val="24"/>
                <w:lang w:eastAsia="zh-CN"/>
              </w:rPr>
              <w:t>。</w:t>
            </w:r>
          </w:p>
        </w:tc>
      </w:tr>
      <w:tr w14:paraId="521D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5" w:type="dxa"/>
            <w:noWrap w:val="0"/>
            <w:vAlign w:val="center"/>
          </w:tcPr>
          <w:p w14:paraId="5631C62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9048" w:type="dxa"/>
            <w:noWrap w:val="0"/>
            <w:vAlign w:val="center"/>
          </w:tcPr>
          <w:p w14:paraId="178EF259">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FF0000"/>
                <w:sz w:val="24"/>
                <w:szCs w:val="24"/>
              </w:rPr>
              <w:t>本项目设置风险控制价为</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127.4  </w:t>
            </w:r>
            <w:r>
              <w:rPr>
                <w:rFonts w:hint="eastAsia" w:ascii="宋体" w:hAnsi="宋体" w:eastAsia="宋体" w:cs="宋体"/>
                <w:color w:val="FF0000"/>
                <w:sz w:val="24"/>
                <w:szCs w:val="24"/>
              </w:rPr>
              <w:t>万元（为最高限价的70%）</w:t>
            </w:r>
            <w:r>
              <w:rPr>
                <w:rFonts w:hint="eastAsia" w:ascii="宋体" w:hAnsi="宋体" w:eastAsia="宋体" w:cs="宋体"/>
                <w:sz w:val="24"/>
                <w:szCs w:val="24"/>
              </w:rPr>
              <w:t>，投标报价低于风险控制价的，中标人在提交履约保证金的同时须额外向采购人提交中标净值与风险控制价之差额作为风险担保金（采用转账或见索即付、不可撤销的银行保函方式，若采用保函方式，如保函担保时间到期，到期延期），风险保证金至本项目按要求验收合格后5日内无息退还。如未按要求完成的，采购人有权扣留风险保证金。允许投标人报价低于风险控制价。</w:t>
            </w:r>
          </w:p>
        </w:tc>
      </w:tr>
      <w:tr w14:paraId="00A4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5" w:type="dxa"/>
            <w:noWrap w:val="0"/>
            <w:vAlign w:val="center"/>
          </w:tcPr>
          <w:p w14:paraId="5B3D8C95">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9048" w:type="dxa"/>
            <w:noWrap w:val="0"/>
            <w:vAlign w:val="center"/>
          </w:tcPr>
          <w:p w14:paraId="5CDAF119">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A.投标截止后，在投标有效期内，供应商不能撤销投标文件。供应商强行撤销投标文件的，应按采购预算金额的2%赔偿对采购组织机构造成损失。</w:t>
            </w:r>
          </w:p>
          <w:p w14:paraId="3D1B099B">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b.中标或者成交后，供应商拒绝签订合同的，采购人可以按照评审报告推荐的中标或者成交候选人名单排序，确定下一候选人为中标或者成交供应商，也可以重新开展采购活动。供应商中标或者成交后拒绝签订合同的，应按采购预算金额的 2%对采购人进行赔偿；赔偿金额不足以弥补采购人损失的，供应商应继续承担超过部分的损失。</w:t>
            </w:r>
          </w:p>
        </w:tc>
      </w:tr>
      <w:tr w14:paraId="7E0E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5" w:type="dxa"/>
            <w:noWrap w:val="0"/>
            <w:vAlign w:val="center"/>
          </w:tcPr>
          <w:p w14:paraId="489D89B7">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9048" w:type="dxa"/>
            <w:noWrap w:val="0"/>
            <w:vAlign w:val="center"/>
          </w:tcPr>
          <w:p w14:paraId="56954336">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本项目招标代理服务费由成交人支付，按浙价服[2003]77号文件货物类收费标准计取。在中标单位领取中标通知书时一次性支付给代理公司。上述费用应含在投标报价中（不得单独列项），投标人在投标报价让利中考虑上述费用。</w:t>
            </w:r>
          </w:p>
        </w:tc>
      </w:tr>
    </w:tbl>
    <w:p w14:paraId="0F603DE0">
      <w:pPr>
        <w:pStyle w:val="20"/>
        <w:snapToGrid w:val="0"/>
        <w:spacing w:before="120" w:after="120" w:line="240" w:lineRule="auto"/>
        <w:rPr>
          <w:rFonts w:hint="eastAsia" w:ascii="宋体" w:hAnsi="宋体" w:eastAsia="宋体" w:cs="宋体"/>
          <w:b/>
          <w:bCs/>
          <w:kern w:val="2"/>
          <w:sz w:val="24"/>
          <w:szCs w:val="24"/>
        </w:rPr>
      </w:pPr>
    </w:p>
    <w:p w14:paraId="6B40ACAD">
      <w:pPr>
        <w:pStyle w:val="20"/>
        <w:snapToGrid w:val="0"/>
        <w:spacing w:before="120" w:after="120" w:line="360" w:lineRule="auto"/>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一 、 总  则</w:t>
      </w:r>
    </w:p>
    <w:p w14:paraId="3DA67A10">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（一）适用范围</w:t>
      </w:r>
    </w:p>
    <w:p w14:paraId="289C16AF">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本招标文件适用于</w:t>
      </w:r>
      <w:r>
        <w:rPr>
          <w:rFonts w:hint="eastAsia" w:ascii="宋体" w:hAnsi="宋体" w:eastAsia="宋体" w:cs="宋体"/>
          <w:sz w:val="24"/>
          <w:lang w:val="zh-CN"/>
        </w:rPr>
        <w:t>桐庐县红灯笼乡村家园户外游乐设施采购及安装项目</w:t>
      </w:r>
      <w:r>
        <w:rPr>
          <w:rFonts w:hint="eastAsia" w:ascii="宋体" w:hAnsi="宋体" w:eastAsia="宋体" w:cs="宋体"/>
          <w:sz w:val="24"/>
        </w:rPr>
        <w:t>的招标、评标、定标、验收、合同履约、付款等（法律、法规另有规定的，从其规定）。</w:t>
      </w:r>
    </w:p>
    <w:p w14:paraId="50F428AA">
      <w:pPr>
        <w:pStyle w:val="20"/>
        <w:snapToGrid w:val="0"/>
        <w:spacing w:before="120" w:after="120" w:line="360" w:lineRule="auto"/>
        <w:ind w:firstLine="482" w:firstLineChars="200"/>
        <w:rPr>
          <w:rFonts w:hint="eastAsia" w:ascii="宋体" w:hAnsi="宋体" w:eastAsia="宋体" w:cs="宋体"/>
          <w:b/>
          <w:bCs/>
          <w:kern w:val="2"/>
          <w:sz w:val="24"/>
          <w:szCs w:val="24"/>
        </w:rPr>
      </w:pPr>
      <w:bookmarkStart w:id="1" w:name="_Toc177824873"/>
      <w:bookmarkStart w:id="2" w:name="_Toc177825121"/>
      <w:bookmarkStart w:id="3" w:name="_Toc177824940"/>
      <w:bookmarkStart w:id="4" w:name="_Toc177870538"/>
      <w:r>
        <w:rPr>
          <w:rFonts w:hint="eastAsia" w:ascii="宋体" w:hAnsi="宋体" w:eastAsia="宋体" w:cs="宋体"/>
          <w:b/>
          <w:bCs/>
          <w:kern w:val="2"/>
          <w:sz w:val="24"/>
          <w:szCs w:val="24"/>
        </w:rPr>
        <w:t>（二）定义</w:t>
      </w:r>
      <w:bookmarkEnd w:id="1"/>
      <w:bookmarkEnd w:id="2"/>
      <w:bookmarkEnd w:id="3"/>
      <w:bookmarkEnd w:id="4"/>
    </w:p>
    <w:p w14:paraId="19F41C25">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1.“供应商”系指向采购机构提交投标文件的单位。</w:t>
      </w:r>
    </w:p>
    <w:p w14:paraId="6369E234">
      <w:pPr>
        <w:snapToGrid w:val="0"/>
        <w:spacing w:line="360" w:lineRule="auto"/>
        <w:ind w:firstLine="480" w:firstLineChars="200"/>
        <w:jc w:val="left"/>
        <w:rPr>
          <w:rFonts w:hint="eastAsia" w:ascii="宋体" w:hAnsi="宋体" w:eastAsia="宋体" w:cs="宋体"/>
          <w:color w:val="FF0000"/>
          <w:sz w:val="24"/>
        </w:rPr>
      </w:pPr>
      <w:r>
        <w:rPr>
          <w:rFonts w:hint="eastAsia" w:ascii="宋体" w:hAnsi="宋体" w:eastAsia="宋体" w:cs="宋体"/>
          <w:sz w:val="24"/>
        </w:rPr>
        <w:t>2.“采购人”系指</w:t>
      </w:r>
      <w:r>
        <w:rPr>
          <w:rFonts w:hint="eastAsia" w:ascii="宋体" w:hAnsi="宋体" w:eastAsia="宋体" w:cs="宋体"/>
          <w:color w:val="auto"/>
          <w:sz w:val="24"/>
          <w:szCs w:val="24"/>
          <w:lang w:eastAsia="zh-CN"/>
        </w:rPr>
        <w:t>桐庐富春旅游开发有限公司</w:t>
      </w:r>
      <w:r>
        <w:rPr>
          <w:rFonts w:hint="eastAsia" w:ascii="宋体" w:hAnsi="宋体" w:eastAsia="宋体" w:cs="宋体"/>
          <w:color w:val="auto"/>
          <w:sz w:val="24"/>
        </w:rPr>
        <w:t>。</w:t>
      </w:r>
    </w:p>
    <w:p w14:paraId="7CECB04C">
      <w:pPr>
        <w:snapToGrid w:val="0"/>
        <w:spacing w:line="360" w:lineRule="auto"/>
        <w:ind w:firstLine="480" w:firstLineChars="200"/>
        <w:jc w:val="left"/>
        <w:rPr>
          <w:rFonts w:hint="eastAsia" w:ascii="宋体" w:hAnsi="宋体" w:eastAsia="宋体" w:cs="宋体"/>
          <w:sz w:val="24"/>
        </w:rPr>
      </w:pPr>
      <w:bookmarkStart w:id="5" w:name="_Toc177870539"/>
      <w:r>
        <w:rPr>
          <w:rFonts w:hint="eastAsia" w:ascii="宋体" w:hAnsi="宋体" w:eastAsia="宋体" w:cs="宋体"/>
          <w:sz w:val="24"/>
        </w:rPr>
        <w:t>3.“采购机构”系指</w:t>
      </w:r>
      <w:r>
        <w:rPr>
          <w:rFonts w:hint="eastAsia" w:ascii="宋体" w:hAnsi="宋体" w:eastAsia="宋体" w:cs="宋体"/>
          <w:sz w:val="24"/>
          <w:lang w:eastAsia="zh-CN"/>
        </w:rPr>
        <w:t>杭州开元物产集团有限公司</w:t>
      </w:r>
      <w:r>
        <w:rPr>
          <w:rFonts w:hint="eastAsia" w:ascii="宋体" w:hAnsi="宋体" w:eastAsia="宋体" w:cs="宋体"/>
          <w:sz w:val="24"/>
        </w:rPr>
        <w:t>。</w:t>
      </w:r>
    </w:p>
    <w:p w14:paraId="4DE830A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4.“服务”系指招标文件要求提供的本项目服务所有工作内容以及其他类似的义务。</w:t>
      </w:r>
    </w:p>
    <w:p w14:paraId="1F4A2EC3">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5.“书面形式”包括信函、传真、电报、电子文档等。</w:t>
      </w:r>
    </w:p>
    <w:p w14:paraId="6D0331E6">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szCs w:val="24"/>
        </w:rPr>
        <w:t>★</w:t>
      </w:r>
      <w:r>
        <w:rPr>
          <w:rFonts w:hint="eastAsia" w:ascii="宋体" w:hAnsi="宋体" w:eastAsia="宋体" w:cs="宋体"/>
          <w:sz w:val="24"/>
        </w:rPr>
        <w:t>”系指实质性要求条款。</w:t>
      </w:r>
    </w:p>
    <w:p w14:paraId="3BA0F70E">
      <w:pPr>
        <w:snapToGrid w:val="0"/>
        <w:spacing w:line="360" w:lineRule="auto"/>
        <w:ind w:firstLine="482" w:firstLineChars="200"/>
        <w:jc w:val="left"/>
        <w:outlineLvl w:val="1"/>
        <w:rPr>
          <w:rFonts w:hint="eastAsia" w:ascii="宋体" w:hAnsi="宋体" w:eastAsia="宋体" w:cs="宋体"/>
          <w:b/>
          <w:color w:val="000000"/>
          <w:sz w:val="24"/>
        </w:rPr>
      </w:pPr>
      <w:r>
        <w:rPr>
          <w:rFonts w:hint="eastAsia" w:ascii="宋体" w:hAnsi="宋体" w:eastAsia="宋体" w:cs="宋体"/>
          <w:b/>
          <w:color w:val="000000"/>
          <w:sz w:val="24"/>
        </w:rPr>
        <w:t>（三）招标方式</w:t>
      </w:r>
      <w:bookmarkEnd w:id="5"/>
    </w:p>
    <w:p w14:paraId="4A7C9969">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本次招标采用公开招标方式进行。</w:t>
      </w:r>
    </w:p>
    <w:p w14:paraId="6C859EEC">
      <w:pPr>
        <w:snapToGrid w:val="0"/>
        <w:spacing w:line="360" w:lineRule="auto"/>
        <w:ind w:firstLine="482" w:firstLineChars="200"/>
        <w:jc w:val="left"/>
        <w:outlineLvl w:val="1"/>
        <w:rPr>
          <w:rFonts w:hint="eastAsia" w:ascii="宋体" w:hAnsi="宋体" w:eastAsia="宋体" w:cs="宋体"/>
          <w:b/>
          <w:color w:val="000000"/>
          <w:sz w:val="24"/>
        </w:rPr>
      </w:pPr>
      <w:bookmarkStart w:id="6" w:name="_Toc177824942"/>
      <w:bookmarkStart w:id="7" w:name="_Toc177870541"/>
      <w:bookmarkStart w:id="8" w:name="_Toc177824875"/>
      <w:bookmarkStart w:id="9" w:name="_Toc177825123"/>
      <w:r>
        <w:rPr>
          <w:rFonts w:hint="eastAsia" w:ascii="宋体" w:hAnsi="宋体" w:eastAsia="宋体" w:cs="宋体"/>
          <w:b/>
          <w:color w:val="000000"/>
          <w:sz w:val="24"/>
        </w:rPr>
        <w:t>（四）投标费用</w:t>
      </w:r>
      <w:bookmarkEnd w:id="6"/>
      <w:bookmarkEnd w:id="7"/>
      <w:bookmarkEnd w:id="8"/>
      <w:bookmarkEnd w:id="9"/>
    </w:p>
    <w:p w14:paraId="70798623">
      <w:pPr>
        <w:snapToGrid w:val="0"/>
        <w:spacing w:line="360" w:lineRule="auto"/>
        <w:ind w:firstLine="480" w:firstLineChars="200"/>
        <w:jc w:val="left"/>
        <w:outlineLvl w:val="1"/>
        <w:rPr>
          <w:rFonts w:hint="eastAsia" w:ascii="宋体" w:hAnsi="宋体" w:eastAsia="宋体" w:cs="宋体"/>
          <w:sz w:val="24"/>
          <w:szCs w:val="20"/>
        </w:rPr>
      </w:pPr>
      <w:r>
        <w:rPr>
          <w:rFonts w:hint="eastAsia" w:ascii="宋体" w:hAnsi="宋体" w:eastAsia="宋体" w:cs="宋体"/>
          <w:sz w:val="24"/>
        </w:rPr>
        <w:t>不论投标结果如何，供应商均应自行承担所有与投标有关的全部费用。</w:t>
      </w:r>
    </w:p>
    <w:p w14:paraId="46BFAC13">
      <w:pPr>
        <w:snapToGrid w:val="0"/>
        <w:spacing w:line="360" w:lineRule="auto"/>
        <w:ind w:firstLine="482" w:firstLineChars="200"/>
        <w:jc w:val="left"/>
        <w:outlineLvl w:val="1"/>
        <w:rPr>
          <w:rFonts w:hint="eastAsia" w:ascii="宋体" w:hAnsi="宋体" w:eastAsia="宋体" w:cs="宋体"/>
          <w:b/>
          <w:color w:val="000000"/>
          <w:sz w:val="24"/>
        </w:rPr>
      </w:pPr>
      <w:r>
        <w:rPr>
          <w:rFonts w:hint="eastAsia" w:ascii="宋体" w:hAnsi="宋体" w:eastAsia="宋体" w:cs="宋体"/>
          <w:b/>
          <w:sz w:val="24"/>
        </w:rPr>
        <w:t>（五）</w:t>
      </w:r>
      <w:bookmarkStart w:id="10" w:name="_Toc177870542"/>
      <w:r>
        <w:rPr>
          <w:rFonts w:hint="eastAsia" w:ascii="宋体" w:hAnsi="宋体" w:eastAsia="宋体" w:cs="宋体"/>
          <w:b/>
          <w:color w:val="000000"/>
          <w:sz w:val="24"/>
        </w:rPr>
        <w:t>特别说明</w:t>
      </w:r>
      <w:bookmarkEnd w:id="10"/>
    </w:p>
    <w:p w14:paraId="0582F59F">
      <w:pPr>
        <w:spacing w:line="360" w:lineRule="auto"/>
        <w:ind w:firstLine="480" w:firstLineChars="200"/>
        <w:rPr>
          <w:rFonts w:hint="eastAsia" w:ascii="宋体" w:hAnsi="宋体" w:eastAsia="宋体" w:cs="宋体"/>
          <w:color w:val="FF0000"/>
          <w:sz w:val="24"/>
        </w:rPr>
      </w:pPr>
      <w:bookmarkStart w:id="11" w:name="_Toc177870543"/>
      <w:r>
        <w:rPr>
          <w:rFonts w:hint="eastAsia" w:ascii="宋体" w:hAnsi="宋体" w:eastAsia="宋体" w:cs="宋体"/>
          <w:sz w:val="24"/>
        </w:rPr>
        <w:t>1、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14:paraId="08271F28">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2、供应商投标所使用的资格、信誉、荣誉、业绩与企业认证必须为本企业所拥有。供应商投标所使用的采购项目实施人员可以为其控股公司的工作人员。</w:t>
      </w:r>
    </w:p>
    <w:p w14:paraId="1ADE7E37">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在投标活动中提供任何虚假材料或从事其他违法活动的,其投标无效，并报监管部门查处；中标后发现的,中标人须依照《中华人民共和国消费者权益保护法》第49条之规定双倍赔偿采购人。且民事赔偿并不免除违法供应商的行政与刑事责任。</w:t>
      </w:r>
    </w:p>
    <w:p w14:paraId="03246804">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4、供应商应仔细阅读招标文件的所有内容，按照招标文件的要求提交投标文件。投标文件应对招标文件的要求作出实质性响应，并对所提供的全部资料的真实性承担法律责任。</w:t>
      </w:r>
    </w:p>
    <w:p w14:paraId="3B3E221E">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5、本次招标项目不得转包分包。本项目不接受联合体投标。</w:t>
      </w:r>
    </w:p>
    <w:p w14:paraId="67098E5F">
      <w:pPr>
        <w:pStyle w:val="2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（六）质疑</w:t>
      </w:r>
      <w:bookmarkEnd w:id="11"/>
      <w:r>
        <w:rPr>
          <w:rFonts w:hint="eastAsia" w:ascii="宋体" w:hAnsi="宋体" w:eastAsia="宋体" w:cs="宋体"/>
          <w:b/>
          <w:bCs/>
          <w:sz w:val="24"/>
          <w:szCs w:val="24"/>
        </w:rPr>
        <w:t>和投诉</w:t>
      </w:r>
    </w:p>
    <w:p w14:paraId="721B6E8A">
      <w:pPr>
        <w:spacing w:line="360" w:lineRule="auto"/>
        <w:ind w:firstLine="480" w:firstLineChars="200"/>
        <w:rPr>
          <w:rFonts w:hint="eastAsia" w:ascii="宋体" w:hAnsi="宋体" w:eastAsia="宋体" w:cs="宋体"/>
          <w:bCs/>
          <w:sz w:val="24"/>
        </w:rPr>
      </w:pPr>
      <w:bookmarkStart w:id="12" w:name="_Toc177870544"/>
      <w:r>
        <w:rPr>
          <w:rFonts w:hint="eastAsia" w:ascii="宋体" w:hAnsi="宋体" w:eastAsia="宋体" w:cs="宋体"/>
          <w:bCs/>
          <w:sz w:val="24"/>
        </w:rPr>
        <w:t>1、供应商认为招标文件、招标过程和中标结果使自己的合法权益受到损害的，应当在知道或者应知其权益受到损害之日起七个工作日内，以书面形式向采购机构提出质疑。供应商对采购机构的质疑答复不满意或者招标采购人未在规定时间内作出答复的，可以在答复期满后十五个工作日内向同级采购监管部门投诉。</w:t>
      </w:r>
    </w:p>
    <w:p w14:paraId="22F529B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2、投标供应商在法定质疑期内一次性提出针对同一采购程序环节的质疑。</w:t>
      </w:r>
    </w:p>
    <w:p w14:paraId="1C127D7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3、供应商认可采购机构在质疑答复程序中启用的调查和复评等程序，在该程序操作过程未明显违反法律禁止性规定时，不得提出疑义；</w:t>
      </w:r>
    </w:p>
    <w:p w14:paraId="094955D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质疑、投诉应当采用书面形式，质疑书、投诉书均应明确阐述招标文件、招标过程和中标结果中使自己合法权益受到损害的实质性内容，提供相关事实、依据和证据及其来源或线索，以及投诉（质疑）人的姓名或者名称、通讯地址、邮编、联系人及联系电话，便于有关单位调查、答复和处理，否则采购机构将不予受理。</w:t>
      </w:r>
    </w:p>
    <w:p w14:paraId="4DBB027F">
      <w:pPr>
        <w:pStyle w:val="2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二、招标文件</w:t>
      </w:r>
      <w:bookmarkEnd w:id="12"/>
    </w:p>
    <w:p w14:paraId="71A0001D">
      <w:pPr>
        <w:snapToGrid w:val="0"/>
        <w:spacing w:line="360" w:lineRule="auto"/>
        <w:ind w:firstLine="316" w:firstLineChars="131"/>
        <w:jc w:val="left"/>
        <w:rPr>
          <w:rFonts w:hint="eastAsia" w:ascii="宋体" w:hAnsi="宋体" w:eastAsia="宋体" w:cs="宋体"/>
          <w:b/>
          <w:color w:val="000000"/>
          <w:sz w:val="24"/>
        </w:rPr>
      </w:pPr>
      <w:r>
        <w:rPr>
          <w:rFonts w:hint="eastAsia" w:ascii="宋体" w:hAnsi="宋体" w:eastAsia="宋体" w:cs="宋体"/>
          <w:b/>
          <w:color w:val="000000"/>
          <w:sz w:val="24"/>
        </w:rPr>
        <w:t>（一）招标文件的构成。本招标文件由以下部分组成：</w:t>
      </w:r>
    </w:p>
    <w:p w14:paraId="59C88690">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1.招标公告</w:t>
      </w:r>
    </w:p>
    <w:p w14:paraId="740138D2">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2.招标需求</w:t>
      </w:r>
    </w:p>
    <w:p w14:paraId="106289A1">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3.供应商须知</w:t>
      </w:r>
    </w:p>
    <w:p w14:paraId="35B61A10">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4.评标办法及标准</w:t>
      </w:r>
    </w:p>
    <w:p w14:paraId="49EC1D11">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5.采购合同</w:t>
      </w:r>
    </w:p>
    <w:p w14:paraId="414A0774">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6.投标文件格式</w:t>
      </w:r>
    </w:p>
    <w:p w14:paraId="0670B20C">
      <w:pPr>
        <w:snapToGrid w:val="0"/>
        <w:spacing w:line="360" w:lineRule="auto"/>
        <w:ind w:firstLine="318" w:firstLineChars="132"/>
        <w:jc w:val="left"/>
        <w:rPr>
          <w:rFonts w:hint="eastAsia" w:ascii="宋体" w:hAnsi="宋体" w:eastAsia="宋体" w:cs="宋体"/>
          <w:b/>
          <w:sz w:val="24"/>
        </w:rPr>
      </w:pPr>
      <w:r>
        <w:rPr>
          <w:rFonts w:hint="eastAsia" w:ascii="宋体" w:hAnsi="宋体" w:eastAsia="宋体" w:cs="宋体"/>
          <w:b/>
          <w:sz w:val="24"/>
        </w:rPr>
        <w:t>（二）供应商的风险</w:t>
      </w:r>
    </w:p>
    <w:p w14:paraId="49CE58BC">
      <w:pPr>
        <w:snapToGrid w:val="0"/>
        <w:spacing w:line="360" w:lineRule="auto"/>
        <w:ind w:firstLine="436" w:firstLineChars="182"/>
        <w:jc w:val="left"/>
        <w:rPr>
          <w:rFonts w:hint="eastAsia" w:ascii="宋体" w:hAnsi="宋体" w:eastAsia="宋体" w:cs="宋体"/>
          <w:sz w:val="24"/>
        </w:rPr>
      </w:pPr>
      <w:r>
        <w:rPr>
          <w:rFonts w:hint="eastAsia" w:ascii="宋体" w:hAnsi="宋体" w:eastAsia="宋体" w:cs="宋体"/>
          <w:sz w:val="24"/>
        </w:rPr>
        <w:t>供应商没有按照招标文件要求提供全部资料，或者供应商没有对招标文件在各方面者作出实质性响应是供应商的风险，并可能导致其投标被拒绝。</w:t>
      </w:r>
    </w:p>
    <w:p w14:paraId="21BCB5BA">
      <w:pPr>
        <w:pStyle w:val="12"/>
        <w:widowControl w:val="0"/>
        <w:numPr>
          <w:ilvl w:val="0"/>
          <w:numId w:val="0"/>
        </w:numPr>
        <w:tabs>
          <w:tab w:val="left" w:pos="454"/>
          <w:tab w:val="left" w:pos="720"/>
        </w:tabs>
        <w:snapToGrid w:val="0"/>
        <w:spacing w:line="360" w:lineRule="auto"/>
        <w:ind w:firstLine="318" w:firstLineChars="132"/>
        <w:rPr>
          <w:rFonts w:hint="eastAsia" w:ascii="宋体" w:hAnsi="宋体" w:eastAsia="宋体" w:cs="宋体"/>
          <w:b/>
          <w:szCs w:val="24"/>
        </w:rPr>
      </w:pPr>
      <w:r>
        <w:rPr>
          <w:rFonts w:hint="eastAsia" w:ascii="宋体" w:hAnsi="宋体" w:eastAsia="宋体" w:cs="宋体"/>
          <w:b/>
          <w:szCs w:val="24"/>
        </w:rPr>
        <w:t xml:space="preserve">（三）招标文件的澄清与修改 </w:t>
      </w:r>
    </w:p>
    <w:p w14:paraId="3ECA5E15">
      <w:pPr>
        <w:pStyle w:val="20"/>
        <w:snapToGrid w:val="0"/>
        <w:spacing w:line="360" w:lineRule="auto"/>
        <w:ind w:firstLine="436" w:firstLineChars="182"/>
        <w:rPr>
          <w:rFonts w:hint="eastAsia" w:ascii="宋体" w:hAnsi="宋体" w:eastAsia="宋体" w:cs="宋体"/>
          <w:bCs/>
          <w:sz w:val="24"/>
        </w:rPr>
      </w:pPr>
      <w:bookmarkStart w:id="13" w:name="_Toc177870545"/>
      <w:r>
        <w:rPr>
          <w:rFonts w:hint="eastAsia" w:ascii="宋体" w:hAnsi="宋体" w:eastAsia="宋体" w:cs="宋体"/>
          <w:bCs/>
          <w:sz w:val="24"/>
        </w:rPr>
        <w:t>1.</w:t>
      </w:r>
      <w:r>
        <w:rPr>
          <w:rFonts w:hint="eastAsia" w:ascii="宋体" w:hAnsi="宋体" w:eastAsia="宋体" w:cs="宋体"/>
          <w:sz w:val="24"/>
        </w:rPr>
        <w:t>供应商应认真阅读本招标文件，发现其中有误或有要求不合理的，供应商必须在</w:t>
      </w:r>
      <w:r>
        <w:rPr>
          <w:rFonts w:hint="eastAsia" w:ascii="宋体" w:hAnsi="宋体" w:eastAsia="宋体" w:cs="宋体"/>
          <w:sz w:val="24"/>
          <w:lang w:eastAsia="zh-CN"/>
        </w:rPr>
        <w:t>前附表</w:t>
      </w:r>
      <w:r>
        <w:rPr>
          <w:rFonts w:hint="eastAsia" w:ascii="宋体" w:hAnsi="宋体" w:eastAsia="宋体" w:cs="宋体"/>
          <w:sz w:val="24"/>
        </w:rPr>
        <w:t>前</w:t>
      </w:r>
      <w:r>
        <w:rPr>
          <w:rFonts w:hint="eastAsia" w:ascii="宋体" w:hAnsi="宋体" w:eastAsia="宋体" w:cs="宋体"/>
          <w:sz w:val="24"/>
          <w:lang w:eastAsia="zh-CN"/>
        </w:rPr>
        <w:t>规定的时间内</w:t>
      </w:r>
      <w:r>
        <w:rPr>
          <w:rFonts w:hint="eastAsia" w:ascii="宋体" w:hAnsi="宋体" w:eastAsia="宋体" w:cs="宋体"/>
          <w:sz w:val="24"/>
        </w:rPr>
        <w:t>以书面形式要求采购人或采购机构澄清</w:t>
      </w:r>
      <w:r>
        <w:rPr>
          <w:rFonts w:hint="eastAsia" w:ascii="宋体" w:hAnsi="宋体" w:eastAsia="宋体" w:cs="宋体"/>
          <w:bCs/>
          <w:sz w:val="24"/>
        </w:rPr>
        <w:t>。</w:t>
      </w:r>
    </w:p>
    <w:p w14:paraId="0530AB9D">
      <w:pPr>
        <w:pStyle w:val="20"/>
        <w:snapToGrid w:val="0"/>
        <w:spacing w:line="360" w:lineRule="auto"/>
        <w:ind w:firstLine="436" w:firstLineChars="182"/>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采购机构对已发出的招标文件进行必要澄清、答复、修改或补充的，将在招标文件要求提交投标文件截止时间15日前，在浙江政府采购网上发布更正公告，请供应商自行到网上查看和下载，供应商因漏看带来的后果由供应商自行承担</w:t>
      </w:r>
      <w:r>
        <w:rPr>
          <w:rFonts w:hint="eastAsia" w:ascii="宋体" w:hAnsi="宋体" w:eastAsia="宋体" w:cs="宋体"/>
          <w:sz w:val="24"/>
        </w:rPr>
        <w:t>。</w:t>
      </w:r>
    </w:p>
    <w:p w14:paraId="7E449A5B">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3.招标文件澄清、答复、修改、补充的内容为招标文件的组成部分。当招标文件与招标文件的答复、澄清、修改、补充通知就同一内容的表述不一致时，以最后发出的文件为准。</w:t>
      </w:r>
    </w:p>
    <w:p w14:paraId="20E44AE3">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4.招标文件的澄清、答复、修改或补充都应该通过采购机构以法定形式发布，采购人非通过采购机构，不得擅自澄清、答复、修改或补充招标文件。</w:t>
      </w:r>
    </w:p>
    <w:p w14:paraId="41E810FB">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5.投标供应商一旦参与本次采购活动，即被视为接受了本招标文件的所有内容，如有任何异议，均已在答疑截止时间前提出。</w:t>
      </w:r>
    </w:p>
    <w:p w14:paraId="09BC3CAC">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6、若有必要，招标代理机构将酌情延长递交投标文件的截止日期。</w:t>
      </w:r>
    </w:p>
    <w:p w14:paraId="3CF4E135">
      <w:pPr>
        <w:pStyle w:val="20"/>
        <w:snapToGrid w:val="0"/>
        <w:spacing w:line="360" w:lineRule="auto"/>
        <w:ind w:firstLine="482" w:firstLineChars="200"/>
        <w:outlineLvl w:val="1"/>
        <w:rPr>
          <w:rFonts w:hint="eastAsia" w:ascii="宋体" w:hAnsi="宋体" w:eastAsia="宋体" w:cs="宋体"/>
          <w:b/>
          <w:sz w:val="24"/>
          <w:szCs w:val="24"/>
        </w:rPr>
      </w:pPr>
    </w:p>
    <w:p w14:paraId="58C5F2CE">
      <w:pPr>
        <w:pStyle w:val="20"/>
        <w:snapToGri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三、投标文件</w:t>
      </w:r>
      <w:bookmarkEnd w:id="13"/>
      <w:r>
        <w:rPr>
          <w:rFonts w:hint="eastAsia" w:ascii="宋体" w:hAnsi="宋体" w:eastAsia="宋体" w:cs="宋体"/>
          <w:b/>
          <w:sz w:val="24"/>
          <w:szCs w:val="24"/>
        </w:rPr>
        <w:t>的编制</w:t>
      </w:r>
    </w:p>
    <w:p w14:paraId="4A3CAFAE">
      <w:pPr>
        <w:snapToGrid w:val="0"/>
        <w:spacing w:line="360" w:lineRule="auto"/>
        <w:ind w:firstLine="482" w:firstLineChars="200"/>
        <w:jc w:val="left"/>
        <w:outlineLvl w:val="0"/>
        <w:rPr>
          <w:rFonts w:hint="eastAsia" w:ascii="宋体" w:hAnsi="宋体" w:eastAsia="宋体" w:cs="宋体"/>
          <w:b/>
          <w:sz w:val="24"/>
        </w:rPr>
      </w:pPr>
      <w:bookmarkStart w:id="14" w:name="_Toc177824943"/>
      <w:bookmarkStart w:id="15" w:name="_Toc177870546"/>
      <w:bookmarkStart w:id="16" w:name="_Toc177824876"/>
      <w:bookmarkStart w:id="17" w:name="_Toc177825124"/>
      <w:r>
        <w:rPr>
          <w:rFonts w:hint="eastAsia" w:ascii="宋体" w:hAnsi="宋体" w:eastAsia="宋体" w:cs="宋体"/>
          <w:b/>
          <w:sz w:val="24"/>
        </w:rPr>
        <w:t>（一）投标文件的组成</w:t>
      </w:r>
      <w:bookmarkEnd w:id="14"/>
      <w:bookmarkEnd w:id="15"/>
      <w:bookmarkEnd w:id="16"/>
      <w:bookmarkEnd w:id="17"/>
    </w:p>
    <w:p w14:paraId="37E0A81A">
      <w:pPr>
        <w:snapToGrid w:val="0"/>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投标文件由</w:t>
      </w:r>
      <w:r>
        <w:rPr>
          <w:rFonts w:hint="eastAsia" w:ascii="宋体" w:hAnsi="宋体" w:eastAsia="宋体" w:cs="宋体"/>
          <w:b/>
          <w:bCs/>
          <w:sz w:val="24"/>
        </w:rPr>
        <w:t>资格文件、商务技术文件</w:t>
      </w:r>
      <w:r>
        <w:rPr>
          <w:rFonts w:hint="eastAsia" w:ascii="宋体" w:hAnsi="宋体" w:eastAsia="宋体" w:cs="宋体"/>
          <w:sz w:val="24"/>
        </w:rPr>
        <w:t>、</w:t>
      </w:r>
      <w:r>
        <w:rPr>
          <w:rFonts w:hint="eastAsia" w:ascii="宋体" w:hAnsi="宋体" w:eastAsia="宋体" w:cs="宋体"/>
          <w:b/>
          <w:bCs/>
          <w:sz w:val="24"/>
        </w:rPr>
        <w:t>报价文件三</w:t>
      </w:r>
      <w:r>
        <w:rPr>
          <w:rFonts w:hint="eastAsia" w:ascii="宋体" w:hAnsi="宋体" w:eastAsia="宋体" w:cs="宋体"/>
          <w:sz w:val="24"/>
        </w:rPr>
        <w:t>部分组成。</w:t>
      </w:r>
    </w:p>
    <w:p w14:paraId="5C420800">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en-US" w:eastAsia="zh-CN"/>
        </w:rPr>
        <w:t>1.</w:t>
      </w:r>
      <w:r>
        <w:rPr>
          <w:rFonts w:hint="eastAsia" w:ascii="宋体" w:hAnsi="宋体" w:eastAsia="宋体" w:cs="宋体"/>
          <w:b/>
          <w:sz w:val="24"/>
          <w:lang w:val="zh-CN"/>
        </w:rPr>
        <w:t>资格文件（均不含报价）：</w:t>
      </w:r>
    </w:p>
    <w:p w14:paraId="248F3628">
      <w:pPr>
        <w:tabs>
          <w:tab w:val="left" w:pos="1440"/>
        </w:tabs>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（1）提供有效的营业执照副本并加盖公章（或事业单位法人登记证或其他工商等登记证明材料）；</w:t>
      </w:r>
    </w:p>
    <w:p w14:paraId="2562BC56">
      <w:pPr>
        <w:tabs>
          <w:tab w:val="left" w:pos="1440"/>
        </w:tabs>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）符合参加政府采购活动应当具备的一般条件的承诺函；</w:t>
      </w:r>
    </w:p>
    <w:p w14:paraId="04C96538">
      <w:pPr>
        <w:tabs>
          <w:tab w:val="left" w:pos="1440"/>
        </w:tabs>
        <w:spacing w:line="360" w:lineRule="auto"/>
        <w:ind w:firstLine="480" w:firstLineChars="200"/>
        <w:rPr>
          <w:rFonts w:hint="eastAsia" w:ascii="宋体" w:hAnsi="宋体" w:eastAsia="宋体" w:cs="宋体"/>
          <w:b/>
          <w:color w:val="000000"/>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）本项目的特定资格要求</w:t>
      </w:r>
      <w:r>
        <w:rPr>
          <w:rFonts w:hint="eastAsia" w:ascii="宋体" w:hAnsi="宋体" w:eastAsia="宋体" w:cs="宋体"/>
          <w:color w:val="auto"/>
          <w:sz w:val="24"/>
        </w:rPr>
        <w:t>（如果有)</w:t>
      </w:r>
      <w:r>
        <w:rPr>
          <w:rFonts w:hint="eastAsia" w:ascii="宋体" w:hAnsi="宋体" w:eastAsia="宋体" w:cs="宋体"/>
          <w:sz w:val="24"/>
          <w:lang w:eastAsia="zh-CN"/>
        </w:rPr>
        <w:t>；</w:t>
      </w:r>
    </w:p>
    <w:p w14:paraId="1360AA9B">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2.商务技术文件（均不含报价）：</w:t>
      </w:r>
    </w:p>
    <w:p w14:paraId="4FC97F8C">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投标函； </w:t>
      </w:r>
    </w:p>
    <w:p w14:paraId="49D16488">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授权委托书或法定代表人（单位负责人、自然人本人）身份证明；</w:t>
      </w:r>
    </w:p>
    <w:p w14:paraId="648EE40A">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符合性审查资料；</w:t>
      </w:r>
    </w:p>
    <w:p w14:paraId="287BA1E3">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rPr>
        <w:t>评标标准相应的商务技术资料；</w:t>
      </w:r>
    </w:p>
    <w:p w14:paraId="05C7FD0F">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r>
        <w:rPr>
          <w:rFonts w:hint="eastAsia" w:ascii="宋体" w:hAnsi="宋体" w:eastAsia="宋体" w:cs="宋体"/>
          <w:color w:val="auto"/>
          <w:sz w:val="24"/>
        </w:rPr>
        <w:t>投标标的清单；</w:t>
      </w:r>
    </w:p>
    <w:p w14:paraId="2B311677">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商务技术偏离表；</w:t>
      </w:r>
    </w:p>
    <w:p w14:paraId="6A553A7F">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w:t>
      </w:r>
      <w:r>
        <w:rPr>
          <w:rFonts w:hint="eastAsia" w:ascii="宋体" w:hAnsi="宋体" w:eastAsia="宋体" w:cs="宋体"/>
          <w:color w:val="auto"/>
          <w:sz w:val="24"/>
        </w:rPr>
        <w:t>采购供应商廉洁自律承诺书；</w:t>
      </w:r>
    </w:p>
    <w:p w14:paraId="72C2EA92">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3.报价文件</w:t>
      </w:r>
    </w:p>
    <w:p w14:paraId="1A609259">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（1）开标一览表（报价表）；</w:t>
      </w:r>
    </w:p>
    <w:p w14:paraId="6CEF358B">
      <w:pPr>
        <w:tabs>
          <w:tab w:val="left" w:pos="1440"/>
        </w:tabs>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投标人针对报价需要说明的其他文件和说明；</w:t>
      </w:r>
    </w:p>
    <w:p w14:paraId="71AE049F">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（二）投标文件的语言及计量</w:t>
      </w:r>
    </w:p>
    <w:p w14:paraId="1D8439F4">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1、投标文件以及供应商与招标人就有关投标事宜的所有来往函电，均应以中文汉语书写。除签名、盖章、专用名称等特殊情形外，以中文汉语以外的文字表述的投标文件视同未提供。</w:t>
      </w:r>
    </w:p>
    <w:p w14:paraId="710A371C">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2、投标计量单位，招标文件已有明确规定的，使用招标文件规定的计量单位；招标文件没有规定的，应采用中华人民共和国法定计量单位（货币单位：人民币元），否则视同未响应。</w:t>
      </w:r>
    </w:p>
    <w:p w14:paraId="42033E3E">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（三）投标报价</w:t>
      </w:r>
    </w:p>
    <w:p w14:paraId="21F51415">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1、投标文件只允许有一个报价，有选择性的报价将不予接受；投标报价应按招标文件中相关附表格式填报，该投标报价应与明细报价汇总相等，且不允许出现报价优惠等字样（明细出现“0”元，视同赠送）。</w:t>
      </w:r>
    </w:p>
    <w:p w14:paraId="60509658">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2、本次报价为招标文件和合同中要求完成的所有因完成本项目服务所产生的一切费用；</w:t>
      </w:r>
    </w:p>
    <w:p w14:paraId="64E61FAE">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3、招标文件未列明，而供应商认为必需的费用也需列入报价。</w:t>
      </w:r>
    </w:p>
    <w:p w14:paraId="3FB1D0B7">
      <w:pPr>
        <w:tabs>
          <w:tab w:val="left" w:pos="454"/>
          <w:tab w:val="left" w:pos="720"/>
        </w:tabs>
        <w:autoSpaceDE w:val="0"/>
        <w:autoSpaceDN w:val="0"/>
        <w:adjustRightInd w:val="0"/>
        <w:spacing w:line="360" w:lineRule="auto"/>
        <w:ind w:firstLine="480"/>
        <w:jc w:val="left"/>
        <w:rPr>
          <w:rFonts w:hint="eastAsia" w:ascii="宋体" w:hAnsi="宋体" w:eastAsia="宋体" w:cs="宋体"/>
          <w:b/>
          <w:sz w:val="24"/>
          <w:lang w:val="zh-CN"/>
        </w:rPr>
      </w:pPr>
      <w:r>
        <w:rPr>
          <w:rFonts w:hint="eastAsia" w:ascii="宋体" w:hAnsi="宋体" w:eastAsia="宋体" w:cs="宋体"/>
          <w:sz w:val="24"/>
          <w:lang w:val="zh-CN"/>
        </w:rPr>
        <w:t>4、投标单位综合考虑投标报价</w:t>
      </w:r>
      <w:r>
        <w:rPr>
          <w:rFonts w:hint="eastAsia" w:ascii="宋体" w:hAnsi="宋体" w:eastAsia="宋体" w:cs="宋体"/>
          <w:bCs/>
          <w:sz w:val="24"/>
          <w:lang w:val="zh-CN"/>
        </w:rPr>
        <w:t>。</w:t>
      </w:r>
    </w:p>
    <w:p w14:paraId="16F112D8">
      <w:pPr>
        <w:tabs>
          <w:tab w:val="left" w:pos="454"/>
          <w:tab w:val="left" w:pos="720"/>
        </w:tabs>
        <w:autoSpaceDE w:val="0"/>
        <w:autoSpaceDN w:val="0"/>
        <w:adjustRightInd w:val="0"/>
        <w:spacing w:line="360" w:lineRule="auto"/>
        <w:ind w:firstLine="354" w:firstLineChars="147"/>
        <w:jc w:val="left"/>
        <w:rPr>
          <w:rFonts w:hint="eastAsia" w:ascii="宋体" w:hAnsi="宋体" w:eastAsia="宋体" w:cs="宋体"/>
          <w:b/>
          <w:sz w:val="24"/>
          <w:lang w:val="zh-CN"/>
        </w:rPr>
      </w:pPr>
      <w:r>
        <w:rPr>
          <w:rFonts w:hint="eastAsia" w:ascii="宋体" w:hAnsi="宋体" w:eastAsia="宋体" w:cs="宋体"/>
          <w:b/>
          <w:sz w:val="24"/>
          <w:lang w:val="zh-CN"/>
        </w:rPr>
        <w:t>（四）投标文件的有效期</w:t>
      </w:r>
    </w:p>
    <w:p w14:paraId="7F01A514">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1.自投标截止日起</w:t>
      </w:r>
      <w:r>
        <w:rPr>
          <w:rFonts w:hint="eastAsia" w:ascii="宋体" w:hAnsi="宋体" w:eastAsia="宋体" w:cs="宋体"/>
          <w:sz w:val="24"/>
          <w:u w:val="single"/>
          <w:lang w:val="zh-CN"/>
        </w:rPr>
        <w:t>90</w:t>
      </w:r>
      <w:r>
        <w:rPr>
          <w:rFonts w:hint="eastAsia" w:ascii="宋体" w:hAnsi="宋体" w:eastAsia="宋体" w:cs="宋体"/>
          <w:sz w:val="24"/>
          <w:lang w:val="zh-CN"/>
        </w:rPr>
        <w:t>天投标书应保持有效。有效期短于这个规定期限的投标将被拒绝。</w:t>
      </w:r>
    </w:p>
    <w:p w14:paraId="4F2D46AC">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2.在特殊情况下，采购机构可与供应商协商延长投标书的有效期，这种要求和答复均以书面形式进行。</w:t>
      </w:r>
    </w:p>
    <w:p w14:paraId="7DCA6CDB">
      <w:pPr>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rPr>
        <w:t>3</w:t>
      </w:r>
      <w:r>
        <w:rPr>
          <w:rFonts w:hint="eastAsia" w:ascii="宋体" w:hAnsi="宋体" w:eastAsia="宋体" w:cs="宋体"/>
          <w:sz w:val="24"/>
          <w:lang w:val="zh-CN"/>
        </w:rPr>
        <w:t>.中标人的投标文件自开标之日起至合同履行完毕止均应保持有效。</w:t>
      </w:r>
    </w:p>
    <w:p w14:paraId="5DD53227">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（五）投标文件的签署和份数</w:t>
      </w:r>
    </w:p>
    <w:p w14:paraId="1EB9AA94">
      <w:pPr>
        <w:pStyle w:val="15"/>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1、《投标文件》的签章：见《前附表》；</w:t>
      </w:r>
    </w:p>
    <w:p w14:paraId="2365EAAC">
      <w:pPr>
        <w:pStyle w:val="15"/>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2、《投标文件》应由投标供应商法定代表人或其授权代表签字（或盖章），并时加盖投标供应商公章。</w:t>
      </w:r>
    </w:p>
    <w:p w14:paraId="1BF04931">
      <w:pPr>
        <w:pStyle w:val="15"/>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3、电子签章操作指南详见采购公告附件《供应商项目采购-电子招投标操作指南》。</w:t>
      </w:r>
    </w:p>
    <w:p w14:paraId="1077494B">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（六）投标文件的形式</w:t>
      </w:r>
    </w:p>
    <w:p w14:paraId="4D7D2903">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1、投标文件的形式：见《前附表》；</w:t>
      </w:r>
    </w:p>
    <w:p w14:paraId="4B3584B2">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2、“电子加密投标文件”：“电子加密投标文件”是指通过“</w:t>
      </w:r>
      <w:r>
        <w:rPr>
          <w:rFonts w:hint="eastAsia" w:ascii="宋体" w:hAnsi="宋体" w:eastAsia="宋体" w:cs="宋体"/>
          <w:kern w:val="2"/>
          <w:sz w:val="24"/>
          <w:szCs w:val="24"/>
          <w:lang w:eastAsia="zh-CN"/>
        </w:rPr>
        <w:t>乐采云电子交易客户端</w:t>
      </w:r>
      <w:r>
        <w:rPr>
          <w:rFonts w:hint="eastAsia" w:ascii="宋体" w:hAnsi="宋体" w:eastAsia="宋体" w:cs="宋体"/>
          <w:kern w:val="2"/>
          <w:sz w:val="24"/>
          <w:szCs w:val="24"/>
        </w:rPr>
        <w:t>”完成投标文件编制后生成并加密的数据电文形式的投标文件。</w:t>
      </w:r>
    </w:p>
    <w:p w14:paraId="0A63CD96">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3、“备份投标文件”：“备份投标文件”是指与“电子加密投标文件”同时生成的数据电文形式的电子文件（备份标书），其他方式编制的“备份投标文件”视为无效的“备份投标文件”。</w:t>
      </w:r>
    </w:p>
    <w:p w14:paraId="4454D097">
      <w:pPr>
        <w:pStyle w:val="15"/>
        <w:tabs>
          <w:tab w:val="left" w:pos="1365"/>
          <w:tab w:val="left" w:pos="3375"/>
        </w:tabs>
        <w:spacing w:line="360" w:lineRule="auto"/>
        <w:ind w:firstLine="482"/>
        <w:rPr>
          <w:rFonts w:hint="eastAsia" w:ascii="宋体" w:hAnsi="宋体" w:eastAsia="宋体" w:cs="宋体"/>
          <w:b/>
          <w:kern w:val="2"/>
          <w:sz w:val="24"/>
          <w:szCs w:val="24"/>
          <w:lang w:val="zh-CN"/>
        </w:rPr>
      </w:pPr>
      <w:r>
        <w:rPr>
          <w:rFonts w:hint="eastAsia" w:ascii="宋体" w:hAnsi="宋体" w:eastAsia="宋体" w:cs="宋体"/>
          <w:b/>
          <w:kern w:val="2"/>
          <w:sz w:val="24"/>
          <w:szCs w:val="24"/>
          <w:lang w:val="zh-CN"/>
        </w:rPr>
        <w:t>（七）投标无效的情形</w:t>
      </w:r>
    </w:p>
    <w:p w14:paraId="2FF87573">
      <w:pPr>
        <w:pStyle w:val="15"/>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14:paraId="7CE04A55">
      <w:pPr>
        <w:numPr>
          <w:ilvl w:val="0"/>
          <w:numId w:val="5"/>
        </w:numPr>
        <w:spacing w:line="360" w:lineRule="auto"/>
        <w:rPr>
          <w:rFonts w:hint="eastAsia" w:ascii="宋体" w:hAnsi="宋体" w:eastAsia="宋体" w:cs="宋体"/>
          <w:bCs/>
          <w:kern w:val="2"/>
          <w:sz w:val="24"/>
          <w:szCs w:val="24"/>
        </w:rPr>
      </w:pPr>
      <w:r>
        <w:rPr>
          <w:rFonts w:hint="eastAsia" w:ascii="宋体" w:hAnsi="宋体" w:eastAsia="宋体" w:cs="宋体"/>
          <w:bCs/>
          <w:kern w:val="2"/>
          <w:sz w:val="24"/>
          <w:szCs w:val="24"/>
          <w:lang w:val="zh-CN"/>
        </w:rPr>
        <w:t>在符合性审查时，如发现下列情形之一的，投标文件将被视为无效投标：</w:t>
      </w:r>
    </w:p>
    <w:p w14:paraId="2B38402C">
      <w:pPr>
        <w:snapToGrid w:val="0"/>
        <w:spacing w:line="360" w:lineRule="auto"/>
        <w:rPr>
          <w:rFonts w:hint="eastAsia" w:ascii="宋体" w:hAnsi="宋体" w:eastAsia="宋体" w:cs="宋体"/>
          <w:sz w:val="24"/>
        </w:rPr>
      </w:pPr>
      <w:r>
        <w:rPr>
          <w:rFonts w:hint="eastAsia" w:ascii="宋体" w:hAnsi="宋体" w:eastAsia="宋体" w:cs="宋体"/>
          <w:sz w:val="24"/>
        </w:rPr>
        <w:t>（1）投标有效期不足的；</w:t>
      </w:r>
    </w:p>
    <w:p w14:paraId="33FB5DF0">
      <w:pPr>
        <w:snapToGrid w:val="0"/>
        <w:spacing w:line="360" w:lineRule="auto"/>
        <w:rPr>
          <w:rFonts w:hint="eastAsia" w:ascii="宋体" w:hAnsi="宋体" w:eastAsia="宋体" w:cs="宋体"/>
          <w:sz w:val="24"/>
        </w:rPr>
      </w:pPr>
      <w:r>
        <w:rPr>
          <w:rFonts w:hint="eastAsia" w:ascii="宋体" w:hAnsi="宋体" w:eastAsia="宋体" w:cs="宋体"/>
          <w:sz w:val="24"/>
        </w:rPr>
        <w:t>（2）电子投标文件解密失败且未在规定时间内提交备份投标文件的；或仅提交备份投标文件的；</w:t>
      </w:r>
    </w:p>
    <w:p w14:paraId="40BEE713">
      <w:pPr>
        <w:snapToGrid w:val="0"/>
        <w:spacing w:line="360" w:lineRule="auto"/>
        <w:rPr>
          <w:rFonts w:hint="eastAsia" w:ascii="宋体" w:hAnsi="宋体" w:eastAsia="宋体" w:cs="宋体"/>
          <w:sz w:val="24"/>
        </w:rPr>
      </w:pPr>
      <w:r>
        <w:rPr>
          <w:rFonts w:hint="eastAsia" w:ascii="宋体" w:hAnsi="宋体" w:eastAsia="宋体" w:cs="宋体"/>
          <w:sz w:val="24"/>
        </w:rPr>
        <w:t>（3）供应商被列入失信被执行人、重大税收违法案件当事人名单、政府采购严重违法失信行为记录名单的；</w:t>
      </w:r>
    </w:p>
    <w:p w14:paraId="3920801D">
      <w:pPr>
        <w:snapToGrid w:val="0"/>
        <w:spacing w:line="360" w:lineRule="auto"/>
        <w:rPr>
          <w:rFonts w:hint="eastAsia" w:ascii="宋体" w:hAnsi="宋体" w:eastAsia="宋体" w:cs="宋体"/>
          <w:sz w:val="24"/>
        </w:rPr>
      </w:pPr>
      <w:r>
        <w:rPr>
          <w:rFonts w:hint="eastAsia" w:ascii="宋体" w:hAnsi="宋体" w:eastAsia="宋体" w:cs="宋体"/>
          <w:sz w:val="24"/>
        </w:rPr>
        <w:t>（4）投标文件未按招标文件要求</w:t>
      </w:r>
      <w:r>
        <w:rPr>
          <w:rFonts w:hint="eastAsia" w:ascii="宋体" w:hAnsi="宋体" w:eastAsia="宋体" w:cs="宋体"/>
          <w:sz w:val="24"/>
          <w:lang w:eastAsia="zh-CN"/>
        </w:rPr>
        <w:t>编制、</w:t>
      </w:r>
      <w:r>
        <w:rPr>
          <w:rFonts w:hint="eastAsia" w:ascii="宋体" w:hAnsi="宋体" w:eastAsia="宋体" w:cs="宋体"/>
          <w:sz w:val="24"/>
        </w:rPr>
        <w:t>签署、盖章的；</w:t>
      </w:r>
    </w:p>
    <w:p w14:paraId="70716696">
      <w:pPr>
        <w:snapToGrid w:val="0"/>
        <w:spacing w:line="360" w:lineRule="auto"/>
        <w:rPr>
          <w:rFonts w:hint="eastAsia" w:ascii="宋体" w:hAnsi="宋体" w:eastAsia="宋体" w:cs="宋体"/>
          <w:sz w:val="24"/>
        </w:rPr>
      </w:pPr>
      <w:r>
        <w:rPr>
          <w:rFonts w:hint="eastAsia" w:ascii="宋体" w:hAnsi="宋体" w:eastAsia="宋体" w:cs="宋体"/>
          <w:sz w:val="24"/>
        </w:rPr>
        <w:t>（5）与招标文件有重大偏离、未满足带“</w:t>
      </w:r>
      <w:r>
        <w:rPr>
          <w:rFonts w:hint="eastAsia" w:ascii="宋体" w:hAnsi="宋体" w:eastAsia="宋体" w:cs="宋体"/>
          <w:sz w:val="24"/>
          <w:lang w:eastAsia="zh-CN"/>
        </w:rPr>
        <w:t>★</w:t>
      </w:r>
      <w:r>
        <w:rPr>
          <w:rFonts w:hint="eastAsia" w:ascii="宋体" w:hAnsi="宋体" w:eastAsia="宋体" w:cs="宋体"/>
          <w:sz w:val="24"/>
        </w:rPr>
        <w:t>”号实质性指标的投标文件；</w:t>
      </w:r>
    </w:p>
    <w:p w14:paraId="1A1726B2">
      <w:pPr>
        <w:snapToGrid w:val="0"/>
        <w:spacing w:line="360" w:lineRule="auto"/>
        <w:rPr>
          <w:rFonts w:hint="eastAsia" w:ascii="宋体" w:hAnsi="宋体" w:eastAsia="宋体" w:cs="宋体"/>
          <w:sz w:val="24"/>
        </w:rPr>
      </w:pPr>
      <w:r>
        <w:rPr>
          <w:rFonts w:hint="eastAsia" w:ascii="宋体" w:hAnsi="宋体" w:eastAsia="宋体" w:cs="宋体"/>
          <w:sz w:val="24"/>
        </w:rPr>
        <w:t>（6）对一个标项提供两个投标方案的；</w:t>
      </w:r>
    </w:p>
    <w:p w14:paraId="71942C45">
      <w:pPr>
        <w:snapToGrid w:val="0"/>
        <w:spacing w:line="360" w:lineRule="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eastAsia="zh-CN"/>
        </w:rPr>
        <w:t>资格文件、</w:t>
      </w:r>
      <w:r>
        <w:rPr>
          <w:rFonts w:hint="eastAsia" w:ascii="宋体" w:hAnsi="宋体" w:eastAsia="宋体" w:cs="宋体"/>
          <w:sz w:val="24"/>
        </w:rPr>
        <w:t>商务</w:t>
      </w:r>
      <w:r>
        <w:rPr>
          <w:rFonts w:hint="eastAsia" w:ascii="宋体" w:hAnsi="宋体" w:eastAsia="宋体" w:cs="宋体"/>
          <w:sz w:val="24"/>
          <w:lang w:eastAsia="zh-CN"/>
        </w:rPr>
        <w:t>技术文件</w:t>
      </w:r>
      <w:r>
        <w:rPr>
          <w:rFonts w:hint="eastAsia" w:ascii="宋体" w:hAnsi="宋体" w:eastAsia="宋体" w:cs="宋体"/>
          <w:sz w:val="24"/>
        </w:rPr>
        <w:t>中出现投标价格信息的；</w:t>
      </w:r>
    </w:p>
    <w:p w14:paraId="6816FB03">
      <w:pPr>
        <w:snapToGrid w:val="0"/>
        <w:spacing w:line="360" w:lineRule="auto"/>
        <w:rPr>
          <w:rFonts w:hint="eastAsia" w:ascii="宋体" w:hAnsi="宋体" w:eastAsia="宋体" w:cs="宋体"/>
          <w:sz w:val="24"/>
        </w:rPr>
      </w:pPr>
      <w:r>
        <w:rPr>
          <w:rFonts w:hint="eastAsia" w:ascii="宋体" w:hAnsi="宋体" w:eastAsia="宋体" w:cs="宋体"/>
          <w:sz w:val="24"/>
        </w:rPr>
        <w:t>（8）供应商被视为串通投标的；</w:t>
      </w:r>
    </w:p>
    <w:p w14:paraId="6A08C9C8">
      <w:pPr>
        <w:snapToGrid w:val="0"/>
        <w:spacing w:line="360" w:lineRule="auto"/>
        <w:rPr>
          <w:rFonts w:hint="eastAsia" w:ascii="宋体" w:hAnsi="宋体" w:eastAsia="宋体" w:cs="宋体"/>
          <w:sz w:val="24"/>
        </w:rPr>
      </w:pPr>
      <w:r>
        <w:rPr>
          <w:rFonts w:hint="eastAsia" w:ascii="宋体" w:hAnsi="宋体" w:eastAsia="宋体" w:cs="宋体"/>
          <w:sz w:val="24"/>
        </w:rPr>
        <w:t>（9）投标文件含有采购人不能接受的附加条件的；</w:t>
      </w:r>
    </w:p>
    <w:p w14:paraId="664C0733">
      <w:pPr>
        <w:snapToGrid w:val="0"/>
        <w:spacing w:line="360" w:lineRule="auto"/>
        <w:rPr>
          <w:rFonts w:hint="eastAsia" w:ascii="宋体" w:hAnsi="宋体" w:eastAsia="宋体" w:cs="宋体"/>
          <w:sz w:val="24"/>
        </w:rPr>
      </w:pPr>
      <w:r>
        <w:rPr>
          <w:rFonts w:hint="eastAsia" w:ascii="宋体" w:hAnsi="宋体" w:eastAsia="宋体" w:cs="宋体"/>
          <w:sz w:val="24"/>
        </w:rPr>
        <w:t>（10）不符合法律、法规和本招标文件规定的其他实质性要求的。</w:t>
      </w:r>
    </w:p>
    <w:p w14:paraId="607F40C3">
      <w:pPr>
        <w:snapToGrid w:val="0"/>
        <w:spacing w:line="360" w:lineRule="auto"/>
        <w:rPr>
          <w:rFonts w:hint="eastAsia" w:ascii="宋体" w:hAnsi="宋体" w:eastAsia="宋体" w:cs="宋体"/>
          <w:sz w:val="24"/>
        </w:rPr>
      </w:pPr>
      <w:r>
        <w:rPr>
          <w:rFonts w:hint="eastAsia" w:ascii="宋体" w:hAnsi="宋体" w:eastAsia="宋体" w:cs="宋体"/>
          <w:sz w:val="24"/>
          <w:lang w:val="zh-CN"/>
        </w:rPr>
        <w:t>2、</w:t>
      </w:r>
      <w:r>
        <w:rPr>
          <w:rFonts w:hint="eastAsia" w:ascii="宋体" w:hAnsi="宋体" w:eastAsia="宋体" w:cs="宋体"/>
          <w:sz w:val="24"/>
        </w:rPr>
        <w:t>在技术评议时，如发现下列情形之一的，投标文件将被视为无效投标：</w:t>
      </w:r>
    </w:p>
    <w:p w14:paraId="218691BB">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（1）未提供或未如实提供投标货物的技术参数，或者投标文件标明的响应或偏离与事实不符或虚假投标的；</w:t>
      </w:r>
    </w:p>
    <w:p w14:paraId="7BF76B37">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（2）明显不符合招标文件要求的规格型号、质量标准，或者与招标文件中标“</w:t>
      </w:r>
      <w:r>
        <w:rPr>
          <w:rFonts w:hint="eastAsia" w:ascii="宋体" w:hAnsi="宋体" w:eastAsia="宋体" w:cs="宋体"/>
          <w:sz w:val="24"/>
          <w:lang w:val="zh-CN" w:eastAsia="zh-CN"/>
        </w:rPr>
        <w:t>★</w:t>
      </w:r>
      <w:r>
        <w:rPr>
          <w:rFonts w:hint="eastAsia" w:ascii="宋体" w:hAnsi="宋体" w:eastAsia="宋体" w:cs="宋体"/>
          <w:sz w:val="24"/>
          <w:lang w:val="zh-CN"/>
        </w:rPr>
        <w:t>”的技术指标、主要功能项目发生实质性偏离的；</w:t>
      </w:r>
    </w:p>
    <w:p w14:paraId="52016035">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（3）与其他参加本次投标供应商的投标文件（技术文件）的文字表述内容相同连续20行以上或者差错相同2处以上的；</w:t>
      </w:r>
    </w:p>
    <w:p w14:paraId="325625B3">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（4）投标技术方案不明确，存在一个或一个以上备选（替代）投标方案的；</w:t>
      </w:r>
    </w:p>
    <w:p w14:paraId="0730098B">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3、在报价评议时，如发现下列情形之一的，投标文件将被视为无效投标：</w:t>
      </w:r>
    </w:p>
    <w:p w14:paraId="1E8C5F2C">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（1）未采用人民币报价或者未按照招标文件标明的币种报价的；</w:t>
      </w:r>
    </w:p>
    <w:p w14:paraId="4BF0A0D2">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（2）投标报价超出招标文件规定的最高限价的；</w:t>
      </w:r>
    </w:p>
    <w:p w14:paraId="322AD313">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（3）开标一览表中的投标报价合计与投标报价明细表的总价不一致的，供应商拒绝修正的；</w:t>
      </w:r>
    </w:p>
    <w:p w14:paraId="38C5764F">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（4）投标报价具有选择性，唱标价格与投标文件承诺的优惠/折扣后价格不一致的。</w:t>
      </w:r>
    </w:p>
    <w:p w14:paraId="7EE236B2">
      <w:pPr>
        <w:autoSpaceDE w:val="0"/>
        <w:autoSpaceDN w:val="0"/>
        <w:adjustRightInd w:val="0"/>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4、符合招标文件明确规定的其他无效投标条款的。</w:t>
      </w:r>
    </w:p>
    <w:p w14:paraId="4B7556F5">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四、开标</w:t>
      </w:r>
    </w:p>
    <w:p w14:paraId="4593793D">
      <w:pPr>
        <w:autoSpaceDE w:val="0"/>
        <w:autoSpaceDN w:val="0"/>
        <w:adjustRightInd w:val="0"/>
        <w:spacing w:line="360" w:lineRule="auto"/>
        <w:ind w:firstLine="354"/>
        <w:rPr>
          <w:rFonts w:hint="eastAsia" w:ascii="宋体" w:hAnsi="宋体" w:eastAsia="宋体" w:cs="宋体"/>
          <w:b/>
          <w:sz w:val="24"/>
        </w:rPr>
      </w:pPr>
      <w:r>
        <w:rPr>
          <w:rFonts w:hint="eastAsia" w:ascii="宋体" w:hAnsi="宋体" w:eastAsia="宋体" w:cs="宋体"/>
          <w:b/>
          <w:sz w:val="24"/>
          <w:lang w:val="zh-CN"/>
        </w:rPr>
        <w:t>（一）开标形式</w:t>
      </w:r>
    </w:p>
    <w:p w14:paraId="581AB18E">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lang w:val="zh-CN"/>
        </w:rPr>
        <w:t>采购组织机构将按照招标文件规定的时间通过“乐采云平台”组织开标、开启投标文件，所有供应商均应当准时在线参加。</w:t>
      </w:r>
    </w:p>
    <w:p w14:paraId="3A747C7D">
      <w:pPr>
        <w:autoSpaceDE w:val="0"/>
        <w:autoSpaceDN w:val="0"/>
        <w:adjustRightInd w:val="0"/>
        <w:spacing w:line="360" w:lineRule="auto"/>
        <w:ind w:firstLine="472" w:firstLineChars="196"/>
        <w:rPr>
          <w:rFonts w:hint="eastAsia" w:ascii="宋体" w:hAnsi="宋体" w:eastAsia="宋体" w:cs="宋体"/>
          <w:b/>
          <w:sz w:val="24"/>
          <w:lang w:val="zh-CN"/>
        </w:rPr>
      </w:pPr>
      <w:r>
        <w:rPr>
          <w:rFonts w:hint="eastAsia" w:ascii="宋体" w:hAnsi="宋体" w:eastAsia="宋体" w:cs="宋体"/>
          <w:b/>
          <w:sz w:val="24"/>
          <w:lang w:val="zh-CN"/>
        </w:rPr>
        <w:t>（二） 开标准备</w:t>
      </w:r>
    </w:p>
    <w:p w14:paraId="3A25752C">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zh-CN"/>
        </w:rPr>
        <w:t>开标的准备工作由采购组织机构负责落实；</w:t>
      </w:r>
    </w:p>
    <w:p w14:paraId="7F3AF739">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采购组织机构将按照招标文件规定的时间通过“乐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B06CE18">
      <w:pPr>
        <w:autoSpaceDE w:val="0"/>
        <w:autoSpaceDN w:val="0"/>
        <w:adjustRightInd w:val="0"/>
        <w:spacing w:line="360" w:lineRule="auto"/>
        <w:ind w:firstLine="472" w:firstLineChars="196"/>
        <w:rPr>
          <w:rFonts w:hint="eastAsia" w:ascii="宋体" w:hAnsi="宋体" w:eastAsia="宋体" w:cs="宋体"/>
          <w:b/>
          <w:sz w:val="24"/>
          <w:lang w:val="zh-CN"/>
        </w:rPr>
      </w:pPr>
      <w:r>
        <w:rPr>
          <w:rFonts w:hint="eastAsia" w:ascii="宋体" w:hAnsi="宋体" w:eastAsia="宋体" w:cs="宋体"/>
          <w:b/>
          <w:sz w:val="24"/>
          <w:lang w:val="zh-CN"/>
        </w:rPr>
        <w:t>（三）开标流程</w:t>
      </w:r>
    </w:p>
    <w:p w14:paraId="5EFD0152">
      <w:pPr>
        <w:pStyle w:val="20"/>
        <w:widowControl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szCs w:val="24"/>
        </w:rPr>
        <w:t>投标截止时间后，</w:t>
      </w:r>
      <w:r>
        <w:rPr>
          <w:rFonts w:hint="eastAsia" w:ascii="宋体" w:hAnsi="宋体" w:eastAsia="宋体" w:cs="宋体"/>
          <w:sz w:val="24"/>
        </w:rPr>
        <w:t>采购组织机构向各投标供应商发出电子加密投标文件【开始解密】通知，由供应商按招标文件规定的时间内自行进行投标文件解密。</w:t>
      </w:r>
      <w:r>
        <w:rPr>
          <w:rFonts w:hint="eastAsia" w:ascii="宋体" w:hAnsi="宋体" w:eastAsia="宋体" w:cs="宋体"/>
          <w:sz w:val="24"/>
          <w:szCs w:val="24"/>
        </w:rPr>
        <w:t>在线解密电子投标文件时间为开标时间起半个小时内。</w:t>
      </w:r>
      <w:r>
        <w:rPr>
          <w:rFonts w:hint="eastAsia" w:ascii="宋体" w:hAnsi="宋体" w:eastAsia="宋体" w:cs="宋体"/>
          <w:sz w:val="24"/>
        </w:rPr>
        <w:t>投标供应商在规定的时间内无法完成已递交的“电子加密投标文件”解密的，如已按规定递交了备份投标文件的，将由采购组织机构按“</w:t>
      </w:r>
      <w:r>
        <w:rPr>
          <w:rFonts w:hint="eastAsia" w:ascii="宋体" w:hAnsi="宋体" w:eastAsia="宋体" w:cs="宋体"/>
          <w:sz w:val="24"/>
          <w:lang w:eastAsia="zh-CN"/>
        </w:rPr>
        <w:t>乐采云平台</w:t>
      </w:r>
      <w:r>
        <w:rPr>
          <w:rFonts w:hint="eastAsia" w:ascii="宋体" w:hAnsi="宋体" w:eastAsia="宋体" w:cs="宋体"/>
          <w:sz w:val="24"/>
        </w:rPr>
        <w:t>”操作规范将备份投标文件上传至“</w:t>
      </w:r>
      <w:r>
        <w:rPr>
          <w:rFonts w:hint="eastAsia" w:ascii="宋体" w:hAnsi="宋体" w:eastAsia="宋体" w:cs="宋体"/>
          <w:sz w:val="24"/>
          <w:lang w:eastAsia="zh-CN"/>
        </w:rPr>
        <w:t>乐采云平台</w:t>
      </w:r>
      <w:r>
        <w:rPr>
          <w:rFonts w:hint="eastAsia" w:ascii="宋体" w:hAnsi="宋体" w:eastAsia="宋体" w:cs="宋体"/>
          <w:sz w:val="24"/>
        </w:rPr>
        <w:t>”，上传成功后，“电子加密投标文件”自动失效；</w:t>
      </w:r>
    </w:p>
    <w:p w14:paraId="77EC4D3F">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2.评标委员会对资格和商务技术响应文件进行评审；</w:t>
      </w:r>
    </w:p>
    <w:p w14:paraId="1622ECFF">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3.在系统上公开资格和商务技术评审结果；</w:t>
      </w:r>
    </w:p>
    <w:p w14:paraId="1DA7196A">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4.在系统上公开报价开标情况；</w:t>
      </w:r>
    </w:p>
    <w:p w14:paraId="5031422A">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5.评标委员会对报价情况进行评审；</w:t>
      </w:r>
    </w:p>
    <w:p w14:paraId="0E0E44C4">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6.在系统上公布评审结果。</w:t>
      </w:r>
    </w:p>
    <w:p w14:paraId="41FA0318">
      <w:pPr>
        <w:spacing w:line="360" w:lineRule="auto"/>
        <w:ind w:firstLine="426" w:firstLineChars="177"/>
        <w:jc w:val="left"/>
        <w:rPr>
          <w:rFonts w:hint="eastAsia" w:ascii="宋体" w:hAnsi="宋体" w:eastAsia="宋体" w:cs="宋体"/>
          <w:b/>
          <w:color w:val="000000"/>
          <w:sz w:val="24"/>
        </w:rPr>
      </w:pPr>
      <w:r>
        <w:rPr>
          <w:rFonts w:hint="eastAsia" w:ascii="宋体" w:hAnsi="宋体" w:eastAsia="宋体" w:cs="宋体"/>
          <w:b/>
          <w:color w:val="000000"/>
          <w:sz w:val="24"/>
        </w:rPr>
        <w:t>特别说明：如遇“</w:t>
      </w:r>
      <w:r>
        <w:rPr>
          <w:rFonts w:hint="eastAsia" w:ascii="宋体" w:hAnsi="宋体" w:eastAsia="宋体" w:cs="宋体"/>
          <w:b/>
          <w:color w:val="000000"/>
          <w:sz w:val="24"/>
          <w:lang w:eastAsia="zh-CN"/>
        </w:rPr>
        <w:t>乐采云平台</w:t>
      </w:r>
      <w:r>
        <w:rPr>
          <w:rFonts w:hint="eastAsia" w:ascii="宋体" w:hAnsi="宋体" w:eastAsia="宋体" w:cs="宋体"/>
          <w:b/>
          <w:color w:val="000000"/>
          <w:sz w:val="24"/>
        </w:rPr>
        <w:t>”电子化开标或评审程序调整的，按调整后程序执行。</w:t>
      </w:r>
    </w:p>
    <w:p w14:paraId="4CAC3B25">
      <w:pPr>
        <w:autoSpaceDE w:val="0"/>
        <w:autoSpaceDN w:val="0"/>
        <w:adjustRightInd w:val="0"/>
        <w:spacing w:line="360" w:lineRule="auto"/>
        <w:ind w:firstLine="472" w:firstLineChars="196"/>
        <w:rPr>
          <w:rFonts w:hint="eastAsia" w:ascii="宋体" w:hAnsi="宋体" w:eastAsia="宋体" w:cs="宋体"/>
          <w:b/>
          <w:sz w:val="24"/>
          <w:lang w:val="zh-CN"/>
        </w:rPr>
      </w:pPr>
      <w:bookmarkStart w:id="18" w:name="_Toc33194393"/>
      <w:bookmarkStart w:id="19" w:name="_Toc24550037"/>
      <w:r>
        <w:rPr>
          <w:rFonts w:hint="eastAsia" w:ascii="宋体" w:hAnsi="宋体" w:eastAsia="宋体" w:cs="宋体"/>
          <w:b/>
          <w:sz w:val="24"/>
          <w:lang w:val="zh-CN"/>
        </w:rPr>
        <w:t>（四）投标供应商资格审查</w:t>
      </w:r>
      <w:bookmarkEnd w:id="18"/>
      <w:bookmarkEnd w:id="19"/>
    </w:p>
    <w:p w14:paraId="60D04C0C">
      <w:pPr>
        <w:spacing w:line="360" w:lineRule="auto"/>
        <w:ind w:firstLine="424" w:firstLineChars="177"/>
        <w:rPr>
          <w:rFonts w:hint="eastAsia" w:ascii="宋体" w:hAnsi="宋体" w:eastAsia="宋体" w:cs="宋体"/>
          <w:bCs/>
          <w:color w:val="000000"/>
          <w:sz w:val="24"/>
        </w:rPr>
      </w:pPr>
      <w:r>
        <w:rPr>
          <w:rFonts w:hint="eastAsia" w:ascii="宋体" w:hAnsi="宋体" w:eastAsia="宋体" w:cs="宋体"/>
          <w:bCs/>
          <w:color w:val="000000"/>
          <w:sz w:val="24"/>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37D23BF9">
      <w:pPr>
        <w:spacing w:line="360" w:lineRule="auto"/>
        <w:ind w:firstLine="424" w:firstLineChars="177"/>
        <w:rPr>
          <w:rFonts w:hint="eastAsia" w:ascii="宋体" w:hAnsi="宋体" w:eastAsia="宋体" w:cs="宋体"/>
          <w:bCs/>
          <w:color w:val="000000"/>
          <w:sz w:val="24"/>
        </w:rPr>
      </w:pPr>
      <w:r>
        <w:rPr>
          <w:rFonts w:hint="eastAsia" w:ascii="宋体" w:hAnsi="宋体" w:eastAsia="宋体" w:cs="宋体"/>
          <w:bCs/>
          <w:color w:val="000000"/>
          <w:sz w:val="24"/>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659AA221">
      <w:pPr>
        <w:spacing w:line="360" w:lineRule="auto"/>
        <w:ind w:firstLine="424" w:firstLineChars="177"/>
        <w:rPr>
          <w:rFonts w:hint="eastAsia" w:ascii="宋体" w:hAnsi="宋体" w:eastAsia="宋体" w:cs="宋体"/>
          <w:bCs/>
          <w:sz w:val="24"/>
          <w:lang w:val="zh-CN"/>
        </w:rPr>
      </w:pPr>
      <w:r>
        <w:rPr>
          <w:rFonts w:hint="eastAsia" w:ascii="宋体" w:hAnsi="宋体" w:eastAsia="宋体" w:cs="宋体"/>
          <w:bCs/>
          <w:color w:val="000000"/>
          <w:sz w:val="24"/>
        </w:rPr>
        <w:t>3、单位负责人为同一人或者存在直接控股、管理关系的不同供应商参加同一合同项下的采购活动的，相关投标供应商均作资格无效处理。</w:t>
      </w:r>
    </w:p>
    <w:p w14:paraId="3A8DC0A5">
      <w:pPr>
        <w:autoSpaceDE w:val="0"/>
        <w:autoSpaceDN w:val="0"/>
        <w:adjustRightInd w:val="0"/>
        <w:spacing w:line="360" w:lineRule="auto"/>
        <w:ind w:firstLine="354"/>
        <w:rPr>
          <w:rFonts w:hint="eastAsia" w:ascii="宋体" w:hAnsi="宋体" w:eastAsia="宋体" w:cs="宋体"/>
          <w:b/>
          <w:sz w:val="24"/>
          <w:lang w:val="zh-CN"/>
        </w:rPr>
      </w:pPr>
      <w:r>
        <w:rPr>
          <w:rFonts w:hint="eastAsia" w:ascii="宋体" w:hAnsi="宋体" w:eastAsia="宋体" w:cs="宋体"/>
          <w:b/>
          <w:sz w:val="24"/>
          <w:lang w:val="zh-CN"/>
        </w:rPr>
        <w:t>五、评标</w:t>
      </w:r>
    </w:p>
    <w:p w14:paraId="4056F52D">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（一）组建评标委员会</w:t>
      </w:r>
    </w:p>
    <w:p w14:paraId="440F9A41">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评标委员会由采购人或采购代理机构依法组建，成员包括采购人代表和评审专家，成员人数为五人或以上单数，其中评审专家不少于成员总数的三分之二。</w:t>
      </w:r>
    </w:p>
    <w:p w14:paraId="770B7D1D">
      <w:pPr>
        <w:autoSpaceDE w:val="0"/>
        <w:autoSpaceDN w:val="0"/>
        <w:adjustRightInd w:val="0"/>
        <w:spacing w:line="360" w:lineRule="auto"/>
        <w:ind w:firstLine="482"/>
        <w:rPr>
          <w:rFonts w:hint="eastAsia" w:ascii="宋体" w:hAnsi="宋体" w:eastAsia="宋体" w:cs="宋体"/>
          <w:b/>
          <w:sz w:val="24"/>
          <w:lang w:val="zh-CN"/>
        </w:rPr>
      </w:pPr>
    </w:p>
    <w:p w14:paraId="2560FADB">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（二）评标的方式</w:t>
      </w:r>
    </w:p>
    <w:p w14:paraId="73FE1E90">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本项目采用不公开方式评标，评标的依据为招标文件和投标文件。</w:t>
      </w:r>
    </w:p>
    <w:p w14:paraId="33A82EE9">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（三） 评标程序</w:t>
      </w:r>
    </w:p>
    <w:p w14:paraId="6EE04432">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1.资格审查</w:t>
      </w:r>
    </w:p>
    <w:p w14:paraId="296033C2">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采购人或采购代理机构依据法律法规和招标文件的规定，对供应商的基本资格条件、特定资格条件进行审查。供应商未按照招标文件要求提供与基本资格条件、特定资格条件相应的有效资格证明材料的或资格证明文件不全的，视为供应商不具备招标文件中规定的资格要求，其投标无效。</w:t>
      </w:r>
    </w:p>
    <w:p w14:paraId="4E1FB723">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评标委员会对供应商的投标文件的完整性、合法性等进行审查。</w:t>
      </w:r>
    </w:p>
    <w:p w14:paraId="13A9D5D5">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2.实质审查与比较</w:t>
      </w:r>
    </w:p>
    <w:p w14:paraId="3FB43425">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（1）评标委员会审查投标文件的实质性内容是否符合招标文件的实质性要求。</w:t>
      </w:r>
    </w:p>
    <w:p w14:paraId="039E51EB">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（2）评标委员会将根据供应商的投标文件进行审查、核对,如有疑问,将对供应商进行询标,供应商要向评标委员会澄清有关问题,并最终以书面形式进行答复。</w:t>
      </w:r>
    </w:p>
    <w:p w14:paraId="74827994">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（3）各供应商的</w:t>
      </w:r>
      <w:r>
        <w:rPr>
          <w:rFonts w:hint="eastAsia" w:ascii="宋体" w:hAnsi="宋体" w:eastAsia="宋体" w:cs="宋体"/>
          <w:sz w:val="24"/>
        </w:rPr>
        <w:t>商务技术得分</w:t>
      </w:r>
      <w:r>
        <w:rPr>
          <w:rFonts w:hint="eastAsia" w:ascii="宋体" w:hAnsi="宋体" w:eastAsia="宋体" w:cs="宋体"/>
          <w:sz w:val="24"/>
          <w:lang w:val="zh-CN"/>
        </w:rPr>
        <w:t>按照评标委员会成员的独立评分结果汇总数后的算术平均分计算。</w:t>
      </w:r>
    </w:p>
    <w:p w14:paraId="79F08C86">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（4）评标委员会根据供应商的商务报价,计算各供应商的价格分。</w:t>
      </w:r>
    </w:p>
    <w:p w14:paraId="318839D9">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（5）评标委员会完成评标后,评委对各部分得分汇总,得出本项目最终得分,评标委员会按评标原则推荐中标候选人同时起草评标报告。</w:t>
      </w:r>
    </w:p>
    <w:p w14:paraId="77EC6DF3">
      <w:pPr>
        <w:autoSpaceDE w:val="0"/>
        <w:autoSpaceDN w:val="0"/>
        <w:adjustRightInd w:val="0"/>
        <w:spacing w:line="360" w:lineRule="auto"/>
        <w:ind w:firstLine="360"/>
        <w:rPr>
          <w:rFonts w:hint="eastAsia" w:ascii="宋体" w:hAnsi="宋体" w:eastAsia="宋体" w:cs="宋体"/>
          <w:b/>
          <w:sz w:val="24"/>
          <w:lang w:val="zh-CN"/>
        </w:rPr>
      </w:pPr>
      <w:r>
        <w:rPr>
          <w:rFonts w:hint="eastAsia" w:ascii="宋体" w:hAnsi="宋体" w:eastAsia="宋体" w:cs="宋体"/>
          <w:b/>
          <w:bCs/>
          <w:sz w:val="24"/>
          <w:lang w:val="zh-CN"/>
        </w:rPr>
        <w:t>（四）</w:t>
      </w:r>
      <w:r>
        <w:rPr>
          <w:rFonts w:hint="eastAsia" w:ascii="宋体" w:hAnsi="宋体" w:eastAsia="宋体" w:cs="宋体"/>
          <w:b/>
          <w:sz w:val="24"/>
          <w:lang w:val="zh-CN"/>
        </w:rPr>
        <w:t>澄清问题的形式</w:t>
      </w:r>
    </w:p>
    <w:p w14:paraId="130B309D">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对投标文件中含义不明确、同类问题表述不一致或者有明显文字和计算错误的内容，评标委员会可要求供应商作出必要的澄清、说明或者纠正。供应商的澄清、说明或者补正应当采用书面形式，由其法人代表或其委托代理人签字或盖章确认，并不得超出投标文件的范围或者改变投标文件的实质性内容。</w:t>
      </w:r>
    </w:p>
    <w:p w14:paraId="7C425438">
      <w:pPr>
        <w:autoSpaceDE w:val="0"/>
        <w:autoSpaceDN w:val="0"/>
        <w:adjustRightInd w:val="0"/>
        <w:spacing w:line="360" w:lineRule="auto"/>
        <w:ind w:firstLine="480"/>
        <w:rPr>
          <w:rFonts w:hint="eastAsia" w:ascii="宋体" w:hAnsi="宋体" w:eastAsia="宋体" w:cs="宋体"/>
          <w:b/>
          <w:sz w:val="24"/>
          <w:lang w:val="zh-CN"/>
        </w:rPr>
      </w:pPr>
      <w:r>
        <w:rPr>
          <w:rFonts w:hint="eastAsia" w:ascii="宋体" w:hAnsi="宋体" w:eastAsia="宋体" w:cs="宋体"/>
          <w:b/>
          <w:bCs/>
          <w:sz w:val="24"/>
          <w:lang w:val="zh-CN"/>
        </w:rPr>
        <w:t>（五）</w:t>
      </w:r>
      <w:r>
        <w:rPr>
          <w:rFonts w:hint="eastAsia" w:ascii="宋体" w:hAnsi="宋体" w:eastAsia="宋体" w:cs="宋体"/>
          <w:b/>
          <w:sz w:val="24"/>
          <w:lang w:val="zh-CN"/>
        </w:rPr>
        <w:t>错误修正</w:t>
      </w:r>
    </w:p>
    <w:p w14:paraId="39432EAF">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投标文件如果出现计算或表达上的错误，修正错误的原则如下：</w:t>
      </w:r>
    </w:p>
    <w:p w14:paraId="1BA8C518">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1.</w:t>
      </w:r>
      <w:r>
        <w:rPr>
          <w:rFonts w:hint="eastAsia" w:ascii="宋体" w:hAnsi="宋体" w:eastAsia="宋体" w:cs="宋体"/>
          <w:bCs/>
          <w:color w:val="000000"/>
          <w:sz w:val="24"/>
        </w:rPr>
        <w:t>投标文件中开标一览表（报价表）内容与投标文件中相应内容不一致的，以开标一览表（报价表）为准；</w:t>
      </w:r>
    </w:p>
    <w:p w14:paraId="3C6BC8CA">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2.</w:t>
      </w:r>
      <w:r>
        <w:rPr>
          <w:rFonts w:hint="eastAsia" w:ascii="宋体" w:hAnsi="宋体" w:eastAsia="宋体" w:cs="宋体"/>
          <w:bCs/>
          <w:color w:val="000000"/>
          <w:sz w:val="24"/>
        </w:rPr>
        <w:t>大写金额和小写金额不一致的，以大写金额为准；</w:t>
      </w:r>
    </w:p>
    <w:p w14:paraId="5FEC7D0E">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3.</w:t>
      </w:r>
      <w:r>
        <w:rPr>
          <w:rFonts w:hint="eastAsia" w:ascii="宋体" w:hAnsi="宋体" w:eastAsia="宋体" w:cs="宋体"/>
          <w:bCs/>
          <w:color w:val="000000"/>
          <w:sz w:val="24"/>
        </w:rPr>
        <w:t xml:space="preserve">单价金额小数点或者百分比有明显错位的，以开标一览表的总价为准，并修改单价； </w:t>
      </w:r>
    </w:p>
    <w:p w14:paraId="5E656193">
      <w:pPr>
        <w:pStyle w:val="20"/>
        <w:snapToGrid w:val="0"/>
        <w:spacing w:line="360" w:lineRule="auto"/>
        <w:ind w:firstLine="434" w:firstLineChars="181"/>
        <w:rPr>
          <w:rFonts w:hint="eastAsia" w:ascii="宋体" w:hAnsi="宋体" w:eastAsia="宋体" w:cs="宋体"/>
          <w:bCs/>
          <w:color w:val="000000"/>
          <w:sz w:val="24"/>
        </w:rPr>
      </w:pPr>
      <w:r>
        <w:rPr>
          <w:rFonts w:hint="eastAsia" w:ascii="宋体" w:hAnsi="宋体" w:eastAsia="宋体" w:cs="宋体"/>
          <w:bCs/>
          <w:color w:val="000000"/>
          <w:sz w:val="24"/>
          <w:lang w:val="zh-CN"/>
        </w:rPr>
        <w:t>4.</w:t>
      </w:r>
      <w:r>
        <w:rPr>
          <w:rFonts w:hint="eastAsia" w:ascii="宋体" w:hAnsi="宋体" w:eastAsia="宋体" w:cs="宋体"/>
          <w:bCs/>
          <w:color w:val="000000"/>
          <w:sz w:val="24"/>
        </w:rPr>
        <w:t>总价金额与按单价汇总金额不一致的，以单价金额计算结果为准。</w:t>
      </w:r>
    </w:p>
    <w:p w14:paraId="7A34CA2E">
      <w:pPr>
        <w:tabs>
          <w:tab w:val="left" w:pos="630"/>
        </w:tabs>
        <w:autoSpaceDE w:val="0"/>
        <w:autoSpaceDN w:val="0"/>
        <w:adjustRightInd w:val="0"/>
        <w:spacing w:line="360" w:lineRule="auto"/>
        <w:ind w:firstLine="318"/>
        <w:rPr>
          <w:rFonts w:hint="eastAsia" w:ascii="宋体" w:hAnsi="宋体" w:eastAsia="宋体" w:cs="宋体"/>
          <w:b/>
          <w:sz w:val="24"/>
          <w:lang w:val="zh-CN"/>
        </w:rPr>
      </w:pPr>
      <w:r>
        <w:rPr>
          <w:rFonts w:hint="eastAsia" w:ascii="宋体" w:hAnsi="宋体" w:eastAsia="宋体" w:cs="宋体"/>
          <w:b/>
          <w:sz w:val="24"/>
          <w:lang w:val="zh-CN"/>
        </w:rPr>
        <w:t>（六）评标原则和评标办法</w:t>
      </w:r>
    </w:p>
    <w:p w14:paraId="5729182B">
      <w:pPr>
        <w:autoSpaceDE w:val="0"/>
        <w:autoSpaceDN w:val="0"/>
        <w:adjustRightInd w:val="0"/>
        <w:spacing w:line="360" w:lineRule="auto"/>
        <w:ind w:firstLine="437"/>
        <w:rPr>
          <w:rFonts w:hint="eastAsia" w:ascii="宋体" w:hAnsi="宋体" w:eastAsia="宋体" w:cs="宋体"/>
          <w:sz w:val="24"/>
          <w:lang w:val="zh-CN"/>
        </w:rPr>
      </w:pPr>
      <w:r>
        <w:rPr>
          <w:rFonts w:hint="eastAsia" w:ascii="宋体" w:hAnsi="宋体" w:eastAsia="宋体" w:cs="宋体"/>
          <w:sz w:val="24"/>
          <w:lang w:val="zh-CN"/>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DCB3AB7">
      <w:pPr>
        <w:autoSpaceDE w:val="0"/>
        <w:autoSpaceDN w:val="0"/>
        <w:adjustRightInd w:val="0"/>
        <w:spacing w:line="360" w:lineRule="auto"/>
        <w:ind w:firstLine="437"/>
        <w:rPr>
          <w:rFonts w:hint="eastAsia" w:ascii="宋体" w:hAnsi="宋体" w:eastAsia="宋体" w:cs="宋体"/>
          <w:sz w:val="24"/>
          <w:lang w:val="zh-CN"/>
        </w:rPr>
      </w:pPr>
      <w:r>
        <w:rPr>
          <w:rFonts w:hint="eastAsia" w:ascii="宋体" w:hAnsi="宋体" w:eastAsia="宋体" w:cs="宋体"/>
          <w:sz w:val="24"/>
          <w:lang w:val="zh-CN"/>
        </w:rPr>
        <w:t>2.评标办法。根据采购项目的实际情况采用综合评分法。本项目的具体评标办法详见《第四章：评标办法及评分标准》。</w:t>
      </w:r>
    </w:p>
    <w:p w14:paraId="7BB6DE79">
      <w:pPr>
        <w:autoSpaceDE w:val="0"/>
        <w:autoSpaceDN w:val="0"/>
        <w:adjustRightInd w:val="0"/>
        <w:spacing w:line="360" w:lineRule="auto"/>
        <w:ind w:firstLine="352"/>
        <w:rPr>
          <w:rFonts w:hint="eastAsia" w:ascii="宋体" w:hAnsi="宋体" w:eastAsia="宋体" w:cs="宋体"/>
          <w:b/>
          <w:sz w:val="24"/>
          <w:lang w:val="zh-CN"/>
        </w:rPr>
      </w:pPr>
      <w:r>
        <w:rPr>
          <w:rFonts w:hint="eastAsia" w:ascii="宋体" w:hAnsi="宋体" w:eastAsia="宋体" w:cs="宋体"/>
          <w:b/>
          <w:sz w:val="24"/>
          <w:lang w:val="zh-CN"/>
        </w:rPr>
        <w:t>（七）评标过程的监控</w:t>
      </w:r>
    </w:p>
    <w:p w14:paraId="72EFF22C">
      <w:pPr>
        <w:autoSpaceDE w:val="0"/>
        <w:autoSpaceDN w:val="0"/>
        <w:adjustRightInd w:val="0"/>
        <w:spacing w:line="360" w:lineRule="auto"/>
        <w:ind w:firstLine="480"/>
        <w:rPr>
          <w:rFonts w:hint="eastAsia" w:ascii="宋体" w:hAnsi="宋体" w:eastAsia="宋体" w:cs="宋体"/>
          <w:b/>
          <w:sz w:val="24"/>
        </w:rPr>
      </w:pPr>
      <w:r>
        <w:rPr>
          <w:rFonts w:hint="eastAsia" w:ascii="宋体" w:hAnsi="宋体" w:eastAsia="宋体" w:cs="宋体"/>
          <w:sz w:val="24"/>
          <w:lang w:val="zh-CN"/>
        </w:rPr>
        <w:t>本项目评标过程实行全程录像监控，供应商在评标过程中所进行的力图影响评标结果的不公正活动，可能导致其投标被拒绝。</w:t>
      </w:r>
      <w:bookmarkStart w:id="20" w:name="_Toc177870555"/>
    </w:p>
    <w:p w14:paraId="2006BD97">
      <w:pPr>
        <w:pStyle w:val="2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六、</w:t>
      </w:r>
      <w:bookmarkEnd w:id="20"/>
      <w:r>
        <w:rPr>
          <w:rFonts w:hint="eastAsia" w:ascii="宋体" w:hAnsi="宋体" w:eastAsia="宋体" w:cs="宋体"/>
          <w:b/>
          <w:sz w:val="24"/>
        </w:rPr>
        <w:t>确定中标人</w:t>
      </w:r>
    </w:p>
    <w:p w14:paraId="520A03E7">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rPr>
        <w:t>1.中标公告：采购机构在评标结束后将采购结果确认函交采购人确认，采购结果经采购人确认后，在发布招标公告的网站上进行1个工作日的中标公告。</w:t>
      </w:r>
    </w:p>
    <w:p w14:paraId="67A0B85E">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2.质疑：供应商认为采购过程、采购结果使自己的合法权益受到损害的，供应商可以提出书面质疑。质疑书须包括以下内容：</w:t>
      </w:r>
    </w:p>
    <w:p w14:paraId="3EE4E982">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（1）质疑人的名称、地址、邮政编码、联系人、联系电话，以及被质疑人名称及联系方式；</w:t>
      </w:r>
    </w:p>
    <w:p w14:paraId="2C531C6E">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（2）被质疑采购项目名称、编号及采购内容；</w:t>
      </w:r>
    </w:p>
    <w:p w14:paraId="24BE410F">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（3）具体的质疑事项及事实依据；</w:t>
      </w:r>
    </w:p>
    <w:p w14:paraId="35197A13">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（4）认为自己合法权益受到损害或可能受到损害的相关证据材料；</w:t>
      </w:r>
    </w:p>
    <w:p w14:paraId="24DB8EBE">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（5）提出质疑的日期。</w:t>
      </w:r>
    </w:p>
    <w:p w14:paraId="46B6AB94">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（6）采购过程的质疑期限自各采购程序环节结束之日起计算，7 个工作日内向采购代理机构提出，逾期提出不予受理。</w:t>
      </w:r>
    </w:p>
    <w:p w14:paraId="03482A5B">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（7）采购结果的质疑期限自采购结果公告（包括结果公示、结果变更公告等）之日起计算，7个工作日内向采购代理机构提出，逾期提出不予受理。</w:t>
      </w:r>
    </w:p>
    <w:p w14:paraId="16D86597">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（8）质疑书中涉及的相关材料中有外文资料的，应当将与质疑相关的外文资料完整、客观、真实地翻译为中文，并注明翻译人员姓名、工作单位、联系方式等信息。</w:t>
      </w:r>
    </w:p>
    <w:p w14:paraId="451B5B10">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（9）质疑书必须署名，由法定代表人签字（或盖章）并加盖单位公章，否则不予受理。</w:t>
      </w:r>
    </w:p>
    <w:p w14:paraId="55080EE1">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（10）质疑书以直接提交、传真或邮寄方式提交（一式三份）。</w:t>
      </w:r>
    </w:p>
    <w:p w14:paraId="59A08170">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（11）质疑书以传真形式提交后，同时须向采购代理机构提交质疑书原件，采购代理机构以收到原件之日作为收到质疑日。</w:t>
      </w:r>
    </w:p>
    <w:p w14:paraId="38558FB6">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采购代理机构在评审结束之日起2个工作日内将评标报告送交采购人。采购人应当自收到评标报告之日起5个工作日内在评审报告推荐的中标或者成交候选人中按顺序确定中标或者成交供应商。中标候选人并列的，由采购人或者采购人委托评标委员会按照招标文件规定的方式确定中标人；招标文件未规定的，采取随机抽取的方式确定。采购人或者采购代理机构自中标人确定之日起2个工作日内，在招标公告发布的同一网站公告中标结果。</w:t>
      </w:r>
    </w:p>
    <w:p w14:paraId="46960354">
      <w:pPr>
        <w:keepNext w:val="0"/>
        <w:keepLines w:val="0"/>
        <w:pageBreakBefore w:val="0"/>
        <w:widowControl/>
        <w:kinsoku/>
        <w:wordWrap/>
        <w:overflowPunct/>
        <w:topLinePunct w:val="0"/>
        <w:autoSpaceDE w:val="0"/>
        <w:autoSpaceDN w:val="0"/>
        <w:bidi w:val="0"/>
        <w:adjustRightInd w:val="0"/>
        <w:spacing w:line="420" w:lineRule="exact"/>
        <w:ind w:firstLine="436"/>
        <w:textAlignment w:val="auto"/>
        <w:rPr>
          <w:rFonts w:hint="eastAsia" w:ascii="宋体" w:hAnsi="宋体" w:eastAsia="宋体" w:cs="宋体"/>
          <w:sz w:val="24"/>
        </w:rPr>
      </w:pPr>
      <w:r>
        <w:rPr>
          <w:rFonts w:hint="eastAsia" w:ascii="宋体" w:hAnsi="宋体" w:eastAsia="宋体" w:cs="宋体"/>
          <w:sz w:val="24"/>
        </w:rPr>
        <w:t>4.在公告成交结果的同时，采购人或者采购代理机构将向中标人发出中标通知书。中标通知书发出后，采购人不得违法改变成交结果，中标人无正当理由不得放弃中标。</w:t>
      </w:r>
    </w:p>
    <w:p w14:paraId="1F5B65E6">
      <w:pPr>
        <w:keepNext w:val="0"/>
        <w:keepLines w:val="0"/>
        <w:pageBreakBefore w:val="0"/>
        <w:widowControl/>
        <w:kinsoku/>
        <w:wordWrap/>
        <w:overflowPunct/>
        <w:topLinePunct w:val="0"/>
        <w:autoSpaceDE w:val="0"/>
        <w:autoSpaceDN w:val="0"/>
        <w:bidi w:val="0"/>
        <w:adjustRightInd w:val="0"/>
        <w:spacing w:line="420" w:lineRule="exact"/>
        <w:ind w:firstLine="436"/>
        <w:textAlignment w:val="auto"/>
        <w:rPr>
          <w:rFonts w:hint="eastAsia" w:ascii="宋体" w:hAnsi="宋体" w:eastAsia="宋体" w:cs="宋体"/>
          <w:b/>
          <w:sz w:val="24"/>
          <w:lang w:val="zh-CN"/>
        </w:rPr>
      </w:pPr>
      <w:r>
        <w:rPr>
          <w:rFonts w:hint="eastAsia" w:ascii="宋体" w:hAnsi="宋体" w:eastAsia="宋体" w:cs="宋体"/>
          <w:b/>
          <w:sz w:val="24"/>
          <w:lang w:val="zh-CN"/>
        </w:rPr>
        <w:t>七、合同授予</w:t>
      </w:r>
    </w:p>
    <w:p w14:paraId="2C6B89EE">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（一）签订合同</w:t>
      </w:r>
    </w:p>
    <w:p w14:paraId="296E0B82">
      <w:pPr>
        <w:pStyle w:val="20"/>
        <w:keepNext w:val="0"/>
        <w:keepLines w:val="0"/>
        <w:pageBreakBefore w:val="0"/>
        <w:widowControl/>
        <w:kinsoku/>
        <w:wordWrap/>
        <w:overflowPunct/>
        <w:topLinePunct w:val="0"/>
        <w:bidi w:val="0"/>
        <w:snapToGrid w:val="0"/>
        <w:spacing w:line="420" w:lineRule="exact"/>
        <w:ind w:firstLine="556" w:firstLineChars="232"/>
        <w:textAlignment w:val="auto"/>
        <w:rPr>
          <w:rFonts w:hint="eastAsia" w:ascii="宋体" w:hAnsi="宋体" w:eastAsia="宋体" w:cs="宋体"/>
          <w:sz w:val="24"/>
        </w:rPr>
      </w:pPr>
      <w:r>
        <w:rPr>
          <w:rFonts w:hint="eastAsia" w:ascii="宋体" w:hAnsi="宋体" w:eastAsia="宋体" w:cs="宋体"/>
          <w:sz w:val="24"/>
        </w:rPr>
        <w:t>中标人应自接到中标通知书后30日内与招标人</w:t>
      </w:r>
      <w:r>
        <w:rPr>
          <w:rFonts w:hint="eastAsia" w:ascii="宋体" w:hAnsi="宋体" w:eastAsia="宋体" w:cs="宋体"/>
          <w:sz w:val="24"/>
          <w:lang w:eastAsia="zh-CN"/>
        </w:rPr>
        <w:t>签订采购合同</w:t>
      </w:r>
      <w:r>
        <w:rPr>
          <w:rFonts w:hint="eastAsia" w:ascii="宋体" w:hAnsi="宋体" w:eastAsia="宋体" w:cs="宋体"/>
          <w:sz w:val="24"/>
        </w:rPr>
        <w:t>。</w:t>
      </w:r>
    </w:p>
    <w:p w14:paraId="5F7553FE">
      <w:pPr>
        <w:snapToGrid w:val="0"/>
        <w:spacing w:line="360" w:lineRule="auto"/>
        <w:jc w:val="center"/>
        <w:rPr>
          <w:rFonts w:hint="eastAsia" w:ascii="宋体" w:hAnsi="宋体" w:eastAsia="宋体" w:cs="宋体"/>
          <w:b/>
          <w:sz w:val="32"/>
          <w:szCs w:val="32"/>
        </w:rPr>
        <w:sectPr>
          <w:pgSz w:w="11906" w:h="16838"/>
          <w:pgMar w:top="1440" w:right="1457" w:bottom="1440" w:left="1457" w:header="851" w:footer="992" w:gutter="0"/>
          <w:pgNumType w:fmt="decimal"/>
          <w:cols w:space="720" w:num="1"/>
          <w:docGrid w:type="lines" w:linePitch="319" w:charSpace="0"/>
        </w:sectPr>
      </w:pPr>
    </w:p>
    <w:p w14:paraId="59E756AB">
      <w:pPr>
        <w:snapToGrid w:val="0"/>
        <w:spacing w:line="360" w:lineRule="auto"/>
        <w:ind w:left="0" w:leftChars="0" w:firstLine="2249" w:firstLineChars="700"/>
        <w:jc w:val="both"/>
        <w:rPr>
          <w:rFonts w:hint="eastAsia" w:ascii="宋体" w:hAnsi="宋体" w:eastAsia="宋体" w:cs="宋体"/>
          <w:b/>
          <w:sz w:val="32"/>
          <w:szCs w:val="32"/>
        </w:rPr>
      </w:pPr>
      <w:r>
        <w:rPr>
          <w:rFonts w:hint="eastAsia" w:ascii="宋体" w:hAnsi="宋体" w:eastAsia="宋体" w:cs="宋体"/>
          <w:b/>
          <w:sz w:val="32"/>
          <w:szCs w:val="32"/>
        </w:rPr>
        <w:t>第四章  评标办法及评分标准</w:t>
      </w:r>
    </w:p>
    <w:p w14:paraId="267367B8">
      <w:pPr>
        <w:spacing w:after="159" w:afterLines="50" w:line="360" w:lineRule="auto"/>
        <w:rPr>
          <w:rFonts w:hint="eastAsia" w:ascii="宋体" w:hAnsi="宋体" w:eastAsia="宋体" w:cs="宋体"/>
          <w:b/>
          <w:color w:val="000000"/>
          <w:sz w:val="24"/>
        </w:rPr>
      </w:pPr>
      <w:r>
        <w:rPr>
          <w:rFonts w:hint="eastAsia" w:ascii="宋体" w:hAnsi="宋体" w:eastAsia="宋体" w:cs="宋体"/>
          <w:b/>
          <w:sz w:val="24"/>
        </w:rPr>
        <w:t>一、总则</w:t>
      </w:r>
    </w:p>
    <w:p w14:paraId="32E150F8">
      <w:pPr>
        <w:spacing w:after="159" w:afterLines="50" w:line="360" w:lineRule="auto"/>
        <w:ind w:firstLine="480" w:firstLineChars="200"/>
        <w:rPr>
          <w:rFonts w:hint="eastAsia" w:ascii="宋体" w:hAnsi="宋体" w:eastAsia="宋体" w:cs="宋体"/>
          <w:bCs/>
          <w:sz w:val="24"/>
        </w:rPr>
      </w:pPr>
      <w:r>
        <w:rPr>
          <w:rFonts w:hint="eastAsia" w:ascii="宋体" w:hAnsi="宋体" w:eastAsia="宋体" w:cs="宋体"/>
          <w:color w:val="000000"/>
          <w:sz w:val="24"/>
        </w:rPr>
        <w:t>本次评标采用综合评分法。</w:t>
      </w:r>
      <w:r>
        <w:rPr>
          <w:rFonts w:hint="eastAsia" w:ascii="宋体" w:hAnsi="宋体" w:eastAsia="宋体" w:cs="宋体"/>
          <w:sz w:val="24"/>
        </w:rPr>
        <w:t>合格投标人的评标得分为各项目汇总得分，中标候选资格按评标得分由高到低顺序排列，得分相同的，按投标报价由低到高顺序排列；得分且投标报价相同的，按技术分由高到低顺序排列。</w:t>
      </w:r>
      <w:r>
        <w:rPr>
          <w:rFonts w:hint="eastAsia" w:ascii="宋体" w:hAnsi="宋体" w:eastAsia="宋体" w:cs="宋体"/>
          <w:bCs/>
          <w:sz w:val="24"/>
        </w:rPr>
        <w:t>综合得分</w:t>
      </w:r>
      <w:r>
        <w:rPr>
          <w:rFonts w:hint="eastAsia" w:ascii="宋体" w:hAnsi="宋体" w:eastAsia="宋体" w:cs="宋体"/>
          <w:sz w:val="24"/>
        </w:rPr>
        <w:t>排名第一的投标人为第一中标候选人。</w:t>
      </w:r>
      <w:r>
        <w:rPr>
          <w:rFonts w:hint="eastAsia" w:ascii="宋体" w:hAnsi="宋体" w:eastAsia="宋体" w:cs="宋体"/>
          <w:bCs/>
          <w:sz w:val="24"/>
        </w:rPr>
        <w:t>评分过程中采用四舍五入法，并保留小数2位。</w:t>
      </w:r>
    </w:p>
    <w:p w14:paraId="29F5D59E">
      <w:pPr>
        <w:spacing w:after="159"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投标人评标综合得分=价格分+</w:t>
      </w:r>
      <w:r>
        <w:rPr>
          <w:rFonts w:hint="eastAsia" w:ascii="宋体" w:hAnsi="宋体" w:eastAsia="宋体" w:cs="宋体"/>
          <w:bCs/>
          <w:sz w:val="24"/>
          <w:lang w:eastAsia="zh-CN"/>
        </w:rPr>
        <w:t>商务技术</w:t>
      </w:r>
      <w:r>
        <w:rPr>
          <w:rFonts w:hint="eastAsia" w:ascii="宋体" w:hAnsi="宋体" w:eastAsia="宋体" w:cs="宋体"/>
          <w:bCs/>
          <w:sz w:val="24"/>
        </w:rPr>
        <w:t>分</w:t>
      </w:r>
    </w:p>
    <w:p w14:paraId="181A71A5">
      <w:pPr>
        <w:numPr>
          <w:ilvl w:val="0"/>
          <w:numId w:val="0"/>
        </w:numPr>
        <w:spacing w:after="159" w:afterLines="50" w:line="360" w:lineRule="auto"/>
        <w:rPr>
          <w:rFonts w:hint="eastAsia" w:ascii="宋体" w:hAnsi="宋体" w:eastAsia="宋体" w:cs="宋体"/>
          <w:b/>
          <w:sz w:val="24"/>
        </w:rPr>
      </w:pPr>
      <w:r>
        <w:rPr>
          <w:rFonts w:hint="eastAsia" w:ascii="宋体" w:hAnsi="宋体" w:eastAsia="宋体" w:cs="宋体"/>
          <w:b/>
          <w:sz w:val="24"/>
          <w:lang w:eastAsia="zh-CN"/>
        </w:rPr>
        <w:t>二、</w:t>
      </w:r>
      <w:r>
        <w:rPr>
          <w:rFonts w:hint="eastAsia" w:ascii="宋体" w:hAnsi="宋体" w:eastAsia="宋体" w:cs="宋体"/>
          <w:b/>
          <w:sz w:val="24"/>
        </w:rPr>
        <w:t>评标内容及标准</w:t>
      </w:r>
    </w:p>
    <w:p w14:paraId="7B02B73B">
      <w:pPr>
        <w:spacing w:after="159" w:afterLines="50" w:line="360" w:lineRule="auto"/>
        <w:rPr>
          <w:rFonts w:hint="eastAsia" w:ascii="宋体" w:hAnsi="宋体" w:eastAsia="宋体" w:cs="宋体"/>
          <w:b/>
          <w:sz w:val="24"/>
        </w:rPr>
      </w:pPr>
      <w:r>
        <w:rPr>
          <w:rFonts w:hint="eastAsia" w:ascii="宋体" w:hAnsi="宋体" w:eastAsia="宋体" w:cs="宋体"/>
          <w:b/>
          <w:sz w:val="24"/>
        </w:rPr>
        <w:t>（一）价格分（</w:t>
      </w:r>
      <w:r>
        <w:rPr>
          <w:rFonts w:hint="eastAsia" w:ascii="宋体" w:hAnsi="宋体" w:eastAsia="宋体" w:cs="宋体"/>
          <w:b/>
          <w:sz w:val="24"/>
          <w:lang w:val="en-US" w:eastAsia="zh-CN"/>
        </w:rPr>
        <w:t>40</w:t>
      </w:r>
      <w:r>
        <w:rPr>
          <w:rFonts w:hint="eastAsia" w:ascii="宋体" w:hAnsi="宋体" w:eastAsia="宋体" w:cs="宋体"/>
          <w:b/>
          <w:sz w:val="24"/>
        </w:rPr>
        <w:t>分）</w:t>
      </w:r>
    </w:p>
    <w:p w14:paraId="2D0F4F4C">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1、价格分采用低价优先法计算，即满足招标文件要求且投标价格最低的投标报价为评标基准价，其他投标人的价格分按照下列公式计算：</w:t>
      </w:r>
    </w:p>
    <w:p w14:paraId="0774C09F">
      <w:pPr>
        <w:spacing w:after="159" w:afterLines="50" w:line="360" w:lineRule="auto"/>
        <w:ind w:firstLine="480" w:firstLineChars="200"/>
        <w:rPr>
          <w:rFonts w:hint="eastAsia" w:ascii="宋体" w:hAnsi="宋体" w:eastAsia="宋体" w:cs="宋体"/>
          <w:sz w:val="24"/>
          <w:lang w:val="en-US"/>
        </w:rPr>
      </w:pPr>
      <w:r>
        <w:rPr>
          <w:rFonts w:hint="eastAsia" w:ascii="宋体" w:hAnsi="宋体" w:eastAsia="宋体" w:cs="宋体"/>
          <w:sz w:val="24"/>
        </w:rPr>
        <w:t>价格分=（评标基准价/投标报价）×</w:t>
      </w:r>
      <w:r>
        <w:rPr>
          <w:rFonts w:hint="eastAsia" w:ascii="宋体" w:hAnsi="宋体" w:eastAsia="宋体" w:cs="宋体"/>
          <w:sz w:val="24"/>
          <w:lang w:val="en-US" w:eastAsia="zh-CN"/>
        </w:rPr>
        <w:t>40</w:t>
      </w:r>
    </w:p>
    <w:p w14:paraId="7664C848">
      <w:pPr>
        <w:spacing w:after="159" w:afterLines="50" w:line="360" w:lineRule="auto"/>
        <w:ind w:firstLine="480" w:firstLineChars="200"/>
        <w:rPr>
          <w:rFonts w:hint="eastAsia" w:ascii="宋体" w:hAnsi="宋体" w:eastAsia="宋体" w:cs="宋体"/>
          <w:color w:val="FF0000"/>
          <w:sz w:val="24"/>
        </w:rPr>
      </w:pPr>
      <w:r>
        <w:rPr>
          <w:rFonts w:hint="eastAsia" w:ascii="宋体" w:hAnsi="宋体" w:eastAsia="宋体" w:cs="宋体"/>
          <w:color w:val="FF0000"/>
          <w:sz w:val="24"/>
        </w:rPr>
        <w:t>2、投标人的投标报价超过设定的上限价的作为无效标处理。</w:t>
      </w:r>
    </w:p>
    <w:p w14:paraId="629DAB9B">
      <w:pPr>
        <w:spacing w:after="159" w:afterLines="50" w:line="360" w:lineRule="auto"/>
        <w:ind w:firstLine="723" w:firstLineChars="300"/>
        <w:rPr>
          <w:rFonts w:hint="eastAsia" w:ascii="宋体" w:hAnsi="宋体" w:eastAsia="宋体" w:cs="宋体"/>
          <w:b/>
          <w:bCs/>
          <w:color w:val="FF0000"/>
          <w:sz w:val="24"/>
        </w:rPr>
      </w:pPr>
      <w:r>
        <w:rPr>
          <w:rFonts w:hint="eastAsia" w:ascii="宋体" w:hAnsi="宋体" w:eastAsia="宋体" w:cs="宋体"/>
          <w:b/>
          <w:bCs/>
          <w:color w:val="FF0000"/>
          <w:sz w:val="24"/>
        </w:rPr>
        <w:t>本项目最高限价为：</w:t>
      </w:r>
      <w:r>
        <w:rPr>
          <w:rFonts w:hint="eastAsia" w:ascii="宋体" w:hAnsi="宋体" w:eastAsia="宋体" w:cs="宋体"/>
          <w:b/>
          <w:bCs/>
          <w:color w:val="FF0000"/>
          <w:sz w:val="24"/>
          <w:lang w:val="en-US" w:eastAsia="zh-CN"/>
        </w:rPr>
        <w:t>182</w:t>
      </w:r>
      <w:r>
        <w:rPr>
          <w:rFonts w:hint="eastAsia" w:ascii="宋体" w:hAnsi="宋体" w:eastAsia="宋体" w:cs="宋体"/>
          <w:b/>
          <w:bCs/>
          <w:color w:val="FF0000"/>
          <w:sz w:val="24"/>
          <w:lang w:eastAsia="zh-CN"/>
        </w:rPr>
        <w:t>万元</w:t>
      </w:r>
      <w:r>
        <w:rPr>
          <w:rFonts w:hint="eastAsia" w:ascii="宋体" w:hAnsi="宋体" w:eastAsia="宋体" w:cs="宋体"/>
          <w:b/>
          <w:bCs/>
          <w:color w:val="FF0000"/>
          <w:sz w:val="24"/>
        </w:rPr>
        <w:t>。</w:t>
      </w:r>
    </w:p>
    <w:p w14:paraId="3A63FDC9">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3、报价是中标的一个重要因素，但最低报价不是中标的唯一依据。</w:t>
      </w:r>
    </w:p>
    <w:p w14:paraId="4B8AF57F">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806C7F">
      <w:pPr>
        <w:spacing w:after="159" w:afterLines="50" w:line="360" w:lineRule="auto"/>
        <w:ind w:firstLine="480" w:firstLineChars="200"/>
        <w:rPr>
          <w:rFonts w:hint="eastAsia" w:ascii="宋体" w:hAnsi="宋体" w:eastAsia="宋体" w:cs="宋体"/>
          <w:b/>
          <w:bCs/>
          <w:sz w:val="24"/>
        </w:rPr>
      </w:pPr>
      <w:r>
        <w:rPr>
          <w:rFonts w:hint="eastAsia" w:ascii="宋体" w:hAnsi="宋体" w:eastAsia="宋体" w:cs="宋体"/>
          <w:sz w:val="24"/>
        </w:rPr>
        <w:t>5、评审小组在评审时发现供应商的报价明显高于其市场报价或低于成本价的，应当要求该供应商书面说明并提供相关证明材料。供应商不能合理说明原因并提供证明材料的，评审小组应将该供应商的采购响应文件做无效处理，并在评审报告中说明。采购人或采购代理机构应将上述情况报同级财政部门，对弄虚作假、恶意串通的供应商，应将其列入不良行为记录名单，在1至3年内禁止参加采购活动。</w:t>
      </w:r>
    </w:p>
    <w:p w14:paraId="227E73E9">
      <w:pPr>
        <w:ind w:left="0" w:leftChars="0" w:firstLine="0" w:firstLineChars="0"/>
        <w:rPr>
          <w:rFonts w:hint="eastAsia" w:ascii="宋体" w:hAnsi="宋体" w:eastAsia="宋体" w:cs="宋体"/>
        </w:rPr>
      </w:pPr>
    </w:p>
    <w:p w14:paraId="3D25530D">
      <w:pPr>
        <w:spacing w:line="360" w:lineRule="auto"/>
        <w:rPr>
          <w:rFonts w:hint="eastAsia" w:ascii="宋体" w:hAnsi="宋体" w:eastAsia="宋体" w:cs="宋体"/>
        </w:rPr>
      </w:pPr>
      <w:r>
        <w:rPr>
          <w:rFonts w:hint="eastAsia" w:ascii="宋体" w:hAnsi="宋体" w:eastAsia="宋体" w:cs="宋体"/>
          <w:b/>
          <w:bCs/>
          <w:sz w:val="24"/>
        </w:rPr>
        <w:t>商务技术</w:t>
      </w:r>
      <w:r>
        <w:rPr>
          <w:rFonts w:hint="eastAsia" w:ascii="宋体" w:hAnsi="宋体" w:eastAsia="宋体" w:cs="宋体"/>
          <w:b/>
          <w:sz w:val="24"/>
        </w:rPr>
        <w:t>分</w:t>
      </w:r>
      <w:r>
        <w:rPr>
          <w:rFonts w:hint="eastAsia" w:ascii="宋体" w:hAnsi="宋体" w:eastAsia="宋体" w:cs="宋体"/>
          <w:b/>
          <w:bCs/>
          <w:sz w:val="24"/>
        </w:rPr>
        <w:t>（</w:t>
      </w:r>
      <w:r>
        <w:rPr>
          <w:rFonts w:hint="eastAsia" w:ascii="宋体" w:hAnsi="宋体" w:eastAsia="宋体" w:cs="宋体"/>
          <w:b/>
          <w:bCs/>
          <w:sz w:val="24"/>
          <w:lang w:val="en-US" w:eastAsia="zh-CN"/>
        </w:rPr>
        <w:t>60</w:t>
      </w:r>
      <w:r>
        <w:rPr>
          <w:rFonts w:hint="eastAsia" w:ascii="宋体" w:hAnsi="宋体" w:eastAsia="宋体" w:cs="宋体"/>
          <w:b/>
          <w:bCs/>
          <w:sz w:val="24"/>
        </w:rPr>
        <w:t>分）</w:t>
      </w:r>
      <w:r>
        <w:rPr>
          <w:rFonts w:hint="eastAsia" w:ascii="宋体" w:hAnsi="宋体" w:eastAsia="宋体" w:cs="宋体"/>
          <w:b/>
          <w:bCs/>
          <w:sz w:val="24"/>
        </w:rPr>
        <w:br w:type="textWrapping"/>
      </w:r>
    </w:p>
    <w:tbl>
      <w:tblPr>
        <w:tblStyle w:val="28"/>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638"/>
        <w:gridCol w:w="1197"/>
        <w:gridCol w:w="5835"/>
        <w:gridCol w:w="768"/>
      </w:tblGrid>
      <w:tr w14:paraId="517A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371C7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序号</w:t>
            </w:r>
          </w:p>
        </w:tc>
        <w:tc>
          <w:tcPr>
            <w:tcW w:w="1638" w:type="dxa"/>
            <w:tcBorders>
              <w:top w:val="single" w:color="auto" w:sz="4" w:space="0"/>
              <w:left w:val="nil"/>
              <w:bottom w:val="single" w:color="auto" w:sz="4" w:space="0"/>
              <w:right w:val="single" w:color="auto" w:sz="4" w:space="0"/>
            </w:tcBorders>
            <w:noWrap w:val="0"/>
            <w:vAlign w:val="center"/>
          </w:tcPr>
          <w:p w14:paraId="136602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项目名称</w:t>
            </w:r>
          </w:p>
        </w:tc>
        <w:tc>
          <w:tcPr>
            <w:tcW w:w="7032" w:type="dxa"/>
            <w:gridSpan w:val="2"/>
            <w:tcBorders>
              <w:top w:val="single" w:color="auto" w:sz="4" w:space="0"/>
              <w:left w:val="nil"/>
              <w:bottom w:val="single" w:color="auto" w:sz="4" w:space="0"/>
              <w:right w:val="single" w:color="auto" w:sz="4" w:space="0"/>
            </w:tcBorders>
            <w:noWrap w:val="0"/>
            <w:vAlign w:val="center"/>
          </w:tcPr>
          <w:p w14:paraId="17EF67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评分细则</w:t>
            </w:r>
          </w:p>
        </w:tc>
        <w:tc>
          <w:tcPr>
            <w:tcW w:w="768" w:type="dxa"/>
            <w:tcBorders>
              <w:top w:val="single" w:color="auto" w:sz="4" w:space="0"/>
              <w:left w:val="nil"/>
              <w:bottom w:val="single" w:color="auto" w:sz="4" w:space="0"/>
              <w:right w:val="single" w:color="auto" w:sz="4" w:space="0"/>
            </w:tcBorders>
            <w:noWrap w:val="0"/>
            <w:vAlign w:val="center"/>
          </w:tcPr>
          <w:p w14:paraId="4AF05A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分值</w:t>
            </w:r>
          </w:p>
        </w:tc>
      </w:tr>
      <w:tr w14:paraId="69BA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64C0EB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638" w:type="dxa"/>
            <w:tcBorders>
              <w:top w:val="single" w:color="auto" w:sz="4" w:space="0"/>
              <w:left w:val="nil"/>
              <w:bottom w:val="single" w:color="auto" w:sz="4" w:space="0"/>
              <w:right w:val="single" w:color="auto" w:sz="4" w:space="0"/>
            </w:tcBorders>
            <w:noWrap w:val="0"/>
            <w:vAlign w:val="center"/>
          </w:tcPr>
          <w:p w14:paraId="0C6D69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业绩证明</w:t>
            </w:r>
          </w:p>
        </w:tc>
        <w:tc>
          <w:tcPr>
            <w:tcW w:w="7032" w:type="dxa"/>
            <w:gridSpan w:val="2"/>
            <w:tcBorders>
              <w:top w:val="single" w:color="auto" w:sz="4" w:space="0"/>
              <w:left w:val="nil"/>
              <w:bottom w:val="single" w:color="auto" w:sz="4" w:space="0"/>
              <w:right w:val="single" w:color="auto" w:sz="4" w:space="0"/>
            </w:tcBorders>
            <w:noWrap w:val="0"/>
            <w:vAlign w:val="top"/>
          </w:tcPr>
          <w:p w14:paraId="3223E8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投标人或所投产品生产厂家自2019年1月1日（以合同签订时间为准）以来完成过类似项目采购的,每有一个得1分，最高得5分。</w:t>
            </w:r>
          </w:p>
          <w:p w14:paraId="39799A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注：提供合同、采购单位盖章的验收报告扫描件，不提供的不得分；</w:t>
            </w:r>
          </w:p>
        </w:tc>
        <w:tc>
          <w:tcPr>
            <w:tcW w:w="768" w:type="dxa"/>
            <w:tcBorders>
              <w:top w:val="single" w:color="auto" w:sz="4" w:space="0"/>
              <w:left w:val="nil"/>
              <w:bottom w:val="single" w:color="auto" w:sz="4" w:space="0"/>
              <w:right w:val="single" w:color="auto" w:sz="4" w:space="0"/>
            </w:tcBorders>
            <w:noWrap w:val="0"/>
            <w:vAlign w:val="center"/>
          </w:tcPr>
          <w:p w14:paraId="3A4431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2B10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69" w:type="dxa"/>
            <w:tcBorders>
              <w:top w:val="nil"/>
              <w:left w:val="single" w:color="auto" w:sz="4" w:space="0"/>
              <w:bottom w:val="single" w:color="auto" w:sz="4" w:space="0"/>
              <w:right w:val="single" w:color="auto" w:sz="4" w:space="0"/>
            </w:tcBorders>
            <w:noWrap w:val="0"/>
            <w:vAlign w:val="center"/>
          </w:tcPr>
          <w:p w14:paraId="0D3394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1638" w:type="dxa"/>
            <w:tcBorders>
              <w:top w:val="nil"/>
              <w:left w:val="nil"/>
              <w:bottom w:val="single" w:color="auto" w:sz="4" w:space="0"/>
              <w:right w:val="single" w:color="auto" w:sz="4" w:space="0"/>
            </w:tcBorders>
            <w:noWrap w:val="0"/>
            <w:vAlign w:val="center"/>
          </w:tcPr>
          <w:p w14:paraId="727DA7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产品性能、技术指标</w:t>
            </w:r>
          </w:p>
        </w:tc>
        <w:tc>
          <w:tcPr>
            <w:tcW w:w="7032" w:type="dxa"/>
            <w:gridSpan w:val="2"/>
            <w:tcBorders>
              <w:top w:val="single" w:color="auto" w:sz="4" w:space="0"/>
              <w:left w:val="nil"/>
              <w:bottom w:val="single" w:color="auto" w:sz="4" w:space="0"/>
              <w:right w:val="single" w:color="auto" w:sz="4" w:space="0"/>
            </w:tcBorders>
            <w:noWrap w:val="0"/>
            <w:vAlign w:val="center"/>
          </w:tcPr>
          <w:p w14:paraId="1D2CCD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完全符合投标产品参数和技术指标、功能实现是否完全满足招标文件要求得8分，正偏离不加分，每负偏离一项扣1分，扣完为止。</w:t>
            </w:r>
          </w:p>
        </w:tc>
        <w:tc>
          <w:tcPr>
            <w:tcW w:w="768" w:type="dxa"/>
            <w:tcBorders>
              <w:top w:val="nil"/>
              <w:left w:val="nil"/>
              <w:bottom w:val="single" w:color="auto" w:sz="4" w:space="0"/>
              <w:right w:val="single" w:color="auto" w:sz="4" w:space="0"/>
            </w:tcBorders>
            <w:noWrap w:val="0"/>
            <w:vAlign w:val="center"/>
          </w:tcPr>
          <w:p w14:paraId="388F42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pacing w:val="0"/>
                <w:kern w:val="2"/>
                <w:sz w:val="24"/>
                <w:szCs w:val="24"/>
                <w:highlight w:val="none"/>
                <w:lang w:val="en-US" w:eastAsia="zh-CN" w:bidi="ar"/>
              </w:rPr>
            </w:pPr>
            <w:r>
              <w:rPr>
                <w:rFonts w:hint="eastAsia" w:ascii="宋体" w:hAnsi="宋体" w:eastAsia="宋体" w:cs="宋体"/>
                <w:color w:val="auto"/>
                <w:spacing w:val="0"/>
                <w:kern w:val="2"/>
                <w:sz w:val="24"/>
                <w:szCs w:val="24"/>
                <w:highlight w:val="none"/>
                <w:lang w:val="en-US" w:eastAsia="zh-CN" w:bidi="ar"/>
              </w:rPr>
              <w:t>8</w:t>
            </w:r>
          </w:p>
        </w:tc>
      </w:tr>
      <w:tr w14:paraId="116A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69" w:type="dxa"/>
            <w:tcBorders>
              <w:top w:val="nil"/>
              <w:left w:val="single" w:color="auto" w:sz="4" w:space="0"/>
              <w:bottom w:val="single" w:color="auto" w:sz="4" w:space="0"/>
              <w:right w:val="single" w:color="auto" w:sz="4" w:space="0"/>
            </w:tcBorders>
            <w:noWrap w:val="0"/>
            <w:vAlign w:val="center"/>
          </w:tcPr>
          <w:p w14:paraId="41D23F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1638" w:type="dxa"/>
            <w:tcBorders>
              <w:top w:val="nil"/>
              <w:left w:val="nil"/>
              <w:bottom w:val="single" w:color="auto" w:sz="4" w:space="0"/>
              <w:right w:val="single" w:color="auto" w:sz="4" w:space="0"/>
            </w:tcBorders>
            <w:noWrap w:val="0"/>
            <w:vAlign w:val="center"/>
          </w:tcPr>
          <w:p w14:paraId="7DE4CE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企业认证</w:t>
            </w:r>
          </w:p>
        </w:tc>
        <w:tc>
          <w:tcPr>
            <w:tcW w:w="7032" w:type="dxa"/>
            <w:gridSpan w:val="2"/>
            <w:tcBorders>
              <w:top w:val="single" w:color="auto" w:sz="4" w:space="0"/>
              <w:left w:val="nil"/>
              <w:bottom w:val="single" w:color="auto" w:sz="4" w:space="0"/>
              <w:right w:val="single" w:color="auto" w:sz="4" w:space="0"/>
            </w:tcBorders>
            <w:noWrap w:val="0"/>
            <w:vAlign w:val="top"/>
          </w:tcPr>
          <w:p w14:paraId="012A96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投标人或所投产品生产厂家具有有效期内质量管理体系认证证书得1分；</w:t>
            </w:r>
          </w:p>
          <w:p w14:paraId="2AA117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投标人或所投产品生产厂家具有有效期内环境管理体系认证证书得1分；</w:t>
            </w:r>
          </w:p>
          <w:p w14:paraId="1ECBC0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投标人或所投产品生产厂家具有有效期内职业健康安全管理体系认证证书得1分；</w:t>
            </w:r>
          </w:p>
          <w:p w14:paraId="1D43EF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注：提供有效的证书复印件加盖公章，否则不得分。</w:t>
            </w:r>
          </w:p>
        </w:tc>
        <w:tc>
          <w:tcPr>
            <w:tcW w:w="768" w:type="dxa"/>
            <w:tcBorders>
              <w:top w:val="nil"/>
              <w:left w:val="nil"/>
              <w:bottom w:val="single" w:color="auto" w:sz="4" w:space="0"/>
              <w:right w:val="single" w:color="auto" w:sz="4" w:space="0"/>
            </w:tcBorders>
            <w:noWrap w:val="0"/>
            <w:vAlign w:val="center"/>
          </w:tcPr>
          <w:p w14:paraId="2F8FB1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3</w:t>
            </w:r>
          </w:p>
        </w:tc>
      </w:tr>
      <w:tr w14:paraId="47B5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69" w:type="dxa"/>
            <w:vMerge w:val="restart"/>
            <w:tcBorders>
              <w:top w:val="single" w:color="auto" w:sz="4" w:space="0"/>
              <w:left w:val="single" w:color="auto" w:sz="4" w:space="0"/>
              <w:right w:val="single" w:color="auto" w:sz="4" w:space="0"/>
            </w:tcBorders>
            <w:noWrap w:val="0"/>
            <w:vAlign w:val="center"/>
          </w:tcPr>
          <w:p w14:paraId="79BFEF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1638" w:type="dxa"/>
            <w:vMerge w:val="restart"/>
            <w:tcBorders>
              <w:top w:val="single" w:color="auto" w:sz="4" w:space="0"/>
              <w:left w:val="nil"/>
              <w:right w:val="single" w:color="auto" w:sz="4" w:space="0"/>
            </w:tcBorders>
            <w:noWrap w:val="0"/>
            <w:vAlign w:val="center"/>
          </w:tcPr>
          <w:p w14:paraId="1443C1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产品检测</w:t>
            </w:r>
          </w:p>
          <w:p w14:paraId="4A63B8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报告</w:t>
            </w:r>
          </w:p>
        </w:tc>
        <w:tc>
          <w:tcPr>
            <w:tcW w:w="7032" w:type="dxa"/>
            <w:gridSpan w:val="2"/>
            <w:tcBorders>
              <w:top w:val="single" w:color="auto" w:sz="4" w:space="0"/>
              <w:left w:val="nil"/>
              <w:bottom w:val="single" w:color="auto" w:sz="4" w:space="0"/>
              <w:right w:val="single" w:color="auto" w:sz="4" w:space="0"/>
            </w:tcBorders>
            <w:noWrap w:val="0"/>
            <w:vAlign w:val="center"/>
          </w:tcPr>
          <w:p w14:paraId="4A7935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投标人或所投产品生产厂家提供自2023年1月1日以来省级及以上质量检测部门出具的所投产品质量检验报告每出具一项得1分，最高得5分。</w:t>
            </w:r>
          </w:p>
          <w:p w14:paraId="2C27C6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注：检测报告送检方必须为所投产品的生产厂家，供货时须提供原厂证明，提供投标产品生产单位出具的委托检测报告原件扫描件并加盖投标人公章。</w:t>
            </w:r>
          </w:p>
        </w:tc>
        <w:tc>
          <w:tcPr>
            <w:tcW w:w="768" w:type="dxa"/>
            <w:tcBorders>
              <w:top w:val="single" w:color="auto" w:sz="4" w:space="0"/>
              <w:left w:val="nil"/>
              <w:right w:val="single" w:color="auto" w:sz="4" w:space="0"/>
            </w:tcBorders>
            <w:noWrap w:val="0"/>
            <w:vAlign w:val="center"/>
          </w:tcPr>
          <w:p w14:paraId="51AAE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r>
      <w:tr w14:paraId="7F3F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69" w:type="dxa"/>
            <w:vMerge w:val="continue"/>
            <w:tcBorders>
              <w:left w:val="single" w:color="auto" w:sz="4" w:space="0"/>
              <w:right w:val="single" w:color="auto" w:sz="4" w:space="0"/>
            </w:tcBorders>
            <w:noWrap w:val="0"/>
            <w:vAlign w:val="center"/>
          </w:tcPr>
          <w:p w14:paraId="769E0D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宋体" w:hAnsi="宋体" w:eastAsia="宋体" w:cs="宋体"/>
              </w:rPr>
            </w:pPr>
          </w:p>
        </w:tc>
        <w:tc>
          <w:tcPr>
            <w:tcW w:w="1638" w:type="dxa"/>
            <w:vMerge w:val="continue"/>
            <w:tcBorders>
              <w:left w:val="nil"/>
              <w:right w:val="single" w:color="auto" w:sz="4" w:space="0"/>
            </w:tcBorders>
            <w:noWrap w:val="0"/>
            <w:vAlign w:val="center"/>
          </w:tcPr>
          <w:p w14:paraId="26EB1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宋体" w:hAnsi="宋体" w:eastAsia="宋体" w:cs="宋体"/>
              </w:rPr>
            </w:pPr>
          </w:p>
        </w:tc>
        <w:tc>
          <w:tcPr>
            <w:tcW w:w="7032" w:type="dxa"/>
            <w:gridSpan w:val="2"/>
            <w:tcBorders>
              <w:top w:val="single" w:color="auto" w:sz="4" w:space="0"/>
              <w:left w:val="nil"/>
              <w:bottom w:val="single" w:color="auto" w:sz="4" w:space="0"/>
              <w:right w:val="single" w:color="auto" w:sz="4" w:space="0"/>
            </w:tcBorders>
            <w:noWrap w:val="0"/>
            <w:vAlign w:val="center"/>
          </w:tcPr>
          <w:p w14:paraId="4A0121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或所投产品生产厂家提供自2023年1月1日以来省级及以上质量检测部门出具的本项目主要产品原材料检测报告：如木质玩具中油漆、连接件、胶水原材料有效检测报告；塑料玩具使用的原材料塑胶粒子、色母、色粉中塑化剂有效检测报告，并且符合招标文件参数环保要求，每提供1个得0.5分，最高得4分。</w:t>
            </w:r>
          </w:p>
          <w:p w14:paraId="6F6A2F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注：检测报告送检方必须为所投产品的生产厂家，供货时须提供原厂证明，提供投标产品生产单位出具的委托检测报告原件扫描件并加盖投标人公章。</w:t>
            </w:r>
          </w:p>
        </w:tc>
        <w:tc>
          <w:tcPr>
            <w:tcW w:w="768" w:type="dxa"/>
            <w:tcBorders>
              <w:left w:val="nil"/>
              <w:right w:val="single" w:color="auto" w:sz="4" w:space="0"/>
            </w:tcBorders>
            <w:noWrap w:val="0"/>
            <w:vAlign w:val="center"/>
          </w:tcPr>
          <w:p w14:paraId="02D173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4</w:t>
            </w:r>
          </w:p>
        </w:tc>
      </w:tr>
      <w:tr w14:paraId="534C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69" w:type="dxa"/>
            <w:vMerge w:val="restart"/>
            <w:tcBorders>
              <w:top w:val="single" w:color="auto" w:sz="4" w:space="0"/>
              <w:left w:val="single" w:color="auto" w:sz="4" w:space="0"/>
              <w:right w:val="single" w:color="auto" w:sz="4" w:space="0"/>
            </w:tcBorders>
            <w:noWrap w:val="0"/>
            <w:vAlign w:val="center"/>
          </w:tcPr>
          <w:p w14:paraId="7EC9E4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638" w:type="dxa"/>
            <w:vMerge w:val="restart"/>
            <w:tcBorders>
              <w:top w:val="single" w:color="auto" w:sz="4" w:space="0"/>
              <w:left w:val="nil"/>
              <w:right w:val="single" w:color="auto" w:sz="4" w:space="0"/>
            </w:tcBorders>
            <w:noWrap w:val="0"/>
            <w:vAlign w:val="center"/>
          </w:tcPr>
          <w:p w14:paraId="455ECC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设计方案</w:t>
            </w:r>
          </w:p>
        </w:tc>
        <w:tc>
          <w:tcPr>
            <w:tcW w:w="1197" w:type="dxa"/>
            <w:vMerge w:val="restart"/>
            <w:tcBorders>
              <w:top w:val="single" w:color="auto" w:sz="4" w:space="0"/>
              <w:left w:val="nil"/>
              <w:right w:val="single" w:color="auto" w:sz="4" w:space="0"/>
            </w:tcBorders>
            <w:noWrap w:val="0"/>
            <w:vAlign w:val="center"/>
          </w:tcPr>
          <w:p w14:paraId="7F7F74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根据投标单位提供本次红灯笼乡村家园户外设施所在场景的详细设计方案及设计说明进行打分。</w:t>
            </w:r>
          </w:p>
          <w:p w14:paraId="1ECBF6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p>
        </w:tc>
        <w:tc>
          <w:tcPr>
            <w:tcW w:w="5835" w:type="dxa"/>
            <w:tcBorders>
              <w:top w:val="single" w:color="auto" w:sz="4" w:space="0"/>
              <w:left w:val="nil"/>
              <w:right w:val="single" w:color="auto" w:sz="4" w:space="0"/>
            </w:tcBorders>
            <w:noWrap w:val="0"/>
            <w:vAlign w:val="center"/>
          </w:tcPr>
          <w:p w14:paraId="587F19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体场景规划图（投保人必须现场勘察、测量提供的红灯笼乡村家园设计图纸及采购货物清单规格要求制作规划图），各个产品合理安排落位能够做到产品之间的巧妙结合且功能连贯，各功能区域规划明确，设计说明规范详细、动线规划合理。对所有投标单位的效果图及方案说明进行综合打分，不提供的不得分。（0-3分）</w:t>
            </w:r>
          </w:p>
        </w:tc>
        <w:tc>
          <w:tcPr>
            <w:tcW w:w="768" w:type="dxa"/>
            <w:tcBorders>
              <w:top w:val="single" w:color="auto" w:sz="4" w:space="0"/>
              <w:left w:val="nil"/>
              <w:right w:val="single" w:color="auto" w:sz="4" w:space="0"/>
            </w:tcBorders>
            <w:noWrap w:val="0"/>
            <w:vAlign w:val="center"/>
          </w:tcPr>
          <w:p w14:paraId="45A701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r>
      <w:tr w14:paraId="7915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69" w:type="dxa"/>
            <w:vMerge w:val="continue"/>
            <w:tcBorders>
              <w:left w:val="single" w:color="auto" w:sz="4" w:space="0"/>
              <w:right w:val="single" w:color="auto" w:sz="4" w:space="0"/>
            </w:tcBorders>
            <w:noWrap w:val="0"/>
            <w:vAlign w:val="center"/>
          </w:tcPr>
          <w:p w14:paraId="6B1FE3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rPr>
            </w:pPr>
          </w:p>
        </w:tc>
        <w:tc>
          <w:tcPr>
            <w:tcW w:w="1638" w:type="dxa"/>
            <w:vMerge w:val="continue"/>
            <w:tcBorders>
              <w:left w:val="nil"/>
              <w:right w:val="single" w:color="auto" w:sz="4" w:space="0"/>
            </w:tcBorders>
            <w:noWrap w:val="0"/>
            <w:vAlign w:val="center"/>
          </w:tcPr>
          <w:p w14:paraId="4E661C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rPr>
            </w:pPr>
          </w:p>
        </w:tc>
        <w:tc>
          <w:tcPr>
            <w:tcW w:w="1197" w:type="dxa"/>
            <w:vMerge w:val="continue"/>
            <w:tcBorders>
              <w:left w:val="nil"/>
              <w:right w:val="single" w:color="auto" w:sz="4" w:space="0"/>
            </w:tcBorders>
            <w:noWrap w:val="0"/>
            <w:vAlign w:val="center"/>
          </w:tcPr>
          <w:p w14:paraId="6A3DEC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rPr>
            </w:pPr>
          </w:p>
        </w:tc>
        <w:tc>
          <w:tcPr>
            <w:tcW w:w="5835" w:type="dxa"/>
            <w:tcBorders>
              <w:left w:val="nil"/>
              <w:right w:val="single" w:color="auto" w:sz="4" w:space="0"/>
            </w:tcBorders>
            <w:noWrap w:val="0"/>
            <w:vAlign w:val="center"/>
          </w:tcPr>
          <w:p w14:paraId="5AAF14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rPr>
            </w:pPr>
            <w:r>
              <w:rPr>
                <w:rFonts w:hint="eastAsia" w:ascii="宋体" w:hAnsi="宋体" w:eastAsia="宋体" w:cs="宋体"/>
                <w:color w:val="auto"/>
                <w:sz w:val="24"/>
                <w:szCs w:val="24"/>
                <w:highlight w:val="none"/>
                <w:lang w:val="en-US" w:eastAsia="zh-CN"/>
              </w:rPr>
              <w:t>产品效果图全面详细（投保人必须现场勘察、测量根据招标文件提供的红灯笼乡村家园图纸及采购货物清单规格要求制作效果图），能够详细且清晰展示产品整体外观，产品色彩，造型细节，产品之间结合巧妙整体美观、设计美观度高。对所有投标单位的效果图及方案说明进行综合打分，不提供的不得分。（0-3分）</w:t>
            </w:r>
          </w:p>
        </w:tc>
        <w:tc>
          <w:tcPr>
            <w:tcW w:w="768" w:type="dxa"/>
            <w:tcBorders>
              <w:top w:val="single" w:color="auto" w:sz="4" w:space="0"/>
              <w:left w:val="nil"/>
              <w:right w:val="single" w:color="auto" w:sz="4" w:space="0"/>
            </w:tcBorders>
            <w:noWrap w:val="0"/>
            <w:vAlign w:val="center"/>
          </w:tcPr>
          <w:p w14:paraId="3E5070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r>
      <w:tr w14:paraId="1FF6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69" w:type="dxa"/>
            <w:vMerge w:val="continue"/>
            <w:tcBorders>
              <w:left w:val="single" w:color="auto" w:sz="4" w:space="0"/>
              <w:right w:val="single" w:color="auto" w:sz="4" w:space="0"/>
            </w:tcBorders>
            <w:noWrap w:val="0"/>
            <w:vAlign w:val="center"/>
          </w:tcPr>
          <w:p w14:paraId="4F286D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lang w:val="en-US" w:eastAsia="zh-CN" w:bidi="ar"/>
              </w:rPr>
            </w:pPr>
          </w:p>
        </w:tc>
        <w:tc>
          <w:tcPr>
            <w:tcW w:w="1638" w:type="dxa"/>
            <w:vMerge w:val="continue"/>
            <w:tcBorders>
              <w:left w:val="nil"/>
              <w:right w:val="single" w:color="auto" w:sz="4" w:space="0"/>
            </w:tcBorders>
            <w:noWrap w:val="0"/>
            <w:vAlign w:val="center"/>
          </w:tcPr>
          <w:p w14:paraId="23C1E2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lang w:val="en-US" w:eastAsia="zh-CN" w:bidi="ar"/>
              </w:rPr>
            </w:pPr>
          </w:p>
        </w:tc>
        <w:tc>
          <w:tcPr>
            <w:tcW w:w="1197" w:type="dxa"/>
            <w:vMerge w:val="continue"/>
            <w:tcBorders>
              <w:left w:val="nil"/>
              <w:right w:val="single" w:color="auto" w:sz="4" w:space="0"/>
            </w:tcBorders>
            <w:noWrap w:val="0"/>
            <w:vAlign w:val="center"/>
          </w:tcPr>
          <w:p w14:paraId="0DFDC9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lang w:val="en-US" w:eastAsia="zh-CN" w:bidi="ar"/>
              </w:rPr>
            </w:pPr>
          </w:p>
        </w:tc>
        <w:tc>
          <w:tcPr>
            <w:tcW w:w="5835" w:type="dxa"/>
            <w:tcBorders>
              <w:left w:val="nil"/>
              <w:right w:val="single" w:color="auto" w:sz="4" w:space="0"/>
            </w:tcBorders>
            <w:noWrap w:val="0"/>
            <w:vAlign w:val="center"/>
          </w:tcPr>
          <w:p w14:paraId="7428FD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产品安装定位施工图（投保人必须现场勘察、测量根据招标文件提供的红灯笼乡村家园图纸及采购货物清单规格要求制作定位施工图），包括网格定位及坐标定位图、设备安装预埋基础图纸，产品安装定位施工图具有较强的合理性和可操作性、图纸内容完整且详细。对所有投标单位的效果图及方案说明进行综合打分，不提供的不得分。（0-2分）</w:t>
            </w:r>
          </w:p>
        </w:tc>
        <w:tc>
          <w:tcPr>
            <w:tcW w:w="768" w:type="dxa"/>
            <w:tcBorders>
              <w:top w:val="single" w:color="auto" w:sz="4" w:space="0"/>
              <w:left w:val="nil"/>
              <w:right w:val="single" w:color="auto" w:sz="4" w:space="0"/>
            </w:tcBorders>
            <w:noWrap w:val="0"/>
            <w:vAlign w:val="center"/>
          </w:tcPr>
          <w:p w14:paraId="4A9860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r>
      <w:tr w14:paraId="05A2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7B733B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1638" w:type="dxa"/>
            <w:tcBorders>
              <w:top w:val="single" w:color="auto" w:sz="4" w:space="0"/>
              <w:left w:val="nil"/>
              <w:bottom w:val="single" w:color="auto" w:sz="4" w:space="0"/>
              <w:right w:val="single" w:color="auto" w:sz="4" w:space="0"/>
            </w:tcBorders>
            <w:noWrap w:val="0"/>
            <w:vAlign w:val="center"/>
          </w:tcPr>
          <w:p w14:paraId="01277C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实施方案</w:t>
            </w:r>
          </w:p>
        </w:tc>
        <w:tc>
          <w:tcPr>
            <w:tcW w:w="7032" w:type="dxa"/>
            <w:gridSpan w:val="2"/>
            <w:tcBorders>
              <w:top w:val="single" w:color="auto" w:sz="4" w:space="0"/>
              <w:left w:val="nil"/>
              <w:bottom w:val="single" w:color="auto" w:sz="4" w:space="0"/>
              <w:right w:val="single" w:color="auto" w:sz="4" w:space="0"/>
            </w:tcBorders>
            <w:noWrap w:val="0"/>
            <w:vAlign w:val="center"/>
          </w:tcPr>
          <w:p w14:paraId="41BFEC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根据投标人的项目实施方案包括：总体施工部署、人员安排、施工时间进度表、工期保证措施、运输计划的安排等进行综合评分。（0-4分）</w:t>
            </w:r>
          </w:p>
        </w:tc>
        <w:tc>
          <w:tcPr>
            <w:tcW w:w="768" w:type="dxa"/>
            <w:tcBorders>
              <w:top w:val="single" w:color="auto" w:sz="4" w:space="0"/>
              <w:left w:val="nil"/>
              <w:bottom w:val="single" w:color="auto" w:sz="4" w:space="0"/>
              <w:right w:val="single" w:color="auto" w:sz="4" w:space="0"/>
            </w:tcBorders>
            <w:noWrap w:val="0"/>
            <w:vAlign w:val="center"/>
          </w:tcPr>
          <w:p w14:paraId="166F25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r>
      <w:tr w14:paraId="7BBC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6ABD7F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lang w:val="en-US" w:eastAsia="zh-CN" w:bidi="ar"/>
              </w:rPr>
            </w:pPr>
          </w:p>
        </w:tc>
        <w:tc>
          <w:tcPr>
            <w:tcW w:w="1638" w:type="dxa"/>
            <w:tcBorders>
              <w:top w:val="single" w:color="auto" w:sz="4" w:space="0"/>
              <w:left w:val="nil"/>
              <w:bottom w:val="single" w:color="auto" w:sz="4" w:space="0"/>
              <w:right w:val="single" w:color="auto" w:sz="4" w:space="0"/>
            </w:tcBorders>
            <w:noWrap w:val="0"/>
            <w:vAlign w:val="center"/>
          </w:tcPr>
          <w:p w14:paraId="2B177C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现场安装管理计划</w:t>
            </w:r>
          </w:p>
        </w:tc>
        <w:tc>
          <w:tcPr>
            <w:tcW w:w="7032" w:type="dxa"/>
            <w:gridSpan w:val="2"/>
            <w:tcBorders>
              <w:top w:val="single" w:color="auto" w:sz="4" w:space="0"/>
              <w:left w:val="nil"/>
              <w:bottom w:val="single" w:color="auto" w:sz="4" w:space="0"/>
              <w:right w:val="single" w:color="auto" w:sz="4" w:space="0"/>
            </w:tcBorders>
            <w:noWrap w:val="0"/>
            <w:vAlign w:val="center"/>
          </w:tcPr>
          <w:p w14:paraId="4F11A3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根据投标人产品进场前的准备措施（包括产品进场后对突发状况的应急预案的考虑及有应对措施）、安装、调试、验收方案进行综合评分。（0-4分）</w:t>
            </w:r>
          </w:p>
        </w:tc>
        <w:tc>
          <w:tcPr>
            <w:tcW w:w="768" w:type="dxa"/>
            <w:tcBorders>
              <w:top w:val="single" w:color="auto" w:sz="4" w:space="0"/>
              <w:left w:val="nil"/>
              <w:bottom w:val="single" w:color="auto" w:sz="4" w:space="0"/>
              <w:right w:val="single" w:color="auto" w:sz="4" w:space="0"/>
            </w:tcBorders>
            <w:noWrap w:val="0"/>
            <w:vAlign w:val="center"/>
          </w:tcPr>
          <w:p w14:paraId="7DE312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r>
      <w:tr w14:paraId="3CDB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359C12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p>
        </w:tc>
        <w:tc>
          <w:tcPr>
            <w:tcW w:w="1638" w:type="dxa"/>
            <w:tcBorders>
              <w:top w:val="single" w:color="auto" w:sz="4" w:space="0"/>
              <w:left w:val="nil"/>
              <w:bottom w:val="single" w:color="auto" w:sz="4" w:space="0"/>
              <w:right w:val="single" w:color="auto" w:sz="4" w:space="0"/>
            </w:tcBorders>
            <w:noWrap w:val="0"/>
            <w:vAlign w:val="center"/>
          </w:tcPr>
          <w:p w14:paraId="7F0351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质量保障</w:t>
            </w:r>
          </w:p>
        </w:tc>
        <w:tc>
          <w:tcPr>
            <w:tcW w:w="7032" w:type="dxa"/>
            <w:gridSpan w:val="2"/>
            <w:tcBorders>
              <w:top w:val="single" w:color="auto" w:sz="4" w:space="0"/>
              <w:left w:val="nil"/>
              <w:bottom w:val="single" w:color="auto" w:sz="4" w:space="0"/>
              <w:right w:val="single" w:color="auto" w:sz="4" w:space="0"/>
            </w:tcBorders>
            <w:noWrap w:val="0"/>
            <w:vAlign w:val="center"/>
          </w:tcPr>
          <w:p w14:paraId="0F567D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投标人具有明确的质量目标及质量保证措施，有独立品管部门和专门品管人员，确保产品生产过程中的质量控制完善，有详细可行的实施内容符合招标要求和品质要求，根据方案措施内容进行综合评分。（0-4分）</w:t>
            </w:r>
          </w:p>
        </w:tc>
        <w:tc>
          <w:tcPr>
            <w:tcW w:w="768" w:type="dxa"/>
            <w:tcBorders>
              <w:top w:val="single" w:color="auto" w:sz="4" w:space="0"/>
              <w:left w:val="nil"/>
              <w:bottom w:val="single" w:color="auto" w:sz="4" w:space="0"/>
              <w:right w:val="single" w:color="auto" w:sz="4" w:space="0"/>
            </w:tcBorders>
            <w:noWrap w:val="0"/>
            <w:vAlign w:val="center"/>
          </w:tcPr>
          <w:p w14:paraId="0937F6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r>
      <w:tr w14:paraId="4B20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131F7F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p>
        </w:tc>
        <w:tc>
          <w:tcPr>
            <w:tcW w:w="1638" w:type="dxa"/>
            <w:tcBorders>
              <w:top w:val="single" w:color="auto" w:sz="4" w:space="0"/>
              <w:left w:val="nil"/>
              <w:bottom w:val="single" w:color="auto" w:sz="4" w:space="0"/>
              <w:right w:val="single" w:color="auto" w:sz="4" w:space="0"/>
            </w:tcBorders>
            <w:noWrap w:val="0"/>
            <w:vAlign w:val="center"/>
          </w:tcPr>
          <w:p w14:paraId="62CC9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安全保障</w:t>
            </w:r>
          </w:p>
        </w:tc>
        <w:tc>
          <w:tcPr>
            <w:tcW w:w="7032" w:type="dxa"/>
            <w:gridSpan w:val="2"/>
            <w:tcBorders>
              <w:top w:val="single" w:color="auto" w:sz="4" w:space="0"/>
              <w:left w:val="nil"/>
              <w:bottom w:val="single" w:color="auto" w:sz="4" w:space="0"/>
              <w:right w:val="single" w:color="auto" w:sz="4" w:space="0"/>
            </w:tcBorders>
            <w:noWrap w:val="0"/>
            <w:vAlign w:val="center"/>
          </w:tcPr>
          <w:p w14:paraId="1CD2BE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投标人具有明确可行的安全文明保证措施，有详细可行的实施计划安排，根据方案内容进行综合评分。（0-2分）</w:t>
            </w:r>
          </w:p>
        </w:tc>
        <w:tc>
          <w:tcPr>
            <w:tcW w:w="768" w:type="dxa"/>
            <w:tcBorders>
              <w:top w:val="single" w:color="auto" w:sz="4" w:space="0"/>
              <w:left w:val="nil"/>
              <w:bottom w:val="single" w:color="auto" w:sz="4" w:space="0"/>
              <w:right w:val="single" w:color="auto" w:sz="4" w:space="0"/>
            </w:tcBorders>
            <w:noWrap w:val="0"/>
            <w:vAlign w:val="center"/>
          </w:tcPr>
          <w:p w14:paraId="65152E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r>
      <w:tr w14:paraId="4F16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5D3F97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w:t>
            </w:r>
          </w:p>
        </w:tc>
        <w:tc>
          <w:tcPr>
            <w:tcW w:w="1638" w:type="dxa"/>
            <w:tcBorders>
              <w:top w:val="single" w:color="auto" w:sz="4" w:space="0"/>
              <w:left w:val="nil"/>
              <w:bottom w:val="single" w:color="auto" w:sz="4" w:space="0"/>
              <w:right w:val="single" w:color="auto" w:sz="4" w:space="0"/>
            </w:tcBorders>
            <w:noWrap w:val="0"/>
            <w:vAlign w:val="center"/>
          </w:tcPr>
          <w:p w14:paraId="2F1357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性能保证</w:t>
            </w:r>
          </w:p>
        </w:tc>
        <w:tc>
          <w:tcPr>
            <w:tcW w:w="7032" w:type="dxa"/>
            <w:gridSpan w:val="2"/>
            <w:tcBorders>
              <w:top w:val="single" w:color="auto" w:sz="4" w:space="0"/>
              <w:left w:val="nil"/>
              <w:bottom w:val="single" w:color="auto" w:sz="4" w:space="0"/>
              <w:right w:val="single" w:color="auto" w:sz="4" w:space="0"/>
            </w:tcBorders>
            <w:noWrap w:val="0"/>
            <w:vAlign w:val="center"/>
          </w:tcPr>
          <w:p w14:paraId="560E02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根据投标人对响应产品或材料的环保性及适用性及结构安全稳定性保证及说明进行综合评分。（0-2</w:t>
            </w:r>
            <w:bookmarkStart w:id="47" w:name="_GoBack"/>
            <w:bookmarkEnd w:id="47"/>
            <w:r>
              <w:rPr>
                <w:rFonts w:hint="eastAsia" w:ascii="宋体" w:hAnsi="宋体" w:eastAsia="宋体" w:cs="宋体"/>
                <w:color w:val="auto"/>
                <w:kern w:val="0"/>
                <w:sz w:val="24"/>
                <w:szCs w:val="24"/>
                <w:highlight w:val="none"/>
                <w:lang w:val="en-US" w:eastAsia="zh-CN" w:bidi="ar"/>
              </w:rPr>
              <w:t>分）</w:t>
            </w:r>
          </w:p>
        </w:tc>
        <w:tc>
          <w:tcPr>
            <w:tcW w:w="768" w:type="dxa"/>
            <w:tcBorders>
              <w:top w:val="single" w:color="auto" w:sz="4" w:space="0"/>
              <w:left w:val="nil"/>
              <w:bottom w:val="single" w:color="auto" w:sz="4" w:space="0"/>
              <w:right w:val="single" w:color="auto" w:sz="4" w:space="0"/>
            </w:tcBorders>
            <w:noWrap w:val="0"/>
            <w:vAlign w:val="center"/>
          </w:tcPr>
          <w:p w14:paraId="5E8C03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r>
      <w:tr w14:paraId="4F9A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05ADB1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1638" w:type="dxa"/>
            <w:tcBorders>
              <w:top w:val="single" w:color="auto" w:sz="4" w:space="0"/>
              <w:left w:val="nil"/>
              <w:bottom w:val="single" w:color="auto" w:sz="4" w:space="0"/>
              <w:right w:val="single" w:color="auto" w:sz="4" w:space="0"/>
            </w:tcBorders>
            <w:noWrap w:val="0"/>
            <w:vAlign w:val="center"/>
          </w:tcPr>
          <w:p w14:paraId="7244D7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工艺流程检验程序</w:t>
            </w:r>
          </w:p>
        </w:tc>
        <w:tc>
          <w:tcPr>
            <w:tcW w:w="7032" w:type="dxa"/>
            <w:gridSpan w:val="2"/>
            <w:tcBorders>
              <w:top w:val="single" w:color="auto" w:sz="4" w:space="0"/>
              <w:left w:val="nil"/>
              <w:bottom w:val="single" w:color="auto" w:sz="4" w:space="0"/>
              <w:right w:val="single" w:color="auto" w:sz="4" w:space="0"/>
            </w:tcBorders>
            <w:noWrap w:val="0"/>
            <w:vAlign w:val="center"/>
          </w:tcPr>
          <w:p w14:paraId="625225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根据投标人对本项目所投产品生产工艺流程；出厂检验程序等质量保证体系的合理性、全面性、可执行性进行综合评分。（0-3分）</w:t>
            </w:r>
          </w:p>
        </w:tc>
        <w:tc>
          <w:tcPr>
            <w:tcW w:w="768" w:type="dxa"/>
            <w:tcBorders>
              <w:top w:val="single" w:color="auto" w:sz="4" w:space="0"/>
              <w:left w:val="nil"/>
              <w:bottom w:val="single" w:color="auto" w:sz="4" w:space="0"/>
              <w:right w:val="single" w:color="auto" w:sz="4" w:space="0"/>
            </w:tcBorders>
            <w:noWrap w:val="0"/>
            <w:vAlign w:val="center"/>
          </w:tcPr>
          <w:p w14:paraId="2C0D3A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r>
      <w:tr w14:paraId="3353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6F84B2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p>
        </w:tc>
        <w:tc>
          <w:tcPr>
            <w:tcW w:w="1638" w:type="dxa"/>
            <w:tcBorders>
              <w:top w:val="single" w:color="auto" w:sz="4" w:space="0"/>
              <w:left w:val="nil"/>
              <w:bottom w:val="single" w:color="auto" w:sz="4" w:space="0"/>
              <w:right w:val="single" w:color="auto" w:sz="4" w:space="0"/>
            </w:tcBorders>
            <w:noWrap w:val="0"/>
            <w:vAlign w:val="center"/>
          </w:tcPr>
          <w:p w14:paraId="49452D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定期维护</w:t>
            </w:r>
          </w:p>
        </w:tc>
        <w:tc>
          <w:tcPr>
            <w:tcW w:w="7032" w:type="dxa"/>
            <w:gridSpan w:val="2"/>
            <w:tcBorders>
              <w:top w:val="single" w:color="auto" w:sz="4" w:space="0"/>
              <w:left w:val="nil"/>
              <w:bottom w:val="single" w:color="auto" w:sz="4" w:space="0"/>
              <w:right w:val="single" w:color="auto" w:sz="4" w:space="0"/>
            </w:tcBorders>
            <w:noWrap w:val="0"/>
            <w:vAlign w:val="center"/>
          </w:tcPr>
          <w:p w14:paraId="2A2B9C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根据投标人质保期内、外对用易损件破损的响应、处理、定期巡查（维护）等情况的合理性、全面性、可执行性进行综合评分。（0-3分）</w:t>
            </w:r>
          </w:p>
        </w:tc>
        <w:tc>
          <w:tcPr>
            <w:tcW w:w="768" w:type="dxa"/>
            <w:tcBorders>
              <w:top w:val="single" w:color="auto" w:sz="4" w:space="0"/>
              <w:left w:val="nil"/>
              <w:bottom w:val="single" w:color="auto" w:sz="4" w:space="0"/>
              <w:right w:val="single" w:color="auto" w:sz="4" w:space="0"/>
            </w:tcBorders>
            <w:noWrap w:val="0"/>
            <w:vAlign w:val="center"/>
          </w:tcPr>
          <w:p w14:paraId="0DBC43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r>
      <w:tr w14:paraId="2D6B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256265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w:t>
            </w:r>
          </w:p>
        </w:tc>
        <w:tc>
          <w:tcPr>
            <w:tcW w:w="1638" w:type="dxa"/>
            <w:tcBorders>
              <w:top w:val="single" w:color="auto" w:sz="4" w:space="0"/>
              <w:left w:val="nil"/>
              <w:bottom w:val="single" w:color="auto" w:sz="4" w:space="0"/>
              <w:right w:val="single" w:color="auto" w:sz="4" w:space="0"/>
            </w:tcBorders>
            <w:noWrap w:val="0"/>
            <w:vAlign w:val="center"/>
          </w:tcPr>
          <w:p w14:paraId="2598D2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售后服务</w:t>
            </w:r>
          </w:p>
        </w:tc>
        <w:tc>
          <w:tcPr>
            <w:tcW w:w="7032" w:type="dxa"/>
            <w:gridSpan w:val="2"/>
            <w:tcBorders>
              <w:top w:val="single" w:color="auto" w:sz="4" w:space="0"/>
              <w:left w:val="nil"/>
              <w:bottom w:val="single" w:color="auto" w:sz="4" w:space="0"/>
              <w:right w:val="single" w:color="auto" w:sz="4" w:space="0"/>
            </w:tcBorders>
            <w:noWrap w:val="0"/>
            <w:vAlign w:val="center"/>
          </w:tcPr>
          <w:p w14:paraId="0DFAB4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根据投标人提供详细完整的“三包”措施及售后服务措施和方案（包括服务措施、产品质量保证、回访、技术培训等）进行综合评分。（0-3分）</w:t>
            </w:r>
          </w:p>
        </w:tc>
        <w:tc>
          <w:tcPr>
            <w:tcW w:w="768" w:type="dxa"/>
            <w:tcBorders>
              <w:top w:val="single" w:color="auto" w:sz="4" w:space="0"/>
              <w:left w:val="nil"/>
              <w:bottom w:val="single" w:color="auto" w:sz="4" w:space="0"/>
              <w:right w:val="single" w:color="auto" w:sz="4" w:space="0"/>
            </w:tcBorders>
            <w:noWrap w:val="0"/>
            <w:vAlign w:val="center"/>
          </w:tcPr>
          <w:p w14:paraId="1F90F1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r>
      <w:tr w14:paraId="29EA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140D57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w:t>
            </w:r>
          </w:p>
        </w:tc>
        <w:tc>
          <w:tcPr>
            <w:tcW w:w="1638" w:type="dxa"/>
            <w:tcBorders>
              <w:top w:val="single" w:color="auto" w:sz="4" w:space="0"/>
              <w:left w:val="nil"/>
              <w:bottom w:val="single" w:color="auto" w:sz="4" w:space="0"/>
              <w:right w:val="single" w:color="auto" w:sz="4" w:space="0"/>
            </w:tcBorders>
            <w:noWrap w:val="0"/>
            <w:vAlign w:val="center"/>
          </w:tcPr>
          <w:p w14:paraId="218C87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质保期</w:t>
            </w:r>
          </w:p>
        </w:tc>
        <w:tc>
          <w:tcPr>
            <w:tcW w:w="7032" w:type="dxa"/>
            <w:gridSpan w:val="2"/>
            <w:tcBorders>
              <w:top w:val="single" w:color="auto" w:sz="4" w:space="0"/>
              <w:left w:val="nil"/>
              <w:bottom w:val="single" w:color="auto" w:sz="4" w:space="0"/>
              <w:right w:val="single" w:color="auto" w:sz="4" w:space="0"/>
            </w:tcBorders>
            <w:noWrap w:val="0"/>
            <w:vAlign w:val="center"/>
          </w:tcPr>
          <w:p w14:paraId="0D38CE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招标文件规定质保期为2年，每增加1年得1分,最多得2分，质保期没有超过的本项不得分。（0-2分）</w:t>
            </w:r>
          </w:p>
        </w:tc>
        <w:tc>
          <w:tcPr>
            <w:tcW w:w="768" w:type="dxa"/>
            <w:tcBorders>
              <w:top w:val="single" w:color="auto" w:sz="4" w:space="0"/>
              <w:left w:val="nil"/>
              <w:bottom w:val="single" w:color="auto" w:sz="4" w:space="0"/>
              <w:right w:val="single" w:color="auto" w:sz="4" w:space="0"/>
            </w:tcBorders>
            <w:noWrap w:val="0"/>
            <w:vAlign w:val="center"/>
          </w:tcPr>
          <w:p w14:paraId="5CF154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r>
    </w:tbl>
    <w:p w14:paraId="44A6CED8">
      <w:pPr>
        <w:spacing w:line="360" w:lineRule="auto"/>
        <w:rPr>
          <w:rFonts w:hint="eastAsia" w:ascii="宋体" w:hAnsi="宋体" w:eastAsia="宋体" w:cs="宋体"/>
        </w:rPr>
      </w:pPr>
    </w:p>
    <w:p w14:paraId="54A0EF89">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rPr>
      </w:pPr>
    </w:p>
    <w:p w14:paraId="2E3E8361">
      <w:pPr>
        <w:keepNext w:val="0"/>
        <w:keepLines w:val="0"/>
        <w:pageBreakBefore w:val="0"/>
        <w:kinsoku/>
        <w:wordWrap/>
        <w:overflowPunct/>
        <w:topLinePunct w:val="0"/>
        <w:autoSpaceDE/>
        <w:autoSpaceDN/>
        <w:bidi w:val="0"/>
        <w:spacing w:before="120" w:line="380" w:lineRule="exact"/>
        <w:ind w:left="0" w:leftChars="0" w:firstLine="0" w:firstLineChars="0"/>
        <w:textAlignment w:val="auto"/>
        <w:rPr>
          <w:rFonts w:hint="eastAsia" w:ascii="宋体" w:hAnsi="宋体" w:eastAsia="宋体" w:cs="宋体"/>
          <w:b/>
          <w:sz w:val="24"/>
        </w:rPr>
      </w:pPr>
      <w:r>
        <w:rPr>
          <w:rFonts w:hint="eastAsia" w:ascii="宋体" w:hAnsi="宋体" w:eastAsia="宋体" w:cs="宋体"/>
          <w:b/>
          <w:sz w:val="24"/>
        </w:rPr>
        <w:t>（三）商务技术分的计算</w:t>
      </w:r>
    </w:p>
    <w:p w14:paraId="29468D61">
      <w:pPr>
        <w:keepNext w:val="0"/>
        <w:keepLines w:val="0"/>
        <w:pageBreakBefore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eastAsia="宋体" w:cs="宋体"/>
          <w:b/>
          <w:sz w:val="32"/>
          <w:szCs w:val="32"/>
        </w:rPr>
        <w:sectPr>
          <w:pgSz w:w="11906" w:h="16838"/>
          <w:pgMar w:top="1440" w:right="1457" w:bottom="1440" w:left="1457" w:header="851" w:footer="992" w:gutter="0"/>
          <w:pgNumType w:fmt="decimal"/>
          <w:cols w:space="720" w:num="1"/>
          <w:docGrid w:type="lines" w:linePitch="319" w:charSpace="0"/>
        </w:sectPr>
      </w:pPr>
      <w:r>
        <w:rPr>
          <w:rFonts w:hint="eastAsia" w:ascii="宋体" w:hAnsi="宋体" w:eastAsia="宋体" w:cs="宋体"/>
          <w:sz w:val="24"/>
        </w:rPr>
        <w:t>商务技术评分按照评标委员会成员的独立评分结果汇总后的算术平均分计算，计算公式为：商务技术评分＝评标委员会所有成员评分合计数/评标委员会组成人员数。</w:t>
      </w:r>
    </w:p>
    <w:p w14:paraId="66E16941">
      <w:pPr>
        <w:spacing w:before="120" w:beforeLines="50" w:after="120" w:afterLines="50" w:line="360" w:lineRule="auto"/>
        <w:jc w:val="center"/>
        <w:outlineLvl w:val="0"/>
        <w:rPr>
          <w:rFonts w:hint="eastAsia" w:ascii="宋体" w:hAnsi="宋体" w:eastAsia="宋体" w:cs="宋体"/>
          <w:b/>
          <w:sz w:val="32"/>
          <w:szCs w:val="32"/>
        </w:rPr>
      </w:pPr>
      <w:bookmarkStart w:id="21" w:name="_Toc194217895"/>
      <w:bookmarkStart w:id="22" w:name="_Toc177870561"/>
      <w:r>
        <w:rPr>
          <w:rFonts w:hint="eastAsia" w:ascii="宋体" w:hAnsi="宋体" w:eastAsia="宋体" w:cs="宋体"/>
          <w:b/>
          <w:sz w:val="32"/>
          <w:szCs w:val="32"/>
        </w:rPr>
        <w:t>第五章 采购合同</w:t>
      </w:r>
    </w:p>
    <w:p w14:paraId="6EB51220">
      <w:pPr>
        <w:spacing w:line="240" w:lineRule="auto"/>
        <w:ind w:firstLine="0"/>
        <w:jc w:val="both"/>
        <w:rPr>
          <w:rFonts w:hint="eastAsia" w:ascii="宋体" w:hAnsi="宋体" w:eastAsia="宋体" w:cs="宋体"/>
          <w:kern w:val="0"/>
          <w:sz w:val="24"/>
          <w:szCs w:val="21"/>
          <w:u w:val="single"/>
        </w:rPr>
      </w:pPr>
      <w:r>
        <w:rPr>
          <w:rFonts w:hint="eastAsia" w:ascii="宋体" w:hAnsi="宋体" w:eastAsia="宋体" w:cs="宋体"/>
          <w:kern w:val="0"/>
          <w:sz w:val="24"/>
          <w:szCs w:val="21"/>
        </w:rPr>
        <w:t>合同编号：</w:t>
      </w:r>
    </w:p>
    <w:p w14:paraId="5FC39657">
      <w:pPr>
        <w:spacing w:line="480" w:lineRule="auto"/>
        <w:ind w:firstLine="0"/>
        <w:jc w:val="center"/>
        <w:rPr>
          <w:rFonts w:hint="eastAsia" w:ascii="宋体" w:hAnsi="宋体" w:eastAsia="宋体" w:cs="宋体"/>
          <w:b/>
          <w:kern w:val="0"/>
          <w:sz w:val="28"/>
          <w:szCs w:val="28"/>
        </w:rPr>
      </w:pPr>
    </w:p>
    <w:p w14:paraId="13F4DE5D">
      <w:pPr>
        <w:spacing w:line="480" w:lineRule="auto"/>
        <w:ind w:firstLine="0"/>
        <w:jc w:val="both"/>
        <w:rPr>
          <w:rFonts w:hint="eastAsia" w:ascii="宋体" w:hAnsi="宋体" w:eastAsia="宋体" w:cs="宋体"/>
          <w:b/>
          <w:kern w:val="0"/>
          <w:sz w:val="24"/>
          <w:szCs w:val="21"/>
        </w:rPr>
      </w:pPr>
    </w:p>
    <w:p w14:paraId="7DB29D59">
      <w:pPr>
        <w:spacing w:line="480" w:lineRule="auto"/>
        <w:ind w:firstLine="0"/>
        <w:jc w:val="center"/>
        <w:rPr>
          <w:rFonts w:hint="eastAsia" w:ascii="宋体" w:hAnsi="宋体" w:eastAsia="宋体" w:cs="宋体"/>
          <w:b/>
          <w:kern w:val="0"/>
          <w:sz w:val="36"/>
          <w:szCs w:val="36"/>
        </w:rPr>
      </w:pPr>
      <w:r>
        <w:rPr>
          <w:rFonts w:hint="eastAsia" w:ascii="宋体" w:hAnsi="宋体" w:eastAsia="宋体" w:cs="宋体"/>
          <w:b/>
          <w:kern w:val="0"/>
          <w:sz w:val="36"/>
          <w:szCs w:val="36"/>
        </w:rPr>
        <w:t>政府采购合同</w:t>
      </w:r>
    </w:p>
    <w:p w14:paraId="0726EEB4">
      <w:pPr>
        <w:spacing w:line="480" w:lineRule="auto"/>
        <w:ind w:firstLine="0"/>
        <w:jc w:val="center"/>
        <w:rPr>
          <w:rFonts w:hint="eastAsia" w:ascii="宋体" w:hAnsi="宋体" w:eastAsia="宋体" w:cs="宋体"/>
          <w:b/>
          <w:kern w:val="0"/>
          <w:sz w:val="36"/>
          <w:szCs w:val="36"/>
        </w:rPr>
      </w:pPr>
      <w:r>
        <w:rPr>
          <w:rFonts w:hint="eastAsia" w:ascii="宋体" w:hAnsi="宋体" w:eastAsia="宋体" w:cs="宋体"/>
          <w:b/>
          <w:kern w:val="0"/>
          <w:sz w:val="36"/>
          <w:szCs w:val="36"/>
        </w:rPr>
        <w:t>（货物类）</w:t>
      </w:r>
    </w:p>
    <w:p w14:paraId="3CBD782E">
      <w:pPr>
        <w:autoSpaceDE w:val="0"/>
        <w:autoSpaceDN w:val="0"/>
        <w:snapToGrid w:val="0"/>
        <w:spacing w:after="120" w:line="360" w:lineRule="auto"/>
        <w:ind w:left="480" w:leftChars="200" w:firstLine="480" w:firstLineChars="200"/>
        <w:jc w:val="both"/>
        <w:rPr>
          <w:rFonts w:hint="eastAsia" w:ascii="宋体" w:hAnsi="宋体" w:eastAsia="宋体" w:cs="宋体"/>
          <w:sz w:val="24"/>
          <w:szCs w:val="24"/>
          <w:lang w:val="en-US" w:eastAsia="zh-CN" w:bidi="ar-SA"/>
        </w:rPr>
      </w:pPr>
    </w:p>
    <w:p w14:paraId="08980C5F">
      <w:pPr>
        <w:autoSpaceDE w:val="0"/>
        <w:autoSpaceDN w:val="0"/>
        <w:snapToGrid w:val="0"/>
        <w:spacing w:after="120" w:line="360" w:lineRule="auto"/>
        <w:ind w:left="480" w:leftChars="200" w:firstLine="480" w:firstLineChars="200"/>
        <w:jc w:val="both"/>
        <w:rPr>
          <w:rFonts w:hint="eastAsia" w:ascii="宋体" w:hAnsi="宋体" w:eastAsia="宋体" w:cs="宋体"/>
          <w:sz w:val="24"/>
          <w:szCs w:val="24"/>
          <w:lang w:val="en-US" w:eastAsia="zh-CN" w:bidi="ar-SA"/>
        </w:rPr>
      </w:pPr>
    </w:p>
    <w:p w14:paraId="2617A39E">
      <w:pPr>
        <w:spacing w:before="120" w:line="22" w:lineRule="atLeast"/>
        <w:ind w:firstLine="0"/>
        <w:jc w:val="both"/>
        <w:rPr>
          <w:rFonts w:hint="eastAsia" w:ascii="宋体" w:hAnsi="宋体" w:eastAsia="宋体" w:cs="宋体"/>
          <w:kern w:val="0"/>
          <w:sz w:val="24"/>
          <w:szCs w:val="21"/>
        </w:rPr>
      </w:pPr>
    </w:p>
    <w:p w14:paraId="53E63C8A">
      <w:pPr>
        <w:spacing w:before="120" w:line="22" w:lineRule="atLeast"/>
        <w:ind w:left="960" w:firstLine="0"/>
        <w:jc w:val="both"/>
        <w:rPr>
          <w:rFonts w:hint="eastAsia" w:ascii="宋体" w:hAnsi="宋体" w:eastAsia="宋体" w:cs="宋体"/>
          <w:kern w:val="0"/>
          <w:sz w:val="24"/>
          <w:szCs w:val="21"/>
        </w:rPr>
      </w:pPr>
      <w:r>
        <w:rPr>
          <w:rFonts w:hint="eastAsia" w:ascii="宋体" w:hAnsi="宋体" w:eastAsia="宋体" w:cs="宋体"/>
          <w:kern w:val="0"/>
          <w:sz w:val="24"/>
          <w:szCs w:val="21"/>
        </w:rPr>
        <w:t>项目名称：</w:t>
      </w:r>
    </w:p>
    <w:p w14:paraId="67914D88">
      <w:pPr>
        <w:adjustRightInd/>
        <w:spacing w:before="120" w:line="22" w:lineRule="atLeast"/>
        <w:jc w:val="both"/>
        <w:rPr>
          <w:rFonts w:hint="eastAsia" w:ascii="宋体" w:hAnsi="宋体" w:eastAsia="宋体" w:cs="宋体"/>
          <w:sz w:val="24"/>
          <w:szCs w:val="24"/>
          <w:lang w:val="en-US" w:eastAsia="zh-CN" w:bidi="ar-SA"/>
        </w:rPr>
      </w:pPr>
    </w:p>
    <w:p w14:paraId="08E17437">
      <w:pPr>
        <w:adjustRightInd/>
        <w:spacing w:before="120" w:line="22" w:lineRule="atLeast"/>
        <w:jc w:val="both"/>
        <w:rPr>
          <w:rFonts w:hint="eastAsia" w:ascii="宋体" w:hAnsi="宋体" w:eastAsia="宋体" w:cs="宋体"/>
          <w:sz w:val="24"/>
          <w:szCs w:val="24"/>
          <w:lang w:val="en-US" w:eastAsia="zh-CN" w:bidi="ar-SA"/>
        </w:rPr>
      </w:pPr>
    </w:p>
    <w:p w14:paraId="11B3C72F">
      <w:pPr>
        <w:spacing w:line="240" w:lineRule="auto"/>
        <w:ind w:firstLine="0"/>
        <w:jc w:val="both"/>
        <w:rPr>
          <w:rFonts w:hint="eastAsia" w:ascii="宋体" w:hAnsi="宋体" w:eastAsia="宋体" w:cs="宋体"/>
          <w:kern w:val="0"/>
          <w:sz w:val="24"/>
          <w:szCs w:val="21"/>
        </w:rPr>
      </w:pPr>
    </w:p>
    <w:p w14:paraId="6BB7B545">
      <w:pPr>
        <w:spacing w:before="120" w:line="22" w:lineRule="atLeast"/>
        <w:ind w:left="960" w:firstLine="0"/>
        <w:jc w:val="both"/>
        <w:rPr>
          <w:rFonts w:hint="eastAsia" w:ascii="宋体" w:hAnsi="宋体" w:eastAsia="宋体" w:cs="宋体"/>
          <w:kern w:val="0"/>
          <w:sz w:val="24"/>
          <w:szCs w:val="21"/>
          <w:u w:val="single"/>
        </w:rPr>
      </w:pPr>
      <w:r>
        <w:rPr>
          <w:rFonts w:hint="eastAsia" w:ascii="宋体" w:hAnsi="宋体" w:eastAsia="宋体" w:cs="宋体"/>
          <w:kern w:val="0"/>
          <w:sz w:val="24"/>
          <w:szCs w:val="21"/>
        </w:rPr>
        <w:t>甲方：</w:t>
      </w:r>
    </w:p>
    <w:p w14:paraId="5B69F25C">
      <w:pPr>
        <w:spacing w:before="120" w:line="22" w:lineRule="atLeast"/>
        <w:ind w:firstLine="0"/>
        <w:jc w:val="both"/>
        <w:rPr>
          <w:rFonts w:hint="eastAsia" w:ascii="宋体" w:hAnsi="宋体" w:eastAsia="宋体" w:cs="宋体"/>
          <w:kern w:val="0"/>
          <w:sz w:val="24"/>
          <w:szCs w:val="21"/>
        </w:rPr>
      </w:pPr>
    </w:p>
    <w:p w14:paraId="0690B59C">
      <w:pPr>
        <w:spacing w:before="120" w:line="22" w:lineRule="atLeast"/>
        <w:ind w:left="960" w:firstLine="0"/>
        <w:jc w:val="both"/>
        <w:rPr>
          <w:rFonts w:hint="eastAsia" w:ascii="宋体" w:hAnsi="宋体" w:eastAsia="宋体" w:cs="宋体"/>
          <w:kern w:val="0"/>
          <w:sz w:val="24"/>
          <w:szCs w:val="21"/>
          <w:u w:val="single"/>
        </w:rPr>
      </w:pPr>
      <w:r>
        <w:rPr>
          <w:rFonts w:hint="eastAsia" w:ascii="宋体" w:hAnsi="宋体" w:eastAsia="宋体" w:cs="宋体"/>
          <w:kern w:val="0"/>
          <w:sz w:val="24"/>
          <w:szCs w:val="21"/>
        </w:rPr>
        <w:t>乙方：</w:t>
      </w:r>
    </w:p>
    <w:p w14:paraId="3E59615F">
      <w:pPr>
        <w:spacing w:before="120" w:line="22" w:lineRule="atLeast"/>
        <w:ind w:firstLine="0"/>
        <w:jc w:val="both"/>
        <w:rPr>
          <w:rFonts w:hint="eastAsia" w:ascii="宋体" w:hAnsi="宋体" w:eastAsia="宋体" w:cs="宋体"/>
          <w:kern w:val="0"/>
          <w:sz w:val="24"/>
          <w:szCs w:val="21"/>
        </w:rPr>
      </w:pPr>
    </w:p>
    <w:p w14:paraId="74F195B4">
      <w:pPr>
        <w:spacing w:before="120" w:line="22" w:lineRule="atLeast"/>
        <w:ind w:firstLine="960" w:firstLineChars="400"/>
        <w:jc w:val="both"/>
        <w:rPr>
          <w:rFonts w:hint="eastAsia" w:ascii="宋体" w:hAnsi="宋体" w:eastAsia="宋体" w:cs="宋体"/>
          <w:kern w:val="0"/>
          <w:sz w:val="24"/>
          <w:szCs w:val="21"/>
          <w:u w:val="single"/>
        </w:rPr>
      </w:pPr>
      <w:r>
        <w:rPr>
          <w:rFonts w:hint="eastAsia" w:ascii="宋体" w:hAnsi="宋体" w:eastAsia="宋体" w:cs="宋体"/>
          <w:kern w:val="0"/>
          <w:sz w:val="24"/>
          <w:szCs w:val="21"/>
        </w:rPr>
        <w:t>签订地：</w:t>
      </w:r>
    </w:p>
    <w:p w14:paraId="6B16305E">
      <w:pPr>
        <w:spacing w:before="120" w:line="22" w:lineRule="atLeast"/>
        <w:ind w:firstLine="0"/>
        <w:jc w:val="both"/>
        <w:rPr>
          <w:rFonts w:hint="eastAsia" w:ascii="宋体" w:hAnsi="宋体" w:eastAsia="宋体" w:cs="宋体"/>
          <w:kern w:val="0"/>
          <w:sz w:val="24"/>
          <w:szCs w:val="21"/>
        </w:rPr>
      </w:pPr>
    </w:p>
    <w:p w14:paraId="3DB30C42">
      <w:pPr>
        <w:spacing w:before="120" w:line="22" w:lineRule="atLeast"/>
        <w:ind w:firstLine="960" w:firstLineChars="400"/>
        <w:jc w:val="both"/>
        <w:rPr>
          <w:rFonts w:hint="eastAsia" w:ascii="宋体" w:hAnsi="宋体" w:eastAsia="宋体" w:cs="宋体"/>
          <w:kern w:val="0"/>
          <w:sz w:val="24"/>
          <w:szCs w:val="21"/>
          <w:u w:val="single"/>
        </w:rPr>
      </w:pPr>
      <w:r>
        <w:rPr>
          <w:rFonts w:hint="eastAsia" w:ascii="宋体" w:hAnsi="宋体" w:eastAsia="宋体" w:cs="宋体"/>
          <w:kern w:val="0"/>
          <w:sz w:val="24"/>
          <w:szCs w:val="21"/>
        </w:rPr>
        <w:t>签订日期：年</w:t>
      </w:r>
      <w:r>
        <w:rPr>
          <w:rFonts w:hint="eastAsia" w:ascii="宋体" w:hAnsi="宋体" w:eastAsia="宋体" w:cs="宋体"/>
          <w:kern w:val="0"/>
          <w:sz w:val="24"/>
          <w:szCs w:val="21"/>
          <w:lang w:val="en-US" w:eastAsia="zh-CN"/>
        </w:rPr>
        <w:t xml:space="preserve"> </w:t>
      </w:r>
      <w:r>
        <w:rPr>
          <w:rFonts w:hint="eastAsia" w:ascii="宋体" w:hAnsi="宋体" w:eastAsia="宋体" w:cs="宋体"/>
          <w:kern w:val="0"/>
          <w:sz w:val="24"/>
          <w:szCs w:val="21"/>
        </w:rPr>
        <w:t>月</w:t>
      </w:r>
      <w:r>
        <w:rPr>
          <w:rFonts w:hint="eastAsia" w:ascii="宋体" w:hAnsi="宋体" w:eastAsia="宋体" w:cs="宋体"/>
          <w:kern w:val="0"/>
          <w:sz w:val="24"/>
          <w:szCs w:val="21"/>
          <w:lang w:val="en-US" w:eastAsia="zh-CN"/>
        </w:rPr>
        <w:t xml:space="preserve"> </w:t>
      </w:r>
      <w:r>
        <w:rPr>
          <w:rFonts w:hint="eastAsia" w:ascii="宋体" w:hAnsi="宋体" w:eastAsia="宋体" w:cs="宋体"/>
          <w:kern w:val="0"/>
          <w:sz w:val="24"/>
          <w:szCs w:val="21"/>
        </w:rPr>
        <w:t>日</w:t>
      </w:r>
    </w:p>
    <w:p w14:paraId="3D704B21">
      <w:pPr>
        <w:widowControl/>
        <w:jc w:val="left"/>
        <w:rPr>
          <w:rFonts w:hint="eastAsia" w:ascii="宋体" w:hAnsi="宋体" w:eastAsia="宋体" w:cs="宋体"/>
          <w:kern w:val="0"/>
          <w:sz w:val="24"/>
        </w:rPr>
        <w:sectPr>
          <w:pgSz w:w="11907" w:h="16840"/>
          <w:pgMar w:top="1474" w:right="1814" w:bottom="1474" w:left="1814" w:header="851" w:footer="851" w:gutter="0"/>
          <w:cols w:space="720" w:num="1"/>
        </w:sectPr>
      </w:pPr>
    </w:p>
    <w:p w14:paraId="51A33FC8">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年月日</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（采购人）   </w:t>
      </w:r>
      <w:r>
        <w:rPr>
          <w:rFonts w:hint="eastAsia" w:ascii="宋体" w:hAnsi="宋体" w:eastAsia="宋体" w:cs="宋体"/>
          <w:kern w:val="0"/>
          <w:sz w:val="24"/>
          <w:szCs w:val="24"/>
        </w:rPr>
        <w:t>以</w:t>
      </w:r>
      <w:r>
        <w:rPr>
          <w:rFonts w:hint="eastAsia" w:ascii="宋体" w:hAnsi="宋体" w:eastAsia="宋体" w:cs="宋体"/>
          <w:kern w:val="0"/>
          <w:sz w:val="24"/>
          <w:szCs w:val="24"/>
          <w:u w:val="single"/>
        </w:rPr>
        <w:t xml:space="preserve">   （政府采购方式）  </w:t>
      </w:r>
      <w:r>
        <w:rPr>
          <w:rFonts w:hint="eastAsia" w:ascii="宋体" w:hAnsi="宋体" w:eastAsia="宋体" w:cs="宋体"/>
          <w:kern w:val="0"/>
          <w:sz w:val="24"/>
          <w:szCs w:val="24"/>
        </w:rPr>
        <w:t>对</w:t>
      </w:r>
      <w:r>
        <w:rPr>
          <w:rFonts w:hint="eastAsia" w:ascii="宋体" w:hAnsi="宋体" w:eastAsia="宋体" w:cs="宋体"/>
          <w:kern w:val="0"/>
          <w:sz w:val="24"/>
          <w:szCs w:val="24"/>
          <w:u w:val="single"/>
        </w:rPr>
        <w:t xml:space="preserve">   （同前页项目名称）   </w:t>
      </w:r>
      <w:r>
        <w:rPr>
          <w:rFonts w:hint="eastAsia" w:ascii="宋体" w:hAnsi="宋体" w:eastAsia="宋体" w:cs="宋体"/>
          <w:kern w:val="0"/>
          <w:sz w:val="24"/>
          <w:szCs w:val="24"/>
        </w:rPr>
        <w:t>项目进行了采购。经</w:t>
      </w:r>
      <w:r>
        <w:rPr>
          <w:rFonts w:hint="eastAsia" w:ascii="宋体" w:hAnsi="宋体" w:eastAsia="宋体" w:cs="宋体"/>
          <w:kern w:val="0"/>
          <w:sz w:val="24"/>
          <w:szCs w:val="24"/>
          <w:u w:val="single"/>
        </w:rPr>
        <w:t xml:space="preserve">   （相关评定主体名称）   </w:t>
      </w:r>
      <w:r>
        <w:rPr>
          <w:rFonts w:hint="eastAsia" w:ascii="宋体" w:hAnsi="宋体" w:eastAsia="宋体" w:cs="宋体"/>
          <w:kern w:val="0"/>
          <w:sz w:val="24"/>
          <w:szCs w:val="24"/>
        </w:rPr>
        <w:t>评定，</w:t>
      </w:r>
      <w:r>
        <w:rPr>
          <w:rFonts w:hint="eastAsia" w:ascii="宋体" w:hAnsi="宋体" w:eastAsia="宋体" w:cs="宋体"/>
          <w:kern w:val="0"/>
          <w:sz w:val="24"/>
          <w:szCs w:val="24"/>
          <w:u w:val="single"/>
        </w:rPr>
        <w:t xml:space="preserve">   （中标供应商名称）</w:t>
      </w:r>
      <w:r>
        <w:rPr>
          <w:rFonts w:hint="eastAsia" w:ascii="宋体" w:hAnsi="宋体" w:eastAsia="宋体" w:cs="宋体"/>
          <w:kern w:val="0"/>
          <w:sz w:val="24"/>
          <w:szCs w:val="24"/>
        </w:rPr>
        <w:t>为该项目中标供应商。现于中标通知书发出之日起三十日内，按照采购文件确定的事项签订本合同。</w:t>
      </w:r>
    </w:p>
    <w:p w14:paraId="4979EB94">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根据《中华人民共和国民法典》《中华人民共和国政府采购法》等相关法律法规之规定，按照平等、自愿、公平、诚实信用和绿色的原则，经</w:t>
      </w:r>
      <w:r>
        <w:rPr>
          <w:rFonts w:hint="eastAsia" w:ascii="宋体" w:hAnsi="宋体" w:eastAsia="宋体" w:cs="宋体"/>
          <w:kern w:val="0"/>
          <w:sz w:val="24"/>
          <w:szCs w:val="24"/>
          <w:u w:val="single"/>
        </w:rPr>
        <w:t xml:space="preserve">   （采购人）   </w:t>
      </w:r>
      <w:r>
        <w:rPr>
          <w:rFonts w:hint="eastAsia" w:ascii="宋体" w:hAnsi="宋体" w:eastAsia="宋体" w:cs="宋体"/>
          <w:kern w:val="0"/>
          <w:sz w:val="24"/>
          <w:szCs w:val="24"/>
          <w:lang w:val="zh-CN"/>
        </w:rPr>
        <w:t>(以下简称：甲方)和</w:t>
      </w:r>
      <w:r>
        <w:rPr>
          <w:rFonts w:hint="eastAsia" w:ascii="宋体" w:hAnsi="宋体" w:eastAsia="宋体" w:cs="宋体"/>
          <w:kern w:val="0"/>
          <w:sz w:val="24"/>
          <w:szCs w:val="24"/>
          <w:u w:val="single"/>
        </w:rPr>
        <w:t xml:space="preserve">   （中标供应商名称）   </w:t>
      </w:r>
      <w:r>
        <w:rPr>
          <w:rFonts w:hint="eastAsia" w:ascii="宋体" w:hAnsi="宋体" w:eastAsia="宋体" w:cs="宋体"/>
          <w:kern w:val="0"/>
          <w:sz w:val="24"/>
          <w:szCs w:val="24"/>
          <w:lang w:val="zh-CN"/>
        </w:rPr>
        <w:t>(以下简称：乙方)协商一致，约定以下合同</w:t>
      </w:r>
      <w:r>
        <w:rPr>
          <w:rFonts w:hint="eastAsia" w:ascii="宋体" w:hAnsi="宋体" w:eastAsia="宋体" w:cs="宋体"/>
          <w:kern w:val="0"/>
          <w:sz w:val="24"/>
          <w:szCs w:val="24"/>
        </w:rPr>
        <w:t>条款，以兹共同遵守、全面履行。</w:t>
      </w:r>
    </w:p>
    <w:p w14:paraId="17653F79">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lang w:eastAsia="zh-CN"/>
        </w:rPr>
      </w:pPr>
      <w:bookmarkStart w:id="23" w:name="_Toc24059"/>
      <w:bookmarkStart w:id="24" w:name="_Toc2232"/>
      <w:bookmarkStart w:id="25" w:name="_Toc3029"/>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条 合同组成部分</w:t>
      </w:r>
      <w:bookmarkEnd w:id="23"/>
      <w:bookmarkEnd w:id="24"/>
      <w:bookmarkEnd w:id="25"/>
    </w:p>
    <w:p w14:paraId="01530409">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DBE3E6">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 </w:t>
      </w:r>
      <w:r>
        <w:rPr>
          <w:rFonts w:hint="eastAsia" w:ascii="宋体" w:hAnsi="宋体" w:eastAsia="宋体" w:cs="宋体"/>
          <w:kern w:val="0"/>
          <w:sz w:val="24"/>
          <w:szCs w:val="24"/>
        </w:rPr>
        <w:t>本合同及其补充合同、变更协议；</w:t>
      </w:r>
    </w:p>
    <w:p w14:paraId="168DB31B">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 </w:t>
      </w:r>
      <w:r>
        <w:rPr>
          <w:rFonts w:hint="eastAsia" w:ascii="宋体" w:hAnsi="宋体" w:eastAsia="宋体" w:cs="宋体"/>
          <w:kern w:val="0"/>
          <w:sz w:val="24"/>
          <w:szCs w:val="24"/>
        </w:rPr>
        <w:t>中标通知书；</w:t>
      </w:r>
    </w:p>
    <w:p w14:paraId="5B08EDC3">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 </w:t>
      </w:r>
      <w:r>
        <w:rPr>
          <w:rFonts w:hint="eastAsia" w:ascii="宋体" w:hAnsi="宋体" w:eastAsia="宋体" w:cs="宋体"/>
          <w:kern w:val="0"/>
          <w:sz w:val="24"/>
          <w:szCs w:val="24"/>
        </w:rPr>
        <w:t>投标文件（含澄清或者说明文件）；</w:t>
      </w:r>
    </w:p>
    <w:p w14:paraId="536697DA">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1.4 </w:t>
      </w:r>
      <w:r>
        <w:rPr>
          <w:rFonts w:hint="eastAsia" w:ascii="宋体" w:hAnsi="宋体" w:eastAsia="宋体" w:cs="宋体"/>
          <w:kern w:val="0"/>
          <w:sz w:val="24"/>
          <w:szCs w:val="24"/>
        </w:rPr>
        <w:t>招标文件（含澄清或者修改文件）；</w:t>
      </w:r>
    </w:p>
    <w:p w14:paraId="5D216290">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1.5 </w:t>
      </w:r>
      <w:r>
        <w:rPr>
          <w:rFonts w:hint="eastAsia" w:ascii="宋体" w:hAnsi="宋体" w:eastAsia="宋体" w:cs="宋体"/>
          <w:kern w:val="0"/>
          <w:sz w:val="24"/>
          <w:szCs w:val="24"/>
        </w:rPr>
        <w:t>其他相关采购文件。</w:t>
      </w:r>
    </w:p>
    <w:p w14:paraId="4255A0A5">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26" w:name="_Toc21295"/>
      <w:bookmarkStart w:id="27" w:name="_Toc27126"/>
      <w:bookmarkStart w:id="28" w:name="_Toc24300"/>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条 采购货物</w:t>
      </w:r>
      <w:bookmarkEnd w:id="26"/>
      <w:bookmarkEnd w:id="27"/>
      <w:bookmarkEnd w:id="28"/>
      <w:r>
        <w:rPr>
          <w:rFonts w:hint="eastAsia" w:ascii="宋体" w:hAnsi="宋体" w:eastAsia="宋体" w:cs="宋体"/>
          <w:b/>
          <w:kern w:val="0"/>
          <w:sz w:val="24"/>
          <w:szCs w:val="24"/>
        </w:rPr>
        <w:t>（详见招标文件采购清单）</w:t>
      </w:r>
    </w:p>
    <w:p w14:paraId="2AD3CE92">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rPr>
        <w:t xml:space="preserve">2.1 </w:t>
      </w:r>
      <w:r>
        <w:rPr>
          <w:rFonts w:hint="eastAsia" w:ascii="宋体" w:hAnsi="宋体" w:eastAsia="宋体" w:cs="宋体"/>
          <w:kern w:val="0"/>
          <w:sz w:val="24"/>
          <w:szCs w:val="24"/>
        </w:rPr>
        <w:t>货物名称：；</w:t>
      </w:r>
    </w:p>
    <w:p w14:paraId="01C960A9">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rPr>
        <w:t xml:space="preserve">2.2 </w:t>
      </w:r>
      <w:r>
        <w:rPr>
          <w:rFonts w:hint="eastAsia" w:ascii="宋体" w:hAnsi="宋体" w:eastAsia="宋体" w:cs="宋体"/>
          <w:kern w:val="0"/>
          <w:sz w:val="24"/>
          <w:szCs w:val="24"/>
        </w:rPr>
        <w:t>货物数量：；</w:t>
      </w:r>
    </w:p>
    <w:p w14:paraId="39A3FEB7">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2.3 </w:t>
      </w:r>
      <w:r>
        <w:rPr>
          <w:rFonts w:hint="eastAsia" w:ascii="宋体" w:hAnsi="宋体" w:eastAsia="宋体" w:cs="宋体"/>
          <w:kern w:val="0"/>
          <w:sz w:val="24"/>
          <w:szCs w:val="24"/>
        </w:rPr>
        <w:t>货物质量：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60A2388C">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29" w:name="_Toc21551"/>
      <w:bookmarkStart w:id="30" w:name="_Toc21631"/>
      <w:bookmarkStart w:id="31" w:name="_Toc23292"/>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条 价款</w:t>
      </w:r>
      <w:bookmarkEnd w:id="29"/>
      <w:bookmarkEnd w:id="30"/>
      <w:bookmarkEnd w:id="31"/>
    </w:p>
    <w:p w14:paraId="4A3D7942">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3.1 </w:t>
      </w:r>
      <w:r>
        <w:rPr>
          <w:rFonts w:hint="eastAsia" w:ascii="宋体" w:hAnsi="宋体" w:eastAsia="宋体" w:cs="宋体"/>
          <w:kern w:val="0"/>
          <w:sz w:val="24"/>
          <w:szCs w:val="24"/>
        </w:rPr>
        <w:t>本合同总价为：￥元（大写：元人民币）（含税价）。</w:t>
      </w:r>
    </w:p>
    <w:p w14:paraId="052750C0">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注：包括设备费（包括必备的附件）、零配件、水电费、设备预埋件、仓储费、检测费、材料费、人工费、运输费、搬运费、现场成品保护费、保险费、采购人指定地点的卸货费、就位及安装费、安装材料费、垃圾清运费、保洁费、安装调试费、深化设计费、检验试验费、售后服务、税费、利润等其他一切费用。除该价格外，甲方不再另行支付任何费用。</w:t>
      </w:r>
    </w:p>
    <w:p w14:paraId="4258BCD0">
      <w:pPr>
        <w:keepNext w:val="0"/>
        <w:keepLines w:val="0"/>
        <w:pageBreakBefore w:val="0"/>
        <w:widowControl w:val="0"/>
        <w:kinsoku/>
        <w:wordWrap/>
        <w:overflowPunct/>
        <w:topLinePunct w:val="0"/>
        <w:bidi w:val="0"/>
        <w:adjustRightInd/>
        <w:snapToGrid/>
        <w:spacing w:line="460" w:lineRule="exact"/>
        <w:ind w:left="547" w:leftChars="228" w:firstLine="0"/>
        <w:jc w:val="both"/>
        <w:textAlignment w:val="auto"/>
        <w:rPr>
          <w:rFonts w:hint="eastAsia" w:ascii="宋体" w:hAnsi="宋体" w:eastAsia="宋体" w:cs="宋体"/>
          <w:kern w:val="0"/>
          <w:sz w:val="24"/>
          <w:szCs w:val="24"/>
          <w:lang w:val="en-US" w:eastAsia="zh-CN"/>
        </w:rPr>
      </w:pPr>
    </w:p>
    <w:p w14:paraId="5E983B55">
      <w:pPr>
        <w:keepNext w:val="0"/>
        <w:keepLines w:val="0"/>
        <w:pageBreakBefore w:val="0"/>
        <w:widowControl w:val="0"/>
        <w:kinsoku/>
        <w:wordWrap/>
        <w:overflowPunct/>
        <w:topLinePunct w:val="0"/>
        <w:bidi w:val="0"/>
        <w:adjustRightInd/>
        <w:snapToGrid/>
        <w:spacing w:line="460" w:lineRule="exact"/>
        <w:ind w:left="547" w:leftChars="228" w:firstLine="0"/>
        <w:jc w:val="both"/>
        <w:textAlignment w:val="auto"/>
        <w:rPr>
          <w:rFonts w:hint="eastAsia" w:ascii="宋体" w:hAnsi="宋体" w:eastAsia="宋体" w:cs="宋体"/>
          <w:kern w:val="0"/>
          <w:sz w:val="24"/>
          <w:szCs w:val="24"/>
          <w:lang w:val="en-US" w:eastAsia="zh-CN"/>
        </w:rPr>
      </w:pPr>
    </w:p>
    <w:p w14:paraId="538C5833">
      <w:pPr>
        <w:keepNext w:val="0"/>
        <w:keepLines w:val="0"/>
        <w:pageBreakBefore w:val="0"/>
        <w:widowControl w:val="0"/>
        <w:kinsoku/>
        <w:wordWrap/>
        <w:overflowPunct/>
        <w:topLinePunct w:val="0"/>
        <w:bidi w:val="0"/>
        <w:adjustRightInd/>
        <w:snapToGrid/>
        <w:spacing w:line="460" w:lineRule="exact"/>
        <w:ind w:left="547" w:leftChars="228" w:firstLine="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rPr>
        <w:t xml:space="preserve">3.2 </w:t>
      </w:r>
      <w:r>
        <w:rPr>
          <w:rFonts w:hint="eastAsia" w:ascii="宋体" w:hAnsi="宋体" w:eastAsia="宋体" w:cs="宋体"/>
          <w:kern w:val="0"/>
          <w:sz w:val="24"/>
          <w:szCs w:val="24"/>
        </w:rPr>
        <w:t>分项价格：</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CC6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6EEC17A1">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序号</w:t>
            </w:r>
          </w:p>
        </w:tc>
        <w:tc>
          <w:tcPr>
            <w:tcW w:w="3402" w:type="dxa"/>
            <w:tcBorders>
              <w:top w:val="single" w:color="auto" w:sz="4" w:space="0"/>
              <w:left w:val="single" w:color="auto" w:sz="4" w:space="0"/>
              <w:bottom w:val="single" w:color="auto" w:sz="4" w:space="0"/>
              <w:right w:val="single" w:color="auto" w:sz="4" w:space="0"/>
            </w:tcBorders>
            <w:noWrap/>
            <w:vAlign w:val="center"/>
          </w:tcPr>
          <w:p w14:paraId="3CDA6E6E">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分项名称</w:t>
            </w:r>
          </w:p>
        </w:tc>
        <w:tc>
          <w:tcPr>
            <w:tcW w:w="2552" w:type="dxa"/>
            <w:tcBorders>
              <w:top w:val="single" w:color="auto" w:sz="4" w:space="0"/>
              <w:left w:val="single" w:color="auto" w:sz="4" w:space="0"/>
              <w:bottom w:val="single" w:color="auto" w:sz="4" w:space="0"/>
              <w:right w:val="single" w:color="auto" w:sz="4" w:space="0"/>
            </w:tcBorders>
            <w:noWrap/>
            <w:vAlign w:val="center"/>
          </w:tcPr>
          <w:p w14:paraId="1FC4E56F">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分项价格</w:t>
            </w:r>
          </w:p>
        </w:tc>
      </w:tr>
      <w:tr w14:paraId="40E6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71C1FED6">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7E18082F">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8FCA962">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14:paraId="6127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704C7B0D">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13AFBB4D">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6B46DA5">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14:paraId="55C9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51E79B59">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71347DA0">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008E28B0">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14:paraId="6038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756A7916">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224851D9">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74CDF0F3">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14:paraId="6D9E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ign w:val="center"/>
          </w:tcPr>
          <w:p w14:paraId="4A5FB065">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总价</w:t>
            </w:r>
          </w:p>
        </w:tc>
        <w:tc>
          <w:tcPr>
            <w:tcW w:w="2552" w:type="dxa"/>
            <w:tcBorders>
              <w:top w:val="single" w:color="auto" w:sz="4" w:space="0"/>
              <w:left w:val="single" w:color="auto" w:sz="4" w:space="0"/>
              <w:bottom w:val="single" w:color="auto" w:sz="4" w:space="0"/>
              <w:right w:val="single" w:color="auto" w:sz="4" w:space="0"/>
            </w:tcBorders>
            <w:noWrap/>
            <w:vAlign w:val="center"/>
          </w:tcPr>
          <w:p w14:paraId="5DD8FFAA">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bl>
    <w:p w14:paraId="43CBF406">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32" w:name="_Toc10340"/>
      <w:bookmarkStart w:id="33" w:name="_Toc1814"/>
      <w:bookmarkStart w:id="34" w:name="_Toc22618"/>
      <w:bookmarkStart w:id="35" w:name="_Toc15322"/>
      <w:bookmarkStart w:id="36" w:name="_Toc7245"/>
      <w:bookmarkStart w:id="37" w:name="_Toc11173"/>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条 采购期限</w:t>
      </w:r>
    </w:p>
    <w:p w14:paraId="0F0D33C4">
      <w:pPr>
        <w:keepNext w:val="0"/>
        <w:keepLines w:val="0"/>
        <w:pageBreakBefore w:val="0"/>
        <w:widowControl w:val="0"/>
        <w:kinsoku/>
        <w:wordWrap/>
        <w:overflowPunct/>
        <w:topLinePunct w:val="0"/>
        <w:autoSpaceDE/>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本项目采购期限为   ，自 年 月 日—  年 月 日止。本项目中任何一项货物逾期交付的，若每逾期一天，应按本项目总货款每日千分之三计算支付违约给甲方，逾期超过十天的，视为乙方根本性违约，甲方有权单方解除本合同，合同解除的，乙方还应按本项目总货款15%计算支付违约金给甲方，因此给甲方造成损失的，乙方仍应全额赔偿。</w:t>
      </w:r>
    </w:p>
    <w:p w14:paraId="28C40066">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条 技术规范</w:t>
      </w:r>
    </w:p>
    <w:p w14:paraId="0B1E8E40">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447A927">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条</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付款</w:t>
      </w:r>
      <w:bookmarkEnd w:id="32"/>
      <w:bookmarkEnd w:id="33"/>
      <w:bookmarkEnd w:id="34"/>
      <w:r>
        <w:rPr>
          <w:rFonts w:hint="eastAsia" w:ascii="宋体" w:hAnsi="宋体" w:eastAsia="宋体" w:cs="宋体"/>
          <w:b/>
          <w:kern w:val="0"/>
          <w:sz w:val="24"/>
          <w:szCs w:val="24"/>
        </w:rPr>
        <w:t>方式、时间和条件</w:t>
      </w:r>
    </w:p>
    <w:p w14:paraId="56AB9C1F">
      <w:pPr>
        <w:keepNext w:val="0"/>
        <w:keepLines w:val="0"/>
        <w:pageBreakBefore w:val="0"/>
        <w:widowControl w:val="0"/>
        <w:kinsoku/>
        <w:wordWrap/>
        <w:overflowPunct/>
        <w:topLinePunct w:val="0"/>
        <w:bidi w:val="0"/>
        <w:adjustRightInd/>
        <w:snapToGrid/>
        <w:spacing w:before="0" w:beforeAutospacing="0" w:after="0" w:afterAutospacing="0"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6.1 </w:t>
      </w:r>
      <w:r>
        <w:rPr>
          <w:rFonts w:hint="eastAsia" w:ascii="宋体" w:hAnsi="宋体" w:eastAsia="宋体" w:cs="宋体"/>
          <w:kern w:val="0"/>
          <w:sz w:val="24"/>
          <w:szCs w:val="24"/>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但乙方应在甲方每次付款前提供等额的增值税专用发票给甲方，若因乙方迟延提供发票导致甲方延迟付款的，责任由乙方自行承担，与甲方无关。</w:t>
      </w:r>
    </w:p>
    <w:p w14:paraId="38D2E97E">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6.2 </w:t>
      </w:r>
      <w:r>
        <w:rPr>
          <w:rFonts w:hint="eastAsia" w:ascii="宋体" w:hAnsi="宋体" w:eastAsia="宋体" w:cs="宋体"/>
          <w:kern w:val="0"/>
          <w:sz w:val="24"/>
          <w:szCs w:val="24"/>
        </w:rPr>
        <w:t>资金支付的方式、时间和条件：</w:t>
      </w:r>
    </w:p>
    <w:p w14:paraId="69B9D0F0">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合同签订且具备实施条件进场施工后7个工作日内向中标人支付合同金额的30%；货物、设备在中标人供货、安装调试完毕经采购人确认后支付至合同金额的80%，项目最终验收合格后经审计后支付至审定金额的95%，剩余5%作为项目质保金，待中标人承诺的质保期满，经采购人确认无任何问题后一次性付清（不计息）。</w:t>
      </w:r>
    </w:p>
    <w:p w14:paraId="251426E9">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38" w:name="_Toc2846"/>
      <w:bookmarkStart w:id="39" w:name="_Toc19304"/>
      <w:bookmarkStart w:id="40" w:name="_Toc32071"/>
    </w:p>
    <w:p w14:paraId="3B560812">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七</w:t>
      </w:r>
      <w:r>
        <w:rPr>
          <w:rFonts w:hint="eastAsia" w:ascii="宋体" w:hAnsi="宋体" w:eastAsia="宋体" w:cs="宋体"/>
          <w:b/>
          <w:kern w:val="0"/>
          <w:sz w:val="24"/>
          <w:szCs w:val="24"/>
        </w:rPr>
        <w:t>条 货物交付期限、地点和方式</w:t>
      </w:r>
      <w:bookmarkEnd w:id="38"/>
      <w:bookmarkEnd w:id="39"/>
      <w:bookmarkEnd w:id="40"/>
    </w:p>
    <w:p w14:paraId="6C9BFC28">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7.1</w:t>
      </w:r>
      <w:r>
        <w:rPr>
          <w:rFonts w:hint="eastAsia" w:ascii="宋体" w:hAnsi="宋体" w:eastAsia="宋体" w:cs="宋体"/>
          <w:sz w:val="24"/>
          <w:lang w:eastAsia="zh-CN"/>
        </w:rPr>
        <w:t>交付期限：合同签订</w:t>
      </w:r>
      <w:r>
        <w:rPr>
          <w:rFonts w:hint="eastAsia" w:ascii="宋体" w:hAnsi="宋体" w:eastAsia="宋体" w:cs="宋体"/>
          <w:color w:val="auto"/>
          <w:sz w:val="24"/>
          <w:lang w:eastAsia="zh-CN"/>
        </w:rPr>
        <w:t>后</w:t>
      </w:r>
      <w:r>
        <w:rPr>
          <w:rFonts w:hint="eastAsia" w:ascii="宋体" w:hAnsi="宋体" w:eastAsia="宋体" w:cs="宋体"/>
          <w:color w:val="auto"/>
          <w:sz w:val="24"/>
          <w:u w:val="single"/>
          <w:lang w:val="en-US" w:eastAsia="zh-CN"/>
        </w:rPr>
        <w:t xml:space="preserve"> 80 </w:t>
      </w:r>
      <w:r>
        <w:rPr>
          <w:rFonts w:hint="eastAsia" w:ascii="宋体" w:hAnsi="宋体" w:eastAsia="宋体" w:cs="宋体"/>
          <w:color w:val="auto"/>
          <w:sz w:val="24"/>
          <w:lang w:val="en-US" w:eastAsia="zh-CN"/>
        </w:rPr>
        <w:t>日</w:t>
      </w:r>
      <w:r>
        <w:rPr>
          <w:rFonts w:hint="eastAsia" w:ascii="宋体" w:hAnsi="宋体" w:eastAsia="宋体" w:cs="宋体"/>
          <w:color w:val="auto"/>
          <w:sz w:val="24"/>
          <w:lang w:eastAsia="zh-CN"/>
        </w:rPr>
        <w:t>内</w:t>
      </w:r>
      <w:r>
        <w:rPr>
          <w:rFonts w:hint="eastAsia" w:ascii="宋体" w:hAnsi="宋体" w:eastAsia="宋体" w:cs="宋体"/>
          <w:sz w:val="24"/>
          <w:lang w:eastAsia="zh-CN"/>
        </w:rPr>
        <w:t>完成所有货物的生产、安装、调试并交付验收。每延期一天扣款</w:t>
      </w:r>
      <w:r>
        <w:rPr>
          <w:rFonts w:hint="eastAsia" w:ascii="宋体" w:hAnsi="宋体" w:eastAsia="宋体" w:cs="宋体"/>
          <w:sz w:val="24"/>
          <w:lang w:val="en-US" w:eastAsia="zh-CN"/>
        </w:rPr>
        <w:t>50000</w:t>
      </w:r>
      <w:r>
        <w:rPr>
          <w:rFonts w:hint="eastAsia" w:ascii="宋体" w:hAnsi="宋体" w:eastAsia="宋体" w:cs="宋体"/>
          <w:sz w:val="24"/>
          <w:lang w:eastAsia="zh-CN"/>
        </w:rPr>
        <w:t>元。</w:t>
      </w:r>
      <w:r>
        <w:rPr>
          <w:rFonts w:hint="eastAsia" w:ascii="宋体" w:hAnsi="宋体" w:eastAsia="宋体" w:cs="宋体"/>
          <w:sz w:val="24"/>
          <w:lang w:eastAsia="zh-CN"/>
        </w:rPr>
        <w:br w:type="textWrapping"/>
      </w:r>
      <w:r>
        <w:rPr>
          <w:rFonts w:hint="eastAsia" w:ascii="宋体" w:hAnsi="宋体" w:eastAsia="宋体" w:cs="宋体"/>
          <w:sz w:val="24"/>
          <w:lang w:val="en-US" w:eastAsia="zh-CN"/>
        </w:rPr>
        <w:t xml:space="preserve">    </w:t>
      </w:r>
      <w:r>
        <w:rPr>
          <w:rFonts w:hint="eastAsia" w:ascii="宋体" w:hAnsi="宋体" w:eastAsia="宋体" w:cs="宋体"/>
          <w:kern w:val="0"/>
          <w:sz w:val="24"/>
          <w:szCs w:val="24"/>
          <w:lang w:val="en-US" w:eastAsia="zh-CN"/>
        </w:rPr>
        <w:t xml:space="preserve">7.2 </w:t>
      </w:r>
      <w:r>
        <w:rPr>
          <w:rFonts w:hint="eastAsia" w:ascii="宋体" w:hAnsi="宋体" w:eastAsia="宋体" w:cs="宋体"/>
          <w:kern w:val="0"/>
          <w:sz w:val="24"/>
          <w:szCs w:val="24"/>
        </w:rPr>
        <w:t>交付地点：桐庐县瑶琳镇红灯笼乡村家园；</w:t>
      </w:r>
    </w:p>
    <w:p w14:paraId="122F32D9">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7.3 </w:t>
      </w:r>
      <w:r>
        <w:rPr>
          <w:rFonts w:hint="eastAsia" w:ascii="宋体" w:hAnsi="宋体" w:eastAsia="宋体" w:cs="宋体"/>
          <w:kern w:val="0"/>
          <w:sz w:val="24"/>
          <w:szCs w:val="24"/>
        </w:rPr>
        <w:t>交付方式：现实交付（按甲方要求将货物送达指定地点并安装调试完毕后交付给甲方）。</w:t>
      </w:r>
    </w:p>
    <w:p w14:paraId="5410E794">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八</w:t>
      </w:r>
      <w:r>
        <w:rPr>
          <w:rFonts w:hint="eastAsia" w:ascii="宋体" w:hAnsi="宋体" w:eastAsia="宋体" w:cs="宋体"/>
          <w:b/>
          <w:kern w:val="0"/>
          <w:sz w:val="24"/>
          <w:szCs w:val="24"/>
        </w:rPr>
        <w:t>条 履约保证金</w:t>
      </w:r>
    </w:p>
    <w:p w14:paraId="5B11AE22">
      <w:pPr>
        <w:keepNext w:val="0"/>
        <w:keepLines w:val="0"/>
        <w:pageBreakBefore w:val="0"/>
        <w:widowControl w:val="0"/>
        <w:kinsoku/>
        <w:wordWrap/>
        <w:overflowPunct/>
        <w:topLinePunct w:val="0"/>
        <w:bidi w:val="0"/>
        <w:adjustRightInd/>
        <w:snapToGrid/>
        <w:spacing w:before="0" w:beforeAutospacing="0" w:after="0" w:afterAutospacing="0"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8.1 </w:t>
      </w:r>
      <w:r>
        <w:rPr>
          <w:rFonts w:hint="eastAsia" w:ascii="宋体" w:hAnsi="宋体" w:eastAsia="宋体" w:cs="宋体"/>
          <w:kern w:val="0"/>
          <w:sz w:val="24"/>
          <w:szCs w:val="24"/>
        </w:rPr>
        <w:t>本项目签订合同之前，投标人需缴纳2%中标价的履约担保金（采用转账或见索即付、不可撤销的银行保函方式，若采用保函方式，如保函担保时间到期，到期延期），验收合格之日起30天内无息退还（不计息）。</w:t>
      </w:r>
    </w:p>
    <w:p w14:paraId="56C60DFE">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8.2 </w:t>
      </w:r>
      <w:r>
        <w:rPr>
          <w:rFonts w:hint="eastAsia" w:ascii="宋体" w:hAnsi="宋体" w:eastAsia="宋体" w:cs="宋体"/>
          <w:kern w:val="0"/>
          <w:sz w:val="24"/>
          <w:szCs w:val="24"/>
        </w:rPr>
        <w:t xml:space="preserve">甲方在项目验收结束且确认无任何问题后及时退还履约保证金（无息）。 </w:t>
      </w:r>
    </w:p>
    <w:p w14:paraId="23644E93">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8.3 </w:t>
      </w:r>
      <w:r>
        <w:rPr>
          <w:rFonts w:hint="eastAsia" w:ascii="宋体" w:hAnsi="宋体" w:eastAsia="宋体" w:cs="宋体"/>
          <w:kern w:val="0"/>
          <w:sz w:val="24"/>
          <w:szCs w:val="24"/>
        </w:rPr>
        <w:t>如果乙方未能按本合同约定全面履行义务，有任何违约行为的，那么甲方有权直接从履约保证金中扣除违约金及赔偿，同时不影响甲方要求乙方承担合同约定的超过履约保证金的违约责任的权利。</w:t>
      </w:r>
    </w:p>
    <w:p w14:paraId="6A962BEA">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8.4 </w:t>
      </w:r>
      <w:r>
        <w:rPr>
          <w:rFonts w:hint="eastAsia" w:ascii="宋体" w:hAnsi="宋体" w:eastAsia="宋体" w:cs="宋体"/>
          <w:kern w:val="0"/>
          <w:sz w:val="24"/>
          <w:szCs w:val="24"/>
        </w:rPr>
        <w:t>甲方在乙方履行完合同约定义务事项后及时退还，延迟退还的，应当按照合同约定和法律规定承担相应的赔偿责任。</w:t>
      </w:r>
    </w:p>
    <w:p w14:paraId="5755B1A6">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b/>
          <w:kern w:val="0"/>
          <w:sz w:val="24"/>
          <w:szCs w:val="24"/>
        </w:rPr>
      </w:pPr>
      <w:r>
        <w:rPr>
          <w:rFonts w:hint="eastAsia" w:ascii="宋体" w:hAnsi="宋体" w:eastAsia="宋体" w:cs="宋体"/>
          <w:kern w:val="0"/>
          <w:sz w:val="24"/>
          <w:szCs w:val="24"/>
          <w:lang w:val="en-US" w:eastAsia="zh-CN"/>
        </w:rPr>
        <w:t xml:space="preserve">8.5 </w:t>
      </w:r>
      <w:r>
        <w:rPr>
          <w:rFonts w:hint="eastAsia" w:ascii="宋体" w:hAnsi="宋体" w:eastAsia="宋体" w:cs="宋体"/>
          <w:kern w:val="0"/>
          <w:sz w:val="24"/>
          <w:szCs w:val="24"/>
        </w:rPr>
        <w:t>对于因甲方原因导致变更、中止或者终止政府采购合同的，甲方应当依照合同约定对供应商受到的损失予以赔偿或者补偿。</w:t>
      </w:r>
    </w:p>
    <w:p w14:paraId="7221F6E8">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九</w:t>
      </w:r>
      <w:r>
        <w:rPr>
          <w:rFonts w:hint="eastAsia" w:ascii="宋体" w:hAnsi="宋体" w:eastAsia="宋体" w:cs="宋体"/>
          <w:b/>
          <w:kern w:val="0"/>
          <w:sz w:val="24"/>
          <w:szCs w:val="24"/>
        </w:rPr>
        <w:t>条</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知识产权</w:t>
      </w:r>
    </w:p>
    <w:p w14:paraId="215C615C">
      <w:pPr>
        <w:keepNext w:val="0"/>
        <w:keepLines w:val="0"/>
        <w:pageBreakBefore w:val="0"/>
        <w:widowControl w:val="0"/>
        <w:kinsoku/>
        <w:wordWrap/>
        <w:overflowPunct/>
        <w:topLinePunct w:val="0"/>
        <w:bidi w:val="0"/>
        <w:adjustRightInd/>
        <w:snapToGrid/>
        <w:spacing w:line="460" w:lineRule="exact"/>
        <w:ind w:firstLine="48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若因此给甲方造成损失的，乙方仍应全额赔偿甲方。具有知识产权的计算机软件等货物的知识产权一律归属乙方。</w:t>
      </w:r>
    </w:p>
    <w:p w14:paraId="5AF77EFC">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十</w:t>
      </w:r>
      <w:r>
        <w:rPr>
          <w:rFonts w:hint="eastAsia" w:ascii="宋体" w:hAnsi="宋体" w:eastAsia="宋体" w:cs="宋体"/>
          <w:b/>
          <w:kern w:val="0"/>
          <w:sz w:val="24"/>
          <w:szCs w:val="24"/>
        </w:rPr>
        <w:t>条  税费</w:t>
      </w:r>
    </w:p>
    <w:p w14:paraId="750F0BD7">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与本合同有关的一切税费，均按照相关法律的规定各自承担。</w:t>
      </w:r>
    </w:p>
    <w:p w14:paraId="52E7E7FB">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十一</w:t>
      </w:r>
      <w:r>
        <w:rPr>
          <w:rFonts w:hint="eastAsia" w:ascii="宋体" w:hAnsi="宋体" w:eastAsia="宋体" w:cs="宋体"/>
          <w:b/>
          <w:kern w:val="0"/>
          <w:sz w:val="24"/>
          <w:szCs w:val="24"/>
        </w:rPr>
        <w:t>条 验收及检查</w:t>
      </w:r>
    </w:p>
    <w:p w14:paraId="4EDE9D70">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11.1 </w:t>
      </w:r>
      <w:r>
        <w:rPr>
          <w:rFonts w:hint="eastAsia" w:ascii="宋体" w:hAnsi="宋体" w:eastAsia="宋体" w:cs="宋体"/>
          <w:kern w:val="0"/>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B535411">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11.2 </w:t>
      </w:r>
      <w:r>
        <w:rPr>
          <w:rFonts w:hint="eastAsia" w:ascii="宋体" w:hAnsi="宋体" w:eastAsia="宋体" w:cs="宋体"/>
          <w:kern w:val="0"/>
          <w:sz w:val="24"/>
          <w:szCs w:val="24"/>
        </w:rPr>
        <w:t>合同履行期间，甲方有权将履行过程中出现的问题反馈给乙方，双方当事人应以书面形式约定需要完善和改进的内容。</w:t>
      </w:r>
    </w:p>
    <w:p w14:paraId="17890EC3">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11.3 </w:t>
      </w:r>
      <w:r>
        <w:rPr>
          <w:rFonts w:hint="eastAsia" w:ascii="宋体" w:hAnsi="宋体" w:eastAsia="宋体" w:cs="宋体"/>
          <w:kern w:val="0"/>
          <w:sz w:val="24"/>
          <w:szCs w:val="24"/>
        </w:rPr>
        <w:t>货物交付前，乙方应对货物的质量、数量等方面进行详细、全面的检验，并向甲方出具证明货物符合合同约定的文件；甲方应按照本合同约定的时间及地点将货物送至乙方指定地点，货物交付时，甲方在乙方安装调试完毕后10个工作日内约定时间内组织验收，并可依法邀请相关方参加，验收应出具验收书。</w:t>
      </w:r>
    </w:p>
    <w:p w14:paraId="16B4E654">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11.4 </w:t>
      </w:r>
      <w:r>
        <w:rPr>
          <w:rFonts w:hint="eastAsia" w:ascii="宋体" w:hAnsi="宋体" w:eastAsia="宋体" w:cs="宋体"/>
          <w:kern w:val="0"/>
          <w:sz w:val="24"/>
          <w:szCs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EA6DD45">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11.5 </w:t>
      </w:r>
      <w:r>
        <w:rPr>
          <w:rFonts w:hint="eastAsia" w:ascii="宋体" w:hAnsi="宋体" w:eastAsia="宋体" w:cs="宋体"/>
          <w:kern w:val="0"/>
          <w:sz w:val="24"/>
          <w:szCs w:val="24"/>
        </w:rPr>
        <w:t>检验和验收标准、程序等具体内容以及前述验收书的效力采用本行业通用标准</w:t>
      </w:r>
      <w:r>
        <w:rPr>
          <w:rFonts w:hint="eastAsia" w:ascii="宋体" w:hAnsi="宋体" w:eastAsia="宋体" w:cs="宋体"/>
          <w:i w:val="0"/>
          <w:kern w:val="0"/>
          <w:sz w:val="24"/>
          <w:szCs w:val="24"/>
        </w:rPr>
        <w:t>。</w:t>
      </w:r>
    </w:p>
    <w:p w14:paraId="43805C8C">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条 包装和装运</w:t>
      </w:r>
    </w:p>
    <w:p w14:paraId="37C4BA66">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12.1 </w:t>
      </w:r>
      <w:r>
        <w:rPr>
          <w:rFonts w:hint="eastAsia" w:ascii="宋体" w:hAnsi="宋体" w:eastAsia="宋体" w:cs="宋体"/>
          <w:kern w:val="0"/>
          <w:sz w:val="24"/>
          <w:szCs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D4A882B">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12.2 </w:t>
      </w:r>
      <w:r>
        <w:rPr>
          <w:rFonts w:hint="eastAsia" w:ascii="宋体" w:hAnsi="宋体" w:eastAsia="宋体" w:cs="宋体"/>
          <w:kern w:val="0"/>
          <w:sz w:val="24"/>
          <w:szCs w:val="24"/>
        </w:rPr>
        <w:t xml:space="preserve">乙方提供产品及相关快递服务的具体包装要求应符合《商品包装政府采购需求标准（试行）》《快递包装政府采购需求标准（试行）》，并作为履约验收的内容，必要时甲方可以要求乙方在履约验收环节出具检测报告。 </w:t>
      </w:r>
    </w:p>
    <w:p w14:paraId="4CA9C91E">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12.3 </w:t>
      </w:r>
      <w:r>
        <w:rPr>
          <w:rFonts w:hint="eastAsia" w:ascii="宋体" w:hAnsi="宋体" w:eastAsia="宋体" w:cs="宋体"/>
          <w:kern w:val="0"/>
          <w:sz w:val="24"/>
          <w:szCs w:val="24"/>
        </w:rPr>
        <w:t>装运货物的要求和通知，在交付期限内乙方自行安排装运并承担相应费用，并在货物起运前提前告知采购人。</w:t>
      </w:r>
    </w:p>
    <w:p w14:paraId="358F87FE">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条</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技术资料和保密义务</w:t>
      </w:r>
    </w:p>
    <w:p w14:paraId="5C66D403">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13.1 </w:t>
      </w:r>
      <w:r>
        <w:rPr>
          <w:rFonts w:hint="eastAsia" w:ascii="宋体" w:hAnsi="宋体" w:eastAsia="宋体" w:cs="宋体"/>
          <w:kern w:val="0"/>
          <w:sz w:val="24"/>
          <w:szCs w:val="24"/>
        </w:rPr>
        <w:t>乙方有权依据合同约定和项目需要，向甲方了解有关情况，调阅有关资料等，甲方应予积极配合；</w:t>
      </w:r>
    </w:p>
    <w:p w14:paraId="5538D92F">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13.2 </w:t>
      </w:r>
      <w:r>
        <w:rPr>
          <w:rFonts w:hint="eastAsia" w:ascii="宋体" w:hAnsi="宋体" w:eastAsia="宋体" w:cs="宋体"/>
          <w:kern w:val="0"/>
          <w:sz w:val="24"/>
          <w:szCs w:val="24"/>
        </w:rPr>
        <w:t>乙方有义务妥善保管和保护由甲方提供的前款信息和资料等；</w:t>
      </w:r>
    </w:p>
    <w:p w14:paraId="43ACA6FA">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13.3 </w:t>
      </w:r>
      <w:r>
        <w:rPr>
          <w:rFonts w:hint="eastAsia" w:ascii="宋体" w:hAnsi="宋体" w:eastAsia="宋体" w:cs="宋体"/>
          <w:kern w:val="0"/>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否则违约方应承担相应的违约责任，支付</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元违约金给守约方，情节严重的，直至追究法律责任。本保密条款不因本合同解除、终止而无效。</w:t>
      </w:r>
    </w:p>
    <w:p w14:paraId="367BE3D6">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条 质量保证</w:t>
      </w:r>
    </w:p>
    <w:p w14:paraId="646441E8">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14.1 </w:t>
      </w:r>
      <w:r>
        <w:rPr>
          <w:rFonts w:hint="eastAsia" w:ascii="宋体" w:hAnsi="宋体" w:eastAsia="宋体" w:cs="宋体"/>
          <w:kern w:val="0"/>
          <w:sz w:val="24"/>
          <w:szCs w:val="24"/>
        </w:rPr>
        <w:t>乙方应建立和完善履行合同的内部质量保证体系，并提供相关内部规章制度给甲方，以便甲方进行监督检查；</w:t>
      </w:r>
    </w:p>
    <w:p w14:paraId="14691021">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14.2 </w:t>
      </w:r>
      <w:r>
        <w:rPr>
          <w:rFonts w:hint="eastAsia" w:ascii="宋体" w:hAnsi="宋体" w:eastAsia="宋体" w:cs="宋体"/>
          <w:kern w:val="0"/>
          <w:sz w:val="24"/>
          <w:szCs w:val="24"/>
        </w:rPr>
        <w:t>乙方应保证履行合同的人员数量和素质、软件和硬件设备的配置、场地、环境和设施等满足全面履行合同的要求，并应接受甲方的监督检查。</w:t>
      </w:r>
    </w:p>
    <w:p w14:paraId="64C44BEA">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条 货物的风险负担</w:t>
      </w:r>
    </w:p>
    <w:p w14:paraId="621723F6">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本合同的货物在甲方验收合格确认无任何问题前毁损、灭失的风险均由乙方承担</w:t>
      </w:r>
      <w:r>
        <w:rPr>
          <w:rFonts w:hint="eastAsia" w:ascii="宋体" w:hAnsi="宋体" w:eastAsia="宋体" w:cs="宋体"/>
          <w:b w:val="0"/>
          <w:i w:val="0"/>
          <w:kern w:val="0"/>
          <w:sz w:val="24"/>
          <w:szCs w:val="24"/>
        </w:rPr>
        <w:t>。</w:t>
      </w:r>
    </w:p>
    <w:p w14:paraId="40ACA6D8">
      <w:pPr>
        <w:keepNext w:val="0"/>
        <w:keepLines w:val="0"/>
        <w:pageBreakBefore w:val="0"/>
        <w:widowControl w:val="0"/>
        <w:kinsoku/>
        <w:wordWrap/>
        <w:overflowPunct/>
        <w:topLinePunct w:val="0"/>
        <w:bidi w:val="0"/>
        <w:adjustRightInd/>
        <w:snapToGrid/>
        <w:spacing w:line="460" w:lineRule="exact"/>
        <w:ind w:left="0" w:leftChars="0"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条 延迟交货</w:t>
      </w:r>
    </w:p>
    <w:p w14:paraId="42F43AAE">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4C33F829">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七</w:t>
      </w:r>
      <w:r>
        <w:rPr>
          <w:rFonts w:hint="eastAsia" w:ascii="宋体" w:hAnsi="宋体" w:eastAsia="宋体" w:cs="宋体"/>
          <w:b/>
          <w:kern w:val="0"/>
          <w:sz w:val="24"/>
          <w:szCs w:val="24"/>
        </w:rPr>
        <w:t>条 合同转让和分包</w:t>
      </w:r>
    </w:p>
    <w:p w14:paraId="50D133C7">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17.1 </w:t>
      </w:r>
      <w:r>
        <w:rPr>
          <w:rFonts w:hint="eastAsia" w:ascii="宋体" w:hAnsi="宋体" w:eastAsia="宋体" w:cs="宋体"/>
          <w:kern w:val="0"/>
          <w:sz w:val="24"/>
          <w:szCs w:val="24"/>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17ECC23">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17.2 </w:t>
      </w:r>
      <w:r>
        <w:rPr>
          <w:rFonts w:hint="eastAsia" w:ascii="宋体" w:hAnsi="宋体" w:eastAsia="宋体" w:cs="宋体"/>
          <w:kern w:val="0"/>
          <w:sz w:val="24"/>
          <w:szCs w:val="24"/>
        </w:rPr>
        <w:t>乙方同意，采取分包方式履行合同的，甲方可直接向分包供应商支付款项。</w:t>
      </w:r>
    </w:p>
    <w:p w14:paraId="350F331B">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八</w:t>
      </w:r>
      <w:r>
        <w:rPr>
          <w:rFonts w:hint="eastAsia" w:ascii="宋体" w:hAnsi="宋体" w:eastAsia="宋体" w:cs="宋体"/>
          <w:b/>
          <w:kern w:val="0"/>
          <w:sz w:val="24"/>
          <w:szCs w:val="24"/>
        </w:rPr>
        <w:t>条 违约责任</w:t>
      </w:r>
    </w:p>
    <w:p w14:paraId="00846514">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18.1 </w:t>
      </w:r>
      <w:r>
        <w:rPr>
          <w:rFonts w:hint="eastAsia" w:ascii="宋体" w:hAnsi="宋体" w:eastAsia="宋体" w:cs="宋体"/>
          <w:kern w:val="0"/>
          <w:sz w:val="24"/>
          <w:szCs w:val="24"/>
        </w:rPr>
        <w:t>如果乙方没有按照本合同约定的期限、地点和方式交付货物，那么甲方可要求乙方支付违约金，逾期一天，违约金按本合同货物总价格的日</w:t>
      </w:r>
      <w:r>
        <w:rPr>
          <w:rFonts w:hint="eastAsia" w:ascii="宋体" w:hAnsi="宋体" w:eastAsia="宋体" w:cs="宋体"/>
          <w:kern w:val="0"/>
          <w:sz w:val="24"/>
          <w:szCs w:val="24"/>
          <w:u w:val="none"/>
        </w:rPr>
        <w:t>千分之三</w:t>
      </w:r>
      <w:r>
        <w:rPr>
          <w:rFonts w:hint="eastAsia" w:ascii="宋体" w:hAnsi="宋体" w:eastAsia="宋体" w:cs="宋体"/>
          <w:kern w:val="0"/>
          <w:sz w:val="24"/>
          <w:szCs w:val="24"/>
        </w:rPr>
        <w:t>计算，最高限额为本合同总价的</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%；迟延交付货物超过十五天，视为乙方根本性违约，甲方有权单方解除本合同，合同解除的，乙方还应按货物总价款15%计算支付违约金给甲方，不足以弥补甲方损失的，乙方仍应全额赔偿。</w:t>
      </w:r>
    </w:p>
    <w:p w14:paraId="4E3AF027">
      <w:pPr>
        <w:keepNext w:val="0"/>
        <w:keepLines w:val="0"/>
        <w:pageBreakBefore w:val="0"/>
        <w:widowControl w:val="0"/>
        <w:kinsoku/>
        <w:wordWrap/>
        <w:overflowPunct/>
        <w:topLinePunct w:val="0"/>
        <w:bidi w:val="0"/>
        <w:adjustRightInd/>
        <w:snapToGrid/>
        <w:spacing w:line="460" w:lineRule="exact"/>
        <w:ind w:left="0" w:leftChars="0"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18.2 </w:t>
      </w:r>
      <w:r>
        <w:rPr>
          <w:rFonts w:hint="eastAsia" w:ascii="宋体" w:hAnsi="宋体" w:eastAsia="宋体" w:cs="宋体"/>
          <w:kern w:val="0"/>
          <w:sz w:val="24"/>
          <w:szCs w:val="24"/>
        </w:rPr>
        <w:t>若乙方提供的货物设备不符合相关法律规定及行业规定或本合同约定的，视为乙方根本性违约，甲方有权单方解除本合同，合同解除的，甲方支付的货款全额返还甲方，且乙方应支付按本合同总价款15%计算的违约金给甲方，若因此给甲方造成损失的，乙方仍应全额赔偿。</w:t>
      </w:r>
    </w:p>
    <w:p w14:paraId="4853AFB9">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18.3 </w:t>
      </w:r>
      <w:r>
        <w:rPr>
          <w:rFonts w:hint="eastAsia" w:ascii="宋体" w:hAnsi="宋体" w:eastAsia="宋体" w:cs="宋体"/>
          <w:kern w:val="0"/>
          <w:sz w:val="24"/>
          <w:szCs w:val="24"/>
        </w:rPr>
        <w:t>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并承担相应的违约责任，情节严重的，直至追究法律责任。</w:t>
      </w:r>
    </w:p>
    <w:p w14:paraId="0C8AC7E2">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18.4 </w:t>
      </w:r>
      <w:r>
        <w:rPr>
          <w:rFonts w:hint="eastAsia" w:ascii="宋体" w:hAnsi="宋体" w:eastAsia="宋体" w:cs="宋体"/>
          <w:kern w:val="0"/>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CBEB707">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18.5 </w:t>
      </w:r>
      <w:r>
        <w:rPr>
          <w:rFonts w:hint="eastAsia" w:ascii="宋体" w:hAnsi="宋体" w:eastAsia="宋体" w:cs="宋体"/>
          <w:kern w:val="0"/>
          <w:sz w:val="24"/>
          <w:szCs w:val="24"/>
        </w:rPr>
        <w:t>如果出现政府采购监督管理部门在处理投诉事项期间，书面通知甲方暂停采购活动的情形，或者询问或质疑事项可能影响中标结果的，导致甲方中止履行合同的情形，均不视为甲方违约。</w:t>
      </w:r>
    </w:p>
    <w:p w14:paraId="226BBDB1">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b w:val="0"/>
          <w:kern w:val="0"/>
          <w:sz w:val="24"/>
          <w:szCs w:val="24"/>
        </w:rPr>
      </w:pPr>
      <w:r>
        <w:rPr>
          <w:rFonts w:hint="eastAsia" w:ascii="宋体" w:hAnsi="宋体" w:eastAsia="宋体" w:cs="宋体"/>
          <w:kern w:val="0"/>
          <w:sz w:val="24"/>
          <w:szCs w:val="24"/>
          <w:lang w:val="en-US" w:eastAsia="zh-CN"/>
        </w:rPr>
        <w:t xml:space="preserve">18.6 </w:t>
      </w:r>
      <w:r>
        <w:rPr>
          <w:rFonts w:hint="eastAsia" w:ascii="宋体" w:hAnsi="宋体" w:eastAsia="宋体" w:cs="宋体"/>
          <w:kern w:val="0"/>
          <w:sz w:val="24"/>
          <w:szCs w:val="24"/>
        </w:rPr>
        <w:t>有任何一方违约的，违约方除应承担违约责任外，还需承担守约方为实现债权所支出的全部费用（包括但不限于律师费、诉讼费、保全费、鉴定费等）。</w:t>
      </w:r>
    </w:p>
    <w:p w14:paraId="695BDF78">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九</w:t>
      </w:r>
      <w:r>
        <w:rPr>
          <w:rFonts w:hint="eastAsia" w:ascii="宋体" w:hAnsi="宋体" w:eastAsia="宋体" w:cs="宋体"/>
          <w:b/>
          <w:kern w:val="0"/>
          <w:sz w:val="24"/>
          <w:szCs w:val="24"/>
        </w:rPr>
        <w:t>条 不可抗力</w:t>
      </w:r>
    </w:p>
    <w:p w14:paraId="6A743E92">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19.1 </w:t>
      </w:r>
      <w:r>
        <w:rPr>
          <w:rFonts w:hint="eastAsia" w:ascii="宋体" w:hAnsi="宋体" w:eastAsia="宋体" w:cs="宋体"/>
          <w:kern w:val="0"/>
          <w:sz w:val="24"/>
          <w:szCs w:val="24"/>
        </w:rPr>
        <w:t>如果任何一方遭遇法律规定的不可抗力，致使合同履行受阻时，履行合同的期限应予延长，延长的期限应相当于不可抗力所影响的时间；</w:t>
      </w:r>
    </w:p>
    <w:p w14:paraId="0678576F">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19.2 </w:t>
      </w:r>
      <w:r>
        <w:rPr>
          <w:rFonts w:hint="eastAsia" w:ascii="宋体" w:hAnsi="宋体" w:eastAsia="宋体" w:cs="宋体"/>
          <w:kern w:val="0"/>
          <w:sz w:val="24"/>
          <w:szCs w:val="24"/>
        </w:rPr>
        <w:t>因不可抗力致使不能实现合同目的的，当事人可以解除合同，不视为违约；</w:t>
      </w:r>
    </w:p>
    <w:p w14:paraId="196549F0">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b/>
          <w:kern w:val="0"/>
          <w:sz w:val="24"/>
          <w:szCs w:val="24"/>
        </w:rPr>
      </w:pPr>
      <w:r>
        <w:rPr>
          <w:rFonts w:hint="eastAsia" w:ascii="宋体" w:hAnsi="宋体" w:eastAsia="宋体" w:cs="宋体"/>
          <w:kern w:val="0"/>
          <w:sz w:val="24"/>
          <w:szCs w:val="24"/>
          <w:lang w:val="en-US" w:eastAsia="zh-CN"/>
        </w:rPr>
        <w:t xml:space="preserve">19.3 </w:t>
      </w:r>
      <w:r>
        <w:rPr>
          <w:rFonts w:hint="eastAsia" w:ascii="宋体" w:hAnsi="宋体" w:eastAsia="宋体" w:cs="宋体"/>
          <w:kern w:val="0"/>
          <w:sz w:val="24"/>
          <w:szCs w:val="24"/>
        </w:rPr>
        <w:t>但遭受不可抗力一方应及时告知对方，并将有关部门出具的证明文件送达对方当事人，若因未及时告知对方导致损失扩大的，遭受不可抗力一方对扩大的损失仍应承担赔偿责任。</w:t>
      </w:r>
    </w:p>
    <w:p w14:paraId="3338C69F">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二十</w:t>
      </w:r>
      <w:r>
        <w:rPr>
          <w:rFonts w:hint="eastAsia" w:ascii="宋体" w:hAnsi="宋体" w:eastAsia="宋体" w:cs="宋体"/>
          <w:b/>
          <w:kern w:val="0"/>
          <w:sz w:val="24"/>
          <w:szCs w:val="24"/>
        </w:rPr>
        <w:t>条 乙方破产</w:t>
      </w:r>
    </w:p>
    <w:p w14:paraId="3A126735">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如果乙方在本合同履行过程中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88834AF">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二十一</w:t>
      </w:r>
      <w:r>
        <w:rPr>
          <w:rFonts w:hint="eastAsia" w:ascii="宋体" w:hAnsi="宋体" w:eastAsia="宋体" w:cs="宋体"/>
          <w:b/>
          <w:kern w:val="0"/>
          <w:sz w:val="24"/>
          <w:szCs w:val="24"/>
        </w:rPr>
        <w:t>条 同变更、解除、终止</w:t>
      </w:r>
    </w:p>
    <w:p w14:paraId="0940F3F0">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21.1 </w:t>
      </w:r>
      <w:r>
        <w:rPr>
          <w:rFonts w:hint="eastAsia" w:ascii="宋体" w:hAnsi="宋体" w:eastAsia="宋体" w:cs="宋体"/>
          <w:kern w:val="0"/>
          <w:sz w:val="24"/>
          <w:szCs w:val="24"/>
        </w:rPr>
        <w:t>甲乙双方协商一致可以变更、解除、终止本合同。</w:t>
      </w:r>
    </w:p>
    <w:p w14:paraId="6D405221">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21.2 </w:t>
      </w:r>
      <w:r>
        <w:rPr>
          <w:rFonts w:hint="eastAsia" w:ascii="宋体" w:hAnsi="宋体" w:eastAsia="宋体" w:cs="宋体"/>
          <w:kern w:val="0"/>
          <w:sz w:val="24"/>
          <w:szCs w:val="24"/>
        </w:rPr>
        <w:t>合同继续履行将损害国家利益和社会公共利益的，双方当事人应当以书面形式变更合同。有过错的一方应当承担赔偿责任，双方当事人都有过错的，各自承担相应的责任。</w:t>
      </w:r>
    </w:p>
    <w:p w14:paraId="557288DE">
      <w:pPr>
        <w:keepNext w:val="0"/>
        <w:keepLines w:val="0"/>
        <w:pageBreakBefore w:val="0"/>
        <w:widowControl w:val="0"/>
        <w:tabs>
          <w:tab w:val="left" w:pos="360"/>
          <w:tab w:val="left" w:pos="540"/>
          <w:tab w:val="left" w:pos="1080"/>
        </w:tabs>
        <w:kinsoku/>
        <w:wordWrap/>
        <w:overflowPunct/>
        <w:topLinePunct w:val="0"/>
        <w:bidi w:val="0"/>
        <w:adjustRightInd/>
        <w:snapToGrid/>
        <w:spacing w:line="460" w:lineRule="exact"/>
        <w:ind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条 通知和送达</w:t>
      </w:r>
    </w:p>
    <w:p w14:paraId="12A8FC90">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22.1 </w:t>
      </w:r>
      <w:r>
        <w:rPr>
          <w:rFonts w:hint="eastAsia" w:ascii="宋体" w:hAnsi="宋体" w:eastAsia="宋体" w:cs="宋体"/>
          <w:kern w:val="0"/>
          <w:sz w:val="24"/>
          <w:szCs w:val="24"/>
        </w:rPr>
        <w:t>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kern w:val="0"/>
          <w:sz w:val="24"/>
          <w:szCs w:val="24"/>
          <w:u w:val="none"/>
        </w:rPr>
        <w:t>3</w:t>
      </w:r>
      <w:r>
        <w:rPr>
          <w:rFonts w:hint="eastAsia" w:ascii="宋体" w:hAnsi="宋体" w:eastAsia="宋体" w:cs="宋体"/>
          <w:kern w:val="0"/>
          <w:sz w:val="24"/>
          <w:szCs w:val="24"/>
        </w:rPr>
        <w:t>个工作日内书面通知对方当事人，在对方当事人收到有关变更通知之前，变更前的约定送达方式或者地址仍视为有效。</w:t>
      </w:r>
    </w:p>
    <w:p w14:paraId="243491E9">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22.2 </w:t>
      </w:r>
      <w:r>
        <w:rPr>
          <w:rFonts w:hint="eastAsia" w:ascii="宋体" w:hAnsi="宋体" w:eastAsia="宋体" w:cs="宋体"/>
          <w:kern w:val="0"/>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p>
    <w:p w14:paraId="58E1319E">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条 计量单位</w:t>
      </w:r>
    </w:p>
    <w:p w14:paraId="14190D7B">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除技术规范中另有规定外,合同的计量单位均使用国家法定计量单位。</w:t>
      </w:r>
    </w:p>
    <w:p w14:paraId="3823C5EF">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条 合同使用的文字和适用的法律</w:t>
      </w:r>
    </w:p>
    <w:p w14:paraId="6856F62D">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24.1 </w:t>
      </w:r>
      <w:r>
        <w:rPr>
          <w:rFonts w:hint="eastAsia" w:ascii="宋体" w:hAnsi="宋体" w:eastAsia="宋体" w:cs="宋体"/>
          <w:kern w:val="0"/>
          <w:sz w:val="24"/>
          <w:szCs w:val="24"/>
        </w:rPr>
        <w:t>合同使用汉语书就、变更和解释；</w:t>
      </w:r>
    </w:p>
    <w:p w14:paraId="6770FD49">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b w:val="0"/>
          <w:kern w:val="0"/>
          <w:sz w:val="24"/>
          <w:szCs w:val="24"/>
        </w:rPr>
      </w:pPr>
      <w:r>
        <w:rPr>
          <w:rFonts w:hint="eastAsia" w:ascii="宋体" w:hAnsi="宋体" w:eastAsia="宋体" w:cs="宋体"/>
          <w:kern w:val="0"/>
          <w:sz w:val="24"/>
          <w:szCs w:val="24"/>
          <w:lang w:val="en-US" w:eastAsia="zh-CN"/>
        </w:rPr>
        <w:t xml:space="preserve">24.2 </w:t>
      </w:r>
      <w:r>
        <w:rPr>
          <w:rFonts w:hint="eastAsia" w:ascii="宋体" w:hAnsi="宋体" w:eastAsia="宋体" w:cs="宋体"/>
          <w:kern w:val="0"/>
          <w:sz w:val="24"/>
          <w:szCs w:val="24"/>
        </w:rPr>
        <w:t>合同适用中华人民共和国法律。</w:t>
      </w:r>
      <w:bookmarkStart w:id="41" w:name="_Toc21423"/>
      <w:bookmarkStart w:id="42" w:name="_Toc27250"/>
      <w:bookmarkStart w:id="43" w:name="_Toc19554"/>
    </w:p>
    <w:bookmarkEnd w:id="41"/>
    <w:bookmarkEnd w:id="42"/>
    <w:bookmarkEnd w:id="43"/>
    <w:p w14:paraId="3220F5A8">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44" w:name="_Toc15583"/>
      <w:bookmarkStart w:id="45" w:name="_Toc16021"/>
      <w:bookmarkStart w:id="46" w:name="_Toc28375"/>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条 合同争议的解决</w:t>
      </w:r>
      <w:bookmarkEnd w:id="44"/>
      <w:bookmarkEnd w:id="45"/>
      <w:bookmarkEnd w:id="46"/>
    </w:p>
    <w:p w14:paraId="1ECF85F3">
      <w:pPr>
        <w:keepNext w:val="0"/>
        <w:keepLines w:val="0"/>
        <w:pageBreakBefore w:val="0"/>
        <w:widowControl w:val="0"/>
        <w:kinsoku/>
        <w:wordWrap/>
        <w:overflowPunct/>
        <w:topLinePunct w:val="0"/>
        <w:bidi w:val="0"/>
        <w:adjustRightInd/>
        <w:snapToGrid/>
        <w:spacing w:line="460" w:lineRule="exact"/>
        <w:ind w:left="-70" w:leftChars="-29" w:right="-480" w:rightChars="-200" w:firstLine="240" w:firstLineChars="1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本合同履行过程中发生的任何争议，双方当事人应先协商解决，协商不成的，任何一方均可向桐庐县人民法院提起诉讼。</w:t>
      </w:r>
    </w:p>
    <w:bookmarkEnd w:id="35"/>
    <w:bookmarkEnd w:id="36"/>
    <w:bookmarkEnd w:id="37"/>
    <w:p w14:paraId="5E98B1F1">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条</w:t>
      </w:r>
    </w:p>
    <w:p w14:paraId="493C4D5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kern w:val="0"/>
          <w:sz w:val="24"/>
          <w:szCs w:val="24"/>
          <w:lang w:val="zh-CN"/>
        </w:rPr>
      </w:pPr>
      <w:r>
        <w:rPr>
          <w:rFonts w:hint="eastAsia" w:ascii="宋体" w:hAnsi="宋体" w:eastAsia="宋体" w:cs="宋体"/>
          <w:kern w:val="0"/>
          <w:sz w:val="24"/>
          <w:szCs w:val="24"/>
        </w:rPr>
        <w:t>本合同一式四份，甲乙双方各执两份，自双方当事人盖章或者签字后生效。</w:t>
      </w:r>
    </w:p>
    <w:p w14:paraId="4F7F6D7A">
      <w:pPr>
        <w:keepNext w:val="0"/>
        <w:keepLines w:val="0"/>
        <w:pageBreakBefore w:val="0"/>
        <w:widowControl w:val="0"/>
        <w:kinsoku/>
        <w:wordWrap/>
        <w:overflowPunct/>
        <w:topLinePunct w:val="0"/>
        <w:autoSpaceDE w:val="0"/>
        <w:autoSpaceDN w:val="0"/>
        <w:bidi w:val="0"/>
        <w:adjustRightInd/>
        <w:snapToGrid/>
        <w:spacing w:line="460" w:lineRule="exact"/>
        <w:ind w:firstLine="482"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甲方</w:t>
      </w:r>
      <w:r>
        <w:rPr>
          <w:rFonts w:hint="eastAsia" w:ascii="宋体" w:hAnsi="宋体" w:eastAsia="宋体" w:cs="宋体"/>
          <w:kern w:val="0"/>
          <w:sz w:val="24"/>
          <w:szCs w:val="24"/>
          <w:lang w:val="zh-CN"/>
        </w:rPr>
        <w:t xml:space="preserve">：                             </w:t>
      </w:r>
      <w:r>
        <w:rPr>
          <w:rFonts w:hint="eastAsia" w:ascii="宋体" w:hAnsi="宋体" w:eastAsia="宋体" w:cs="宋体"/>
          <w:b/>
          <w:kern w:val="0"/>
          <w:sz w:val="24"/>
          <w:szCs w:val="24"/>
          <w:lang w:val="zh-CN"/>
        </w:rPr>
        <w:t xml:space="preserve">      乙方</w:t>
      </w:r>
      <w:r>
        <w:rPr>
          <w:rFonts w:hint="eastAsia" w:ascii="宋体" w:hAnsi="宋体" w:eastAsia="宋体" w:cs="宋体"/>
          <w:kern w:val="0"/>
          <w:sz w:val="24"/>
          <w:szCs w:val="24"/>
          <w:lang w:val="zh-CN"/>
        </w:rPr>
        <w:t>：</w:t>
      </w:r>
    </w:p>
    <w:p w14:paraId="04760398">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统一社会信用代码：                       统一社会信用代码：</w:t>
      </w:r>
    </w:p>
    <w:p w14:paraId="6BBD14C4">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住所：                                   住所：</w:t>
      </w:r>
    </w:p>
    <w:p w14:paraId="1737A42B">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法定代表人或                             法定代表人或</w:t>
      </w:r>
    </w:p>
    <w:p w14:paraId="73B44F8E">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授权代表（签字）：                       授权代表（签字）: </w:t>
      </w:r>
    </w:p>
    <w:p w14:paraId="3E46B939">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联系人：                                 联系人：</w:t>
      </w:r>
    </w:p>
    <w:p w14:paraId="17A9DEA2">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约定送达地址：                           约定送达地址：</w:t>
      </w:r>
    </w:p>
    <w:p w14:paraId="3D6C0C20">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邮政编码：                               邮政编码：</w:t>
      </w:r>
    </w:p>
    <w:p w14:paraId="41171D09">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电话:                                    电话: </w:t>
      </w:r>
    </w:p>
    <w:p w14:paraId="64299F0A">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传真:                                    传真:</w:t>
      </w:r>
    </w:p>
    <w:p w14:paraId="6AE97310">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电子邮箱：                               电子邮箱：</w:t>
      </w:r>
    </w:p>
    <w:p w14:paraId="2A98DB20">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开户银行：                               开户银行： </w:t>
      </w:r>
    </w:p>
    <w:p w14:paraId="01D2B1A1">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xml:space="preserve">开户名称：                               开户名称： </w:t>
      </w:r>
    </w:p>
    <w:p w14:paraId="25E8C9A7">
      <w:pPr>
        <w:keepNext w:val="0"/>
        <w:keepLines w:val="0"/>
        <w:pageBreakBefore w:val="0"/>
        <w:kinsoku/>
        <w:wordWrap/>
        <w:overflowPunct/>
        <w:topLinePunct w:val="0"/>
        <w:bidi w:val="0"/>
        <w:adjustRightInd/>
        <w:snapToGrid/>
        <w:spacing w:line="300" w:lineRule="exact"/>
        <w:ind w:firstLine="436" w:firstLineChars="182"/>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开户账号：                               开户账号：</w:t>
      </w:r>
    </w:p>
    <w:p w14:paraId="2637D142">
      <w:pPr>
        <w:pStyle w:val="20"/>
        <w:keepNext w:val="0"/>
        <w:keepLines w:val="0"/>
        <w:pageBreakBefore w:val="0"/>
        <w:kinsoku/>
        <w:wordWrap/>
        <w:overflowPunct/>
        <w:topLinePunct w:val="0"/>
        <w:bidi w:val="0"/>
        <w:adjustRightInd/>
        <w:snapToGrid w:val="0"/>
        <w:spacing w:line="300" w:lineRule="exact"/>
        <w:ind w:left="0" w:leftChars="0" w:firstLine="0" w:firstLineChars="0"/>
        <w:jc w:val="both"/>
        <w:textAlignment w:val="baseline"/>
        <w:rPr>
          <w:rFonts w:hint="eastAsia" w:ascii="宋体" w:hAnsi="宋体" w:eastAsia="宋体" w:cs="宋体"/>
          <w:b/>
          <w:sz w:val="44"/>
          <w:szCs w:val="44"/>
        </w:rPr>
      </w:pPr>
    </w:p>
    <w:p w14:paraId="6299DB97">
      <w:pPr>
        <w:pStyle w:val="20"/>
        <w:snapToGrid w:val="0"/>
        <w:spacing w:line="500" w:lineRule="exact"/>
        <w:ind w:firstLine="640"/>
        <w:jc w:val="center"/>
        <w:textAlignment w:val="baseline"/>
        <w:rPr>
          <w:rFonts w:hint="eastAsia" w:ascii="宋体" w:hAnsi="宋体" w:eastAsia="宋体" w:cs="宋体"/>
          <w:b/>
          <w:sz w:val="44"/>
          <w:szCs w:val="44"/>
        </w:rPr>
      </w:pPr>
      <w:r>
        <w:rPr>
          <w:rFonts w:hint="eastAsia" w:ascii="宋体" w:hAnsi="宋体" w:eastAsia="宋体" w:cs="宋体"/>
          <w:b/>
          <w:sz w:val="44"/>
          <w:szCs w:val="44"/>
        </w:rPr>
        <w:t>第六章　投标文件格式</w:t>
      </w:r>
    </w:p>
    <w:p w14:paraId="4A4767EF">
      <w:pPr>
        <w:snapToGrid w:val="0"/>
        <w:spacing w:before="156" w:beforeLines="50" w:after="50" w:line="360" w:lineRule="auto"/>
        <w:ind w:firstLine="645"/>
        <w:jc w:val="left"/>
        <w:rPr>
          <w:rFonts w:hint="eastAsia" w:ascii="宋体" w:hAnsi="宋体" w:eastAsia="宋体" w:cs="宋体"/>
          <w:b/>
          <w:sz w:val="24"/>
        </w:rPr>
      </w:pPr>
    </w:p>
    <w:p w14:paraId="35C07CAB">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558D473A">
      <w:pPr>
        <w:spacing w:before="240" w:beforeLines="100" w:line="240" w:lineRule="atLeast"/>
        <w:jc w:val="center"/>
        <w:rPr>
          <w:rFonts w:hint="eastAsia"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28"/>
          <w:szCs w:val="28"/>
          <w:lang w:val="en-US" w:eastAsia="zh-CN"/>
        </w:rPr>
        <w:t>HZKYTLCG-2025-03</w:t>
      </w:r>
    </w:p>
    <w:p w14:paraId="6A30092C">
      <w:pPr>
        <w:spacing w:after="100" w:afterAutospacing="1" w:line="800" w:lineRule="exact"/>
        <w:ind w:right="-108"/>
        <w:jc w:val="center"/>
        <w:rPr>
          <w:rFonts w:hint="eastAsia" w:ascii="宋体" w:hAnsi="宋体" w:eastAsia="宋体" w:cs="宋体"/>
          <w:b/>
          <w:spacing w:val="40"/>
          <w:sz w:val="84"/>
          <w:szCs w:val="84"/>
        </w:rPr>
      </w:pPr>
    </w:p>
    <w:p w14:paraId="61E3E67C">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资</w:t>
      </w:r>
    </w:p>
    <w:p w14:paraId="495DE63E">
      <w:pPr>
        <w:spacing w:after="100" w:afterAutospacing="1" w:line="240" w:lineRule="auto"/>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格</w:t>
      </w:r>
    </w:p>
    <w:p w14:paraId="271C52BA">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14:paraId="69A057BB">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14:paraId="6209DCAB">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14:paraId="174B243E">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44DB3CEE">
      <w:pPr>
        <w:spacing w:line="600" w:lineRule="exact"/>
        <w:ind w:right="532" w:firstLine="720" w:firstLineChars="200"/>
        <w:rPr>
          <w:rFonts w:hint="eastAsia" w:ascii="宋体" w:hAnsi="宋体" w:eastAsia="宋体" w:cs="宋体"/>
          <w:b/>
          <w:sz w:val="36"/>
          <w:szCs w:val="36"/>
        </w:rPr>
      </w:pPr>
      <w:r>
        <w:rPr>
          <w:rFonts w:hint="eastAsia" w:ascii="宋体" w:hAnsi="宋体" w:eastAsia="宋体" w:cs="宋体"/>
          <w:sz w:val="36"/>
          <w:szCs w:val="36"/>
        </w:rPr>
        <w:t>时    间：</w:t>
      </w:r>
    </w:p>
    <w:p w14:paraId="53D1F427">
      <w:pPr>
        <w:snapToGrid w:val="0"/>
        <w:spacing w:before="50" w:after="50"/>
        <w:rPr>
          <w:rFonts w:hint="eastAsia" w:ascii="宋体" w:hAnsi="宋体" w:eastAsia="宋体" w:cs="宋体"/>
          <w:b/>
          <w:sz w:val="36"/>
          <w:szCs w:val="36"/>
        </w:rPr>
      </w:pPr>
    </w:p>
    <w:p w14:paraId="70653591">
      <w:pPr>
        <w:snapToGrid w:val="0"/>
        <w:spacing w:before="50" w:after="50"/>
        <w:rPr>
          <w:rFonts w:hint="eastAsia" w:ascii="宋体" w:hAnsi="宋体" w:eastAsia="宋体" w:cs="宋体"/>
          <w:b/>
          <w:sz w:val="36"/>
          <w:szCs w:val="36"/>
        </w:rPr>
        <w:sectPr>
          <w:headerReference r:id="rId9" w:type="default"/>
          <w:footerReference r:id="rId10" w:type="default"/>
          <w:pgSz w:w="11906" w:h="16838"/>
          <w:pgMar w:top="1559" w:right="1531" w:bottom="471" w:left="1531" w:header="851" w:footer="851" w:gutter="0"/>
          <w:pgNumType w:fmt="decimal" w:chapStyle="1" w:chapSep="colon"/>
          <w:cols w:space="720" w:num="1"/>
        </w:sectPr>
      </w:pPr>
    </w:p>
    <w:p w14:paraId="7E918F06">
      <w:pPr>
        <w:snapToGrid w:val="0"/>
        <w:spacing w:before="50" w:after="50"/>
        <w:ind w:left="0" w:leftChars="0" w:firstLine="0" w:firstLineChars="0"/>
        <w:rPr>
          <w:rFonts w:hint="eastAsia" w:ascii="宋体" w:hAnsi="宋体" w:eastAsia="宋体" w:cs="宋体"/>
          <w:b/>
          <w:sz w:val="36"/>
          <w:szCs w:val="36"/>
        </w:rPr>
      </w:pPr>
    </w:p>
    <w:p w14:paraId="66D47EFF">
      <w:pPr>
        <w:snapToGrid w:val="0"/>
        <w:spacing w:before="50" w:after="50"/>
        <w:rPr>
          <w:rFonts w:hint="eastAsia" w:ascii="宋体" w:hAnsi="宋体" w:eastAsia="宋体" w:cs="宋体"/>
          <w:sz w:val="30"/>
          <w:szCs w:val="30"/>
        </w:rPr>
      </w:pPr>
      <w:r>
        <w:rPr>
          <w:rFonts w:hint="eastAsia" w:ascii="宋体" w:hAnsi="宋体" w:eastAsia="宋体" w:cs="宋体"/>
          <w:b/>
          <w:sz w:val="36"/>
          <w:szCs w:val="36"/>
        </w:rPr>
        <w:t>1、</w:t>
      </w:r>
      <w:r>
        <w:rPr>
          <w:rFonts w:hint="eastAsia" w:ascii="宋体" w:hAnsi="宋体" w:eastAsia="宋体" w:cs="宋体"/>
          <w:b/>
          <w:bCs/>
          <w:sz w:val="36"/>
          <w:szCs w:val="36"/>
        </w:rPr>
        <w:t>资</w:t>
      </w:r>
      <w:r>
        <w:rPr>
          <w:rFonts w:hint="eastAsia" w:ascii="宋体" w:hAnsi="宋体" w:eastAsia="宋体" w:cs="宋体"/>
          <w:b/>
          <w:bCs/>
          <w:sz w:val="36"/>
          <w:szCs w:val="36"/>
          <w:lang w:eastAsia="zh-CN"/>
        </w:rPr>
        <w:t>格</w:t>
      </w:r>
      <w:r>
        <w:rPr>
          <w:rFonts w:hint="eastAsia" w:ascii="宋体" w:hAnsi="宋体" w:eastAsia="宋体" w:cs="宋体"/>
          <w:b/>
          <w:bCs/>
          <w:sz w:val="36"/>
          <w:szCs w:val="36"/>
        </w:rPr>
        <w:t>文件目录</w:t>
      </w:r>
    </w:p>
    <w:p w14:paraId="529A76FF">
      <w:pPr>
        <w:pStyle w:val="21"/>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（1）提供有效的营业执照副本并加盖公章（或事业单位法人登记证或其他工商等登记证明材料）……………………………………………………</w:t>
      </w:r>
      <w:r>
        <w:rPr>
          <w:rFonts w:hint="eastAsia" w:ascii="宋体" w:hAnsi="宋体" w:eastAsia="宋体" w:cs="宋体"/>
          <w:spacing w:val="-17"/>
          <w:sz w:val="30"/>
          <w:szCs w:val="30"/>
          <w:lang w:val="en-US" w:eastAsia="zh-CN"/>
        </w:rPr>
        <w:t xml:space="preserve"> </w:t>
      </w:r>
      <w:r>
        <w:rPr>
          <w:rFonts w:hint="eastAsia" w:ascii="宋体" w:hAnsi="宋体" w:eastAsia="宋体" w:cs="宋体"/>
          <w:spacing w:val="-17"/>
          <w:sz w:val="30"/>
          <w:szCs w:val="30"/>
        </w:rPr>
        <w:t>（页码）</w:t>
      </w:r>
    </w:p>
    <w:p w14:paraId="34BDD111">
      <w:pPr>
        <w:pStyle w:val="21"/>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（2）符合参加政府采购活动应当具备的一般条件的承诺函…………（页码）</w:t>
      </w:r>
    </w:p>
    <w:p w14:paraId="41F15DEE">
      <w:pPr>
        <w:pStyle w:val="21"/>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w:t>
      </w:r>
      <w:r>
        <w:rPr>
          <w:rFonts w:hint="eastAsia" w:ascii="宋体" w:hAnsi="宋体" w:eastAsia="宋体" w:cs="宋体"/>
          <w:spacing w:val="-17"/>
          <w:sz w:val="30"/>
          <w:szCs w:val="30"/>
          <w:lang w:val="en-US" w:eastAsia="zh-CN"/>
        </w:rPr>
        <w:t>3</w:t>
      </w:r>
      <w:r>
        <w:rPr>
          <w:rFonts w:hint="eastAsia" w:ascii="宋体" w:hAnsi="宋体" w:eastAsia="宋体" w:cs="宋体"/>
          <w:spacing w:val="-17"/>
          <w:sz w:val="30"/>
          <w:szCs w:val="30"/>
        </w:rPr>
        <w:t>）本项目的特定资格要求</w:t>
      </w:r>
      <w:r>
        <w:rPr>
          <w:rFonts w:hint="eastAsia" w:ascii="宋体" w:hAnsi="宋体" w:eastAsia="宋体" w:cs="宋体"/>
          <w:spacing w:val="-17"/>
          <w:sz w:val="30"/>
          <w:szCs w:val="30"/>
          <w:lang w:eastAsia="zh-CN"/>
        </w:rPr>
        <w:t>（如果有）</w:t>
      </w:r>
      <w:r>
        <w:rPr>
          <w:rFonts w:hint="eastAsia" w:ascii="宋体" w:hAnsi="宋体" w:eastAsia="宋体" w:cs="宋体"/>
          <w:spacing w:val="-17"/>
          <w:sz w:val="30"/>
          <w:szCs w:val="30"/>
        </w:rPr>
        <w:t>………………………………（页码）</w:t>
      </w:r>
    </w:p>
    <w:p w14:paraId="443F0BC4">
      <w:pPr>
        <w:widowControl/>
        <w:jc w:val="left"/>
        <w:rPr>
          <w:rFonts w:hint="eastAsia" w:ascii="宋体" w:hAnsi="宋体" w:eastAsia="宋体" w:cs="宋体"/>
          <w:b/>
          <w:color w:val="000000"/>
          <w:kern w:val="0"/>
          <w:sz w:val="30"/>
          <w:szCs w:val="30"/>
          <w:lang w:bidi="ar"/>
        </w:rPr>
      </w:pPr>
    </w:p>
    <w:p w14:paraId="685FD23F">
      <w:pPr>
        <w:widowControl/>
        <w:jc w:val="left"/>
        <w:rPr>
          <w:rFonts w:hint="eastAsia" w:ascii="宋体" w:hAnsi="宋体" w:eastAsia="宋体" w:cs="宋体"/>
          <w:b/>
          <w:color w:val="000000"/>
          <w:kern w:val="0"/>
          <w:sz w:val="28"/>
          <w:szCs w:val="28"/>
          <w:lang w:bidi="ar"/>
        </w:rPr>
      </w:pPr>
    </w:p>
    <w:p w14:paraId="6505C894">
      <w:pPr>
        <w:widowControl/>
        <w:jc w:val="left"/>
        <w:rPr>
          <w:rFonts w:hint="eastAsia" w:ascii="宋体" w:hAnsi="宋体" w:eastAsia="宋体" w:cs="宋体"/>
          <w:b/>
          <w:color w:val="000000"/>
          <w:kern w:val="0"/>
          <w:sz w:val="28"/>
          <w:szCs w:val="28"/>
          <w:lang w:bidi="ar"/>
        </w:rPr>
      </w:pPr>
    </w:p>
    <w:p w14:paraId="551DB837">
      <w:pPr>
        <w:widowControl/>
        <w:jc w:val="left"/>
        <w:rPr>
          <w:rFonts w:hint="eastAsia" w:ascii="宋体" w:hAnsi="宋体" w:eastAsia="宋体" w:cs="宋体"/>
          <w:b/>
          <w:color w:val="000000"/>
          <w:kern w:val="0"/>
          <w:sz w:val="28"/>
          <w:szCs w:val="28"/>
          <w:lang w:bidi="ar"/>
        </w:rPr>
      </w:pPr>
    </w:p>
    <w:p w14:paraId="50407F56">
      <w:pPr>
        <w:widowControl/>
        <w:jc w:val="left"/>
        <w:rPr>
          <w:rFonts w:hint="eastAsia" w:ascii="宋体" w:hAnsi="宋体" w:eastAsia="宋体" w:cs="宋体"/>
          <w:b/>
          <w:color w:val="000000"/>
          <w:kern w:val="0"/>
          <w:sz w:val="28"/>
          <w:szCs w:val="28"/>
          <w:lang w:bidi="ar"/>
        </w:rPr>
      </w:pPr>
    </w:p>
    <w:p w14:paraId="11BC5D53">
      <w:pPr>
        <w:widowControl/>
        <w:jc w:val="left"/>
        <w:rPr>
          <w:rFonts w:hint="eastAsia" w:ascii="宋体" w:hAnsi="宋体" w:eastAsia="宋体" w:cs="宋体"/>
          <w:b/>
          <w:color w:val="000000"/>
          <w:kern w:val="0"/>
          <w:sz w:val="28"/>
          <w:szCs w:val="28"/>
          <w:lang w:bidi="ar"/>
        </w:rPr>
      </w:pPr>
    </w:p>
    <w:p w14:paraId="4436D6F5">
      <w:pPr>
        <w:widowControl/>
        <w:jc w:val="left"/>
        <w:rPr>
          <w:rFonts w:hint="eastAsia" w:ascii="宋体" w:hAnsi="宋体" w:eastAsia="宋体" w:cs="宋体"/>
          <w:b/>
          <w:color w:val="000000"/>
          <w:kern w:val="0"/>
          <w:sz w:val="28"/>
          <w:szCs w:val="28"/>
          <w:lang w:bidi="ar"/>
        </w:rPr>
      </w:pPr>
    </w:p>
    <w:p w14:paraId="470814AD">
      <w:pPr>
        <w:widowControl/>
        <w:jc w:val="left"/>
        <w:rPr>
          <w:rFonts w:hint="eastAsia" w:ascii="宋体" w:hAnsi="宋体" w:eastAsia="宋体" w:cs="宋体"/>
          <w:b/>
          <w:color w:val="000000"/>
          <w:kern w:val="0"/>
          <w:sz w:val="28"/>
          <w:szCs w:val="28"/>
          <w:lang w:bidi="ar"/>
        </w:rPr>
        <w:sectPr>
          <w:pgSz w:w="11906" w:h="16838"/>
          <w:pgMar w:top="1559" w:right="1531" w:bottom="471" w:left="1531" w:header="851" w:footer="851" w:gutter="0"/>
          <w:pgNumType w:fmt="decimal" w:chapStyle="1" w:chapSep="colon"/>
          <w:cols w:space="720" w:num="1"/>
        </w:sectPr>
      </w:pPr>
    </w:p>
    <w:p w14:paraId="28607FE6">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一、 符合参加采购活动应当具备的一般条件的承诺函</w:t>
      </w:r>
    </w:p>
    <w:p w14:paraId="0FF9B40B">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430C68E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14:paraId="2A7CD42F">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0C5EE4E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591DE96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1B8AFCE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5E88DBC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0A9ADC6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3829057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1FABAB4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4E2CDE4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34EE318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065799E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6C991D07">
      <w:pPr>
        <w:snapToGrid w:val="0"/>
        <w:spacing w:line="360" w:lineRule="auto"/>
        <w:ind w:firstLine="5520" w:firstLineChars="2300"/>
        <w:rPr>
          <w:rFonts w:hint="eastAsia" w:ascii="宋体" w:hAnsi="宋体" w:eastAsia="宋体" w:cs="宋体"/>
          <w:kern w:val="0"/>
          <w:sz w:val="24"/>
          <w:lang w:val="zh-CN"/>
        </w:rPr>
      </w:pPr>
    </w:p>
    <w:p w14:paraId="60501090">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316CCD65">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543C1B20">
      <w:pPr>
        <w:snapToGrid w:val="0"/>
        <w:spacing w:line="360" w:lineRule="auto"/>
        <w:ind w:right="480"/>
        <w:jc w:val="center"/>
        <w:rPr>
          <w:rFonts w:hint="eastAsia" w:ascii="宋体" w:hAnsi="宋体" w:eastAsia="宋体" w:cs="宋体"/>
          <w:b/>
          <w:kern w:val="0"/>
          <w:sz w:val="32"/>
          <w:szCs w:val="32"/>
        </w:rPr>
      </w:pPr>
    </w:p>
    <w:p w14:paraId="408F3789">
      <w:pPr>
        <w:snapToGrid w:val="0"/>
        <w:spacing w:line="360" w:lineRule="auto"/>
        <w:ind w:right="480"/>
        <w:jc w:val="center"/>
        <w:rPr>
          <w:rFonts w:hint="eastAsia" w:ascii="宋体" w:hAnsi="宋体" w:eastAsia="宋体" w:cs="宋体"/>
          <w:b/>
          <w:kern w:val="0"/>
          <w:sz w:val="32"/>
          <w:szCs w:val="32"/>
        </w:rPr>
      </w:pPr>
    </w:p>
    <w:p w14:paraId="400CBF07">
      <w:pPr>
        <w:snapToGrid w:val="0"/>
        <w:spacing w:line="360" w:lineRule="auto"/>
        <w:ind w:right="480"/>
        <w:jc w:val="center"/>
        <w:rPr>
          <w:rFonts w:hint="eastAsia" w:ascii="宋体" w:hAnsi="宋体" w:eastAsia="宋体" w:cs="宋体"/>
          <w:b/>
          <w:kern w:val="0"/>
          <w:sz w:val="32"/>
          <w:szCs w:val="32"/>
        </w:rPr>
      </w:pPr>
    </w:p>
    <w:p w14:paraId="2777FB1D">
      <w:pPr>
        <w:rPr>
          <w:rFonts w:hint="eastAsia" w:ascii="宋体" w:hAnsi="宋体" w:eastAsia="宋体" w:cs="宋体"/>
        </w:rPr>
      </w:pPr>
    </w:p>
    <w:p w14:paraId="25F81005">
      <w:pPr>
        <w:snapToGrid w:val="0"/>
        <w:spacing w:line="360" w:lineRule="auto"/>
        <w:ind w:right="480"/>
        <w:jc w:val="center"/>
        <w:rPr>
          <w:rFonts w:hint="eastAsia" w:ascii="宋体" w:hAnsi="宋体" w:eastAsia="宋体" w:cs="宋体"/>
          <w:b/>
          <w:kern w:val="0"/>
          <w:sz w:val="32"/>
          <w:szCs w:val="32"/>
        </w:rPr>
      </w:pPr>
    </w:p>
    <w:p w14:paraId="2B0B49EE">
      <w:pPr>
        <w:snapToGrid w:val="0"/>
        <w:spacing w:line="360" w:lineRule="auto"/>
        <w:ind w:right="480"/>
        <w:jc w:val="center"/>
        <w:rPr>
          <w:rFonts w:hint="eastAsia" w:ascii="宋体" w:hAnsi="宋体" w:eastAsia="宋体" w:cs="宋体"/>
          <w:b/>
          <w:kern w:val="0"/>
          <w:sz w:val="32"/>
          <w:szCs w:val="32"/>
        </w:rPr>
      </w:pPr>
    </w:p>
    <w:p w14:paraId="662C077A">
      <w:pPr>
        <w:snapToGrid w:val="0"/>
        <w:spacing w:line="360" w:lineRule="auto"/>
        <w:ind w:right="480"/>
        <w:jc w:val="center"/>
        <w:rPr>
          <w:rFonts w:hint="eastAsia" w:ascii="宋体" w:hAnsi="宋体" w:eastAsia="宋体" w:cs="宋体"/>
          <w:b/>
          <w:kern w:val="0"/>
          <w:sz w:val="32"/>
          <w:szCs w:val="32"/>
        </w:rPr>
      </w:pPr>
    </w:p>
    <w:p w14:paraId="4DE0251B">
      <w:pPr>
        <w:snapToGrid w:val="0"/>
        <w:spacing w:line="360" w:lineRule="auto"/>
        <w:ind w:right="480"/>
        <w:jc w:val="both"/>
        <w:rPr>
          <w:rFonts w:hint="eastAsia" w:ascii="宋体" w:hAnsi="宋体" w:eastAsia="宋体" w:cs="宋体"/>
          <w:b/>
          <w:kern w:val="0"/>
          <w:sz w:val="32"/>
          <w:szCs w:val="32"/>
        </w:rPr>
      </w:pPr>
    </w:p>
    <w:p w14:paraId="5D3E3C47">
      <w:pPr>
        <w:numPr>
          <w:ilvl w:val="0"/>
          <w:numId w:val="0"/>
        </w:numPr>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本项目的特定资格要求</w:t>
      </w:r>
    </w:p>
    <w:p w14:paraId="6BA01A51">
      <w:pPr>
        <w:pStyle w:val="47"/>
        <w:numPr>
          <w:ilvl w:val="0"/>
          <w:numId w:val="0"/>
        </w:numPr>
        <w:rPr>
          <w:rFonts w:hint="eastAsia" w:ascii="宋体" w:hAnsi="宋体" w:eastAsia="宋体" w:cs="宋体"/>
        </w:rPr>
      </w:pPr>
    </w:p>
    <w:p w14:paraId="72F4A202">
      <w:pPr>
        <w:spacing w:line="360" w:lineRule="auto"/>
        <w:jc w:val="center"/>
        <w:rPr>
          <w:rFonts w:hint="eastAsia" w:ascii="宋体" w:hAnsi="宋体" w:eastAsia="宋体" w:cs="宋体"/>
        </w:rPr>
        <w:sectPr>
          <w:pgSz w:w="11906" w:h="16838"/>
          <w:pgMar w:top="1559" w:right="1531" w:bottom="471" w:left="1531" w:header="851" w:footer="851" w:gutter="0"/>
          <w:pgNumType w:fmt="decimal" w:chapStyle="1" w:chapSep="colon"/>
          <w:cols w:space="720" w:num="1"/>
        </w:sectPr>
      </w:pPr>
      <w:r>
        <w:rPr>
          <w:rFonts w:hint="eastAsia" w:ascii="宋体" w:hAnsi="宋体" w:eastAsia="宋体" w:cs="宋体"/>
          <w:sz w:val="24"/>
        </w:rPr>
        <w:t>（根据招标公告本项目的特定资格要求提供相应的材料；未要求的，无需提供）</w:t>
      </w:r>
    </w:p>
    <w:p w14:paraId="1F6CBB00">
      <w:pPr>
        <w:widowControl/>
        <w:jc w:val="left"/>
        <w:rPr>
          <w:rFonts w:hint="eastAsia" w:ascii="宋体" w:hAnsi="宋体" w:eastAsia="宋体" w:cs="宋体"/>
          <w:sz w:val="30"/>
          <w:szCs w:val="30"/>
          <w:u w:val="single"/>
        </w:rPr>
      </w:pPr>
    </w:p>
    <w:p w14:paraId="61E68A9B">
      <w:pPr>
        <w:snapToGrid w:val="0"/>
        <w:spacing w:before="120" w:beforeLines="50" w:after="50"/>
        <w:ind w:left="0" w:leftChars="0" w:firstLine="0" w:firstLineChars="0"/>
        <w:rPr>
          <w:rFonts w:hint="eastAsia" w:ascii="宋体" w:hAnsi="宋体" w:eastAsia="宋体" w:cs="宋体"/>
          <w:b/>
          <w:sz w:val="30"/>
          <w:szCs w:val="30"/>
        </w:rPr>
      </w:pPr>
      <w:r>
        <w:rPr>
          <w:rFonts w:hint="eastAsia" w:ascii="宋体" w:hAnsi="宋体" w:eastAsia="宋体" w:cs="宋体"/>
          <w:b/>
          <w:sz w:val="30"/>
          <w:szCs w:val="30"/>
        </w:rPr>
        <w:t xml:space="preserve">                </w:t>
      </w:r>
    </w:p>
    <w:p w14:paraId="16DEFBEB">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49E542F7">
      <w:pPr>
        <w:spacing w:before="240" w:beforeLines="100" w:line="240" w:lineRule="atLeast"/>
        <w:jc w:val="center"/>
        <w:rPr>
          <w:rFonts w:hint="eastAsia"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36"/>
          <w:szCs w:val="36"/>
        </w:rPr>
        <w:t>：</w:t>
      </w:r>
      <w:r>
        <w:rPr>
          <w:rFonts w:hint="eastAsia" w:ascii="宋体" w:hAnsi="宋体" w:eastAsia="宋体" w:cs="宋体"/>
          <w:sz w:val="36"/>
          <w:szCs w:val="36"/>
          <w:lang w:val="en-US" w:eastAsia="zh-CN"/>
        </w:rPr>
        <w:t>HZKYTLCG-2025-03</w:t>
      </w:r>
    </w:p>
    <w:p w14:paraId="129C3215">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商</w:t>
      </w:r>
    </w:p>
    <w:p w14:paraId="3D349743">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务</w:t>
      </w:r>
    </w:p>
    <w:p w14:paraId="167B9318">
      <w:pPr>
        <w:spacing w:line="1200" w:lineRule="exact"/>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技</w:t>
      </w:r>
    </w:p>
    <w:p w14:paraId="5CE7F85A">
      <w:pPr>
        <w:spacing w:line="1200" w:lineRule="exact"/>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术</w:t>
      </w:r>
    </w:p>
    <w:p w14:paraId="3EC306FC">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14:paraId="1489DEEE">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14:paraId="20CAD0D0">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14:paraId="7AC8046E">
      <w:pPr>
        <w:spacing w:line="6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23E28BFA">
      <w:pPr>
        <w:spacing w:line="6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773E21F6">
      <w:pPr>
        <w:snapToGrid w:val="0"/>
        <w:spacing w:before="50" w:after="50"/>
        <w:rPr>
          <w:rFonts w:hint="eastAsia" w:ascii="宋体" w:hAnsi="宋体" w:eastAsia="宋体" w:cs="宋体"/>
          <w:sz w:val="30"/>
          <w:szCs w:val="30"/>
        </w:rPr>
      </w:pPr>
    </w:p>
    <w:p w14:paraId="2FE326DC">
      <w:pPr>
        <w:snapToGrid w:val="0"/>
        <w:spacing w:before="50" w:after="50"/>
        <w:rPr>
          <w:rFonts w:hint="eastAsia" w:ascii="宋体" w:hAnsi="宋体" w:eastAsia="宋体" w:cs="宋体"/>
          <w:sz w:val="30"/>
          <w:szCs w:val="30"/>
        </w:rPr>
      </w:pPr>
    </w:p>
    <w:p w14:paraId="14DE3B51">
      <w:pPr>
        <w:snapToGrid w:val="0"/>
        <w:spacing w:before="50" w:after="50"/>
        <w:rPr>
          <w:rFonts w:hint="eastAsia" w:ascii="宋体" w:hAnsi="宋体" w:eastAsia="宋体" w:cs="宋体"/>
          <w:sz w:val="36"/>
          <w:szCs w:val="36"/>
        </w:rPr>
        <w:sectPr>
          <w:footerReference r:id="rId12" w:type="first"/>
          <w:footerReference r:id="rId11" w:type="default"/>
          <w:pgSz w:w="11906" w:h="16838"/>
          <w:pgMar w:top="1559" w:right="1531" w:bottom="471" w:left="1531" w:header="851" w:footer="851" w:gutter="0"/>
          <w:pgNumType w:fmt="decimal" w:chapStyle="1" w:chapSep="colon"/>
          <w:cols w:space="720" w:num="1"/>
        </w:sectPr>
      </w:pPr>
    </w:p>
    <w:p w14:paraId="49550320">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7D9FB932">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25880A90">
      <w:pPr>
        <w:pStyle w:val="21"/>
        <w:numPr>
          <w:ilvl w:val="0"/>
          <w:numId w:val="6"/>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投标函………………………………………………………………（页码）</w:t>
      </w:r>
    </w:p>
    <w:p w14:paraId="03C0D075">
      <w:pPr>
        <w:pStyle w:val="21"/>
        <w:numPr>
          <w:ilvl w:val="0"/>
          <w:numId w:val="6"/>
        </w:numPr>
        <w:snapToGrid w:val="0"/>
        <w:spacing w:line="360" w:lineRule="auto"/>
        <w:ind w:left="343" w:leftChars="125" w:hanging="43" w:hangingChars="17"/>
        <w:rPr>
          <w:rFonts w:hint="eastAsia" w:ascii="宋体" w:hAnsi="宋体" w:eastAsia="宋体" w:cs="宋体"/>
          <w:spacing w:val="-23"/>
          <w:sz w:val="30"/>
          <w:szCs w:val="30"/>
        </w:rPr>
      </w:pPr>
      <w:r>
        <w:rPr>
          <w:rFonts w:hint="eastAsia" w:ascii="宋体" w:hAnsi="宋体" w:eastAsia="宋体" w:cs="宋体"/>
          <w:spacing w:val="-23"/>
          <w:sz w:val="30"/>
          <w:szCs w:val="30"/>
        </w:rPr>
        <w:t>授权委托书或法定代表人（单位负责人、自然人本人）身份证明</w:t>
      </w:r>
      <w:r>
        <w:rPr>
          <w:rFonts w:hint="eastAsia" w:ascii="宋体" w:hAnsi="宋体" w:eastAsia="宋体" w:cs="宋体"/>
          <w:spacing w:val="-17"/>
          <w:sz w:val="30"/>
          <w:szCs w:val="30"/>
        </w:rPr>
        <w:t>…</w:t>
      </w:r>
      <w:r>
        <w:rPr>
          <w:rFonts w:hint="eastAsia" w:ascii="宋体" w:hAnsi="宋体" w:eastAsia="宋体" w:cs="宋体"/>
          <w:spacing w:val="-23"/>
          <w:sz w:val="30"/>
          <w:szCs w:val="30"/>
        </w:rPr>
        <w:t>（页码）</w:t>
      </w:r>
    </w:p>
    <w:p w14:paraId="09DAA3C6">
      <w:pPr>
        <w:pStyle w:val="21"/>
        <w:numPr>
          <w:ilvl w:val="0"/>
          <w:numId w:val="6"/>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符合性审查资料……………………………………………………（页码）</w:t>
      </w:r>
    </w:p>
    <w:p w14:paraId="35500C8A">
      <w:pPr>
        <w:pStyle w:val="21"/>
        <w:numPr>
          <w:ilvl w:val="0"/>
          <w:numId w:val="6"/>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评标标准相应的商务技术资料……………………………………（页码）（</w:t>
      </w:r>
      <w:r>
        <w:rPr>
          <w:rFonts w:hint="eastAsia" w:ascii="宋体" w:hAnsi="宋体" w:eastAsia="宋体" w:cs="宋体"/>
          <w:spacing w:val="-17"/>
          <w:sz w:val="30"/>
          <w:szCs w:val="30"/>
          <w:lang w:val="en-US" w:eastAsia="zh-CN"/>
        </w:rPr>
        <w:t>5</w:t>
      </w:r>
      <w:r>
        <w:rPr>
          <w:rFonts w:hint="eastAsia" w:ascii="宋体" w:hAnsi="宋体" w:eastAsia="宋体" w:cs="宋体"/>
          <w:spacing w:val="-17"/>
          <w:sz w:val="30"/>
          <w:szCs w:val="30"/>
        </w:rPr>
        <w:t>）投标标的清单………………………………………………………</w:t>
      </w:r>
      <w:r>
        <w:rPr>
          <w:rFonts w:hint="eastAsia" w:ascii="宋体" w:hAnsi="宋体" w:eastAsia="宋体" w:cs="宋体"/>
          <w:spacing w:val="-17"/>
          <w:sz w:val="30"/>
          <w:szCs w:val="30"/>
          <w:lang w:val="en-US" w:eastAsia="zh-CN"/>
        </w:rPr>
        <w:t xml:space="preserve"> </w:t>
      </w:r>
      <w:r>
        <w:rPr>
          <w:rFonts w:hint="eastAsia" w:ascii="宋体" w:hAnsi="宋体" w:eastAsia="宋体" w:cs="宋体"/>
          <w:spacing w:val="-17"/>
          <w:sz w:val="30"/>
          <w:szCs w:val="30"/>
        </w:rPr>
        <w:t>（页码）（</w:t>
      </w:r>
      <w:r>
        <w:rPr>
          <w:rFonts w:hint="eastAsia" w:ascii="宋体" w:hAnsi="宋体" w:eastAsia="宋体" w:cs="宋体"/>
          <w:spacing w:val="-17"/>
          <w:sz w:val="30"/>
          <w:szCs w:val="30"/>
          <w:lang w:val="en-US" w:eastAsia="zh-CN"/>
        </w:rPr>
        <w:t>6</w:t>
      </w:r>
      <w:r>
        <w:rPr>
          <w:rFonts w:hint="eastAsia" w:ascii="宋体" w:hAnsi="宋体" w:eastAsia="宋体" w:cs="宋体"/>
          <w:spacing w:val="-17"/>
          <w:sz w:val="30"/>
          <w:szCs w:val="30"/>
        </w:rPr>
        <w:t>）商务技术偏离表……………………………………………………（页码）</w:t>
      </w:r>
    </w:p>
    <w:p w14:paraId="10D68A81">
      <w:pPr>
        <w:pStyle w:val="21"/>
        <w:numPr>
          <w:ilvl w:val="0"/>
          <w:numId w:val="0"/>
        </w:numPr>
        <w:snapToGrid w:val="0"/>
        <w:spacing w:line="360" w:lineRule="auto"/>
        <w:ind w:leftChars="108"/>
        <w:rPr>
          <w:rFonts w:hint="eastAsia" w:ascii="宋体" w:hAnsi="宋体" w:eastAsia="宋体" w:cs="宋体"/>
          <w:spacing w:val="-17"/>
          <w:sz w:val="30"/>
          <w:szCs w:val="30"/>
          <w:lang w:val="en-US" w:eastAsia="zh-CN"/>
        </w:rPr>
      </w:pPr>
      <w:r>
        <w:rPr>
          <w:rFonts w:hint="eastAsia" w:ascii="宋体" w:hAnsi="宋体" w:eastAsia="宋体" w:cs="宋体"/>
          <w:spacing w:val="-17"/>
          <w:sz w:val="30"/>
          <w:szCs w:val="30"/>
          <w:lang w:val="zh-CN"/>
        </w:rPr>
        <w:t>（</w:t>
      </w:r>
      <w:r>
        <w:rPr>
          <w:rFonts w:hint="eastAsia" w:ascii="宋体" w:hAnsi="宋体" w:eastAsia="宋体" w:cs="宋体"/>
          <w:spacing w:val="-17"/>
          <w:sz w:val="30"/>
          <w:szCs w:val="30"/>
          <w:lang w:val="en-US" w:eastAsia="zh-CN"/>
        </w:rPr>
        <w:t>7</w:t>
      </w:r>
      <w:r>
        <w:rPr>
          <w:rFonts w:hint="eastAsia" w:ascii="宋体" w:hAnsi="宋体" w:eastAsia="宋体" w:cs="宋体"/>
          <w:spacing w:val="-17"/>
          <w:sz w:val="30"/>
          <w:szCs w:val="30"/>
          <w:lang w:val="zh-CN"/>
        </w:rPr>
        <w:t>）政府采购供应商廉洁自律承诺书</w:t>
      </w:r>
      <w:r>
        <w:rPr>
          <w:rFonts w:hint="eastAsia" w:ascii="宋体" w:hAnsi="宋体" w:eastAsia="宋体" w:cs="宋体"/>
          <w:spacing w:val="-17"/>
          <w:sz w:val="30"/>
          <w:szCs w:val="30"/>
        </w:rPr>
        <w:t>…………………………………（页码）</w:t>
      </w:r>
    </w:p>
    <w:p w14:paraId="50B8DB05">
      <w:pPr>
        <w:rPr>
          <w:rFonts w:hint="eastAsia" w:ascii="宋体" w:hAnsi="宋体" w:eastAsia="宋体" w:cs="宋体"/>
          <w:lang w:val="en-US" w:eastAsia="zh-CN"/>
        </w:rPr>
      </w:pPr>
    </w:p>
    <w:p w14:paraId="78F5BC77">
      <w:pPr>
        <w:pStyle w:val="47"/>
        <w:rPr>
          <w:rFonts w:hint="eastAsia" w:ascii="宋体" w:hAnsi="宋体" w:eastAsia="宋体" w:cs="宋体"/>
          <w:lang w:val="en-US" w:eastAsia="zh-CN"/>
        </w:rPr>
      </w:pPr>
    </w:p>
    <w:p w14:paraId="69CA5582">
      <w:pPr>
        <w:pStyle w:val="16"/>
        <w:rPr>
          <w:rFonts w:hint="eastAsia" w:ascii="宋体" w:hAnsi="宋体" w:eastAsia="宋体" w:cs="宋体"/>
          <w:lang w:val="en-US" w:eastAsia="zh-CN"/>
        </w:rPr>
      </w:pPr>
    </w:p>
    <w:p w14:paraId="399429F5">
      <w:pPr>
        <w:pStyle w:val="17"/>
        <w:rPr>
          <w:rFonts w:hint="eastAsia" w:ascii="宋体" w:hAnsi="宋体" w:eastAsia="宋体" w:cs="宋体"/>
          <w:lang w:val="en-US" w:eastAsia="zh-CN"/>
        </w:rPr>
      </w:pPr>
    </w:p>
    <w:p w14:paraId="0AF61C80">
      <w:pPr>
        <w:pStyle w:val="18"/>
        <w:rPr>
          <w:rFonts w:hint="eastAsia" w:ascii="宋体" w:hAnsi="宋体" w:eastAsia="宋体" w:cs="宋体"/>
          <w:lang w:val="en-US" w:eastAsia="zh-CN"/>
        </w:rPr>
      </w:pPr>
    </w:p>
    <w:p w14:paraId="463C5FBC">
      <w:pPr>
        <w:rPr>
          <w:rFonts w:hint="eastAsia" w:ascii="宋体" w:hAnsi="宋体" w:eastAsia="宋体" w:cs="宋体"/>
          <w:lang w:val="en-US" w:eastAsia="zh-CN"/>
        </w:rPr>
      </w:pPr>
    </w:p>
    <w:p w14:paraId="6CCD4935">
      <w:pPr>
        <w:pStyle w:val="47"/>
        <w:rPr>
          <w:rFonts w:hint="eastAsia" w:ascii="宋体" w:hAnsi="宋体" w:eastAsia="宋体" w:cs="宋体"/>
          <w:lang w:val="en-US" w:eastAsia="zh-CN"/>
        </w:rPr>
      </w:pPr>
    </w:p>
    <w:p w14:paraId="6AF405A6">
      <w:pPr>
        <w:pStyle w:val="16"/>
        <w:rPr>
          <w:rFonts w:hint="eastAsia" w:ascii="宋体" w:hAnsi="宋体" w:eastAsia="宋体" w:cs="宋体"/>
          <w:lang w:val="en-US" w:eastAsia="zh-CN"/>
        </w:rPr>
      </w:pPr>
    </w:p>
    <w:p w14:paraId="270BCCC3">
      <w:pPr>
        <w:pStyle w:val="17"/>
        <w:rPr>
          <w:rFonts w:hint="eastAsia" w:ascii="宋体" w:hAnsi="宋体" w:eastAsia="宋体" w:cs="宋体"/>
          <w:lang w:val="en-US" w:eastAsia="zh-CN"/>
        </w:rPr>
      </w:pPr>
    </w:p>
    <w:p w14:paraId="2F1D49C8">
      <w:pPr>
        <w:pStyle w:val="18"/>
        <w:rPr>
          <w:rFonts w:hint="eastAsia" w:ascii="宋体" w:hAnsi="宋体" w:eastAsia="宋体" w:cs="宋体"/>
          <w:lang w:val="en-US" w:eastAsia="zh-CN"/>
        </w:rPr>
      </w:pPr>
    </w:p>
    <w:p w14:paraId="3B70B49D">
      <w:pPr>
        <w:rPr>
          <w:rFonts w:hint="eastAsia" w:ascii="宋体" w:hAnsi="宋体" w:eastAsia="宋体" w:cs="宋体"/>
          <w:lang w:val="en-US" w:eastAsia="zh-CN"/>
        </w:rPr>
      </w:pPr>
    </w:p>
    <w:p w14:paraId="1D60C308">
      <w:pPr>
        <w:pStyle w:val="47"/>
        <w:rPr>
          <w:rFonts w:hint="eastAsia" w:ascii="宋体" w:hAnsi="宋体" w:eastAsia="宋体" w:cs="宋体"/>
          <w:lang w:val="en-US" w:eastAsia="zh-CN"/>
        </w:rPr>
      </w:pPr>
    </w:p>
    <w:p w14:paraId="73D7CDE8">
      <w:pPr>
        <w:pStyle w:val="16"/>
        <w:rPr>
          <w:rFonts w:hint="eastAsia" w:ascii="宋体" w:hAnsi="宋体" w:eastAsia="宋体" w:cs="宋体"/>
          <w:lang w:val="en-US" w:eastAsia="zh-CN"/>
        </w:rPr>
      </w:pPr>
    </w:p>
    <w:p w14:paraId="131A5FC1">
      <w:pPr>
        <w:snapToGrid w:val="0"/>
        <w:spacing w:line="360" w:lineRule="auto"/>
        <w:ind w:left="0" w:leftChars="0" w:firstLine="0" w:firstLineChars="0"/>
        <w:outlineLvl w:val="0"/>
        <w:rPr>
          <w:rFonts w:hint="eastAsia" w:ascii="宋体" w:hAnsi="宋体" w:eastAsia="宋体" w:cs="宋体"/>
          <w:b/>
          <w:kern w:val="0"/>
          <w:sz w:val="32"/>
          <w:szCs w:val="32"/>
        </w:rPr>
      </w:pPr>
    </w:p>
    <w:p w14:paraId="3C3BA308">
      <w:pPr>
        <w:snapToGrid w:val="0"/>
        <w:spacing w:line="360" w:lineRule="auto"/>
        <w:ind w:firstLine="3855" w:firstLineChars="1200"/>
        <w:outlineLvl w:val="0"/>
        <w:rPr>
          <w:rFonts w:hint="eastAsia" w:ascii="宋体" w:hAnsi="宋体" w:eastAsia="宋体" w:cs="宋体"/>
          <w:b/>
          <w:kern w:val="0"/>
          <w:sz w:val="32"/>
          <w:szCs w:val="32"/>
        </w:rPr>
      </w:pPr>
    </w:p>
    <w:p w14:paraId="7B0C779F">
      <w:pPr>
        <w:snapToGrid w:val="0"/>
        <w:spacing w:line="360" w:lineRule="auto"/>
        <w:ind w:firstLine="3855" w:firstLineChars="1200"/>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40E7E90C">
      <w:pPr>
        <w:keepNext w:val="0"/>
        <w:keepLines w:val="0"/>
        <w:pageBreakBefore w:val="0"/>
        <w:widowControl/>
        <w:kinsoku/>
        <w:wordWrap/>
        <w:overflowPunct/>
        <w:topLinePunct w:val="0"/>
        <w:autoSpaceDE/>
        <w:autoSpaceDN/>
        <w:bidi w:val="0"/>
        <w:adjustRightInd/>
        <w:snapToGrid w:val="0"/>
        <w:spacing w:line="380" w:lineRule="exact"/>
        <w:textAlignment w:val="auto"/>
        <w:rPr>
          <w:rFonts w:hint="eastAsia" w:ascii="宋体" w:hAnsi="宋体" w:eastAsia="宋体" w:cs="宋体"/>
          <w:sz w:val="24"/>
        </w:rPr>
      </w:pPr>
      <w:r>
        <w:rPr>
          <w:rFonts w:hint="eastAsia" w:ascii="宋体" w:hAnsi="宋体" w:eastAsia="宋体" w:cs="宋体"/>
          <w:sz w:val="24"/>
        </w:rPr>
        <w:t>（采购人）、（采购代理机构）：</w:t>
      </w:r>
    </w:p>
    <w:p w14:paraId="686A6A96">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14:paraId="15E45A7A">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1、我方承诺投标有效期从提交投标文件的截止之日</w:t>
      </w:r>
      <w:r>
        <w:rPr>
          <w:rFonts w:hint="eastAsia" w:ascii="宋体" w:hAnsi="宋体" w:eastAsia="宋体" w:cs="宋体"/>
          <w:sz w:val="24"/>
          <w:highlight w:val="yellow"/>
        </w:rPr>
        <w:t>起</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0FC75FE0">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2、我方的投标文件包括以下内容：</w:t>
      </w:r>
    </w:p>
    <w:p w14:paraId="22B389B1">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2.1资格文件：</w:t>
      </w:r>
    </w:p>
    <w:p w14:paraId="540BCC24">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2.1.1提供有效的营业执照副本并加盖公章（或事业单位法人登记证或其他工商等登记证明材料）；</w:t>
      </w:r>
    </w:p>
    <w:p w14:paraId="2A295184">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2.1.2承诺函</w:t>
      </w:r>
      <w:r>
        <w:rPr>
          <w:rFonts w:hint="eastAsia" w:ascii="宋体" w:hAnsi="宋体" w:eastAsia="宋体" w:cs="宋体"/>
          <w:snapToGrid w:val="0"/>
          <w:kern w:val="28"/>
          <w:sz w:val="24"/>
          <w:szCs w:val="20"/>
        </w:rPr>
        <w:t>；</w:t>
      </w:r>
    </w:p>
    <w:p w14:paraId="3AE7F944">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本项目的特定资格要求（如果有）。</w:t>
      </w:r>
    </w:p>
    <w:p w14:paraId="67145E99">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6E5B25E0">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5EBE8780">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5ED0A427">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3</w:t>
      </w:r>
      <w:r>
        <w:rPr>
          <w:rFonts w:hint="eastAsia" w:ascii="宋体" w:hAnsi="宋体" w:eastAsia="宋体" w:cs="宋体"/>
          <w:sz w:val="24"/>
        </w:rPr>
        <w:t>符合性审查资料；</w:t>
      </w:r>
    </w:p>
    <w:p w14:paraId="36F13D56">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p>
    <w:p w14:paraId="055EB7F1">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5</w:t>
      </w:r>
      <w:r>
        <w:rPr>
          <w:rFonts w:hint="eastAsia" w:ascii="宋体" w:hAnsi="宋体" w:eastAsia="宋体" w:cs="宋体"/>
          <w:sz w:val="24"/>
        </w:rPr>
        <w:t>投标标的清单；</w:t>
      </w:r>
    </w:p>
    <w:p w14:paraId="3AA0295D">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6</w:t>
      </w:r>
      <w:r>
        <w:rPr>
          <w:rFonts w:hint="eastAsia" w:ascii="宋体" w:hAnsi="宋体" w:eastAsia="宋体" w:cs="宋体"/>
          <w:sz w:val="24"/>
        </w:rPr>
        <w:t>商务技术偏离表；</w:t>
      </w:r>
    </w:p>
    <w:p w14:paraId="47CAC86B">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p>
    <w:p w14:paraId="6D986BAF">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1FE83C12">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2.3.1</w:t>
      </w:r>
      <w:r>
        <w:rPr>
          <w:rFonts w:hint="eastAsia" w:ascii="宋体" w:hAnsi="宋体" w:eastAsia="宋体" w:cs="宋体"/>
          <w:sz w:val="24"/>
          <w:lang w:eastAsia="zh-CN"/>
        </w:rPr>
        <w:t>开标一览表</w:t>
      </w:r>
      <w:r>
        <w:rPr>
          <w:rFonts w:hint="eastAsia" w:ascii="宋体" w:hAnsi="宋体" w:eastAsia="宋体" w:cs="宋体"/>
          <w:sz w:val="24"/>
        </w:rPr>
        <w:t>（报价表）；</w:t>
      </w:r>
    </w:p>
    <w:p w14:paraId="5D17CCE2">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2.3.</w:t>
      </w:r>
      <w:r>
        <w:rPr>
          <w:rFonts w:hint="eastAsia" w:ascii="宋体" w:hAnsi="宋体" w:eastAsia="宋体" w:cs="宋体"/>
          <w:sz w:val="24"/>
          <w:lang w:val="en-US" w:eastAsia="zh-CN"/>
        </w:rPr>
        <w:t>2</w:t>
      </w:r>
      <w:r>
        <w:rPr>
          <w:rFonts w:hint="eastAsia" w:ascii="宋体" w:hAnsi="宋体" w:eastAsia="宋体" w:cs="宋体"/>
          <w:sz w:val="24"/>
          <w:lang w:eastAsia="zh-CN"/>
        </w:rPr>
        <w:t>投标人针对报价需要说明的其他文件和说明</w:t>
      </w:r>
      <w:r>
        <w:rPr>
          <w:rFonts w:hint="eastAsia" w:ascii="宋体" w:hAnsi="宋体" w:eastAsia="宋体" w:cs="宋体"/>
          <w:sz w:val="24"/>
        </w:rPr>
        <w:t>；</w:t>
      </w:r>
    </w:p>
    <w:p w14:paraId="6E0CAEE6">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4B3A6CA1">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4、如我方中标，我方承诺：</w:t>
      </w:r>
    </w:p>
    <w:p w14:paraId="725B9B42">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0222372E">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76CE69C2">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57C902E6">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34A52BDF">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16705782">
      <w:pPr>
        <w:keepNext w:val="0"/>
        <w:keepLines w:val="0"/>
        <w:pageBreakBefore w:val="0"/>
        <w:widowControl/>
        <w:kinsoku/>
        <w:wordWrap/>
        <w:overflowPunct/>
        <w:topLinePunct w:val="0"/>
        <w:autoSpaceDE/>
        <w:autoSpaceDN/>
        <w:bidi w:val="0"/>
        <w:adjustRightInd/>
        <w:spacing w:line="380" w:lineRule="exact"/>
        <w:ind w:firstLine="3600" w:firstLineChars="1500"/>
        <w:textAlignment w:val="auto"/>
        <w:rPr>
          <w:rFonts w:hint="eastAsia" w:ascii="宋体" w:hAnsi="宋体" w:eastAsia="宋体" w:cs="宋体"/>
          <w:sz w:val="24"/>
        </w:rPr>
      </w:pPr>
      <w:r>
        <w:rPr>
          <w:rFonts w:hint="eastAsia" w:ascii="宋体" w:hAnsi="宋体" w:eastAsia="宋体" w:cs="宋体"/>
          <w:sz w:val="24"/>
        </w:rPr>
        <w:t xml:space="preserve">投标人名称（电子签名）：                          </w:t>
      </w:r>
    </w:p>
    <w:p w14:paraId="01979C4B">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宋体" w:hAnsi="宋体" w:eastAsia="宋体" w:cs="宋体"/>
          <w:sz w:val="24"/>
        </w:rPr>
      </w:pPr>
      <w:r>
        <w:rPr>
          <w:rFonts w:hint="eastAsia" w:ascii="宋体" w:hAnsi="宋体" w:eastAsia="宋体" w:cs="宋体"/>
          <w:sz w:val="24"/>
        </w:rPr>
        <w:t xml:space="preserve">     日期：  年   月   日</w:t>
      </w:r>
    </w:p>
    <w:p w14:paraId="09FD2047">
      <w:pPr>
        <w:keepNext w:val="0"/>
        <w:keepLines w:val="0"/>
        <w:pageBreakBefore w:val="0"/>
        <w:widowControl/>
        <w:kinsoku/>
        <w:wordWrap/>
        <w:overflowPunct/>
        <w:topLinePunct w:val="0"/>
        <w:autoSpaceDE/>
        <w:autoSpaceDN/>
        <w:bidi w:val="0"/>
        <w:adjustRightInd/>
        <w:snapToGrid w:val="0"/>
        <w:spacing w:line="380" w:lineRule="exact"/>
        <w:ind w:left="480" w:leftChars="200" w:firstLine="4200" w:firstLineChars="1750"/>
        <w:textAlignment w:val="auto"/>
        <w:rPr>
          <w:rFonts w:hint="eastAsia" w:ascii="宋体" w:hAnsi="宋体" w:eastAsia="宋体" w:cs="宋体"/>
          <w:kern w:val="0"/>
          <w:sz w:val="24"/>
          <w:u w:val="single"/>
        </w:rPr>
      </w:pPr>
    </w:p>
    <w:p w14:paraId="43BC8A70">
      <w:pPr>
        <w:keepNext w:val="0"/>
        <w:keepLines w:val="0"/>
        <w:pageBreakBefore w:val="0"/>
        <w:widowControl/>
        <w:kinsoku/>
        <w:wordWrap/>
        <w:overflowPunct/>
        <w:topLinePunct w:val="0"/>
        <w:autoSpaceDE/>
        <w:autoSpaceDN/>
        <w:bidi w:val="0"/>
        <w:adjustRightInd/>
        <w:spacing w:line="380" w:lineRule="exact"/>
        <w:ind w:right="420"/>
        <w:textAlignment w:val="auto"/>
        <w:rPr>
          <w:rFonts w:hint="eastAsia" w:ascii="宋体" w:hAnsi="宋体" w:eastAsia="宋体" w:cs="宋体"/>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sz w:val="24"/>
        </w:rPr>
        <w:t>注：按本格式和要求提供。</w:t>
      </w:r>
    </w:p>
    <w:p w14:paraId="76DAA89F">
      <w:pPr>
        <w:ind w:left="0" w:leftChars="0" w:firstLine="0" w:firstLineChars="0"/>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3CC9611F">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01706305">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22E5F21A">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76F0DB22">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00B4CC19">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729CC4A1">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6E85D47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2EDC5255">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1470E560">
      <w:pPr>
        <w:snapToGrid w:val="0"/>
        <w:spacing w:line="360" w:lineRule="auto"/>
        <w:rPr>
          <w:rFonts w:hint="eastAsia" w:ascii="宋体" w:hAnsi="宋体" w:eastAsia="宋体" w:cs="宋体"/>
          <w:sz w:val="24"/>
        </w:rPr>
      </w:pPr>
    </w:p>
    <w:p w14:paraId="43402C95">
      <w:pPr>
        <w:snapToGrid w:val="0"/>
        <w:spacing w:line="360" w:lineRule="auto"/>
        <w:rPr>
          <w:rFonts w:hint="eastAsia" w:ascii="宋体" w:hAnsi="宋体" w:eastAsia="宋体" w:cs="宋体"/>
          <w:sz w:val="24"/>
        </w:rPr>
      </w:pPr>
    </w:p>
    <w:p w14:paraId="5F1ADD5E">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14:paraId="2440DA0F">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086A947D">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15335C0C">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0CE262A3">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391BD0D8">
      <w:pPr>
        <w:ind w:left="0" w:leftChars="0" w:firstLine="0" w:firstLineChars="0"/>
        <w:rPr>
          <w:rFonts w:hint="eastAsia" w:ascii="宋体" w:hAnsi="宋体" w:eastAsia="宋体" w:cs="宋体"/>
        </w:rPr>
      </w:pPr>
    </w:p>
    <w:p w14:paraId="4A1A37EB">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5CA16E1">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545C9FE8">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2224CBAB">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11865143">
      <w:pPr>
        <w:autoSpaceDE w:val="0"/>
        <w:autoSpaceDN w:val="0"/>
        <w:spacing w:line="360" w:lineRule="auto"/>
        <w:jc w:val="center"/>
        <w:rPr>
          <w:rFonts w:hint="eastAsia" w:ascii="宋体" w:hAnsi="宋体" w:eastAsia="宋体" w:cs="宋体"/>
          <w:b/>
          <w:kern w:val="0"/>
          <w:sz w:val="32"/>
          <w:szCs w:val="32"/>
          <w:lang w:val="zh-CN"/>
        </w:rPr>
      </w:pPr>
    </w:p>
    <w:p w14:paraId="60EDA7D7">
      <w:pPr>
        <w:autoSpaceDE w:val="0"/>
        <w:autoSpaceDN w:val="0"/>
        <w:spacing w:line="360" w:lineRule="auto"/>
        <w:jc w:val="center"/>
        <w:rPr>
          <w:rFonts w:hint="eastAsia" w:ascii="宋体" w:hAnsi="宋体" w:eastAsia="宋体" w:cs="宋体"/>
          <w:b/>
          <w:kern w:val="0"/>
          <w:sz w:val="32"/>
          <w:szCs w:val="32"/>
          <w:lang w:val="zh-CN"/>
        </w:rPr>
      </w:pPr>
    </w:p>
    <w:p w14:paraId="4D902B9E">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5E354D88">
      <w:pPr>
        <w:pStyle w:val="52"/>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D3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17300F48">
            <w:pPr>
              <w:pStyle w:val="52"/>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62D9950E">
            <w:pPr>
              <w:pStyle w:val="52"/>
              <w:adjustRightInd w:val="0"/>
              <w:spacing w:line="360" w:lineRule="auto"/>
              <w:rPr>
                <w:rFonts w:hint="eastAsia" w:ascii="宋体" w:hAnsi="宋体" w:eastAsia="宋体" w:cs="宋体"/>
                <w:bCs/>
                <w:sz w:val="24"/>
              </w:rPr>
            </w:pPr>
          </w:p>
        </w:tc>
      </w:tr>
    </w:tbl>
    <w:p w14:paraId="40D7286B">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74AE54F0">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3A6CC4ED">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EB97893">
      <w:pPr>
        <w:jc w:val="center"/>
        <w:rPr>
          <w:rFonts w:hint="eastAsia" w:ascii="宋体" w:hAnsi="宋体" w:eastAsia="宋体" w:cs="宋体"/>
          <w:b/>
          <w:kern w:val="0"/>
          <w:sz w:val="32"/>
          <w:szCs w:val="32"/>
        </w:rPr>
      </w:pPr>
    </w:p>
    <w:p w14:paraId="613050C1">
      <w:pPr>
        <w:jc w:val="center"/>
        <w:rPr>
          <w:rFonts w:hint="eastAsia" w:ascii="宋体" w:hAnsi="宋体" w:eastAsia="宋体" w:cs="宋体"/>
          <w:b/>
          <w:kern w:val="0"/>
          <w:sz w:val="32"/>
          <w:szCs w:val="32"/>
        </w:rPr>
      </w:pPr>
    </w:p>
    <w:p w14:paraId="647C0C47">
      <w:pPr>
        <w:jc w:val="center"/>
        <w:rPr>
          <w:rFonts w:hint="eastAsia" w:ascii="宋体" w:hAnsi="宋体" w:eastAsia="宋体" w:cs="宋体"/>
          <w:b/>
          <w:kern w:val="0"/>
          <w:sz w:val="32"/>
          <w:szCs w:val="32"/>
        </w:rPr>
      </w:pPr>
    </w:p>
    <w:p w14:paraId="21522167">
      <w:pPr>
        <w:jc w:val="center"/>
        <w:rPr>
          <w:rFonts w:hint="eastAsia" w:ascii="宋体" w:hAnsi="宋体" w:eastAsia="宋体" w:cs="宋体"/>
          <w:b/>
          <w:kern w:val="0"/>
          <w:sz w:val="32"/>
          <w:szCs w:val="32"/>
        </w:rPr>
      </w:pPr>
    </w:p>
    <w:p w14:paraId="4C46199D">
      <w:pPr>
        <w:jc w:val="center"/>
        <w:rPr>
          <w:rFonts w:hint="eastAsia" w:ascii="宋体" w:hAnsi="宋体" w:eastAsia="宋体" w:cs="宋体"/>
          <w:b/>
          <w:kern w:val="0"/>
          <w:sz w:val="32"/>
          <w:szCs w:val="32"/>
        </w:rPr>
      </w:pPr>
    </w:p>
    <w:p w14:paraId="30865BC0">
      <w:pPr>
        <w:jc w:val="center"/>
        <w:rPr>
          <w:rFonts w:hint="eastAsia" w:ascii="宋体" w:hAnsi="宋体" w:eastAsia="宋体" w:cs="宋体"/>
          <w:b/>
          <w:kern w:val="0"/>
          <w:sz w:val="32"/>
          <w:szCs w:val="32"/>
        </w:rPr>
      </w:pPr>
    </w:p>
    <w:p w14:paraId="41F931DC">
      <w:pPr>
        <w:jc w:val="center"/>
        <w:rPr>
          <w:rFonts w:hint="eastAsia" w:ascii="宋体" w:hAnsi="宋体" w:eastAsia="宋体" w:cs="宋体"/>
          <w:b/>
          <w:kern w:val="0"/>
          <w:sz w:val="32"/>
          <w:szCs w:val="32"/>
        </w:rPr>
      </w:pPr>
    </w:p>
    <w:p w14:paraId="57B418BE">
      <w:pPr>
        <w:jc w:val="center"/>
        <w:rPr>
          <w:rFonts w:hint="eastAsia" w:ascii="宋体" w:hAnsi="宋体" w:eastAsia="宋体" w:cs="宋体"/>
          <w:b/>
          <w:kern w:val="0"/>
          <w:sz w:val="32"/>
          <w:szCs w:val="32"/>
        </w:rPr>
      </w:pPr>
    </w:p>
    <w:p w14:paraId="70F53C58">
      <w:pPr>
        <w:snapToGrid w:val="0"/>
        <w:spacing w:line="360" w:lineRule="auto"/>
        <w:ind w:left="0" w:leftChars="0" w:firstLine="0" w:firstLineChars="0"/>
        <w:rPr>
          <w:rFonts w:hint="eastAsia" w:ascii="宋体" w:hAnsi="宋体" w:eastAsia="宋体" w:cs="宋体"/>
          <w:kern w:val="0"/>
          <w:sz w:val="24"/>
        </w:rPr>
      </w:pPr>
    </w:p>
    <w:p w14:paraId="0028CFD5">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三</w:t>
      </w:r>
      <w:r>
        <w:rPr>
          <w:rFonts w:hint="eastAsia" w:ascii="宋体" w:hAnsi="宋体" w:eastAsia="宋体" w:cs="宋体"/>
          <w:b/>
          <w:kern w:val="0"/>
          <w:sz w:val="32"/>
          <w:szCs w:val="32"/>
        </w:rPr>
        <w:t>、符合性审查资料</w:t>
      </w:r>
    </w:p>
    <w:p w14:paraId="4F073A44">
      <w:pPr>
        <w:jc w:val="center"/>
        <w:rPr>
          <w:rFonts w:hint="eastAsia" w:ascii="宋体" w:hAnsi="宋体" w:eastAsia="宋体" w:cs="宋体"/>
          <w:b/>
          <w:kern w:val="0"/>
          <w:sz w:val="32"/>
          <w:szCs w:val="32"/>
        </w:rPr>
      </w:pPr>
    </w:p>
    <w:tbl>
      <w:tblPr>
        <w:tblStyle w:val="28"/>
        <w:tblW w:w="983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4991"/>
        <w:gridCol w:w="2551"/>
        <w:gridCol w:w="1418"/>
      </w:tblGrid>
      <w:tr w14:paraId="6B08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8" w:type="dxa"/>
            <w:noWrap w:val="0"/>
            <w:vAlign w:val="center"/>
          </w:tcPr>
          <w:p w14:paraId="64231B6A">
            <w:pPr>
              <w:snapToGrid w:val="0"/>
              <w:spacing w:line="240" w:lineRule="atLeast"/>
              <w:ind w:left="0" w:leftChars="0" w:firstLine="0" w:firstLineChars="0"/>
              <w:jc w:val="center"/>
              <w:rPr>
                <w:rFonts w:hint="eastAsia" w:ascii="宋体" w:hAnsi="宋体" w:eastAsia="宋体" w:cs="宋体"/>
                <w:b/>
                <w:sz w:val="24"/>
              </w:rPr>
            </w:pPr>
            <w:r>
              <w:rPr>
                <w:rFonts w:hint="eastAsia" w:ascii="宋体" w:hAnsi="宋体" w:eastAsia="宋体" w:cs="宋体"/>
                <w:b/>
                <w:sz w:val="24"/>
              </w:rPr>
              <w:t>序号</w:t>
            </w:r>
          </w:p>
        </w:tc>
        <w:tc>
          <w:tcPr>
            <w:tcW w:w="4991" w:type="dxa"/>
            <w:noWrap w:val="0"/>
            <w:vAlign w:val="center"/>
          </w:tcPr>
          <w:p w14:paraId="22822F48">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noWrap w:val="0"/>
            <w:vAlign w:val="center"/>
          </w:tcPr>
          <w:p w14:paraId="28ADBED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noWrap w:val="0"/>
            <w:vAlign w:val="center"/>
          </w:tcPr>
          <w:p w14:paraId="6C4930E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73801FC2">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6A6B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14:paraId="5CBAB071">
            <w:pPr>
              <w:jc w:val="center"/>
              <w:rPr>
                <w:rFonts w:hint="eastAsia" w:ascii="宋体" w:hAnsi="宋体" w:eastAsia="宋体" w:cs="宋体"/>
                <w:sz w:val="24"/>
              </w:rPr>
            </w:pPr>
            <w:r>
              <w:rPr>
                <w:rFonts w:hint="eastAsia" w:ascii="宋体" w:hAnsi="宋体" w:eastAsia="宋体" w:cs="宋体"/>
                <w:sz w:val="24"/>
              </w:rPr>
              <w:t>1</w:t>
            </w:r>
          </w:p>
        </w:tc>
        <w:tc>
          <w:tcPr>
            <w:tcW w:w="4991" w:type="dxa"/>
            <w:noWrap w:val="0"/>
            <w:vAlign w:val="center"/>
          </w:tcPr>
          <w:p w14:paraId="629195CE">
            <w:pPr>
              <w:spacing w:line="360" w:lineRule="auto"/>
              <w:jc w:val="both"/>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noWrap w:val="0"/>
            <w:vAlign w:val="center"/>
          </w:tcPr>
          <w:p w14:paraId="35039FA2">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noWrap w:val="0"/>
            <w:vAlign w:val="center"/>
          </w:tcPr>
          <w:p w14:paraId="784DA6B2">
            <w:pPr>
              <w:ind w:left="0" w:leftChars="0" w:firstLine="0" w:firstLineChars="0"/>
              <w:jc w:val="both"/>
              <w:rPr>
                <w:rFonts w:hint="eastAsia" w:ascii="宋体" w:hAnsi="宋体" w:eastAsia="宋体" w:cs="宋体"/>
                <w:sz w:val="24"/>
              </w:rPr>
            </w:pPr>
            <w:r>
              <w:rPr>
                <w:rFonts w:hint="eastAsia" w:ascii="宋体" w:hAnsi="宋体" w:eastAsia="宋体" w:cs="宋体"/>
                <w:sz w:val="24"/>
              </w:rPr>
              <w:t>见投标文件</w:t>
            </w:r>
          </w:p>
          <w:p w14:paraId="5B0E5A7C">
            <w:pPr>
              <w:jc w:val="both"/>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4575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14:paraId="39F6AAB1">
            <w:pPr>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4991" w:type="dxa"/>
            <w:noWrap w:val="0"/>
            <w:vAlign w:val="center"/>
          </w:tcPr>
          <w:p w14:paraId="63B429FF">
            <w:pPr>
              <w:spacing w:line="360" w:lineRule="auto"/>
              <w:jc w:val="both"/>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noWrap w:val="0"/>
            <w:vAlign w:val="center"/>
          </w:tcPr>
          <w:p w14:paraId="39F9D468">
            <w:pPr>
              <w:rPr>
                <w:rFonts w:hint="eastAsia" w:ascii="宋体" w:hAnsi="宋体" w:eastAsia="宋体" w:cs="宋体"/>
                <w:sz w:val="24"/>
              </w:rPr>
            </w:pPr>
            <w:r>
              <w:rPr>
                <w:rFonts w:hint="eastAsia" w:ascii="宋体" w:hAnsi="宋体" w:eastAsia="宋体" w:cs="宋体"/>
                <w:sz w:val="24"/>
              </w:rPr>
              <w:t>投标函</w:t>
            </w:r>
          </w:p>
        </w:tc>
        <w:tc>
          <w:tcPr>
            <w:tcW w:w="1418" w:type="dxa"/>
            <w:noWrap w:val="0"/>
            <w:vAlign w:val="center"/>
          </w:tcPr>
          <w:p w14:paraId="79BFBB6B">
            <w:pPr>
              <w:ind w:left="0" w:leftChars="0" w:firstLine="0" w:firstLineChars="0"/>
              <w:jc w:val="both"/>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03D9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14:paraId="7D46665E">
            <w:pPr>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4991" w:type="dxa"/>
            <w:noWrap w:val="0"/>
            <w:vAlign w:val="center"/>
          </w:tcPr>
          <w:p w14:paraId="5B36A86B">
            <w:pPr>
              <w:spacing w:line="360" w:lineRule="auto"/>
              <w:jc w:val="both"/>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noWrap w:val="0"/>
            <w:vAlign w:val="center"/>
          </w:tcPr>
          <w:p w14:paraId="4F53CB34">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noWrap w:val="0"/>
            <w:vAlign w:val="center"/>
          </w:tcPr>
          <w:p w14:paraId="29BE28A7">
            <w:pPr>
              <w:ind w:left="0" w:leftChars="0" w:firstLine="0" w:firstLineChars="0"/>
              <w:jc w:val="both"/>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5C107417">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161C88D8">
      <w:pPr>
        <w:jc w:val="center"/>
        <w:rPr>
          <w:rFonts w:hint="eastAsia" w:ascii="宋体" w:hAnsi="宋体" w:eastAsia="宋体" w:cs="宋体"/>
          <w:b/>
          <w:kern w:val="0"/>
          <w:sz w:val="32"/>
          <w:szCs w:val="32"/>
        </w:rPr>
      </w:pPr>
    </w:p>
    <w:p w14:paraId="1E5E9635">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54CC5F85">
      <w:pPr>
        <w:jc w:val="center"/>
        <w:rPr>
          <w:rFonts w:hint="eastAsia" w:ascii="宋体" w:hAnsi="宋体" w:eastAsia="宋体" w:cs="宋体"/>
        </w:rPr>
      </w:pPr>
      <w:r>
        <w:rPr>
          <w:rFonts w:hint="eastAsia" w:ascii="宋体" w:hAnsi="宋体" w:eastAsia="宋体" w:cs="宋体"/>
          <w:b/>
          <w:kern w:val="0"/>
          <w:sz w:val="32"/>
          <w:szCs w:val="32"/>
          <w:lang w:eastAsia="zh-CN"/>
        </w:rPr>
        <w:t>四</w:t>
      </w:r>
      <w:r>
        <w:rPr>
          <w:rFonts w:hint="eastAsia" w:ascii="宋体" w:hAnsi="宋体" w:eastAsia="宋体" w:cs="宋体"/>
          <w:b/>
          <w:kern w:val="0"/>
          <w:sz w:val="32"/>
          <w:szCs w:val="32"/>
        </w:rPr>
        <w:t>、评标标准相应的商务技术资料</w:t>
      </w:r>
    </w:p>
    <w:p w14:paraId="02238D24">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45608C32">
      <w:pPr>
        <w:jc w:val="center"/>
        <w:rPr>
          <w:rFonts w:hint="eastAsia" w:ascii="宋体" w:hAnsi="宋体" w:eastAsia="宋体" w:cs="宋体"/>
          <w:b/>
          <w:kern w:val="0"/>
          <w:sz w:val="32"/>
          <w:szCs w:val="32"/>
        </w:rPr>
      </w:pPr>
    </w:p>
    <w:p w14:paraId="23357E07">
      <w:pPr>
        <w:ind w:left="0" w:leftChars="0" w:firstLine="0" w:firstLineChars="0"/>
        <w:jc w:val="both"/>
        <w:rPr>
          <w:rFonts w:hint="eastAsia" w:ascii="宋体" w:hAnsi="宋体" w:eastAsia="宋体" w:cs="宋体"/>
          <w:b/>
          <w:kern w:val="0"/>
          <w:sz w:val="32"/>
          <w:szCs w:val="32"/>
        </w:rPr>
      </w:pPr>
    </w:p>
    <w:p w14:paraId="2EAA853F">
      <w:pPr>
        <w:pStyle w:val="5"/>
        <w:numPr>
          <w:ilvl w:val="2"/>
          <w:numId w:val="0"/>
        </w:numPr>
        <w:ind w:leftChars="0"/>
        <w:rPr>
          <w:rFonts w:hint="eastAsia" w:ascii="宋体" w:hAnsi="宋体" w:eastAsia="宋体" w:cs="宋体"/>
        </w:rPr>
      </w:pPr>
    </w:p>
    <w:p w14:paraId="670B9343">
      <w:pPr>
        <w:rPr>
          <w:rFonts w:hint="eastAsia" w:ascii="宋体" w:hAnsi="宋体" w:eastAsia="宋体" w:cs="宋体"/>
        </w:rPr>
      </w:pPr>
    </w:p>
    <w:p w14:paraId="741706A9">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lang w:eastAsia="zh-CN"/>
        </w:rPr>
        <w:t>五</w:t>
      </w:r>
      <w:r>
        <w:rPr>
          <w:rFonts w:hint="eastAsia" w:ascii="宋体" w:hAnsi="宋体" w:eastAsia="宋体" w:cs="宋体"/>
          <w:b/>
          <w:kern w:val="0"/>
          <w:sz w:val="32"/>
          <w:szCs w:val="32"/>
        </w:rPr>
        <w:t>、投标标的清单</w:t>
      </w:r>
    </w:p>
    <w:tbl>
      <w:tblPr>
        <w:tblStyle w:val="28"/>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369"/>
        <w:gridCol w:w="1647"/>
        <w:gridCol w:w="1770"/>
        <w:gridCol w:w="1732"/>
        <w:gridCol w:w="1673"/>
      </w:tblGrid>
      <w:tr w14:paraId="4C01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6D3BB0E">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49B5585">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647" w:type="dxa"/>
            <w:tcBorders>
              <w:top w:val="single" w:color="auto" w:sz="4" w:space="0"/>
              <w:left w:val="single" w:color="auto" w:sz="4" w:space="0"/>
              <w:bottom w:val="single" w:color="auto" w:sz="4" w:space="0"/>
              <w:right w:val="single" w:color="auto" w:sz="4" w:space="0"/>
            </w:tcBorders>
            <w:noWrap w:val="0"/>
            <w:vAlign w:val="top"/>
          </w:tcPr>
          <w:p w14:paraId="1D9A9EF7">
            <w:pPr>
              <w:spacing w:line="360" w:lineRule="auto"/>
              <w:jc w:val="center"/>
              <w:rPr>
                <w:rFonts w:hint="eastAsia" w:ascii="宋体" w:hAnsi="宋体" w:eastAsia="宋体" w:cs="宋体"/>
                <w:b/>
                <w:sz w:val="24"/>
              </w:rPr>
            </w:pPr>
          </w:p>
          <w:p w14:paraId="2943BA8B">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A55BE77">
            <w:pPr>
              <w:spacing w:line="360" w:lineRule="auto"/>
              <w:jc w:val="center"/>
              <w:rPr>
                <w:rFonts w:hint="eastAsia" w:ascii="宋体" w:hAnsi="宋体" w:eastAsia="宋体" w:cs="宋体"/>
                <w:b/>
                <w:sz w:val="24"/>
              </w:rPr>
            </w:pPr>
            <w:r>
              <w:rPr>
                <w:rFonts w:hint="eastAsia" w:ascii="宋体" w:hAnsi="宋体" w:eastAsia="宋体" w:cs="宋体"/>
                <w:b/>
                <w:sz w:val="24"/>
              </w:rPr>
              <w:t>规格型号</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64628891">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69441AD9">
            <w:pPr>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14:paraId="3C24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FE07034">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96AF09B">
            <w:pPr>
              <w:snapToGrid w:val="0"/>
              <w:spacing w:line="360" w:lineRule="auto"/>
              <w:jc w:val="center"/>
              <w:rPr>
                <w:rFonts w:hint="eastAsia" w:ascii="宋体" w:hAnsi="宋体" w:eastAsia="宋体" w:cs="宋体"/>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14:paraId="002604FF">
            <w:pPr>
              <w:snapToGrid w:val="0"/>
              <w:spacing w:line="360" w:lineRule="auto"/>
              <w:jc w:val="center"/>
              <w:rPr>
                <w:rFonts w:hint="eastAsia" w:ascii="宋体" w:hAnsi="宋体" w:eastAsia="宋体" w:cs="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C39FC57">
            <w:pPr>
              <w:snapToGrid w:val="0"/>
              <w:spacing w:line="360" w:lineRule="auto"/>
              <w:jc w:val="center"/>
              <w:rPr>
                <w:rFonts w:hint="eastAsia" w:ascii="宋体" w:hAnsi="宋体" w:eastAsia="宋体" w:cs="宋体"/>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499DD0D3">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262DF02F">
            <w:pPr>
              <w:spacing w:line="360" w:lineRule="auto"/>
              <w:jc w:val="center"/>
              <w:rPr>
                <w:rFonts w:hint="eastAsia" w:ascii="宋体" w:hAnsi="宋体" w:eastAsia="宋体" w:cs="宋体"/>
                <w:sz w:val="24"/>
              </w:rPr>
            </w:pPr>
          </w:p>
        </w:tc>
      </w:tr>
      <w:tr w14:paraId="6F80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9424A8B">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D512630">
            <w:pPr>
              <w:snapToGrid w:val="0"/>
              <w:spacing w:line="360" w:lineRule="auto"/>
              <w:jc w:val="center"/>
              <w:rPr>
                <w:rFonts w:hint="eastAsia" w:ascii="宋体" w:hAnsi="宋体" w:eastAsia="宋体" w:cs="宋体"/>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14:paraId="23DE6371">
            <w:pPr>
              <w:snapToGrid w:val="0"/>
              <w:spacing w:line="360" w:lineRule="auto"/>
              <w:jc w:val="center"/>
              <w:rPr>
                <w:rFonts w:hint="eastAsia" w:ascii="宋体" w:hAnsi="宋体" w:eastAsia="宋体" w:cs="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3322D33">
            <w:pPr>
              <w:snapToGrid w:val="0"/>
              <w:spacing w:line="360" w:lineRule="auto"/>
              <w:jc w:val="center"/>
              <w:rPr>
                <w:rFonts w:hint="eastAsia" w:ascii="宋体" w:hAnsi="宋体" w:eastAsia="宋体" w:cs="宋体"/>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715D8D5">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52A34CE2">
            <w:pPr>
              <w:spacing w:line="360" w:lineRule="auto"/>
              <w:jc w:val="center"/>
              <w:rPr>
                <w:rFonts w:hint="eastAsia" w:ascii="宋体" w:hAnsi="宋体" w:eastAsia="宋体" w:cs="宋体"/>
                <w:sz w:val="24"/>
              </w:rPr>
            </w:pPr>
          </w:p>
        </w:tc>
      </w:tr>
      <w:tr w14:paraId="5B31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2AA3D8C">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0F49EFB">
            <w:pPr>
              <w:snapToGrid w:val="0"/>
              <w:spacing w:line="360" w:lineRule="auto"/>
              <w:jc w:val="center"/>
              <w:rPr>
                <w:rFonts w:hint="eastAsia" w:ascii="宋体" w:hAnsi="宋体" w:eastAsia="宋体" w:cs="宋体"/>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14:paraId="1CA1F04B">
            <w:pPr>
              <w:snapToGrid w:val="0"/>
              <w:spacing w:line="360" w:lineRule="auto"/>
              <w:jc w:val="center"/>
              <w:rPr>
                <w:rFonts w:hint="eastAsia" w:ascii="宋体" w:hAnsi="宋体" w:eastAsia="宋体" w:cs="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98CBF47">
            <w:pPr>
              <w:snapToGrid w:val="0"/>
              <w:spacing w:line="360" w:lineRule="auto"/>
              <w:jc w:val="center"/>
              <w:rPr>
                <w:rFonts w:hint="eastAsia" w:ascii="宋体" w:hAnsi="宋体" w:eastAsia="宋体" w:cs="宋体"/>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9E30C11">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537BCB74">
            <w:pPr>
              <w:spacing w:line="360" w:lineRule="auto"/>
              <w:jc w:val="center"/>
              <w:rPr>
                <w:rFonts w:hint="eastAsia" w:ascii="宋体" w:hAnsi="宋体" w:eastAsia="宋体" w:cs="宋体"/>
                <w:sz w:val="24"/>
              </w:rPr>
            </w:pPr>
          </w:p>
        </w:tc>
      </w:tr>
    </w:tbl>
    <w:p w14:paraId="0F6DCA2C">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68F0C1B">
      <w:pPr>
        <w:jc w:val="center"/>
        <w:rPr>
          <w:rFonts w:hint="eastAsia" w:ascii="宋体" w:hAnsi="宋体" w:eastAsia="宋体" w:cs="宋体"/>
          <w:b/>
          <w:kern w:val="0"/>
          <w:sz w:val="32"/>
          <w:szCs w:val="32"/>
        </w:rPr>
      </w:pPr>
    </w:p>
    <w:p w14:paraId="777B91E7">
      <w:pPr>
        <w:jc w:val="center"/>
        <w:rPr>
          <w:rFonts w:hint="eastAsia" w:ascii="宋体" w:hAnsi="宋体" w:eastAsia="宋体" w:cs="宋体"/>
          <w:b/>
          <w:kern w:val="0"/>
          <w:sz w:val="32"/>
          <w:szCs w:val="32"/>
        </w:rPr>
      </w:pPr>
    </w:p>
    <w:p w14:paraId="74E8C487">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六</w:t>
      </w:r>
      <w:r>
        <w:rPr>
          <w:rFonts w:hint="eastAsia" w:ascii="宋体" w:hAnsi="宋体" w:eastAsia="宋体" w:cs="宋体"/>
          <w:b/>
          <w:kern w:val="0"/>
          <w:sz w:val="32"/>
          <w:szCs w:val="32"/>
        </w:rPr>
        <w:t>、商务技术偏离表</w:t>
      </w:r>
    </w:p>
    <w:tbl>
      <w:tblPr>
        <w:tblStyle w:val="2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33A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202AC4BD">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noWrap w:val="0"/>
            <w:vAlign w:val="top"/>
          </w:tcPr>
          <w:p w14:paraId="220E320E">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noWrap w:val="0"/>
            <w:vAlign w:val="top"/>
          </w:tcPr>
          <w:p w14:paraId="0E987119">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noWrap w:val="0"/>
            <w:vAlign w:val="top"/>
          </w:tcPr>
          <w:p w14:paraId="6BAA6D63">
            <w:pPr>
              <w:jc w:val="center"/>
              <w:rPr>
                <w:rFonts w:hint="eastAsia" w:ascii="宋体" w:hAnsi="宋体" w:eastAsia="宋体" w:cs="宋体"/>
                <w:b/>
                <w:bCs/>
                <w:sz w:val="24"/>
              </w:rPr>
            </w:pPr>
            <w:r>
              <w:rPr>
                <w:rFonts w:hint="eastAsia" w:ascii="宋体" w:hAnsi="宋体" w:eastAsia="宋体" w:cs="宋体"/>
                <w:b/>
                <w:bCs/>
                <w:sz w:val="24"/>
              </w:rPr>
              <w:t>偏离说明</w:t>
            </w:r>
          </w:p>
        </w:tc>
      </w:tr>
      <w:tr w14:paraId="0393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50407A02">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noWrap w:val="0"/>
            <w:vAlign w:val="top"/>
          </w:tcPr>
          <w:p w14:paraId="0D3E9A1F">
            <w:pPr>
              <w:jc w:val="center"/>
              <w:rPr>
                <w:rFonts w:hint="eastAsia" w:ascii="宋体" w:hAnsi="宋体" w:eastAsia="宋体" w:cs="宋体"/>
                <w:b/>
                <w:kern w:val="0"/>
                <w:sz w:val="32"/>
                <w:szCs w:val="32"/>
              </w:rPr>
            </w:pPr>
          </w:p>
        </w:tc>
        <w:tc>
          <w:tcPr>
            <w:tcW w:w="3546" w:type="dxa"/>
            <w:noWrap w:val="0"/>
            <w:vAlign w:val="top"/>
          </w:tcPr>
          <w:p w14:paraId="3106A37A">
            <w:pPr>
              <w:jc w:val="center"/>
              <w:rPr>
                <w:rFonts w:hint="eastAsia" w:ascii="宋体" w:hAnsi="宋体" w:eastAsia="宋体" w:cs="宋体"/>
                <w:b/>
                <w:kern w:val="0"/>
                <w:sz w:val="32"/>
                <w:szCs w:val="32"/>
              </w:rPr>
            </w:pPr>
          </w:p>
        </w:tc>
        <w:tc>
          <w:tcPr>
            <w:tcW w:w="1276" w:type="dxa"/>
            <w:noWrap w:val="0"/>
            <w:vAlign w:val="top"/>
          </w:tcPr>
          <w:p w14:paraId="054A0DFE">
            <w:pPr>
              <w:jc w:val="center"/>
              <w:rPr>
                <w:rFonts w:hint="eastAsia" w:ascii="宋体" w:hAnsi="宋体" w:eastAsia="宋体" w:cs="宋体"/>
                <w:b/>
                <w:kern w:val="0"/>
                <w:sz w:val="32"/>
                <w:szCs w:val="32"/>
              </w:rPr>
            </w:pPr>
          </w:p>
        </w:tc>
      </w:tr>
      <w:tr w14:paraId="4AD4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0CA15786">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noWrap w:val="0"/>
            <w:vAlign w:val="top"/>
          </w:tcPr>
          <w:p w14:paraId="03B66ADD">
            <w:pPr>
              <w:jc w:val="center"/>
              <w:rPr>
                <w:rFonts w:hint="eastAsia" w:ascii="宋体" w:hAnsi="宋体" w:eastAsia="宋体" w:cs="宋体"/>
                <w:b/>
                <w:kern w:val="0"/>
                <w:sz w:val="32"/>
                <w:szCs w:val="32"/>
              </w:rPr>
            </w:pPr>
          </w:p>
        </w:tc>
        <w:tc>
          <w:tcPr>
            <w:tcW w:w="3546" w:type="dxa"/>
            <w:noWrap w:val="0"/>
            <w:vAlign w:val="top"/>
          </w:tcPr>
          <w:p w14:paraId="0089A851">
            <w:pPr>
              <w:jc w:val="center"/>
              <w:rPr>
                <w:rFonts w:hint="eastAsia" w:ascii="宋体" w:hAnsi="宋体" w:eastAsia="宋体" w:cs="宋体"/>
                <w:b/>
                <w:kern w:val="0"/>
                <w:sz w:val="32"/>
                <w:szCs w:val="32"/>
              </w:rPr>
            </w:pPr>
          </w:p>
        </w:tc>
        <w:tc>
          <w:tcPr>
            <w:tcW w:w="1276" w:type="dxa"/>
            <w:noWrap w:val="0"/>
            <w:vAlign w:val="top"/>
          </w:tcPr>
          <w:p w14:paraId="1B29FF8A">
            <w:pPr>
              <w:jc w:val="center"/>
              <w:rPr>
                <w:rFonts w:hint="eastAsia" w:ascii="宋体" w:hAnsi="宋体" w:eastAsia="宋体" w:cs="宋体"/>
                <w:b/>
                <w:kern w:val="0"/>
                <w:sz w:val="32"/>
                <w:szCs w:val="32"/>
              </w:rPr>
            </w:pPr>
          </w:p>
        </w:tc>
      </w:tr>
      <w:tr w14:paraId="10BF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744DCE2D">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noWrap w:val="0"/>
            <w:vAlign w:val="top"/>
          </w:tcPr>
          <w:p w14:paraId="117C5B50">
            <w:pPr>
              <w:jc w:val="center"/>
              <w:rPr>
                <w:rFonts w:hint="eastAsia" w:ascii="宋体" w:hAnsi="宋体" w:eastAsia="宋体" w:cs="宋体"/>
                <w:b/>
                <w:kern w:val="0"/>
                <w:sz w:val="32"/>
                <w:szCs w:val="32"/>
              </w:rPr>
            </w:pPr>
          </w:p>
        </w:tc>
        <w:tc>
          <w:tcPr>
            <w:tcW w:w="3546" w:type="dxa"/>
            <w:noWrap w:val="0"/>
            <w:vAlign w:val="top"/>
          </w:tcPr>
          <w:p w14:paraId="621E679A">
            <w:pPr>
              <w:jc w:val="center"/>
              <w:rPr>
                <w:rFonts w:hint="eastAsia" w:ascii="宋体" w:hAnsi="宋体" w:eastAsia="宋体" w:cs="宋体"/>
                <w:b/>
                <w:kern w:val="0"/>
                <w:sz w:val="32"/>
                <w:szCs w:val="32"/>
              </w:rPr>
            </w:pPr>
          </w:p>
        </w:tc>
        <w:tc>
          <w:tcPr>
            <w:tcW w:w="1276" w:type="dxa"/>
            <w:noWrap w:val="0"/>
            <w:vAlign w:val="top"/>
          </w:tcPr>
          <w:p w14:paraId="2A374CE4">
            <w:pPr>
              <w:jc w:val="center"/>
              <w:rPr>
                <w:rFonts w:hint="eastAsia" w:ascii="宋体" w:hAnsi="宋体" w:eastAsia="宋体" w:cs="宋体"/>
                <w:b/>
                <w:kern w:val="0"/>
                <w:sz w:val="32"/>
                <w:szCs w:val="32"/>
              </w:rPr>
            </w:pPr>
          </w:p>
        </w:tc>
      </w:tr>
    </w:tbl>
    <w:p w14:paraId="6EA1D1DF">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450A4BF6">
      <w:pPr>
        <w:jc w:val="center"/>
        <w:rPr>
          <w:rFonts w:hint="eastAsia" w:ascii="宋体" w:hAnsi="宋体" w:eastAsia="宋体" w:cs="宋体"/>
          <w:b/>
          <w:kern w:val="0"/>
          <w:sz w:val="32"/>
          <w:szCs w:val="32"/>
        </w:rPr>
      </w:pPr>
    </w:p>
    <w:p w14:paraId="2486067C">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22B37514">
      <w:pPr>
        <w:ind w:left="0" w:leftChars="0" w:firstLine="0" w:firstLineChars="0"/>
        <w:rPr>
          <w:rFonts w:hint="eastAsia" w:ascii="宋体" w:hAnsi="宋体" w:eastAsia="宋体" w:cs="宋体"/>
          <w:b/>
          <w:bCs/>
          <w:sz w:val="32"/>
          <w:szCs w:val="32"/>
        </w:rPr>
      </w:pPr>
    </w:p>
    <w:p w14:paraId="439D3703">
      <w:pPr>
        <w:ind w:firstLine="1911" w:firstLineChars="595"/>
        <w:rPr>
          <w:rFonts w:hint="eastAsia" w:ascii="宋体" w:hAnsi="宋体" w:eastAsia="宋体" w:cs="宋体"/>
          <w:b/>
          <w:bCs/>
          <w:sz w:val="32"/>
          <w:szCs w:val="32"/>
          <w:lang w:eastAsia="zh-CN"/>
        </w:rPr>
      </w:pPr>
    </w:p>
    <w:p w14:paraId="7948F91C">
      <w:pPr>
        <w:ind w:firstLine="1911" w:firstLineChars="595"/>
        <w:rPr>
          <w:rFonts w:hint="eastAsia" w:ascii="宋体" w:hAnsi="宋体" w:eastAsia="宋体" w:cs="宋体"/>
          <w:b/>
          <w:bCs/>
          <w:sz w:val="32"/>
          <w:szCs w:val="32"/>
          <w:lang w:eastAsia="zh-CN"/>
        </w:rPr>
      </w:pPr>
    </w:p>
    <w:p w14:paraId="5A69F674">
      <w:pPr>
        <w:ind w:firstLine="1911" w:firstLineChars="595"/>
        <w:rPr>
          <w:rFonts w:hint="eastAsia" w:ascii="宋体" w:hAnsi="宋体" w:eastAsia="宋体" w:cs="宋体"/>
          <w:b/>
          <w:bCs/>
          <w:sz w:val="32"/>
          <w:szCs w:val="32"/>
          <w:lang w:eastAsia="zh-CN"/>
        </w:rPr>
      </w:pPr>
    </w:p>
    <w:p w14:paraId="48A8CF5C">
      <w:pPr>
        <w:ind w:firstLine="1911" w:firstLineChars="595"/>
        <w:rPr>
          <w:rFonts w:hint="eastAsia" w:ascii="宋体" w:hAnsi="宋体" w:eastAsia="宋体" w:cs="宋体"/>
          <w:b/>
          <w:bCs/>
          <w:sz w:val="32"/>
          <w:szCs w:val="32"/>
          <w:lang w:eastAsia="zh-CN"/>
        </w:rPr>
      </w:pPr>
    </w:p>
    <w:p w14:paraId="0CB5544E">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lang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683E9842">
      <w:pPr>
        <w:snapToGrid w:val="0"/>
        <w:spacing w:line="360" w:lineRule="auto"/>
        <w:rPr>
          <w:rFonts w:hint="eastAsia" w:ascii="宋体" w:hAnsi="宋体" w:eastAsia="宋体" w:cs="宋体"/>
          <w:sz w:val="24"/>
        </w:rPr>
      </w:pPr>
    </w:p>
    <w:p w14:paraId="0B011DE1">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5CDDAACC">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2990C288">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4D0D921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6FC5D2FF">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99F361B">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6B48888E">
      <w:pPr>
        <w:autoSpaceDE w:val="0"/>
        <w:autoSpaceDN w:val="0"/>
        <w:spacing w:line="360" w:lineRule="auto"/>
        <w:ind w:left="550"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1975D825">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2454C10A">
      <w:pPr>
        <w:autoSpaceDE w:val="0"/>
        <w:autoSpaceDN w:val="0"/>
        <w:spacing w:line="360" w:lineRule="auto"/>
        <w:ind w:left="550"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205E5355">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08581FA8">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5E0781C4">
      <w:pPr>
        <w:autoSpaceDE w:val="0"/>
        <w:autoSpaceDN w:val="0"/>
        <w:spacing w:line="360" w:lineRule="auto"/>
        <w:ind w:left="2"/>
        <w:jc w:val="left"/>
        <w:rPr>
          <w:rFonts w:hint="eastAsia" w:ascii="宋体" w:hAnsi="宋体" w:eastAsia="宋体" w:cs="宋体"/>
          <w:kern w:val="0"/>
          <w:sz w:val="24"/>
          <w:lang w:val="zh-CN"/>
        </w:rPr>
      </w:pPr>
    </w:p>
    <w:p w14:paraId="235C9E08">
      <w:pPr>
        <w:autoSpaceDE w:val="0"/>
        <w:autoSpaceDN w:val="0"/>
        <w:spacing w:line="360" w:lineRule="auto"/>
        <w:ind w:left="2"/>
        <w:jc w:val="left"/>
        <w:rPr>
          <w:rFonts w:hint="eastAsia" w:ascii="宋体" w:hAnsi="宋体" w:eastAsia="宋体" w:cs="宋体"/>
          <w:kern w:val="0"/>
          <w:sz w:val="24"/>
          <w:lang w:val="zh-CN"/>
        </w:rPr>
      </w:pPr>
    </w:p>
    <w:p w14:paraId="1DB96190">
      <w:pPr>
        <w:autoSpaceDE w:val="0"/>
        <w:autoSpaceDN w:val="0"/>
        <w:spacing w:line="360" w:lineRule="auto"/>
        <w:ind w:left="2"/>
        <w:jc w:val="left"/>
        <w:rPr>
          <w:rFonts w:hint="eastAsia" w:ascii="宋体" w:hAnsi="宋体" w:eastAsia="宋体" w:cs="宋体"/>
          <w:kern w:val="0"/>
          <w:sz w:val="24"/>
          <w:lang w:val="zh-CN"/>
        </w:rPr>
      </w:pPr>
    </w:p>
    <w:p w14:paraId="638E69F4">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1862541E">
      <w:pPr>
        <w:spacing w:line="360" w:lineRule="auto"/>
        <w:ind w:left="528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4C0BEDDC">
      <w:pPr>
        <w:spacing w:line="360" w:lineRule="auto"/>
        <w:jc w:val="center"/>
        <w:rPr>
          <w:rFonts w:hint="eastAsia" w:ascii="宋体" w:hAnsi="宋体" w:eastAsia="宋体" w:cs="宋体"/>
          <w:b/>
          <w:bCs/>
          <w:sz w:val="24"/>
        </w:rPr>
      </w:pPr>
    </w:p>
    <w:p w14:paraId="4B9E52E8">
      <w:pPr>
        <w:spacing w:line="360" w:lineRule="auto"/>
        <w:ind w:right="420"/>
        <w:rPr>
          <w:rFonts w:hint="eastAsia" w:ascii="宋体" w:hAnsi="宋体" w:eastAsia="宋体" w:cs="宋体"/>
          <w:b/>
          <w:bCs/>
          <w:sz w:val="24"/>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sz w:val="24"/>
        </w:rPr>
        <w:t>注：按本格式和要求提供。</w:t>
      </w:r>
    </w:p>
    <w:p w14:paraId="04AC31E3">
      <w:pPr>
        <w:snapToGrid w:val="0"/>
        <w:spacing w:before="120" w:beforeLines="50" w:after="50"/>
        <w:ind w:left="0" w:leftChars="0" w:firstLine="0" w:firstLineChars="0"/>
        <w:rPr>
          <w:rFonts w:hint="eastAsia" w:ascii="宋体" w:hAnsi="宋体" w:eastAsia="宋体" w:cs="宋体"/>
          <w:b/>
          <w:sz w:val="30"/>
          <w:szCs w:val="30"/>
        </w:rPr>
      </w:pPr>
      <w:r>
        <w:rPr>
          <w:rFonts w:hint="eastAsia" w:ascii="宋体" w:hAnsi="宋体" w:eastAsia="宋体" w:cs="宋体"/>
          <w:b/>
          <w:sz w:val="30"/>
          <w:szCs w:val="30"/>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p>
    <w:p w14:paraId="5A67B94B">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2E9936E2">
      <w:pPr>
        <w:spacing w:before="240" w:beforeLines="100" w:line="240" w:lineRule="atLeast"/>
        <w:jc w:val="center"/>
        <w:rPr>
          <w:rFonts w:hint="eastAsia"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36"/>
          <w:szCs w:val="36"/>
        </w:rPr>
        <w:t>：</w:t>
      </w:r>
      <w:r>
        <w:rPr>
          <w:rFonts w:hint="eastAsia" w:ascii="宋体" w:hAnsi="宋体" w:eastAsia="宋体" w:cs="宋体"/>
          <w:sz w:val="36"/>
          <w:szCs w:val="36"/>
          <w:lang w:val="en-US" w:eastAsia="zh-CN"/>
        </w:rPr>
        <w:t>HZKYTLCG-2025-03</w:t>
      </w:r>
    </w:p>
    <w:p w14:paraId="7A8FFB59">
      <w:pPr>
        <w:spacing w:after="100" w:afterAutospacing="1" w:line="800" w:lineRule="exact"/>
        <w:ind w:right="-108"/>
        <w:jc w:val="center"/>
        <w:rPr>
          <w:rFonts w:hint="eastAsia" w:ascii="宋体" w:hAnsi="宋体" w:eastAsia="宋体" w:cs="宋体"/>
          <w:b/>
          <w:spacing w:val="40"/>
          <w:sz w:val="84"/>
          <w:szCs w:val="84"/>
        </w:rPr>
      </w:pPr>
    </w:p>
    <w:p w14:paraId="5B9098D0">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报</w:t>
      </w:r>
    </w:p>
    <w:p w14:paraId="6EE444E4">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价</w:t>
      </w:r>
    </w:p>
    <w:p w14:paraId="50D42FFA">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14:paraId="7D0AC18F">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14:paraId="585A55A5">
      <w:pPr>
        <w:spacing w:line="500" w:lineRule="exact"/>
        <w:ind w:right="532"/>
        <w:jc w:val="center"/>
        <w:rPr>
          <w:rFonts w:hint="eastAsia" w:ascii="宋体" w:hAnsi="宋体" w:eastAsia="宋体" w:cs="宋体"/>
          <w:sz w:val="36"/>
          <w:szCs w:val="36"/>
        </w:rPr>
      </w:pPr>
    </w:p>
    <w:p w14:paraId="4BB8C7A1">
      <w:pPr>
        <w:spacing w:line="5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14:paraId="03B585C8">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5E916E94">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132C8F19">
      <w:pPr>
        <w:snapToGrid w:val="0"/>
        <w:spacing w:before="50" w:after="50"/>
        <w:rPr>
          <w:rFonts w:hint="eastAsia" w:ascii="宋体" w:hAnsi="宋体" w:eastAsia="宋体" w:cs="宋体"/>
          <w:sz w:val="30"/>
          <w:szCs w:val="30"/>
        </w:rPr>
      </w:pPr>
    </w:p>
    <w:p w14:paraId="58EA4866">
      <w:pPr>
        <w:pStyle w:val="5"/>
        <w:numPr>
          <w:ilvl w:val="2"/>
          <w:numId w:val="0"/>
        </w:numPr>
        <w:ind w:leftChars="0"/>
        <w:rPr>
          <w:rFonts w:hint="eastAsia" w:ascii="宋体" w:hAnsi="宋体" w:eastAsia="宋体" w:cs="宋体"/>
        </w:rPr>
      </w:pPr>
    </w:p>
    <w:p w14:paraId="630DBD29">
      <w:pPr>
        <w:pStyle w:val="21"/>
        <w:snapToGrid w:val="0"/>
        <w:ind w:left="0"/>
        <w:rPr>
          <w:rFonts w:hint="eastAsia" w:ascii="宋体" w:hAnsi="宋体" w:eastAsia="宋体" w:cs="宋体"/>
        </w:rPr>
      </w:pPr>
      <w:r>
        <w:rPr>
          <w:rFonts w:hint="eastAsia" w:ascii="宋体" w:hAnsi="宋体" w:eastAsia="宋体" w:cs="宋体"/>
          <w:sz w:val="36"/>
          <w:szCs w:val="36"/>
          <w:lang w:val="en-US" w:eastAsia="zh-CN"/>
        </w:rPr>
        <w:t>1</w:t>
      </w:r>
      <w:r>
        <w:rPr>
          <w:rFonts w:hint="eastAsia" w:ascii="宋体" w:hAnsi="宋体" w:eastAsia="宋体" w:cs="宋体"/>
          <w:sz w:val="36"/>
          <w:szCs w:val="36"/>
        </w:rPr>
        <w:t>、</w:t>
      </w:r>
      <w:r>
        <w:rPr>
          <w:rFonts w:hint="eastAsia" w:ascii="宋体" w:hAnsi="宋体" w:eastAsia="宋体" w:cs="宋体"/>
          <w:b/>
          <w:sz w:val="36"/>
          <w:szCs w:val="36"/>
        </w:rPr>
        <w:t>报价文件目录</w:t>
      </w:r>
    </w:p>
    <w:p w14:paraId="21B17E8F">
      <w:pPr>
        <w:pStyle w:val="21"/>
        <w:snapToGrid w:val="0"/>
        <w:spacing w:line="360" w:lineRule="auto"/>
        <w:ind w:left="0"/>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eastAsia="zh-CN"/>
        </w:rPr>
        <w:t>开标一览表（报价表）</w:t>
      </w:r>
      <w:r>
        <w:rPr>
          <w:rFonts w:hint="eastAsia" w:ascii="宋体" w:hAnsi="宋体" w:eastAsia="宋体" w:cs="宋体"/>
          <w:sz w:val="30"/>
          <w:szCs w:val="30"/>
        </w:rPr>
        <w:t>；(格式见附件)；</w:t>
      </w:r>
    </w:p>
    <w:p w14:paraId="64989962">
      <w:pPr>
        <w:pStyle w:val="21"/>
        <w:snapToGrid w:val="0"/>
        <w:spacing w:line="360" w:lineRule="auto"/>
        <w:ind w:left="0"/>
        <w:rPr>
          <w:rFonts w:hint="eastAsia" w:ascii="宋体" w:hAnsi="宋体" w:eastAsia="宋体" w:cs="宋体"/>
          <w:sz w:val="30"/>
          <w:szCs w:val="30"/>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z w:val="30"/>
          <w:szCs w:val="30"/>
        </w:rPr>
        <w:t>（</w:t>
      </w:r>
      <w:r>
        <w:rPr>
          <w:rFonts w:hint="eastAsia" w:ascii="宋体" w:hAnsi="宋体" w:eastAsia="宋体" w:cs="宋体"/>
          <w:sz w:val="30"/>
          <w:szCs w:val="30"/>
          <w:lang w:val="en-US" w:eastAsia="zh-CN"/>
        </w:rPr>
        <w:t>2</w:t>
      </w:r>
      <w:r>
        <w:rPr>
          <w:rFonts w:hint="eastAsia" w:ascii="宋体" w:hAnsi="宋体" w:eastAsia="宋体" w:cs="宋体"/>
          <w:sz w:val="30"/>
          <w:szCs w:val="30"/>
        </w:rPr>
        <w:t>）投标人针对报价需要说明的其他文件和说明（格式自拟）；</w:t>
      </w:r>
    </w:p>
    <w:p w14:paraId="6301D8E4">
      <w:pPr>
        <w:pStyle w:val="20"/>
        <w:snapToGrid w:val="0"/>
        <w:spacing w:before="120" w:after="120"/>
        <w:jc w:val="left"/>
        <w:rPr>
          <w:rFonts w:hint="eastAsia" w:ascii="宋体" w:hAnsi="宋体" w:eastAsia="宋体" w:cs="宋体"/>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1</w:t>
      </w:r>
      <w:r>
        <w:rPr>
          <w:rFonts w:hint="eastAsia" w:ascii="宋体" w:hAnsi="宋体" w:eastAsia="宋体" w:cs="宋体"/>
          <w:sz w:val="30"/>
          <w:szCs w:val="30"/>
        </w:rPr>
        <w:t>：</w:t>
      </w:r>
    </w:p>
    <w:p w14:paraId="07E13A24">
      <w:pPr>
        <w:pStyle w:val="20"/>
        <w:snapToGrid w:val="0"/>
        <w:spacing w:before="120" w:after="120"/>
        <w:jc w:val="center"/>
        <w:rPr>
          <w:rFonts w:hint="eastAsia" w:ascii="宋体" w:hAnsi="宋体" w:eastAsia="宋体" w:cs="宋体"/>
          <w:lang w:eastAsia="zh-CN"/>
        </w:rPr>
      </w:pPr>
      <w:r>
        <w:rPr>
          <w:rFonts w:hint="eastAsia" w:ascii="宋体" w:hAnsi="宋体" w:eastAsia="宋体" w:cs="宋体"/>
          <w:b/>
          <w:sz w:val="36"/>
          <w:szCs w:val="36"/>
          <w:lang w:eastAsia="zh-CN"/>
        </w:rPr>
        <w:t>开标一览表（报价表）</w:t>
      </w:r>
    </w:p>
    <w:p w14:paraId="2B946A4C">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2B1A22C8">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14:paraId="3C417053">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28"/>
        <w:tblW w:w="14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406"/>
        <w:gridCol w:w="1829"/>
        <w:gridCol w:w="3095"/>
        <w:gridCol w:w="985"/>
        <w:gridCol w:w="1547"/>
        <w:gridCol w:w="1969"/>
        <w:gridCol w:w="3096"/>
      </w:tblGrid>
      <w:tr w14:paraId="4752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530" w:type="dxa"/>
            <w:noWrap w:val="0"/>
            <w:vAlign w:val="center"/>
          </w:tcPr>
          <w:p w14:paraId="784BD853">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406" w:type="dxa"/>
            <w:noWrap w:val="0"/>
            <w:vAlign w:val="center"/>
          </w:tcPr>
          <w:p w14:paraId="56CE1C40">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829" w:type="dxa"/>
            <w:noWrap w:val="0"/>
            <w:vAlign w:val="top"/>
          </w:tcPr>
          <w:p w14:paraId="16857FD4">
            <w:pPr>
              <w:spacing w:line="360" w:lineRule="auto"/>
              <w:jc w:val="center"/>
              <w:rPr>
                <w:rFonts w:hint="eastAsia" w:ascii="宋体" w:hAnsi="宋体" w:eastAsia="宋体" w:cs="宋体"/>
                <w:b/>
                <w:sz w:val="24"/>
              </w:rPr>
            </w:pPr>
          </w:p>
          <w:p w14:paraId="7F455EC3">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3095" w:type="dxa"/>
            <w:noWrap w:val="0"/>
            <w:vAlign w:val="center"/>
          </w:tcPr>
          <w:p w14:paraId="6D9FEABD">
            <w:pPr>
              <w:spacing w:line="360" w:lineRule="auto"/>
              <w:jc w:val="center"/>
              <w:rPr>
                <w:rFonts w:hint="eastAsia" w:ascii="宋体" w:hAnsi="宋体" w:eastAsia="宋体" w:cs="宋体"/>
                <w:b/>
                <w:sz w:val="24"/>
              </w:rPr>
            </w:pPr>
            <w:r>
              <w:rPr>
                <w:rFonts w:hint="eastAsia" w:ascii="宋体" w:hAnsi="宋体" w:eastAsia="宋体" w:cs="宋体"/>
                <w:b/>
                <w:sz w:val="24"/>
              </w:rPr>
              <w:t>规格型号</w:t>
            </w:r>
          </w:p>
        </w:tc>
        <w:tc>
          <w:tcPr>
            <w:tcW w:w="985" w:type="dxa"/>
            <w:noWrap w:val="0"/>
            <w:vAlign w:val="center"/>
          </w:tcPr>
          <w:p w14:paraId="4FA06343">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547" w:type="dxa"/>
            <w:noWrap w:val="0"/>
            <w:vAlign w:val="center"/>
          </w:tcPr>
          <w:p w14:paraId="6D07752B">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1969" w:type="dxa"/>
            <w:noWrap w:val="0"/>
            <w:vAlign w:val="center"/>
          </w:tcPr>
          <w:p w14:paraId="37E521F7">
            <w:pPr>
              <w:spacing w:line="360" w:lineRule="auto"/>
              <w:jc w:val="center"/>
              <w:rPr>
                <w:rFonts w:hint="eastAsia" w:ascii="宋体" w:hAnsi="宋体" w:eastAsia="宋体" w:cs="宋体"/>
                <w:b/>
                <w:sz w:val="24"/>
              </w:rPr>
            </w:pPr>
            <w:r>
              <w:rPr>
                <w:rFonts w:hint="eastAsia" w:ascii="宋体" w:hAnsi="宋体" w:eastAsia="宋体" w:cs="宋体"/>
                <w:b/>
                <w:sz w:val="24"/>
              </w:rPr>
              <w:t>合计</w:t>
            </w:r>
          </w:p>
        </w:tc>
        <w:tc>
          <w:tcPr>
            <w:tcW w:w="3096" w:type="dxa"/>
            <w:noWrap w:val="0"/>
            <w:vAlign w:val="center"/>
          </w:tcPr>
          <w:p w14:paraId="2A462208">
            <w:pPr>
              <w:spacing w:line="360" w:lineRule="auto"/>
              <w:jc w:val="center"/>
              <w:rPr>
                <w:rFonts w:hint="eastAsia" w:ascii="宋体" w:hAnsi="宋体" w:eastAsia="宋体" w:cs="宋体"/>
                <w:b/>
                <w:sz w:val="24"/>
              </w:rPr>
            </w:pPr>
          </w:p>
          <w:p w14:paraId="3C233244">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14:paraId="05B1B1D9">
            <w:pPr>
              <w:spacing w:line="360" w:lineRule="auto"/>
              <w:jc w:val="center"/>
              <w:rPr>
                <w:rFonts w:hint="eastAsia" w:ascii="宋体" w:hAnsi="宋体" w:eastAsia="宋体" w:cs="宋体"/>
                <w:b/>
                <w:sz w:val="24"/>
              </w:rPr>
            </w:pPr>
          </w:p>
        </w:tc>
      </w:tr>
      <w:tr w14:paraId="4DE8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14:paraId="3BD74989">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406" w:type="dxa"/>
            <w:noWrap w:val="0"/>
            <w:vAlign w:val="center"/>
          </w:tcPr>
          <w:p w14:paraId="76933510">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1829" w:type="dxa"/>
            <w:noWrap w:val="0"/>
            <w:vAlign w:val="center"/>
          </w:tcPr>
          <w:p w14:paraId="6C53DB9F">
            <w:pPr>
              <w:snapToGrid w:val="0"/>
              <w:spacing w:line="360" w:lineRule="auto"/>
              <w:jc w:val="center"/>
              <w:rPr>
                <w:rFonts w:hint="eastAsia" w:ascii="宋体" w:hAnsi="宋体" w:eastAsia="宋体" w:cs="宋体"/>
                <w:sz w:val="24"/>
              </w:rPr>
            </w:pPr>
          </w:p>
        </w:tc>
        <w:tc>
          <w:tcPr>
            <w:tcW w:w="3095" w:type="dxa"/>
            <w:noWrap w:val="0"/>
            <w:vAlign w:val="center"/>
          </w:tcPr>
          <w:p w14:paraId="0943B72E">
            <w:pPr>
              <w:snapToGrid w:val="0"/>
              <w:spacing w:line="360" w:lineRule="auto"/>
              <w:jc w:val="center"/>
              <w:rPr>
                <w:rFonts w:hint="eastAsia" w:ascii="宋体" w:hAnsi="宋体" w:eastAsia="宋体" w:cs="宋体"/>
                <w:sz w:val="24"/>
              </w:rPr>
            </w:pPr>
          </w:p>
        </w:tc>
        <w:tc>
          <w:tcPr>
            <w:tcW w:w="985" w:type="dxa"/>
            <w:noWrap w:val="0"/>
            <w:vAlign w:val="center"/>
          </w:tcPr>
          <w:p w14:paraId="64D9C1EF">
            <w:pPr>
              <w:snapToGrid w:val="0"/>
              <w:spacing w:line="360" w:lineRule="auto"/>
              <w:jc w:val="center"/>
              <w:rPr>
                <w:rFonts w:hint="eastAsia" w:ascii="宋体" w:hAnsi="宋体" w:eastAsia="宋体" w:cs="宋体"/>
                <w:sz w:val="24"/>
              </w:rPr>
            </w:pPr>
          </w:p>
        </w:tc>
        <w:tc>
          <w:tcPr>
            <w:tcW w:w="1547" w:type="dxa"/>
            <w:noWrap w:val="0"/>
            <w:vAlign w:val="center"/>
          </w:tcPr>
          <w:p w14:paraId="5C6F96AA">
            <w:pPr>
              <w:spacing w:line="360" w:lineRule="auto"/>
              <w:jc w:val="center"/>
              <w:rPr>
                <w:rFonts w:hint="eastAsia" w:ascii="宋体" w:hAnsi="宋体" w:eastAsia="宋体" w:cs="宋体"/>
                <w:sz w:val="24"/>
              </w:rPr>
            </w:pPr>
          </w:p>
        </w:tc>
        <w:tc>
          <w:tcPr>
            <w:tcW w:w="1969" w:type="dxa"/>
            <w:noWrap w:val="0"/>
            <w:vAlign w:val="center"/>
          </w:tcPr>
          <w:p w14:paraId="6B044D10">
            <w:pPr>
              <w:spacing w:line="360" w:lineRule="auto"/>
              <w:jc w:val="center"/>
              <w:rPr>
                <w:rFonts w:hint="eastAsia" w:ascii="宋体" w:hAnsi="宋体" w:eastAsia="宋体" w:cs="宋体"/>
                <w:sz w:val="24"/>
              </w:rPr>
            </w:pPr>
          </w:p>
        </w:tc>
        <w:tc>
          <w:tcPr>
            <w:tcW w:w="3096" w:type="dxa"/>
            <w:noWrap w:val="0"/>
            <w:vAlign w:val="center"/>
          </w:tcPr>
          <w:p w14:paraId="06FAD731">
            <w:pPr>
              <w:spacing w:line="360" w:lineRule="auto"/>
              <w:jc w:val="center"/>
              <w:rPr>
                <w:rFonts w:hint="eastAsia" w:ascii="宋体" w:hAnsi="宋体" w:eastAsia="宋体" w:cs="宋体"/>
                <w:sz w:val="24"/>
              </w:rPr>
            </w:pPr>
          </w:p>
        </w:tc>
      </w:tr>
      <w:tr w14:paraId="77D3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14:paraId="2B5F03B5">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406" w:type="dxa"/>
            <w:noWrap w:val="0"/>
            <w:vAlign w:val="center"/>
          </w:tcPr>
          <w:p w14:paraId="102A11B6">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1829" w:type="dxa"/>
            <w:noWrap w:val="0"/>
            <w:vAlign w:val="center"/>
          </w:tcPr>
          <w:p w14:paraId="209F6F85">
            <w:pPr>
              <w:snapToGrid w:val="0"/>
              <w:spacing w:line="360" w:lineRule="auto"/>
              <w:jc w:val="center"/>
              <w:rPr>
                <w:rFonts w:hint="eastAsia" w:ascii="宋体" w:hAnsi="宋体" w:eastAsia="宋体" w:cs="宋体"/>
                <w:sz w:val="24"/>
              </w:rPr>
            </w:pPr>
          </w:p>
        </w:tc>
        <w:tc>
          <w:tcPr>
            <w:tcW w:w="3095" w:type="dxa"/>
            <w:noWrap w:val="0"/>
            <w:vAlign w:val="center"/>
          </w:tcPr>
          <w:p w14:paraId="203975E5">
            <w:pPr>
              <w:snapToGrid w:val="0"/>
              <w:spacing w:line="360" w:lineRule="auto"/>
              <w:jc w:val="center"/>
              <w:rPr>
                <w:rFonts w:hint="eastAsia" w:ascii="宋体" w:hAnsi="宋体" w:eastAsia="宋体" w:cs="宋体"/>
                <w:sz w:val="24"/>
              </w:rPr>
            </w:pPr>
          </w:p>
        </w:tc>
        <w:tc>
          <w:tcPr>
            <w:tcW w:w="985" w:type="dxa"/>
            <w:noWrap w:val="0"/>
            <w:vAlign w:val="center"/>
          </w:tcPr>
          <w:p w14:paraId="3DB755B2">
            <w:pPr>
              <w:snapToGrid w:val="0"/>
              <w:spacing w:line="360" w:lineRule="auto"/>
              <w:jc w:val="center"/>
              <w:rPr>
                <w:rFonts w:hint="eastAsia" w:ascii="宋体" w:hAnsi="宋体" w:eastAsia="宋体" w:cs="宋体"/>
                <w:sz w:val="24"/>
              </w:rPr>
            </w:pPr>
          </w:p>
        </w:tc>
        <w:tc>
          <w:tcPr>
            <w:tcW w:w="1547" w:type="dxa"/>
            <w:noWrap w:val="0"/>
            <w:vAlign w:val="center"/>
          </w:tcPr>
          <w:p w14:paraId="7BF554AC">
            <w:pPr>
              <w:spacing w:line="360" w:lineRule="auto"/>
              <w:jc w:val="center"/>
              <w:rPr>
                <w:rFonts w:hint="eastAsia" w:ascii="宋体" w:hAnsi="宋体" w:eastAsia="宋体" w:cs="宋体"/>
                <w:sz w:val="24"/>
              </w:rPr>
            </w:pPr>
          </w:p>
        </w:tc>
        <w:tc>
          <w:tcPr>
            <w:tcW w:w="1969" w:type="dxa"/>
            <w:noWrap w:val="0"/>
            <w:vAlign w:val="center"/>
          </w:tcPr>
          <w:p w14:paraId="665290DF">
            <w:pPr>
              <w:spacing w:line="360" w:lineRule="auto"/>
              <w:jc w:val="center"/>
              <w:rPr>
                <w:rFonts w:hint="eastAsia" w:ascii="宋体" w:hAnsi="宋体" w:eastAsia="宋体" w:cs="宋体"/>
                <w:sz w:val="24"/>
              </w:rPr>
            </w:pPr>
          </w:p>
        </w:tc>
        <w:tc>
          <w:tcPr>
            <w:tcW w:w="3096" w:type="dxa"/>
            <w:noWrap w:val="0"/>
            <w:vAlign w:val="center"/>
          </w:tcPr>
          <w:p w14:paraId="199FE446">
            <w:pPr>
              <w:spacing w:line="360" w:lineRule="auto"/>
              <w:jc w:val="center"/>
              <w:rPr>
                <w:rFonts w:hint="eastAsia" w:ascii="宋体" w:hAnsi="宋体" w:eastAsia="宋体" w:cs="宋体"/>
                <w:sz w:val="24"/>
              </w:rPr>
            </w:pPr>
          </w:p>
        </w:tc>
      </w:tr>
      <w:tr w14:paraId="2108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14:paraId="6F956FDB">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406" w:type="dxa"/>
            <w:noWrap w:val="0"/>
            <w:vAlign w:val="center"/>
          </w:tcPr>
          <w:p w14:paraId="06008C8D">
            <w:pPr>
              <w:snapToGrid w:val="0"/>
              <w:spacing w:line="360" w:lineRule="auto"/>
              <w:jc w:val="center"/>
              <w:rPr>
                <w:rFonts w:hint="eastAsia" w:ascii="宋体" w:hAnsi="宋体" w:eastAsia="宋体" w:cs="宋体"/>
                <w:sz w:val="24"/>
              </w:rPr>
            </w:pPr>
          </w:p>
        </w:tc>
        <w:tc>
          <w:tcPr>
            <w:tcW w:w="1829" w:type="dxa"/>
            <w:noWrap w:val="0"/>
            <w:vAlign w:val="center"/>
          </w:tcPr>
          <w:p w14:paraId="679D8D71">
            <w:pPr>
              <w:snapToGrid w:val="0"/>
              <w:spacing w:line="360" w:lineRule="auto"/>
              <w:jc w:val="center"/>
              <w:rPr>
                <w:rFonts w:hint="eastAsia" w:ascii="宋体" w:hAnsi="宋体" w:eastAsia="宋体" w:cs="宋体"/>
                <w:sz w:val="24"/>
              </w:rPr>
            </w:pPr>
          </w:p>
        </w:tc>
        <w:tc>
          <w:tcPr>
            <w:tcW w:w="3095" w:type="dxa"/>
            <w:noWrap w:val="0"/>
            <w:vAlign w:val="center"/>
          </w:tcPr>
          <w:p w14:paraId="322953EC">
            <w:pPr>
              <w:snapToGrid w:val="0"/>
              <w:spacing w:line="360" w:lineRule="auto"/>
              <w:jc w:val="center"/>
              <w:rPr>
                <w:rFonts w:hint="eastAsia" w:ascii="宋体" w:hAnsi="宋体" w:eastAsia="宋体" w:cs="宋体"/>
                <w:sz w:val="24"/>
              </w:rPr>
            </w:pPr>
          </w:p>
        </w:tc>
        <w:tc>
          <w:tcPr>
            <w:tcW w:w="985" w:type="dxa"/>
            <w:noWrap w:val="0"/>
            <w:vAlign w:val="center"/>
          </w:tcPr>
          <w:p w14:paraId="0DC0DD38">
            <w:pPr>
              <w:snapToGrid w:val="0"/>
              <w:spacing w:line="360" w:lineRule="auto"/>
              <w:jc w:val="center"/>
              <w:rPr>
                <w:rFonts w:hint="eastAsia" w:ascii="宋体" w:hAnsi="宋体" w:eastAsia="宋体" w:cs="宋体"/>
                <w:sz w:val="24"/>
              </w:rPr>
            </w:pPr>
          </w:p>
        </w:tc>
        <w:tc>
          <w:tcPr>
            <w:tcW w:w="1547" w:type="dxa"/>
            <w:noWrap w:val="0"/>
            <w:vAlign w:val="center"/>
          </w:tcPr>
          <w:p w14:paraId="2D1B1D56">
            <w:pPr>
              <w:spacing w:line="360" w:lineRule="auto"/>
              <w:jc w:val="center"/>
              <w:rPr>
                <w:rFonts w:hint="eastAsia" w:ascii="宋体" w:hAnsi="宋体" w:eastAsia="宋体" w:cs="宋体"/>
                <w:sz w:val="24"/>
              </w:rPr>
            </w:pPr>
          </w:p>
        </w:tc>
        <w:tc>
          <w:tcPr>
            <w:tcW w:w="1969" w:type="dxa"/>
            <w:noWrap w:val="0"/>
            <w:vAlign w:val="center"/>
          </w:tcPr>
          <w:p w14:paraId="15D7AC1B">
            <w:pPr>
              <w:spacing w:line="360" w:lineRule="auto"/>
              <w:jc w:val="center"/>
              <w:rPr>
                <w:rFonts w:hint="eastAsia" w:ascii="宋体" w:hAnsi="宋体" w:eastAsia="宋体" w:cs="宋体"/>
                <w:sz w:val="24"/>
              </w:rPr>
            </w:pPr>
          </w:p>
        </w:tc>
        <w:tc>
          <w:tcPr>
            <w:tcW w:w="3096" w:type="dxa"/>
            <w:noWrap w:val="0"/>
            <w:vAlign w:val="center"/>
          </w:tcPr>
          <w:p w14:paraId="049D2D4A">
            <w:pPr>
              <w:spacing w:line="360" w:lineRule="auto"/>
              <w:jc w:val="center"/>
              <w:rPr>
                <w:rFonts w:hint="eastAsia" w:ascii="宋体" w:hAnsi="宋体" w:eastAsia="宋体" w:cs="宋体"/>
                <w:sz w:val="24"/>
              </w:rPr>
            </w:pPr>
          </w:p>
        </w:tc>
      </w:tr>
      <w:tr w14:paraId="0775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14:paraId="3BF39A8B">
            <w:pPr>
              <w:spacing w:line="360" w:lineRule="auto"/>
              <w:jc w:val="center"/>
              <w:rPr>
                <w:rFonts w:hint="eastAsia" w:ascii="宋体" w:hAnsi="宋体" w:eastAsia="宋体" w:cs="宋体"/>
                <w:sz w:val="24"/>
              </w:rPr>
            </w:pPr>
          </w:p>
        </w:tc>
        <w:tc>
          <w:tcPr>
            <w:tcW w:w="1406" w:type="dxa"/>
            <w:noWrap w:val="0"/>
            <w:vAlign w:val="center"/>
          </w:tcPr>
          <w:p w14:paraId="26C3FAD9">
            <w:pPr>
              <w:snapToGrid w:val="0"/>
              <w:spacing w:line="360" w:lineRule="auto"/>
              <w:jc w:val="center"/>
              <w:rPr>
                <w:rFonts w:hint="eastAsia" w:ascii="宋体" w:hAnsi="宋体" w:eastAsia="宋体" w:cs="宋体"/>
                <w:sz w:val="24"/>
              </w:rPr>
            </w:pPr>
          </w:p>
        </w:tc>
        <w:tc>
          <w:tcPr>
            <w:tcW w:w="1829" w:type="dxa"/>
            <w:noWrap w:val="0"/>
            <w:vAlign w:val="center"/>
          </w:tcPr>
          <w:p w14:paraId="1F94A4BF">
            <w:pPr>
              <w:snapToGrid w:val="0"/>
              <w:spacing w:line="360" w:lineRule="auto"/>
              <w:jc w:val="center"/>
              <w:rPr>
                <w:rFonts w:hint="eastAsia" w:ascii="宋体" w:hAnsi="宋体" w:eastAsia="宋体" w:cs="宋体"/>
                <w:sz w:val="24"/>
              </w:rPr>
            </w:pPr>
          </w:p>
        </w:tc>
        <w:tc>
          <w:tcPr>
            <w:tcW w:w="3095" w:type="dxa"/>
            <w:noWrap w:val="0"/>
            <w:vAlign w:val="center"/>
          </w:tcPr>
          <w:p w14:paraId="23944BCE">
            <w:pPr>
              <w:snapToGrid w:val="0"/>
              <w:spacing w:line="360" w:lineRule="auto"/>
              <w:jc w:val="center"/>
              <w:rPr>
                <w:rFonts w:hint="eastAsia" w:ascii="宋体" w:hAnsi="宋体" w:eastAsia="宋体" w:cs="宋体"/>
                <w:sz w:val="24"/>
              </w:rPr>
            </w:pPr>
          </w:p>
        </w:tc>
        <w:tc>
          <w:tcPr>
            <w:tcW w:w="985" w:type="dxa"/>
            <w:noWrap w:val="0"/>
            <w:vAlign w:val="center"/>
          </w:tcPr>
          <w:p w14:paraId="5BF025B7">
            <w:pPr>
              <w:snapToGrid w:val="0"/>
              <w:spacing w:line="360" w:lineRule="auto"/>
              <w:jc w:val="center"/>
              <w:rPr>
                <w:rFonts w:hint="eastAsia" w:ascii="宋体" w:hAnsi="宋体" w:eastAsia="宋体" w:cs="宋体"/>
                <w:sz w:val="24"/>
              </w:rPr>
            </w:pPr>
          </w:p>
        </w:tc>
        <w:tc>
          <w:tcPr>
            <w:tcW w:w="1547" w:type="dxa"/>
            <w:noWrap w:val="0"/>
            <w:vAlign w:val="center"/>
          </w:tcPr>
          <w:p w14:paraId="643E49F8">
            <w:pPr>
              <w:spacing w:line="360" w:lineRule="auto"/>
              <w:jc w:val="center"/>
              <w:rPr>
                <w:rFonts w:hint="eastAsia" w:ascii="宋体" w:hAnsi="宋体" w:eastAsia="宋体" w:cs="宋体"/>
                <w:sz w:val="24"/>
              </w:rPr>
            </w:pPr>
          </w:p>
        </w:tc>
        <w:tc>
          <w:tcPr>
            <w:tcW w:w="1969" w:type="dxa"/>
            <w:noWrap w:val="0"/>
            <w:vAlign w:val="center"/>
          </w:tcPr>
          <w:p w14:paraId="0CFB0065">
            <w:pPr>
              <w:spacing w:line="360" w:lineRule="auto"/>
              <w:jc w:val="center"/>
              <w:rPr>
                <w:rFonts w:hint="eastAsia" w:ascii="宋体" w:hAnsi="宋体" w:eastAsia="宋体" w:cs="宋体"/>
                <w:sz w:val="24"/>
              </w:rPr>
            </w:pPr>
          </w:p>
        </w:tc>
        <w:tc>
          <w:tcPr>
            <w:tcW w:w="3096" w:type="dxa"/>
            <w:noWrap w:val="0"/>
            <w:vAlign w:val="center"/>
          </w:tcPr>
          <w:p w14:paraId="7FCB0B98">
            <w:pPr>
              <w:spacing w:line="360" w:lineRule="auto"/>
              <w:jc w:val="center"/>
              <w:rPr>
                <w:rFonts w:hint="eastAsia" w:ascii="宋体" w:hAnsi="宋体" w:eastAsia="宋体" w:cs="宋体"/>
                <w:sz w:val="24"/>
              </w:rPr>
            </w:pPr>
          </w:p>
        </w:tc>
      </w:tr>
      <w:tr w14:paraId="31B8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14:paraId="7450268F">
            <w:pPr>
              <w:spacing w:line="360" w:lineRule="auto"/>
              <w:jc w:val="center"/>
              <w:rPr>
                <w:rFonts w:hint="eastAsia" w:ascii="宋体" w:hAnsi="宋体" w:eastAsia="宋体" w:cs="宋体"/>
                <w:sz w:val="24"/>
              </w:rPr>
            </w:pPr>
          </w:p>
        </w:tc>
        <w:tc>
          <w:tcPr>
            <w:tcW w:w="1406" w:type="dxa"/>
            <w:noWrap w:val="0"/>
            <w:vAlign w:val="center"/>
          </w:tcPr>
          <w:p w14:paraId="5F54AE0A">
            <w:pPr>
              <w:snapToGrid w:val="0"/>
              <w:spacing w:line="360" w:lineRule="auto"/>
              <w:jc w:val="center"/>
              <w:rPr>
                <w:rFonts w:hint="eastAsia" w:ascii="宋体" w:hAnsi="宋体" w:eastAsia="宋体" w:cs="宋体"/>
                <w:sz w:val="24"/>
              </w:rPr>
            </w:pPr>
          </w:p>
        </w:tc>
        <w:tc>
          <w:tcPr>
            <w:tcW w:w="1829" w:type="dxa"/>
            <w:noWrap w:val="0"/>
            <w:vAlign w:val="center"/>
          </w:tcPr>
          <w:p w14:paraId="49B1DE34">
            <w:pPr>
              <w:snapToGrid w:val="0"/>
              <w:spacing w:line="360" w:lineRule="auto"/>
              <w:jc w:val="center"/>
              <w:rPr>
                <w:rFonts w:hint="eastAsia" w:ascii="宋体" w:hAnsi="宋体" w:eastAsia="宋体" w:cs="宋体"/>
                <w:sz w:val="24"/>
              </w:rPr>
            </w:pPr>
          </w:p>
        </w:tc>
        <w:tc>
          <w:tcPr>
            <w:tcW w:w="3095" w:type="dxa"/>
            <w:noWrap w:val="0"/>
            <w:vAlign w:val="center"/>
          </w:tcPr>
          <w:p w14:paraId="7DB4EC9B">
            <w:pPr>
              <w:snapToGrid w:val="0"/>
              <w:spacing w:line="360" w:lineRule="auto"/>
              <w:jc w:val="center"/>
              <w:rPr>
                <w:rFonts w:hint="eastAsia" w:ascii="宋体" w:hAnsi="宋体" w:eastAsia="宋体" w:cs="宋体"/>
                <w:sz w:val="24"/>
              </w:rPr>
            </w:pPr>
          </w:p>
        </w:tc>
        <w:tc>
          <w:tcPr>
            <w:tcW w:w="985" w:type="dxa"/>
            <w:noWrap w:val="0"/>
            <w:vAlign w:val="center"/>
          </w:tcPr>
          <w:p w14:paraId="0D693F5E">
            <w:pPr>
              <w:snapToGrid w:val="0"/>
              <w:spacing w:line="360" w:lineRule="auto"/>
              <w:jc w:val="center"/>
              <w:rPr>
                <w:rFonts w:hint="eastAsia" w:ascii="宋体" w:hAnsi="宋体" w:eastAsia="宋体" w:cs="宋体"/>
                <w:sz w:val="24"/>
              </w:rPr>
            </w:pPr>
          </w:p>
        </w:tc>
        <w:tc>
          <w:tcPr>
            <w:tcW w:w="1547" w:type="dxa"/>
            <w:noWrap w:val="0"/>
            <w:vAlign w:val="center"/>
          </w:tcPr>
          <w:p w14:paraId="2AE1AD6D">
            <w:pPr>
              <w:spacing w:line="360" w:lineRule="auto"/>
              <w:jc w:val="center"/>
              <w:rPr>
                <w:rFonts w:hint="eastAsia" w:ascii="宋体" w:hAnsi="宋体" w:eastAsia="宋体" w:cs="宋体"/>
                <w:sz w:val="24"/>
              </w:rPr>
            </w:pPr>
          </w:p>
        </w:tc>
        <w:tc>
          <w:tcPr>
            <w:tcW w:w="1969" w:type="dxa"/>
            <w:noWrap w:val="0"/>
            <w:vAlign w:val="center"/>
          </w:tcPr>
          <w:p w14:paraId="6978C36A">
            <w:pPr>
              <w:spacing w:line="360" w:lineRule="auto"/>
              <w:jc w:val="center"/>
              <w:rPr>
                <w:rFonts w:hint="eastAsia" w:ascii="宋体" w:hAnsi="宋体" w:eastAsia="宋体" w:cs="宋体"/>
                <w:sz w:val="24"/>
              </w:rPr>
            </w:pPr>
          </w:p>
        </w:tc>
        <w:tc>
          <w:tcPr>
            <w:tcW w:w="3096" w:type="dxa"/>
            <w:noWrap w:val="0"/>
            <w:vAlign w:val="center"/>
          </w:tcPr>
          <w:p w14:paraId="1B00ECE5">
            <w:pPr>
              <w:spacing w:line="360" w:lineRule="auto"/>
              <w:jc w:val="center"/>
              <w:rPr>
                <w:rFonts w:hint="eastAsia" w:ascii="宋体" w:hAnsi="宋体" w:eastAsia="宋体" w:cs="宋体"/>
                <w:sz w:val="24"/>
              </w:rPr>
            </w:pPr>
          </w:p>
        </w:tc>
      </w:tr>
      <w:tr w14:paraId="23D2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60" w:type="dxa"/>
            <w:gridSpan w:val="4"/>
            <w:noWrap w:val="0"/>
            <w:vAlign w:val="center"/>
          </w:tcPr>
          <w:p w14:paraId="0612F516">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7597" w:type="dxa"/>
            <w:gridSpan w:val="4"/>
            <w:noWrap w:val="0"/>
            <w:vAlign w:val="center"/>
          </w:tcPr>
          <w:p w14:paraId="378AC722">
            <w:pPr>
              <w:spacing w:line="360" w:lineRule="auto"/>
              <w:jc w:val="center"/>
              <w:rPr>
                <w:rFonts w:hint="eastAsia" w:ascii="宋体" w:hAnsi="宋体" w:eastAsia="宋体" w:cs="宋体"/>
                <w:sz w:val="24"/>
              </w:rPr>
            </w:pPr>
          </w:p>
        </w:tc>
      </w:tr>
      <w:tr w14:paraId="5C9B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60" w:type="dxa"/>
            <w:gridSpan w:val="4"/>
            <w:noWrap w:val="0"/>
            <w:vAlign w:val="center"/>
          </w:tcPr>
          <w:p w14:paraId="6D669BF4">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7597" w:type="dxa"/>
            <w:gridSpan w:val="4"/>
            <w:noWrap w:val="0"/>
            <w:vAlign w:val="center"/>
          </w:tcPr>
          <w:p w14:paraId="619B35E2">
            <w:pPr>
              <w:spacing w:line="360" w:lineRule="auto"/>
              <w:jc w:val="center"/>
              <w:rPr>
                <w:rFonts w:hint="eastAsia" w:ascii="宋体" w:hAnsi="宋体" w:eastAsia="宋体" w:cs="宋体"/>
                <w:sz w:val="24"/>
              </w:rPr>
            </w:pPr>
          </w:p>
        </w:tc>
      </w:tr>
    </w:tbl>
    <w:p w14:paraId="322752E2">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770E33EE">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1、此表应按项目的明细情况列项填报，在填写时，如上表不适合本项目的实际情况，可在确保投标明细内容完整的情况下，根据上表格式自行划表填写。</w:t>
      </w:r>
    </w:p>
    <w:p w14:paraId="5DF80A7F">
      <w:pPr>
        <w:spacing w:line="360" w:lineRule="auto"/>
        <w:ind w:firstLine="480" w:firstLineChars="200"/>
        <w:rPr>
          <w:rFonts w:hint="eastAsia" w:ascii="宋体" w:hAnsi="宋体" w:eastAsia="宋体" w:cs="宋体"/>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bookmarkEnd w:id="21"/>
      <w:bookmarkEnd w:id="22"/>
    </w:p>
    <w:p w14:paraId="1FE66BD8">
      <w:pPr>
        <w:pStyle w:val="3"/>
        <w:ind w:firstLine="480"/>
        <w:rPr>
          <w:rFonts w:hint="eastAsia" w:ascii="宋体" w:hAnsi="宋体" w:eastAsia="宋体" w:cs="宋体"/>
        </w:rPr>
        <w:sectPr>
          <w:pgSz w:w="16838" w:h="11906" w:orient="landscape"/>
          <w:pgMar w:top="1800" w:right="1440" w:bottom="1800" w:left="1440" w:header="851" w:footer="992" w:gutter="0"/>
          <w:pgNumType w:fmt="decimal"/>
          <w:cols w:space="425" w:num="1"/>
          <w:docGrid w:type="lines" w:linePitch="312" w:charSpace="0"/>
        </w:sectPr>
      </w:pPr>
    </w:p>
    <w:p w14:paraId="199887B3">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质疑函范本及制作说明</w:t>
      </w:r>
    </w:p>
    <w:p w14:paraId="64F1F37D">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240AD98F">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07C65707">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6678DF00">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681CC277">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30DF6D12">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7953724E">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3CCACEB3">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0CDCA0">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386FBECB">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3B48F778">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F27D99E">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21F9AB39">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62317C84">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0D77E83F">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33CA35AA">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11F771A">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21F87D6C">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3940DCE0">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6BEE2793">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553B9B1E">
      <w:pPr>
        <w:snapToGrid w:val="0"/>
        <w:spacing w:line="360" w:lineRule="auto"/>
        <w:rPr>
          <w:rFonts w:hint="eastAsia" w:ascii="宋体" w:hAnsi="宋体" w:eastAsia="宋体" w:cs="宋体"/>
          <w:sz w:val="24"/>
        </w:rPr>
      </w:pPr>
      <w:r>
        <w:rPr>
          <w:rFonts w:hint="eastAsia" w:ascii="宋体" w:hAnsi="宋体" w:eastAsia="宋体" w:cs="宋体"/>
          <w:sz w:val="24"/>
        </w:rPr>
        <w:t>……</w:t>
      </w:r>
    </w:p>
    <w:p w14:paraId="7070E74A">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26AC9ABE">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752EE1B3">
      <w:pPr>
        <w:spacing w:line="360" w:lineRule="auto"/>
        <w:rPr>
          <w:rFonts w:hint="eastAsia" w:ascii="宋体" w:hAnsi="宋体" w:eastAsia="宋体" w:cs="宋体"/>
          <w:sz w:val="24"/>
        </w:rPr>
      </w:pPr>
      <w:r>
        <w:rPr>
          <w:rFonts w:hint="eastAsia" w:ascii="宋体" w:hAnsi="宋体" w:eastAsia="宋体" w:cs="宋体"/>
          <w:sz w:val="24"/>
        </w:rPr>
        <w:t>签字</w:t>
      </w:r>
      <w:r>
        <w:rPr>
          <w:rFonts w:hint="eastAsia" w:ascii="宋体" w:hAnsi="宋体" w:eastAsia="宋体" w:cs="宋体"/>
          <w:sz w:val="24"/>
          <w:lang w:eastAsia="zh-CN"/>
        </w:rPr>
        <w:t>（</w:t>
      </w:r>
      <w:r>
        <w:rPr>
          <w:rFonts w:hint="eastAsia" w:ascii="宋体" w:hAnsi="宋体" w:eastAsia="宋体" w:cs="宋体"/>
          <w:sz w:val="24"/>
        </w:rPr>
        <w:t>签章</w:t>
      </w:r>
      <w:r>
        <w:rPr>
          <w:rFonts w:hint="eastAsia" w:ascii="宋体" w:hAnsi="宋体" w:eastAsia="宋体" w:cs="宋体"/>
          <w:sz w:val="24"/>
          <w:lang w:eastAsia="zh-CN"/>
        </w:rPr>
        <w:t>）</w:t>
      </w:r>
      <w:r>
        <w:rPr>
          <w:rFonts w:hint="eastAsia" w:ascii="宋体" w:hAnsi="宋体" w:eastAsia="宋体" w:cs="宋体"/>
          <w:sz w:val="24"/>
        </w:rPr>
        <w:t xml:space="preserve">：                   公章：                      </w:t>
      </w:r>
    </w:p>
    <w:p w14:paraId="55617BB4">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11B35D4F">
      <w:pPr>
        <w:spacing w:line="360" w:lineRule="auto"/>
        <w:jc w:val="center"/>
        <w:rPr>
          <w:rFonts w:hint="eastAsia" w:ascii="宋体" w:hAnsi="宋体" w:eastAsia="宋体" w:cs="宋体"/>
          <w:b/>
          <w:bCs/>
          <w:sz w:val="24"/>
        </w:rPr>
      </w:pPr>
    </w:p>
    <w:p w14:paraId="0BF4BCBA">
      <w:pPr>
        <w:spacing w:line="360" w:lineRule="auto"/>
        <w:rPr>
          <w:rFonts w:hint="eastAsia" w:ascii="宋体" w:hAnsi="宋体" w:eastAsia="宋体" w:cs="宋体"/>
          <w:b/>
          <w:sz w:val="24"/>
        </w:rPr>
      </w:pPr>
    </w:p>
    <w:p w14:paraId="142E8390">
      <w:pPr>
        <w:spacing w:line="360" w:lineRule="auto"/>
        <w:rPr>
          <w:rFonts w:hint="eastAsia" w:ascii="宋体" w:hAnsi="宋体" w:eastAsia="宋体" w:cs="宋体"/>
          <w:b/>
          <w:sz w:val="24"/>
        </w:rPr>
      </w:pPr>
    </w:p>
    <w:p w14:paraId="4AA6A5E7">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D3A878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64B47C4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068BE2E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15AFB86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7D64D12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53AA20E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6F52A320">
      <w:pPr>
        <w:pStyle w:val="3"/>
        <w:ind w:firstLine="480"/>
        <w:rPr>
          <w:rFonts w:hint="eastAsia" w:ascii="宋体" w:hAnsi="宋体" w:eastAsia="宋体" w:cs="宋体"/>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E2389">
    <w:pPr>
      <w:pStyle w:val="22"/>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EDC3D3">
                          <w:pPr>
                            <w:pStyle w:val="22"/>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5EDC3D3">
                    <w:pPr>
                      <w:pStyle w:val="22"/>
                      <w:rPr>
                        <w:rFonts w:hint="eastAsia"/>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F035B">
    <w:pPr>
      <w:pStyle w:val="22"/>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2EE4B">
                          <w:pPr>
                            <w:pStyle w:val="2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862EE4B">
                    <w:pPr>
                      <w:pStyle w:val="22"/>
                    </w:pPr>
                    <w:r>
                      <w:fldChar w:fldCharType="begin"/>
                    </w:r>
                    <w:r>
                      <w:instrText xml:space="preserve"> PAGE  \* MERGEFORMAT </w:instrText>
                    </w:r>
                    <w:r>
                      <w:fldChar w:fldCharType="separate"/>
                    </w:r>
                    <w:r>
                      <w:t>56</w:t>
                    </w:r>
                    <w:r>
                      <w:fldChar w:fldCharType="end"/>
                    </w:r>
                  </w:p>
                </w:txbxContent>
              </v:textbox>
            </v:shape>
          </w:pict>
        </mc:Fallback>
      </mc:AlternateContent>
    </w:r>
  </w:p>
  <w:p w14:paraId="74A28FA9">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40CB3">
    <w:pPr>
      <w:pStyle w:val="22"/>
      <w:ind w:right="360"/>
      <w:rPr>
        <w:rStyle w:val="31"/>
        <w:rFonts w:hint="eastAsia"/>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CB011">
                          <w:pPr>
                            <w:pStyle w:val="2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8ACB011">
                    <w:pPr>
                      <w:pStyle w:val="22"/>
                    </w:pPr>
                    <w:r>
                      <w:fldChar w:fldCharType="begin"/>
                    </w:r>
                    <w:r>
                      <w:instrText xml:space="preserve"> PAGE  \* MERGEFORMAT </w:instrText>
                    </w:r>
                    <w:r>
                      <w:fldChar w:fldCharType="separate"/>
                    </w:r>
                    <w:r>
                      <w:t>3</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C7117F">
                          <w:pPr>
                            <w:pStyle w:val="2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34C7117F">
                    <w:pPr>
                      <w:pStyle w:val="22"/>
                      <w:rPr>
                        <w:rFonts w:hint="eastAsia" w:eastAsia="宋体"/>
                        <w:lang w:eastAsia="zh-CN"/>
                      </w:rPr>
                    </w:pPr>
                  </w:p>
                </w:txbxContent>
              </v:textbox>
            </v:shape>
          </w:pict>
        </mc:Fallback>
      </mc:AlternateContent>
    </w:r>
  </w:p>
  <w:p w14:paraId="02C1035D">
    <w:pPr>
      <w:pStyle w:val="22"/>
      <w:ind w:right="360"/>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49276">
    <w:pPr>
      <w:pStyle w:val="2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6A280E">
                          <w:pPr>
                            <w:pStyle w:val="2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016A280E">
                    <w:pPr>
                      <w:pStyle w:val="2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4B194">
    <w:pPr>
      <w:pStyle w:val="2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FCC8E">
                          <w:pPr>
                            <w:pStyle w:val="2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5DFCC8E">
                    <w:pPr>
                      <w:pStyle w:val="2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ACB80">
    <w:pPr>
      <w:pStyle w:val="22"/>
      <w:jc w:val="center"/>
      <w:rPr>
        <w:i/>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ACCE1">
                          <w:pPr>
                            <w:pStyle w:val="2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3DACCE1">
                    <w:pPr>
                      <w:pStyle w:val="2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F5B55">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76885" cy="1574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76885" cy="157480"/>
                      </a:xfrm>
                      <a:prstGeom prst="rect">
                        <a:avLst/>
                      </a:prstGeom>
                      <a:noFill/>
                      <a:ln>
                        <a:noFill/>
                      </a:ln>
                    </wps:spPr>
                    <wps:txbx>
                      <w:txbxContent>
                        <w:p w14:paraId="6ADC4E4F">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4pt;width:37.55pt;mso-position-horizontal:center;mso-position-horizontal-relative:margin;mso-wrap-style:none;z-index:251660288;mso-width-relative:page;mso-height-relative:page;" filled="f" stroked="f" coordsize="21600,21600" o:gfxdata="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Kmg39EAAAADAQAADwAAAAAAAAABACAAAAAiAAAAZHJzL2Rv&#10;d25yZXYueG1sUEsBAhQAFAAAAAgAh07iQKWP6zHPAQAAlwMAAA4AAAAAAAAAAQAgAAAAIAEAAGRy&#10;cy9lMm9Eb2MueG1sUEsFBgAAAAAGAAYAWQEAAGEFAAAAAA==&#10;">
              <v:fill on="f" focussize="0,0"/>
              <v:stroke on="f"/>
              <v:imagedata o:title=""/>
              <o:lock v:ext="edit" aspectratio="f"/>
              <v:textbox inset="0mm,0mm,0mm,0mm" style="mso-fit-shape-to-text:t;">
                <w:txbxContent>
                  <w:p w14:paraId="6ADC4E4F">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r>
                      <w:rPr>
                        <w:rFonts w:hint="eastAsia"/>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0F9F">
    <w:pPr>
      <w:pStyle w:val="2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AECD8">
                          <w:pPr>
                            <w:pStyle w:val="2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DBAECD8">
                    <w:pPr>
                      <w:pStyle w:val="22"/>
                    </w:pPr>
                    <w:r>
                      <w:fldChar w:fldCharType="begin"/>
                    </w:r>
                    <w:r>
                      <w:instrText xml:space="preserve"> PAGE  \* MERGEFORMAT </w:instrText>
                    </w:r>
                    <w:r>
                      <w:fldChar w:fldCharType="separate"/>
                    </w:r>
                    <w:r>
                      <w:t>55</w:t>
                    </w:r>
                    <w:r>
                      <w:fldChar w:fldCharType="end"/>
                    </w:r>
                  </w:p>
                </w:txbxContent>
              </v:textbox>
            </v:shape>
          </w:pict>
        </mc:Fallback>
      </mc:AlternateContent>
    </w:r>
  </w:p>
  <w:p w14:paraId="4425855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481B">
    <w:pPr>
      <w:pStyle w:val="2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C14AA">
                          <w:pPr>
                            <w:pStyle w:val="2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11C14AA">
                    <w:pPr>
                      <w:pStyle w:val="22"/>
                    </w:pPr>
                    <w:r>
                      <w:fldChar w:fldCharType="begin"/>
                    </w:r>
                    <w:r>
                      <w:instrText xml:space="preserve"> PAGE  \* MERGEFORMAT </w:instrText>
                    </w:r>
                    <w:r>
                      <w:fldChar w:fldCharType="separate"/>
                    </w:r>
                    <w:r>
                      <w:t>54</w:t>
                    </w:r>
                    <w:r>
                      <w:fldChar w:fldCharType="end"/>
                    </w:r>
                  </w:p>
                </w:txbxContent>
              </v:textbox>
            </v:shape>
          </w:pict>
        </mc:Fallback>
      </mc:AlternateContent>
    </w:r>
  </w:p>
  <w:p w14:paraId="64276C8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7E627">
    <w:pPr>
      <w:pStyle w:val="2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3F69F">
                          <w:pPr>
                            <w:pStyle w:val="2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053F69F">
                    <w:pPr>
                      <w:pStyle w:val="22"/>
                    </w:pPr>
                    <w:r>
                      <w:fldChar w:fldCharType="begin"/>
                    </w:r>
                    <w:r>
                      <w:instrText xml:space="preserve"> PAGE  \* MERGEFORMAT </w:instrText>
                    </w:r>
                    <w:r>
                      <w:fldChar w:fldCharType="separate"/>
                    </w:r>
                    <w:r>
                      <w:t>57</w:t>
                    </w:r>
                    <w:r>
                      <w:fldChar w:fldCharType="end"/>
                    </w:r>
                  </w:p>
                </w:txbxContent>
              </v:textbox>
            </v:shape>
          </w:pict>
        </mc:Fallback>
      </mc:AlternateContent>
    </w:r>
  </w:p>
  <w:p w14:paraId="470C65B6">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DFF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478CF">
    <w:pPr>
      <w:pStyle w:val="23"/>
      <w:pBdr>
        <w:bottom w:val="none" w:color="auto" w:sz="0"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4386B">
    <w:pPr>
      <w:pStyle w:val="23"/>
      <w:pBdr>
        <w:bottom w:val="none" w:color="auto" w:sz="0" w:space="1"/>
      </w:pBdr>
      <w:tabs>
        <w:tab w:val="left" w:pos="2889"/>
        <w:tab w:val="center" w:pos="6620"/>
      </w:tabs>
      <w:jc w:val="left"/>
      <w:rPr>
        <w:rFonts w:ascii="仿宋_GB2312" w:eastAsia="仿宋_GB2312"/>
        <w:b/>
        <w:i/>
        <w:u w:val="single"/>
      </w:rPr>
    </w:pPr>
    <w:r>
      <w:rPr>
        <w:rFonts w:hint="eastAsia"/>
        <w:lang w:eastAsia="zh-CN"/>
      </w:rPr>
      <w:tab/>
    </w:r>
    <w:r>
      <w:rPr>
        <w:rFonts w:hint="eastAsia"/>
        <w:lang w:eastAsia="zh-CN"/>
      </w:rPr>
      <w:tab/>
    </w: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86133">
    <w:pPr>
      <w:pStyle w:val="23"/>
      <w:pBdr>
        <w:bottom w:val="none" w:color="auto" w:sz="0" w:space="1"/>
      </w:pBdr>
    </w:pPr>
    <w:r>
      <w:t></w:t>
    </w:r>
    <w:r>
      <w:rPr>
        <w:rFonts w:hint="eastAsia"/>
      </w:rPr>
      <w:t xml:space="preserve">         </w:t>
    </w:r>
  </w:p>
  <w:p w14:paraId="2185AC47">
    <w:pPr>
      <w:pStyle w:val="23"/>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5139">
    <w:pPr>
      <w:pStyle w:val="23"/>
      <w:pBdr>
        <w:bottom w:val="none" w:color="auto" w:sz="0" w:space="1"/>
      </w:pBdr>
      <w:rPr>
        <w:rFonts w:ascii="仿宋_GB2312" w:eastAsia="仿宋_GB2312"/>
        <w:b/>
        <w:i/>
        <w:u w:val="single"/>
      </w:rPr>
    </w:pPr>
    <w:r>
      <w:t></w:t>
    </w:r>
    <w:r>
      <w:rPr>
        <w:rFonts w:hint="eastAsia"/>
      </w:rPr>
      <w:t xml:space="preserve">                                                </w:t>
    </w:r>
    <w:r>
      <w:t xml:space="preserve">    </w:t>
    </w:r>
  </w:p>
  <w:p w14:paraId="58BC4D04">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17010">
    <w:pPr>
      <w:pStyle w:val="23"/>
      <w:pBdr>
        <w:bottom w:val="none" w:color="auto" w:sz="0" w:space="1"/>
      </w:pBdr>
    </w:pPr>
    <w:r>
      <w:t></w:t>
    </w:r>
    <w:r>
      <w:rPr>
        <w:rFonts w:hint="eastAsia"/>
      </w:rPr>
      <w:t xml:space="preserve">         </w:t>
    </w:r>
  </w:p>
  <w:p w14:paraId="4EB4248F">
    <w:pPr>
      <w:pStyle w:val="23"/>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E3BF2"/>
    <w:multiLevelType w:val="singleLevel"/>
    <w:tmpl w:val="AF9E3BF2"/>
    <w:lvl w:ilvl="0" w:tentative="0">
      <w:start w:val="1"/>
      <w:numFmt w:val="decimal"/>
      <w:pStyle w:val="12"/>
      <w:lvlText w:val="%1."/>
      <w:lvlJc w:val="left"/>
      <w:pPr>
        <w:tabs>
          <w:tab w:val="left" w:pos="360"/>
        </w:tabs>
        <w:ind w:left="360" w:hanging="360"/>
      </w:pPr>
    </w:lvl>
  </w:abstractNum>
  <w:abstractNum w:abstractNumId="1">
    <w:nsid w:val="DEE5A7FF"/>
    <w:multiLevelType w:val="singleLevel"/>
    <w:tmpl w:val="DEE5A7FF"/>
    <w:lvl w:ilvl="0" w:tentative="0">
      <w:start w:val="1"/>
      <w:numFmt w:val="decimal"/>
      <w:suff w:val="nothing"/>
      <w:lvlText w:val="（%1）"/>
      <w:lvlJc w:val="left"/>
    </w:lvl>
  </w:abstractNum>
  <w:abstractNum w:abstractNumId="2">
    <w:nsid w:val="051D54B3"/>
    <w:multiLevelType w:val="singleLevel"/>
    <w:tmpl w:val="051D54B3"/>
    <w:lvl w:ilvl="0" w:tentative="0">
      <w:start w:val="1"/>
      <w:numFmt w:val="chineseCounting"/>
      <w:suff w:val="nothing"/>
      <w:lvlText w:val="%1、"/>
      <w:lvlJc w:val="left"/>
      <w:rPr>
        <w:rFonts w:hint="eastAsia"/>
      </w:rPr>
    </w:lvl>
  </w:abstractNum>
  <w:abstractNum w:abstractNumId="3">
    <w:nsid w:val="32B75EBB"/>
    <w:multiLevelType w:val="multilevel"/>
    <w:tmpl w:val="32B75EBB"/>
    <w:lvl w:ilvl="0" w:tentative="0">
      <w:start w:val="1"/>
      <w:numFmt w:val="decimal"/>
      <w:pStyle w:val="2"/>
      <w:isLgl/>
      <w:lvlText w:val="%1、"/>
      <w:lvlJc w:val="left"/>
      <w:pPr>
        <w:ind w:left="420" w:hanging="420"/>
      </w:pPr>
      <w:rPr>
        <w:rFonts w:hint="default"/>
        <w:b/>
        <w:i w:val="0"/>
        <w:sz w:val="32"/>
      </w:rPr>
    </w:lvl>
    <w:lvl w:ilvl="1" w:tentative="0">
      <w:start w:val="1"/>
      <w:numFmt w:val="decimal"/>
      <w:pStyle w:val="4"/>
      <w:isLgl/>
      <w:suff w:val="space"/>
      <w:lvlText w:val="%1.%2 "/>
      <w:lvlJc w:val="left"/>
      <w:pPr>
        <w:ind w:left="0" w:firstLine="0"/>
      </w:pPr>
      <w:rPr>
        <w:rFonts w:hint="eastAsia"/>
      </w:rPr>
    </w:lvl>
    <w:lvl w:ilvl="2" w:tentative="0">
      <w:start w:val="1"/>
      <w:numFmt w:val="decimal"/>
      <w:pStyle w:val="5"/>
      <w:isLgl/>
      <w:suff w:val="space"/>
      <w:lvlText w:val="%1.%2.%3 "/>
      <w:lvlJc w:val="left"/>
      <w:pPr>
        <w:ind w:left="0" w:firstLine="0"/>
      </w:pPr>
      <w:rPr>
        <w:rFonts w:hint="eastAsia"/>
      </w:rPr>
    </w:lvl>
    <w:lvl w:ilvl="3" w:tentative="0">
      <w:start w:val="1"/>
      <w:numFmt w:val="decimal"/>
      <w:pStyle w:val="6"/>
      <w:isLgl/>
      <w:suff w:val="space"/>
      <w:lvlText w:val="%1.%2.%3.%4 "/>
      <w:lvlJc w:val="left"/>
      <w:pPr>
        <w:ind w:left="0" w:firstLine="0"/>
      </w:pPr>
      <w:rPr>
        <w:rFonts w:hint="eastAsia"/>
      </w:rPr>
    </w:lvl>
    <w:lvl w:ilvl="4" w:tentative="0">
      <w:start w:val="1"/>
      <w:numFmt w:val="decimal"/>
      <w:pStyle w:val="7"/>
      <w:isLgl/>
      <w:suff w:val="space"/>
      <w:lvlText w:val="%1.%2.%3.%4.%5"/>
      <w:lvlJc w:val="left"/>
      <w:pPr>
        <w:ind w:left="0" w:firstLine="0"/>
      </w:pPr>
      <w:rPr>
        <w:rFonts w:hint="default" w:ascii="Times New Roman" w:hAnsi="Times New Roman" w:eastAsia="仿宋"/>
        <w:b/>
        <w:i w:val="0"/>
        <w:sz w:val="24"/>
      </w:rPr>
    </w:lvl>
    <w:lvl w:ilvl="5" w:tentative="0">
      <w:start w:val="1"/>
      <w:numFmt w:val="chineseCountingThousand"/>
      <w:pStyle w:val="8"/>
      <w:suff w:val="space"/>
      <w:lvlText w:val="（%6） "/>
      <w:lvlJc w:val="left"/>
      <w:pPr>
        <w:ind w:left="0" w:firstLine="420"/>
      </w:pPr>
      <w:rPr>
        <w:rFonts w:hint="default" w:ascii="Times New Roman" w:hAnsi="Times New Roman" w:eastAsia="仿宋"/>
        <w:b/>
        <w:i w:val="0"/>
        <w:sz w:val="24"/>
      </w:rPr>
    </w:lvl>
    <w:lvl w:ilvl="6" w:tentative="0">
      <w:start w:val="1"/>
      <w:numFmt w:val="lowerLetter"/>
      <w:pStyle w:val="9"/>
      <w:suff w:val="space"/>
      <w:lvlText w:val="%7. "/>
      <w:lvlJc w:val="left"/>
      <w:pPr>
        <w:ind w:left="0" w:firstLine="839"/>
      </w:pPr>
      <w:rPr>
        <w:rFonts w:hint="default" w:ascii="Times New Roman" w:hAnsi="Times New Roman" w:eastAsia="仿宋"/>
        <w:b w:val="0"/>
        <w:i w:val="0"/>
        <w:sz w:val="24"/>
      </w:rPr>
    </w:lvl>
    <w:lvl w:ilvl="7" w:tentative="0">
      <w:start w:val="1"/>
      <w:numFmt w:val="decimal"/>
      <w:pStyle w:val="10"/>
      <w:isLgl/>
      <w:suff w:val="space"/>
      <w:lvlText w:val="%1.%2.%3.%4.%5.%6.%7.%8 "/>
      <w:lvlJc w:val="left"/>
      <w:pPr>
        <w:ind w:left="0" w:firstLine="0"/>
      </w:pPr>
      <w:rPr>
        <w:rFonts w:hint="eastAsia"/>
      </w:rPr>
    </w:lvl>
    <w:lvl w:ilvl="8" w:tentative="0">
      <w:start w:val="1"/>
      <w:numFmt w:val="decimal"/>
      <w:pStyle w:val="11"/>
      <w:isLgl/>
      <w:suff w:val="space"/>
      <w:lvlText w:val="%1.%2.%3.%4.%5.%6.%7.%8.%9 "/>
      <w:lvlJc w:val="left"/>
      <w:pPr>
        <w:ind w:left="0" w:firstLine="0"/>
      </w:pPr>
      <w:rPr>
        <w:rFonts w:hint="eastAsia"/>
      </w:rPr>
    </w:lvl>
  </w:abstractNum>
  <w:abstractNum w:abstractNumId="4">
    <w:nsid w:val="3FEE531A"/>
    <w:multiLevelType w:val="singleLevel"/>
    <w:tmpl w:val="3FEE531A"/>
    <w:lvl w:ilvl="0" w:tentative="0">
      <w:start w:val="1"/>
      <w:numFmt w:val="chineseCounting"/>
      <w:suff w:val="space"/>
      <w:lvlText w:val="%1、"/>
      <w:lvlJc w:val="left"/>
      <w:rPr>
        <w:rFonts w:hint="eastAsia"/>
      </w:rPr>
    </w:lvl>
  </w:abstractNum>
  <w:abstractNum w:abstractNumId="5">
    <w:nsid w:val="59873320"/>
    <w:multiLevelType w:val="singleLevel"/>
    <w:tmpl w:val="59873320"/>
    <w:lvl w:ilvl="0" w:tentative="0">
      <w:start w:val="1"/>
      <w:numFmt w:val="decimal"/>
      <w:suff w:val="nothing"/>
      <w:lvlText w:val="%1."/>
      <w:lvlJc w:val="left"/>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lMWY2MTg3OTEzYjgyMzRlMWIwN2RkYWU5ZGQyM2QifQ=="/>
    <w:docVar w:name="KSO_WPS_MARK_KEY" w:val="5719d5ef-aefc-4c2a-a36f-42048a194f26"/>
  </w:docVars>
  <w:rsids>
    <w:rsidRoot w:val="00FD1906"/>
    <w:rsid w:val="000749E3"/>
    <w:rsid w:val="0015275A"/>
    <w:rsid w:val="00233096"/>
    <w:rsid w:val="002D30FF"/>
    <w:rsid w:val="002E1F6F"/>
    <w:rsid w:val="00363E91"/>
    <w:rsid w:val="00365312"/>
    <w:rsid w:val="00441793"/>
    <w:rsid w:val="00452631"/>
    <w:rsid w:val="00467B75"/>
    <w:rsid w:val="00474A30"/>
    <w:rsid w:val="006B3CC8"/>
    <w:rsid w:val="006E30D7"/>
    <w:rsid w:val="00752924"/>
    <w:rsid w:val="00791DC6"/>
    <w:rsid w:val="007A1D27"/>
    <w:rsid w:val="007B15E8"/>
    <w:rsid w:val="00811BB8"/>
    <w:rsid w:val="008505DF"/>
    <w:rsid w:val="0088414B"/>
    <w:rsid w:val="009224FE"/>
    <w:rsid w:val="00934FB6"/>
    <w:rsid w:val="00935CD7"/>
    <w:rsid w:val="00980797"/>
    <w:rsid w:val="009C15CF"/>
    <w:rsid w:val="00A404DE"/>
    <w:rsid w:val="00A617EC"/>
    <w:rsid w:val="00A95F8F"/>
    <w:rsid w:val="00BA05F9"/>
    <w:rsid w:val="00BA103C"/>
    <w:rsid w:val="00BA7CA7"/>
    <w:rsid w:val="00C07129"/>
    <w:rsid w:val="00C34F15"/>
    <w:rsid w:val="00C77DD8"/>
    <w:rsid w:val="00C94924"/>
    <w:rsid w:val="00CB1D48"/>
    <w:rsid w:val="00D56D7A"/>
    <w:rsid w:val="00DD42C5"/>
    <w:rsid w:val="00EB57F3"/>
    <w:rsid w:val="00EF7950"/>
    <w:rsid w:val="00F26333"/>
    <w:rsid w:val="00F3689B"/>
    <w:rsid w:val="00F46D15"/>
    <w:rsid w:val="00F53E66"/>
    <w:rsid w:val="00FB3342"/>
    <w:rsid w:val="00FD1906"/>
    <w:rsid w:val="00FD747D"/>
    <w:rsid w:val="0101210E"/>
    <w:rsid w:val="011357E5"/>
    <w:rsid w:val="01227D26"/>
    <w:rsid w:val="012810B4"/>
    <w:rsid w:val="01341807"/>
    <w:rsid w:val="01376D9B"/>
    <w:rsid w:val="013E4434"/>
    <w:rsid w:val="015D0D5E"/>
    <w:rsid w:val="019D115B"/>
    <w:rsid w:val="01F66ABD"/>
    <w:rsid w:val="020A2568"/>
    <w:rsid w:val="02301FCF"/>
    <w:rsid w:val="023D46EC"/>
    <w:rsid w:val="024E68F9"/>
    <w:rsid w:val="0273010D"/>
    <w:rsid w:val="027F2F56"/>
    <w:rsid w:val="028E3199"/>
    <w:rsid w:val="02954528"/>
    <w:rsid w:val="029E162E"/>
    <w:rsid w:val="02A8425B"/>
    <w:rsid w:val="03034482"/>
    <w:rsid w:val="03323B24"/>
    <w:rsid w:val="034675D0"/>
    <w:rsid w:val="035A307B"/>
    <w:rsid w:val="0361265C"/>
    <w:rsid w:val="037C61D6"/>
    <w:rsid w:val="03936CB9"/>
    <w:rsid w:val="039C3694"/>
    <w:rsid w:val="039D18E6"/>
    <w:rsid w:val="03A34A22"/>
    <w:rsid w:val="04003C23"/>
    <w:rsid w:val="047F2D99"/>
    <w:rsid w:val="049D3B67"/>
    <w:rsid w:val="04E2157A"/>
    <w:rsid w:val="04E23328"/>
    <w:rsid w:val="050634BB"/>
    <w:rsid w:val="051931EE"/>
    <w:rsid w:val="055B3806"/>
    <w:rsid w:val="05600E1D"/>
    <w:rsid w:val="05654685"/>
    <w:rsid w:val="05760640"/>
    <w:rsid w:val="057E5747"/>
    <w:rsid w:val="058645FB"/>
    <w:rsid w:val="059E1945"/>
    <w:rsid w:val="05B57FBE"/>
    <w:rsid w:val="05C054C9"/>
    <w:rsid w:val="05E11539"/>
    <w:rsid w:val="05EB48F5"/>
    <w:rsid w:val="062A142B"/>
    <w:rsid w:val="064E5119"/>
    <w:rsid w:val="06712BB6"/>
    <w:rsid w:val="067F3525"/>
    <w:rsid w:val="06896151"/>
    <w:rsid w:val="069F5975"/>
    <w:rsid w:val="06BB2083"/>
    <w:rsid w:val="06C929F2"/>
    <w:rsid w:val="070D3E2D"/>
    <w:rsid w:val="07106873"/>
    <w:rsid w:val="07500A1D"/>
    <w:rsid w:val="0753050D"/>
    <w:rsid w:val="07656115"/>
    <w:rsid w:val="077A3CEC"/>
    <w:rsid w:val="081D2FF5"/>
    <w:rsid w:val="081E0B1B"/>
    <w:rsid w:val="08444A26"/>
    <w:rsid w:val="085A2DB4"/>
    <w:rsid w:val="08732C15"/>
    <w:rsid w:val="088A61B1"/>
    <w:rsid w:val="08C16076"/>
    <w:rsid w:val="08D4742C"/>
    <w:rsid w:val="08DD29D1"/>
    <w:rsid w:val="08E9737B"/>
    <w:rsid w:val="091C14FF"/>
    <w:rsid w:val="091E5277"/>
    <w:rsid w:val="09280C19"/>
    <w:rsid w:val="09410820"/>
    <w:rsid w:val="095962AF"/>
    <w:rsid w:val="09652EA6"/>
    <w:rsid w:val="09A03EDE"/>
    <w:rsid w:val="09D27E0F"/>
    <w:rsid w:val="09F2400E"/>
    <w:rsid w:val="0A0007F1"/>
    <w:rsid w:val="0A075D0B"/>
    <w:rsid w:val="0A09393B"/>
    <w:rsid w:val="0A1C72DC"/>
    <w:rsid w:val="0A432061"/>
    <w:rsid w:val="0AA277E2"/>
    <w:rsid w:val="0AD16319"/>
    <w:rsid w:val="0AEF054D"/>
    <w:rsid w:val="0AF67B2D"/>
    <w:rsid w:val="0B116715"/>
    <w:rsid w:val="0B2621C1"/>
    <w:rsid w:val="0B5A630E"/>
    <w:rsid w:val="0B5C2086"/>
    <w:rsid w:val="0B66377A"/>
    <w:rsid w:val="0B7F3FC7"/>
    <w:rsid w:val="0B867103"/>
    <w:rsid w:val="0B925AA8"/>
    <w:rsid w:val="0BA8707A"/>
    <w:rsid w:val="0BBE064B"/>
    <w:rsid w:val="0BCF2858"/>
    <w:rsid w:val="0C1E332A"/>
    <w:rsid w:val="0C2A7A8F"/>
    <w:rsid w:val="0C395F24"/>
    <w:rsid w:val="0C5965C6"/>
    <w:rsid w:val="0C7870BF"/>
    <w:rsid w:val="0C903004"/>
    <w:rsid w:val="0C9B6FF0"/>
    <w:rsid w:val="0CC04046"/>
    <w:rsid w:val="0CD21ED4"/>
    <w:rsid w:val="0CF35B37"/>
    <w:rsid w:val="0D6E7E4F"/>
    <w:rsid w:val="0D8B6C53"/>
    <w:rsid w:val="0D933C77"/>
    <w:rsid w:val="0D9F44AC"/>
    <w:rsid w:val="0DAB4BFF"/>
    <w:rsid w:val="0DBD4932"/>
    <w:rsid w:val="0DC108C7"/>
    <w:rsid w:val="0DE85E53"/>
    <w:rsid w:val="0E3D4D49"/>
    <w:rsid w:val="0E6D6359"/>
    <w:rsid w:val="0E8568A1"/>
    <w:rsid w:val="0E9B4C74"/>
    <w:rsid w:val="0EC8358F"/>
    <w:rsid w:val="0EC918BA"/>
    <w:rsid w:val="0EDB7766"/>
    <w:rsid w:val="0EFD76DC"/>
    <w:rsid w:val="0F205179"/>
    <w:rsid w:val="0F4E7F38"/>
    <w:rsid w:val="0F6A75CA"/>
    <w:rsid w:val="0F87169C"/>
    <w:rsid w:val="0F9067A2"/>
    <w:rsid w:val="0F953DB9"/>
    <w:rsid w:val="0F9718DF"/>
    <w:rsid w:val="0FAD0600"/>
    <w:rsid w:val="0FB104C7"/>
    <w:rsid w:val="0FDF5034"/>
    <w:rsid w:val="0FDF6DE2"/>
    <w:rsid w:val="100B5E29"/>
    <w:rsid w:val="10141507"/>
    <w:rsid w:val="101B0D53"/>
    <w:rsid w:val="103233B6"/>
    <w:rsid w:val="103435D2"/>
    <w:rsid w:val="104430E9"/>
    <w:rsid w:val="105C48D7"/>
    <w:rsid w:val="107C2883"/>
    <w:rsid w:val="107E13C0"/>
    <w:rsid w:val="107F2A45"/>
    <w:rsid w:val="10857989"/>
    <w:rsid w:val="10881228"/>
    <w:rsid w:val="10AD0C8E"/>
    <w:rsid w:val="10BE10ED"/>
    <w:rsid w:val="10C55FD8"/>
    <w:rsid w:val="10C77FA2"/>
    <w:rsid w:val="10D95F27"/>
    <w:rsid w:val="10EC17B7"/>
    <w:rsid w:val="11365128"/>
    <w:rsid w:val="116A6B7F"/>
    <w:rsid w:val="117874EE"/>
    <w:rsid w:val="118B7221"/>
    <w:rsid w:val="11902A8A"/>
    <w:rsid w:val="11940A4B"/>
    <w:rsid w:val="11980B70"/>
    <w:rsid w:val="11A309D4"/>
    <w:rsid w:val="11CE35B2"/>
    <w:rsid w:val="11D0732A"/>
    <w:rsid w:val="11E84674"/>
    <w:rsid w:val="11F03528"/>
    <w:rsid w:val="11FF19BD"/>
    <w:rsid w:val="12114BEB"/>
    <w:rsid w:val="12147639"/>
    <w:rsid w:val="12170AB5"/>
    <w:rsid w:val="128670E7"/>
    <w:rsid w:val="128819B3"/>
    <w:rsid w:val="12AB744F"/>
    <w:rsid w:val="12B46304"/>
    <w:rsid w:val="12C80001"/>
    <w:rsid w:val="12D44BF8"/>
    <w:rsid w:val="12DE15D3"/>
    <w:rsid w:val="12F901BB"/>
    <w:rsid w:val="13041E6B"/>
    <w:rsid w:val="1309130D"/>
    <w:rsid w:val="130A23C8"/>
    <w:rsid w:val="13345697"/>
    <w:rsid w:val="135B0E75"/>
    <w:rsid w:val="13750189"/>
    <w:rsid w:val="13A97E33"/>
    <w:rsid w:val="13AA55D0"/>
    <w:rsid w:val="13BB36C2"/>
    <w:rsid w:val="13E744B7"/>
    <w:rsid w:val="13FD7406"/>
    <w:rsid w:val="13FF3EF7"/>
    <w:rsid w:val="140B2B66"/>
    <w:rsid w:val="14151024"/>
    <w:rsid w:val="143F2545"/>
    <w:rsid w:val="14691370"/>
    <w:rsid w:val="149208C7"/>
    <w:rsid w:val="14DF1632"/>
    <w:rsid w:val="14E32326"/>
    <w:rsid w:val="14E530ED"/>
    <w:rsid w:val="14ED01F3"/>
    <w:rsid w:val="150F1EAB"/>
    <w:rsid w:val="15227E9D"/>
    <w:rsid w:val="153104E2"/>
    <w:rsid w:val="15446098"/>
    <w:rsid w:val="157B135B"/>
    <w:rsid w:val="159A6830"/>
    <w:rsid w:val="15D13671"/>
    <w:rsid w:val="15E52C78"/>
    <w:rsid w:val="163A1216"/>
    <w:rsid w:val="16443E43"/>
    <w:rsid w:val="16481B85"/>
    <w:rsid w:val="16A60975"/>
    <w:rsid w:val="16B41B7E"/>
    <w:rsid w:val="16B56AEF"/>
    <w:rsid w:val="16BD3B7A"/>
    <w:rsid w:val="16E55626"/>
    <w:rsid w:val="17035AAC"/>
    <w:rsid w:val="1704317B"/>
    <w:rsid w:val="17123F41"/>
    <w:rsid w:val="17214184"/>
    <w:rsid w:val="176522C3"/>
    <w:rsid w:val="17E97D1C"/>
    <w:rsid w:val="18155A97"/>
    <w:rsid w:val="181A629A"/>
    <w:rsid w:val="183D4FEE"/>
    <w:rsid w:val="185D743E"/>
    <w:rsid w:val="18684588"/>
    <w:rsid w:val="18694035"/>
    <w:rsid w:val="186B1B5B"/>
    <w:rsid w:val="18D03455"/>
    <w:rsid w:val="18ED2570"/>
    <w:rsid w:val="190A1374"/>
    <w:rsid w:val="192F2B88"/>
    <w:rsid w:val="193E2DCB"/>
    <w:rsid w:val="194303E2"/>
    <w:rsid w:val="19466124"/>
    <w:rsid w:val="1962355C"/>
    <w:rsid w:val="197467ED"/>
    <w:rsid w:val="1977008B"/>
    <w:rsid w:val="19B117EF"/>
    <w:rsid w:val="19B830FE"/>
    <w:rsid w:val="19C07B2D"/>
    <w:rsid w:val="19E82D37"/>
    <w:rsid w:val="19EF2318"/>
    <w:rsid w:val="19F416DC"/>
    <w:rsid w:val="1A051B3B"/>
    <w:rsid w:val="1A0E09F0"/>
    <w:rsid w:val="1A1324AA"/>
    <w:rsid w:val="1A3A7A37"/>
    <w:rsid w:val="1A966130"/>
    <w:rsid w:val="1AD35795"/>
    <w:rsid w:val="1AD4308C"/>
    <w:rsid w:val="1AE36298"/>
    <w:rsid w:val="1AFF5D54"/>
    <w:rsid w:val="1B430B6D"/>
    <w:rsid w:val="1B652AA0"/>
    <w:rsid w:val="1B79633D"/>
    <w:rsid w:val="1B9118D8"/>
    <w:rsid w:val="1BBC26CD"/>
    <w:rsid w:val="1C3A1F70"/>
    <w:rsid w:val="1C3D380E"/>
    <w:rsid w:val="1C6E0AF0"/>
    <w:rsid w:val="1CA13D9D"/>
    <w:rsid w:val="1CB33AD0"/>
    <w:rsid w:val="1CE95744"/>
    <w:rsid w:val="1CEB326A"/>
    <w:rsid w:val="1CED6FE2"/>
    <w:rsid w:val="1CF00880"/>
    <w:rsid w:val="1CF02AC3"/>
    <w:rsid w:val="1D214DD8"/>
    <w:rsid w:val="1D2A0873"/>
    <w:rsid w:val="1D444728"/>
    <w:rsid w:val="1D4A2936"/>
    <w:rsid w:val="1D9F5E03"/>
    <w:rsid w:val="1DBC4C07"/>
    <w:rsid w:val="1DC046F7"/>
    <w:rsid w:val="1DCA7323"/>
    <w:rsid w:val="1DED025A"/>
    <w:rsid w:val="1DF443A0"/>
    <w:rsid w:val="1DF60F39"/>
    <w:rsid w:val="1E012619"/>
    <w:rsid w:val="1E032835"/>
    <w:rsid w:val="1E25455A"/>
    <w:rsid w:val="1E401394"/>
    <w:rsid w:val="1E426EBA"/>
    <w:rsid w:val="1E6E5F01"/>
    <w:rsid w:val="1E845724"/>
    <w:rsid w:val="1E9811D0"/>
    <w:rsid w:val="1EA27958"/>
    <w:rsid w:val="1ECA6EAF"/>
    <w:rsid w:val="1EDD4E34"/>
    <w:rsid w:val="1EE2069D"/>
    <w:rsid w:val="1EF87EC0"/>
    <w:rsid w:val="1F046865"/>
    <w:rsid w:val="1F0C1276"/>
    <w:rsid w:val="1F15637C"/>
    <w:rsid w:val="1F226FBB"/>
    <w:rsid w:val="1F2E38E2"/>
    <w:rsid w:val="1F3F33F9"/>
    <w:rsid w:val="1F5D7D23"/>
    <w:rsid w:val="1F63358C"/>
    <w:rsid w:val="1F745F7B"/>
    <w:rsid w:val="1FB30D56"/>
    <w:rsid w:val="1FC61D6D"/>
    <w:rsid w:val="1FE8583F"/>
    <w:rsid w:val="1FF00B97"/>
    <w:rsid w:val="20176124"/>
    <w:rsid w:val="20230F6D"/>
    <w:rsid w:val="202C6073"/>
    <w:rsid w:val="20360CA0"/>
    <w:rsid w:val="20446376"/>
    <w:rsid w:val="20C53DD2"/>
    <w:rsid w:val="20FF72E4"/>
    <w:rsid w:val="2100305C"/>
    <w:rsid w:val="21050673"/>
    <w:rsid w:val="21093CBF"/>
    <w:rsid w:val="21350F58"/>
    <w:rsid w:val="213571AA"/>
    <w:rsid w:val="21893DF4"/>
    <w:rsid w:val="22120715"/>
    <w:rsid w:val="222339F7"/>
    <w:rsid w:val="225E44DE"/>
    <w:rsid w:val="227930C6"/>
    <w:rsid w:val="227B6E3E"/>
    <w:rsid w:val="22877591"/>
    <w:rsid w:val="229677D4"/>
    <w:rsid w:val="229879F0"/>
    <w:rsid w:val="22EE5862"/>
    <w:rsid w:val="231A0405"/>
    <w:rsid w:val="231D1CA3"/>
    <w:rsid w:val="232079E6"/>
    <w:rsid w:val="23487548"/>
    <w:rsid w:val="23515DF1"/>
    <w:rsid w:val="23717717"/>
    <w:rsid w:val="2378512C"/>
    <w:rsid w:val="237A0EA4"/>
    <w:rsid w:val="23977CA8"/>
    <w:rsid w:val="23C068D3"/>
    <w:rsid w:val="23E32EED"/>
    <w:rsid w:val="23F073B8"/>
    <w:rsid w:val="23F60736"/>
    <w:rsid w:val="240A66CC"/>
    <w:rsid w:val="24213A15"/>
    <w:rsid w:val="24507E57"/>
    <w:rsid w:val="24561911"/>
    <w:rsid w:val="246A716A"/>
    <w:rsid w:val="247B4ED4"/>
    <w:rsid w:val="2483022C"/>
    <w:rsid w:val="249D12EE"/>
    <w:rsid w:val="24A563F4"/>
    <w:rsid w:val="24A85EE5"/>
    <w:rsid w:val="24B15CB7"/>
    <w:rsid w:val="24EC5DD1"/>
    <w:rsid w:val="252A68FA"/>
    <w:rsid w:val="25456399"/>
    <w:rsid w:val="255816B9"/>
    <w:rsid w:val="25660EFE"/>
    <w:rsid w:val="2573204F"/>
    <w:rsid w:val="257B7624"/>
    <w:rsid w:val="257F09F3"/>
    <w:rsid w:val="2584600A"/>
    <w:rsid w:val="259326F1"/>
    <w:rsid w:val="25BC39F6"/>
    <w:rsid w:val="25C96113"/>
    <w:rsid w:val="26431A21"/>
    <w:rsid w:val="267F7EE5"/>
    <w:rsid w:val="268564DD"/>
    <w:rsid w:val="26924756"/>
    <w:rsid w:val="26937BFF"/>
    <w:rsid w:val="26961EDB"/>
    <w:rsid w:val="26A050C5"/>
    <w:rsid w:val="26AF5308"/>
    <w:rsid w:val="26B00074"/>
    <w:rsid w:val="26BE554B"/>
    <w:rsid w:val="26C03072"/>
    <w:rsid w:val="26CA2142"/>
    <w:rsid w:val="26CF7759"/>
    <w:rsid w:val="27207FB4"/>
    <w:rsid w:val="27225ADA"/>
    <w:rsid w:val="27392E24"/>
    <w:rsid w:val="27547C5E"/>
    <w:rsid w:val="27706BF2"/>
    <w:rsid w:val="27985D9D"/>
    <w:rsid w:val="27A504B9"/>
    <w:rsid w:val="27BC5F2F"/>
    <w:rsid w:val="27D33279"/>
    <w:rsid w:val="281C69CE"/>
    <w:rsid w:val="281D773F"/>
    <w:rsid w:val="28575C58"/>
    <w:rsid w:val="286D438F"/>
    <w:rsid w:val="287560DE"/>
    <w:rsid w:val="28AD3ACA"/>
    <w:rsid w:val="28BC3086"/>
    <w:rsid w:val="28D41056"/>
    <w:rsid w:val="28E31299"/>
    <w:rsid w:val="28FD5DB2"/>
    <w:rsid w:val="291678C1"/>
    <w:rsid w:val="29323FCF"/>
    <w:rsid w:val="296B6E20"/>
    <w:rsid w:val="2996455E"/>
    <w:rsid w:val="29A273A6"/>
    <w:rsid w:val="29C235A5"/>
    <w:rsid w:val="29C94933"/>
    <w:rsid w:val="29D15596"/>
    <w:rsid w:val="29E259F5"/>
    <w:rsid w:val="2A063491"/>
    <w:rsid w:val="2A224043"/>
    <w:rsid w:val="2A482B83"/>
    <w:rsid w:val="2A4C2E6E"/>
    <w:rsid w:val="2A500BB0"/>
    <w:rsid w:val="2A6E1037"/>
    <w:rsid w:val="2A7B55E0"/>
    <w:rsid w:val="2A93584E"/>
    <w:rsid w:val="2AA36F32"/>
    <w:rsid w:val="2B1C4F36"/>
    <w:rsid w:val="2B59701E"/>
    <w:rsid w:val="2B7A5BC5"/>
    <w:rsid w:val="2B7F05E3"/>
    <w:rsid w:val="2B850564"/>
    <w:rsid w:val="2B8F5708"/>
    <w:rsid w:val="2BA271EA"/>
    <w:rsid w:val="2BAC0068"/>
    <w:rsid w:val="2BCF1059"/>
    <w:rsid w:val="2BD870AF"/>
    <w:rsid w:val="2BDD0222"/>
    <w:rsid w:val="2C0734F1"/>
    <w:rsid w:val="2C0A397A"/>
    <w:rsid w:val="2C161986"/>
    <w:rsid w:val="2C2C11A9"/>
    <w:rsid w:val="2C3F0EDD"/>
    <w:rsid w:val="2C6170A5"/>
    <w:rsid w:val="2C655CD6"/>
    <w:rsid w:val="2C695F59"/>
    <w:rsid w:val="2C8903AA"/>
    <w:rsid w:val="2CD0422B"/>
    <w:rsid w:val="2CE455E0"/>
    <w:rsid w:val="2D102879"/>
    <w:rsid w:val="2D1F0559"/>
    <w:rsid w:val="2D482013"/>
    <w:rsid w:val="2D4A7B39"/>
    <w:rsid w:val="2D7050C6"/>
    <w:rsid w:val="2D870D8D"/>
    <w:rsid w:val="2D917516"/>
    <w:rsid w:val="2DA23164"/>
    <w:rsid w:val="2DDB4C35"/>
    <w:rsid w:val="2E150147"/>
    <w:rsid w:val="2E41718E"/>
    <w:rsid w:val="2E4C5B33"/>
    <w:rsid w:val="2E505623"/>
    <w:rsid w:val="2E530C6F"/>
    <w:rsid w:val="2E5F7614"/>
    <w:rsid w:val="2E752192"/>
    <w:rsid w:val="2E8B665B"/>
    <w:rsid w:val="2E9372BE"/>
    <w:rsid w:val="2EC456C9"/>
    <w:rsid w:val="2EDC6EB7"/>
    <w:rsid w:val="2F0D52DA"/>
    <w:rsid w:val="2F204FF5"/>
    <w:rsid w:val="2F3F5396"/>
    <w:rsid w:val="2F776BDF"/>
    <w:rsid w:val="2F9B467C"/>
    <w:rsid w:val="2FA011EA"/>
    <w:rsid w:val="2FA01C92"/>
    <w:rsid w:val="2FA84FEB"/>
    <w:rsid w:val="301D1535"/>
    <w:rsid w:val="30301E9F"/>
    <w:rsid w:val="304E16EE"/>
    <w:rsid w:val="304F5466"/>
    <w:rsid w:val="30534F57"/>
    <w:rsid w:val="3062163D"/>
    <w:rsid w:val="30A5668C"/>
    <w:rsid w:val="30CD2F5B"/>
    <w:rsid w:val="30F009F7"/>
    <w:rsid w:val="30FD4EC2"/>
    <w:rsid w:val="310B1D3F"/>
    <w:rsid w:val="310D15A9"/>
    <w:rsid w:val="31342FDA"/>
    <w:rsid w:val="313703D4"/>
    <w:rsid w:val="314D19A6"/>
    <w:rsid w:val="31570A76"/>
    <w:rsid w:val="315A0567"/>
    <w:rsid w:val="3175714F"/>
    <w:rsid w:val="31821543"/>
    <w:rsid w:val="31AB491E"/>
    <w:rsid w:val="31AD4B3A"/>
    <w:rsid w:val="31B23EFF"/>
    <w:rsid w:val="31EB11BF"/>
    <w:rsid w:val="320104FF"/>
    <w:rsid w:val="320504D2"/>
    <w:rsid w:val="32140715"/>
    <w:rsid w:val="321626E0"/>
    <w:rsid w:val="322975E7"/>
    <w:rsid w:val="325A081E"/>
    <w:rsid w:val="32640E00"/>
    <w:rsid w:val="326C2300"/>
    <w:rsid w:val="32700042"/>
    <w:rsid w:val="32807B59"/>
    <w:rsid w:val="32810EF2"/>
    <w:rsid w:val="329A50BF"/>
    <w:rsid w:val="32A45F3D"/>
    <w:rsid w:val="32B51EF8"/>
    <w:rsid w:val="32D61E6F"/>
    <w:rsid w:val="32D700C1"/>
    <w:rsid w:val="33053299"/>
    <w:rsid w:val="332C1A8F"/>
    <w:rsid w:val="332C6155"/>
    <w:rsid w:val="333170A5"/>
    <w:rsid w:val="33460DA3"/>
    <w:rsid w:val="335F3C12"/>
    <w:rsid w:val="33A974A1"/>
    <w:rsid w:val="3421711A"/>
    <w:rsid w:val="344A2B14"/>
    <w:rsid w:val="346314E0"/>
    <w:rsid w:val="34763D72"/>
    <w:rsid w:val="34833930"/>
    <w:rsid w:val="34930017"/>
    <w:rsid w:val="349D49F2"/>
    <w:rsid w:val="34F860CC"/>
    <w:rsid w:val="35056B6A"/>
    <w:rsid w:val="35103416"/>
    <w:rsid w:val="351C5E01"/>
    <w:rsid w:val="352670DE"/>
    <w:rsid w:val="352C3FC8"/>
    <w:rsid w:val="35414B88"/>
    <w:rsid w:val="355F439E"/>
    <w:rsid w:val="35655E21"/>
    <w:rsid w:val="356E5C86"/>
    <w:rsid w:val="358E07DF"/>
    <w:rsid w:val="35B5220F"/>
    <w:rsid w:val="35C506A4"/>
    <w:rsid w:val="35C67F79"/>
    <w:rsid w:val="35CD1307"/>
    <w:rsid w:val="35CD7559"/>
    <w:rsid w:val="35DB7EC8"/>
    <w:rsid w:val="35EB0151"/>
    <w:rsid w:val="35FE7865"/>
    <w:rsid w:val="36611E1B"/>
    <w:rsid w:val="368220F2"/>
    <w:rsid w:val="36B50719"/>
    <w:rsid w:val="36BA5D2F"/>
    <w:rsid w:val="36C7044C"/>
    <w:rsid w:val="36D668E1"/>
    <w:rsid w:val="372C6B57"/>
    <w:rsid w:val="375C0B95"/>
    <w:rsid w:val="37620175"/>
    <w:rsid w:val="37732382"/>
    <w:rsid w:val="37FA3F53"/>
    <w:rsid w:val="384004B6"/>
    <w:rsid w:val="38741F0E"/>
    <w:rsid w:val="387737AC"/>
    <w:rsid w:val="388E475A"/>
    <w:rsid w:val="38FB43DD"/>
    <w:rsid w:val="391B69F1"/>
    <w:rsid w:val="39227BBC"/>
    <w:rsid w:val="3929250D"/>
    <w:rsid w:val="3942200C"/>
    <w:rsid w:val="39423DBA"/>
    <w:rsid w:val="39B94725"/>
    <w:rsid w:val="39EC3D26"/>
    <w:rsid w:val="3A802DEC"/>
    <w:rsid w:val="3A8328DC"/>
    <w:rsid w:val="3AA82343"/>
    <w:rsid w:val="3AB17449"/>
    <w:rsid w:val="3ADE3FB6"/>
    <w:rsid w:val="3AFD61EB"/>
    <w:rsid w:val="3B0A78BE"/>
    <w:rsid w:val="3B194FEF"/>
    <w:rsid w:val="3B455DE4"/>
    <w:rsid w:val="3B4974F4"/>
    <w:rsid w:val="3B4A51A8"/>
    <w:rsid w:val="3B6A75F8"/>
    <w:rsid w:val="3B801C20"/>
    <w:rsid w:val="3BC92571"/>
    <w:rsid w:val="3BC96A15"/>
    <w:rsid w:val="3BD22094"/>
    <w:rsid w:val="3BDC04F6"/>
    <w:rsid w:val="3BE253E0"/>
    <w:rsid w:val="3BF42C19"/>
    <w:rsid w:val="3C1112C7"/>
    <w:rsid w:val="3C265C15"/>
    <w:rsid w:val="3CA8662A"/>
    <w:rsid w:val="3CE07B72"/>
    <w:rsid w:val="3CE27D8E"/>
    <w:rsid w:val="3D0A1E30"/>
    <w:rsid w:val="3D281519"/>
    <w:rsid w:val="3D2A34E3"/>
    <w:rsid w:val="3D460DCE"/>
    <w:rsid w:val="3D5D5666"/>
    <w:rsid w:val="3D687B67"/>
    <w:rsid w:val="3DC76F84"/>
    <w:rsid w:val="3DC94AAA"/>
    <w:rsid w:val="3DCA52D7"/>
    <w:rsid w:val="3DDB4D41"/>
    <w:rsid w:val="3DE2340B"/>
    <w:rsid w:val="3DEB2C72"/>
    <w:rsid w:val="3DF06109"/>
    <w:rsid w:val="3E1877DF"/>
    <w:rsid w:val="3E4D7489"/>
    <w:rsid w:val="3E8A248B"/>
    <w:rsid w:val="3E8F7347"/>
    <w:rsid w:val="3E90381A"/>
    <w:rsid w:val="3EC11C25"/>
    <w:rsid w:val="3EC34A9C"/>
    <w:rsid w:val="3ECD3B48"/>
    <w:rsid w:val="3EF24AD6"/>
    <w:rsid w:val="3F080FA9"/>
    <w:rsid w:val="3F183C76"/>
    <w:rsid w:val="3F19380F"/>
    <w:rsid w:val="3F6C393F"/>
    <w:rsid w:val="3F7722E4"/>
    <w:rsid w:val="3F7F6E2D"/>
    <w:rsid w:val="3F9D36D7"/>
    <w:rsid w:val="3FA4757D"/>
    <w:rsid w:val="3FA62662"/>
    <w:rsid w:val="3FB47094"/>
    <w:rsid w:val="3FB874DD"/>
    <w:rsid w:val="3FDD2A8F"/>
    <w:rsid w:val="3FE756BB"/>
    <w:rsid w:val="3FEB6F5A"/>
    <w:rsid w:val="3FFA0F4B"/>
    <w:rsid w:val="40055B41"/>
    <w:rsid w:val="401429C4"/>
    <w:rsid w:val="402661E4"/>
    <w:rsid w:val="4041301D"/>
    <w:rsid w:val="408178BE"/>
    <w:rsid w:val="409D5D7A"/>
    <w:rsid w:val="40C94DC1"/>
    <w:rsid w:val="40D519B8"/>
    <w:rsid w:val="40E843C9"/>
    <w:rsid w:val="40E96016"/>
    <w:rsid w:val="40FA31CC"/>
    <w:rsid w:val="40FD201B"/>
    <w:rsid w:val="41086AFC"/>
    <w:rsid w:val="413E57AF"/>
    <w:rsid w:val="41FB71FC"/>
    <w:rsid w:val="42116A20"/>
    <w:rsid w:val="421B33FA"/>
    <w:rsid w:val="421B789E"/>
    <w:rsid w:val="423746D8"/>
    <w:rsid w:val="42660B19"/>
    <w:rsid w:val="428C7EBD"/>
    <w:rsid w:val="42AE24C0"/>
    <w:rsid w:val="42B5384F"/>
    <w:rsid w:val="42C03CBC"/>
    <w:rsid w:val="42C36318"/>
    <w:rsid w:val="42D93D3B"/>
    <w:rsid w:val="42F83F42"/>
    <w:rsid w:val="43010842"/>
    <w:rsid w:val="431467C7"/>
    <w:rsid w:val="43340C18"/>
    <w:rsid w:val="43454BD3"/>
    <w:rsid w:val="43456981"/>
    <w:rsid w:val="434A043B"/>
    <w:rsid w:val="434D7F2B"/>
    <w:rsid w:val="436E2F43"/>
    <w:rsid w:val="43AF2BC6"/>
    <w:rsid w:val="43CF0940"/>
    <w:rsid w:val="43D1290A"/>
    <w:rsid w:val="43D877F5"/>
    <w:rsid w:val="43ED4379"/>
    <w:rsid w:val="441611D5"/>
    <w:rsid w:val="441A605F"/>
    <w:rsid w:val="44587568"/>
    <w:rsid w:val="445F543B"/>
    <w:rsid w:val="4461094B"/>
    <w:rsid w:val="448259B3"/>
    <w:rsid w:val="44F468B0"/>
    <w:rsid w:val="45036AF3"/>
    <w:rsid w:val="455E01CE"/>
    <w:rsid w:val="4565330A"/>
    <w:rsid w:val="457754EA"/>
    <w:rsid w:val="459534C4"/>
    <w:rsid w:val="459C68A4"/>
    <w:rsid w:val="45AA6F6F"/>
    <w:rsid w:val="45B20519"/>
    <w:rsid w:val="45BC6CA2"/>
    <w:rsid w:val="45BE1AE6"/>
    <w:rsid w:val="45C36283"/>
    <w:rsid w:val="45E5444B"/>
    <w:rsid w:val="45F1670E"/>
    <w:rsid w:val="465F520C"/>
    <w:rsid w:val="46A76744"/>
    <w:rsid w:val="46A95479"/>
    <w:rsid w:val="46F64735"/>
    <w:rsid w:val="47217705"/>
    <w:rsid w:val="47971775"/>
    <w:rsid w:val="47976456"/>
    <w:rsid w:val="47B916EB"/>
    <w:rsid w:val="47CA56A6"/>
    <w:rsid w:val="47EF7803"/>
    <w:rsid w:val="47FE35A2"/>
    <w:rsid w:val="48284AC3"/>
    <w:rsid w:val="48311BC9"/>
    <w:rsid w:val="485B6C46"/>
    <w:rsid w:val="486A6E0B"/>
    <w:rsid w:val="486D2CD8"/>
    <w:rsid w:val="489E2D6C"/>
    <w:rsid w:val="48A56114"/>
    <w:rsid w:val="48AD6346"/>
    <w:rsid w:val="48CE11C6"/>
    <w:rsid w:val="48D175CC"/>
    <w:rsid w:val="49247038"/>
    <w:rsid w:val="492A3A72"/>
    <w:rsid w:val="49380D36"/>
    <w:rsid w:val="498547EE"/>
    <w:rsid w:val="49A07007"/>
    <w:rsid w:val="49B26D3A"/>
    <w:rsid w:val="49E6576F"/>
    <w:rsid w:val="4A34774F"/>
    <w:rsid w:val="4A527BD5"/>
    <w:rsid w:val="4A54394D"/>
    <w:rsid w:val="4AA448D5"/>
    <w:rsid w:val="4AB61684"/>
    <w:rsid w:val="4AB80380"/>
    <w:rsid w:val="4AB81412"/>
    <w:rsid w:val="4AF33D06"/>
    <w:rsid w:val="4AF62C56"/>
    <w:rsid w:val="4AFF5FAF"/>
    <w:rsid w:val="4B156AF3"/>
    <w:rsid w:val="4B1D6435"/>
    <w:rsid w:val="4B6E6C91"/>
    <w:rsid w:val="4B7122DD"/>
    <w:rsid w:val="4BC52D55"/>
    <w:rsid w:val="4BCB5E91"/>
    <w:rsid w:val="4BF47196"/>
    <w:rsid w:val="4BF947AC"/>
    <w:rsid w:val="4C1930A0"/>
    <w:rsid w:val="4C392DFB"/>
    <w:rsid w:val="4C3D6D8F"/>
    <w:rsid w:val="4C453E95"/>
    <w:rsid w:val="4C4F261E"/>
    <w:rsid w:val="4C6D519A"/>
    <w:rsid w:val="4C942727"/>
    <w:rsid w:val="4CA26BF2"/>
    <w:rsid w:val="4CB201CA"/>
    <w:rsid w:val="4CBB4158"/>
    <w:rsid w:val="4CD6689C"/>
    <w:rsid w:val="4D176E22"/>
    <w:rsid w:val="4D2770F7"/>
    <w:rsid w:val="4D3D4B6D"/>
    <w:rsid w:val="4D401408"/>
    <w:rsid w:val="4D8D11DF"/>
    <w:rsid w:val="4D901140"/>
    <w:rsid w:val="4DA4699A"/>
    <w:rsid w:val="4DB30F27"/>
    <w:rsid w:val="4DB42272"/>
    <w:rsid w:val="4E263853"/>
    <w:rsid w:val="4E281379"/>
    <w:rsid w:val="4E37780E"/>
    <w:rsid w:val="4E467A51"/>
    <w:rsid w:val="4E485577"/>
    <w:rsid w:val="4E5A2257"/>
    <w:rsid w:val="4E74636C"/>
    <w:rsid w:val="4E7E71EB"/>
    <w:rsid w:val="4E8567CB"/>
    <w:rsid w:val="4EA03605"/>
    <w:rsid w:val="4EB1136E"/>
    <w:rsid w:val="4EBA57DB"/>
    <w:rsid w:val="4EC354C3"/>
    <w:rsid w:val="4EEF633A"/>
    <w:rsid w:val="4F0E67C1"/>
    <w:rsid w:val="4F22226C"/>
    <w:rsid w:val="4F245FE4"/>
    <w:rsid w:val="4FD974F3"/>
    <w:rsid w:val="4FDD4733"/>
    <w:rsid w:val="4FDF63AF"/>
    <w:rsid w:val="4FFF6109"/>
    <w:rsid w:val="501F0559"/>
    <w:rsid w:val="504D3319"/>
    <w:rsid w:val="505226DD"/>
    <w:rsid w:val="50566671"/>
    <w:rsid w:val="507A32F8"/>
    <w:rsid w:val="507C775A"/>
    <w:rsid w:val="50830AE8"/>
    <w:rsid w:val="50947199"/>
    <w:rsid w:val="50B3232E"/>
    <w:rsid w:val="50BD049E"/>
    <w:rsid w:val="50C07F8E"/>
    <w:rsid w:val="50C555A5"/>
    <w:rsid w:val="50ED2406"/>
    <w:rsid w:val="511F2F07"/>
    <w:rsid w:val="51A74CAA"/>
    <w:rsid w:val="51BD44CE"/>
    <w:rsid w:val="51C25640"/>
    <w:rsid w:val="51C4585C"/>
    <w:rsid w:val="51F272C7"/>
    <w:rsid w:val="5208052B"/>
    <w:rsid w:val="52291B63"/>
    <w:rsid w:val="522A5477"/>
    <w:rsid w:val="524806C4"/>
    <w:rsid w:val="52592449"/>
    <w:rsid w:val="52727066"/>
    <w:rsid w:val="528154FB"/>
    <w:rsid w:val="52EF4B5B"/>
    <w:rsid w:val="530F658E"/>
    <w:rsid w:val="53312A7E"/>
    <w:rsid w:val="533B56AA"/>
    <w:rsid w:val="533D58C6"/>
    <w:rsid w:val="538232D9"/>
    <w:rsid w:val="538A6D2B"/>
    <w:rsid w:val="5394125E"/>
    <w:rsid w:val="53B042EA"/>
    <w:rsid w:val="53F02939"/>
    <w:rsid w:val="53FC752F"/>
    <w:rsid w:val="5406215C"/>
    <w:rsid w:val="542B45EC"/>
    <w:rsid w:val="544669FD"/>
    <w:rsid w:val="549534E0"/>
    <w:rsid w:val="54980F22"/>
    <w:rsid w:val="54A83213"/>
    <w:rsid w:val="54F2623D"/>
    <w:rsid w:val="555667CB"/>
    <w:rsid w:val="55630EE8"/>
    <w:rsid w:val="55A03EEB"/>
    <w:rsid w:val="55A067CC"/>
    <w:rsid w:val="55DA38A0"/>
    <w:rsid w:val="55FC3817"/>
    <w:rsid w:val="5632548A"/>
    <w:rsid w:val="563D3E2F"/>
    <w:rsid w:val="566B7DFC"/>
    <w:rsid w:val="568A7940"/>
    <w:rsid w:val="56DD3859"/>
    <w:rsid w:val="56DF0A43"/>
    <w:rsid w:val="57272B15"/>
    <w:rsid w:val="572B7067"/>
    <w:rsid w:val="572D7A00"/>
    <w:rsid w:val="57346FE0"/>
    <w:rsid w:val="5737087F"/>
    <w:rsid w:val="57711FE2"/>
    <w:rsid w:val="577540B8"/>
    <w:rsid w:val="57A53A3A"/>
    <w:rsid w:val="57B70297"/>
    <w:rsid w:val="57E24C8E"/>
    <w:rsid w:val="580A1AEF"/>
    <w:rsid w:val="5822508B"/>
    <w:rsid w:val="583F3E8F"/>
    <w:rsid w:val="585225F3"/>
    <w:rsid w:val="58562F86"/>
    <w:rsid w:val="58676F42"/>
    <w:rsid w:val="587B479B"/>
    <w:rsid w:val="588F3B20"/>
    <w:rsid w:val="58AB32D2"/>
    <w:rsid w:val="58C0339B"/>
    <w:rsid w:val="590444F4"/>
    <w:rsid w:val="590C4664"/>
    <w:rsid w:val="59367040"/>
    <w:rsid w:val="597E2795"/>
    <w:rsid w:val="59E61F07"/>
    <w:rsid w:val="5A053D8C"/>
    <w:rsid w:val="5A272E2C"/>
    <w:rsid w:val="5A3C2885"/>
    <w:rsid w:val="5A436D1B"/>
    <w:rsid w:val="5A720F23"/>
    <w:rsid w:val="5A81078E"/>
    <w:rsid w:val="5A843DDB"/>
    <w:rsid w:val="5A855465"/>
    <w:rsid w:val="5ABA15AB"/>
    <w:rsid w:val="5ABF2995"/>
    <w:rsid w:val="5ABF4E13"/>
    <w:rsid w:val="5AE42ACB"/>
    <w:rsid w:val="5B5C4D58"/>
    <w:rsid w:val="5B70093C"/>
    <w:rsid w:val="5B835E40"/>
    <w:rsid w:val="5B985EBC"/>
    <w:rsid w:val="5BB71F8E"/>
    <w:rsid w:val="5BB93F58"/>
    <w:rsid w:val="5BC76675"/>
    <w:rsid w:val="5C1A0E6D"/>
    <w:rsid w:val="5C221AFD"/>
    <w:rsid w:val="5C4B1054"/>
    <w:rsid w:val="5C4E644E"/>
    <w:rsid w:val="5C593F81"/>
    <w:rsid w:val="5C86208C"/>
    <w:rsid w:val="5C891B7C"/>
    <w:rsid w:val="5CB62246"/>
    <w:rsid w:val="5CBF734C"/>
    <w:rsid w:val="5CDD5A24"/>
    <w:rsid w:val="5CFA4828"/>
    <w:rsid w:val="5D192F00"/>
    <w:rsid w:val="5D445AA3"/>
    <w:rsid w:val="5D6121B1"/>
    <w:rsid w:val="5D700646"/>
    <w:rsid w:val="5D7C6FEB"/>
    <w:rsid w:val="5DA0717E"/>
    <w:rsid w:val="5DE066BF"/>
    <w:rsid w:val="5E197A93"/>
    <w:rsid w:val="5E243E67"/>
    <w:rsid w:val="5E261311"/>
    <w:rsid w:val="5E36363E"/>
    <w:rsid w:val="5E622104"/>
    <w:rsid w:val="5E8C14B0"/>
    <w:rsid w:val="5EA75195"/>
    <w:rsid w:val="5EE50BC0"/>
    <w:rsid w:val="5F0674B4"/>
    <w:rsid w:val="5F105C3D"/>
    <w:rsid w:val="5F1E27A5"/>
    <w:rsid w:val="5F21609C"/>
    <w:rsid w:val="5F487ACD"/>
    <w:rsid w:val="5F505154"/>
    <w:rsid w:val="5F65675B"/>
    <w:rsid w:val="5F7A57AC"/>
    <w:rsid w:val="5F8E3006"/>
    <w:rsid w:val="5F9D7E80"/>
    <w:rsid w:val="5FCD46F9"/>
    <w:rsid w:val="5FDE21DF"/>
    <w:rsid w:val="5FFA069B"/>
    <w:rsid w:val="60196D73"/>
    <w:rsid w:val="60343BAD"/>
    <w:rsid w:val="60563B24"/>
    <w:rsid w:val="60795A64"/>
    <w:rsid w:val="607E307A"/>
    <w:rsid w:val="607E751E"/>
    <w:rsid w:val="608A7C71"/>
    <w:rsid w:val="608C3C73"/>
    <w:rsid w:val="60AE7E03"/>
    <w:rsid w:val="60AF21F2"/>
    <w:rsid w:val="60B30F76"/>
    <w:rsid w:val="60B62814"/>
    <w:rsid w:val="60BB42CE"/>
    <w:rsid w:val="60E750C3"/>
    <w:rsid w:val="60F31CBA"/>
    <w:rsid w:val="61093088"/>
    <w:rsid w:val="612B4FB0"/>
    <w:rsid w:val="61475B62"/>
    <w:rsid w:val="61642270"/>
    <w:rsid w:val="61A60ADB"/>
    <w:rsid w:val="61B41449"/>
    <w:rsid w:val="61B431F8"/>
    <w:rsid w:val="61E82EA1"/>
    <w:rsid w:val="61F53810"/>
    <w:rsid w:val="620F6680"/>
    <w:rsid w:val="6232236E"/>
    <w:rsid w:val="623B56C7"/>
    <w:rsid w:val="623E51B7"/>
    <w:rsid w:val="624A590A"/>
    <w:rsid w:val="62546789"/>
    <w:rsid w:val="6259410F"/>
    <w:rsid w:val="626C3AD2"/>
    <w:rsid w:val="6271733B"/>
    <w:rsid w:val="6291178B"/>
    <w:rsid w:val="62C21944"/>
    <w:rsid w:val="62E0626E"/>
    <w:rsid w:val="62E47B0C"/>
    <w:rsid w:val="62EC4C13"/>
    <w:rsid w:val="6318012F"/>
    <w:rsid w:val="63395A57"/>
    <w:rsid w:val="634467FD"/>
    <w:rsid w:val="636724EC"/>
    <w:rsid w:val="63972DD1"/>
    <w:rsid w:val="63C82F8A"/>
    <w:rsid w:val="63CB4828"/>
    <w:rsid w:val="63D7141F"/>
    <w:rsid w:val="63F35B2D"/>
    <w:rsid w:val="63F9493F"/>
    <w:rsid w:val="64B21544"/>
    <w:rsid w:val="64B82FFF"/>
    <w:rsid w:val="64C03C61"/>
    <w:rsid w:val="64D70FAB"/>
    <w:rsid w:val="65000502"/>
    <w:rsid w:val="651B533C"/>
    <w:rsid w:val="652D0ECB"/>
    <w:rsid w:val="653F727C"/>
    <w:rsid w:val="655B1BDC"/>
    <w:rsid w:val="657333CA"/>
    <w:rsid w:val="6589396E"/>
    <w:rsid w:val="6589499B"/>
    <w:rsid w:val="65A90B99"/>
    <w:rsid w:val="65C43C25"/>
    <w:rsid w:val="66575889"/>
    <w:rsid w:val="66783F59"/>
    <w:rsid w:val="66A01F9C"/>
    <w:rsid w:val="66A23F66"/>
    <w:rsid w:val="66B141AA"/>
    <w:rsid w:val="66B27F22"/>
    <w:rsid w:val="66DE4873"/>
    <w:rsid w:val="66E71979"/>
    <w:rsid w:val="670C7632"/>
    <w:rsid w:val="672C1A82"/>
    <w:rsid w:val="672E57FA"/>
    <w:rsid w:val="673E0C06"/>
    <w:rsid w:val="67AC4971"/>
    <w:rsid w:val="67B53825"/>
    <w:rsid w:val="67BC1058"/>
    <w:rsid w:val="67D068B1"/>
    <w:rsid w:val="67E265E5"/>
    <w:rsid w:val="67F56318"/>
    <w:rsid w:val="68190258"/>
    <w:rsid w:val="6884144A"/>
    <w:rsid w:val="688723D3"/>
    <w:rsid w:val="68A45648"/>
    <w:rsid w:val="68AF2A9E"/>
    <w:rsid w:val="68BA4E6C"/>
    <w:rsid w:val="68C33D20"/>
    <w:rsid w:val="690C3919"/>
    <w:rsid w:val="69110F2F"/>
    <w:rsid w:val="69423360"/>
    <w:rsid w:val="6949691B"/>
    <w:rsid w:val="695B5B89"/>
    <w:rsid w:val="69635503"/>
    <w:rsid w:val="69690D6B"/>
    <w:rsid w:val="696F1336"/>
    <w:rsid w:val="69733998"/>
    <w:rsid w:val="698C05B6"/>
    <w:rsid w:val="69BB70ED"/>
    <w:rsid w:val="69C9180A"/>
    <w:rsid w:val="69D00DEB"/>
    <w:rsid w:val="6A060CA6"/>
    <w:rsid w:val="6A102F95"/>
    <w:rsid w:val="6A10568B"/>
    <w:rsid w:val="6A42336B"/>
    <w:rsid w:val="6A795746"/>
    <w:rsid w:val="6AC83870"/>
    <w:rsid w:val="6AC90DF4"/>
    <w:rsid w:val="6ACA3A8C"/>
    <w:rsid w:val="6AED1528"/>
    <w:rsid w:val="6B014FD4"/>
    <w:rsid w:val="6B086321"/>
    <w:rsid w:val="6B166CD1"/>
    <w:rsid w:val="6B1747F7"/>
    <w:rsid w:val="6B286A04"/>
    <w:rsid w:val="6B3B6738"/>
    <w:rsid w:val="6B5C220A"/>
    <w:rsid w:val="6B6712DB"/>
    <w:rsid w:val="6B6951CD"/>
    <w:rsid w:val="6B8F210E"/>
    <w:rsid w:val="6BBA58AE"/>
    <w:rsid w:val="6BC73B27"/>
    <w:rsid w:val="6BDB5825"/>
    <w:rsid w:val="6BF32B6E"/>
    <w:rsid w:val="6C7D4B2E"/>
    <w:rsid w:val="6C814F8B"/>
    <w:rsid w:val="6C8C6B1F"/>
    <w:rsid w:val="6CAD1960"/>
    <w:rsid w:val="6CB26586"/>
    <w:rsid w:val="6CEA21C3"/>
    <w:rsid w:val="6CF070AE"/>
    <w:rsid w:val="6D282CEC"/>
    <w:rsid w:val="6D2A6A64"/>
    <w:rsid w:val="6D3B2A1F"/>
    <w:rsid w:val="6D6535F8"/>
    <w:rsid w:val="6D6C0E2A"/>
    <w:rsid w:val="6D735F7B"/>
    <w:rsid w:val="6D9162CD"/>
    <w:rsid w:val="6D9F08E5"/>
    <w:rsid w:val="6DAD31F1"/>
    <w:rsid w:val="6DD4077E"/>
    <w:rsid w:val="6DE22E9A"/>
    <w:rsid w:val="6DEF55B7"/>
    <w:rsid w:val="6DFB5D0A"/>
    <w:rsid w:val="6E26547D"/>
    <w:rsid w:val="6E396833"/>
    <w:rsid w:val="6E7F4B8D"/>
    <w:rsid w:val="6E9A19C7"/>
    <w:rsid w:val="6EBF31DC"/>
    <w:rsid w:val="6EC10D02"/>
    <w:rsid w:val="6EF235B1"/>
    <w:rsid w:val="6F7C10CD"/>
    <w:rsid w:val="6F7E1C23"/>
    <w:rsid w:val="6F912DCA"/>
    <w:rsid w:val="6FC767EC"/>
    <w:rsid w:val="6FF62C2D"/>
    <w:rsid w:val="6FFB0243"/>
    <w:rsid w:val="7007308C"/>
    <w:rsid w:val="70074E3A"/>
    <w:rsid w:val="700A492A"/>
    <w:rsid w:val="700F1F41"/>
    <w:rsid w:val="70131A31"/>
    <w:rsid w:val="70313C65"/>
    <w:rsid w:val="705A140E"/>
    <w:rsid w:val="71031AA6"/>
    <w:rsid w:val="710364D6"/>
    <w:rsid w:val="7130216F"/>
    <w:rsid w:val="714D4ACF"/>
    <w:rsid w:val="719C6A43"/>
    <w:rsid w:val="71B71FA3"/>
    <w:rsid w:val="71BA7C8A"/>
    <w:rsid w:val="71C70239"/>
    <w:rsid w:val="71D657B6"/>
    <w:rsid w:val="71E116BB"/>
    <w:rsid w:val="72141120"/>
    <w:rsid w:val="723B701D"/>
    <w:rsid w:val="723D4B43"/>
    <w:rsid w:val="725930C6"/>
    <w:rsid w:val="72AB41A3"/>
    <w:rsid w:val="72C60FDD"/>
    <w:rsid w:val="731F06ED"/>
    <w:rsid w:val="73217DC5"/>
    <w:rsid w:val="733A5527"/>
    <w:rsid w:val="73463ECB"/>
    <w:rsid w:val="73564E58"/>
    <w:rsid w:val="73571EEC"/>
    <w:rsid w:val="73852C46"/>
    <w:rsid w:val="73B40E35"/>
    <w:rsid w:val="73B819C4"/>
    <w:rsid w:val="73D96AEE"/>
    <w:rsid w:val="73E7745D"/>
    <w:rsid w:val="73EC3051"/>
    <w:rsid w:val="73FE6554"/>
    <w:rsid w:val="740022CC"/>
    <w:rsid w:val="7407365B"/>
    <w:rsid w:val="7431087C"/>
    <w:rsid w:val="7456013E"/>
    <w:rsid w:val="745B39A7"/>
    <w:rsid w:val="745E5245"/>
    <w:rsid w:val="74604B19"/>
    <w:rsid w:val="748527D2"/>
    <w:rsid w:val="7491561A"/>
    <w:rsid w:val="74A23383"/>
    <w:rsid w:val="74AA2238"/>
    <w:rsid w:val="74C257D4"/>
    <w:rsid w:val="74D177C5"/>
    <w:rsid w:val="74F160B9"/>
    <w:rsid w:val="750340FC"/>
    <w:rsid w:val="75093403"/>
    <w:rsid w:val="75301913"/>
    <w:rsid w:val="755723C0"/>
    <w:rsid w:val="757E794D"/>
    <w:rsid w:val="75856CF0"/>
    <w:rsid w:val="75B415C0"/>
    <w:rsid w:val="75C13CDD"/>
    <w:rsid w:val="75DB4D9F"/>
    <w:rsid w:val="761C0F14"/>
    <w:rsid w:val="7631437F"/>
    <w:rsid w:val="764364A0"/>
    <w:rsid w:val="76472434"/>
    <w:rsid w:val="764C7A4B"/>
    <w:rsid w:val="76595CC4"/>
    <w:rsid w:val="76785167"/>
    <w:rsid w:val="76854D0B"/>
    <w:rsid w:val="76A34141"/>
    <w:rsid w:val="76AF3B36"/>
    <w:rsid w:val="76C07AF1"/>
    <w:rsid w:val="76FB321F"/>
    <w:rsid w:val="770932F4"/>
    <w:rsid w:val="770976EA"/>
    <w:rsid w:val="7711659E"/>
    <w:rsid w:val="77366005"/>
    <w:rsid w:val="77456248"/>
    <w:rsid w:val="77581692"/>
    <w:rsid w:val="776821F4"/>
    <w:rsid w:val="77B70EF4"/>
    <w:rsid w:val="77DA4BE2"/>
    <w:rsid w:val="77DA614E"/>
    <w:rsid w:val="77E43CB3"/>
    <w:rsid w:val="78047EB1"/>
    <w:rsid w:val="782A3DBC"/>
    <w:rsid w:val="785D6A0E"/>
    <w:rsid w:val="7868764D"/>
    <w:rsid w:val="788A03B6"/>
    <w:rsid w:val="788D434B"/>
    <w:rsid w:val="78E201F2"/>
    <w:rsid w:val="78F41718"/>
    <w:rsid w:val="79352A18"/>
    <w:rsid w:val="793F7131"/>
    <w:rsid w:val="794744F9"/>
    <w:rsid w:val="795B1D53"/>
    <w:rsid w:val="795C61F7"/>
    <w:rsid w:val="79904DBA"/>
    <w:rsid w:val="79937CCB"/>
    <w:rsid w:val="79AB2CDA"/>
    <w:rsid w:val="79AC6571"/>
    <w:rsid w:val="79B53B59"/>
    <w:rsid w:val="79B646C7"/>
    <w:rsid w:val="79DD09BA"/>
    <w:rsid w:val="7A212F9C"/>
    <w:rsid w:val="7A22231A"/>
    <w:rsid w:val="7A2A00A3"/>
    <w:rsid w:val="7A3F3423"/>
    <w:rsid w:val="7A5073DE"/>
    <w:rsid w:val="7A6E350B"/>
    <w:rsid w:val="7A890316"/>
    <w:rsid w:val="7A911ED0"/>
    <w:rsid w:val="7AB160CE"/>
    <w:rsid w:val="7AF57EF1"/>
    <w:rsid w:val="7B3960C4"/>
    <w:rsid w:val="7B3A4316"/>
    <w:rsid w:val="7B4C5DF7"/>
    <w:rsid w:val="7B690757"/>
    <w:rsid w:val="7B937ECA"/>
    <w:rsid w:val="7BDD1145"/>
    <w:rsid w:val="7BE349AD"/>
    <w:rsid w:val="7BE97AEA"/>
    <w:rsid w:val="7BF2262B"/>
    <w:rsid w:val="7C105077"/>
    <w:rsid w:val="7C635AEE"/>
    <w:rsid w:val="7C7E6484"/>
    <w:rsid w:val="7CE56503"/>
    <w:rsid w:val="7D075E39"/>
    <w:rsid w:val="7D11554A"/>
    <w:rsid w:val="7D4551F4"/>
    <w:rsid w:val="7D494CE4"/>
    <w:rsid w:val="7D650960"/>
    <w:rsid w:val="7DA737B9"/>
    <w:rsid w:val="7DBA34EC"/>
    <w:rsid w:val="7DEB7B49"/>
    <w:rsid w:val="7DF06F0E"/>
    <w:rsid w:val="7E01736D"/>
    <w:rsid w:val="7E1202D5"/>
    <w:rsid w:val="7E124621"/>
    <w:rsid w:val="7E235535"/>
    <w:rsid w:val="7E4A17B5"/>
    <w:rsid w:val="7E584145"/>
    <w:rsid w:val="7E6671D0"/>
    <w:rsid w:val="7E7933A7"/>
    <w:rsid w:val="7E7C2E97"/>
    <w:rsid w:val="7E7C4C45"/>
    <w:rsid w:val="7EE34CC4"/>
    <w:rsid w:val="7F315A30"/>
    <w:rsid w:val="7F8042C1"/>
    <w:rsid w:val="7FB72A94"/>
    <w:rsid w:val="7FB76415"/>
    <w:rsid w:val="7FC72C59"/>
    <w:rsid w:val="7FCE14D1"/>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4"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2"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4"/>
    <w:pPr>
      <w:spacing w:line="360" w:lineRule="auto"/>
      <w:ind w:firstLine="198"/>
    </w:pPr>
    <w:rPr>
      <w:rFonts w:ascii="Times New Roman" w:hAnsi="Times New Roman" w:eastAsia="仿宋" w:cstheme="minorBidi"/>
      <w:kern w:val="2"/>
      <w:sz w:val="24"/>
      <w:szCs w:val="24"/>
      <w:lang w:val="en-US" w:eastAsia="zh-CN" w:bidi="ar-SA"/>
    </w:rPr>
  </w:style>
  <w:style w:type="paragraph" w:styleId="2">
    <w:name w:val="heading 1"/>
    <w:basedOn w:val="3"/>
    <w:next w:val="4"/>
    <w:link w:val="35"/>
    <w:qFormat/>
    <w:uiPriority w:val="0"/>
    <w:pPr>
      <w:keepNext/>
      <w:keepLines/>
      <w:numPr>
        <w:ilvl w:val="0"/>
        <w:numId w:val="1"/>
      </w:numPr>
      <w:tabs>
        <w:tab w:val="left" w:pos="360"/>
      </w:tabs>
      <w:autoSpaceDN w:val="0"/>
      <w:spacing w:before="50" w:beforeLines="50" w:after="50" w:afterLines="50"/>
      <w:ind w:firstLine="0" w:firstLineChars="0"/>
      <w:jc w:val="center"/>
      <w:textAlignment w:val="top"/>
      <w:outlineLvl w:val="0"/>
    </w:pPr>
    <w:rPr>
      <w:rFonts w:cs="仿宋"/>
      <w:b/>
      <w:bCs/>
      <w:kern w:val="44"/>
      <w:sz w:val="32"/>
      <w:szCs w:val="32"/>
    </w:rPr>
  </w:style>
  <w:style w:type="paragraph" w:styleId="4">
    <w:name w:val="heading 2"/>
    <w:basedOn w:val="1"/>
    <w:next w:val="1"/>
    <w:link w:val="36"/>
    <w:qFormat/>
    <w:uiPriority w:val="0"/>
    <w:pPr>
      <w:keepNext/>
      <w:keepLines/>
      <w:numPr>
        <w:ilvl w:val="1"/>
        <w:numId w:val="1"/>
      </w:numPr>
      <w:tabs>
        <w:tab w:val="left" w:pos="360"/>
      </w:tabs>
      <w:ind w:firstLineChars="0"/>
      <w:outlineLvl w:val="1"/>
    </w:pPr>
    <w:rPr>
      <w:b/>
      <w:bCs/>
      <w:color w:val="000000"/>
      <w:sz w:val="28"/>
    </w:rPr>
  </w:style>
  <w:style w:type="paragraph" w:styleId="5">
    <w:name w:val="heading 3"/>
    <w:basedOn w:val="1"/>
    <w:next w:val="1"/>
    <w:link w:val="37"/>
    <w:qFormat/>
    <w:uiPriority w:val="0"/>
    <w:pPr>
      <w:keepNext/>
      <w:keepLines/>
      <w:numPr>
        <w:ilvl w:val="2"/>
        <w:numId w:val="1"/>
      </w:numPr>
      <w:tabs>
        <w:tab w:val="left" w:pos="360"/>
      </w:tabs>
      <w:ind w:firstLineChars="0"/>
      <w:outlineLvl w:val="2"/>
    </w:pPr>
    <w:rPr>
      <w:rFonts w:cs="微软雅黑"/>
      <w:b/>
      <w:sz w:val="28"/>
      <w:szCs w:val="28"/>
    </w:rPr>
  </w:style>
  <w:style w:type="paragraph" w:styleId="6">
    <w:name w:val="heading 4"/>
    <w:basedOn w:val="3"/>
    <w:next w:val="3"/>
    <w:link w:val="38"/>
    <w:qFormat/>
    <w:uiPriority w:val="0"/>
    <w:pPr>
      <w:keepNext/>
      <w:keepLines/>
      <w:numPr>
        <w:ilvl w:val="3"/>
        <w:numId w:val="1"/>
      </w:numPr>
      <w:tabs>
        <w:tab w:val="left" w:pos="360"/>
      </w:tabs>
      <w:ind w:firstLineChars="0"/>
      <w:outlineLvl w:val="3"/>
    </w:pPr>
    <w:rPr>
      <w:rFonts w:cstheme="majorBidi"/>
      <w:b/>
      <w:bCs/>
      <w:szCs w:val="28"/>
    </w:rPr>
  </w:style>
  <w:style w:type="paragraph" w:styleId="7">
    <w:name w:val="heading 5"/>
    <w:basedOn w:val="3"/>
    <w:next w:val="3"/>
    <w:link w:val="39"/>
    <w:qFormat/>
    <w:uiPriority w:val="0"/>
    <w:pPr>
      <w:keepNext/>
      <w:keepLines/>
      <w:numPr>
        <w:ilvl w:val="4"/>
        <w:numId w:val="1"/>
      </w:numPr>
      <w:tabs>
        <w:tab w:val="left" w:pos="360"/>
      </w:tabs>
      <w:ind w:firstLineChars="0"/>
      <w:outlineLvl w:val="4"/>
    </w:pPr>
    <w:rPr>
      <w:b/>
      <w:bCs/>
      <w:szCs w:val="28"/>
    </w:rPr>
  </w:style>
  <w:style w:type="paragraph" w:styleId="8">
    <w:name w:val="heading 6"/>
    <w:basedOn w:val="1"/>
    <w:next w:val="1"/>
    <w:link w:val="40"/>
    <w:qFormat/>
    <w:uiPriority w:val="0"/>
    <w:pPr>
      <w:keepNext/>
      <w:keepLines/>
      <w:numPr>
        <w:ilvl w:val="5"/>
        <w:numId w:val="1"/>
      </w:numPr>
      <w:tabs>
        <w:tab w:val="left" w:pos="360"/>
        <w:tab w:val="left" w:pos="2004"/>
      </w:tabs>
      <w:ind w:firstLine="0" w:firstLineChars="0"/>
      <w:outlineLvl w:val="5"/>
    </w:pPr>
    <w:rPr>
      <w:rFonts w:cstheme="majorBidi"/>
      <w:b/>
      <w:bCs/>
    </w:rPr>
  </w:style>
  <w:style w:type="paragraph" w:styleId="9">
    <w:name w:val="heading 7"/>
    <w:basedOn w:val="3"/>
    <w:next w:val="1"/>
    <w:link w:val="41"/>
    <w:qFormat/>
    <w:uiPriority w:val="0"/>
    <w:pPr>
      <w:keepNext/>
      <w:keepLines/>
      <w:numPr>
        <w:ilvl w:val="6"/>
        <w:numId w:val="1"/>
      </w:numPr>
      <w:tabs>
        <w:tab w:val="left" w:pos="360"/>
      </w:tabs>
      <w:ind w:firstLine="0" w:firstLineChars="0"/>
      <w:outlineLvl w:val="6"/>
    </w:pPr>
    <w:rPr>
      <w:bCs/>
    </w:rPr>
  </w:style>
  <w:style w:type="paragraph" w:styleId="10">
    <w:name w:val="heading 8"/>
    <w:basedOn w:val="1"/>
    <w:next w:val="1"/>
    <w:link w:val="42"/>
    <w:unhideWhenUsed/>
    <w:qFormat/>
    <w:uiPriority w:val="2"/>
    <w:pPr>
      <w:keepNext/>
      <w:keepLines/>
      <w:numPr>
        <w:ilvl w:val="7"/>
        <w:numId w:val="1"/>
      </w:numPr>
      <w:tabs>
        <w:tab w:val="left" w:pos="2292"/>
      </w:tabs>
      <w:spacing w:before="240" w:after="64" w:line="320" w:lineRule="auto"/>
      <w:outlineLvl w:val="7"/>
    </w:pPr>
    <w:rPr>
      <w:rFonts w:asciiTheme="majorHAnsi" w:hAnsiTheme="majorHAnsi" w:eastAsiaTheme="majorEastAsia" w:cstheme="majorBidi"/>
    </w:rPr>
  </w:style>
  <w:style w:type="paragraph" w:styleId="11">
    <w:name w:val="heading 9"/>
    <w:basedOn w:val="1"/>
    <w:next w:val="1"/>
    <w:link w:val="43"/>
    <w:unhideWhenUsed/>
    <w:qFormat/>
    <w:uiPriority w:val="9"/>
    <w:pPr>
      <w:keepNext/>
      <w:keepLines/>
      <w:numPr>
        <w:ilvl w:val="8"/>
        <w:numId w:val="1"/>
      </w:numPr>
      <w:tabs>
        <w:tab w:val="left" w:pos="2436"/>
      </w:tabs>
      <w:spacing w:before="240" w:after="64" w:line="320" w:lineRule="auto"/>
      <w:outlineLvl w:val="8"/>
    </w:pPr>
    <w:rPr>
      <w:rFonts w:asciiTheme="majorHAnsi" w:hAnsiTheme="majorHAnsi" w:eastAsiaTheme="majorEastAsia" w:cstheme="majorBidi"/>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3">
    <w:name w:val="正文1"/>
    <w:basedOn w:val="1"/>
    <w:link w:val="44"/>
    <w:qFormat/>
    <w:uiPriority w:val="0"/>
    <w:pPr>
      <w:widowControl w:val="0"/>
      <w:ind w:firstLine="200" w:firstLineChars="200"/>
      <w:jc w:val="both"/>
    </w:pPr>
    <w:rPr>
      <w:lang w:val="zh-CN"/>
    </w:rPr>
  </w:style>
  <w:style w:type="paragraph" w:styleId="12">
    <w:name w:val="List Number"/>
    <w:basedOn w:val="1"/>
    <w:next w:val="13"/>
    <w:semiHidden/>
    <w:unhideWhenUsed/>
    <w:qFormat/>
    <w:uiPriority w:val="99"/>
    <w:pPr>
      <w:numPr>
        <w:ilvl w:val="0"/>
        <w:numId w:val="2"/>
      </w:numPr>
    </w:pPr>
  </w:style>
  <w:style w:type="paragraph" w:styleId="13">
    <w:name w:val="Balloon Text"/>
    <w:basedOn w:val="1"/>
    <w:next w:val="14"/>
    <w:qFormat/>
    <w:uiPriority w:val="0"/>
    <w:rPr>
      <w:sz w:val="18"/>
      <w:szCs w:val="18"/>
    </w:rPr>
  </w:style>
  <w:style w:type="paragraph" w:styleId="14">
    <w:name w:val="toc 8"/>
    <w:basedOn w:val="1"/>
    <w:next w:val="1"/>
    <w:qFormat/>
    <w:uiPriority w:val="0"/>
    <w:pPr>
      <w:ind w:left="1470"/>
      <w:jc w:val="left"/>
    </w:pPr>
    <w:rPr>
      <w:sz w:val="18"/>
      <w:szCs w:val="18"/>
    </w:rPr>
  </w:style>
  <w:style w:type="paragraph" w:styleId="15">
    <w:name w:val="Normal Indent"/>
    <w:basedOn w:val="1"/>
    <w:qFormat/>
    <w:uiPriority w:val="0"/>
    <w:pPr>
      <w:ind w:firstLine="420" w:firstLineChars="200"/>
    </w:pPr>
  </w:style>
  <w:style w:type="paragraph" w:styleId="16">
    <w:name w:val="Body Text"/>
    <w:basedOn w:val="1"/>
    <w:next w:val="17"/>
    <w:qFormat/>
    <w:uiPriority w:val="0"/>
    <w:pPr>
      <w:spacing w:after="120" w:afterLines="0"/>
    </w:pPr>
    <w:rPr>
      <w:sz w:val="28"/>
    </w:rPr>
  </w:style>
  <w:style w:type="paragraph" w:styleId="17">
    <w:name w:val="Body Text First Indent"/>
    <w:basedOn w:val="16"/>
    <w:next w:val="18"/>
    <w:qFormat/>
    <w:uiPriority w:val="0"/>
    <w:pPr>
      <w:adjustRightInd w:val="0"/>
      <w:spacing w:after="120" w:afterLines="0" w:line="360" w:lineRule="auto"/>
      <w:ind w:firstLine="420"/>
      <w:textAlignment w:val="baseline"/>
    </w:pPr>
    <w:rPr>
      <w:rFonts w:eastAsia="楷体_GB2312"/>
      <w:sz w:val="24"/>
      <w:lang w:bidi="ar-SA"/>
    </w:rPr>
  </w:style>
  <w:style w:type="paragraph" w:styleId="18">
    <w:name w:val="toc 6"/>
    <w:basedOn w:val="1"/>
    <w:next w:val="1"/>
    <w:semiHidden/>
    <w:qFormat/>
    <w:uiPriority w:val="0"/>
    <w:pPr>
      <w:widowControl w:val="0"/>
      <w:ind w:left="1050"/>
    </w:pPr>
    <w:rPr>
      <w:kern w:val="2"/>
      <w:sz w:val="18"/>
      <w:szCs w:val="18"/>
      <w:lang w:val="en-US" w:eastAsia="zh-CN" w:bidi="ar-SA"/>
    </w:rPr>
  </w:style>
  <w:style w:type="paragraph" w:styleId="19">
    <w:name w:val="Body Text Indent"/>
    <w:basedOn w:val="1"/>
    <w:next w:val="1"/>
    <w:qFormat/>
    <w:uiPriority w:val="0"/>
    <w:pPr>
      <w:spacing w:after="120"/>
      <w:ind w:leftChars="200"/>
    </w:pPr>
    <w:rPr>
      <w:rFonts w:eastAsia="宋体"/>
      <w:sz w:val="21"/>
      <w:szCs w:val="24"/>
    </w:rPr>
  </w:style>
  <w:style w:type="paragraph" w:styleId="20">
    <w:name w:val="Plain Text"/>
    <w:basedOn w:val="1"/>
    <w:next w:val="1"/>
    <w:qFormat/>
    <w:uiPriority w:val="0"/>
    <w:rPr>
      <w:rFonts w:ascii="宋体" w:hAnsi="Courier New"/>
      <w:szCs w:val="20"/>
    </w:rPr>
  </w:style>
  <w:style w:type="paragraph" w:styleId="21">
    <w:name w:val="Date"/>
    <w:basedOn w:val="1"/>
    <w:next w:val="1"/>
    <w:qFormat/>
    <w:uiPriority w:val="0"/>
    <w:pPr>
      <w:ind w:left="100"/>
    </w:pPr>
    <w:rPr>
      <w:sz w:val="28"/>
      <w:szCs w:val="20"/>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qFormat/>
    <w:uiPriority w:val="0"/>
    <w:pPr>
      <w:ind w:firstLine="570"/>
    </w:pPr>
    <w:rPr>
      <w:rFonts w:ascii="楷体_GB2312" w:eastAsia="楷体_GB2312"/>
      <w:sz w:val="32"/>
      <w:szCs w:val="20"/>
    </w:rPr>
  </w:style>
  <w:style w:type="paragraph" w:styleId="25">
    <w:name w:val="toc 2"/>
    <w:basedOn w:val="1"/>
    <w:next w:val="1"/>
    <w:qFormat/>
    <w:uiPriority w:val="0"/>
    <w:pPr>
      <w:ind w:left="420" w:leftChars="200"/>
    </w:p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Body Text First Indent 2"/>
    <w:basedOn w:val="19"/>
    <w:next w:val="1"/>
    <w:qFormat/>
    <w:uiPriority w:val="0"/>
    <w:pPr>
      <w:ind w:left="420" w:firstLine="420" w:firstLineChars="200"/>
    </w:pPr>
  </w:style>
  <w:style w:type="table" w:styleId="29">
    <w:name w:val="Table Grid"/>
    <w:basedOn w:val="28"/>
    <w:qFormat/>
    <w:uiPriority w:val="99"/>
    <w:pPr>
      <w:jc w:val="center"/>
    </w:pPr>
    <w:rPr>
      <w:rFonts w:ascii="Times New Roman" w:hAnsi="Times New Roman" w:eastAsia="仿宋"/>
      <w:kern w:val="0"/>
      <w:sz w:val="20"/>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Times New Roman" w:hAnsi="Times New Roman" w:eastAsia="仿宋"/>
        <w:b/>
        <w:i w:val="0"/>
        <w:sz w:val="28"/>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tcPr>
    </w:tblStylePr>
    <w:tblStylePr w:type="firstCol">
      <w:rPr>
        <w:rFonts w:ascii="Times New Roman" w:hAnsi="Times New Roman" w:eastAsia="仿宋"/>
        <w:b/>
        <w:i w:val="0"/>
        <w:sz w:val="21"/>
      </w:rPr>
    </w:tblStylePr>
  </w:style>
  <w:style w:type="character" w:styleId="31">
    <w:name w:val="page number"/>
    <w:basedOn w:val="30"/>
    <w:qFormat/>
    <w:uiPriority w:val="0"/>
  </w:style>
  <w:style w:type="paragraph" w:customStyle="1" w:styleId="32">
    <w:name w:val="段落"/>
    <w:basedOn w:val="33"/>
    <w:qFormat/>
    <w:uiPriority w:val="0"/>
    <w:pPr>
      <w:ind w:firstLine="200"/>
    </w:pPr>
    <w:rPr>
      <w:rFonts w:ascii="Verdana" w:hAnsi="Verdana"/>
      <w:color w:val="000000"/>
      <w:shd w:val="clear" w:color="auto" w:fill="FFFFFF"/>
    </w:rPr>
  </w:style>
  <w:style w:type="paragraph" w:customStyle="1" w:styleId="33">
    <w:name w:val="列表段落1"/>
    <w:basedOn w:val="1"/>
    <w:qFormat/>
    <w:uiPriority w:val="34"/>
    <w:pPr>
      <w:spacing w:before="120" w:after="120"/>
      <w:ind w:firstLine="420"/>
    </w:pPr>
    <w:rPr>
      <w:rFonts w:cs="Times New Roman"/>
      <w:szCs w:val="22"/>
    </w:rPr>
  </w:style>
  <w:style w:type="character" w:customStyle="1" w:styleId="34">
    <w:name w:val="apple-converted-space"/>
    <w:basedOn w:val="30"/>
    <w:qFormat/>
    <w:uiPriority w:val="0"/>
  </w:style>
  <w:style w:type="character" w:customStyle="1" w:styleId="35">
    <w:name w:val="标题 1 字符"/>
    <w:basedOn w:val="30"/>
    <w:link w:val="2"/>
    <w:qFormat/>
    <w:uiPriority w:val="0"/>
    <w:rPr>
      <w:rFonts w:ascii="Times New Roman" w:hAnsi="Times New Roman" w:eastAsia="仿宋" w:cs="仿宋"/>
      <w:b/>
      <w:bCs/>
      <w:kern w:val="44"/>
      <w:sz w:val="32"/>
      <w:szCs w:val="32"/>
      <w:lang w:val="zh-CN"/>
    </w:rPr>
  </w:style>
  <w:style w:type="character" w:customStyle="1" w:styleId="36">
    <w:name w:val="标题 2 字符"/>
    <w:basedOn w:val="30"/>
    <w:link w:val="4"/>
    <w:qFormat/>
    <w:uiPriority w:val="0"/>
    <w:rPr>
      <w:rFonts w:ascii="Times New Roman" w:hAnsi="Times New Roman" w:eastAsia="仿宋"/>
      <w:b/>
      <w:bCs/>
      <w:color w:val="000000"/>
      <w:sz w:val="28"/>
      <w:szCs w:val="24"/>
      <w:lang w:val="zh-CN"/>
    </w:rPr>
  </w:style>
  <w:style w:type="character" w:customStyle="1" w:styleId="37">
    <w:name w:val="标题 3 字符"/>
    <w:basedOn w:val="30"/>
    <w:link w:val="5"/>
    <w:qFormat/>
    <w:uiPriority w:val="0"/>
    <w:rPr>
      <w:rFonts w:ascii="Times New Roman" w:hAnsi="Times New Roman" w:eastAsia="仿宋" w:cs="微软雅黑"/>
      <w:b/>
      <w:sz w:val="28"/>
      <w:szCs w:val="28"/>
      <w:lang w:val="zh-CN"/>
    </w:rPr>
  </w:style>
  <w:style w:type="character" w:customStyle="1" w:styleId="38">
    <w:name w:val="标题 4 字符"/>
    <w:basedOn w:val="30"/>
    <w:link w:val="6"/>
    <w:qFormat/>
    <w:uiPriority w:val="0"/>
    <w:rPr>
      <w:rFonts w:ascii="Times New Roman" w:hAnsi="Times New Roman" w:eastAsia="仿宋" w:cstheme="majorBidi"/>
      <w:b/>
      <w:bCs/>
      <w:sz w:val="24"/>
      <w:szCs w:val="28"/>
      <w:lang w:val="zh-CN"/>
    </w:rPr>
  </w:style>
  <w:style w:type="character" w:customStyle="1" w:styleId="39">
    <w:name w:val="标题 5 字符"/>
    <w:basedOn w:val="30"/>
    <w:link w:val="7"/>
    <w:qFormat/>
    <w:uiPriority w:val="0"/>
    <w:rPr>
      <w:rFonts w:ascii="Times New Roman" w:hAnsi="Times New Roman" w:eastAsia="仿宋"/>
      <w:b/>
      <w:bCs/>
      <w:sz w:val="24"/>
      <w:szCs w:val="28"/>
      <w:lang w:val="zh-CN"/>
    </w:rPr>
  </w:style>
  <w:style w:type="character" w:customStyle="1" w:styleId="40">
    <w:name w:val="标题 6 字符"/>
    <w:basedOn w:val="30"/>
    <w:link w:val="8"/>
    <w:qFormat/>
    <w:uiPriority w:val="0"/>
    <w:rPr>
      <w:rFonts w:ascii="Times New Roman" w:hAnsi="Times New Roman" w:eastAsia="仿宋" w:cstheme="majorBidi"/>
      <w:b/>
      <w:bCs/>
      <w:sz w:val="24"/>
      <w:szCs w:val="24"/>
      <w:lang w:val="zh-CN"/>
    </w:rPr>
  </w:style>
  <w:style w:type="character" w:customStyle="1" w:styleId="41">
    <w:name w:val="标题 7 字符"/>
    <w:basedOn w:val="30"/>
    <w:link w:val="9"/>
    <w:qFormat/>
    <w:uiPriority w:val="0"/>
    <w:rPr>
      <w:rFonts w:ascii="Times New Roman" w:hAnsi="Times New Roman" w:eastAsia="仿宋"/>
      <w:bCs/>
      <w:sz w:val="24"/>
      <w:szCs w:val="24"/>
      <w:lang w:val="zh-CN"/>
    </w:rPr>
  </w:style>
  <w:style w:type="character" w:customStyle="1" w:styleId="42">
    <w:name w:val="标题 8 字符"/>
    <w:basedOn w:val="30"/>
    <w:link w:val="10"/>
    <w:qFormat/>
    <w:uiPriority w:val="2"/>
    <w:rPr>
      <w:rFonts w:asciiTheme="majorHAnsi" w:hAnsiTheme="majorHAnsi" w:eastAsiaTheme="majorEastAsia" w:cstheme="majorBidi"/>
      <w:sz w:val="24"/>
      <w:szCs w:val="24"/>
    </w:rPr>
  </w:style>
  <w:style w:type="character" w:customStyle="1" w:styleId="43">
    <w:name w:val="标题 9 字符"/>
    <w:basedOn w:val="30"/>
    <w:link w:val="11"/>
    <w:qFormat/>
    <w:uiPriority w:val="9"/>
    <w:rPr>
      <w:rFonts w:asciiTheme="majorHAnsi" w:hAnsiTheme="majorHAnsi" w:eastAsiaTheme="majorEastAsia" w:cstheme="majorBidi"/>
      <w:sz w:val="24"/>
      <w:szCs w:val="24"/>
    </w:rPr>
  </w:style>
  <w:style w:type="character" w:customStyle="1" w:styleId="44">
    <w:name w:val="正文1 字符"/>
    <w:basedOn w:val="30"/>
    <w:link w:val="3"/>
    <w:qFormat/>
    <w:uiPriority w:val="0"/>
    <w:rPr>
      <w:rFonts w:ascii="Times New Roman" w:hAnsi="Times New Roman" w:eastAsia="仿宋"/>
      <w:sz w:val="24"/>
      <w:szCs w:val="24"/>
      <w:lang w:val="zh-CN"/>
    </w:rPr>
  </w:style>
  <w:style w:type="paragraph" w:customStyle="1" w:styleId="45">
    <w:name w:val="列出段落1"/>
    <w:basedOn w:val="1"/>
    <w:qFormat/>
    <w:uiPriority w:val="0"/>
    <w:pPr>
      <w:widowControl w:val="0"/>
      <w:ind w:firstLine="420" w:firstLineChars="200"/>
      <w:jc w:val="both"/>
    </w:pPr>
    <w:rPr>
      <w:rFonts w:ascii="Calibri" w:hAnsi="Calibri" w:eastAsia="宋体" w:cs="Times New Roman"/>
    </w:rPr>
  </w:style>
  <w:style w:type="paragraph" w:customStyle="1" w:styleId="46">
    <w:name w:val="标题 3_0"/>
    <w:basedOn w:val="1"/>
    <w:next w:val="1"/>
    <w:qFormat/>
    <w:uiPriority w:val="0"/>
    <w:pPr>
      <w:keepNext/>
      <w:keepLines/>
      <w:spacing w:before="260" w:after="260" w:line="360" w:lineRule="auto"/>
      <w:ind w:firstLine="602" w:firstLineChars="200"/>
      <w:outlineLvl w:val="2"/>
    </w:pPr>
    <w:rPr>
      <w:rFonts w:ascii="仿宋_GB2312" w:hAnsi="Calibri" w:eastAsia="仿宋_GB2312"/>
      <w:b/>
      <w:bCs/>
      <w:sz w:val="30"/>
      <w:szCs w:val="20"/>
    </w:rPr>
  </w:style>
  <w:style w:type="paragraph" w:customStyle="1" w:styleId="47">
    <w:name w:val="表格文字"/>
    <w:basedOn w:val="20"/>
    <w:next w:val="15"/>
    <w:qFormat/>
    <w:uiPriority w:val="0"/>
    <w:pPr>
      <w:adjustRightInd/>
      <w:ind w:firstLine="200" w:firstLineChars="200"/>
    </w:pPr>
    <w:rPr>
      <w:rFonts w:ascii="Arial" w:hAnsi="Arial"/>
      <w:spacing w:val="-5"/>
      <w:kern w:val="0"/>
      <w:sz w:val="24"/>
      <w:szCs w:val="20"/>
    </w:rPr>
  </w:style>
  <w:style w:type="paragraph" w:customStyle="1" w:styleId="48">
    <w:name w:val="标准中文版式_正文"/>
    <w:basedOn w:val="1"/>
    <w:qFormat/>
    <w:uiPriority w:val="0"/>
    <w:pPr>
      <w:spacing w:before="30" w:line="360" w:lineRule="auto"/>
      <w:ind w:firstLine="200" w:firstLineChars="200"/>
    </w:pPr>
    <w:rPr>
      <w:rFonts w:ascii="Arial" w:hAnsi="Arial"/>
      <w:sz w:val="24"/>
    </w:rPr>
  </w:style>
  <w:style w:type="paragraph" w:customStyle="1" w:styleId="49">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0">
    <w:name w:val="Plain Text"/>
    <w:basedOn w:val="51"/>
    <w:qFormat/>
    <w:uiPriority w:val="0"/>
    <w:pPr>
      <w:widowControl/>
      <w:jc w:val="left"/>
    </w:pPr>
    <w:rPr>
      <w:rFonts w:hint="eastAsia" w:ascii="宋体" w:hAnsi="Courier New"/>
    </w:rPr>
  </w:style>
  <w:style w:type="paragraph" w:customStyle="1" w:styleId="5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2">
    <w:name w:val="纯文本_0_0"/>
    <w:basedOn w:val="53"/>
    <w:qFormat/>
    <w:uiPriority w:val="0"/>
    <w:rPr>
      <w:rFonts w:ascii="宋体" w:hAnsi="Courier New"/>
      <w:szCs w:val="21"/>
    </w:rPr>
  </w:style>
  <w:style w:type="paragraph" w:customStyle="1" w:styleId="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Body Text 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5">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56">
    <w:name w:val="15"/>
    <w:qFormat/>
    <w:uiPriority w:val="0"/>
  </w:style>
  <w:style w:type="paragraph" w:customStyle="1" w:styleId="57">
    <w:name w:val="招标-主标题"/>
    <w:basedOn w:val="1"/>
    <w:qFormat/>
    <w:uiPriority w:val="0"/>
    <w:pPr>
      <w:tabs>
        <w:tab w:val="left" w:pos="1620"/>
        <w:tab w:val="left" w:pos="1800"/>
        <w:tab w:val="left" w:pos="1980"/>
      </w:tabs>
      <w:spacing w:line="768" w:lineRule="auto"/>
      <w:jc w:val="center"/>
    </w:pPr>
    <w:rPr>
      <w:rFonts w:ascii="宋体" w:hAnsi="宋体" w:eastAsia="宋体"/>
      <w:b/>
      <w:sz w:val="32"/>
    </w:rPr>
  </w:style>
  <w:style w:type="paragraph" w:customStyle="1" w:styleId="58">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9">
    <w:name w:val="索引 11"/>
    <w:basedOn w:val="1"/>
    <w:next w:val="1"/>
    <w:qFormat/>
    <w:uiPriority w:val="99"/>
    <w:pPr>
      <w:adjustRightInd/>
      <w:spacing w:line="360" w:lineRule="auto"/>
    </w:pPr>
    <w:rPr>
      <w:rFonts w:ascii="仿宋_GB2312" w:eastAsia="仿宋_GB2312"/>
      <w:sz w:val="24"/>
      <w:szCs w:val="20"/>
    </w:rPr>
  </w:style>
  <w:style w:type="paragraph" w:customStyle="1" w:styleId="60">
    <w:name w:val="纯文本1"/>
    <w:basedOn w:val="1"/>
    <w:qFormat/>
    <w:uiPriority w:val="0"/>
    <w:pPr>
      <w:adjustRightInd/>
    </w:pPr>
    <w:rPr>
      <w:rFonts w:ascii="宋体" w:hAnsi="Courier New"/>
      <w:kern w:val="0"/>
      <w:sz w:val="20"/>
      <w:szCs w:val="20"/>
    </w:rPr>
  </w:style>
  <w:style w:type="paragraph" w:customStyle="1" w:styleId="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
    <w:name w:val="font21"/>
    <w:basedOn w:val="30"/>
    <w:qFormat/>
    <w:uiPriority w:val="0"/>
    <w:rPr>
      <w:rFonts w:hint="eastAsia" w:ascii="宋体" w:hAnsi="宋体" w:eastAsia="宋体" w:cs="宋体"/>
      <w:color w:val="000000"/>
      <w:sz w:val="20"/>
      <w:szCs w:val="20"/>
      <w:u w:val="none"/>
    </w:rPr>
  </w:style>
  <w:style w:type="character" w:customStyle="1" w:styleId="63">
    <w:name w:val="NormalCharacter"/>
    <w:link w:val="64"/>
    <w:qFormat/>
    <w:uiPriority w:val="0"/>
    <w:rPr>
      <w:rFonts w:ascii="Tahoma" w:hAnsi="Tahoma" w:eastAsia="宋体"/>
      <w:kern w:val="0"/>
      <w:sz w:val="24"/>
      <w:szCs w:val="20"/>
    </w:rPr>
  </w:style>
  <w:style w:type="paragraph" w:customStyle="1" w:styleId="64">
    <w:name w:val="UserStyle_85"/>
    <w:basedOn w:val="1"/>
    <w:link w:val="63"/>
    <w:qFormat/>
    <w:uiPriority w:val="0"/>
    <w:rPr>
      <w:rFonts w:ascii="Tahoma" w:hAnsi="Tahoma" w:eastAsia="宋体"/>
      <w:kern w:val="0"/>
      <w:sz w:val="24"/>
      <w:szCs w:val="20"/>
    </w:rPr>
  </w:style>
  <w:style w:type="character" w:customStyle="1" w:styleId="65">
    <w:name w:val="font11"/>
    <w:basedOn w:val="30"/>
    <w:qFormat/>
    <w:uiPriority w:val="0"/>
    <w:rPr>
      <w:rFonts w:hint="eastAsia" w:ascii="微软雅黑" w:hAnsi="微软雅黑" w:eastAsia="微软雅黑" w:cs="微软雅黑"/>
      <w:color w:val="FF0000"/>
      <w:sz w:val="20"/>
      <w:szCs w:val="20"/>
      <w:u w:val="none"/>
    </w:rPr>
  </w:style>
  <w:style w:type="character" w:customStyle="1" w:styleId="66">
    <w:name w:val="font31"/>
    <w:basedOn w:val="30"/>
    <w:qFormat/>
    <w:uiPriority w:val="0"/>
    <w:rPr>
      <w:rFonts w:ascii="微软雅黑" w:hAnsi="微软雅黑" w:eastAsia="微软雅黑" w:cs="微软雅黑"/>
      <w:color w:val="000000"/>
      <w:sz w:val="20"/>
      <w:szCs w:val="20"/>
      <w:u w:val="none"/>
    </w:rPr>
  </w:style>
  <w:style w:type="character" w:customStyle="1" w:styleId="67">
    <w:name w:val="font01"/>
    <w:basedOn w:val="30"/>
    <w:qFormat/>
    <w:uiPriority w:val="0"/>
    <w:rPr>
      <w:rFonts w:hint="eastAsia" w:ascii="等线" w:hAnsi="等线" w:eastAsia="等线" w:cs="等线"/>
      <w:color w:val="000000"/>
      <w:sz w:val="22"/>
      <w:szCs w:val="22"/>
      <w:u w:val="none"/>
    </w:rPr>
  </w:style>
  <w:style w:type="character" w:customStyle="1" w:styleId="68">
    <w:name w:val="font61"/>
    <w:basedOn w:val="30"/>
    <w:qFormat/>
    <w:uiPriority w:val="0"/>
    <w:rPr>
      <w:rFonts w:ascii="微软雅黑" w:hAnsi="微软雅黑" w:eastAsia="微软雅黑" w:cs="微软雅黑"/>
      <w:color w:val="000000"/>
      <w:sz w:val="24"/>
      <w:szCs w:val="24"/>
      <w:u w:val="none"/>
    </w:rPr>
  </w:style>
  <w:style w:type="character" w:customStyle="1" w:styleId="69">
    <w:name w:val="font71"/>
    <w:basedOn w:val="30"/>
    <w:qFormat/>
    <w:uiPriority w:val="0"/>
    <w:rPr>
      <w:rFonts w:hint="eastAsia" w:ascii="微软雅黑" w:hAnsi="微软雅黑" w:eastAsia="微软雅黑" w:cs="微软雅黑"/>
      <w:color w:val="000000"/>
      <w:sz w:val="24"/>
      <w:szCs w:val="24"/>
      <w:u w:val="none"/>
    </w:rPr>
  </w:style>
  <w:style w:type="character" w:customStyle="1" w:styleId="70">
    <w:name w:val="font81"/>
    <w:basedOn w:val="30"/>
    <w:qFormat/>
    <w:uiPriority w:val="0"/>
    <w:rPr>
      <w:rFonts w:ascii="Microsoft YaHei UI" w:hAnsi="Microsoft YaHei UI" w:eastAsia="Microsoft YaHei UI" w:cs="Microsoft YaHei U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20363</Words>
  <Characters>21069</Characters>
  <Lines>110</Lines>
  <Paragraphs>30</Paragraphs>
  <TotalTime>7</TotalTime>
  <ScaleCrop>false</ScaleCrop>
  <LinksUpToDate>false</LinksUpToDate>
  <CharactersWithSpaces>21954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2023-06-01T04:51:00Z</dcterms:created>
  <dc:creator>jie xie</dc:creator>
  <cp:lastModifiedBy>Missz</cp:lastModifiedBy>
  <cp:lastPrinted>2024-11-29T09:23:00Z</cp:lastPrinted>
  <dcterms:modified xsi:type="dcterms:W3CDTF">2025-01-10T07:44:05Z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F50D9BD19F324750B88876743A1CE350_13</vt:lpwstr>
  </property>
  <property fmtid="{D5CDD505-2E9C-101B-9397-08002B2CF9AE}" pid="4" name="KSOTemplateDocerSaveRecord">
    <vt:lpwstr>eyJoZGlkIjoiYTU4ZGI0ZjRjMmQ1MzI0M2I2YTc3NjYxNTdiZmRmN2IiLCJ1c2VySWQiOiI2MDU1MDM4OTUifQ==</vt:lpwstr>
  </property>
</Properties>
</file>