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center"/>
        <w:rPr>
          <w:rFonts w:hint="eastAsia" w:ascii="宋体" w:hAnsi="宋体" w:eastAsia="宋体" w:cs="宋体"/>
          <w:sz w:val="48"/>
          <w:szCs w:val="48"/>
          <w:lang w:eastAsia="zh-CN"/>
        </w:rPr>
      </w:pPr>
    </w:p>
    <w:p>
      <w:pPr>
        <w:pStyle w:val="20"/>
        <w:jc w:val="center"/>
        <w:rPr>
          <w:rFonts w:hint="eastAsia" w:ascii="宋体" w:hAnsi="宋体" w:eastAsia="宋体" w:cs="宋体"/>
          <w:sz w:val="48"/>
          <w:szCs w:val="48"/>
          <w:lang w:eastAsia="zh-CN"/>
        </w:rPr>
      </w:pPr>
      <w:r>
        <w:rPr>
          <w:rFonts w:hint="eastAsia" w:ascii="宋体" w:hAnsi="宋体" w:eastAsia="宋体" w:cs="宋体"/>
          <w:sz w:val="48"/>
          <w:szCs w:val="48"/>
          <w:lang w:eastAsia="zh-CN"/>
        </w:rPr>
        <w:t>桐庐县红灯笼乡村家园地毯采购项目</w:t>
      </w:r>
    </w:p>
    <w:p>
      <w:pPr>
        <w:spacing w:line="600" w:lineRule="auto"/>
        <w:jc w:val="center"/>
        <w:rPr>
          <w:rFonts w:hint="eastAsia" w:ascii="宋体" w:hAnsi="宋体" w:eastAsia="宋体" w:cs="宋体"/>
          <w:bCs/>
          <w:sz w:val="48"/>
          <w:szCs w:val="48"/>
          <w:lang w:eastAsia="zh-CN"/>
        </w:rPr>
      </w:pPr>
    </w:p>
    <w:p>
      <w:pPr>
        <w:spacing w:line="600" w:lineRule="auto"/>
        <w:jc w:val="center"/>
        <w:rPr>
          <w:rFonts w:hint="eastAsia" w:ascii="宋体" w:hAnsi="宋体" w:eastAsia="宋体" w:cs="宋体"/>
          <w:color w:val="000000"/>
          <w:sz w:val="72"/>
          <w:szCs w:val="72"/>
        </w:rPr>
      </w:pPr>
      <w:r>
        <w:rPr>
          <w:rFonts w:hint="eastAsia" w:ascii="宋体" w:hAnsi="宋体" w:eastAsia="宋体" w:cs="宋体"/>
          <w:bCs/>
          <w:sz w:val="48"/>
          <w:szCs w:val="48"/>
          <w:lang w:eastAsia="zh-CN"/>
        </w:rPr>
        <w:t>（</w:t>
      </w:r>
      <w:r>
        <w:rPr>
          <w:rFonts w:hint="eastAsia" w:ascii="宋体" w:hAnsi="宋体" w:eastAsia="宋体" w:cs="宋体"/>
          <w:bCs/>
          <w:sz w:val="48"/>
          <w:szCs w:val="48"/>
          <w:lang w:val="en-US" w:eastAsia="zh-CN"/>
        </w:rPr>
        <w:t>国企采购</w:t>
      </w:r>
      <w:r>
        <w:rPr>
          <w:rFonts w:hint="eastAsia" w:ascii="宋体" w:hAnsi="宋体" w:eastAsia="宋体" w:cs="宋体"/>
          <w:bCs/>
          <w:sz w:val="48"/>
          <w:szCs w:val="48"/>
          <w:lang w:eastAsia="zh-CN"/>
        </w:rPr>
        <w:t>）</w:t>
      </w:r>
    </w:p>
    <w:p>
      <w:pPr>
        <w:pStyle w:val="20"/>
        <w:jc w:val="center"/>
        <w:rPr>
          <w:rFonts w:hint="eastAsia" w:ascii="宋体" w:hAnsi="宋体" w:eastAsia="宋体" w:cs="宋体"/>
          <w:color w:val="000000"/>
          <w:sz w:val="72"/>
          <w:szCs w:val="72"/>
        </w:rPr>
      </w:pPr>
      <w:r>
        <w:rPr>
          <w:rFonts w:hint="eastAsia" w:ascii="宋体" w:hAnsi="宋体" w:eastAsia="宋体" w:cs="宋体"/>
          <w:color w:val="000000"/>
          <w:sz w:val="72"/>
          <w:szCs w:val="72"/>
        </w:rPr>
        <w:t>招 标 文 件</w:t>
      </w:r>
    </w:p>
    <w:p>
      <w:pPr>
        <w:snapToGrid w:val="0"/>
        <w:jc w:val="center"/>
        <w:rPr>
          <w:rFonts w:hint="eastAsia" w:ascii="宋体" w:hAnsi="宋体" w:eastAsia="宋体" w:cs="宋体"/>
          <w:sz w:val="28"/>
          <w:szCs w:val="28"/>
        </w:rPr>
      </w:pPr>
    </w:p>
    <w:p>
      <w:pPr>
        <w:snapToGrid w:val="0"/>
        <w:jc w:val="center"/>
        <w:rPr>
          <w:rFonts w:hint="eastAsia" w:ascii="宋体" w:hAnsi="宋体" w:eastAsia="宋体" w:cs="宋体"/>
          <w:sz w:val="28"/>
          <w:szCs w:val="28"/>
        </w:rPr>
      </w:pPr>
      <w:r>
        <w:rPr>
          <w:rFonts w:hint="eastAsia" w:ascii="宋体" w:hAnsi="宋体" w:eastAsia="宋体" w:cs="宋体"/>
          <w:sz w:val="28"/>
          <w:szCs w:val="28"/>
        </w:rPr>
        <w:t>（编号：</w:t>
      </w:r>
      <w:r>
        <w:rPr>
          <w:rFonts w:hint="eastAsia" w:ascii="宋体" w:hAnsi="宋体" w:eastAsia="宋体" w:cs="宋体"/>
          <w:color w:val="auto"/>
          <w:sz w:val="28"/>
          <w:szCs w:val="28"/>
          <w:lang w:val="en-US" w:eastAsia="zh-CN"/>
        </w:rPr>
        <w:t>HZKYTLCG-2024-08</w:t>
      </w:r>
      <w:r>
        <w:rPr>
          <w:rFonts w:hint="eastAsia" w:ascii="宋体" w:hAnsi="宋体" w:eastAsia="宋体" w:cs="宋体"/>
          <w:sz w:val="28"/>
          <w:szCs w:val="28"/>
        </w:rPr>
        <w:t>）</w:t>
      </w:r>
    </w:p>
    <w:p>
      <w:pPr>
        <w:snapToGrid w:val="0"/>
        <w:jc w:val="center"/>
        <w:rPr>
          <w:rFonts w:hint="eastAsia" w:ascii="宋体" w:hAnsi="宋体" w:eastAsia="宋体" w:cs="宋体"/>
          <w:sz w:val="28"/>
          <w:szCs w:val="28"/>
        </w:rPr>
      </w:pPr>
    </w:p>
    <w:p>
      <w:pPr>
        <w:spacing w:line="360" w:lineRule="auto"/>
        <w:ind w:right="-2"/>
        <w:jc w:val="center"/>
        <w:rPr>
          <w:rFonts w:hint="eastAsia" w:ascii="宋体" w:hAnsi="宋体" w:eastAsia="宋体" w:cs="宋体"/>
          <w:b/>
          <w:color w:val="auto"/>
          <w:sz w:val="36"/>
        </w:rPr>
      </w:pPr>
      <w:r>
        <w:rPr>
          <w:rFonts w:hint="eastAsia" w:ascii="宋体" w:hAnsi="宋体" w:eastAsia="宋体" w:cs="宋体"/>
          <w:b/>
          <w:color w:val="auto"/>
          <w:sz w:val="36"/>
        </w:rPr>
        <w:t>（线上电子化招投标）</w:t>
      </w:r>
    </w:p>
    <w:p>
      <w:pPr>
        <w:snapToGrid w:val="0"/>
        <w:jc w:val="center"/>
        <w:rPr>
          <w:rFonts w:hint="eastAsia" w:ascii="宋体" w:hAnsi="宋体" w:eastAsia="宋体" w:cs="宋体"/>
          <w:sz w:val="28"/>
          <w:szCs w:val="28"/>
        </w:rPr>
      </w:pPr>
    </w:p>
    <w:p>
      <w:pPr>
        <w:snapToGrid w:val="0"/>
        <w:rPr>
          <w:rFonts w:hint="eastAsia" w:ascii="宋体" w:hAnsi="宋体" w:eastAsia="宋体" w:cs="宋体"/>
          <w:sz w:val="36"/>
          <w:szCs w:val="36"/>
        </w:rPr>
      </w:pPr>
      <w:r>
        <w:rPr>
          <w:rFonts w:hint="eastAsia" w:ascii="宋体" w:hAnsi="宋体" w:eastAsia="宋体" w:cs="宋体"/>
          <w:sz w:val="52"/>
          <w:szCs w:val="52"/>
        </w:rPr>
        <w:t xml:space="preserve">         </w:t>
      </w:r>
      <w:r>
        <w:rPr>
          <w:rFonts w:hint="eastAsia" w:ascii="宋体" w:hAnsi="宋体" w:eastAsia="宋体" w:cs="宋体"/>
          <w:b/>
          <w:sz w:val="52"/>
          <w:szCs w:val="52"/>
        </w:rPr>
        <w:t xml:space="preserve">   </w:t>
      </w:r>
    </w:p>
    <w:p>
      <w:pPr>
        <w:tabs>
          <w:tab w:val="left" w:pos="1980"/>
          <w:tab w:val="left" w:pos="3240"/>
          <w:tab w:val="left" w:pos="3420"/>
          <w:tab w:val="left" w:pos="3600"/>
          <w:tab w:val="left" w:pos="3780"/>
        </w:tabs>
        <w:snapToGrid w:val="0"/>
        <w:spacing w:line="600" w:lineRule="auto"/>
        <w:ind w:firstLine="320" w:firstLineChars="100"/>
        <w:rPr>
          <w:rFonts w:hint="eastAsia" w:ascii="宋体" w:hAnsi="宋体" w:eastAsia="宋体" w:cs="宋体"/>
          <w:sz w:val="32"/>
          <w:szCs w:val="32"/>
          <w:u w:val="single"/>
        </w:rPr>
      </w:pPr>
      <w:r>
        <w:rPr>
          <w:rFonts w:hint="eastAsia" w:ascii="宋体" w:hAnsi="宋体" w:eastAsia="宋体" w:cs="宋体"/>
          <w:sz w:val="32"/>
          <w:szCs w:val="32"/>
        </w:rPr>
        <w:t>采购单位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lang w:eastAsia="zh-CN"/>
        </w:rPr>
        <w:t>桐庐富春旅游开发有限公司</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pPr>
        <w:tabs>
          <w:tab w:val="left" w:pos="1980"/>
          <w:tab w:val="left" w:pos="3240"/>
          <w:tab w:val="left" w:pos="3420"/>
          <w:tab w:val="left" w:pos="3600"/>
          <w:tab w:val="left" w:pos="3780"/>
        </w:tabs>
        <w:snapToGrid w:val="0"/>
        <w:spacing w:line="600" w:lineRule="auto"/>
        <w:ind w:firstLine="320" w:firstLineChars="100"/>
        <w:rPr>
          <w:rFonts w:hint="eastAsia" w:ascii="宋体" w:hAnsi="宋体" w:eastAsia="宋体" w:cs="宋体"/>
          <w:sz w:val="32"/>
          <w:szCs w:val="32"/>
          <w:u w:val="single"/>
        </w:rPr>
      </w:pPr>
      <w:r>
        <w:rPr>
          <w:rFonts w:hint="eastAsia" w:ascii="宋体" w:hAnsi="宋体" w:eastAsia="宋体" w:cs="宋体"/>
          <w:sz w:val="32"/>
          <w:szCs w:val="32"/>
        </w:rPr>
        <w:t>法定代表人或其委托代理人:</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lang w:eastAsia="zh-CN"/>
        </w:rPr>
        <w:t>周磊</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pPr>
        <w:snapToGrid w:val="0"/>
        <w:spacing w:line="600" w:lineRule="auto"/>
        <w:ind w:firstLine="330" w:firstLineChars="100"/>
        <w:rPr>
          <w:rFonts w:hint="eastAsia" w:ascii="宋体" w:hAnsi="宋体" w:eastAsia="宋体" w:cs="宋体"/>
          <w:sz w:val="33"/>
          <w:szCs w:val="33"/>
          <w:u w:val="single"/>
        </w:rPr>
      </w:pPr>
      <w:r>
        <w:rPr>
          <w:rFonts w:hint="eastAsia" w:ascii="宋体" w:hAnsi="宋体" w:eastAsia="宋体" w:cs="宋体"/>
          <w:sz w:val="33"/>
          <w:szCs w:val="33"/>
        </w:rPr>
        <w:t>采购机构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eastAsia="zh-CN"/>
        </w:rPr>
        <w:t>杭州开元物产集团有限公司</w:t>
      </w:r>
      <w:r>
        <w:rPr>
          <w:rFonts w:hint="eastAsia" w:ascii="宋体" w:hAnsi="宋体" w:eastAsia="宋体" w:cs="宋体"/>
          <w:sz w:val="32"/>
          <w:szCs w:val="32"/>
          <w:u w:val="single"/>
        </w:rPr>
        <w:t xml:space="preserve">        </w:t>
      </w:r>
    </w:p>
    <w:p>
      <w:pPr>
        <w:snapToGrid w:val="0"/>
        <w:spacing w:line="720" w:lineRule="auto"/>
        <w:ind w:firstLine="320" w:firstLineChars="100"/>
        <w:rPr>
          <w:rFonts w:hint="eastAsia" w:ascii="宋体" w:hAnsi="宋体" w:eastAsia="宋体" w:cs="宋体"/>
          <w:sz w:val="33"/>
          <w:szCs w:val="33"/>
          <w:u w:val="none"/>
        </w:rPr>
      </w:pPr>
      <w:r>
        <w:rPr>
          <w:rFonts w:hint="eastAsia" w:ascii="宋体" w:hAnsi="宋体" w:eastAsia="宋体" w:cs="宋体"/>
          <w:sz w:val="32"/>
          <w:szCs w:val="32"/>
        </w:rPr>
        <w:t>法定代表人或其委托代理人:</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lang w:eastAsia="zh-CN"/>
        </w:rPr>
        <w:t>刘丹</w:t>
      </w:r>
      <w:r>
        <w:rPr>
          <w:rFonts w:hint="eastAsia" w:ascii="宋体" w:hAnsi="宋体" w:eastAsia="宋体" w:cs="宋体"/>
          <w:sz w:val="32"/>
          <w:szCs w:val="32"/>
          <w:u w:val="single"/>
        </w:rPr>
        <w:t xml:space="preserve">            </w:t>
      </w:r>
      <w:r>
        <w:rPr>
          <w:rFonts w:hint="eastAsia" w:ascii="宋体" w:hAnsi="宋体" w:eastAsia="宋体" w:cs="宋体"/>
          <w:sz w:val="33"/>
          <w:szCs w:val="33"/>
          <w:u w:val="single"/>
        </w:rPr>
        <w:t xml:space="preserve"> </w:t>
      </w:r>
    </w:p>
    <w:p>
      <w:pPr>
        <w:snapToGrid w:val="0"/>
        <w:spacing w:line="720" w:lineRule="auto"/>
        <w:ind w:firstLine="330" w:firstLineChars="100"/>
        <w:rPr>
          <w:rFonts w:hint="eastAsia" w:ascii="宋体" w:hAnsi="宋体" w:eastAsia="宋体" w:cs="宋体"/>
          <w:sz w:val="33"/>
          <w:szCs w:val="33"/>
        </w:rPr>
      </w:pPr>
      <w:r>
        <w:rPr>
          <w:rFonts w:hint="eastAsia" w:ascii="宋体" w:hAnsi="宋体" w:eastAsia="宋体" w:cs="宋体"/>
          <w:sz w:val="33"/>
          <w:szCs w:val="33"/>
          <w:u w:val="none"/>
        </w:rPr>
        <w:t>备案单位：</w:t>
      </w:r>
      <w:r>
        <w:rPr>
          <w:rFonts w:hint="eastAsia" w:ascii="宋体" w:hAnsi="宋体" w:eastAsia="宋体" w:cs="宋体"/>
          <w:sz w:val="32"/>
          <w:szCs w:val="32"/>
          <w:u w:val="single"/>
          <w:lang w:eastAsia="zh-CN"/>
        </w:rPr>
        <w:t xml:space="preserve">     </w:t>
      </w:r>
      <w:r>
        <w:rPr>
          <w:rFonts w:hint="eastAsia" w:ascii="宋体" w:hAnsi="宋体" w:eastAsia="宋体" w:cs="宋体"/>
          <w:color w:val="auto"/>
          <w:sz w:val="33"/>
          <w:szCs w:val="33"/>
          <w:u w:val="single"/>
          <w:lang w:eastAsia="zh-CN"/>
        </w:rPr>
        <w:t>桐庐县文化旅游投资集团有限公司</w:t>
      </w:r>
      <w:r>
        <w:rPr>
          <w:rFonts w:hint="eastAsia" w:ascii="宋体" w:hAnsi="宋体" w:eastAsia="宋体" w:cs="宋体"/>
          <w:sz w:val="33"/>
          <w:szCs w:val="33"/>
          <w:u w:val="single"/>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eastAsia="zh-CN"/>
        </w:rPr>
        <w:t xml:space="preserve"> </w:t>
      </w:r>
      <w:r>
        <w:rPr>
          <w:rFonts w:hint="eastAsia" w:ascii="宋体" w:hAnsi="宋体" w:eastAsia="宋体" w:cs="宋体"/>
          <w:b/>
          <w:bCs/>
          <w:sz w:val="33"/>
          <w:szCs w:val="33"/>
          <w:u w:val="single"/>
        </w:rPr>
        <w:t xml:space="preserve"> </w:t>
      </w:r>
      <w:r>
        <w:rPr>
          <w:rFonts w:hint="eastAsia" w:ascii="宋体" w:hAnsi="宋体" w:eastAsia="宋体" w:cs="宋体"/>
          <w:sz w:val="33"/>
          <w:szCs w:val="33"/>
          <w:u w:val="single"/>
        </w:rPr>
        <w:t xml:space="preserve">  </w:t>
      </w:r>
    </w:p>
    <w:p>
      <w:pPr>
        <w:snapToGrid w:val="0"/>
        <w:ind w:left="99"/>
        <w:jc w:val="center"/>
        <w:rPr>
          <w:rFonts w:hint="eastAsia" w:ascii="宋体" w:hAnsi="宋体" w:eastAsia="宋体" w:cs="宋体"/>
          <w:sz w:val="28"/>
          <w:szCs w:val="28"/>
        </w:rPr>
      </w:pPr>
      <w:r>
        <w:rPr>
          <w:rFonts w:hint="eastAsia" w:ascii="宋体" w:hAnsi="宋体" w:eastAsia="宋体" w:cs="宋体"/>
          <w:sz w:val="33"/>
          <w:szCs w:val="33"/>
        </w:rPr>
        <w:t>202</w:t>
      </w:r>
      <w:r>
        <w:rPr>
          <w:rFonts w:hint="eastAsia" w:ascii="宋体" w:hAnsi="宋体" w:eastAsia="宋体" w:cs="宋体"/>
          <w:sz w:val="33"/>
          <w:szCs w:val="33"/>
          <w:lang w:val="en-US" w:eastAsia="zh-CN"/>
        </w:rPr>
        <w:t>4</w:t>
      </w:r>
      <w:r>
        <w:rPr>
          <w:rFonts w:hint="eastAsia" w:ascii="宋体" w:hAnsi="宋体" w:eastAsia="宋体" w:cs="宋体"/>
          <w:sz w:val="33"/>
          <w:szCs w:val="33"/>
        </w:rPr>
        <w:t>年</w:t>
      </w:r>
      <w:r>
        <w:rPr>
          <w:rFonts w:hint="eastAsia" w:ascii="宋体" w:hAnsi="宋体" w:eastAsia="宋体" w:cs="宋体"/>
          <w:sz w:val="33"/>
          <w:szCs w:val="33"/>
          <w:lang w:val="en-US" w:eastAsia="zh-CN"/>
        </w:rPr>
        <w:t>12</w:t>
      </w:r>
      <w:r>
        <w:rPr>
          <w:rFonts w:hint="eastAsia" w:ascii="宋体" w:hAnsi="宋体" w:eastAsia="宋体" w:cs="宋体"/>
          <w:sz w:val="33"/>
          <w:szCs w:val="33"/>
        </w:rPr>
        <w:t>月</w:t>
      </w:r>
    </w:p>
    <w:p>
      <w:pPr>
        <w:snapToGrid w:val="0"/>
        <w:ind w:left="99"/>
        <w:jc w:val="center"/>
        <w:rPr>
          <w:rFonts w:hint="eastAsia" w:ascii="宋体" w:hAnsi="宋体" w:eastAsia="宋体" w:cs="宋体"/>
          <w:b/>
          <w:sz w:val="44"/>
          <w:szCs w:val="44"/>
        </w:rPr>
        <w:sectPr>
          <w:footerReference r:id="rId5" w:type="default"/>
          <w:pgSz w:w="11906" w:h="16838"/>
          <w:pgMar w:top="993" w:right="1466" w:bottom="993" w:left="1440" w:header="851" w:footer="992" w:gutter="0"/>
          <w:lnNumType w:countBy="0" w:distance="360"/>
          <w:pgNumType w:fmt="decimal" w:start="2"/>
          <w:cols w:space="720" w:num="1"/>
          <w:docGrid w:type="lines" w:linePitch="312" w:charSpace="0"/>
        </w:sectPr>
      </w:pPr>
    </w:p>
    <w:p>
      <w:pPr>
        <w:snapToGrid w:val="0"/>
        <w:ind w:left="99"/>
        <w:jc w:val="center"/>
        <w:rPr>
          <w:rFonts w:hint="eastAsia" w:ascii="宋体" w:hAnsi="宋体" w:eastAsia="宋体" w:cs="宋体"/>
          <w:b/>
          <w:sz w:val="44"/>
          <w:szCs w:val="44"/>
        </w:rPr>
      </w:pPr>
    </w:p>
    <w:p>
      <w:pPr>
        <w:snapToGrid w:val="0"/>
        <w:ind w:left="99"/>
        <w:jc w:val="center"/>
        <w:rPr>
          <w:rFonts w:hint="eastAsia" w:ascii="宋体" w:hAnsi="宋体" w:eastAsia="宋体" w:cs="宋体"/>
        </w:rPr>
      </w:pPr>
      <w:r>
        <w:rPr>
          <w:rFonts w:hint="eastAsia" w:ascii="宋体" w:hAnsi="宋体" w:eastAsia="宋体" w:cs="宋体"/>
          <w:b/>
          <w:sz w:val="44"/>
          <w:szCs w:val="44"/>
        </w:rPr>
        <w:t>目     录</w:t>
      </w:r>
    </w:p>
    <w:p>
      <w:pPr>
        <w:snapToGrid w:val="0"/>
        <w:rPr>
          <w:rFonts w:hint="eastAsia" w:ascii="宋体" w:hAnsi="宋体" w:eastAsia="宋体" w:cs="宋体"/>
        </w:rPr>
      </w:pPr>
    </w:p>
    <w:p>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第一章   招标公告</w:t>
      </w:r>
    </w:p>
    <w:p>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第二章   招标需求    </w:t>
      </w:r>
    </w:p>
    <w:p>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第三章   投标人须知</w:t>
      </w:r>
    </w:p>
    <w:p>
      <w:pPr>
        <w:spacing w:before="120" w:line="480" w:lineRule="exact"/>
        <w:ind w:left="1440"/>
        <w:rPr>
          <w:rFonts w:hint="eastAsia" w:ascii="宋体" w:hAnsi="宋体" w:eastAsia="宋体" w:cs="宋体"/>
          <w:color w:val="000000"/>
          <w:sz w:val="28"/>
          <w:szCs w:val="28"/>
        </w:rPr>
      </w:pPr>
      <w:r>
        <w:rPr>
          <w:rFonts w:hint="eastAsia" w:ascii="宋体" w:hAnsi="宋体" w:eastAsia="宋体" w:cs="宋体"/>
          <w:color w:val="000000"/>
          <w:sz w:val="28"/>
          <w:szCs w:val="28"/>
        </w:rPr>
        <w:t>前附表</w:t>
      </w:r>
    </w:p>
    <w:p>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总 则</w:t>
      </w:r>
    </w:p>
    <w:p>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招标文件</w:t>
      </w:r>
    </w:p>
    <w:p>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投标文件的编制</w:t>
      </w:r>
    </w:p>
    <w:p>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开标</w:t>
      </w:r>
    </w:p>
    <w:p>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评标</w:t>
      </w:r>
    </w:p>
    <w:p>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定标</w:t>
      </w:r>
    </w:p>
    <w:p>
      <w:pPr>
        <w:numPr>
          <w:ilvl w:val="0"/>
          <w:numId w:val="3"/>
        </w:numPr>
        <w:tabs>
          <w:tab w:val="left" w:pos="1305"/>
        </w:tabs>
        <w:spacing w:before="120" w:line="480" w:lineRule="exact"/>
        <w:ind w:left="585"/>
        <w:rPr>
          <w:rFonts w:hint="eastAsia" w:ascii="宋体" w:hAnsi="宋体" w:eastAsia="宋体" w:cs="宋体"/>
          <w:color w:val="000000"/>
          <w:sz w:val="28"/>
          <w:szCs w:val="28"/>
        </w:rPr>
      </w:pPr>
      <w:r>
        <w:rPr>
          <w:rFonts w:hint="eastAsia" w:ascii="宋体" w:hAnsi="宋体" w:eastAsia="宋体" w:cs="宋体"/>
          <w:color w:val="000000"/>
          <w:sz w:val="28"/>
          <w:szCs w:val="28"/>
        </w:rPr>
        <w:t>合同授予</w:t>
      </w:r>
    </w:p>
    <w:p>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第四章   评标办法及评分标准</w:t>
      </w:r>
    </w:p>
    <w:p>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第五章   采购合同</w:t>
      </w:r>
    </w:p>
    <w:p>
      <w:pPr>
        <w:tabs>
          <w:tab w:val="left" w:pos="1440"/>
        </w:tabs>
        <w:spacing w:before="120" w:line="480" w:lineRule="exact"/>
        <w:ind w:left="165"/>
        <w:rPr>
          <w:rFonts w:hint="eastAsia" w:ascii="宋体" w:hAnsi="宋体" w:eastAsia="宋体" w:cs="宋体"/>
          <w:color w:val="000000"/>
          <w:sz w:val="28"/>
          <w:szCs w:val="28"/>
        </w:rPr>
      </w:pPr>
      <w:r>
        <w:rPr>
          <w:rFonts w:hint="eastAsia" w:ascii="宋体" w:hAnsi="宋体" w:eastAsia="宋体" w:cs="宋体"/>
          <w:color w:val="000000"/>
          <w:sz w:val="28"/>
          <w:szCs w:val="28"/>
        </w:rPr>
        <w:t>第六章   投标文件格式</w:t>
      </w:r>
    </w:p>
    <w:p>
      <w:pPr>
        <w:tabs>
          <w:tab w:val="left" w:pos="360"/>
        </w:tabs>
        <w:autoSpaceDE w:val="0"/>
        <w:autoSpaceDN w:val="0"/>
        <w:snapToGrid w:val="0"/>
        <w:spacing w:before="340" w:after="330" w:line="360" w:lineRule="auto"/>
        <w:jc w:val="left"/>
        <w:rPr>
          <w:rFonts w:hint="eastAsia" w:ascii="宋体" w:hAnsi="宋体" w:eastAsia="宋体" w:cs="宋体"/>
          <w:color w:val="000000"/>
          <w:sz w:val="32"/>
          <w:szCs w:val="32"/>
        </w:rPr>
      </w:pPr>
    </w:p>
    <w:p>
      <w:pPr>
        <w:pStyle w:val="3"/>
        <w:jc w:val="center"/>
        <w:rPr>
          <w:rFonts w:hint="eastAsia" w:ascii="宋体" w:hAnsi="宋体" w:eastAsia="宋体" w:cs="宋体"/>
          <w:color w:val="auto"/>
          <w:kern w:val="2"/>
          <w:szCs w:val="36"/>
        </w:rPr>
        <w:sectPr>
          <w:footerReference r:id="rId6" w:type="default"/>
          <w:pgSz w:w="11906" w:h="16838"/>
          <w:pgMar w:top="1440" w:right="1293" w:bottom="1440" w:left="1293" w:header="851" w:footer="992" w:gutter="0"/>
          <w:pgNumType w:fmt="decimal" w:start="1"/>
          <w:cols w:space="720" w:num="1"/>
          <w:docGrid w:linePitch="312" w:charSpace="0"/>
        </w:sectPr>
      </w:pPr>
    </w:p>
    <w:p>
      <w:pPr>
        <w:pStyle w:val="3"/>
        <w:numPr>
          <w:ilvl w:val="0"/>
          <w:numId w:val="0"/>
        </w:numPr>
        <w:ind w:left="420" w:leftChars="0"/>
        <w:jc w:val="center"/>
        <w:rPr>
          <w:rFonts w:hint="eastAsia" w:ascii="宋体" w:hAnsi="宋体" w:eastAsia="宋体" w:cs="宋体"/>
          <w:b w:val="0"/>
          <w:sz w:val="32"/>
          <w:szCs w:val="32"/>
        </w:rPr>
      </w:pPr>
      <w:r>
        <w:rPr>
          <w:rFonts w:hint="eastAsia" w:ascii="宋体" w:hAnsi="宋体" w:eastAsia="宋体" w:cs="宋体"/>
          <w:color w:val="auto"/>
          <w:kern w:val="2"/>
          <w:szCs w:val="36"/>
        </w:rPr>
        <w:t>第一章   招标公告</w:t>
      </w:r>
    </w:p>
    <w:p>
      <w:pPr>
        <w:pStyle w:val="20"/>
        <w:jc w:val="center"/>
        <w:rPr>
          <w:rFonts w:hint="eastAsia" w:ascii="宋体" w:hAnsi="宋体" w:eastAsia="宋体" w:cs="宋体"/>
          <w:sz w:val="24"/>
          <w:szCs w:val="24"/>
          <w:u w:val="single"/>
          <w:lang w:eastAsia="zh-CN"/>
        </w:rPr>
      </w:pPr>
      <w:r>
        <w:rPr>
          <w:rFonts w:hint="eastAsia" w:ascii="宋体" w:hAnsi="宋体" w:eastAsia="宋体" w:cs="宋体"/>
          <w:sz w:val="24"/>
          <w:szCs w:val="24"/>
        </w:rPr>
        <w:t>根据相关规定，经上级主管部门批准，现就</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桐庐县红灯笼乡村家园地毯采购项目</w:t>
      </w:r>
    </w:p>
    <w:p>
      <w:pPr>
        <w:spacing w:line="360" w:lineRule="auto"/>
        <w:ind w:left="0" w:leftChars="0" w:firstLine="0" w:firstLineChars="0"/>
        <w:rPr>
          <w:rFonts w:hint="eastAsia" w:ascii="宋体" w:hAnsi="宋体" w:eastAsia="宋体" w:cs="宋体"/>
          <w:sz w:val="24"/>
          <w:szCs w:val="24"/>
          <w:lang w:val="zh-CN"/>
        </w:rPr>
      </w:pPr>
      <w:r>
        <w:rPr>
          <w:rFonts w:hint="eastAsia" w:ascii="宋体" w:hAnsi="宋体" w:eastAsia="宋体" w:cs="宋体"/>
          <w:sz w:val="24"/>
          <w:szCs w:val="24"/>
        </w:rPr>
        <w:t>采用公开招标（线上电子招投标）的方式进行采购，欢迎符合资格条件的供应商前来投标：</w:t>
      </w:r>
    </w:p>
    <w:p>
      <w:pPr>
        <w:numPr>
          <w:ilvl w:val="0"/>
          <w:numId w:val="4"/>
        </w:num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项目编号</w:t>
      </w:r>
      <w:r>
        <w:rPr>
          <w:rFonts w:hint="eastAsia" w:ascii="宋体" w:hAnsi="宋体" w:eastAsia="宋体" w:cs="宋体"/>
          <w:b/>
          <w:bCs/>
          <w:color w:val="auto"/>
          <w:sz w:val="24"/>
          <w:szCs w:val="24"/>
        </w:rPr>
        <w:t>：</w:t>
      </w:r>
      <w:r>
        <w:rPr>
          <w:rFonts w:hint="eastAsia" w:ascii="宋体" w:hAnsi="宋体" w:eastAsia="宋体" w:cs="宋体"/>
          <w:sz w:val="24"/>
          <w:szCs w:val="24"/>
          <w:lang w:val="en-US" w:eastAsia="zh-CN"/>
        </w:rPr>
        <w:t>HZKYTLCG-2024-08</w:t>
      </w:r>
    </w:p>
    <w:p>
      <w:pPr>
        <w:spacing w:line="360" w:lineRule="auto"/>
        <w:ind w:firstLine="482" w:firstLineChars="200"/>
        <w:jc w:val="left"/>
        <w:rPr>
          <w:rFonts w:hint="eastAsia" w:ascii="宋体" w:hAnsi="宋体" w:eastAsia="宋体" w:cs="宋体"/>
          <w:b/>
          <w:bCs/>
          <w:sz w:val="24"/>
          <w:szCs w:val="24"/>
          <w:lang w:eastAsia="zh-CN"/>
        </w:rPr>
      </w:pPr>
      <w:r>
        <w:rPr>
          <w:rFonts w:hint="eastAsia" w:ascii="宋体" w:hAnsi="宋体" w:eastAsia="宋体" w:cs="宋体"/>
          <w:b/>
          <w:bCs/>
          <w:sz w:val="24"/>
          <w:szCs w:val="24"/>
        </w:rPr>
        <w:t>二、采购组织类型：</w:t>
      </w:r>
      <w:r>
        <w:rPr>
          <w:rFonts w:hint="eastAsia" w:ascii="宋体" w:hAnsi="宋体" w:eastAsia="宋体" w:cs="宋体"/>
          <w:sz w:val="24"/>
          <w:szCs w:val="24"/>
        </w:rPr>
        <w:t>分散采购委托代理</w:t>
      </w:r>
      <w:r>
        <w:rPr>
          <w:rFonts w:hint="eastAsia" w:ascii="宋体" w:hAnsi="宋体" w:eastAsia="宋体" w:cs="宋体"/>
          <w:sz w:val="24"/>
          <w:szCs w:val="24"/>
          <w:lang w:eastAsia="zh-CN"/>
        </w:rPr>
        <w:t>（国企采购）</w:t>
      </w:r>
    </w:p>
    <w:p>
      <w:pPr>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三、采购方式：</w:t>
      </w:r>
      <w:r>
        <w:rPr>
          <w:rFonts w:hint="eastAsia" w:ascii="宋体" w:hAnsi="宋体" w:eastAsia="宋体" w:cs="宋体"/>
          <w:sz w:val="24"/>
          <w:szCs w:val="24"/>
        </w:rPr>
        <w:t>公开招标</w:t>
      </w:r>
    </w:p>
    <w:p>
      <w:pPr>
        <w:snapToGrid w:val="0"/>
        <w:spacing w:line="360" w:lineRule="auto"/>
        <w:ind w:left="523" w:leftChars="200" w:hanging="43" w:hangingChars="18"/>
        <w:jc w:val="left"/>
        <w:rPr>
          <w:rFonts w:hint="eastAsia" w:ascii="宋体" w:hAnsi="宋体" w:eastAsia="宋体" w:cs="宋体"/>
          <w:sz w:val="24"/>
          <w:szCs w:val="24"/>
          <w:lang w:eastAsia="zh-CN"/>
        </w:rPr>
      </w:pPr>
      <w:r>
        <w:rPr>
          <w:rFonts w:hint="eastAsia" w:ascii="宋体" w:hAnsi="宋体" w:eastAsia="宋体" w:cs="宋体"/>
          <w:b/>
          <w:bCs/>
          <w:sz w:val="24"/>
          <w:szCs w:val="24"/>
        </w:rPr>
        <w:t>四、公告期限（招标文件公告期限）：</w:t>
      </w:r>
      <w:r>
        <w:rPr>
          <w:rFonts w:hint="eastAsia" w:ascii="宋体" w:hAnsi="宋体" w:eastAsia="宋体" w:cs="宋体"/>
          <w:sz w:val="24"/>
          <w:szCs w:val="24"/>
        </w:rPr>
        <w:t>本公告发布之日起 5 个工作日</w:t>
      </w:r>
    </w:p>
    <w:p>
      <w:pPr>
        <w:snapToGrid w:val="0"/>
        <w:spacing w:line="360" w:lineRule="auto"/>
        <w:ind w:left="523" w:leftChars="200" w:hanging="43" w:hangingChars="18"/>
        <w:jc w:val="left"/>
        <w:rPr>
          <w:rFonts w:hint="eastAsia" w:ascii="宋体" w:hAnsi="宋体" w:eastAsia="宋体" w:cs="宋体"/>
          <w:b/>
          <w:bCs/>
          <w:sz w:val="24"/>
          <w:szCs w:val="24"/>
        </w:rPr>
      </w:pPr>
      <w:r>
        <w:rPr>
          <w:rFonts w:hint="eastAsia" w:ascii="宋体" w:hAnsi="宋体" w:eastAsia="宋体" w:cs="宋体"/>
          <w:b/>
          <w:bCs/>
          <w:sz w:val="24"/>
          <w:szCs w:val="24"/>
        </w:rPr>
        <w:t>五、采购内容：</w:t>
      </w:r>
    </w:p>
    <w:tbl>
      <w:tblPr>
        <w:tblStyle w:val="28"/>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3"/>
        <w:gridCol w:w="1318"/>
        <w:gridCol w:w="2446"/>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8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000000"/>
                <w:sz w:val="24"/>
              </w:rPr>
            </w:pPr>
            <w:r>
              <w:rPr>
                <w:rFonts w:hint="eastAsia" w:ascii="宋体" w:hAnsi="宋体" w:eastAsia="宋体" w:cs="宋体"/>
                <w:bCs/>
                <w:color w:val="000000"/>
                <w:sz w:val="24"/>
              </w:rPr>
              <w:t>采购内容</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宋体" w:hAnsi="宋体" w:eastAsia="宋体" w:cs="宋体"/>
                <w:bCs/>
                <w:color w:val="000000"/>
                <w:sz w:val="24"/>
              </w:rPr>
            </w:pPr>
            <w:r>
              <w:rPr>
                <w:rFonts w:hint="eastAsia" w:ascii="宋体" w:hAnsi="宋体" w:eastAsia="宋体" w:cs="宋体"/>
                <w:bCs/>
                <w:color w:val="000000"/>
                <w:sz w:val="24"/>
              </w:rPr>
              <w:t>数量</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宋体" w:hAnsi="宋体" w:eastAsia="宋体" w:cs="宋体"/>
                <w:bCs/>
                <w:color w:val="000000"/>
                <w:sz w:val="24"/>
              </w:rPr>
            </w:pPr>
            <w:r>
              <w:rPr>
                <w:rFonts w:hint="eastAsia" w:ascii="宋体" w:hAnsi="宋体" w:eastAsia="宋体" w:cs="宋体"/>
                <w:bCs/>
                <w:color w:val="000000"/>
                <w:sz w:val="24"/>
                <w:lang w:eastAsia="zh-CN"/>
              </w:rPr>
              <w:t>预算价（</w:t>
            </w:r>
            <w:r>
              <w:rPr>
                <w:rFonts w:hint="eastAsia" w:ascii="宋体" w:hAnsi="宋体" w:eastAsia="宋体" w:cs="宋体"/>
                <w:bCs/>
                <w:color w:val="000000"/>
                <w:sz w:val="24"/>
              </w:rPr>
              <w:t>最高限价</w:t>
            </w:r>
            <w:r>
              <w:rPr>
                <w:rFonts w:hint="eastAsia" w:ascii="宋体" w:hAnsi="宋体" w:eastAsia="宋体" w:cs="宋体"/>
                <w:bCs/>
                <w:color w:val="000000"/>
                <w:sz w:val="24"/>
                <w:lang w:eastAsia="zh-CN"/>
              </w:rPr>
              <w:t>）</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000000"/>
                <w:sz w:val="24"/>
              </w:rPr>
            </w:pPr>
            <w:r>
              <w:rPr>
                <w:rFonts w:hint="eastAsia" w:ascii="宋体" w:hAnsi="宋体" w:eastAsia="宋体" w:cs="宋体"/>
                <w:bCs/>
                <w:color w:val="00000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38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lang w:val="zh-CN" w:eastAsia="zh-CN"/>
              </w:rPr>
            </w:pPr>
            <w:r>
              <w:rPr>
                <w:rFonts w:hint="eastAsia" w:ascii="宋体" w:hAnsi="宋体" w:eastAsia="宋体" w:cs="宋体"/>
                <w:sz w:val="24"/>
                <w:lang w:val="en-US" w:eastAsia="zh-CN"/>
              </w:rPr>
              <w:t xml:space="preserve"> </w:t>
            </w:r>
            <w:r>
              <w:rPr>
                <w:rFonts w:hint="eastAsia" w:ascii="宋体" w:hAnsi="宋体" w:eastAsia="宋体" w:cs="宋体"/>
                <w:sz w:val="24"/>
                <w:lang w:eastAsia="zh-CN"/>
              </w:rPr>
              <w:t>桐庐县红灯笼乡村家园地毯采购项目</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宋体" w:hAnsi="宋体" w:eastAsia="宋体" w:cs="宋体"/>
                <w:bCs/>
                <w:color w:val="000000"/>
                <w:sz w:val="24"/>
                <w:lang w:eastAsia="zh-CN"/>
              </w:rPr>
            </w:pPr>
            <w:r>
              <w:rPr>
                <w:rFonts w:hint="eastAsia" w:ascii="宋体" w:hAnsi="宋体" w:eastAsia="宋体" w:cs="宋体"/>
                <w:bCs/>
                <w:color w:val="000000"/>
                <w:sz w:val="24"/>
              </w:rPr>
              <w:t>1</w:t>
            </w:r>
            <w:r>
              <w:rPr>
                <w:rFonts w:hint="eastAsia" w:ascii="宋体" w:hAnsi="宋体" w:eastAsia="宋体" w:cs="宋体"/>
                <w:bCs/>
                <w:color w:val="000000"/>
                <w:sz w:val="24"/>
                <w:lang w:eastAsia="zh-CN"/>
              </w:rPr>
              <w:t>批</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宋体" w:hAnsi="宋体" w:eastAsia="宋体" w:cs="宋体"/>
                <w:bCs/>
                <w:color w:val="000000"/>
                <w:sz w:val="24"/>
                <w:lang w:val="en-US" w:eastAsia="zh-CN"/>
              </w:rPr>
            </w:pPr>
            <w:r>
              <w:rPr>
                <w:rFonts w:hint="eastAsia" w:ascii="宋体" w:hAnsi="宋体" w:eastAsia="宋体" w:cs="宋体"/>
                <w:bCs/>
                <w:color w:val="000000"/>
                <w:sz w:val="24"/>
                <w:highlight w:val="none"/>
                <w:lang w:val="en-US" w:eastAsia="zh-CN"/>
              </w:rPr>
              <w:t>130万元</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具体详见</w:t>
            </w:r>
          </w:p>
          <w:p>
            <w:pPr>
              <w:spacing w:line="240" w:lineRule="auto"/>
              <w:ind w:left="0" w:leftChars="0" w:firstLine="0" w:firstLineChars="0"/>
              <w:jc w:val="center"/>
              <w:rPr>
                <w:rFonts w:hint="eastAsia" w:ascii="宋体" w:hAnsi="宋体" w:eastAsia="宋体" w:cs="宋体"/>
                <w:bCs/>
                <w:color w:val="000000"/>
                <w:sz w:val="24"/>
              </w:rPr>
            </w:pPr>
            <w:r>
              <w:rPr>
                <w:rFonts w:hint="eastAsia" w:ascii="宋体" w:hAnsi="宋体" w:eastAsia="宋体" w:cs="宋体"/>
                <w:sz w:val="24"/>
              </w:rPr>
              <w:t>采购需求</w:t>
            </w:r>
          </w:p>
        </w:tc>
      </w:tr>
    </w:tbl>
    <w:p>
      <w:pPr>
        <w:spacing w:line="360" w:lineRule="auto"/>
        <w:ind w:firstLine="482" w:firstLineChars="200"/>
        <w:rPr>
          <w:rFonts w:hint="eastAsia" w:ascii="宋体" w:hAnsi="宋体" w:eastAsia="宋体" w:cs="宋体"/>
          <w:lang w:eastAsia="zh-CN"/>
        </w:rPr>
      </w:pPr>
      <w:r>
        <w:rPr>
          <w:rFonts w:hint="eastAsia" w:ascii="宋体" w:hAnsi="宋体" w:eastAsia="宋体" w:cs="宋体"/>
          <w:b/>
          <w:bCs/>
          <w:color w:val="000000"/>
          <w:sz w:val="24"/>
          <w:szCs w:val="24"/>
        </w:rPr>
        <w:t>六、</w:t>
      </w:r>
      <w:r>
        <w:rPr>
          <w:rFonts w:hint="eastAsia" w:ascii="宋体" w:hAnsi="宋体" w:eastAsia="宋体" w:cs="宋体"/>
          <w:b/>
          <w:bCs/>
          <w:sz w:val="24"/>
          <w:szCs w:val="24"/>
        </w:rPr>
        <w:t>合格供应商的资格要求</w:t>
      </w:r>
      <w:r>
        <w:rPr>
          <w:rFonts w:hint="eastAsia" w:ascii="宋体" w:hAnsi="宋体" w:eastAsia="宋体" w:cs="宋体"/>
          <w:b/>
          <w:bCs/>
          <w:sz w:val="24"/>
          <w:szCs w:val="24"/>
          <w:lang w:eastAsia="zh-CN"/>
        </w:rPr>
        <w:t>：</w:t>
      </w:r>
    </w:p>
    <w:p>
      <w:pPr>
        <w:keepNext w:val="0"/>
        <w:keepLines w:val="0"/>
        <w:pageBreakBefore w:val="0"/>
        <w:widowControl/>
        <w:kinsoku/>
        <w:wordWrap w:val="0"/>
        <w:overflowPunct/>
        <w:topLinePunct w:val="0"/>
        <w:autoSpaceDE/>
        <w:autoSpaceDN/>
        <w:bidi w:val="0"/>
        <w:adjustRightInd/>
        <w:snapToGrid/>
        <w:spacing w:line="400" w:lineRule="exact"/>
        <w:ind w:firstLine="480" w:firstLineChars="200"/>
        <w:rPr>
          <w:rFonts w:hint="eastAsia" w:ascii="宋体" w:hAnsi="宋体" w:eastAsia="宋体" w:cs="宋体"/>
          <w:sz w:val="24"/>
        </w:rPr>
      </w:pPr>
      <w:r>
        <w:rPr>
          <w:rFonts w:hint="eastAsia" w:ascii="宋体" w:hAnsi="宋体" w:eastAsia="宋体" w:cs="宋体"/>
          <w:sz w:val="24"/>
        </w:rPr>
        <w:t>1．基本要求：</w:t>
      </w:r>
    </w:p>
    <w:p>
      <w:pPr>
        <w:keepNext w:val="0"/>
        <w:keepLines w:val="0"/>
        <w:pageBreakBefore w:val="0"/>
        <w:widowControl/>
        <w:kinsoku/>
        <w:wordWrap w:val="0"/>
        <w:overflowPunct/>
        <w:topLinePunct w:val="0"/>
        <w:autoSpaceDE/>
        <w:autoSpaceDN/>
        <w:bidi w:val="0"/>
        <w:adjustRightInd/>
        <w:snapToGrid/>
        <w:spacing w:line="400" w:lineRule="exact"/>
        <w:ind w:left="0" w:leftChars="0"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具有独立承担民事责任的能力；</w:t>
      </w:r>
    </w:p>
    <w:p>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具有良好的商业信誉和健全的财务会计制度；</w:t>
      </w:r>
    </w:p>
    <w:p>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具有履行合同所必需的设备和专业技术能力；</w:t>
      </w:r>
    </w:p>
    <w:p>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有依法缴纳税收和社会保障资金的良好记录；</w:t>
      </w:r>
    </w:p>
    <w:p>
      <w:pPr>
        <w:keepNext w:val="0"/>
        <w:keepLines w:val="0"/>
        <w:pageBreakBefore w:val="0"/>
        <w:widowControl/>
        <w:kinsoku/>
        <w:wordWrap w:val="0"/>
        <w:overflowPunct/>
        <w:topLinePunct w:val="0"/>
        <w:autoSpaceDE/>
        <w:autoSpaceDN/>
        <w:bidi w:val="0"/>
        <w:adjustRightInd/>
        <w:snapToGrid/>
        <w:spacing w:line="400" w:lineRule="exact"/>
        <w:ind w:firstLine="480" w:firstLineChars="200"/>
        <w:textAlignment w:val="baseline"/>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w:t>
      </w:r>
      <w:r>
        <w:rPr>
          <w:rFonts w:hint="eastAsia" w:ascii="宋体" w:hAnsi="宋体" w:eastAsia="宋体" w:cs="宋体"/>
          <w:sz w:val="24"/>
        </w:rPr>
        <w:t>参加采购活动前三年内，在经营活动中没有重大违法记录；</w:t>
      </w:r>
    </w:p>
    <w:p>
      <w:pPr>
        <w:keepNext w:val="0"/>
        <w:keepLines w:val="0"/>
        <w:pageBreakBefore w:val="0"/>
        <w:widowControl/>
        <w:kinsoku/>
        <w:wordWrap w:val="0"/>
        <w:overflowPunct/>
        <w:topLinePunct w:val="0"/>
        <w:autoSpaceDE/>
        <w:autoSpaceDN/>
        <w:bidi w:val="0"/>
        <w:adjustRightInd/>
        <w:snapToGrid/>
        <w:spacing w:line="400" w:lineRule="exact"/>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6</w:t>
      </w:r>
      <w:r>
        <w:rPr>
          <w:rFonts w:hint="eastAsia" w:ascii="宋体" w:hAnsi="宋体" w:eastAsia="宋体" w:cs="宋体"/>
          <w:sz w:val="24"/>
          <w:lang w:eastAsia="zh-CN"/>
        </w:rPr>
        <w:t>）</w:t>
      </w:r>
      <w:r>
        <w:rPr>
          <w:rFonts w:hint="eastAsia" w:ascii="宋体" w:hAnsi="宋体" w:eastAsia="宋体" w:cs="宋体"/>
          <w:sz w:val="24"/>
        </w:rPr>
        <w:t>未被列入失信被执行人名单、重大税收违法案件当事人名单、政府采购严重违法失信行为记录名单，信用信息以投标截止日信用中国网站（www.creditchina.gov.cn）、中国政府采购网（www.ccgp.gov.cn）公布为准；</w:t>
      </w:r>
    </w:p>
    <w:p>
      <w:pPr>
        <w:keepNext w:val="0"/>
        <w:keepLines w:val="0"/>
        <w:pageBreakBefore w:val="0"/>
        <w:widowControl/>
        <w:kinsoku/>
        <w:wordWrap w:val="0"/>
        <w:overflowPunct/>
        <w:topLinePunct w:val="0"/>
        <w:autoSpaceDE/>
        <w:autoSpaceDN/>
        <w:bidi w:val="0"/>
        <w:adjustRightInd/>
        <w:snapToGrid/>
        <w:spacing w:line="400" w:lineRule="exact"/>
        <w:ind w:firstLine="480" w:firstLineChars="200"/>
        <w:rPr>
          <w:rFonts w:hint="eastAsia" w:ascii="宋体" w:hAnsi="宋体" w:eastAsia="宋体" w:cs="宋体"/>
          <w:b/>
          <w:bCs/>
          <w:color w:val="000000"/>
          <w:sz w:val="24"/>
          <w:szCs w:val="24"/>
        </w:rPr>
      </w:pPr>
      <w:r>
        <w:rPr>
          <w:rFonts w:hint="eastAsia" w:ascii="宋体" w:hAnsi="宋体" w:eastAsia="宋体" w:cs="宋体"/>
          <w:sz w:val="24"/>
          <w:lang w:val="en-US" w:eastAsia="zh-CN"/>
        </w:rPr>
        <w:t>注：</w:t>
      </w:r>
      <w:r>
        <w:rPr>
          <w:rFonts w:hint="eastAsia" w:ascii="宋体" w:hAnsi="宋体" w:eastAsia="宋体" w:cs="宋体"/>
          <w:sz w:val="24"/>
        </w:rPr>
        <w:t>本项目</w:t>
      </w:r>
      <w:r>
        <w:rPr>
          <w:rFonts w:hint="eastAsia" w:ascii="宋体" w:hAnsi="宋体" w:eastAsia="宋体" w:cs="宋体"/>
          <w:sz w:val="24"/>
          <w:u w:val="single"/>
          <w:lang w:val="en-US" w:eastAsia="zh-CN"/>
        </w:rPr>
        <w:t>不</w:t>
      </w:r>
      <w:r>
        <w:rPr>
          <w:rFonts w:hint="eastAsia" w:ascii="宋体" w:hAnsi="宋体" w:eastAsia="宋体" w:cs="宋体"/>
          <w:sz w:val="24"/>
          <w:u w:val="single"/>
        </w:rPr>
        <w:t>接受</w:t>
      </w:r>
      <w:r>
        <w:rPr>
          <w:rFonts w:hint="eastAsia" w:ascii="宋体" w:hAnsi="宋体" w:eastAsia="宋体" w:cs="宋体"/>
          <w:sz w:val="24"/>
        </w:rPr>
        <w:t>联合体投标。</w:t>
      </w:r>
    </w:p>
    <w:p>
      <w:pPr>
        <w:spacing w:line="360" w:lineRule="auto"/>
        <w:ind w:firstLine="482"/>
        <w:rPr>
          <w:rFonts w:hint="eastAsia" w:ascii="宋体" w:hAnsi="宋体" w:eastAsia="宋体" w:cs="宋体"/>
          <w:color w:val="000000"/>
          <w:sz w:val="24"/>
          <w:szCs w:val="24"/>
        </w:rPr>
      </w:pPr>
      <w:r>
        <w:rPr>
          <w:rFonts w:hint="eastAsia" w:ascii="宋体" w:hAnsi="宋体" w:eastAsia="宋体" w:cs="宋体"/>
          <w:b/>
          <w:bCs/>
          <w:color w:val="000000"/>
          <w:sz w:val="24"/>
          <w:szCs w:val="24"/>
        </w:rPr>
        <w:t>七、招标文件的获取</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1、本项目招标文件实行“</w:t>
      </w:r>
      <w:r>
        <w:rPr>
          <w:rFonts w:hint="eastAsia" w:ascii="宋体" w:hAnsi="宋体" w:eastAsia="宋体" w:cs="宋体"/>
          <w:b w:val="0"/>
          <w:bCs w:val="0"/>
          <w:sz w:val="24"/>
          <w:szCs w:val="24"/>
          <w:lang w:eastAsia="zh-CN"/>
        </w:rPr>
        <w:t>乐采云平台</w:t>
      </w:r>
      <w:r>
        <w:rPr>
          <w:rFonts w:hint="eastAsia" w:ascii="宋体" w:hAnsi="宋体" w:eastAsia="宋体" w:cs="宋体"/>
          <w:b w:val="0"/>
          <w:bCs w:val="0"/>
          <w:sz w:val="24"/>
          <w:szCs w:val="24"/>
        </w:rPr>
        <w:t>”在线获取，不提供招标文件纸质版。供应商获取招标文件前应先完成“</w:t>
      </w:r>
      <w:r>
        <w:rPr>
          <w:rFonts w:hint="eastAsia" w:ascii="宋体" w:hAnsi="宋体" w:eastAsia="宋体" w:cs="宋体"/>
          <w:b w:val="0"/>
          <w:bCs w:val="0"/>
          <w:sz w:val="24"/>
          <w:szCs w:val="24"/>
          <w:lang w:eastAsia="zh-CN"/>
        </w:rPr>
        <w:t>乐采云平台</w:t>
      </w:r>
      <w:r>
        <w:rPr>
          <w:rFonts w:hint="eastAsia" w:ascii="宋体" w:hAnsi="宋体" w:eastAsia="宋体" w:cs="宋体"/>
          <w:b w:val="0"/>
          <w:bCs w:val="0"/>
          <w:sz w:val="24"/>
          <w:szCs w:val="24"/>
        </w:rPr>
        <w:t>”的账号注册；</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2、地点：乐采云平台www.lecaiyun.com在线申请获取采购文件；</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3、方式：潜在供应商登陆</w:t>
      </w:r>
      <w:r>
        <w:rPr>
          <w:rFonts w:hint="eastAsia" w:ascii="宋体" w:hAnsi="宋体" w:eastAsia="宋体" w:cs="宋体"/>
          <w:b w:val="0"/>
          <w:bCs w:val="0"/>
          <w:sz w:val="24"/>
          <w:szCs w:val="24"/>
          <w:lang w:eastAsia="zh-CN"/>
        </w:rPr>
        <w:t>乐采云平台</w:t>
      </w:r>
      <w:r>
        <w:rPr>
          <w:rFonts w:hint="eastAsia" w:ascii="宋体" w:hAnsi="宋体" w:eastAsia="宋体" w:cs="宋体"/>
          <w:b w:val="0"/>
          <w:bCs w:val="0"/>
          <w:sz w:val="24"/>
          <w:szCs w:val="24"/>
        </w:rPr>
        <w:t>，在线申请获取招标文件（进入“项目采购”应用，在获取招标文件菜单中选择项目，申请获取招标文件，本项目招标文件不收取工本费；仅需浏览招标文件的供应商可点击“游客，浏览招标文件”直接下载招标文件浏览）；</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4、供应商获取招标文件时须提交的文件资料：无；</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5、提示：招标公告附件内的招标文件（或采购需求）仅供阅览使用，供应商只有在“</w:t>
      </w:r>
      <w:r>
        <w:rPr>
          <w:rFonts w:hint="eastAsia" w:ascii="宋体" w:hAnsi="宋体" w:eastAsia="宋体" w:cs="宋体"/>
          <w:b w:val="0"/>
          <w:bCs w:val="0"/>
          <w:sz w:val="24"/>
          <w:szCs w:val="24"/>
          <w:lang w:eastAsia="zh-CN"/>
        </w:rPr>
        <w:t>乐采云平台</w:t>
      </w:r>
      <w:r>
        <w:rPr>
          <w:rFonts w:hint="eastAsia" w:ascii="宋体" w:hAnsi="宋体" w:eastAsia="宋体" w:cs="宋体"/>
          <w:b w:val="0"/>
          <w:bCs w:val="0"/>
          <w:sz w:val="24"/>
          <w:szCs w:val="24"/>
        </w:rPr>
        <w:t>”完成获取招标文件申请并下载了招标文件后才视作依法获取招标文件（法律法规所指的供应商获取招标文件时间以供应商完成获取招标文件申请后下载招标文件的时间为准）。</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注：请供应商按上述要求获取招标文件，如未在“</w:t>
      </w:r>
      <w:r>
        <w:rPr>
          <w:rFonts w:hint="eastAsia" w:ascii="宋体" w:hAnsi="宋体" w:eastAsia="宋体" w:cs="宋体"/>
          <w:b w:val="0"/>
          <w:bCs w:val="0"/>
          <w:sz w:val="24"/>
          <w:szCs w:val="24"/>
          <w:lang w:eastAsia="zh-CN"/>
        </w:rPr>
        <w:t>乐</w:t>
      </w:r>
      <w:r>
        <w:rPr>
          <w:rFonts w:hint="eastAsia" w:ascii="宋体" w:hAnsi="宋体" w:eastAsia="宋体" w:cs="宋体"/>
          <w:b w:val="0"/>
          <w:bCs w:val="0"/>
          <w:sz w:val="24"/>
          <w:szCs w:val="24"/>
        </w:rPr>
        <w:t>采云”系统内完成相关流程，引起的投标无效责任自负。</w:t>
      </w:r>
    </w:p>
    <w:p>
      <w:pPr>
        <w:spacing w:line="480" w:lineRule="exact"/>
        <w:ind w:firstLine="482" w:firstLineChars="200"/>
        <w:rPr>
          <w:rFonts w:hint="eastAsia" w:ascii="宋体" w:hAnsi="宋体" w:eastAsia="宋体" w:cs="宋体"/>
          <w:b/>
          <w:bCs/>
          <w:color w:val="FF0000"/>
          <w:sz w:val="24"/>
        </w:rPr>
      </w:pPr>
      <w:r>
        <w:rPr>
          <w:rFonts w:hint="eastAsia" w:ascii="宋体" w:hAnsi="宋体" w:eastAsia="宋体" w:cs="宋体"/>
          <w:b/>
          <w:bCs/>
          <w:color w:val="000000"/>
          <w:sz w:val="24"/>
        </w:rPr>
        <w:t>八、投标截止时间和地点：</w:t>
      </w:r>
      <w:r>
        <w:rPr>
          <w:rFonts w:hint="eastAsia" w:ascii="宋体" w:hAnsi="宋体" w:eastAsia="宋体" w:cs="宋体"/>
          <w:b/>
          <w:bCs/>
          <w:color w:val="FF0000"/>
          <w:sz w:val="24"/>
          <w:lang w:eastAsia="zh-CN"/>
        </w:rPr>
        <w:t>2024年 12月31日 09时30分</w:t>
      </w:r>
      <w:r>
        <w:rPr>
          <w:rFonts w:hint="eastAsia" w:ascii="宋体" w:hAnsi="宋体" w:eastAsia="宋体" w:cs="宋体"/>
          <w:b/>
          <w:bCs/>
          <w:color w:val="FF0000"/>
          <w:sz w:val="24"/>
        </w:rPr>
        <w:t>。</w:t>
      </w:r>
    </w:p>
    <w:p>
      <w:pPr>
        <w:spacing w:line="480" w:lineRule="exact"/>
        <w:ind w:firstLine="472" w:firstLineChars="196"/>
        <w:rPr>
          <w:rFonts w:hint="eastAsia" w:ascii="宋体" w:hAnsi="宋体" w:eastAsia="宋体" w:cs="宋体"/>
        </w:rPr>
      </w:pPr>
      <w:r>
        <w:rPr>
          <w:rFonts w:hint="eastAsia" w:ascii="宋体" w:hAnsi="宋体" w:eastAsia="宋体" w:cs="宋体"/>
          <w:b/>
          <w:bCs/>
          <w:color w:val="000000"/>
          <w:sz w:val="24"/>
        </w:rPr>
        <w:t>九、投标地点：</w:t>
      </w:r>
      <w:r>
        <w:rPr>
          <w:rFonts w:hint="eastAsia" w:ascii="宋体" w:hAnsi="宋体" w:eastAsia="宋体" w:cs="宋体"/>
          <w:color w:val="FF0000"/>
          <w:sz w:val="24"/>
          <w:u w:val="single"/>
          <w:lang w:eastAsia="zh-CN"/>
        </w:rPr>
        <w:t>乐采云</w:t>
      </w:r>
      <w:r>
        <w:rPr>
          <w:rFonts w:hint="eastAsia" w:ascii="宋体" w:hAnsi="宋体" w:eastAsia="宋体" w:cs="宋体"/>
          <w:color w:val="FF0000"/>
          <w:sz w:val="24"/>
          <w:u w:val="single"/>
        </w:rPr>
        <w:t>在线投标</w:t>
      </w:r>
      <w:r>
        <w:rPr>
          <w:rFonts w:hint="eastAsia" w:ascii="宋体" w:hAnsi="宋体" w:eastAsia="宋体" w:cs="宋体"/>
          <w:color w:val="000000"/>
          <w:sz w:val="24"/>
        </w:rPr>
        <w:t>。</w:t>
      </w:r>
    </w:p>
    <w:p>
      <w:pPr>
        <w:snapToGrid w:val="0"/>
        <w:spacing w:line="480" w:lineRule="exact"/>
        <w:ind w:firstLine="479" w:firstLineChars="199"/>
        <w:rPr>
          <w:rFonts w:hint="eastAsia" w:ascii="宋体" w:hAnsi="宋体" w:eastAsia="宋体" w:cs="宋体"/>
          <w:b/>
          <w:color w:val="000000"/>
          <w:sz w:val="24"/>
        </w:rPr>
      </w:pPr>
      <w:r>
        <w:rPr>
          <w:rFonts w:hint="eastAsia" w:ascii="宋体" w:hAnsi="宋体" w:eastAsia="宋体" w:cs="宋体"/>
          <w:b/>
          <w:color w:val="000000"/>
          <w:sz w:val="24"/>
        </w:rPr>
        <w:t>十、开标时间及地点：</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rPr>
        <w:t>本次招标将</w:t>
      </w:r>
      <w:r>
        <w:rPr>
          <w:rFonts w:hint="eastAsia" w:ascii="宋体" w:hAnsi="宋体" w:eastAsia="宋体" w:cs="宋体"/>
          <w:b/>
          <w:bCs/>
          <w:color w:val="FF0000"/>
          <w:sz w:val="24"/>
          <w:lang w:eastAsia="zh-CN"/>
        </w:rPr>
        <w:t>2024年 12月31日 09时30分</w:t>
      </w:r>
      <w:r>
        <w:rPr>
          <w:rFonts w:hint="eastAsia" w:ascii="宋体" w:hAnsi="宋体" w:eastAsia="宋体" w:cs="宋体"/>
          <w:sz w:val="24"/>
        </w:rPr>
        <w:t>在</w:t>
      </w:r>
      <w:r>
        <w:rPr>
          <w:rFonts w:hint="eastAsia" w:ascii="宋体" w:hAnsi="宋体" w:eastAsia="宋体" w:cs="宋体"/>
          <w:color w:val="FF0000"/>
          <w:sz w:val="24"/>
          <w:u w:val="single"/>
          <w:lang w:eastAsia="zh-CN"/>
        </w:rPr>
        <w:t>乐采云</w:t>
      </w:r>
      <w:r>
        <w:rPr>
          <w:rFonts w:hint="eastAsia" w:ascii="宋体" w:hAnsi="宋体" w:eastAsia="宋体" w:cs="宋体"/>
          <w:color w:val="FF0000"/>
          <w:sz w:val="24"/>
          <w:u w:val="single"/>
        </w:rPr>
        <w:t>在线</w:t>
      </w:r>
      <w:r>
        <w:rPr>
          <w:rFonts w:hint="eastAsia" w:ascii="宋体" w:hAnsi="宋体" w:eastAsia="宋体" w:cs="宋体"/>
          <w:color w:val="000000"/>
          <w:sz w:val="24"/>
        </w:rPr>
        <w:t>开标</w:t>
      </w:r>
      <w:r>
        <w:rPr>
          <w:rFonts w:hint="eastAsia" w:ascii="宋体" w:hAnsi="宋体" w:eastAsia="宋体" w:cs="宋体"/>
          <w:sz w:val="24"/>
        </w:rPr>
        <w:t>。</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十一、投标保证金：</w:t>
      </w:r>
      <w:r>
        <w:rPr>
          <w:rFonts w:hint="eastAsia" w:ascii="宋体" w:hAnsi="宋体" w:eastAsia="宋体" w:cs="宋体"/>
          <w:bCs/>
          <w:color w:val="000000"/>
          <w:sz w:val="24"/>
          <w:szCs w:val="24"/>
        </w:rPr>
        <w:t>无</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十二、在线投标响应（电子投标）说明</w:t>
      </w:r>
    </w:p>
    <w:p>
      <w:pPr>
        <w:snapToGrid w:val="0"/>
        <w:spacing w:line="360" w:lineRule="auto"/>
        <w:ind w:firstLine="542" w:firstLineChars="225"/>
        <w:rPr>
          <w:rFonts w:hint="eastAsia" w:ascii="宋体" w:hAnsi="宋体" w:eastAsia="宋体" w:cs="宋体"/>
          <w:b/>
          <w:bCs/>
          <w:sz w:val="24"/>
          <w:szCs w:val="24"/>
        </w:rPr>
      </w:pPr>
      <w:r>
        <w:rPr>
          <w:rFonts w:hint="eastAsia" w:ascii="宋体" w:hAnsi="宋体" w:eastAsia="宋体" w:cs="宋体"/>
          <w:b/>
          <w:bCs/>
          <w:sz w:val="24"/>
          <w:szCs w:val="24"/>
        </w:rPr>
        <w:t>1、本项目通过“</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w:t>
      </w:r>
      <w:r>
        <w:rPr>
          <w:rFonts w:hint="eastAsia" w:ascii="宋体" w:hAnsi="宋体" w:eastAsia="宋体" w:cs="宋体"/>
          <w:b/>
          <w:bCs/>
          <w:sz w:val="24"/>
          <w:szCs w:val="24"/>
          <w:lang w:eastAsia="zh-CN"/>
        </w:rPr>
        <w:t>www.lecaiyun.com</w:t>
      </w:r>
      <w:r>
        <w:rPr>
          <w:rFonts w:hint="eastAsia" w:ascii="宋体" w:hAnsi="宋体" w:eastAsia="宋体" w:cs="宋体"/>
          <w:b/>
          <w:bCs/>
          <w:sz w:val="24"/>
          <w:szCs w:val="24"/>
        </w:rPr>
        <w:t>）”实行在线投标响应（电子投标），供应商应先安装“</w:t>
      </w:r>
      <w:r>
        <w:rPr>
          <w:rFonts w:hint="eastAsia" w:ascii="宋体" w:hAnsi="宋体" w:eastAsia="宋体" w:cs="宋体"/>
          <w:b/>
          <w:bCs/>
          <w:sz w:val="24"/>
          <w:szCs w:val="24"/>
          <w:lang w:eastAsia="zh-CN"/>
        </w:rPr>
        <w:t>乐采云电子交易客户端</w:t>
      </w:r>
      <w:r>
        <w:rPr>
          <w:rFonts w:hint="eastAsia" w:ascii="宋体" w:hAnsi="宋体" w:eastAsia="宋体" w:cs="宋体"/>
          <w:b/>
          <w:bCs/>
          <w:sz w:val="24"/>
          <w:szCs w:val="24"/>
        </w:rPr>
        <w:t>”，并按照本招标文件和“</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”的要求，通过“</w:t>
      </w:r>
      <w:r>
        <w:rPr>
          <w:rFonts w:hint="eastAsia" w:ascii="宋体" w:hAnsi="宋体" w:eastAsia="宋体" w:cs="宋体"/>
          <w:b/>
          <w:bCs/>
          <w:sz w:val="24"/>
          <w:szCs w:val="24"/>
          <w:lang w:eastAsia="zh-CN"/>
        </w:rPr>
        <w:t>乐采云电子交易客户端</w:t>
      </w:r>
      <w:r>
        <w:rPr>
          <w:rFonts w:hint="eastAsia" w:ascii="宋体" w:hAnsi="宋体" w:eastAsia="宋体" w:cs="宋体"/>
          <w:b/>
          <w:bCs/>
          <w:sz w:val="24"/>
          <w:szCs w:val="24"/>
        </w:rPr>
        <w:t>”编制并加密投标文件。供应商未按规定加密的投标文件，“</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”将予以拒收。</w:t>
      </w:r>
    </w:p>
    <w:p>
      <w:pPr>
        <w:keepNext w:val="0"/>
        <w:keepLines w:val="0"/>
        <w:pageBreakBefore w:val="0"/>
        <w:widowControl/>
        <w:kinsoku/>
        <w:wordWrap w:val="0"/>
        <w:overflowPunct/>
        <w:topLinePunct w:val="0"/>
        <w:autoSpaceDE/>
        <w:autoSpaceDN/>
        <w:bidi w:val="0"/>
        <w:adjustRightInd/>
        <w:snapToGrid w:val="0"/>
        <w:spacing w:line="360" w:lineRule="auto"/>
        <w:ind w:firstLine="542" w:firstLineChars="225"/>
        <w:textAlignment w:val="auto"/>
        <w:rPr>
          <w:rFonts w:hint="eastAsia" w:ascii="宋体" w:hAnsi="宋体" w:eastAsia="宋体" w:cs="宋体"/>
          <w:b/>
          <w:bCs/>
          <w:sz w:val="24"/>
          <w:szCs w:val="24"/>
          <w:highlight w:val="yellow"/>
          <w:lang w:eastAsia="zh-CN"/>
        </w:rPr>
      </w:pPr>
      <w:r>
        <w:rPr>
          <w:rFonts w:hint="eastAsia" w:ascii="宋体" w:hAnsi="宋体" w:eastAsia="宋体" w:cs="宋体"/>
          <w:b/>
          <w:bCs/>
          <w:sz w:val="24"/>
          <w:szCs w:val="24"/>
          <w:highlight w:val="yellow"/>
        </w:rPr>
        <w:t>请登录乐采云投标客户端投标，客户端下载地址https://sitecdn.zcycdn.com/zcy-client/bidding-client-new/official/lcy/LeCaiYunSetup.latest.exe</w:t>
      </w:r>
    </w:p>
    <w:p>
      <w:pPr>
        <w:snapToGrid w:val="0"/>
        <w:spacing w:line="360" w:lineRule="auto"/>
        <w:ind w:firstLine="542" w:firstLineChars="225"/>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、投标供应商应当在投标截止时间前，将生成的“电子加密投标文件”上传递交至“</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”。投标截止时间以后上传递交的投标文件将被“</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”拒收。</w:t>
      </w:r>
    </w:p>
    <w:p>
      <w:pPr>
        <w:snapToGrid w:val="0"/>
        <w:spacing w:line="360" w:lineRule="auto"/>
        <w:ind w:firstLine="542" w:firstLineChars="225"/>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、投标供应商在“</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napToGrid w:val="0"/>
        <w:spacing w:line="360" w:lineRule="auto"/>
        <w:ind w:firstLine="542" w:firstLineChars="225"/>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、通过“</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”上传递交的“电子加密投标文件”无法按时解密，投标供应商递交了备份投标文件的，以备份投标文件为依据，否则视为投标文件撤回。通过“</w:t>
      </w:r>
      <w:r>
        <w:rPr>
          <w:rFonts w:hint="eastAsia" w:ascii="宋体" w:hAnsi="宋体" w:eastAsia="宋体" w:cs="宋体"/>
          <w:b/>
          <w:bCs/>
          <w:sz w:val="24"/>
          <w:szCs w:val="24"/>
          <w:lang w:eastAsia="zh-CN"/>
        </w:rPr>
        <w:t>乐采云平台</w:t>
      </w:r>
      <w:r>
        <w:rPr>
          <w:rFonts w:hint="eastAsia" w:ascii="宋体" w:hAnsi="宋体" w:eastAsia="宋体" w:cs="宋体"/>
          <w:b/>
          <w:bCs/>
          <w:sz w:val="24"/>
          <w:szCs w:val="24"/>
        </w:rPr>
        <w:t>”上传递交的“电子加密投标文件”已按时解密的，“备份投标文件”自动失效。投标供应商仅递交备份投标文件的，投标无效。</w:t>
      </w:r>
    </w:p>
    <w:p>
      <w:pPr>
        <w:snapToGrid w:val="0"/>
        <w:spacing w:line="360" w:lineRule="auto"/>
        <w:ind w:firstLine="241" w:firstLineChars="100"/>
        <w:rPr>
          <w:rFonts w:hint="eastAsia" w:ascii="宋体" w:hAnsi="宋体" w:eastAsia="宋体" w:cs="宋体"/>
          <w:sz w:val="24"/>
          <w:szCs w:val="24"/>
        </w:rPr>
      </w:pPr>
      <w:r>
        <w:rPr>
          <w:rFonts w:hint="eastAsia" w:ascii="宋体" w:hAnsi="宋体" w:eastAsia="宋体" w:cs="宋体"/>
          <w:b/>
          <w:color w:val="000000"/>
          <w:sz w:val="24"/>
          <w:szCs w:val="24"/>
        </w:rPr>
        <w:t>十</w:t>
      </w:r>
      <w:r>
        <w:rPr>
          <w:rFonts w:hint="eastAsia" w:ascii="宋体" w:hAnsi="宋体" w:eastAsia="宋体" w:cs="宋体"/>
          <w:b/>
          <w:color w:val="000000"/>
          <w:sz w:val="24"/>
          <w:szCs w:val="24"/>
          <w:lang w:eastAsia="zh-CN"/>
        </w:rPr>
        <w:t>三</w:t>
      </w:r>
      <w:r>
        <w:rPr>
          <w:rFonts w:hint="eastAsia" w:ascii="宋体" w:hAnsi="宋体" w:eastAsia="宋体" w:cs="宋体"/>
          <w:b/>
          <w:color w:val="000000"/>
          <w:sz w:val="24"/>
          <w:szCs w:val="24"/>
        </w:rPr>
        <w:t>、业务咨询：</w:t>
      </w:r>
    </w:p>
    <w:p>
      <w:pPr>
        <w:keepNext w:val="0"/>
        <w:keepLines w:val="0"/>
        <w:pageBreakBefore w:val="0"/>
        <w:widowControl/>
        <w:kinsoku/>
        <w:wordWrap/>
        <w:overflowPunct/>
        <w:topLinePunct w:val="0"/>
        <w:autoSpaceDE/>
        <w:autoSpaceDN/>
        <w:bidi w:val="0"/>
        <w:adjustRightInd/>
        <w:snapToGrid w:val="0"/>
        <w:spacing w:line="360" w:lineRule="exact"/>
        <w:ind w:firstLine="676" w:firstLineChars="282"/>
        <w:textAlignment w:val="auto"/>
        <w:rPr>
          <w:rFonts w:hint="eastAsia" w:ascii="宋体" w:hAnsi="宋体" w:eastAsia="宋体" w:cs="宋体"/>
          <w:color w:val="000000"/>
          <w:kern w:val="0"/>
          <w:sz w:val="24"/>
          <w:lang w:eastAsia="zh-CN"/>
        </w:rPr>
      </w:pPr>
      <w:r>
        <w:rPr>
          <w:rFonts w:hint="eastAsia" w:ascii="宋体" w:hAnsi="宋体" w:eastAsia="宋体" w:cs="宋体"/>
          <w:sz w:val="24"/>
          <w:szCs w:val="24"/>
        </w:rPr>
        <w:t>采购人名称：</w:t>
      </w:r>
      <w:r>
        <w:rPr>
          <w:rFonts w:hint="eastAsia" w:ascii="宋体" w:hAnsi="宋体" w:eastAsia="宋体" w:cs="宋体"/>
          <w:color w:val="000000"/>
          <w:kern w:val="0"/>
          <w:sz w:val="24"/>
          <w:lang w:eastAsia="zh-CN"/>
        </w:rPr>
        <w:t>桐庐富春旅游开发有限公司</w:t>
      </w:r>
      <w:r>
        <w:rPr>
          <w:rFonts w:hint="eastAsia" w:ascii="宋体" w:hAnsi="宋体" w:eastAsia="宋体" w:cs="宋体"/>
          <w:color w:val="000000"/>
          <w:kern w:val="0"/>
          <w:sz w:val="24"/>
        </w:rPr>
        <w:t xml:space="preserve">  </w:t>
      </w:r>
    </w:p>
    <w:p>
      <w:pPr>
        <w:keepNext w:val="0"/>
        <w:keepLines w:val="0"/>
        <w:pageBreakBefore w:val="0"/>
        <w:widowControl/>
        <w:kinsoku/>
        <w:wordWrap/>
        <w:overflowPunct/>
        <w:topLinePunct w:val="0"/>
        <w:autoSpaceDE/>
        <w:autoSpaceDN/>
        <w:bidi w:val="0"/>
        <w:adjustRightInd/>
        <w:snapToGrid w:val="0"/>
        <w:spacing w:line="360" w:lineRule="exact"/>
        <w:ind w:firstLine="676" w:firstLineChars="282"/>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王月月</w:t>
      </w:r>
      <w:r>
        <w:rPr>
          <w:rFonts w:hint="eastAsia" w:ascii="宋体" w:hAnsi="宋体" w:eastAsia="宋体" w:cs="宋体"/>
          <w:color w:val="000000"/>
          <w:kern w:val="0"/>
          <w:sz w:val="24"/>
        </w:rPr>
        <w:t xml:space="preserve"> </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0571-58595622</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 址：桐庐县县城春江西路69号滨江大厦</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书面质疑受理联系人：</w:t>
      </w:r>
      <w:r>
        <w:rPr>
          <w:rFonts w:hint="eastAsia" w:ascii="宋体" w:hAnsi="宋体" w:eastAsia="宋体" w:cs="宋体"/>
          <w:sz w:val="24"/>
          <w:szCs w:val="24"/>
          <w:lang w:eastAsia="zh-CN"/>
        </w:rPr>
        <w:t>周磊</w:t>
      </w:r>
      <w:r>
        <w:rPr>
          <w:rFonts w:hint="eastAsia" w:ascii="宋体" w:hAnsi="宋体" w:eastAsia="宋体" w:cs="宋体"/>
          <w:color w:val="auto"/>
          <w:sz w:val="24"/>
          <w:szCs w:val="24"/>
        </w:rPr>
        <w:t xml:space="preserve">  </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sz w:val="24"/>
          <w:szCs w:val="24"/>
          <w:lang w:val="en-US" w:eastAsia="zh-CN"/>
        </w:rPr>
        <w:t>0571-58595622</w:t>
      </w:r>
    </w:p>
    <w:p>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lang w:eastAsia="zh-CN"/>
        </w:rPr>
      </w:pPr>
      <w:r>
        <w:rPr>
          <w:rFonts w:hint="eastAsia" w:ascii="宋体" w:hAnsi="宋体" w:eastAsia="宋体" w:cs="宋体"/>
          <w:sz w:val="24"/>
          <w:szCs w:val="24"/>
        </w:rPr>
        <w:t>采购代理机构名称：</w:t>
      </w:r>
      <w:r>
        <w:rPr>
          <w:rFonts w:hint="eastAsia" w:ascii="宋体" w:hAnsi="宋体" w:eastAsia="宋体" w:cs="宋体"/>
          <w:sz w:val="24"/>
          <w:szCs w:val="24"/>
          <w:lang w:eastAsia="zh-CN"/>
        </w:rPr>
        <w:t>杭州开元物产集团有限公司</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钟梨霞</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18058144473</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 址：浙江省杭州市萧山区萧山北干街道市心中路818号十六层</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书面质疑受理联系人：</w:t>
      </w:r>
      <w:r>
        <w:rPr>
          <w:rFonts w:hint="eastAsia" w:ascii="宋体" w:hAnsi="宋体" w:eastAsia="宋体" w:cs="宋体"/>
          <w:sz w:val="24"/>
          <w:szCs w:val="24"/>
          <w:lang w:eastAsia="zh-CN"/>
        </w:rPr>
        <w:t>刘丹</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bCs/>
          <w:color w:val="000000"/>
          <w:sz w:val="24"/>
          <w:szCs w:val="24"/>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13588419202</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bCs/>
          <w:color w:val="000000"/>
          <w:sz w:val="24"/>
          <w:szCs w:val="24"/>
        </w:rPr>
      </w:pP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同级政府采购监管部门：</w:t>
      </w:r>
      <w:r>
        <w:rPr>
          <w:rFonts w:hint="eastAsia" w:ascii="宋体" w:hAnsi="宋体" w:eastAsia="宋体" w:cs="宋体"/>
          <w:bCs/>
          <w:color w:val="auto"/>
          <w:sz w:val="24"/>
          <w:szCs w:val="24"/>
          <w:lang w:eastAsia="zh-CN"/>
        </w:rPr>
        <w:t>桐庐县文化旅游投资集团有限公司</w:t>
      </w:r>
      <w:r>
        <w:rPr>
          <w:rFonts w:hint="eastAsia" w:ascii="宋体" w:hAnsi="宋体" w:eastAsia="宋体" w:cs="宋体"/>
          <w:color w:val="auto"/>
          <w:kern w:val="0"/>
          <w:sz w:val="24"/>
        </w:rPr>
        <w:t xml:space="preserve"> </w:t>
      </w:r>
    </w:p>
    <w:p>
      <w:pPr>
        <w:keepNext w:val="0"/>
        <w:keepLines w:val="0"/>
        <w:pageBreakBefore w:val="0"/>
        <w:widowControl/>
        <w:kinsoku/>
        <w:wordWrap/>
        <w:overflowPunct/>
        <w:topLinePunct w:val="0"/>
        <w:autoSpaceDE/>
        <w:autoSpaceDN/>
        <w:bidi w:val="0"/>
        <w:adjustRightInd/>
        <w:snapToGrid w:val="0"/>
        <w:spacing w:line="360" w:lineRule="exact"/>
        <w:ind w:firstLine="720" w:firstLineChars="3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联系人：</w:t>
      </w:r>
      <w:r>
        <w:rPr>
          <w:rFonts w:hint="eastAsia" w:ascii="宋体" w:hAnsi="宋体" w:eastAsia="宋体" w:cs="宋体"/>
          <w:bCs/>
          <w:color w:val="auto"/>
          <w:sz w:val="24"/>
          <w:szCs w:val="24"/>
          <w:lang w:eastAsia="zh-CN"/>
        </w:rPr>
        <w:t>朱子墨</w:t>
      </w:r>
      <w:r>
        <w:rPr>
          <w:rFonts w:hint="eastAsia" w:ascii="宋体" w:hAnsi="宋体" w:eastAsia="宋体" w:cs="宋体"/>
          <w:color w:val="auto"/>
          <w:kern w:val="0"/>
          <w:sz w:val="24"/>
        </w:rPr>
        <w:t xml:space="preserve">  </w:t>
      </w:r>
    </w:p>
    <w:p>
      <w:pPr>
        <w:keepNext w:val="0"/>
        <w:keepLines w:val="0"/>
        <w:pageBreakBefore w:val="0"/>
        <w:widowControl/>
        <w:kinsoku/>
        <w:wordWrap/>
        <w:overflowPunct/>
        <w:topLinePunct w:val="0"/>
        <w:autoSpaceDE/>
        <w:autoSpaceDN/>
        <w:bidi w:val="0"/>
        <w:adjustRightInd/>
        <w:snapToGrid w:val="0"/>
        <w:spacing w:line="400" w:lineRule="exact"/>
        <w:ind w:firstLine="720" w:firstLineChars="3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监督投诉电话：</w:t>
      </w:r>
      <w:r>
        <w:rPr>
          <w:rFonts w:hint="eastAsia" w:ascii="宋体" w:hAnsi="宋体" w:eastAsia="宋体" w:cs="宋体"/>
          <w:bCs/>
          <w:color w:val="auto"/>
          <w:sz w:val="24"/>
          <w:szCs w:val="24"/>
          <w:lang w:val="en-US" w:eastAsia="zh-CN"/>
        </w:rPr>
        <w:t>0571-58587276</w:t>
      </w:r>
    </w:p>
    <w:p>
      <w:pPr>
        <w:keepNext w:val="0"/>
        <w:keepLines w:val="0"/>
        <w:pageBreakBefore w:val="0"/>
        <w:widowControl/>
        <w:kinsoku/>
        <w:wordWrap/>
        <w:overflowPunct/>
        <w:topLinePunct w:val="0"/>
        <w:autoSpaceDE/>
        <w:autoSpaceDN/>
        <w:bidi w:val="0"/>
        <w:adjustRightInd/>
        <w:snapToGrid w:val="0"/>
        <w:spacing w:line="400" w:lineRule="exact"/>
        <w:ind w:firstLine="720" w:firstLineChars="3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地址：桐庐县县城春江西路69号滨江大厦</w:t>
      </w:r>
    </w:p>
    <w:p>
      <w:pPr>
        <w:keepNext w:val="0"/>
        <w:keepLines w:val="0"/>
        <w:pageBreakBefore w:val="0"/>
        <w:widowControl/>
        <w:kinsoku/>
        <w:wordWrap/>
        <w:overflowPunct/>
        <w:topLinePunct w:val="0"/>
        <w:autoSpaceDE/>
        <w:autoSpaceDN/>
        <w:bidi w:val="0"/>
        <w:adjustRightInd/>
        <w:snapToGrid w:val="0"/>
        <w:spacing w:line="400" w:lineRule="exact"/>
        <w:ind w:firstLine="1080" w:firstLineChars="300"/>
        <w:textAlignment w:val="auto"/>
        <w:rPr>
          <w:rFonts w:hint="eastAsia" w:ascii="宋体" w:hAnsi="宋体" w:eastAsia="宋体" w:cs="宋体"/>
          <w:b w:val="0"/>
          <w:sz w:val="36"/>
          <w:szCs w:val="36"/>
        </w:rPr>
        <w:sectPr>
          <w:headerReference r:id="rId7" w:type="default"/>
          <w:footerReference r:id="rId8" w:type="default"/>
          <w:pgSz w:w="11906" w:h="16838"/>
          <w:pgMar w:top="1440" w:right="1457" w:bottom="1440" w:left="1457" w:header="851" w:footer="992" w:gutter="0"/>
          <w:pgNumType w:fmt="decimal"/>
          <w:cols w:space="720" w:num="1"/>
          <w:docGrid w:type="lines" w:linePitch="319" w:charSpace="0"/>
        </w:sectPr>
      </w:pPr>
      <w:r>
        <w:rPr>
          <w:rFonts w:hint="eastAsia" w:ascii="宋体" w:hAnsi="宋体" w:eastAsia="宋体" w:cs="宋体"/>
          <w:b w:val="0"/>
          <w:sz w:val="36"/>
          <w:szCs w:val="36"/>
        </w:rPr>
        <w:t xml:space="preserve"> </w:t>
      </w:r>
    </w:p>
    <w:p>
      <w:pPr>
        <w:pageBreakBefore w:val="0"/>
        <w:numPr>
          <w:ilvl w:val="0"/>
          <w:numId w:val="0"/>
        </w:numPr>
        <w:kinsoku/>
        <w:wordWrap/>
        <w:overflowPunct/>
        <w:topLinePunct w:val="0"/>
        <w:autoSpaceDE/>
        <w:autoSpaceDN/>
        <w:bidi w:val="0"/>
        <w:adjustRightInd/>
        <w:snapToGrid w:val="0"/>
        <w:spacing w:line="400" w:lineRule="exact"/>
        <w:jc w:val="center"/>
        <w:textAlignment w:val="auto"/>
        <w:rPr>
          <w:rFonts w:hint="eastAsia" w:ascii="宋体" w:hAnsi="宋体" w:eastAsia="宋体" w:cs="宋体"/>
        </w:rPr>
      </w:pPr>
      <w:r>
        <w:rPr>
          <w:rFonts w:hint="eastAsia" w:ascii="宋体" w:hAnsi="宋体" w:eastAsia="宋体" w:cs="宋体"/>
          <w:b/>
          <w:sz w:val="32"/>
          <w:szCs w:val="32"/>
          <w:lang w:eastAsia="zh-CN"/>
        </w:rPr>
        <w:t>第二章</w:t>
      </w:r>
      <w:r>
        <w:rPr>
          <w:rFonts w:hint="eastAsia" w:ascii="宋体" w:hAnsi="宋体" w:eastAsia="宋体" w:cs="宋体"/>
          <w:b/>
          <w:sz w:val="32"/>
          <w:szCs w:val="32"/>
        </w:rPr>
        <w:t xml:space="preserve">  招标需求</w:t>
      </w:r>
    </w:p>
    <w:p>
      <w:pPr>
        <w:pStyle w:val="5"/>
        <w:pageBreakBefore w:val="0"/>
        <w:numPr>
          <w:ilvl w:val="0"/>
          <w:numId w:val="0"/>
        </w:numPr>
        <w:tabs>
          <w:tab w:val="left" w:pos="576"/>
          <w:tab w:val="clear" w:pos="360"/>
        </w:tabs>
        <w:kinsoku/>
        <w:wordWrap/>
        <w:overflowPunct/>
        <w:topLinePunct w:val="0"/>
        <w:autoSpaceDE/>
        <w:autoSpaceDN/>
        <w:bidi w:val="0"/>
        <w:adjustRightInd/>
        <w:snapToGrid/>
        <w:spacing w:line="480" w:lineRule="exact"/>
        <w:ind w:leftChars="0" w:firstLine="482"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w:t>
      </w:r>
      <w:r>
        <w:rPr>
          <w:rFonts w:hint="eastAsia" w:ascii="宋体" w:hAnsi="宋体" w:eastAsia="宋体" w:cs="宋体"/>
          <w:sz w:val="24"/>
          <w:szCs w:val="24"/>
          <w:lang w:eastAsia="zh-CN"/>
        </w:rPr>
        <w:t>项目概况</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1</w:t>
      </w:r>
      <w:r>
        <w:rPr>
          <w:rFonts w:hint="eastAsia" w:ascii="宋体" w:hAnsi="宋体" w:eastAsia="宋体" w:cs="宋体"/>
          <w:sz w:val="24"/>
          <w:lang w:val="en-US" w:eastAsia="zh-CN"/>
        </w:rPr>
        <w:t>.</w:t>
      </w:r>
      <w:r>
        <w:rPr>
          <w:rFonts w:hint="eastAsia" w:ascii="宋体" w:hAnsi="宋体" w:eastAsia="宋体" w:cs="宋体"/>
          <w:sz w:val="24"/>
          <w:lang w:eastAsia="zh-CN"/>
        </w:rPr>
        <w:t>项目名称：桐庐县红灯笼乡村家园地毯采购项目。</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2</w:t>
      </w:r>
      <w:r>
        <w:rPr>
          <w:rFonts w:hint="eastAsia" w:ascii="宋体" w:hAnsi="宋体" w:eastAsia="宋体" w:cs="宋体"/>
          <w:sz w:val="24"/>
          <w:lang w:val="en-US" w:eastAsia="zh-CN"/>
        </w:rPr>
        <w:t>.</w:t>
      </w:r>
      <w:r>
        <w:rPr>
          <w:rFonts w:hint="eastAsia" w:ascii="宋体" w:hAnsi="宋体" w:eastAsia="宋体" w:cs="宋体"/>
          <w:sz w:val="24"/>
          <w:lang w:eastAsia="zh-CN"/>
        </w:rPr>
        <w:t>供货、安装地点：本项目供货地址为桐庐县红灯笼乡村家园。</w:t>
      </w:r>
    </w:p>
    <w:p>
      <w:pPr>
        <w:pStyle w:val="5"/>
        <w:pageBreakBefore w:val="0"/>
        <w:numPr>
          <w:ilvl w:val="0"/>
          <w:numId w:val="0"/>
        </w:numPr>
        <w:tabs>
          <w:tab w:val="left" w:pos="576"/>
          <w:tab w:val="clear" w:pos="360"/>
        </w:tabs>
        <w:kinsoku/>
        <w:wordWrap/>
        <w:overflowPunct/>
        <w:topLinePunct w:val="0"/>
        <w:autoSpaceDE/>
        <w:autoSpaceDN/>
        <w:bidi w:val="0"/>
        <w:adjustRightInd/>
        <w:snapToGrid/>
        <w:spacing w:line="480" w:lineRule="exact"/>
        <w:ind w:leftChars="0"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、采购货物清单及要求</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rPr>
        <w:t>详见公告附件</w:t>
      </w:r>
      <w:r>
        <w:rPr>
          <w:rFonts w:hint="eastAsia" w:ascii="宋体" w:hAnsi="宋体" w:eastAsia="宋体" w:cs="宋体"/>
          <w:sz w:val="24"/>
          <w:lang w:eastAsia="zh-CN"/>
        </w:rPr>
        <w:t>。</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lang w:eastAsia="zh-CN"/>
        </w:rPr>
        <w:t>采购清单标注的尺寸及数量仅为参考尺寸及数量应由中标人根据实际施工情况进行现场复核，并进行适当调整优化。</w:t>
      </w:r>
    </w:p>
    <w:p>
      <w:pPr>
        <w:pageBreakBefore w:val="0"/>
        <w:kinsoku/>
        <w:wordWrap/>
        <w:overflowPunct/>
        <w:topLinePunct w:val="0"/>
        <w:autoSpaceDE/>
        <w:autoSpaceDN/>
        <w:bidi w:val="0"/>
        <w:adjustRightInd/>
        <w:snapToGrid/>
        <w:spacing w:line="480" w:lineRule="exact"/>
        <w:ind w:left="480" w:leftChars="200" w:firstLine="0" w:firstLineChars="0"/>
        <w:textAlignment w:val="auto"/>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lang w:eastAsia="zh-CN"/>
        </w:rPr>
        <w:t>采购清单所示图片仅为参考，造型、材质及颜色等都以经采购人最终确认为准。</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eastAsia="宋体" w:cs="宋体"/>
          <w:sz w:val="24"/>
          <w:lang w:eastAsia="zh-CN"/>
        </w:rPr>
        <w:t>货物在生产前，需提供材料表</w:t>
      </w:r>
      <w:r>
        <w:rPr>
          <w:rFonts w:hint="eastAsia" w:ascii="宋体" w:hAnsi="宋体" w:eastAsia="宋体" w:cs="宋体"/>
          <w:sz w:val="24"/>
          <w:highlight w:val="none"/>
          <w:lang w:eastAsia="zh-CN"/>
        </w:rPr>
        <w:t>及材料小样</w:t>
      </w:r>
      <w:r>
        <w:rPr>
          <w:rFonts w:hint="eastAsia" w:ascii="宋体" w:hAnsi="宋体" w:eastAsia="宋体" w:cs="宋体"/>
          <w:sz w:val="24"/>
          <w:lang w:eastAsia="zh-CN"/>
        </w:rPr>
        <w:t>，需设计单位，业主单位及酒管单位签字确认。</w:t>
      </w:r>
    </w:p>
    <w:p>
      <w:pPr>
        <w:pStyle w:val="5"/>
        <w:pageBreakBefore w:val="0"/>
        <w:numPr>
          <w:ilvl w:val="0"/>
          <w:numId w:val="0"/>
        </w:numPr>
        <w:tabs>
          <w:tab w:val="left" w:pos="576"/>
          <w:tab w:val="clear" w:pos="360"/>
        </w:tabs>
        <w:kinsoku/>
        <w:wordWrap/>
        <w:overflowPunct/>
        <w:topLinePunct w:val="0"/>
        <w:autoSpaceDE/>
        <w:autoSpaceDN/>
        <w:bidi w:val="0"/>
        <w:adjustRightInd/>
        <w:snapToGrid/>
        <w:spacing w:line="480" w:lineRule="exact"/>
        <w:ind w:leftChars="0"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、质量与服务要求</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1.中标人必须对货物提供终身维修维护服务并负责售后服务，货物的质保期</w:t>
      </w:r>
      <w:r>
        <w:rPr>
          <w:rFonts w:hint="eastAsia" w:ascii="宋体" w:hAnsi="宋体" w:eastAsia="宋体" w:cs="宋体"/>
          <w:b/>
          <w:sz w:val="24"/>
        </w:rPr>
        <w:t>不得少于</w:t>
      </w:r>
      <w:r>
        <w:rPr>
          <w:rFonts w:hint="eastAsia" w:ascii="宋体" w:hAnsi="宋体" w:eastAsia="宋体" w:cs="宋体"/>
          <w:b/>
          <w:sz w:val="24"/>
          <w:lang w:val="en-US" w:eastAsia="zh-CN"/>
        </w:rPr>
        <w:t>2</w:t>
      </w:r>
      <w:r>
        <w:rPr>
          <w:rFonts w:hint="eastAsia" w:ascii="宋体" w:hAnsi="宋体" w:eastAsia="宋体" w:cs="宋体"/>
          <w:b/>
          <w:sz w:val="24"/>
        </w:rPr>
        <w:t>年，</w:t>
      </w:r>
      <w:r>
        <w:rPr>
          <w:rFonts w:hint="eastAsia" w:ascii="宋体" w:hAnsi="宋体" w:eastAsia="宋体" w:cs="宋体"/>
          <w:sz w:val="24"/>
        </w:rPr>
        <w:t>质保期内的维修费用（包括材料）全部由中标人负责，质保期后的维修按成本价酌情收费，中标人在接到维修电话后</w:t>
      </w:r>
      <w:r>
        <w:rPr>
          <w:rFonts w:hint="eastAsia" w:ascii="宋体" w:hAnsi="宋体" w:eastAsia="宋体" w:cs="宋体"/>
          <w:sz w:val="24"/>
          <w:lang w:val="en-US" w:eastAsia="zh-CN"/>
        </w:rPr>
        <w:t>2</w:t>
      </w:r>
      <w:r>
        <w:rPr>
          <w:rFonts w:hint="eastAsia" w:ascii="宋体" w:hAnsi="宋体" w:eastAsia="宋体" w:cs="宋体"/>
          <w:sz w:val="24"/>
        </w:rPr>
        <w:t>小时内响应</w:t>
      </w:r>
      <w:r>
        <w:rPr>
          <w:rFonts w:hint="eastAsia" w:ascii="宋体" w:hAnsi="宋体" w:eastAsia="宋体" w:cs="宋体"/>
          <w:sz w:val="24"/>
          <w:lang w:eastAsia="zh-CN"/>
        </w:rPr>
        <w:t>并提出解决方案</w:t>
      </w:r>
      <w:r>
        <w:rPr>
          <w:rFonts w:hint="eastAsia" w:ascii="宋体" w:hAnsi="宋体" w:eastAsia="宋体" w:cs="宋体"/>
          <w:sz w:val="24"/>
        </w:rPr>
        <w:t>，最迟在接到维修电话后</w:t>
      </w:r>
      <w:r>
        <w:rPr>
          <w:rFonts w:hint="eastAsia" w:ascii="宋体" w:hAnsi="宋体" w:eastAsia="宋体" w:cs="宋体"/>
          <w:sz w:val="24"/>
          <w:lang w:val="en-US" w:eastAsia="zh-CN"/>
        </w:rPr>
        <w:t>4小时内到达现场处理</w:t>
      </w:r>
      <w:r>
        <w:rPr>
          <w:rFonts w:hint="eastAsia" w:ascii="宋体" w:hAnsi="宋体" w:eastAsia="宋体" w:cs="宋体"/>
          <w:sz w:val="24"/>
        </w:rPr>
        <w:t>，要求在</w:t>
      </w:r>
      <w:r>
        <w:rPr>
          <w:rFonts w:hint="eastAsia" w:ascii="宋体" w:hAnsi="宋体" w:eastAsia="宋体" w:cs="宋体"/>
          <w:sz w:val="24"/>
          <w:lang w:val="en-US" w:eastAsia="zh-CN"/>
        </w:rPr>
        <w:t>8</w:t>
      </w:r>
      <w:r>
        <w:rPr>
          <w:rFonts w:hint="eastAsia" w:ascii="宋体" w:hAnsi="宋体" w:eastAsia="宋体" w:cs="宋体"/>
          <w:sz w:val="24"/>
        </w:rPr>
        <w:t>小时内解决问题</w:t>
      </w:r>
      <w:r>
        <w:rPr>
          <w:rFonts w:hint="eastAsia" w:ascii="宋体" w:hAnsi="宋体" w:eastAsia="宋体" w:cs="宋体"/>
          <w:sz w:val="24"/>
          <w:lang w:eastAsia="zh-CN"/>
        </w:rPr>
        <w:t>，</w:t>
      </w:r>
      <w:r>
        <w:rPr>
          <w:rFonts w:hint="eastAsia" w:ascii="宋体" w:hAnsi="宋体" w:eastAsia="宋体" w:cs="宋体"/>
          <w:sz w:val="24"/>
        </w:rPr>
        <w:t>如不能修复应采取补救措施的，免费提供相应同档次备</w:t>
      </w:r>
      <w:r>
        <w:rPr>
          <w:rFonts w:hint="eastAsia" w:ascii="宋体" w:hAnsi="宋体" w:eastAsia="宋体" w:cs="宋体"/>
          <w:sz w:val="24"/>
          <w:lang w:eastAsia="zh-CN"/>
        </w:rPr>
        <w:t>用产品并负责安装调试</w:t>
      </w:r>
      <w:r>
        <w:rPr>
          <w:rFonts w:hint="eastAsia" w:ascii="宋体" w:hAnsi="宋体" w:eastAsia="宋体" w:cs="宋体"/>
          <w:sz w:val="24"/>
        </w:rPr>
        <w:t>，以保证使用方的正常工作。</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中标人须在签订合同前,提供的产品必须取得采购人认可后方可生产并供货。若中标人不能提供符合投标文件承诺标准的样品（产品优于样品除外），采购人有权不与其签订合同，且由中标人承担所有因此产生的法律责任。</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.中标人必须保证所供货物全新、正宗、原包装</w:t>
      </w:r>
      <w:r>
        <w:rPr>
          <w:rFonts w:hint="eastAsia" w:ascii="宋体" w:hAnsi="宋体" w:eastAsia="宋体" w:cs="宋体"/>
          <w:b/>
          <w:sz w:val="24"/>
        </w:rPr>
        <w:t>（须按要求新生产的货物）</w:t>
      </w:r>
      <w:r>
        <w:rPr>
          <w:rFonts w:hint="eastAsia" w:ascii="宋体" w:hAnsi="宋体" w:eastAsia="宋体" w:cs="宋体"/>
          <w:sz w:val="24"/>
        </w:rPr>
        <w:t>，至</w:t>
      </w:r>
      <w:r>
        <w:rPr>
          <w:rFonts w:hint="eastAsia" w:ascii="宋体" w:hAnsi="宋体" w:eastAsia="宋体" w:cs="宋体"/>
          <w:sz w:val="24"/>
          <w:lang w:eastAsia="zh-CN"/>
        </w:rPr>
        <w:t>采购人</w:t>
      </w:r>
      <w:r>
        <w:rPr>
          <w:rFonts w:hint="eastAsia" w:ascii="宋体" w:hAnsi="宋体" w:eastAsia="宋体" w:cs="宋体"/>
          <w:sz w:val="24"/>
        </w:rPr>
        <w:t>手中时不拆封。采购供应的材料、设备均须有合格证、质保书或试验报告等技术资料。</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4.在生产制作过程中采购人有权进入生产或制作现场，不定期对材质、配件进行原材料到货核查及生产场地、生产过程、生产工艺进行检查，对发现的问题和瑕疵提出整改要求。</w:t>
      </w:r>
      <w:r>
        <w:rPr>
          <w:rFonts w:hint="eastAsia" w:ascii="宋体" w:hAnsi="宋体" w:eastAsia="宋体" w:cs="宋体"/>
          <w:sz w:val="24"/>
          <w:highlight w:val="none"/>
          <w:lang w:val="en-US" w:eastAsia="zh-CN"/>
        </w:rPr>
        <w:t>对每件产品抽检2-3件进行破坏性试验，若有2件产品都存在问题的，中标人须无条件整改到位，期间所发生的费用由投标人承担。</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5</w:t>
      </w:r>
      <w:r>
        <w:rPr>
          <w:rFonts w:hint="eastAsia" w:ascii="宋体" w:hAnsi="宋体" w:eastAsia="宋体" w:cs="宋体"/>
          <w:sz w:val="24"/>
        </w:rPr>
        <w:t>.采购人有权委托具有产品质量检验资质的质检机构方进行全过程跟踪检测，中标供应商委托的产品质量检验机构需经采购</w:t>
      </w:r>
      <w:r>
        <w:rPr>
          <w:rFonts w:hint="eastAsia" w:ascii="宋体" w:hAnsi="宋体" w:eastAsia="宋体" w:cs="宋体"/>
          <w:sz w:val="24"/>
          <w:lang w:eastAsia="zh-CN"/>
        </w:rPr>
        <w:t>人</w:t>
      </w:r>
      <w:r>
        <w:rPr>
          <w:rFonts w:hint="eastAsia" w:ascii="宋体" w:hAnsi="宋体" w:eastAsia="宋体" w:cs="宋体"/>
          <w:sz w:val="24"/>
        </w:rPr>
        <w:t>认可。检测具体细则：1、生产前原材料检测；2、生产时半成品检测；3、安装前厂内抽样检测；4安装时现场抽样检测。检测标准以招标文件、投标承诺及国家相关行业标准为依据，检测费用由中标</w:t>
      </w:r>
      <w:r>
        <w:rPr>
          <w:rFonts w:hint="eastAsia" w:ascii="宋体" w:hAnsi="宋体" w:eastAsia="宋体" w:cs="宋体"/>
          <w:sz w:val="24"/>
          <w:lang w:eastAsia="zh-CN"/>
        </w:rPr>
        <w:t>人</w:t>
      </w:r>
      <w:r>
        <w:rPr>
          <w:rFonts w:hint="eastAsia" w:ascii="宋体" w:hAnsi="宋体" w:eastAsia="宋体" w:cs="宋体"/>
          <w:sz w:val="24"/>
        </w:rPr>
        <w:t>承担，应包含在投标总价中。检测中若发现有不合格原材料、成品，采购</w:t>
      </w:r>
      <w:r>
        <w:rPr>
          <w:rFonts w:hint="eastAsia" w:ascii="宋体" w:hAnsi="宋体" w:eastAsia="宋体" w:cs="宋体"/>
          <w:sz w:val="24"/>
          <w:lang w:eastAsia="zh-CN"/>
        </w:rPr>
        <w:t>人</w:t>
      </w:r>
      <w:r>
        <w:rPr>
          <w:rFonts w:hint="eastAsia" w:ascii="宋体" w:hAnsi="宋体" w:eastAsia="宋体" w:cs="宋体"/>
          <w:sz w:val="24"/>
        </w:rPr>
        <w:t>有权因此而终止部分直至全部合同，由此而造成的后果由中标</w:t>
      </w:r>
      <w:r>
        <w:rPr>
          <w:rFonts w:hint="eastAsia" w:ascii="宋体" w:hAnsi="宋体" w:eastAsia="宋体" w:cs="宋体"/>
          <w:sz w:val="24"/>
          <w:lang w:eastAsia="zh-CN"/>
        </w:rPr>
        <w:t>人</w:t>
      </w:r>
      <w:r>
        <w:rPr>
          <w:rFonts w:hint="eastAsia" w:ascii="宋体" w:hAnsi="宋体" w:eastAsia="宋体" w:cs="宋体"/>
          <w:sz w:val="24"/>
        </w:rPr>
        <w:t>负责，项目验收时应向采购</w:t>
      </w:r>
      <w:r>
        <w:rPr>
          <w:rFonts w:hint="eastAsia" w:ascii="宋体" w:hAnsi="宋体" w:eastAsia="宋体" w:cs="宋体"/>
          <w:sz w:val="24"/>
          <w:lang w:eastAsia="zh-CN"/>
        </w:rPr>
        <w:t>人</w:t>
      </w:r>
      <w:r>
        <w:rPr>
          <w:rFonts w:hint="eastAsia" w:ascii="宋体" w:hAnsi="宋体" w:eastAsia="宋体" w:cs="宋体"/>
          <w:sz w:val="24"/>
        </w:rPr>
        <w:t>提供相关检测报告。</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lang w:val="en-US" w:eastAsia="zh-CN"/>
        </w:rPr>
        <w:t>6.</w:t>
      </w:r>
      <w:r>
        <w:rPr>
          <w:rFonts w:hint="eastAsia" w:ascii="宋体" w:hAnsi="宋体" w:eastAsia="宋体" w:cs="宋体"/>
          <w:sz w:val="24"/>
        </w:rPr>
        <w:t>产品安装完毕后，由采购</w:t>
      </w:r>
      <w:r>
        <w:rPr>
          <w:rFonts w:hint="eastAsia" w:ascii="宋体" w:hAnsi="宋体" w:eastAsia="宋体" w:cs="宋体"/>
          <w:sz w:val="24"/>
          <w:lang w:eastAsia="zh-CN"/>
        </w:rPr>
        <w:t>人</w:t>
      </w:r>
      <w:r>
        <w:rPr>
          <w:rFonts w:hint="eastAsia" w:ascii="宋体" w:hAnsi="宋体" w:eastAsia="宋体" w:cs="宋体"/>
          <w:sz w:val="24"/>
        </w:rPr>
        <w:t>组织专业人员验收。验收以国家行业标准为基础，结合本次招标文件和正式合同为依据进行。如不符要求，一律返工，直到符合要求为止，否则拒付货款，并扣总价</w:t>
      </w:r>
      <w:r>
        <w:rPr>
          <w:rFonts w:hint="eastAsia" w:ascii="宋体" w:hAnsi="宋体" w:eastAsia="宋体" w:cs="宋体"/>
          <w:sz w:val="24"/>
          <w:highlight w:val="none"/>
        </w:rPr>
        <w:t>款</w:t>
      </w:r>
      <w:r>
        <w:rPr>
          <w:rFonts w:hint="eastAsia" w:ascii="宋体" w:hAnsi="宋体" w:eastAsia="宋体" w:cs="宋体"/>
          <w:sz w:val="24"/>
          <w:highlight w:val="none"/>
          <w:lang w:val="en-US" w:eastAsia="zh-CN"/>
        </w:rPr>
        <w:t>20</w:t>
      </w:r>
      <w:r>
        <w:rPr>
          <w:rFonts w:hint="eastAsia" w:ascii="宋体" w:hAnsi="宋体" w:eastAsia="宋体" w:cs="宋体"/>
          <w:sz w:val="24"/>
          <w:highlight w:val="none"/>
        </w:rPr>
        <w:t>%的违约金。</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中标人需要在项目验收前进行室内环境污染检测，检测结果应符合相关国家标准规定。如未达到合格标准，由中标人负责治理合格。</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w:t>
      </w:r>
      <w:r>
        <w:rPr>
          <w:rFonts w:hint="eastAsia" w:ascii="宋体" w:hAnsi="宋体" w:eastAsia="宋体" w:cs="宋体"/>
          <w:sz w:val="24"/>
          <w:lang w:eastAsia="zh-CN"/>
        </w:rPr>
        <w:t>中标人</w:t>
      </w:r>
      <w:r>
        <w:rPr>
          <w:rFonts w:hint="eastAsia" w:ascii="宋体" w:hAnsi="宋体" w:eastAsia="宋体" w:cs="宋体"/>
          <w:sz w:val="24"/>
        </w:rPr>
        <w:t>应根据招标项目内容要求确定投标报价。包括设备费（包括必备的附件）、零配件、水电费、设备预埋件、仓储费、检测费、材料费、人工费、运输费、搬运费、现场成品保护费、保险费、采购人指定地点的卸货费、就位及安装费、安装材料费、垃圾清运费、保洁费、安装调试费、深化设计费、检验试验费、售后服务、税费、利润等其他一切费用。当采购数量与实际使用数量不一致时，乙方应根据实际使用量供货，合同的最终结算金额按实际使用量乘以成交单价进行计算。</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w:t>
      </w:r>
      <w:r>
        <w:rPr>
          <w:rFonts w:hint="eastAsia" w:ascii="宋体" w:hAnsi="宋体" w:eastAsia="宋体" w:cs="宋体"/>
          <w:sz w:val="24"/>
          <w:lang w:eastAsia="zh-CN"/>
        </w:rPr>
        <w:t>产品</w:t>
      </w:r>
      <w:r>
        <w:rPr>
          <w:rFonts w:hint="eastAsia" w:ascii="宋体" w:hAnsi="宋体" w:eastAsia="宋体" w:cs="宋体"/>
          <w:sz w:val="24"/>
        </w:rPr>
        <w:t>最终摆放位置须经采购人、酒管单位确认，若有调整的，中标人须无条件配合调整到位。</w:t>
      </w:r>
    </w:p>
    <w:p>
      <w:pPr>
        <w:pStyle w:val="20"/>
        <w:pageBreakBefore w:val="0"/>
        <w:tabs>
          <w:tab w:val="left" w:pos="4830"/>
        </w:tabs>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lang w:eastAsia="zh-CN"/>
        </w:rPr>
      </w:pPr>
      <w:r>
        <w:rPr>
          <w:rFonts w:hint="eastAsia" w:ascii="宋体" w:hAnsi="宋体" w:eastAsia="宋体" w:cs="宋体"/>
          <w:b/>
          <w:sz w:val="24"/>
          <w:lang w:eastAsia="zh-CN"/>
        </w:rPr>
        <w:t>四</w:t>
      </w:r>
      <w:r>
        <w:rPr>
          <w:rFonts w:hint="eastAsia" w:ascii="宋体" w:hAnsi="宋体" w:eastAsia="宋体" w:cs="宋体"/>
          <w:b/>
          <w:sz w:val="24"/>
        </w:rPr>
        <w:t>、货物交付期限、地点和方式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rPr>
        <w:t>.</w:t>
      </w:r>
      <w:r>
        <w:rPr>
          <w:rFonts w:hint="eastAsia" w:ascii="宋体" w:hAnsi="宋体" w:eastAsia="宋体" w:cs="宋体"/>
          <w:sz w:val="24"/>
          <w:lang w:eastAsia="zh-CN"/>
        </w:rPr>
        <w:t>交付期限：合同签订</w:t>
      </w:r>
      <w:r>
        <w:rPr>
          <w:rFonts w:hint="eastAsia" w:ascii="宋体" w:hAnsi="宋体" w:eastAsia="宋体" w:cs="宋体"/>
          <w:color w:val="auto"/>
          <w:sz w:val="24"/>
          <w:lang w:eastAsia="zh-CN"/>
        </w:rPr>
        <w:t>后</w:t>
      </w:r>
      <w:r>
        <w:rPr>
          <w:rFonts w:hint="eastAsia" w:ascii="宋体" w:hAnsi="宋体" w:eastAsia="宋体" w:cs="宋体"/>
          <w:color w:val="auto"/>
          <w:sz w:val="24"/>
          <w:u w:val="single"/>
          <w:lang w:val="en-US" w:eastAsia="zh-CN"/>
        </w:rPr>
        <w:t xml:space="preserve"> 80  </w:t>
      </w:r>
      <w:r>
        <w:rPr>
          <w:rFonts w:hint="eastAsia" w:ascii="宋体" w:hAnsi="宋体" w:eastAsia="宋体" w:cs="宋体"/>
          <w:color w:val="auto"/>
          <w:sz w:val="24"/>
          <w:lang w:val="en-US" w:eastAsia="zh-CN"/>
        </w:rPr>
        <w:t>日</w:t>
      </w:r>
      <w:r>
        <w:rPr>
          <w:rFonts w:hint="eastAsia" w:ascii="宋体" w:hAnsi="宋体" w:eastAsia="宋体" w:cs="宋体"/>
          <w:color w:val="auto"/>
          <w:sz w:val="24"/>
          <w:lang w:eastAsia="zh-CN"/>
        </w:rPr>
        <w:t>内</w:t>
      </w:r>
      <w:r>
        <w:rPr>
          <w:rFonts w:hint="eastAsia" w:ascii="宋体" w:hAnsi="宋体" w:eastAsia="宋体" w:cs="宋体"/>
          <w:sz w:val="24"/>
          <w:lang w:eastAsia="zh-CN"/>
        </w:rPr>
        <w:t>完成所有货物的生产、安装、调试并交付验收，</w:t>
      </w:r>
      <w:r>
        <w:rPr>
          <w:rFonts w:hint="eastAsia" w:ascii="宋体" w:hAnsi="宋体" w:eastAsia="宋体" w:cs="宋体"/>
          <w:sz w:val="24"/>
          <w:lang w:val="en-US" w:eastAsia="zh-CN"/>
        </w:rPr>
        <w:t>其中大堂、会议室、宴会厅第一批货物要求2025年1月21日前安装调试到位</w:t>
      </w:r>
      <w:r>
        <w:rPr>
          <w:rFonts w:hint="eastAsia" w:ascii="宋体" w:hAnsi="宋体" w:eastAsia="宋体" w:cs="宋体"/>
          <w:sz w:val="24"/>
          <w:lang w:eastAsia="zh-CN"/>
        </w:rPr>
        <w:t>。每延期一天扣款</w:t>
      </w:r>
      <w:r>
        <w:rPr>
          <w:rFonts w:hint="eastAsia" w:ascii="宋体" w:hAnsi="宋体" w:eastAsia="宋体" w:cs="宋体"/>
          <w:sz w:val="24"/>
          <w:lang w:val="en-US" w:eastAsia="zh-CN"/>
        </w:rPr>
        <w:t>50000</w:t>
      </w:r>
      <w:r>
        <w:rPr>
          <w:rFonts w:hint="eastAsia" w:ascii="宋体" w:hAnsi="宋体" w:eastAsia="宋体" w:cs="宋体"/>
          <w:sz w:val="24"/>
          <w:lang w:eastAsia="zh-CN"/>
        </w:rPr>
        <w:t>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lang w:eastAsia="zh-CN"/>
        </w:rPr>
        <w:t>交付地点：采购人指定地点。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lang w:eastAsia="zh-CN"/>
        </w:rPr>
        <w:t>安装标准：符合我国国家有关技术规范要求和技术标准，所有的货物必须保证同时安装到位。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eastAsia="宋体" w:cs="宋体"/>
          <w:sz w:val="24"/>
          <w:lang w:eastAsia="zh-CN"/>
        </w:rPr>
        <w:t>中标人免费提供中标产品的安装服务，</w:t>
      </w:r>
      <w:r>
        <w:rPr>
          <w:rFonts w:hint="eastAsia" w:ascii="宋体" w:hAnsi="宋体" w:eastAsia="宋体" w:cs="宋体"/>
          <w:sz w:val="24"/>
          <w:lang w:val="en-US" w:eastAsia="zh-CN"/>
        </w:rPr>
        <w:t>安装完毕后须进行卫生清理，破损修补，其他货物等破坏的须进行相应赔偿。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lang w:eastAsia="zh-CN"/>
        </w:rPr>
        <w:t>调试所需专用工具设施材料由中标方自备、自运到现场，完工后自费搬走。</w:t>
      </w:r>
    </w:p>
    <w:p>
      <w:pPr>
        <w:pStyle w:val="20"/>
        <w:pageBreakBefore w:val="0"/>
        <w:tabs>
          <w:tab w:val="left" w:pos="4830"/>
        </w:tabs>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rPr>
      </w:pPr>
      <w:r>
        <w:rPr>
          <w:rFonts w:hint="eastAsia" w:ascii="宋体" w:hAnsi="宋体" w:eastAsia="宋体" w:cs="宋体"/>
          <w:b/>
          <w:sz w:val="24"/>
          <w:lang w:eastAsia="zh-CN"/>
        </w:rPr>
        <w:t>五、</w:t>
      </w:r>
      <w:r>
        <w:rPr>
          <w:rFonts w:hint="eastAsia" w:ascii="宋体" w:hAnsi="宋体" w:eastAsia="宋体" w:cs="宋体"/>
          <w:b/>
          <w:sz w:val="24"/>
        </w:rPr>
        <w:t>付款</w:t>
      </w:r>
      <w:r>
        <w:rPr>
          <w:rFonts w:hint="eastAsia" w:ascii="宋体" w:hAnsi="宋体" w:eastAsia="宋体" w:cs="宋体"/>
          <w:b/>
          <w:sz w:val="24"/>
          <w:lang w:eastAsia="zh-CN"/>
        </w:rPr>
        <w:t>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sz w:val="24"/>
          <w:szCs w:val="20"/>
          <w:lang w:eastAsia="zh-CN"/>
        </w:rPr>
      </w:pPr>
      <w:r>
        <w:rPr>
          <w:rFonts w:hint="eastAsia" w:ascii="宋体" w:hAnsi="宋体" w:eastAsia="宋体" w:cs="宋体"/>
          <w:sz w:val="24"/>
          <w:highlight w:val="none"/>
        </w:rPr>
        <w:t>合同签订且具备实施条件进场施工后7个工作日内支付合同金额的</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w:t>
      </w:r>
      <w:r>
        <w:rPr>
          <w:rFonts w:hint="eastAsia" w:ascii="宋体" w:hAnsi="宋体" w:eastAsia="宋体" w:cs="宋体"/>
          <w:sz w:val="24"/>
          <w:highlight w:val="none"/>
          <w:lang w:eastAsia="zh-CN"/>
        </w:rPr>
        <w:t>预付款，</w:t>
      </w:r>
      <w:r>
        <w:rPr>
          <w:rFonts w:hint="eastAsia" w:ascii="宋体" w:hAnsi="宋体" w:eastAsia="宋体" w:cs="宋体"/>
          <w:sz w:val="24"/>
          <w:highlight w:val="none"/>
        </w:rPr>
        <w:t>货物、设备在中标人供货、安装调试完毕经采购人确认后支付至合同金额的80%，项目最终验收合格后经审计后支付至审定金额的95%，剩余5%作为项目质保金，待中标人承诺的质保期满，经采购人确认无任何问题后一次性付清（不计息）。</w:t>
      </w:r>
    </w:p>
    <w:p>
      <w:pPr>
        <w:pStyle w:val="20"/>
        <w:pageBreakBefore w:val="0"/>
        <w:tabs>
          <w:tab w:val="left" w:pos="4830"/>
        </w:tabs>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rPr>
      </w:pPr>
      <w:r>
        <w:rPr>
          <w:rFonts w:hint="eastAsia" w:ascii="宋体" w:hAnsi="宋体" w:eastAsia="宋体" w:cs="宋体"/>
          <w:b/>
          <w:sz w:val="24"/>
          <w:lang w:eastAsia="zh-CN"/>
        </w:rPr>
        <w:t>六</w:t>
      </w:r>
      <w:r>
        <w:rPr>
          <w:rFonts w:hint="eastAsia" w:ascii="宋体" w:hAnsi="宋体" w:eastAsia="宋体" w:cs="宋体"/>
          <w:b/>
          <w:sz w:val="24"/>
        </w:rPr>
        <w:t>、其他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sz w:val="24"/>
          <w:szCs w:val="20"/>
          <w:lang w:eastAsia="zh-CN"/>
        </w:rPr>
      </w:pPr>
      <w:r>
        <w:rPr>
          <w:rFonts w:hint="eastAsia" w:ascii="宋体" w:hAnsi="宋体" w:eastAsia="宋体" w:cs="宋体"/>
          <w:sz w:val="24"/>
          <w:highlight w:val="none"/>
        </w:rPr>
        <w:t>履约保证金：本项目签订合同之前，投标人需缴纳2%中标价的履约担保金（采用转账或见索即付、不可撤销的银行保函方式，若采用保函方式，如保函担保时间到期，到期延期）</w:t>
      </w:r>
      <w:r>
        <w:rPr>
          <w:rFonts w:hint="eastAsia" w:ascii="宋体" w:hAnsi="宋体" w:eastAsia="宋体" w:cs="宋体"/>
          <w:sz w:val="24"/>
          <w:highlight w:val="none"/>
          <w:lang w:eastAsia="zh-CN"/>
        </w:rPr>
        <w:t>，</w:t>
      </w:r>
      <w:r>
        <w:rPr>
          <w:rFonts w:hint="eastAsia" w:ascii="宋体" w:hAnsi="宋体" w:eastAsia="宋体" w:cs="宋体"/>
          <w:sz w:val="24"/>
          <w:highlight w:val="none"/>
        </w:rPr>
        <w:t>验收合格之日起</w:t>
      </w:r>
      <w:r>
        <w:rPr>
          <w:rFonts w:hint="eastAsia" w:ascii="宋体" w:hAnsi="宋体" w:eastAsia="宋体" w:cs="宋体"/>
          <w:sz w:val="24"/>
          <w:highlight w:val="none"/>
          <w:lang w:val="en-US" w:eastAsia="zh-CN"/>
        </w:rPr>
        <w:t>30天内</w:t>
      </w:r>
      <w:r>
        <w:rPr>
          <w:rFonts w:hint="eastAsia" w:ascii="宋体" w:hAnsi="宋体" w:eastAsia="宋体" w:cs="宋体"/>
          <w:sz w:val="24"/>
          <w:highlight w:val="none"/>
        </w:rPr>
        <w:t>无息退还</w:t>
      </w:r>
      <w:r>
        <w:rPr>
          <w:rFonts w:hint="eastAsia" w:ascii="宋体" w:hAnsi="宋体" w:eastAsia="宋体" w:cs="宋体"/>
          <w:sz w:val="24"/>
          <w:highlight w:val="none"/>
          <w:lang w:eastAsia="zh-CN"/>
        </w:rPr>
        <w:t>（不计息）</w:t>
      </w:r>
      <w:r>
        <w:rPr>
          <w:rFonts w:hint="eastAsia" w:ascii="宋体" w:hAnsi="宋体" w:eastAsia="宋体" w:cs="宋体"/>
          <w:sz w:val="24"/>
          <w:highlight w:val="none"/>
        </w:rPr>
        <w:t>。</w:t>
      </w:r>
    </w:p>
    <w:p>
      <w:pPr>
        <w:pStyle w:val="20"/>
        <w:pageBreakBefore w:val="0"/>
        <w:tabs>
          <w:tab w:val="left" w:pos="4830"/>
        </w:tabs>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lang w:val="en-US" w:eastAsia="zh-CN"/>
        </w:rPr>
      </w:pPr>
      <w:r>
        <w:rPr>
          <w:rFonts w:hint="eastAsia" w:ascii="宋体" w:hAnsi="宋体" w:eastAsia="宋体" w:cs="宋体"/>
          <w:b/>
          <w:sz w:val="24"/>
          <w:lang w:eastAsia="zh-CN"/>
        </w:rPr>
        <w:t>七、</w:t>
      </w:r>
      <w:r>
        <w:rPr>
          <w:rFonts w:hint="eastAsia" w:ascii="宋体" w:hAnsi="宋体" w:eastAsia="宋体" w:cs="宋体"/>
          <w:b/>
          <w:sz w:val="24"/>
          <w:lang w:val="en-US" w:eastAsia="zh-CN"/>
        </w:rPr>
        <w:t>样品要求</w:t>
      </w:r>
      <w:r>
        <w:rPr>
          <w:rFonts w:hint="eastAsia" w:ascii="宋体" w:hAnsi="宋体" w:eastAsia="宋体" w:cs="宋体"/>
          <w:b/>
          <w:sz w:val="24"/>
          <w:lang w:val="en-US" w:eastAsia="zh-CN"/>
        </w:rPr>
        <w:br w:type="textWrapping"/>
      </w:r>
    </w:p>
    <w:tbl>
      <w:tblPr>
        <w:tblStyle w:val="28"/>
        <w:tblpPr w:leftFromText="180" w:rightFromText="180" w:vertAnchor="text" w:tblpXSpec="center" w:tblpY="1"/>
        <w:tblOverlap w:val="never"/>
        <w:tblW w:w="116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3"/>
        <w:gridCol w:w="3467"/>
        <w:gridCol w:w="4718"/>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9"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后山包厢</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47" w:name="_GoBack"/>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-14605</wp:posOffset>
                  </wp:positionH>
                  <wp:positionV relativeFrom="paragraph">
                    <wp:posOffset>1885315</wp:posOffset>
                  </wp:positionV>
                  <wp:extent cx="2127250" cy="1271270"/>
                  <wp:effectExtent l="0" t="0" r="6350" b="5080"/>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22"/>
                          <a:stretch>
                            <a:fillRect/>
                          </a:stretch>
                        </pic:blipFill>
                        <pic:spPr>
                          <a:xfrm>
                            <a:off x="0" y="0"/>
                            <a:ext cx="2127250" cy="1271270"/>
                          </a:xfrm>
                          <a:prstGeom prst="rect">
                            <a:avLst/>
                          </a:prstGeom>
                          <a:noFill/>
                          <a:ln>
                            <a:noFill/>
                          </a:ln>
                        </pic:spPr>
                      </pic:pic>
                    </a:graphicData>
                  </a:graphic>
                </wp:anchor>
              </w:drawing>
            </w:r>
            <w:bookmarkEnd w:id="47"/>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68"/>
                <w:rFonts w:hint="eastAsia" w:ascii="宋体" w:hAnsi="宋体" w:eastAsia="宋体" w:cs="宋体"/>
                <w:sz w:val="24"/>
                <w:szCs w:val="24"/>
                <w:lang w:val="en-US" w:eastAsia="zh-CN" w:bidi="ar"/>
              </w:rPr>
              <w:t>材质</w:t>
            </w:r>
            <w:r>
              <w:rPr>
                <w:rStyle w:val="69"/>
                <w:rFonts w:hint="eastAsia" w:ascii="宋体" w:hAnsi="宋体" w:eastAsia="宋体" w:cs="宋体"/>
                <w:sz w:val="24"/>
                <w:szCs w:val="24"/>
                <w:lang w:val="en-US" w:eastAsia="zh-CN" w:bidi="ar"/>
              </w:rPr>
              <w:t>:</w:t>
            </w:r>
            <w:r>
              <w:rPr>
                <w:rStyle w:val="68"/>
                <w:rFonts w:hint="eastAsia" w:ascii="宋体" w:hAnsi="宋体" w:eastAsia="宋体" w:cs="宋体"/>
                <w:sz w:val="24"/>
                <w:szCs w:val="24"/>
                <w:lang w:val="en-US" w:eastAsia="zh-CN" w:bidi="ar"/>
              </w:rPr>
              <w:t>手工工艺枪刺</w:t>
            </w:r>
            <w:r>
              <w:rPr>
                <w:rStyle w:val="69"/>
                <w:rFonts w:hint="eastAsia" w:ascii="宋体" w:hAnsi="宋体" w:eastAsia="宋体" w:cs="宋体"/>
                <w:sz w:val="24"/>
                <w:szCs w:val="24"/>
                <w:lang w:val="en-US" w:eastAsia="zh-CN" w:bidi="ar"/>
              </w:rPr>
              <w:t>80%</w:t>
            </w:r>
            <w:r>
              <w:rPr>
                <w:rStyle w:val="68"/>
                <w:rFonts w:hint="eastAsia" w:ascii="宋体" w:hAnsi="宋体" w:eastAsia="宋体" w:cs="宋体"/>
                <w:sz w:val="24"/>
                <w:szCs w:val="24"/>
                <w:lang w:val="en-US" w:eastAsia="zh-CN" w:bidi="ar"/>
              </w:rPr>
              <w:t>国产羊毛</w:t>
            </w:r>
            <w:r>
              <w:rPr>
                <w:rStyle w:val="69"/>
                <w:rFonts w:hint="eastAsia" w:ascii="宋体" w:hAnsi="宋体" w:eastAsia="宋体" w:cs="宋体"/>
                <w:sz w:val="24"/>
                <w:szCs w:val="24"/>
                <w:lang w:val="en-US" w:eastAsia="zh-CN" w:bidi="ar"/>
              </w:rPr>
              <w:t>+20%</w:t>
            </w:r>
            <w:r>
              <w:rPr>
                <w:rStyle w:val="68"/>
                <w:rFonts w:hint="eastAsia" w:ascii="宋体" w:hAnsi="宋体" w:eastAsia="宋体" w:cs="宋体"/>
                <w:sz w:val="24"/>
                <w:szCs w:val="24"/>
                <w:lang w:val="en-US" w:eastAsia="zh-CN" w:bidi="ar"/>
              </w:rPr>
              <w:t>尼龙</w:t>
            </w:r>
            <w:r>
              <w:rPr>
                <w:rStyle w:val="69"/>
                <w:rFonts w:hint="eastAsia" w:ascii="宋体" w:hAnsi="宋体" w:eastAsia="宋体" w:cs="宋体"/>
                <w:sz w:val="24"/>
                <w:szCs w:val="24"/>
                <w:lang w:val="en-US" w:eastAsia="zh-CN" w:bidi="ar"/>
              </w:rPr>
              <w:br w:type="textWrapping"/>
            </w:r>
            <w:r>
              <w:rPr>
                <w:rStyle w:val="68"/>
                <w:rFonts w:hint="eastAsia" w:ascii="宋体" w:hAnsi="宋体" w:eastAsia="宋体" w:cs="宋体"/>
                <w:sz w:val="24"/>
                <w:szCs w:val="24"/>
                <w:lang w:val="en-US" w:eastAsia="zh-CN" w:bidi="ar"/>
              </w:rPr>
              <w:t>地毯磅数：</w:t>
            </w:r>
            <w:r>
              <w:rPr>
                <w:rStyle w:val="69"/>
                <w:rFonts w:hint="eastAsia" w:ascii="宋体" w:hAnsi="宋体" w:eastAsia="宋体" w:cs="宋体"/>
                <w:sz w:val="24"/>
                <w:szCs w:val="24"/>
                <w:lang w:val="en-US" w:eastAsia="zh-CN" w:bidi="ar"/>
              </w:rPr>
              <w:t>4.5</w:t>
            </w:r>
            <w:r>
              <w:rPr>
                <w:rStyle w:val="68"/>
                <w:rFonts w:hint="eastAsia" w:ascii="宋体" w:hAnsi="宋体" w:eastAsia="宋体" w:cs="宋体"/>
                <w:sz w:val="24"/>
                <w:szCs w:val="24"/>
                <w:lang w:val="en-US" w:eastAsia="zh-CN" w:bidi="ar"/>
              </w:rPr>
              <w:t>磅</w:t>
            </w:r>
            <w:r>
              <w:rPr>
                <w:rStyle w:val="69"/>
                <w:rFonts w:hint="eastAsia" w:ascii="宋体" w:hAnsi="宋体" w:eastAsia="宋体" w:cs="宋体"/>
                <w:sz w:val="24"/>
                <w:szCs w:val="24"/>
                <w:lang w:val="en-US" w:eastAsia="zh-CN" w:bidi="ar"/>
              </w:rPr>
              <w:br w:type="textWrapping"/>
            </w:r>
            <w:r>
              <w:rPr>
                <w:rStyle w:val="68"/>
                <w:rFonts w:hint="eastAsia" w:ascii="宋体" w:hAnsi="宋体" w:eastAsia="宋体" w:cs="宋体"/>
                <w:sz w:val="24"/>
                <w:szCs w:val="24"/>
                <w:lang w:val="en-US" w:eastAsia="zh-CN" w:bidi="ar"/>
              </w:rPr>
              <w:t>总高</w:t>
            </w:r>
            <w:r>
              <w:rPr>
                <w:rStyle w:val="69"/>
                <w:rFonts w:hint="eastAsia" w:ascii="宋体" w:hAnsi="宋体" w:eastAsia="宋体" w:cs="宋体"/>
                <w:sz w:val="24"/>
                <w:szCs w:val="24"/>
                <w:lang w:val="en-US" w:eastAsia="zh-CN" w:bidi="ar"/>
              </w:rPr>
              <w:t>:12</w:t>
            </w:r>
            <w:r>
              <w:rPr>
                <w:rStyle w:val="68"/>
                <w:rFonts w:hint="eastAsia" w:ascii="宋体" w:hAnsi="宋体" w:eastAsia="宋体" w:cs="宋体"/>
                <w:sz w:val="24"/>
                <w:szCs w:val="24"/>
                <w:lang w:val="en-US" w:eastAsia="zh-CN" w:bidi="ar"/>
              </w:rPr>
              <w:t>毫米</w:t>
            </w:r>
            <w:r>
              <w:rPr>
                <w:rStyle w:val="69"/>
                <w:rFonts w:hint="eastAsia" w:ascii="宋体" w:hAnsi="宋体" w:eastAsia="宋体" w:cs="宋体"/>
                <w:sz w:val="24"/>
                <w:szCs w:val="24"/>
                <w:lang w:val="en-US" w:eastAsia="zh-CN" w:bidi="ar"/>
              </w:rPr>
              <w:t>(±1</w:t>
            </w:r>
            <w:r>
              <w:rPr>
                <w:rStyle w:val="68"/>
                <w:rFonts w:hint="eastAsia" w:ascii="宋体" w:hAnsi="宋体" w:eastAsia="宋体" w:cs="宋体"/>
                <w:sz w:val="24"/>
                <w:szCs w:val="24"/>
                <w:lang w:val="en-US" w:eastAsia="zh-CN" w:bidi="ar"/>
              </w:rPr>
              <w:t>毫米）</w:t>
            </w:r>
            <w:r>
              <w:rPr>
                <w:rStyle w:val="69"/>
                <w:rFonts w:hint="eastAsia" w:ascii="宋体" w:hAnsi="宋体" w:eastAsia="宋体" w:cs="宋体"/>
                <w:sz w:val="24"/>
                <w:szCs w:val="24"/>
                <w:lang w:val="en-US" w:eastAsia="zh-CN" w:bidi="ar"/>
              </w:rPr>
              <w:br w:type="textWrapping"/>
            </w:r>
            <w:r>
              <w:rPr>
                <w:rStyle w:val="68"/>
                <w:rFonts w:hint="eastAsia" w:ascii="宋体" w:hAnsi="宋体" w:eastAsia="宋体" w:cs="宋体"/>
                <w:sz w:val="24"/>
                <w:szCs w:val="24"/>
                <w:lang w:val="en-US" w:eastAsia="zh-CN" w:bidi="ar"/>
              </w:rPr>
              <w:t>染料：进口环保染料</w:t>
            </w:r>
            <w:r>
              <w:rPr>
                <w:rStyle w:val="69"/>
                <w:rFonts w:hint="eastAsia" w:ascii="宋体" w:hAnsi="宋体" w:eastAsia="宋体" w:cs="宋体"/>
                <w:sz w:val="24"/>
                <w:szCs w:val="24"/>
                <w:lang w:val="en-US" w:eastAsia="zh-CN" w:bidi="ar"/>
              </w:rPr>
              <w:t xml:space="preserve"> </w:t>
            </w:r>
            <w:r>
              <w:rPr>
                <w:rStyle w:val="69"/>
                <w:rFonts w:hint="eastAsia" w:ascii="宋体" w:hAnsi="宋体" w:eastAsia="宋体" w:cs="宋体"/>
                <w:sz w:val="24"/>
                <w:szCs w:val="24"/>
                <w:lang w:val="en-US" w:eastAsia="zh-CN" w:bidi="ar"/>
              </w:rPr>
              <w:br w:type="textWrapping"/>
            </w:r>
            <w:r>
              <w:rPr>
                <w:rStyle w:val="68"/>
                <w:rFonts w:hint="eastAsia" w:ascii="宋体" w:hAnsi="宋体" w:eastAsia="宋体" w:cs="宋体"/>
                <w:sz w:val="24"/>
                <w:szCs w:val="24"/>
                <w:lang w:val="en-US" w:eastAsia="zh-CN" w:bidi="ar"/>
              </w:rPr>
              <w:t>首层底布：</w:t>
            </w:r>
            <w:r>
              <w:rPr>
                <w:rStyle w:val="69"/>
                <w:rFonts w:hint="eastAsia" w:ascii="宋体" w:hAnsi="宋体" w:eastAsia="宋体" w:cs="宋体"/>
                <w:sz w:val="24"/>
                <w:szCs w:val="24"/>
                <w:lang w:val="en-US" w:eastAsia="zh-CN" w:bidi="ar"/>
              </w:rPr>
              <w:t>30%</w:t>
            </w:r>
            <w:r>
              <w:rPr>
                <w:rStyle w:val="68"/>
                <w:rFonts w:hint="eastAsia" w:ascii="宋体" w:hAnsi="宋体" w:eastAsia="宋体" w:cs="宋体"/>
                <w:sz w:val="24"/>
                <w:szCs w:val="24"/>
                <w:lang w:val="en-US" w:eastAsia="zh-CN" w:bidi="ar"/>
              </w:rPr>
              <w:t>涤纶</w:t>
            </w:r>
            <w:r>
              <w:rPr>
                <w:rStyle w:val="69"/>
                <w:rFonts w:hint="eastAsia" w:ascii="宋体" w:hAnsi="宋体" w:eastAsia="宋体" w:cs="宋体"/>
                <w:sz w:val="24"/>
                <w:szCs w:val="24"/>
                <w:lang w:val="en-US" w:eastAsia="zh-CN" w:bidi="ar"/>
              </w:rPr>
              <w:t>70%</w:t>
            </w:r>
            <w:r>
              <w:rPr>
                <w:rStyle w:val="68"/>
                <w:rFonts w:hint="eastAsia" w:ascii="宋体" w:hAnsi="宋体" w:eastAsia="宋体" w:cs="宋体"/>
                <w:sz w:val="24"/>
                <w:szCs w:val="24"/>
                <w:lang w:val="en-US" w:eastAsia="zh-CN" w:bidi="ar"/>
              </w:rPr>
              <w:t>棉纱编织</w:t>
            </w:r>
            <w:r>
              <w:rPr>
                <w:rStyle w:val="69"/>
                <w:rFonts w:hint="eastAsia" w:ascii="宋体" w:hAnsi="宋体" w:eastAsia="宋体" w:cs="宋体"/>
                <w:sz w:val="24"/>
                <w:szCs w:val="24"/>
                <w:lang w:val="en-US" w:eastAsia="zh-CN" w:bidi="ar"/>
              </w:rPr>
              <w:br w:type="textWrapping"/>
            </w:r>
            <w:r>
              <w:rPr>
                <w:rStyle w:val="68"/>
                <w:rFonts w:hint="eastAsia" w:ascii="宋体" w:hAnsi="宋体" w:eastAsia="宋体" w:cs="宋体"/>
                <w:sz w:val="24"/>
                <w:szCs w:val="24"/>
                <w:lang w:val="en-US" w:eastAsia="zh-CN" w:bidi="ar"/>
              </w:rPr>
              <w:t>第二层底布：纯棉网布</w:t>
            </w:r>
            <w:r>
              <w:rPr>
                <w:rStyle w:val="69"/>
                <w:rFonts w:hint="eastAsia" w:ascii="宋体" w:hAnsi="宋体" w:eastAsia="宋体" w:cs="宋体"/>
                <w:sz w:val="24"/>
                <w:szCs w:val="24"/>
                <w:lang w:val="en-US" w:eastAsia="zh-CN" w:bidi="ar"/>
              </w:rPr>
              <w:br w:type="textWrapping"/>
            </w:r>
            <w:r>
              <w:rPr>
                <w:rStyle w:val="68"/>
                <w:rFonts w:hint="eastAsia" w:ascii="宋体" w:hAnsi="宋体" w:eastAsia="宋体" w:cs="宋体"/>
                <w:sz w:val="24"/>
                <w:szCs w:val="24"/>
                <w:lang w:val="en-US" w:eastAsia="zh-CN" w:bidi="ar"/>
              </w:rPr>
              <w:t>背胶特有工艺：水溶性环保胶</w:t>
            </w:r>
            <w:r>
              <w:rPr>
                <w:rStyle w:val="69"/>
                <w:rFonts w:hint="eastAsia" w:ascii="宋体" w:hAnsi="宋体" w:eastAsia="宋体" w:cs="宋体"/>
                <w:sz w:val="24"/>
                <w:szCs w:val="24"/>
                <w:lang w:val="en-US" w:eastAsia="zh-CN" w:bidi="ar"/>
              </w:rPr>
              <w:br w:type="textWrapping"/>
            </w:r>
            <w:r>
              <w:rPr>
                <w:rStyle w:val="68"/>
                <w:rFonts w:hint="eastAsia" w:ascii="宋体" w:hAnsi="宋体" w:eastAsia="宋体" w:cs="宋体"/>
                <w:sz w:val="24"/>
                <w:szCs w:val="24"/>
                <w:lang w:val="en-US" w:eastAsia="zh-CN" w:bidi="ar"/>
              </w:rPr>
              <w:t>抗静电达到标准：</w:t>
            </w:r>
            <w:r>
              <w:rPr>
                <w:rStyle w:val="69"/>
                <w:rFonts w:hint="eastAsia" w:ascii="宋体" w:hAnsi="宋体" w:eastAsia="宋体" w:cs="宋体"/>
                <w:sz w:val="24"/>
                <w:szCs w:val="24"/>
                <w:lang w:val="en-US" w:eastAsia="zh-CN" w:bidi="ar"/>
              </w:rPr>
              <w:t>GB/T18044-2000II</w:t>
            </w:r>
            <w:r>
              <w:rPr>
                <w:rStyle w:val="68"/>
                <w:rFonts w:hint="eastAsia" w:ascii="宋体" w:hAnsi="宋体" w:eastAsia="宋体" w:cs="宋体"/>
                <w:sz w:val="24"/>
                <w:szCs w:val="24"/>
                <w:lang w:val="en-US" w:eastAsia="zh-CN" w:bidi="ar"/>
              </w:rPr>
              <w:t>级标准</w:t>
            </w:r>
            <w:r>
              <w:rPr>
                <w:rStyle w:val="69"/>
                <w:rFonts w:hint="eastAsia" w:ascii="宋体" w:hAnsi="宋体" w:eastAsia="宋体" w:cs="宋体"/>
                <w:sz w:val="24"/>
                <w:szCs w:val="24"/>
                <w:lang w:val="en-US" w:eastAsia="zh-CN" w:bidi="ar"/>
              </w:rPr>
              <w:br w:type="textWrapping"/>
            </w:r>
            <w:r>
              <w:rPr>
                <w:rStyle w:val="68"/>
                <w:rFonts w:hint="eastAsia" w:ascii="宋体" w:hAnsi="宋体" w:eastAsia="宋体" w:cs="宋体"/>
                <w:sz w:val="24"/>
                <w:szCs w:val="24"/>
                <w:lang w:val="en-US" w:eastAsia="zh-CN" w:bidi="ar"/>
              </w:rPr>
              <w:t>防静电特有工艺：含导电纤维</w:t>
            </w:r>
            <w:r>
              <w:rPr>
                <w:rStyle w:val="69"/>
                <w:rFonts w:hint="eastAsia" w:ascii="宋体" w:hAnsi="宋体" w:eastAsia="宋体" w:cs="宋体"/>
                <w:sz w:val="24"/>
                <w:szCs w:val="24"/>
                <w:lang w:val="en-US" w:eastAsia="zh-CN" w:bidi="ar"/>
              </w:rPr>
              <w:br w:type="textWrapping"/>
            </w:r>
            <w:r>
              <w:rPr>
                <w:rStyle w:val="68"/>
                <w:rFonts w:hint="eastAsia" w:ascii="宋体" w:hAnsi="宋体" w:eastAsia="宋体" w:cs="宋体"/>
                <w:sz w:val="24"/>
                <w:szCs w:val="24"/>
                <w:lang w:val="en-US" w:eastAsia="zh-CN" w:bidi="ar"/>
              </w:rPr>
              <w:t>防虫：检测</w:t>
            </w:r>
            <w:r>
              <w:rPr>
                <w:rStyle w:val="69"/>
                <w:rFonts w:hint="eastAsia" w:ascii="宋体" w:hAnsi="宋体" w:eastAsia="宋体" w:cs="宋体"/>
                <w:sz w:val="24"/>
                <w:szCs w:val="24"/>
                <w:lang w:val="en-US" w:eastAsia="zh-CN" w:bidi="ar"/>
              </w:rPr>
              <w:t>/</w:t>
            </w:r>
            <w:r>
              <w:rPr>
                <w:rStyle w:val="68"/>
                <w:rFonts w:hint="eastAsia" w:ascii="宋体" w:hAnsi="宋体" w:eastAsia="宋体" w:cs="宋体"/>
                <w:sz w:val="24"/>
                <w:szCs w:val="24"/>
                <w:lang w:val="en-US" w:eastAsia="zh-CN" w:bidi="ar"/>
              </w:rPr>
              <w:t>判定依据</w:t>
            </w:r>
            <w:r>
              <w:rPr>
                <w:rStyle w:val="69"/>
                <w:rFonts w:hint="eastAsia" w:ascii="宋体" w:hAnsi="宋体" w:eastAsia="宋体" w:cs="宋体"/>
                <w:sz w:val="24"/>
                <w:szCs w:val="24"/>
                <w:lang w:val="en-US" w:eastAsia="zh-CN" w:bidi="ar"/>
              </w:rPr>
              <w:t>FZ/T 20003-2007</w:t>
            </w:r>
            <w:r>
              <w:rPr>
                <w:rStyle w:val="68"/>
                <w:rFonts w:hint="eastAsia" w:ascii="宋体" w:hAnsi="宋体" w:eastAsia="宋体" w:cs="宋体"/>
                <w:sz w:val="24"/>
                <w:szCs w:val="24"/>
                <w:lang w:val="en-US" w:eastAsia="zh-CN" w:bidi="ar"/>
              </w:rPr>
              <w:t>，测试结果：防蛀第一等级合格，达第五等级</w:t>
            </w:r>
            <w:r>
              <w:rPr>
                <w:rStyle w:val="69"/>
                <w:rFonts w:hint="eastAsia" w:ascii="宋体" w:hAnsi="宋体" w:eastAsia="宋体" w:cs="宋体"/>
                <w:sz w:val="24"/>
                <w:szCs w:val="24"/>
                <w:lang w:val="en-US" w:eastAsia="zh-CN" w:bidi="ar"/>
              </w:rPr>
              <w:br w:type="textWrapping"/>
            </w:r>
            <w:r>
              <w:rPr>
                <w:rStyle w:val="68"/>
                <w:rFonts w:hint="eastAsia" w:ascii="宋体" w:hAnsi="宋体" w:eastAsia="宋体" w:cs="宋体"/>
                <w:sz w:val="24"/>
                <w:szCs w:val="24"/>
                <w:lang w:val="en-US" w:eastAsia="zh-CN" w:bidi="ar"/>
              </w:rPr>
              <w:t>抗菌工艺：防螨抗菌处理</w:t>
            </w:r>
            <w:r>
              <w:rPr>
                <w:rStyle w:val="69"/>
                <w:rFonts w:hint="eastAsia" w:ascii="宋体" w:hAnsi="宋体" w:eastAsia="宋体" w:cs="宋体"/>
                <w:sz w:val="24"/>
                <w:szCs w:val="24"/>
                <w:lang w:val="en-US" w:eastAsia="zh-CN" w:bidi="ar"/>
              </w:rPr>
              <w:br w:type="textWrapping"/>
            </w:r>
            <w:r>
              <w:rPr>
                <w:rStyle w:val="68"/>
                <w:rFonts w:hint="eastAsia" w:ascii="宋体" w:hAnsi="宋体" w:eastAsia="宋体" w:cs="宋体"/>
                <w:sz w:val="24"/>
                <w:szCs w:val="24"/>
                <w:lang w:val="en-US" w:eastAsia="zh-CN" w:bidi="ar"/>
              </w:rPr>
              <w:t>燃烧性等级：符合</w:t>
            </w:r>
            <w:r>
              <w:rPr>
                <w:rStyle w:val="69"/>
                <w:rFonts w:hint="eastAsia" w:ascii="宋体" w:hAnsi="宋体" w:eastAsia="宋体" w:cs="宋体"/>
                <w:sz w:val="24"/>
                <w:szCs w:val="24"/>
                <w:lang w:val="en-US" w:eastAsia="zh-CN" w:bidi="ar"/>
              </w:rPr>
              <w:t>GB8624-2012</w:t>
            </w:r>
            <w:r>
              <w:rPr>
                <w:rStyle w:val="68"/>
                <w:rFonts w:hint="eastAsia" w:ascii="宋体" w:hAnsi="宋体" w:eastAsia="宋体" w:cs="宋体"/>
                <w:sz w:val="24"/>
                <w:szCs w:val="24"/>
                <w:lang w:val="en-US" w:eastAsia="zh-CN" w:bidi="ar"/>
              </w:rPr>
              <w:t>《建筑材料及制品燃烧性能分级》</w:t>
            </w:r>
            <w:r>
              <w:rPr>
                <w:rStyle w:val="69"/>
                <w:rFonts w:hint="eastAsia" w:ascii="宋体" w:hAnsi="宋体" w:eastAsia="宋体" w:cs="宋体"/>
                <w:sz w:val="24"/>
                <w:szCs w:val="24"/>
                <w:lang w:val="en-US" w:eastAsia="zh-CN" w:bidi="ar"/>
              </w:rPr>
              <w:t>B1</w:t>
            </w:r>
            <w:r>
              <w:rPr>
                <w:rStyle w:val="68"/>
                <w:rFonts w:hint="eastAsia" w:ascii="宋体" w:hAnsi="宋体" w:eastAsia="宋体" w:cs="宋体"/>
                <w:sz w:val="24"/>
                <w:szCs w:val="24"/>
                <w:lang w:val="en-US" w:eastAsia="zh-CN" w:bidi="ar"/>
              </w:rPr>
              <w:t>级</w:t>
            </w:r>
            <w:r>
              <w:rPr>
                <w:rStyle w:val="69"/>
                <w:rFonts w:hint="eastAsia" w:ascii="宋体" w:hAnsi="宋体" w:eastAsia="宋体" w:cs="宋体"/>
                <w:sz w:val="24"/>
                <w:szCs w:val="24"/>
                <w:lang w:val="en-US" w:eastAsia="zh-CN" w:bidi="ar"/>
              </w:rPr>
              <w:br w:type="textWrapping"/>
            </w:r>
            <w:r>
              <w:rPr>
                <w:rStyle w:val="68"/>
                <w:rFonts w:hint="eastAsia" w:ascii="宋体" w:hAnsi="宋体" w:eastAsia="宋体" w:cs="宋体"/>
                <w:sz w:val="24"/>
                <w:szCs w:val="24"/>
                <w:lang w:val="en-US" w:eastAsia="zh-CN" w:bidi="ar"/>
              </w:rPr>
              <w:t>褪色指标：色牢度：</w:t>
            </w:r>
            <w:r>
              <w:rPr>
                <w:rStyle w:val="70"/>
                <w:rFonts w:hint="eastAsia" w:ascii="宋体" w:hAnsi="宋体" w:eastAsia="宋体" w:cs="宋体"/>
                <w:sz w:val="24"/>
                <w:szCs w:val="24"/>
                <w:lang w:val="en-US" w:eastAsia="zh-CN" w:bidi="ar"/>
              </w:rPr>
              <w:t>≥</w:t>
            </w:r>
            <w:r>
              <w:rPr>
                <w:rStyle w:val="69"/>
                <w:rFonts w:hint="eastAsia" w:ascii="宋体" w:hAnsi="宋体" w:eastAsia="宋体" w:cs="宋体"/>
                <w:sz w:val="24"/>
                <w:szCs w:val="24"/>
                <w:lang w:val="en-US" w:eastAsia="zh-CN" w:bidi="ar"/>
              </w:rPr>
              <w:t>4-5</w:t>
            </w:r>
            <w:r>
              <w:rPr>
                <w:rStyle w:val="68"/>
                <w:rFonts w:hint="eastAsia" w:ascii="宋体" w:hAnsi="宋体" w:eastAsia="宋体" w:cs="宋体"/>
                <w:sz w:val="24"/>
                <w:szCs w:val="24"/>
                <w:lang w:val="en-US" w:eastAsia="zh-CN" w:bidi="ar"/>
              </w:rPr>
              <w:t>级</w:t>
            </w:r>
            <w:r>
              <w:rPr>
                <w:rStyle w:val="69"/>
                <w:rFonts w:hint="eastAsia" w:ascii="宋体" w:hAnsi="宋体" w:eastAsia="宋体" w:cs="宋体"/>
                <w:sz w:val="24"/>
                <w:szCs w:val="24"/>
                <w:lang w:val="en-US" w:eastAsia="zh-CN" w:bidi="ar"/>
              </w:rPr>
              <w:br w:type="textWrapping"/>
            </w:r>
            <w:r>
              <w:rPr>
                <w:rStyle w:val="68"/>
                <w:rFonts w:hint="eastAsia" w:ascii="宋体" w:hAnsi="宋体" w:eastAsia="宋体" w:cs="宋体"/>
                <w:sz w:val="24"/>
                <w:szCs w:val="24"/>
                <w:lang w:val="en-US" w:eastAsia="zh-CN" w:bidi="ar"/>
              </w:rPr>
              <w:t>磨损度：</w:t>
            </w:r>
            <w:r>
              <w:rPr>
                <w:rStyle w:val="70"/>
                <w:rFonts w:hint="eastAsia" w:ascii="宋体" w:hAnsi="宋体" w:eastAsia="宋体" w:cs="宋体"/>
                <w:sz w:val="24"/>
                <w:szCs w:val="24"/>
                <w:lang w:val="en-US" w:eastAsia="zh-CN" w:bidi="ar"/>
              </w:rPr>
              <w:t>≥</w:t>
            </w:r>
            <w:r>
              <w:rPr>
                <w:rStyle w:val="69"/>
                <w:rFonts w:hint="eastAsia" w:ascii="宋体" w:hAnsi="宋体" w:eastAsia="宋体" w:cs="宋体"/>
                <w:sz w:val="24"/>
                <w:szCs w:val="24"/>
                <w:lang w:val="en-US" w:eastAsia="zh-CN" w:bidi="ar"/>
              </w:rPr>
              <w:t>4-5</w:t>
            </w:r>
            <w:r>
              <w:rPr>
                <w:rStyle w:val="68"/>
                <w:rFonts w:hint="eastAsia" w:ascii="宋体" w:hAnsi="宋体" w:eastAsia="宋体" w:cs="宋体"/>
                <w:sz w:val="24"/>
                <w:szCs w:val="24"/>
                <w:lang w:val="en-US" w:eastAsia="zh-CN" w:bidi="ar"/>
              </w:rPr>
              <w:t>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提供图样配色深化图纸，1000x1000等比例局部小样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3"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前山宴会区满铺地毯</w:t>
            </w:r>
          </w:p>
        </w:tc>
        <w:tc>
          <w:tcPr>
            <w:tcW w:w="3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260350</wp:posOffset>
                  </wp:positionH>
                  <wp:positionV relativeFrom="paragraph">
                    <wp:posOffset>887095</wp:posOffset>
                  </wp:positionV>
                  <wp:extent cx="1528445" cy="2252345"/>
                  <wp:effectExtent l="0" t="0" r="14605" b="14605"/>
                  <wp:wrapNone/>
                  <wp:docPr id="7" name="图片_2"/>
                  <wp:cNvGraphicFramePr/>
                  <a:graphic xmlns:a="http://schemas.openxmlformats.org/drawingml/2006/main">
                    <a:graphicData uri="http://schemas.openxmlformats.org/drawingml/2006/picture">
                      <pic:pic xmlns:pic="http://schemas.openxmlformats.org/drawingml/2006/picture">
                        <pic:nvPicPr>
                          <pic:cNvPr id="7" name="图片_2"/>
                          <pic:cNvPicPr/>
                        </pic:nvPicPr>
                        <pic:blipFill>
                          <a:blip r:embed="rId23"/>
                          <a:stretch>
                            <a:fillRect/>
                          </a:stretch>
                        </pic:blipFill>
                        <pic:spPr>
                          <a:xfrm>
                            <a:off x="0" y="0"/>
                            <a:ext cx="1528445" cy="2252345"/>
                          </a:xfrm>
                          <a:prstGeom prst="rect">
                            <a:avLst/>
                          </a:prstGeom>
                          <a:noFill/>
                          <a:ln>
                            <a:noFill/>
                          </a:ln>
                        </pic:spPr>
                      </pic:pic>
                    </a:graphicData>
                  </a:graphic>
                </wp:anchor>
              </w:drawing>
            </w:r>
          </w:p>
        </w:tc>
        <w:tc>
          <w:tcPr>
            <w:tcW w:w="4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材质:机织阿克明斯特40%新西兰羊毛+40%英国羊毛、20%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尼龙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底背: 高防腐涤纶经线与优质PP丝纬纱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密度：7*9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绒高：8mm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绒重：1300克/平方米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染色方式：纱染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阻燃测试等级：符合GB8624 - 2012 B1级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静电抑制类型：GB/T18044—2000 Ⅱ级标准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耐摩擦色牢度：干、湿摩擦牢度≥5级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抗菌性能：抗菌、防螨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染料：进口亨斯迈（原瑞士汽巴）环保染料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胶料：环保羧基丁苯胶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提供图样配色深化图纸，1000x1000等比例局部小样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注：1.样品式样详见招标需求，请各投标供应商按要求递交投标样品，未按要求递交样品则相应评分内容不得分。提供的样品应与投标文件中响应产品保持一致，否则样品不得分。注：将样品安装完毕后，进行包装（遮盖）在明显位置用可简易撕下的纸注明项目名称、项目编号、投标人名称（加盖公章）、货物名称。所有样品应在规定时间前递交，规定时间后递交的样品将不予接收。样品采用暗标评审方式。</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2.递交时间、地点及方式</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本项目样品需在2024年12月30日下午14:00到下午17:00前送至桐庐县江南体育建设中心（桐庐县大联路505号1楼室内篮球场，不得提前送达，否则拒不接收），样品上不得体现投标人信息，否则拒不接收。</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递交方式：现场递交，即交即走，不参与后续现场开标会议；如出现破损、损坏等影响评标委员会评审情况的，由投标人自行负责。</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3.投标样品的退回</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中标候选人的样品由供应商直接送至采购人指定地点，由采购人进行保管、封存，并作为履约验收的依据。未中标单位的样品必须在项目评审结束后2小时内自行取回，否则视为放弃，逾期未取回造成的遗失等一切损失由投标人自行承担，采购人、采购代理机构不负保管义务，投标人自行考虑上述事项进行投标。</w:t>
      </w:r>
    </w:p>
    <w:p>
      <w:pPr>
        <w:keepNext w:val="0"/>
        <w:keepLines w:val="0"/>
        <w:pageBreakBefore w:val="0"/>
        <w:widowControl/>
        <w:kinsoku/>
        <w:wordWrap/>
        <w:overflowPunct/>
        <w:topLinePunct w:val="0"/>
        <w:autoSpaceDE/>
        <w:autoSpaceDN/>
        <w:bidi w:val="0"/>
        <w:adjustRightInd/>
        <w:snapToGrid w:val="0"/>
        <w:spacing w:line="340" w:lineRule="exact"/>
        <w:ind w:left="0" w:leftChars="0" w:firstLine="0" w:firstLineChars="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4.开评标结束后，未中标人样品由投标人自行负责领回，招标人和代理机构概不负责。供应商中标后将样品送至采购人指定地点，作为交货时验收的标准。</w:t>
      </w:r>
    </w:p>
    <w:p>
      <w:pPr>
        <w:snapToGrid w:val="0"/>
        <w:spacing w:before="159" w:beforeLines="50" w:line="240" w:lineRule="auto"/>
        <w:ind w:left="0" w:leftChars="0" w:firstLine="0" w:firstLineChars="0"/>
        <w:jc w:val="both"/>
        <w:rPr>
          <w:rFonts w:hint="eastAsia" w:ascii="宋体" w:hAnsi="宋体" w:eastAsia="宋体" w:cs="宋体"/>
          <w:b/>
          <w:sz w:val="32"/>
        </w:rPr>
      </w:pPr>
      <w:bookmarkStart w:id="0" w:name="_Toc91899903"/>
    </w:p>
    <w:p>
      <w:pPr>
        <w:snapToGrid w:val="0"/>
        <w:spacing w:before="159" w:beforeLines="50" w:line="240" w:lineRule="auto"/>
        <w:ind w:firstLine="3213" w:firstLineChars="1000"/>
        <w:jc w:val="both"/>
        <w:rPr>
          <w:rFonts w:hint="eastAsia" w:ascii="宋体" w:hAnsi="宋体" w:eastAsia="宋体" w:cs="宋体"/>
          <w:b/>
          <w:sz w:val="32"/>
        </w:rPr>
      </w:pPr>
      <w:r>
        <w:rPr>
          <w:rFonts w:hint="eastAsia" w:ascii="宋体" w:hAnsi="宋体" w:eastAsia="宋体" w:cs="宋体"/>
          <w:b/>
          <w:sz w:val="32"/>
        </w:rPr>
        <w:t>第三章 投标人须知</w:t>
      </w:r>
    </w:p>
    <w:p>
      <w:pPr>
        <w:spacing w:line="240" w:lineRule="auto"/>
        <w:jc w:val="center"/>
        <w:rPr>
          <w:rFonts w:hint="eastAsia" w:ascii="宋体" w:hAnsi="宋体" w:eastAsia="宋体" w:cs="宋体"/>
          <w:b/>
          <w:bCs/>
          <w:sz w:val="32"/>
          <w:szCs w:val="32"/>
        </w:rPr>
      </w:pPr>
      <w:r>
        <w:rPr>
          <w:rFonts w:hint="eastAsia" w:ascii="宋体" w:hAnsi="宋体" w:eastAsia="宋体" w:cs="宋体"/>
          <w:kern w:val="2"/>
          <w:sz w:val="32"/>
          <w:szCs w:val="32"/>
        </w:rPr>
        <w:t>前附表</w:t>
      </w:r>
      <w:bookmarkEnd w:id="0"/>
    </w:p>
    <w:tbl>
      <w:tblPr>
        <w:tblStyle w:val="28"/>
        <w:tblW w:w="9843" w:type="dxa"/>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9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048" w:type="dxa"/>
            <w:noWrap w:val="0"/>
            <w:vAlign w:val="center"/>
          </w:tcPr>
          <w:p>
            <w:pPr>
              <w:keepNext w:val="0"/>
              <w:keepLines w:val="0"/>
              <w:pageBreakBefore w:val="0"/>
              <w:widowControl/>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b/>
                <w:bCs/>
                <w:sz w:val="24"/>
                <w:szCs w:val="24"/>
                <w:lang w:val="zh-CN" w:eastAsia="zh-CN"/>
              </w:rPr>
            </w:pPr>
            <w:r>
              <w:rPr>
                <w:rFonts w:hint="eastAsia" w:ascii="宋体" w:hAnsi="宋体" w:eastAsia="宋体" w:cs="宋体"/>
                <w:sz w:val="24"/>
                <w:szCs w:val="24"/>
              </w:rPr>
              <w:t>项目名称：</w:t>
            </w:r>
            <w:r>
              <w:rPr>
                <w:rFonts w:hint="eastAsia" w:ascii="宋体" w:hAnsi="宋体" w:eastAsia="宋体" w:cs="宋体"/>
                <w:sz w:val="24"/>
                <w:lang w:eastAsia="zh-CN"/>
              </w:rPr>
              <w:t>桐庐县红灯笼乡村家园地毯采购项目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9048" w:type="dxa"/>
            <w:noWrap w:val="0"/>
            <w:vAlign w:val="center"/>
          </w:tcPr>
          <w:p>
            <w:pPr>
              <w:keepNext w:val="0"/>
              <w:keepLines w:val="0"/>
              <w:pageBreakBefore w:val="0"/>
              <w:widowControl/>
              <w:kinsoku/>
              <w:wordWrap/>
              <w:overflowPunct/>
              <w:topLinePunct w:val="0"/>
              <w:autoSpaceDE/>
              <w:autoSpaceDN/>
              <w:bidi w:val="0"/>
              <w:adjustRightIn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采购数量及单位：详见采购需求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投标报价及费用：1.本项目投标应以人民币报价；2.不论投标结果如何，供应商均应自行承担所有与投标有关的全部费用。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投标文件组成：</w:t>
            </w:r>
            <w:r>
              <w:rPr>
                <w:rFonts w:hint="eastAsia" w:ascii="宋体" w:hAnsi="宋体" w:eastAsia="宋体" w:cs="宋体"/>
                <w:color w:val="000000"/>
                <w:sz w:val="24"/>
                <w:szCs w:val="24"/>
                <w:lang w:bidi="ar"/>
              </w:rPr>
              <w:t>《投标文件》由“资格文件”、“商务技术文件”和“报价文件”三个部分组成。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投标文件的编制：</w:t>
            </w:r>
            <w:r>
              <w:rPr>
                <w:rFonts w:hint="eastAsia" w:ascii="宋体" w:hAnsi="宋体" w:eastAsia="宋体" w:cs="宋体"/>
                <w:color w:val="000000"/>
                <w:sz w:val="24"/>
                <w:szCs w:val="24"/>
                <w:lang w:bidi="ar"/>
              </w:rPr>
              <w:t>供应商应先安装“</w:t>
            </w:r>
            <w:r>
              <w:rPr>
                <w:rFonts w:hint="eastAsia" w:ascii="宋体" w:hAnsi="宋体" w:eastAsia="宋体" w:cs="宋体"/>
                <w:color w:val="000000"/>
                <w:sz w:val="24"/>
                <w:szCs w:val="24"/>
                <w:lang w:eastAsia="zh-CN" w:bidi="ar"/>
              </w:rPr>
              <w:t>乐采云电子交易客户端</w:t>
            </w:r>
            <w:r>
              <w:rPr>
                <w:rFonts w:hint="eastAsia" w:ascii="宋体" w:hAnsi="宋体" w:eastAsia="宋体" w:cs="宋体"/>
                <w:color w:val="000000"/>
                <w:sz w:val="24"/>
                <w:szCs w:val="24"/>
                <w:lang w:bidi="ar"/>
              </w:rPr>
              <w:t>”，并按照本招标文件和“</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”的要求，通过“</w:t>
            </w:r>
            <w:r>
              <w:rPr>
                <w:rFonts w:hint="eastAsia" w:ascii="宋体" w:hAnsi="宋体" w:eastAsia="宋体" w:cs="宋体"/>
                <w:color w:val="000000"/>
                <w:sz w:val="24"/>
                <w:szCs w:val="24"/>
                <w:lang w:eastAsia="zh-CN" w:bidi="ar"/>
              </w:rPr>
              <w:t>乐采云电子交易客户端</w:t>
            </w:r>
            <w:r>
              <w:rPr>
                <w:rFonts w:hint="eastAsia" w:ascii="宋体" w:hAnsi="宋体" w:eastAsia="宋体" w:cs="宋体"/>
                <w:color w:val="000000"/>
                <w:sz w:val="24"/>
                <w:szCs w:val="24"/>
                <w:lang w:bidi="ar"/>
              </w:rPr>
              <w:t>”编制并加密投标文件。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z w:val="24"/>
                <w:szCs w:val="24"/>
                <w:lang w:bidi="ar"/>
              </w:rPr>
              <w:t>投标文件的签章按照采购文件要求签章。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8</w:t>
            </w:r>
          </w:p>
        </w:tc>
        <w:tc>
          <w:tcPr>
            <w:tcW w:w="9048" w:type="dxa"/>
            <w:noWrap w:val="0"/>
            <w:vAlign w:val="center"/>
          </w:tcPr>
          <w:p>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投标文件的形式：电子投标文件（包括“电子加密投标文件”和“备份投标文件”，在投标文件编制完成后同时生成）；</w:t>
            </w:r>
          </w:p>
          <w:p>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（1）“电子加密投标文件”是指通过“</w:t>
            </w:r>
            <w:r>
              <w:rPr>
                <w:rFonts w:hint="eastAsia" w:ascii="宋体" w:hAnsi="宋体" w:eastAsia="宋体" w:cs="宋体"/>
                <w:color w:val="000000"/>
                <w:sz w:val="24"/>
                <w:szCs w:val="24"/>
                <w:lang w:eastAsia="zh-CN" w:bidi="ar"/>
              </w:rPr>
              <w:t>乐采云电子交易客户端</w:t>
            </w:r>
            <w:r>
              <w:rPr>
                <w:rFonts w:hint="eastAsia" w:ascii="宋体" w:hAnsi="宋体" w:eastAsia="宋体" w:cs="宋体"/>
                <w:color w:val="000000"/>
                <w:sz w:val="24"/>
                <w:szCs w:val="24"/>
                <w:lang w:bidi="ar"/>
              </w:rPr>
              <w:t>”完成投标文件编制后生成并加密的数据电文形式的投标文件。</w:t>
            </w:r>
          </w:p>
          <w:p>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9</w:t>
            </w:r>
          </w:p>
        </w:tc>
        <w:tc>
          <w:tcPr>
            <w:tcW w:w="9048" w:type="dxa"/>
            <w:noWrap w:val="0"/>
            <w:vAlign w:val="center"/>
          </w:tcPr>
          <w:p>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投标文件份数：（1）“电子加密投标文件”：在线上传递交、一份。（2）“备份投标文件”：密封包装后</w:t>
            </w:r>
            <w:r>
              <w:rPr>
                <w:rFonts w:hint="eastAsia" w:ascii="宋体" w:hAnsi="宋体" w:eastAsia="宋体" w:cs="宋体"/>
                <w:sz w:val="24"/>
                <w:szCs w:val="24"/>
                <w:lang w:bidi="ar"/>
              </w:rPr>
              <w:t>（邮寄形式）投标截止时间前</w:t>
            </w:r>
            <w:r>
              <w:rPr>
                <w:rFonts w:hint="eastAsia" w:ascii="宋体" w:hAnsi="宋体" w:eastAsia="宋体" w:cs="宋体"/>
                <w:color w:val="000000"/>
                <w:sz w:val="24"/>
                <w:szCs w:val="24"/>
                <w:lang w:bidi="ar"/>
              </w:rPr>
              <w:t>递交、一份</w:t>
            </w:r>
          </w:p>
          <w:p>
            <w:pPr>
              <w:keepNext w:val="0"/>
              <w:keepLines w:val="0"/>
              <w:pageBreakBefore w:val="0"/>
              <w:widowControl/>
              <w:kinsoku/>
              <w:wordWrap/>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 xml:space="preserve">（邮寄地址：浙江省杭州市萧山区萧山城厢街道市心中路818号十六层 </w:t>
            </w:r>
            <w:r>
              <w:rPr>
                <w:rFonts w:hint="eastAsia" w:ascii="宋体" w:hAnsi="宋体" w:eastAsia="宋体" w:cs="宋体"/>
                <w:color w:val="000000"/>
                <w:sz w:val="24"/>
                <w:szCs w:val="24"/>
                <w:lang w:eastAsia="zh-CN" w:bidi="ar"/>
              </w:rPr>
              <w:t>钟梨霞</w:t>
            </w:r>
            <w:r>
              <w:rPr>
                <w:rFonts w:hint="eastAsia" w:ascii="宋体" w:hAnsi="宋体" w:eastAsia="宋体" w:cs="宋体"/>
                <w:color w:val="000000"/>
                <w:sz w:val="24"/>
                <w:szCs w:val="24"/>
                <w:lang w:bidi="ar"/>
              </w:rPr>
              <w:t>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0</w:t>
            </w:r>
          </w:p>
        </w:tc>
        <w:tc>
          <w:tcPr>
            <w:tcW w:w="9048" w:type="dxa"/>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投标文件的上传和递交：</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（1）“电子加密投标文件”的上传、递交：</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a.投标供应商应在投标截止时间前将“电子加密投标文件”成功上传递交至“</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”，否则投标无效。</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b.“电子加密投标文件”成功上传递交后，供应商可自行打印投标文件接收回执。</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（2）“备份投标文件”的密封包装、递交：</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a.投标供应商在“</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”完成“电子加密投标文件”的上传递交后，还可以（</w:t>
            </w:r>
            <w:r>
              <w:rPr>
                <w:rFonts w:hint="eastAsia" w:ascii="宋体" w:hAnsi="宋体" w:eastAsia="宋体" w:cs="宋体"/>
                <w:sz w:val="24"/>
                <w:szCs w:val="24"/>
                <w:lang w:bidi="ar"/>
              </w:rPr>
              <w:t>邮寄形式）</w:t>
            </w:r>
            <w:r>
              <w:rPr>
                <w:rFonts w:hint="eastAsia" w:ascii="宋体" w:hAnsi="宋体" w:eastAsia="宋体" w:cs="宋体"/>
                <w:color w:val="000000"/>
                <w:sz w:val="24"/>
                <w:szCs w:val="24"/>
                <w:lang w:bidi="ar"/>
              </w:rPr>
              <w:t>在投标截止时间前递交以介质（U盘）存储的 “备份投标文件”（一份）；</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b.“备份投标文件”应当密封包装，并在包装上标注投标项目名称、投标单位名称并加盖公章。没有密封包装或者逾期</w:t>
            </w:r>
            <w:r>
              <w:rPr>
                <w:rFonts w:hint="eastAsia" w:ascii="宋体" w:hAnsi="宋体" w:eastAsia="宋体" w:cs="宋体"/>
                <w:sz w:val="24"/>
                <w:szCs w:val="24"/>
                <w:lang w:bidi="ar"/>
              </w:rPr>
              <w:t>邮寄</w:t>
            </w:r>
            <w:r>
              <w:rPr>
                <w:rFonts w:hint="eastAsia" w:ascii="宋体" w:hAnsi="宋体" w:eastAsia="宋体" w:cs="宋体"/>
                <w:color w:val="000000"/>
                <w:sz w:val="24"/>
                <w:szCs w:val="24"/>
                <w:lang w:bidi="ar"/>
              </w:rPr>
              <w:t>送达至投标地点的“备份投标文件”将不予接收；</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c.通过“</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p>
        </w:tc>
        <w:tc>
          <w:tcPr>
            <w:tcW w:w="9048" w:type="dxa"/>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电子加密投标文件的解密和异常情况处理：</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（1）开标后，采购组织机构将向各投标供应商发出“电子加密投标文件”的解密通知，各投标供应商代表应当在接到解密通知后30分钟内自行完成“电子加密投标文件”的在线解密。</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（2）通过“</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”操作规范将“备份投标文件”上传至“</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”，上传成功后，“电子加密投标文件”自动失效），否则视为投标文件撤回。</w:t>
            </w:r>
          </w:p>
          <w:p>
            <w:pPr>
              <w:keepNext w:val="0"/>
              <w:keepLines w:val="0"/>
              <w:pageBreakBefore w:val="0"/>
              <w:widowControl/>
              <w:kinsoku/>
              <w:wordWrap/>
              <w:overflowPunct/>
              <w:topLinePunct w:val="0"/>
              <w:autoSpaceDE/>
              <w:autoSpaceDN/>
              <w:bidi w:val="0"/>
              <w:adjustRightInd/>
              <w:spacing w:line="400" w:lineRule="exact"/>
              <w:ind w:left="0" w:leftChars="0" w:firstLine="0" w:firstLineChars="0"/>
              <w:jc w:val="left"/>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（3）投标截止时间前，投标供应商仅递交了“备份投标文件”而未将电子加密投标文件上传至“</w:t>
            </w:r>
            <w:r>
              <w:rPr>
                <w:rFonts w:hint="eastAsia" w:ascii="宋体" w:hAnsi="宋体" w:eastAsia="宋体" w:cs="宋体"/>
                <w:color w:val="000000"/>
                <w:sz w:val="24"/>
                <w:szCs w:val="24"/>
                <w:lang w:eastAsia="zh-CN" w:bidi="ar"/>
              </w:rPr>
              <w:t>乐采云平台</w:t>
            </w:r>
            <w:r>
              <w:rPr>
                <w:rFonts w:hint="eastAsia" w:ascii="宋体" w:hAnsi="宋体" w:eastAsia="宋体" w:cs="宋体"/>
                <w:color w:val="000000"/>
                <w:sz w:val="24"/>
                <w:szCs w:val="24"/>
                <w:lang w:bidi="ar"/>
              </w:rPr>
              <w:t>”的，投标无效。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b/>
                <w:color w:val="000000"/>
                <w:kern w:val="10"/>
                <w:sz w:val="24"/>
                <w:szCs w:val="24"/>
              </w:rPr>
              <w:t>潜在供应商需在乐采云平台www.lecaiyun.com进行免费注册。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投标截止时间及地点：</w:t>
            </w:r>
            <w:r>
              <w:rPr>
                <w:rFonts w:hint="eastAsia" w:ascii="宋体" w:hAnsi="宋体" w:eastAsia="宋体" w:cs="宋体"/>
                <w:b/>
                <w:bCs/>
                <w:color w:val="FF0000"/>
                <w:sz w:val="24"/>
                <w:lang w:eastAsia="zh-CN"/>
              </w:rPr>
              <w:t>2024年 12月31日 09时30分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投标地点：</w:t>
            </w:r>
            <w:r>
              <w:rPr>
                <w:rFonts w:hint="eastAsia" w:ascii="宋体" w:hAnsi="宋体" w:eastAsia="宋体" w:cs="宋体"/>
                <w:color w:val="000000"/>
                <w:sz w:val="24"/>
                <w:szCs w:val="24"/>
                <w:u w:val="single"/>
                <w:lang w:eastAsia="zh-CN"/>
              </w:rPr>
              <w:t>乐采云</w:t>
            </w:r>
            <w:r>
              <w:rPr>
                <w:rFonts w:hint="eastAsia" w:ascii="宋体" w:hAnsi="宋体" w:eastAsia="宋体" w:cs="宋体"/>
                <w:color w:val="000000"/>
                <w:sz w:val="24"/>
                <w:szCs w:val="24"/>
                <w:u w:val="single"/>
              </w:rPr>
              <w:t>在线投标</w:t>
            </w:r>
            <w:r>
              <w:rPr>
                <w:rFonts w:hint="eastAsia" w:ascii="宋体" w:hAnsi="宋体" w:eastAsia="宋体" w:cs="宋体"/>
                <w:color w:val="000000"/>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开标时间及地点：本次招标于</w:t>
            </w:r>
            <w:r>
              <w:rPr>
                <w:rFonts w:hint="eastAsia" w:ascii="宋体" w:hAnsi="宋体" w:eastAsia="宋体" w:cs="宋体"/>
                <w:b/>
                <w:bCs/>
                <w:color w:val="FF0000"/>
                <w:sz w:val="24"/>
                <w:lang w:eastAsia="zh-CN"/>
              </w:rPr>
              <w:t>2024年 12月31日 09时30分</w:t>
            </w:r>
            <w:r>
              <w:rPr>
                <w:rFonts w:hint="eastAsia" w:ascii="宋体" w:hAnsi="宋体" w:eastAsia="宋体" w:cs="宋体"/>
                <w:color w:val="000000"/>
                <w:sz w:val="24"/>
                <w:szCs w:val="24"/>
                <w:u w:val="single"/>
                <w:lang w:eastAsia="zh-CN"/>
              </w:rPr>
              <w:t>乐采云</w:t>
            </w:r>
            <w:r>
              <w:rPr>
                <w:rFonts w:hint="eastAsia" w:ascii="宋体" w:hAnsi="宋体" w:eastAsia="宋体" w:cs="宋体"/>
                <w:color w:val="000000"/>
                <w:sz w:val="24"/>
                <w:szCs w:val="24"/>
                <w:u w:val="single"/>
              </w:rPr>
              <w:t>在线开标</w:t>
            </w: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评标办法及标准：按照采购文件第四章评标办法及评分标准。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sz w:val="23"/>
                <w:szCs w:val="23"/>
              </w:rPr>
              <w:t>中标（成交）公告：采购人确定中标人后，在浙江政府采购网（http://zfcg.czt.zj.gov.cn/）上进行1个工作日的中标（成交）公告。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中标（成交）通知书：成交结果在中标（成交）公告时，代理机构以书面形式发出《成交通知书》。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签订合同：中标（成交）通知书发出后30天内。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投标文件有效期：</w:t>
            </w:r>
            <w:r>
              <w:rPr>
                <w:rFonts w:hint="eastAsia" w:ascii="宋体" w:hAnsi="宋体" w:eastAsia="宋体" w:cs="宋体"/>
                <w:sz w:val="24"/>
                <w:szCs w:val="24"/>
                <w:u w:val="single"/>
              </w:rPr>
              <w:t>90</w:t>
            </w:r>
            <w:r>
              <w:rPr>
                <w:rFonts w:hint="eastAsia" w:ascii="宋体" w:hAnsi="宋体" w:eastAsia="宋体" w:cs="宋体"/>
                <w:sz w:val="24"/>
                <w:szCs w:val="24"/>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解释：本招标文件的解释权属于招标采购单位。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color w:val="FF0000"/>
                <w:sz w:val="24"/>
                <w:szCs w:val="24"/>
              </w:rPr>
              <w:t>本次招标设定最高限价</w:t>
            </w:r>
            <w:r>
              <w:rPr>
                <w:rFonts w:hint="eastAsia" w:ascii="宋体" w:hAnsi="宋体" w:eastAsia="宋体" w:cs="宋体"/>
                <w:b/>
                <w:bCs/>
                <w:color w:val="FF0000"/>
                <w:sz w:val="24"/>
                <w:szCs w:val="24"/>
                <w:u w:val="single"/>
                <w:lang w:val="en-US" w:eastAsia="zh-CN"/>
              </w:rPr>
              <w:t xml:space="preserve"> 130 </w:t>
            </w:r>
            <w:r>
              <w:rPr>
                <w:rFonts w:hint="eastAsia" w:ascii="宋体" w:hAnsi="宋体" w:eastAsia="宋体" w:cs="宋体"/>
                <w:b/>
                <w:bCs/>
                <w:color w:val="FF0000"/>
                <w:sz w:val="24"/>
                <w:szCs w:val="24"/>
                <w:lang w:eastAsia="zh-CN"/>
              </w:rPr>
              <w:t>万元</w:t>
            </w:r>
            <w:r>
              <w:rPr>
                <w:rFonts w:hint="eastAsia" w:ascii="宋体" w:hAnsi="宋体" w:eastAsia="宋体" w:cs="宋体"/>
                <w:color w:val="FF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FF0000"/>
                <w:sz w:val="24"/>
                <w:szCs w:val="24"/>
              </w:rPr>
              <w:t>本项目设置风险控制价为</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 91  </w:t>
            </w:r>
            <w:r>
              <w:rPr>
                <w:rFonts w:hint="eastAsia" w:ascii="宋体" w:hAnsi="宋体" w:eastAsia="宋体" w:cs="宋体"/>
                <w:color w:val="FF0000"/>
                <w:sz w:val="24"/>
                <w:szCs w:val="24"/>
              </w:rPr>
              <w:t>万元（为最高限价的70%）</w:t>
            </w:r>
            <w:r>
              <w:rPr>
                <w:rFonts w:hint="eastAsia" w:ascii="宋体" w:hAnsi="宋体" w:eastAsia="宋体" w:cs="宋体"/>
                <w:sz w:val="24"/>
                <w:szCs w:val="24"/>
              </w:rPr>
              <w:t>，投标报价低于风险控制价的，中标人在提交履约保证金的同时须额外向采购人提交中标净值与风险控制价之差额作为风险担保金（采用转账或见索即付、不可撤销的银行保函方式，若采用保函方式，如保函担保时间到期，到期延期），风险保证金至本项目按要求验收合格后5日内无息退还。如未按要求完成的，采购人有权扣留风险保证金。允许投标人报价低于风险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1.样品式样</w:t>
            </w:r>
            <w:r>
              <w:rPr>
                <w:rFonts w:hint="eastAsia" w:ascii="宋体" w:hAnsi="宋体" w:eastAsia="宋体" w:cs="宋体"/>
                <w:color w:val="FF0000"/>
                <w:sz w:val="24"/>
                <w:szCs w:val="24"/>
                <w:lang w:eastAsia="zh-CN"/>
              </w:rPr>
              <w:t>详见招标需求</w:t>
            </w:r>
            <w:r>
              <w:rPr>
                <w:rFonts w:hint="eastAsia" w:ascii="宋体" w:hAnsi="宋体" w:eastAsia="宋体" w:cs="宋体"/>
                <w:color w:val="FF0000"/>
                <w:sz w:val="24"/>
                <w:szCs w:val="24"/>
              </w:rPr>
              <w:t>，请各投标供应商按要求递交投标样品，未按要求递交样品则相应评分内容不得分。提供的样品应与投标文件中响应产品保持一致，否则样品不得分。注：</w:t>
            </w:r>
            <w:r>
              <w:rPr>
                <w:rFonts w:hint="eastAsia" w:ascii="宋体" w:hAnsi="宋体" w:eastAsia="宋体" w:cs="宋体"/>
                <w:color w:val="FF0000"/>
                <w:sz w:val="24"/>
                <w:szCs w:val="24"/>
                <w:lang w:val="en-US" w:eastAsia="zh-CN"/>
              </w:rPr>
              <w:t>将样品安装完毕后，进行包装（遮盖）</w:t>
            </w:r>
            <w:r>
              <w:rPr>
                <w:rFonts w:hint="eastAsia" w:ascii="宋体" w:hAnsi="宋体" w:eastAsia="宋体" w:cs="宋体"/>
                <w:color w:val="FF0000"/>
                <w:sz w:val="24"/>
                <w:szCs w:val="24"/>
              </w:rPr>
              <w:t>在明显位置用可简易撕下的纸注明项目名称、项目编号、投标人名称（加盖公章）、货物名称。所有样品应在</w:t>
            </w:r>
            <w:r>
              <w:rPr>
                <w:rFonts w:hint="eastAsia" w:ascii="宋体" w:hAnsi="宋体" w:eastAsia="宋体" w:cs="宋体"/>
                <w:color w:val="FF0000"/>
                <w:sz w:val="24"/>
                <w:szCs w:val="24"/>
                <w:lang w:val="en-US" w:eastAsia="zh-CN"/>
              </w:rPr>
              <w:t>规定</w:t>
            </w:r>
            <w:r>
              <w:rPr>
                <w:rFonts w:hint="eastAsia" w:ascii="宋体" w:hAnsi="宋体" w:eastAsia="宋体" w:cs="宋体"/>
                <w:color w:val="FF0000"/>
                <w:sz w:val="24"/>
                <w:szCs w:val="24"/>
              </w:rPr>
              <w:t>时间前递交，</w:t>
            </w:r>
            <w:r>
              <w:rPr>
                <w:rFonts w:hint="eastAsia" w:ascii="宋体" w:hAnsi="宋体" w:eastAsia="宋体" w:cs="宋体"/>
                <w:color w:val="FF0000"/>
                <w:sz w:val="24"/>
                <w:szCs w:val="24"/>
                <w:lang w:val="en-US" w:eastAsia="zh-CN"/>
              </w:rPr>
              <w:t>规定时间</w:t>
            </w:r>
            <w:r>
              <w:rPr>
                <w:rFonts w:hint="eastAsia" w:ascii="宋体" w:hAnsi="宋体" w:eastAsia="宋体" w:cs="宋体"/>
                <w:color w:val="FF0000"/>
                <w:sz w:val="24"/>
                <w:szCs w:val="24"/>
              </w:rPr>
              <w:t>后递交的样品将不予接收。样品采用暗标评审方式。</w:t>
            </w:r>
          </w:p>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2.递交时间、地点及方式</w:t>
            </w:r>
          </w:p>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本项目样品需</w:t>
            </w:r>
            <w:r>
              <w:rPr>
                <w:rFonts w:hint="eastAsia" w:ascii="宋体" w:hAnsi="宋体" w:eastAsia="宋体" w:cs="宋体"/>
                <w:color w:val="FF0000"/>
                <w:sz w:val="24"/>
                <w:szCs w:val="24"/>
                <w:lang w:val="en-US" w:eastAsia="zh-CN"/>
              </w:rPr>
              <w:t>在2024年12月30日下午14:00到下午17:00前</w:t>
            </w:r>
            <w:r>
              <w:rPr>
                <w:rFonts w:hint="eastAsia" w:ascii="宋体" w:hAnsi="宋体" w:eastAsia="宋体" w:cs="宋体"/>
                <w:color w:val="FF0000"/>
                <w:sz w:val="24"/>
                <w:szCs w:val="24"/>
              </w:rPr>
              <w:t>送至</w:t>
            </w:r>
            <w:r>
              <w:rPr>
                <w:rFonts w:hint="eastAsia" w:ascii="宋体" w:hAnsi="宋体" w:eastAsia="宋体" w:cs="宋体"/>
                <w:color w:val="FF0000"/>
                <w:sz w:val="24"/>
                <w:szCs w:val="24"/>
                <w:lang w:val="en-US" w:eastAsia="zh-CN"/>
              </w:rPr>
              <w:t>桐庐县江南体育建设中心</w:t>
            </w: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桐庐县大联路505号1楼室内篮球场，</w:t>
            </w:r>
            <w:r>
              <w:rPr>
                <w:rFonts w:hint="eastAsia" w:ascii="宋体" w:hAnsi="宋体" w:eastAsia="宋体" w:cs="宋体"/>
                <w:color w:val="FF0000"/>
                <w:sz w:val="24"/>
                <w:szCs w:val="24"/>
              </w:rPr>
              <w:t>不得提前送达，否则拒不接收），样品上不得体现投标人信息</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否则拒不接收</w:t>
            </w:r>
            <w:r>
              <w:rPr>
                <w:rFonts w:hint="eastAsia" w:ascii="宋体" w:hAnsi="宋体" w:eastAsia="宋体" w:cs="宋体"/>
                <w:color w:val="FF0000"/>
                <w:sz w:val="24"/>
                <w:szCs w:val="24"/>
              </w:rPr>
              <w:t>。</w:t>
            </w:r>
          </w:p>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递交方式：现场递交，即交即走，不参与后续现场开标会议；如出现破损、损坏等影响评标委员会评审情况的，由投标人自行负责。</w:t>
            </w:r>
          </w:p>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3.投标样品的退回</w:t>
            </w:r>
          </w:p>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中标候选人的样品由供应商直接送至采购人指定地点，由采购人进行保管、封存，并作为履约验收的依据。未中标单位的样品必须在项目评审结束后</w:t>
            </w:r>
            <w:r>
              <w:rPr>
                <w:rFonts w:hint="eastAsia" w:ascii="宋体" w:hAnsi="宋体" w:eastAsia="宋体" w:cs="宋体"/>
                <w:color w:val="FF0000"/>
                <w:sz w:val="24"/>
                <w:szCs w:val="24"/>
                <w:lang w:val="en-US" w:eastAsia="zh-CN"/>
              </w:rPr>
              <w:t>2小时</w:t>
            </w:r>
            <w:r>
              <w:rPr>
                <w:rFonts w:hint="eastAsia" w:ascii="宋体" w:hAnsi="宋体" w:eastAsia="宋体" w:cs="宋体"/>
                <w:color w:val="FF0000"/>
                <w:sz w:val="24"/>
                <w:szCs w:val="24"/>
              </w:rPr>
              <w:t>内自行取回，否则视为放弃，逾期未取回造成的遗失等一切损失由投标人自行承担，采购人、采购代理机构不负保管义务，投标人自行考虑上述事项进行投标。</w:t>
            </w:r>
          </w:p>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4.开评标结束后，未中标人样品由投标人自行负责领回，招标人和代理机构概不负责。供应商中标后将样品送至采购人指定地点，作为交货时验收的标准。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A.投标截止后，在投标有效期内，供应商不能撤销投标文件。供应商强行撤销投标文件的，应按采购预算金额的2%赔偿对采购组织机构造成损失。</w:t>
            </w:r>
          </w:p>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b.中标或者成交后，供应商拒绝签订合同的，采购人可以按照评审报告推荐的中标或者成交候选人名单排序，确定下一候选人为中标或者成交供应商，也可以重新开展采购活动。供应商中标或者成交后拒绝签订合同的，应按采购预算金额的 2%对采购人进行赔偿；赔偿金额不足以弥补采购人损失的，供应商应继续承担超过部分的损失。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5"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904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本项目招标代理服务费由成交人支付，按浙价服[2003]77号文件货物类收费标准计取。在中标单位领取中标通知书时一次性支付给代理公司。上述费用应含在投标报价中（不得单独列项），投标人在投标报价让利中考虑上述费用。</w:t>
            </w:r>
          </w:p>
        </w:tc>
      </w:tr>
    </w:tbl>
    <w:p>
      <w:pPr>
        <w:pStyle w:val="20"/>
        <w:snapToGrid w:val="0"/>
        <w:spacing w:before="120" w:after="120" w:line="240" w:lineRule="auto"/>
        <w:rPr>
          <w:rFonts w:hint="eastAsia" w:ascii="宋体" w:hAnsi="宋体" w:eastAsia="宋体" w:cs="宋体"/>
          <w:b/>
          <w:bCs/>
          <w:kern w:val="2"/>
          <w:sz w:val="24"/>
          <w:szCs w:val="24"/>
        </w:rPr>
      </w:pPr>
    </w:p>
    <w:p>
      <w:pPr>
        <w:pStyle w:val="20"/>
        <w:snapToGrid w:val="0"/>
        <w:spacing w:before="120" w:after="120" w:line="360" w:lineRule="auto"/>
        <w:ind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rPr>
        <w:t>一 、 总  则</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（一）适用范围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本招标文件适用于</w:t>
      </w:r>
      <w:r>
        <w:rPr>
          <w:rFonts w:hint="eastAsia" w:ascii="宋体" w:hAnsi="宋体" w:eastAsia="宋体" w:cs="宋体"/>
          <w:sz w:val="24"/>
          <w:lang w:val="zh-CN"/>
        </w:rPr>
        <w:t>桐庐县红灯笼乡村家园地毯采购项目</w:t>
      </w:r>
      <w:r>
        <w:rPr>
          <w:rFonts w:hint="eastAsia" w:ascii="宋体" w:hAnsi="宋体" w:eastAsia="宋体" w:cs="宋体"/>
          <w:sz w:val="24"/>
        </w:rPr>
        <w:t>的招标、评标、定标、验收、合同履约、付款等（法律、法规另有规定的，从其规定）。</w:t>
      </w:r>
    </w:p>
    <w:p>
      <w:pPr>
        <w:pStyle w:val="20"/>
        <w:snapToGrid w:val="0"/>
        <w:spacing w:before="120" w:after="120" w:line="360" w:lineRule="auto"/>
        <w:ind w:firstLine="482" w:firstLineChars="200"/>
        <w:rPr>
          <w:rFonts w:hint="eastAsia" w:ascii="宋体" w:hAnsi="宋体" w:eastAsia="宋体" w:cs="宋体"/>
          <w:b/>
          <w:bCs/>
          <w:kern w:val="2"/>
          <w:sz w:val="24"/>
          <w:szCs w:val="24"/>
        </w:rPr>
      </w:pPr>
      <w:bookmarkStart w:id="1" w:name="_Toc177824940"/>
      <w:bookmarkStart w:id="2" w:name="_Toc177824873"/>
      <w:bookmarkStart w:id="3" w:name="_Toc177870538"/>
      <w:bookmarkStart w:id="4" w:name="_Toc177825121"/>
      <w:r>
        <w:rPr>
          <w:rFonts w:hint="eastAsia" w:ascii="宋体" w:hAnsi="宋体" w:eastAsia="宋体" w:cs="宋体"/>
          <w:b/>
          <w:bCs/>
          <w:kern w:val="2"/>
          <w:sz w:val="24"/>
          <w:szCs w:val="24"/>
        </w:rPr>
        <w:t>（二）定义</w:t>
      </w:r>
      <w:bookmarkEnd w:id="1"/>
      <w:bookmarkEnd w:id="2"/>
      <w:bookmarkEnd w:id="3"/>
      <w:bookmarkEnd w:id="4"/>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1.“供应商”系指向采购机构提交投标文件的单位。</w:t>
      </w:r>
    </w:p>
    <w:p>
      <w:pPr>
        <w:snapToGrid w:val="0"/>
        <w:spacing w:line="360" w:lineRule="auto"/>
        <w:ind w:firstLine="480" w:firstLineChars="200"/>
        <w:jc w:val="left"/>
        <w:rPr>
          <w:rFonts w:hint="eastAsia" w:ascii="宋体" w:hAnsi="宋体" w:eastAsia="宋体" w:cs="宋体"/>
          <w:color w:val="FF0000"/>
          <w:sz w:val="24"/>
        </w:rPr>
      </w:pPr>
      <w:r>
        <w:rPr>
          <w:rFonts w:hint="eastAsia" w:ascii="宋体" w:hAnsi="宋体" w:eastAsia="宋体" w:cs="宋体"/>
          <w:sz w:val="24"/>
        </w:rPr>
        <w:t>2.“采购人”系指</w:t>
      </w:r>
      <w:r>
        <w:rPr>
          <w:rFonts w:hint="eastAsia" w:ascii="宋体" w:hAnsi="宋体" w:eastAsia="宋体" w:cs="宋体"/>
          <w:color w:val="auto"/>
          <w:sz w:val="24"/>
          <w:szCs w:val="24"/>
          <w:lang w:eastAsia="zh-CN"/>
        </w:rPr>
        <w:t>桐庐富春旅游开发有限公司</w:t>
      </w:r>
      <w:r>
        <w:rPr>
          <w:rFonts w:hint="eastAsia" w:ascii="宋体" w:hAnsi="宋体" w:eastAsia="宋体" w:cs="宋体"/>
          <w:color w:val="auto"/>
          <w:sz w:val="24"/>
        </w:rPr>
        <w:t>。</w:t>
      </w:r>
    </w:p>
    <w:p>
      <w:pPr>
        <w:snapToGrid w:val="0"/>
        <w:spacing w:line="360" w:lineRule="auto"/>
        <w:ind w:firstLine="480" w:firstLineChars="200"/>
        <w:jc w:val="left"/>
        <w:rPr>
          <w:rFonts w:hint="eastAsia" w:ascii="宋体" w:hAnsi="宋体" w:eastAsia="宋体" w:cs="宋体"/>
          <w:sz w:val="24"/>
        </w:rPr>
      </w:pPr>
      <w:bookmarkStart w:id="5" w:name="_Toc177870539"/>
      <w:r>
        <w:rPr>
          <w:rFonts w:hint="eastAsia" w:ascii="宋体" w:hAnsi="宋体" w:eastAsia="宋体" w:cs="宋体"/>
          <w:sz w:val="24"/>
        </w:rPr>
        <w:t>3.“采购机构”系指</w:t>
      </w:r>
      <w:r>
        <w:rPr>
          <w:rFonts w:hint="eastAsia" w:ascii="宋体" w:hAnsi="宋体" w:eastAsia="宋体" w:cs="宋体"/>
          <w:sz w:val="24"/>
          <w:lang w:eastAsia="zh-CN"/>
        </w:rPr>
        <w:t>杭州开元物产集团有限公司</w:t>
      </w:r>
      <w:r>
        <w:rPr>
          <w:rFonts w:hint="eastAsia" w:ascii="宋体" w:hAnsi="宋体" w:eastAsia="宋体" w:cs="宋体"/>
          <w:sz w:val="24"/>
        </w:rPr>
        <w:t>。</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4.“服务”系指招标文件要求提供的本项目服务所有工作内容以及其他类似的义务。</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5.“书面形式”包括信函、传真、电报、电子文档等。</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szCs w:val="24"/>
        </w:rPr>
        <w:t>★</w:t>
      </w:r>
      <w:r>
        <w:rPr>
          <w:rFonts w:hint="eastAsia" w:ascii="宋体" w:hAnsi="宋体" w:eastAsia="宋体" w:cs="宋体"/>
          <w:sz w:val="24"/>
        </w:rPr>
        <w:t>”系指实质性要求条款。</w:t>
      </w:r>
    </w:p>
    <w:p>
      <w:pPr>
        <w:snapToGrid w:val="0"/>
        <w:spacing w:line="360" w:lineRule="auto"/>
        <w:ind w:firstLine="482" w:firstLineChars="200"/>
        <w:jc w:val="left"/>
        <w:outlineLvl w:val="1"/>
        <w:rPr>
          <w:rFonts w:hint="eastAsia" w:ascii="宋体" w:hAnsi="宋体" w:eastAsia="宋体" w:cs="宋体"/>
          <w:b/>
          <w:color w:val="000000"/>
          <w:sz w:val="24"/>
        </w:rPr>
      </w:pPr>
      <w:r>
        <w:rPr>
          <w:rFonts w:hint="eastAsia" w:ascii="宋体" w:hAnsi="宋体" w:eastAsia="宋体" w:cs="宋体"/>
          <w:b/>
          <w:color w:val="000000"/>
          <w:sz w:val="24"/>
        </w:rPr>
        <w:t>（三）招标方式</w:t>
      </w:r>
      <w:bookmarkEnd w:id="5"/>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本次招标采用公开招标方式进行。</w:t>
      </w:r>
    </w:p>
    <w:p>
      <w:pPr>
        <w:snapToGrid w:val="0"/>
        <w:spacing w:line="360" w:lineRule="auto"/>
        <w:ind w:firstLine="482" w:firstLineChars="200"/>
        <w:jc w:val="left"/>
        <w:outlineLvl w:val="1"/>
        <w:rPr>
          <w:rFonts w:hint="eastAsia" w:ascii="宋体" w:hAnsi="宋体" w:eastAsia="宋体" w:cs="宋体"/>
          <w:b/>
          <w:color w:val="000000"/>
          <w:sz w:val="24"/>
        </w:rPr>
      </w:pPr>
      <w:bookmarkStart w:id="6" w:name="_Toc177824942"/>
      <w:bookmarkStart w:id="7" w:name="_Toc177824875"/>
      <w:bookmarkStart w:id="8" w:name="_Toc177870541"/>
      <w:bookmarkStart w:id="9" w:name="_Toc177825123"/>
      <w:r>
        <w:rPr>
          <w:rFonts w:hint="eastAsia" w:ascii="宋体" w:hAnsi="宋体" w:eastAsia="宋体" w:cs="宋体"/>
          <w:b/>
          <w:color w:val="000000"/>
          <w:sz w:val="24"/>
        </w:rPr>
        <w:t>（四）投标费用</w:t>
      </w:r>
      <w:bookmarkEnd w:id="6"/>
      <w:bookmarkEnd w:id="7"/>
      <w:bookmarkEnd w:id="8"/>
      <w:bookmarkEnd w:id="9"/>
    </w:p>
    <w:p>
      <w:pPr>
        <w:snapToGrid w:val="0"/>
        <w:spacing w:line="360" w:lineRule="auto"/>
        <w:ind w:firstLine="480" w:firstLineChars="200"/>
        <w:jc w:val="left"/>
        <w:outlineLvl w:val="1"/>
        <w:rPr>
          <w:rFonts w:hint="eastAsia" w:ascii="宋体" w:hAnsi="宋体" w:eastAsia="宋体" w:cs="宋体"/>
          <w:sz w:val="24"/>
          <w:szCs w:val="20"/>
        </w:rPr>
      </w:pPr>
      <w:r>
        <w:rPr>
          <w:rFonts w:hint="eastAsia" w:ascii="宋体" w:hAnsi="宋体" w:eastAsia="宋体" w:cs="宋体"/>
          <w:sz w:val="24"/>
        </w:rPr>
        <w:t>不论投标结果如何，供应商均应自行承担所有与投标有关的全部费用。</w:t>
      </w:r>
    </w:p>
    <w:p>
      <w:pPr>
        <w:snapToGrid w:val="0"/>
        <w:spacing w:line="360" w:lineRule="auto"/>
        <w:ind w:firstLine="482" w:firstLineChars="200"/>
        <w:jc w:val="left"/>
        <w:outlineLvl w:val="1"/>
        <w:rPr>
          <w:rFonts w:hint="eastAsia" w:ascii="宋体" w:hAnsi="宋体" w:eastAsia="宋体" w:cs="宋体"/>
          <w:b/>
          <w:color w:val="000000"/>
          <w:sz w:val="24"/>
        </w:rPr>
      </w:pPr>
      <w:r>
        <w:rPr>
          <w:rFonts w:hint="eastAsia" w:ascii="宋体" w:hAnsi="宋体" w:eastAsia="宋体" w:cs="宋体"/>
          <w:b/>
          <w:sz w:val="24"/>
        </w:rPr>
        <w:t>（五）</w:t>
      </w:r>
      <w:bookmarkStart w:id="10" w:name="_Toc177870542"/>
      <w:r>
        <w:rPr>
          <w:rFonts w:hint="eastAsia" w:ascii="宋体" w:hAnsi="宋体" w:eastAsia="宋体" w:cs="宋体"/>
          <w:b/>
          <w:color w:val="000000"/>
          <w:sz w:val="24"/>
        </w:rPr>
        <w:t>特别说明</w:t>
      </w:r>
      <w:bookmarkEnd w:id="10"/>
    </w:p>
    <w:p>
      <w:pPr>
        <w:spacing w:line="360" w:lineRule="auto"/>
        <w:ind w:firstLine="480" w:firstLineChars="200"/>
        <w:rPr>
          <w:rFonts w:hint="eastAsia" w:ascii="宋体" w:hAnsi="宋体" w:eastAsia="宋体" w:cs="宋体"/>
          <w:color w:val="FF0000"/>
          <w:sz w:val="24"/>
        </w:rPr>
      </w:pPr>
      <w:bookmarkStart w:id="11" w:name="_Toc177870543"/>
      <w:r>
        <w:rPr>
          <w:rFonts w:hint="eastAsia" w:ascii="宋体" w:hAnsi="宋体" w:eastAsia="宋体" w:cs="宋体"/>
          <w:sz w:val="24"/>
        </w:rPr>
        <w:t>1、直接或者间接受采购人控制的当事人，或者与采购人受共同上级控制的当事人，为本次采购进行设计或编制规范和其他文件的当事人，或者直接或间接地与为本次采购进行设计或编制规范、其他文件的个人、企业、采购代理机构或其附属机构有关联关系的当事人，不得参加本项目投标。</w:t>
      </w:r>
    </w:p>
    <w:p>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2、供应商投标所使用的资格、信誉、荣誉、业绩与企业认证必须为本企业所拥有。供应商投标所使用的采购项目实施人员可以为其控股公司的工作人员。</w:t>
      </w:r>
    </w:p>
    <w:p>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在投标活动中提供任何虚假材料或从事其他违法活动的,其投标无效，并报监管部门查处；中标后发现的,中标人须依照《中华人民共和国消费者权益保护法》第49条之规定双倍赔偿采购人。且民事赔偿并不免除违法供应商的行政与刑事责任。</w:t>
      </w:r>
    </w:p>
    <w:p>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4、供应商应仔细阅读招标文件的所有内容，按照招标文件的要求提交投标文件。投标文件应对招标文件的要求作出实质性响应，并对所提供的全部资料的真实性承担法律责任。</w:t>
      </w:r>
    </w:p>
    <w:p>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5、本次招标项目不得转包分包。本项目不接受联合体投标。</w:t>
      </w:r>
    </w:p>
    <w:p>
      <w:pPr>
        <w:pStyle w:val="2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（六）质疑</w:t>
      </w:r>
      <w:bookmarkEnd w:id="11"/>
      <w:r>
        <w:rPr>
          <w:rFonts w:hint="eastAsia" w:ascii="宋体" w:hAnsi="宋体" w:eastAsia="宋体" w:cs="宋体"/>
          <w:b/>
          <w:bCs/>
          <w:sz w:val="24"/>
          <w:szCs w:val="24"/>
        </w:rPr>
        <w:t>和投诉</w:t>
      </w:r>
    </w:p>
    <w:p>
      <w:pPr>
        <w:spacing w:line="360" w:lineRule="auto"/>
        <w:ind w:firstLine="480" w:firstLineChars="200"/>
        <w:rPr>
          <w:rFonts w:hint="eastAsia" w:ascii="宋体" w:hAnsi="宋体" w:eastAsia="宋体" w:cs="宋体"/>
          <w:bCs/>
          <w:sz w:val="24"/>
        </w:rPr>
      </w:pPr>
      <w:bookmarkStart w:id="12" w:name="_Toc177870544"/>
      <w:r>
        <w:rPr>
          <w:rFonts w:hint="eastAsia" w:ascii="宋体" w:hAnsi="宋体" w:eastAsia="宋体" w:cs="宋体"/>
          <w:bCs/>
          <w:sz w:val="24"/>
        </w:rPr>
        <w:t>1、供应商认为招标文件、招标过程和中标结果使自己的合法权益受到损害的，应当在知道或者应知其权益受到损害之日起七个工作日内，以书面形式向采购机构提出质疑。供应商对采购机构的质疑答复不满意或者招标采购人未在规定时间内作出答复的，可以在答复期满后十五个工作日内向同级采购监管部门投诉。</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2、投标供应商在法定质疑期内一次性提出针对同一采购程序环节的质疑。</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3、供应商认可采购机构在质疑答复程序中启用的调查和复评等程序，在该程序操作过程未明显违反法律禁止性规定时，不得提出疑义；</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质疑、投诉应当采用书面形式，质疑书、投诉书均应明确阐述招标文件、招标过程和中标结果中使自己合法权益受到损害的实质性内容，提供相关事实、依据和证据及其来源或线索，以及投诉（质疑）人的姓名或者名称、通讯地址、邮编、联系人及联系电话，便于有关单位调查、答复和处理，否则采购机构将不予受理。</w:t>
      </w:r>
    </w:p>
    <w:p>
      <w:pPr>
        <w:pStyle w:val="2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二、招标文件</w:t>
      </w:r>
      <w:bookmarkEnd w:id="12"/>
    </w:p>
    <w:p>
      <w:pPr>
        <w:snapToGrid w:val="0"/>
        <w:spacing w:line="360" w:lineRule="auto"/>
        <w:ind w:firstLine="316" w:firstLineChars="131"/>
        <w:jc w:val="left"/>
        <w:rPr>
          <w:rFonts w:hint="eastAsia" w:ascii="宋体" w:hAnsi="宋体" w:eastAsia="宋体" w:cs="宋体"/>
          <w:b/>
          <w:color w:val="000000"/>
          <w:sz w:val="24"/>
        </w:rPr>
      </w:pPr>
      <w:r>
        <w:rPr>
          <w:rFonts w:hint="eastAsia" w:ascii="宋体" w:hAnsi="宋体" w:eastAsia="宋体" w:cs="宋体"/>
          <w:b/>
          <w:color w:val="000000"/>
          <w:sz w:val="24"/>
        </w:rPr>
        <w:t>（一）招标文件的构成。本招标文件由以下部分组成：</w:t>
      </w:r>
    </w:p>
    <w:p>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1.招标公告</w:t>
      </w:r>
    </w:p>
    <w:p>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2.招标需求</w:t>
      </w:r>
    </w:p>
    <w:p>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3.供应商须知</w:t>
      </w:r>
    </w:p>
    <w:p>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4.评标办法及标准</w:t>
      </w:r>
    </w:p>
    <w:p>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5.采购合同</w:t>
      </w:r>
    </w:p>
    <w:p>
      <w:pPr>
        <w:snapToGrid w:val="0"/>
        <w:spacing w:line="360" w:lineRule="auto"/>
        <w:ind w:firstLine="436" w:firstLineChars="182"/>
        <w:jc w:val="left"/>
        <w:rPr>
          <w:rFonts w:hint="eastAsia" w:ascii="宋体" w:hAnsi="宋体" w:eastAsia="宋体" w:cs="宋体"/>
          <w:color w:val="000000"/>
          <w:sz w:val="24"/>
        </w:rPr>
      </w:pPr>
      <w:r>
        <w:rPr>
          <w:rFonts w:hint="eastAsia" w:ascii="宋体" w:hAnsi="宋体" w:eastAsia="宋体" w:cs="宋体"/>
          <w:color w:val="000000"/>
          <w:sz w:val="24"/>
        </w:rPr>
        <w:t>6.投标文件格式</w:t>
      </w:r>
    </w:p>
    <w:p>
      <w:pPr>
        <w:snapToGrid w:val="0"/>
        <w:spacing w:line="360" w:lineRule="auto"/>
        <w:ind w:firstLine="318" w:firstLineChars="132"/>
        <w:jc w:val="left"/>
        <w:rPr>
          <w:rFonts w:hint="eastAsia" w:ascii="宋体" w:hAnsi="宋体" w:eastAsia="宋体" w:cs="宋体"/>
          <w:b/>
          <w:sz w:val="24"/>
        </w:rPr>
      </w:pPr>
      <w:r>
        <w:rPr>
          <w:rFonts w:hint="eastAsia" w:ascii="宋体" w:hAnsi="宋体" w:eastAsia="宋体" w:cs="宋体"/>
          <w:b/>
          <w:sz w:val="24"/>
        </w:rPr>
        <w:t>（二）供应商的风险</w:t>
      </w:r>
    </w:p>
    <w:p>
      <w:pPr>
        <w:snapToGrid w:val="0"/>
        <w:spacing w:line="360" w:lineRule="auto"/>
        <w:ind w:firstLine="436" w:firstLineChars="182"/>
        <w:jc w:val="left"/>
        <w:rPr>
          <w:rFonts w:hint="eastAsia" w:ascii="宋体" w:hAnsi="宋体" w:eastAsia="宋体" w:cs="宋体"/>
          <w:sz w:val="24"/>
        </w:rPr>
      </w:pPr>
      <w:r>
        <w:rPr>
          <w:rFonts w:hint="eastAsia" w:ascii="宋体" w:hAnsi="宋体" w:eastAsia="宋体" w:cs="宋体"/>
          <w:sz w:val="24"/>
        </w:rPr>
        <w:t>供应商没有按照招标文件要求提供全部资料，或者供应商没有对招标文件在各方面者作出实质性响应是供应商的风险，并可能导致其投标被拒绝。</w:t>
      </w:r>
    </w:p>
    <w:p>
      <w:pPr>
        <w:pStyle w:val="12"/>
        <w:widowControl w:val="0"/>
        <w:numPr>
          <w:ilvl w:val="0"/>
          <w:numId w:val="0"/>
        </w:numPr>
        <w:tabs>
          <w:tab w:val="left" w:pos="454"/>
          <w:tab w:val="left" w:pos="720"/>
        </w:tabs>
        <w:snapToGrid w:val="0"/>
        <w:spacing w:line="360" w:lineRule="auto"/>
        <w:ind w:firstLine="318" w:firstLineChars="132"/>
        <w:rPr>
          <w:rFonts w:hint="eastAsia" w:ascii="宋体" w:hAnsi="宋体" w:eastAsia="宋体" w:cs="宋体"/>
          <w:b/>
          <w:szCs w:val="24"/>
        </w:rPr>
      </w:pPr>
      <w:r>
        <w:rPr>
          <w:rFonts w:hint="eastAsia" w:ascii="宋体" w:hAnsi="宋体" w:eastAsia="宋体" w:cs="宋体"/>
          <w:b/>
          <w:szCs w:val="24"/>
        </w:rPr>
        <w:t xml:space="preserve">（三）招标文件的澄清与修改 </w:t>
      </w:r>
    </w:p>
    <w:p>
      <w:pPr>
        <w:pStyle w:val="20"/>
        <w:snapToGrid w:val="0"/>
        <w:spacing w:line="360" w:lineRule="auto"/>
        <w:ind w:firstLine="436" w:firstLineChars="182"/>
        <w:rPr>
          <w:rFonts w:hint="eastAsia" w:ascii="宋体" w:hAnsi="宋体" w:eastAsia="宋体" w:cs="宋体"/>
          <w:bCs/>
          <w:sz w:val="24"/>
        </w:rPr>
      </w:pPr>
      <w:bookmarkStart w:id="13" w:name="_Toc177870545"/>
      <w:r>
        <w:rPr>
          <w:rFonts w:hint="eastAsia" w:ascii="宋体" w:hAnsi="宋体" w:eastAsia="宋体" w:cs="宋体"/>
          <w:bCs/>
          <w:sz w:val="24"/>
        </w:rPr>
        <w:t>1.</w:t>
      </w:r>
      <w:r>
        <w:rPr>
          <w:rFonts w:hint="eastAsia" w:ascii="宋体" w:hAnsi="宋体" w:eastAsia="宋体" w:cs="宋体"/>
          <w:sz w:val="24"/>
        </w:rPr>
        <w:t>供应商应认真阅读本招标文件，发现其中有误或有要求不合理的，供应商必须在</w:t>
      </w:r>
      <w:r>
        <w:rPr>
          <w:rFonts w:hint="eastAsia" w:ascii="宋体" w:hAnsi="宋体" w:eastAsia="宋体" w:cs="宋体"/>
          <w:sz w:val="24"/>
          <w:lang w:eastAsia="zh-CN"/>
        </w:rPr>
        <w:t>前附表</w:t>
      </w:r>
      <w:r>
        <w:rPr>
          <w:rFonts w:hint="eastAsia" w:ascii="宋体" w:hAnsi="宋体" w:eastAsia="宋体" w:cs="宋体"/>
          <w:sz w:val="24"/>
        </w:rPr>
        <w:t>前</w:t>
      </w:r>
      <w:r>
        <w:rPr>
          <w:rFonts w:hint="eastAsia" w:ascii="宋体" w:hAnsi="宋体" w:eastAsia="宋体" w:cs="宋体"/>
          <w:sz w:val="24"/>
          <w:lang w:eastAsia="zh-CN"/>
        </w:rPr>
        <w:t>规定的时间内</w:t>
      </w:r>
      <w:r>
        <w:rPr>
          <w:rFonts w:hint="eastAsia" w:ascii="宋体" w:hAnsi="宋体" w:eastAsia="宋体" w:cs="宋体"/>
          <w:sz w:val="24"/>
        </w:rPr>
        <w:t>以书面形式要求采购人或采购机构澄清</w:t>
      </w:r>
      <w:r>
        <w:rPr>
          <w:rFonts w:hint="eastAsia" w:ascii="宋体" w:hAnsi="宋体" w:eastAsia="宋体" w:cs="宋体"/>
          <w:bCs/>
          <w:sz w:val="24"/>
        </w:rPr>
        <w:t>。</w:t>
      </w:r>
    </w:p>
    <w:p>
      <w:pPr>
        <w:pStyle w:val="20"/>
        <w:snapToGrid w:val="0"/>
        <w:spacing w:line="360" w:lineRule="auto"/>
        <w:ind w:firstLine="436" w:firstLineChars="182"/>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sz w:val="24"/>
        </w:rPr>
        <w:t>采购机构对已发出的招标文件进行必要澄清、答复、修改或补充的，将在招标文件要求提交投标文件截止时间15日前，在浙江政府采购网上发布更正公告，请供应商自行到网上查看和下载，供应商因漏看带来的后果由供应商自行承担</w:t>
      </w:r>
      <w:r>
        <w:rPr>
          <w:rFonts w:hint="eastAsia" w:ascii="宋体" w:hAnsi="宋体" w:eastAsia="宋体" w:cs="宋体"/>
          <w:sz w:val="24"/>
        </w:rPr>
        <w:t>。</w:t>
      </w:r>
    </w:p>
    <w:p>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3.招标文件澄清、答复、修改、补充的内容为招标文件的组成部分。当招标文件与招标文件的答复、澄清、修改、补充通知就同一内容的表述不一致时，以最后发出的文件为准。</w:t>
      </w:r>
    </w:p>
    <w:p>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4.招标文件的澄清、答复、修改或补充都应该通过采购机构以法定形式发布，采购人非通过采购机构，不得擅自澄清、答复、修改或补充招标文件。</w:t>
      </w:r>
    </w:p>
    <w:p>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5.投标供应商一旦参与本次采购活动，即被视为接受了本招标文件的所有内容，如有任何异议，均已在答疑截止时间前提出。</w:t>
      </w:r>
    </w:p>
    <w:p>
      <w:pPr>
        <w:pStyle w:val="2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6、若有必要，招标代理机构将酌情延长递交投标文件的截止日期。</w:t>
      </w:r>
    </w:p>
    <w:p>
      <w:pPr>
        <w:pStyle w:val="20"/>
        <w:snapToGrid w:val="0"/>
        <w:spacing w:line="360" w:lineRule="auto"/>
        <w:ind w:firstLine="482" w:firstLineChars="200"/>
        <w:outlineLvl w:val="1"/>
        <w:rPr>
          <w:rFonts w:hint="eastAsia" w:ascii="宋体" w:hAnsi="宋体" w:eastAsia="宋体" w:cs="宋体"/>
          <w:b/>
          <w:sz w:val="24"/>
          <w:szCs w:val="24"/>
        </w:rPr>
      </w:pPr>
    </w:p>
    <w:p>
      <w:pPr>
        <w:pStyle w:val="20"/>
        <w:snapToGrid w:val="0"/>
        <w:spacing w:line="360" w:lineRule="auto"/>
        <w:ind w:firstLine="482" w:firstLineChars="200"/>
        <w:outlineLvl w:val="1"/>
        <w:rPr>
          <w:rFonts w:hint="eastAsia" w:ascii="宋体" w:hAnsi="宋体" w:eastAsia="宋体" w:cs="宋体"/>
          <w:b/>
          <w:sz w:val="24"/>
          <w:szCs w:val="24"/>
        </w:rPr>
      </w:pPr>
      <w:r>
        <w:rPr>
          <w:rFonts w:hint="eastAsia" w:ascii="宋体" w:hAnsi="宋体" w:eastAsia="宋体" w:cs="宋体"/>
          <w:b/>
          <w:sz w:val="24"/>
          <w:szCs w:val="24"/>
        </w:rPr>
        <w:t>三、投标文件</w:t>
      </w:r>
      <w:bookmarkEnd w:id="13"/>
      <w:r>
        <w:rPr>
          <w:rFonts w:hint="eastAsia" w:ascii="宋体" w:hAnsi="宋体" w:eastAsia="宋体" w:cs="宋体"/>
          <w:b/>
          <w:sz w:val="24"/>
          <w:szCs w:val="24"/>
        </w:rPr>
        <w:t>的编制</w:t>
      </w:r>
    </w:p>
    <w:p>
      <w:pPr>
        <w:snapToGrid w:val="0"/>
        <w:spacing w:line="360" w:lineRule="auto"/>
        <w:ind w:firstLine="482" w:firstLineChars="200"/>
        <w:jc w:val="left"/>
        <w:outlineLvl w:val="0"/>
        <w:rPr>
          <w:rFonts w:hint="eastAsia" w:ascii="宋体" w:hAnsi="宋体" w:eastAsia="宋体" w:cs="宋体"/>
          <w:b/>
          <w:sz w:val="24"/>
        </w:rPr>
      </w:pPr>
      <w:bookmarkStart w:id="14" w:name="_Toc177824943"/>
      <w:bookmarkStart w:id="15" w:name="_Toc177825124"/>
      <w:bookmarkStart w:id="16" w:name="_Toc177824876"/>
      <w:bookmarkStart w:id="17" w:name="_Toc177870546"/>
      <w:r>
        <w:rPr>
          <w:rFonts w:hint="eastAsia" w:ascii="宋体" w:hAnsi="宋体" w:eastAsia="宋体" w:cs="宋体"/>
          <w:b/>
          <w:sz w:val="24"/>
        </w:rPr>
        <w:t>（一）投标文件的组成</w:t>
      </w:r>
      <w:bookmarkEnd w:id="14"/>
      <w:bookmarkEnd w:id="15"/>
      <w:bookmarkEnd w:id="16"/>
      <w:bookmarkEnd w:id="17"/>
    </w:p>
    <w:p>
      <w:pPr>
        <w:snapToGrid w:val="0"/>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rPr>
        <w:t>投标文件由</w:t>
      </w:r>
      <w:r>
        <w:rPr>
          <w:rFonts w:hint="eastAsia" w:ascii="宋体" w:hAnsi="宋体" w:eastAsia="宋体" w:cs="宋体"/>
          <w:b/>
          <w:bCs/>
          <w:sz w:val="24"/>
        </w:rPr>
        <w:t>资格文件、商务技术文件</w:t>
      </w:r>
      <w:r>
        <w:rPr>
          <w:rFonts w:hint="eastAsia" w:ascii="宋体" w:hAnsi="宋体" w:eastAsia="宋体" w:cs="宋体"/>
          <w:sz w:val="24"/>
        </w:rPr>
        <w:t>、</w:t>
      </w:r>
      <w:r>
        <w:rPr>
          <w:rFonts w:hint="eastAsia" w:ascii="宋体" w:hAnsi="宋体" w:eastAsia="宋体" w:cs="宋体"/>
          <w:b/>
          <w:bCs/>
          <w:sz w:val="24"/>
        </w:rPr>
        <w:t>报价文件三</w:t>
      </w:r>
      <w:r>
        <w:rPr>
          <w:rFonts w:hint="eastAsia" w:ascii="宋体" w:hAnsi="宋体" w:eastAsia="宋体" w:cs="宋体"/>
          <w:sz w:val="24"/>
        </w:rPr>
        <w:t>部分组成。</w:t>
      </w:r>
    </w:p>
    <w:p>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en-US" w:eastAsia="zh-CN"/>
        </w:rPr>
        <w:t>1.</w:t>
      </w:r>
      <w:r>
        <w:rPr>
          <w:rFonts w:hint="eastAsia" w:ascii="宋体" w:hAnsi="宋体" w:eastAsia="宋体" w:cs="宋体"/>
          <w:b/>
          <w:sz w:val="24"/>
          <w:lang w:val="zh-CN"/>
        </w:rPr>
        <w:t>资格文件（均不含报价）：</w:t>
      </w:r>
    </w:p>
    <w:p>
      <w:pPr>
        <w:tabs>
          <w:tab w:val="left" w:pos="1440"/>
        </w:tabs>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（1）提供有效的营业执照副本并加盖公章（或事业单位法人登记证或其他工商等登记证明材料）；</w:t>
      </w:r>
    </w:p>
    <w:p>
      <w:pPr>
        <w:tabs>
          <w:tab w:val="left" w:pos="1440"/>
        </w:tabs>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）符合参加政府采购活动应当具备的一般条件的承诺函；</w:t>
      </w:r>
    </w:p>
    <w:p>
      <w:pPr>
        <w:tabs>
          <w:tab w:val="left" w:pos="1440"/>
        </w:tabs>
        <w:spacing w:line="360" w:lineRule="auto"/>
        <w:ind w:firstLine="480" w:firstLineChars="200"/>
        <w:rPr>
          <w:rFonts w:hint="eastAsia" w:ascii="宋体" w:hAnsi="宋体" w:eastAsia="宋体" w:cs="宋体"/>
          <w:b/>
          <w:color w:val="000000"/>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）本项目的特定资格要求</w:t>
      </w:r>
      <w:r>
        <w:rPr>
          <w:rFonts w:hint="eastAsia" w:ascii="宋体" w:hAnsi="宋体" w:eastAsia="宋体" w:cs="宋体"/>
          <w:color w:val="auto"/>
          <w:sz w:val="24"/>
        </w:rPr>
        <w:t>（如果有)</w:t>
      </w:r>
      <w:r>
        <w:rPr>
          <w:rFonts w:hint="eastAsia" w:ascii="宋体" w:hAnsi="宋体" w:eastAsia="宋体" w:cs="宋体"/>
          <w:sz w:val="24"/>
          <w:lang w:eastAsia="zh-CN"/>
        </w:rPr>
        <w:t>；</w:t>
      </w:r>
    </w:p>
    <w:p>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2.商务技术文件（均不含报价）：</w:t>
      </w:r>
    </w:p>
    <w:p>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投标函； </w:t>
      </w:r>
    </w:p>
    <w:p>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授权委托书或法定代表人（单位负责人、自然人本人）身份证明；</w:t>
      </w:r>
    </w:p>
    <w:p>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符合性审查资料；</w:t>
      </w:r>
    </w:p>
    <w:p>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rPr>
        <w:t>评标标准相应的商务技术资料；</w:t>
      </w:r>
    </w:p>
    <w:p>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w:t>
      </w:r>
      <w:r>
        <w:rPr>
          <w:rFonts w:hint="eastAsia" w:ascii="宋体" w:hAnsi="宋体" w:eastAsia="宋体" w:cs="宋体"/>
          <w:color w:val="auto"/>
          <w:sz w:val="24"/>
        </w:rPr>
        <w:t>投标标的清单；</w:t>
      </w:r>
    </w:p>
    <w:p>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w:t>
      </w:r>
      <w:r>
        <w:rPr>
          <w:rFonts w:hint="eastAsia" w:ascii="宋体" w:hAnsi="宋体" w:eastAsia="宋体" w:cs="宋体"/>
          <w:color w:val="auto"/>
          <w:sz w:val="24"/>
        </w:rPr>
        <w:t>商务技术偏离表；</w:t>
      </w:r>
    </w:p>
    <w:p>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lang w:eastAsia="zh-CN"/>
        </w:rPr>
        <w:t>）</w:t>
      </w:r>
      <w:r>
        <w:rPr>
          <w:rFonts w:hint="eastAsia" w:ascii="宋体" w:hAnsi="宋体" w:eastAsia="宋体" w:cs="宋体"/>
          <w:color w:val="auto"/>
          <w:sz w:val="24"/>
        </w:rPr>
        <w:t>采购供应商廉洁自律承诺书；</w:t>
      </w:r>
    </w:p>
    <w:p>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3.报价文件</w:t>
      </w:r>
    </w:p>
    <w:p>
      <w:pPr>
        <w:tabs>
          <w:tab w:val="left" w:pos="14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（1）开标一览表（报价表）；</w:t>
      </w:r>
    </w:p>
    <w:p>
      <w:pPr>
        <w:tabs>
          <w:tab w:val="left" w:pos="1440"/>
        </w:tabs>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投标人针对报价需要说明的其他文件和说明；</w:t>
      </w:r>
    </w:p>
    <w:p>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（二）投标文件的语言及计量</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1、投标文件以及供应商与招标人就有关投标事宜的所有来往函电，均应以中文汉语书写。除签名、盖章、专用名称等特殊情形外，以中文汉语以外的文字表述的投标文件视同未提供。</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（三）投标报价</w:t>
      </w:r>
    </w:p>
    <w:p>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1、投标文件只允许有一个报价，有选择性的报价将不予接受；投标报价应按招标文件中相关附表格式填报，该投标报价应与明细报价汇总相等，且不允许出现报价优惠等字样（明细出现“0”元，视同赠送）。</w:t>
      </w:r>
    </w:p>
    <w:p>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2、本次报价为招标文件和合同中要求完成的所有因完成本项目服务所产生的一切费用；</w:t>
      </w:r>
    </w:p>
    <w:p>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3、招标文件未列明，而供应商认为必需的费用也需列入报价。</w:t>
      </w:r>
    </w:p>
    <w:p>
      <w:pPr>
        <w:tabs>
          <w:tab w:val="left" w:pos="454"/>
          <w:tab w:val="left" w:pos="720"/>
        </w:tabs>
        <w:autoSpaceDE w:val="0"/>
        <w:autoSpaceDN w:val="0"/>
        <w:adjustRightInd w:val="0"/>
        <w:spacing w:line="360" w:lineRule="auto"/>
        <w:ind w:firstLine="480"/>
        <w:jc w:val="left"/>
        <w:rPr>
          <w:rFonts w:hint="eastAsia" w:ascii="宋体" w:hAnsi="宋体" w:eastAsia="宋体" w:cs="宋体"/>
          <w:b/>
          <w:sz w:val="24"/>
          <w:lang w:val="zh-CN"/>
        </w:rPr>
      </w:pPr>
      <w:r>
        <w:rPr>
          <w:rFonts w:hint="eastAsia" w:ascii="宋体" w:hAnsi="宋体" w:eastAsia="宋体" w:cs="宋体"/>
          <w:sz w:val="24"/>
          <w:lang w:val="zh-CN"/>
        </w:rPr>
        <w:t>4、投标单位综合考虑投标报价</w:t>
      </w:r>
      <w:r>
        <w:rPr>
          <w:rFonts w:hint="eastAsia" w:ascii="宋体" w:hAnsi="宋体" w:eastAsia="宋体" w:cs="宋体"/>
          <w:bCs/>
          <w:sz w:val="24"/>
          <w:lang w:val="zh-CN"/>
        </w:rPr>
        <w:t>。</w:t>
      </w:r>
    </w:p>
    <w:p>
      <w:pPr>
        <w:tabs>
          <w:tab w:val="left" w:pos="454"/>
          <w:tab w:val="left" w:pos="720"/>
        </w:tabs>
        <w:autoSpaceDE w:val="0"/>
        <w:autoSpaceDN w:val="0"/>
        <w:adjustRightInd w:val="0"/>
        <w:spacing w:line="360" w:lineRule="auto"/>
        <w:ind w:firstLine="354" w:firstLineChars="147"/>
        <w:jc w:val="left"/>
        <w:rPr>
          <w:rFonts w:hint="eastAsia" w:ascii="宋体" w:hAnsi="宋体" w:eastAsia="宋体" w:cs="宋体"/>
          <w:b/>
          <w:sz w:val="24"/>
          <w:lang w:val="zh-CN"/>
        </w:rPr>
      </w:pPr>
      <w:r>
        <w:rPr>
          <w:rFonts w:hint="eastAsia" w:ascii="宋体" w:hAnsi="宋体" w:eastAsia="宋体" w:cs="宋体"/>
          <w:b/>
          <w:sz w:val="24"/>
          <w:lang w:val="zh-CN"/>
        </w:rPr>
        <w:t>（四）投标文件的有效期</w:t>
      </w:r>
    </w:p>
    <w:p>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1.自投标截止日起</w:t>
      </w:r>
      <w:r>
        <w:rPr>
          <w:rFonts w:hint="eastAsia" w:ascii="宋体" w:hAnsi="宋体" w:eastAsia="宋体" w:cs="宋体"/>
          <w:sz w:val="24"/>
          <w:u w:val="single"/>
          <w:lang w:val="zh-CN"/>
        </w:rPr>
        <w:t>90</w:t>
      </w:r>
      <w:r>
        <w:rPr>
          <w:rFonts w:hint="eastAsia" w:ascii="宋体" w:hAnsi="宋体" w:eastAsia="宋体" w:cs="宋体"/>
          <w:sz w:val="24"/>
          <w:lang w:val="zh-CN"/>
        </w:rPr>
        <w:t>天投标书应保持有效。有效期短于这个规定期限的投标将被拒绝。</w:t>
      </w:r>
    </w:p>
    <w:p>
      <w:pPr>
        <w:tabs>
          <w:tab w:val="left" w:pos="454"/>
          <w:tab w:val="left" w:pos="720"/>
        </w:tabs>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lang w:val="zh-CN"/>
        </w:rPr>
        <w:t>2.在特殊情况下，采购机构可与供应商协商延长投标书的有效期，这种要求和答复均以书面形式进行。</w:t>
      </w:r>
    </w:p>
    <w:p>
      <w:pPr>
        <w:autoSpaceDE w:val="0"/>
        <w:autoSpaceDN w:val="0"/>
        <w:adjustRightInd w:val="0"/>
        <w:spacing w:line="360" w:lineRule="auto"/>
        <w:ind w:firstLine="480"/>
        <w:jc w:val="left"/>
        <w:rPr>
          <w:rFonts w:hint="eastAsia" w:ascii="宋体" w:hAnsi="宋体" w:eastAsia="宋体" w:cs="宋体"/>
          <w:sz w:val="24"/>
          <w:lang w:val="zh-CN"/>
        </w:rPr>
      </w:pPr>
      <w:r>
        <w:rPr>
          <w:rFonts w:hint="eastAsia" w:ascii="宋体" w:hAnsi="宋体" w:eastAsia="宋体" w:cs="宋体"/>
          <w:sz w:val="24"/>
        </w:rPr>
        <w:t>3</w:t>
      </w:r>
      <w:r>
        <w:rPr>
          <w:rFonts w:hint="eastAsia" w:ascii="宋体" w:hAnsi="宋体" w:eastAsia="宋体" w:cs="宋体"/>
          <w:sz w:val="24"/>
          <w:lang w:val="zh-CN"/>
        </w:rPr>
        <w:t>.中标人的投标文件自开标之日起至合同履行完毕止均应保持有效。</w:t>
      </w:r>
    </w:p>
    <w:p>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（五）投标文件的签署和份数</w:t>
      </w:r>
    </w:p>
    <w:p>
      <w:pPr>
        <w:pStyle w:val="15"/>
        <w:snapToGrid w:val="0"/>
        <w:spacing w:line="360" w:lineRule="auto"/>
        <w:ind w:firstLine="434" w:firstLineChars="181"/>
        <w:rPr>
          <w:rFonts w:hint="eastAsia" w:ascii="宋体" w:hAnsi="宋体" w:eastAsia="宋体" w:cs="宋体"/>
          <w:sz w:val="24"/>
        </w:rPr>
      </w:pPr>
      <w:r>
        <w:rPr>
          <w:rFonts w:hint="eastAsia" w:ascii="宋体" w:hAnsi="宋体" w:eastAsia="宋体" w:cs="宋体"/>
          <w:sz w:val="24"/>
        </w:rPr>
        <w:t>1、《投标文件》的签章：见《前附表》；</w:t>
      </w:r>
    </w:p>
    <w:p>
      <w:pPr>
        <w:pStyle w:val="15"/>
        <w:snapToGrid w:val="0"/>
        <w:spacing w:line="360" w:lineRule="auto"/>
        <w:ind w:firstLine="434" w:firstLineChars="181"/>
        <w:rPr>
          <w:rFonts w:hint="eastAsia" w:ascii="宋体" w:hAnsi="宋体" w:eastAsia="宋体" w:cs="宋体"/>
          <w:sz w:val="24"/>
        </w:rPr>
      </w:pPr>
      <w:r>
        <w:rPr>
          <w:rFonts w:hint="eastAsia" w:ascii="宋体" w:hAnsi="宋体" w:eastAsia="宋体" w:cs="宋体"/>
          <w:sz w:val="24"/>
        </w:rPr>
        <w:t>2、《投标文件》应由投标供应商法定代表人或其授权代表签字（或盖章），并时加盖投标供应商公章。</w:t>
      </w:r>
    </w:p>
    <w:p>
      <w:pPr>
        <w:pStyle w:val="15"/>
        <w:snapToGrid w:val="0"/>
        <w:spacing w:line="360" w:lineRule="auto"/>
        <w:ind w:firstLine="434" w:firstLineChars="181"/>
        <w:rPr>
          <w:rFonts w:hint="eastAsia" w:ascii="宋体" w:hAnsi="宋体" w:eastAsia="宋体" w:cs="宋体"/>
          <w:sz w:val="24"/>
        </w:rPr>
      </w:pPr>
      <w:r>
        <w:rPr>
          <w:rFonts w:hint="eastAsia" w:ascii="宋体" w:hAnsi="宋体" w:eastAsia="宋体" w:cs="宋体"/>
          <w:sz w:val="24"/>
        </w:rPr>
        <w:t>3、电子签章操作指南详见采购公告附件《供应商项目采购-电子招投标操作指南》。</w:t>
      </w:r>
    </w:p>
    <w:p>
      <w:pPr>
        <w:autoSpaceDE w:val="0"/>
        <w:autoSpaceDN w:val="0"/>
        <w:adjustRightInd w:val="0"/>
        <w:spacing w:line="360" w:lineRule="auto"/>
        <w:ind w:firstLine="482"/>
        <w:jc w:val="left"/>
        <w:rPr>
          <w:rFonts w:hint="eastAsia" w:ascii="宋体" w:hAnsi="宋体" w:eastAsia="宋体" w:cs="宋体"/>
          <w:b/>
          <w:sz w:val="24"/>
          <w:lang w:val="zh-CN"/>
        </w:rPr>
      </w:pPr>
      <w:r>
        <w:rPr>
          <w:rFonts w:hint="eastAsia" w:ascii="宋体" w:hAnsi="宋体" w:eastAsia="宋体" w:cs="宋体"/>
          <w:b/>
          <w:sz w:val="24"/>
          <w:lang w:val="zh-CN"/>
        </w:rPr>
        <w:t>（六）投标文件的形式</w:t>
      </w:r>
    </w:p>
    <w:p>
      <w:pPr>
        <w:spacing w:line="360" w:lineRule="auto"/>
        <w:ind w:firstLine="422" w:firstLineChars="176"/>
        <w:rPr>
          <w:rFonts w:hint="eastAsia" w:ascii="宋体" w:hAnsi="宋体" w:eastAsia="宋体" w:cs="宋体"/>
          <w:kern w:val="2"/>
          <w:sz w:val="24"/>
          <w:szCs w:val="24"/>
        </w:rPr>
      </w:pPr>
      <w:r>
        <w:rPr>
          <w:rFonts w:hint="eastAsia" w:ascii="宋体" w:hAnsi="宋体" w:eastAsia="宋体" w:cs="宋体"/>
          <w:kern w:val="2"/>
          <w:sz w:val="24"/>
          <w:szCs w:val="24"/>
        </w:rPr>
        <w:t>1、投标文件的形式：见《前附表》；</w:t>
      </w:r>
    </w:p>
    <w:p>
      <w:pPr>
        <w:spacing w:line="360" w:lineRule="auto"/>
        <w:ind w:firstLine="422" w:firstLineChars="176"/>
        <w:rPr>
          <w:rFonts w:hint="eastAsia" w:ascii="宋体" w:hAnsi="宋体" w:eastAsia="宋体" w:cs="宋体"/>
          <w:kern w:val="2"/>
          <w:sz w:val="24"/>
          <w:szCs w:val="24"/>
        </w:rPr>
      </w:pPr>
      <w:r>
        <w:rPr>
          <w:rFonts w:hint="eastAsia" w:ascii="宋体" w:hAnsi="宋体" w:eastAsia="宋体" w:cs="宋体"/>
          <w:kern w:val="2"/>
          <w:sz w:val="24"/>
          <w:szCs w:val="24"/>
        </w:rPr>
        <w:t>2、“电子加密投标文件”：“电子加密投标文件”是指通过“</w:t>
      </w:r>
      <w:r>
        <w:rPr>
          <w:rFonts w:hint="eastAsia" w:ascii="宋体" w:hAnsi="宋体" w:eastAsia="宋体" w:cs="宋体"/>
          <w:kern w:val="2"/>
          <w:sz w:val="24"/>
          <w:szCs w:val="24"/>
          <w:lang w:eastAsia="zh-CN"/>
        </w:rPr>
        <w:t>乐采云电子交易客户端</w:t>
      </w:r>
      <w:r>
        <w:rPr>
          <w:rFonts w:hint="eastAsia" w:ascii="宋体" w:hAnsi="宋体" w:eastAsia="宋体" w:cs="宋体"/>
          <w:kern w:val="2"/>
          <w:sz w:val="24"/>
          <w:szCs w:val="24"/>
        </w:rPr>
        <w:t>”完成投标文件编制后生成并加密的数据电文形式的投标文件。</w:t>
      </w:r>
    </w:p>
    <w:p>
      <w:pPr>
        <w:spacing w:line="360" w:lineRule="auto"/>
        <w:ind w:firstLine="422" w:firstLineChars="176"/>
        <w:rPr>
          <w:rFonts w:hint="eastAsia" w:ascii="宋体" w:hAnsi="宋体" w:eastAsia="宋体" w:cs="宋体"/>
          <w:kern w:val="2"/>
          <w:sz w:val="24"/>
          <w:szCs w:val="24"/>
        </w:rPr>
      </w:pPr>
      <w:r>
        <w:rPr>
          <w:rFonts w:hint="eastAsia" w:ascii="宋体" w:hAnsi="宋体" w:eastAsia="宋体" w:cs="宋体"/>
          <w:kern w:val="2"/>
          <w:sz w:val="24"/>
          <w:szCs w:val="24"/>
        </w:rPr>
        <w:t>3、“备份投标文件”：“备份投标文件”是指与“电子加密投标文件”同时生成的数据电文形式的电子文件（备份标书），其他方式编制的“备份投标文件”视为无效的“备份投标文件”。</w:t>
      </w:r>
    </w:p>
    <w:p>
      <w:pPr>
        <w:pStyle w:val="15"/>
        <w:tabs>
          <w:tab w:val="left" w:pos="1365"/>
          <w:tab w:val="left" w:pos="3375"/>
        </w:tabs>
        <w:spacing w:line="360" w:lineRule="auto"/>
        <w:ind w:firstLine="482"/>
        <w:rPr>
          <w:rFonts w:hint="eastAsia" w:ascii="宋体" w:hAnsi="宋体" w:eastAsia="宋体" w:cs="宋体"/>
          <w:b/>
          <w:kern w:val="2"/>
          <w:sz w:val="24"/>
          <w:szCs w:val="24"/>
          <w:lang w:val="zh-CN"/>
        </w:rPr>
      </w:pPr>
      <w:r>
        <w:rPr>
          <w:rFonts w:hint="eastAsia" w:ascii="宋体" w:hAnsi="宋体" w:eastAsia="宋体" w:cs="宋体"/>
          <w:b/>
          <w:kern w:val="2"/>
          <w:sz w:val="24"/>
          <w:szCs w:val="24"/>
          <w:lang w:val="zh-CN"/>
        </w:rPr>
        <w:t>（七）投标无效的情形</w:t>
      </w:r>
    </w:p>
    <w:p>
      <w:pPr>
        <w:pStyle w:val="15"/>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numPr>
          <w:ilvl w:val="0"/>
          <w:numId w:val="5"/>
        </w:numPr>
        <w:spacing w:line="360" w:lineRule="auto"/>
        <w:rPr>
          <w:rFonts w:hint="eastAsia" w:ascii="宋体" w:hAnsi="宋体" w:eastAsia="宋体" w:cs="宋体"/>
          <w:bCs/>
          <w:kern w:val="2"/>
          <w:sz w:val="24"/>
          <w:szCs w:val="24"/>
        </w:rPr>
      </w:pPr>
      <w:r>
        <w:rPr>
          <w:rFonts w:hint="eastAsia" w:ascii="宋体" w:hAnsi="宋体" w:eastAsia="宋体" w:cs="宋体"/>
          <w:bCs/>
          <w:kern w:val="2"/>
          <w:sz w:val="24"/>
          <w:szCs w:val="24"/>
          <w:lang w:val="zh-CN"/>
        </w:rPr>
        <w:t>在符合性审查时，如发现下列情形之一的，投标文件将被视为无效投标：</w:t>
      </w:r>
    </w:p>
    <w:p>
      <w:pPr>
        <w:snapToGrid w:val="0"/>
        <w:spacing w:line="360" w:lineRule="auto"/>
        <w:rPr>
          <w:rFonts w:hint="eastAsia" w:ascii="宋体" w:hAnsi="宋体" w:eastAsia="宋体" w:cs="宋体"/>
          <w:sz w:val="24"/>
        </w:rPr>
      </w:pPr>
      <w:r>
        <w:rPr>
          <w:rFonts w:hint="eastAsia" w:ascii="宋体" w:hAnsi="宋体" w:eastAsia="宋体" w:cs="宋体"/>
          <w:sz w:val="24"/>
        </w:rPr>
        <w:t>（1）投标有效期不足的；</w:t>
      </w:r>
    </w:p>
    <w:p>
      <w:pPr>
        <w:snapToGrid w:val="0"/>
        <w:spacing w:line="360" w:lineRule="auto"/>
        <w:rPr>
          <w:rFonts w:hint="eastAsia" w:ascii="宋体" w:hAnsi="宋体" w:eastAsia="宋体" w:cs="宋体"/>
          <w:sz w:val="24"/>
        </w:rPr>
      </w:pPr>
      <w:r>
        <w:rPr>
          <w:rFonts w:hint="eastAsia" w:ascii="宋体" w:hAnsi="宋体" w:eastAsia="宋体" w:cs="宋体"/>
          <w:sz w:val="24"/>
        </w:rPr>
        <w:t>（2）电子投标文件解密失败且未在规定时间内提交备份投标文件的；或仅提交备份投标文件的；</w:t>
      </w:r>
    </w:p>
    <w:p>
      <w:pPr>
        <w:snapToGrid w:val="0"/>
        <w:spacing w:line="360" w:lineRule="auto"/>
        <w:rPr>
          <w:rFonts w:hint="eastAsia" w:ascii="宋体" w:hAnsi="宋体" w:eastAsia="宋体" w:cs="宋体"/>
          <w:sz w:val="24"/>
        </w:rPr>
      </w:pPr>
      <w:r>
        <w:rPr>
          <w:rFonts w:hint="eastAsia" w:ascii="宋体" w:hAnsi="宋体" w:eastAsia="宋体" w:cs="宋体"/>
          <w:sz w:val="24"/>
        </w:rPr>
        <w:t>（3）供应商被列入失信被执行人、重大税收违法案件当事人名单、政府采购严重违法失信行为记录名单的；</w:t>
      </w:r>
    </w:p>
    <w:p>
      <w:pPr>
        <w:snapToGrid w:val="0"/>
        <w:spacing w:line="360" w:lineRule="auto"/>
        <w:rPr>
          <w:rFonts w:hint="eastAsia" w:ascii="宋体" w:hAnsi="宋体" w:eastAsia="宋体" w:cs="宋体"/>
          <w:sz w:val="24"/>
        </w:rPr>
      </w:pPr>
      <w:r>
        <w:rPr>
          <w:rFonts w:hint="eastAsia" w:ascii="宋体" w:hAnsi="宋体" w:eastAsia="宋体" w:cs="宋体"/>
          <w:sz w:val="24"/>
        </w:rPr>
        <w:t>（4）投标文件未按招标文件要求</w:t>
      </w:r>
      <w:r>
        <w:rPr>
          <w:rFonts w:hint="eastAsia" w:ascii="宋体" w:hAnsi="宋体" w:eastAsia="宋体" w:cs="宋体"/>
          <w:sz w:val="24"/>
          <w:lang w:eastAsia="zh-CN"/>
        </w:rPr>
        <w:t>编制、</w:t>
      </w:r>
      <w:r>
        <w:rPr>
          <w:rFonts w:hint="eastAsia" w:ascii="宋体" w:hAnsi="宋体" w:eastAsia="宋体" w:cs="宋体"/>
          <w:sz w:val="24"/>
        </w:rPr>
        <w:t>签署、盖章的；</w:t>
      </w:r>
    </w:p>
    <w:p>
      <w:pPr>
        <w:snapToGrid w:val="0"/>
        <w:spacing w:line="360" w:lineRule="auto"/>
        <w:rPr>
          <w:rFonts w:hint="eastAsia" w:ascii="宋体" w:hAnsi="宋体" w:eastAsia="宋体" w:cs="宋体"/>
          <w:sz w:val="24"/>
        </w:rPr>
      </w:pPr>
      <w:r>
        <w:rPr>
          <w:rFonts w:hint="eastAsia" w:ascii="宋体" w:hAnsi="宋体" w:eastAsia="宋体" w:cs="宋体"/>
          <w:sz w:val="24"/>
        </w:rPr>
        <w:t>（5）与招标文件有重大偏离、未满足带“</w:t>
      </w:r>
      <w:r>
        <w:rPr>
          <w:rFonts w:hint="eastAsia" w:ascii="宋体" w:hAnsi="宋体" w:eastAsia="宋体" w:cs="宋体"/>
          <w:sz w:val="24"/>
          <w:lang w:eastAsia="zh-CN"/>
        </w:rPr>
        <w:t>★</w:t>
      </w:r>
      <w:r>
        <w:rPr>
          <w:rFonts w:hint="eastAsia" w:ascii="宋体" w:hAnsi="宋体" w:eastAsia="宋体" w:cs="宋体"/>
          <w:sz w:val="24"/>
        </w:rPr>
        <w:t>”号实质性指标的投标文件；</w:t>
      </w:r>
    </w:p>
    <w:p>
      <w:pPr>
        <w:snapToGrid w:val="0"/>
        <w:spacing w:line="360" w:lineRule="auto"/>
        <w:rPr>
          <w:rFonts w:hint="eastAsia" w:ascii="宋体" w:hAnsi="宋体" w:eastAsia="宋体" w:cs="宋体"/>
          <w:sz w:val="24"/>
        </w:rPr>
      </w:pPr>
      <w:r>
        <w:rPr>
          <w:rFonts w:hint="eastAsia" w:ascii="宋体" w:hAnsi="宋体" w:eastAsia="宋体" w:cs="宋体"/>
          <w:sz w:val="24"/>
        </w:rPr>
        <w:t>（6）对一个标项提供两个投标方案的；</w:t>
      </w:r>
    </w:p>
    <w:p>
      <w:pPr>
        <w:snapToGrid w:val="0"/>
        <w:spacing w:line="360" w:lineRule="auto"/>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sz w:val="24"/>
          <w:lang w:eastAsia="zh-CN"/>
        </w:rPr>
        <w:t>资格文件、</w:t>
      </w:r>
      <w:r>
        <w:rPr>
          <w:rFonts w:hint="eastAsia" w:ascii="宋体" w:hAnsi="宋体" w:eastAsia="宋体" w:cs="宋体"/>
          <w:sz w:val="24"/>
        </w:rPr>
        <w:t>商务</w:t>
      </w:r>
      <w:r>
        <w:rPr>
          <w:rFonts w:hint="eastAsia" w:ascii="宋体" w:hAnsi="宋体" w:eastAsia="宋体" w:cs="宋体"/>
          <w:sz w:val="24"/>
          <w:lang w:eastAsia="zh-CN"/>
        </w:rPr>
        <w:t>技术文件</w:t>
      </w:r>
      <w:r>
        <w:rPr>
          <w:rFonts w:hint="eastAsia" w:ascii="宋体" w:hAnsi="宋体" w:eastAsia="宋体" w:cs="宋体"/>
          <w:sz w:val="24"/>
        </w:rPr>
        <w:t>中出现投标价格信息的；</w:t>
      </w:r>
    </w:p>
    <w:p>
      <w:pPr>
        <w:snapToGrid w:val="0"/>
        <w:spacing w:line="360" w:lineRule="auto"/>
        <w:rPr>
          <w:rFonts w:hint="eastAsia" w:ascii="宋体" w:hAnsi="宋体" w:eastAsia="宋体" w:cs="宋体"/>
          <w:sz w:val="24"/>
        </w:rPr>
      </w:pPr>
      <w:r>
        <w:rPr>
          <w:rFonts w:hint="eastAsia" w:ascii="宋体" w:hAnsi="宋体" w:eastAsia="宋体" w:cs="宋体"/>
          <w:sz w:val="24"/>
        </w:rPr>
        <w:t>（8）供应商被视为串通投标的；</w:t>
      </w:r>
    </w:p>
    <w:p>
      <w:pPr>
        <w:snapToGrid w:val="0"/>
        <w:spacing w:line="360" w:lineRule="auto"/>
        <w:rPr>
          <w:rFonts w:hint="eastAsia" w:ascii="宋体" w:hAnsi="宋体" w:eastAsia="宋体" w:cs="宋体"/>
          <w:sz w:val="24"/>
        </w:rPr>
      </w:pPr>
      <w:r>
        <w:rPr>
          <w:rFonts w:hint="eastAsia" w:ascii="宋体" w:hAnsi="宋体" w:eastAsia="宋体" w:cs="宋体"/>
          <w:sz w:val="24"/>
        </w:rPr>
        <w:t>（9）投标文件含有采购人不能接受的附加条件的；</w:t>
      </w:r>
    </w:p>
    <w:p>
      <w:pPr>
        <w:snapToGrid w:val="0"/>
        <w:spacing w:line="360" w:lineRule="auto"/>
        <w:rPr>
          <w:rFonts w:hint="eastAsia" w:ascii="宋体" w:hAnsi="宋体" w:eastAsia="宋体" w:cs="宋体"/>
          <w:sz w:val="24"/>
        </w:rPr>
      </w:pPr>
      <w:r>
        <w:rPr>
          <w:rFonts w:hint="eastAsia" w:ascii="宋体" w:hAnsi="宋体" w:eastAsia="宋体" w:cs="宋体"/>
          <w:sz w:val="24"/>
        </w:rPr>
        <w:t>（10）不符合法律、法规和本招标文件规定的其他实质性要求的。</w:t>
      </w:r>
    </w:p>
    <w:p>
      <w:pPr>
        <w:snapToGrid w:val="0"/>
        <w:spacing w:line="360" w:lineRule="auto"/>
        <w:rPr>
          <w:rFonts w:hint="eastAsia" w:ascii="宋体" w:hAnsi="宋体" w:eastAsia="宋体" w:cs="宋体"/>
          <w:sz w:val="24"/>
        </w:rPr>
      </w:pPr>
      <w:r>
        <w:rPr>
          <w:rFonts w:hint="eastAsia" w:ascii="宋体" w:hAnsi="宋体" w:eastAsia="宋体" w:cs="宋体"/>
          <w:sz w:val="24"/>
          <w:lang w:val="zh-CN"/>
        </w:rPr>
        <w:t>2、</w:t>
      </w:r>
      <w:r>
        <w:rPr>
          <w:rFonts w:hint="eastAsia" w:ascii="宋体" w:hAnsi="宋体" w:eastAsia="宋体" w:cs="宋体"/>
          <w:sz w:val="24"/>
        </w:rPr>
        <w:t>在技术评议时，如发现下列情形之一的，投标文件将被视为无效投标：</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（1）未提供或未如实提供投标货物的技术参数，或者投标文件标明的响应或偏离与事实不符或虚假投标的；</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（2）明显不符合招标文件要求的规格型号、质量标准，或者与招标文件中标“</w:t>
      </w:r>
      <w:r>
        <w:rPr>
          <w:rFonts w:hint="eastAsia" w:ascii="宋体" w:hAnsi="宋体" w:eastAsia="宋体" w:cs="宋体"/>
          <w:sz w:val="24"/>
          <w:lang w:val="zh-CN" w:eastAsia="zh-CN"/>
        </w:rPr>
        <w:t>★</w:t>
      </w:r>
      <w:r>
        <w:rPr>
          <w:rFonts w:hint="eastAsia" w:ascii="宋体" w:hAnsi="宋体" w:eastAsia="宋体" w:cs="宋体"/>
          <w:sz w:val="24"/>
          <w:lang w:val="zh-CN"/>
        </w:rPr>
        <w:t>”的技术指标、主要功能项目发生实质性偏离的；</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（3）与其他参加本次投标供应商的投标文件（技术文件）的文字表述内容相同连续20行以上或者差错相同2处以上的；</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（4）投标技术方案不明确，存在一个或一个以上备选（替代）投标方案的；</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3、在报价评议时，如发现下列情形之一的，投标文件将被视为无效投标：</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（1）未采用人民币报价或者未按照招标文件标明的币种报价的；</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（2）投标报价超出招标文件规定的最高限价的；</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（3）开标一览表中的投标报价合计与投标报价明细表的总价不一致的，供应商拒绝修正的；</w:t>
      </w:r>
    </w:p>
    <w:p>
      <w:pPr>
        <w:autoSpaceDE w:val="0"/>
        <w:autoSpaceDN w:val="0"/>
        <w:adjustRightInd w:val="0"/>
        <w:spacing w:line="360" w:lineRule="auto"/>
        <w:ind w:firstLine="241"/>
        <w:rPr>
          <w:rFonts w:hint="eastAsia" w:ascii="宋体" w:hAnsi="宋体" w:eastAsia="宋体" w:cs="宋体"/>
          <w:sz w:val="24"/>
          <w:lang w:val="zh-CN"/>
        </w:rPr>
      </w:pPr>
      <w:r>
        <w:rPr>
          <w:rFonts w:hint="eastAsia" w:ascii="宋体" w:hAnsi="宋体" w:eastAsia="宋体" w:cs="宋体"/>
          <w:sz w:val="24"/>
          <w:lang w:val="zh-CN"/>
        </w:rPr>
        <w:t>（4）投标报价具有选择性，唱标价格与投标文件承诺的优惠/折扣后价格不一致的。</w:t>
      </w:r>
    </w:p>
    <w:p>
      <w:pPr>
        <w:autoSpaceDE w:val="0"/>
        <w:autoSpaceDN w:val="0"/>
        <w:adjustRightInd w:val="0"/>
        <w:spacing w:line="360" w:lineRule="auto"/>
        <w:ind w:firstLine="240" w:firstLineChars="100"/>
        <w:rPr>
          <w:rFonts w:hint="eastAsia" w:ascii="宋体" w:hAnsi="宋体" w:eastAsia="宋体" w:cs="宋体"/>
          <w:sz w:val="24"/>
          <w:lang w:val="zh-CN"/>
        </w:rPr>
      </w:pPr>
      <w:r>
        <w:rPr>
          <w:rFonts w:hint="eastAsia" w:ascii="宋体" w:hAnsi="宋体" w:eastAsia="宋体" w:cs="宋体"/>
          <w:sz w:val="24"/>
          <w:lang w:val="zh-CN"/>
        </w:rPr>
        <w:t>4、符合招标文件明确规定的其他无效投标条款的。</w:t>
      </w:r>
    </w:p>
    <w:p>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四、开标</w:t>
      </w:r>
    </w:p>
    <w:p>
      <w:pPr>
        <w:autoSpaceDE w:val="0"/>
        <w:autoSpaceDN w:val="0"/>
        <w:adjustRightInd w:val="0"/>
        <w:spacing w:line="360" w:lineRule="auto"/>
        <w:ind w:firstLine="354"/>
        <w:rPr>
          <w:rFonts w:hint="eastAsia" w:ascii="宋体" w:hAnsi="宋体" w:eastAsia="宋体" w:cs="宋体"/>
          <w:b/>
          <w:sz w:val="24"/>
        </w:rPr>
      </w:pPr>
      <w:r>
        <w:rPr>
          <w:rFonts w:hint="eastAsia" w:ascii="宋体" w:hAnsi="宋体" w:eastAsia="宋体" w:cs="宋体"/>
          <w:b/>
          <w:sz w:val="24"/>
          <w:lang w:val="zh-CN"/>
        </w:rPr>
        <w:t>（一）开标形式</w:t>
      </w:r>
    </w:p>
    <w:p>
      <w:pPr>
        <w:autoSpaceDE w:val="0"/>
        <w:autoSpaceDN w:val="0"/>
        <w:adjustRightInd w:val="0"/>
        <w:spacing w:line="360" w:lineRule="auto"/>
        <w:ind w:firstLine="354"/>
        <w:rPr>
          <w:rFonts w:hint="eastAsia" w:ascii="宋体" w:hAnsi="宋体" w:eastAsia="宋体" w:cs="宋体"/>
          <w:sz w:val="24"/>
          <w:lang w:val="zh-CN"/>
        </w:rPr>
      </w:pPr>
      <w:r>
        <w:rPr>
          <w:rFonts w:hint="eastAsia" w:ascii="宋体" w:hAnsi="宋体" w:eastAsia="宋体" w:cs="宋体"/>
          <w:sz w:val="24"/>
          <w:lang w:val="zh-CN"/>
        </w:rPr>
        <w:t>采购组织机构将按照招标文件规定的时间通过“乐采云平台”组织开标、开启投标文件，所有供应商均应当准时在线参加。</w:t>
      </w:r>
    </w:p>
    <w:p>
      <w:pPr>
        <w:autoSpaceDE w:val="0"/>
        <w:autoSpaceDN w:val="0"/>
        <w:adjustRightInd w:val="0"/>
        <w:spacing w:line="360" w:lineRule="auto"/>
        <w:ind w:firstLine="472" w:firstLineChars="196"/>
        <w:rPr>
          <w:rFonts w:hint="eastAsia" w:ascii="宋体" w:hAnsi="宋体" w:eastAsia="宋体" w:cs="宋体"/>
          <w:b/>
          <w:sz w:val="24"/>
          <w:lang w:val="zh-CN"/>
        </w:rPr>
      </w:pPr>
      <w:r>
        <w:rPr>
          <w:rFonts w:hint="eastAsia" w:ascii="宋体" w:hAnsi="宋体" w:eastAsia="宋体" w:cs="宋体"/>
          <w:b/>
          <w:sz w:val="24"/>
          <w:lang w:val="zh-CN"/>
        </w:rPr>
        <w:t>（二） 开标准备</w:t>
      </w:r>
    </w:p>
    <w:p>
      <w:pPr>
        <w:autoSpaceDE w:val="0"/>
        <w:autoSpaceDN w:val="0"/>
        <w:adjustRightInd w:val="0"/>
        <w:spacing w:line="360" w:lineRule="auto"/>
        <w:ind w:firstLine="354"/>
        <w:rPr>
          <w:rFonts w:hint="eastAsia" w:ascii="宋体" w:hAnsi="宋体" w:eastAsia="宋体" w:cs="宋体"/>
          <w:sz w:val="24"/>
          <w:lang w:val="zh-CN"/>
        </w:rPr>
      </w:pPr>
      <w:r>
        <w:rPr>
          <w:rFonts w:hint="eastAsia" w:ascii="宋体" w:hAnsi="宋体" w:eastAsia="宋体" w:cs="宋体"/>
          <w:sz w:val="24"/>
        </w:rPr>
        <w:t>1、</w:t>
      </w:r>
      <w:r>
        <w:rPr>
          <w:rFonts w:hint="eastAsia" w:ascii="宋体" w:hAnsi="宋体" w:eastAsia="宋体" w:cs="宋体"/>
          <w:sz w:val="24"/>
          <w:lang w:val="zh-CN"/>
        </w:rPr>
        <w:t>开标的准备工作由采购组织机构负责落实；</w:t>
      </w:r>
    </w:p>
    <w:p>
      <w:pPr>
        <w:autoSpaceDE w:val="0"/>
        <w:autoSpaceDN w:val="0"/>
        <w:adjustRightInd w:val="0"/>
        <w:spacing w:line="360" w:lineRule="auto"/>
        <w:ind w:firstLine="354"/>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采购组织机构将按照招标文件规定的时间通过“乐采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autoSpaceDE w:val="0"/>
        <w:autoSpaceDN w:val="0"/>
        <w:adjustRightInd w:val="0"/>
        <w:spacing w:line="360" w:lineRule="auto"/>
        <w:ind w:firstLine="472" w:firstLineChars="196"/>
        <w:rPr>
          <w:rFonts w:hint="eastAsia" w:ascii="宋体" w:hAnsi="宋体" w:eastAsia="宋体" w:cs="宋体"/>
          <w:b/>
          <w:sz w:val="24"/>
          <w:lang w:val="zh-CN"/>
        </w:rPr>
      </w:pPr>
      <w:r>
        <w:rPr>
          <w:rFonts w:hint="eastAsia" w:ascii="宋体" w:hAnsi="宋体" w:eastAsia="宋体" w:cs="宋体"/>
          <w:b/>
          <w:sz w:val="24"/>
          <w:lang w:val="zh-CN"/>
        </w:rPr>
        <w:t>（三）开标流程</w:t>
      </w:r>
    </w:p>
    <w:p>
      <w:pPr>
        <w:pStyle w:val="20"/>
        <w:widowControl w:val="0"/>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szCs w:val="24"/>
        </w:rPr>
        <w:t>投标截止时间后，</w:t>
      </w:r>
      <w:r>
        <w:rPr>
          <w:rFonts w:hint="eastAsia" w:ascii="宋体" w:hAnsi="宋体" w:eastAsia="宋体" w:cs="宋体"/>
          <w:sz w:val="24"/>
        </w:rPr>
        <w:t>采购组织机构向各投标供应商发出电子加密投标文件【开始解密】通知，由供应商按招标文件规定的时间内自行进行投标文件解密。</w:t>
      </w:r>
      <w:r>
        <w:rPr>
          <w:rFonts w:hint="eastAsia" w:ascii="宋体" w:hAnsi="宋体" w:eastAsia="宋体" w:cs="宋体"/>
          <w:sz w:val="24"/>
          <w:szCs w:val="24"/>
        </w:rPr>
        <w:t>在线解密电子投标文件时间为开标时间起半个小时内。</w:t>
      </w:r>
      <w:r>
        <w:rPr>
          <w:rFonts w:hint="eastAsia" w:ascii="宋体" w:hAnsi="宋体" w:eastAsia="宋体" w:cs="宋体"/>
          <w:sz w:val="24"/>
        </w:rPr>
        <w:t>投标供应商在规定的时间内无法完成已递交的“电子加密投标文件”解密的，如已按规定递交了备份投标文件的，将由采购组织机构按“</w:t>
      </w:r>
      <w:r>
        <w:rPr>
          <w:rFonts w:hint="eastAsia" w:ascii="宋体" w:hAnsi="宋体" w:eastAsia="宋体" w:cs="宋体"/>
          <w:sz w:val="24"/>
          <w:lang w:eastAsia="zh-CN"/>
        </w:rPr>
        <w:t>乐采云平台</w:t>
      </w:r>
      <w:r>
        <w:rPr>
          <w:rFonts w:hint="eastAsia" w:ascii="宋体" w:hAnsi="宋体" w:eastAsia="宋体" w:cs="宋体"/>
          <w:sz w:val="24"/>
        </w:rPr>
        <w:t>”操作规范将备份投标文件上传至“</w:t>
      </w:r>
      <w:r>
        <w:rPr>
          <w:rFonts w:hint="eastAsia" w:ascii="宋体" w:hAnsi="宋体" w:eastAsia="宋体" w:cs="宋体"/>
          <w:sz w:val="24"/>
          <w:lang w:eastAsia="zh-CN"/>
        </w:rPr>
        <w:t>乐采云平台</w:t>
      </w:r>
      <w:r>
        <w:rPr>
          <w:rFonts w:hint="eastAsia" w:ascii="宋体" w:hAnsi="宋体" w:eastAsia="宋体" w:cs="宋体"/>
          <w:sz w:val="24"/>
        </w:rPr>
        <w:t>”，上传成功后，“电子加密投标文件”自动失效；</w:t>
      </w:r>
    </w:p>
    <w:p>
      <w:pPr>
        <w:pStyle w:val="20"/>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2.评标委员会对资格和商务技术响应文件进行评审；</w:t>
      </w:r>
    </w:p>
    <w:p>
      <w:pPr>
        <w:pStyle w:val="20"/>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3.在系统上公开资格和商务技术评审结果；</w:t>
      </w:r>
    </w:p>
    <w:p>
      <w:pPr>
        <w:pStyle w:val="20"/>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4.在系统上公开报价开标情况；</w:t>
      </w:r>
    </w:p>
    <w:p>
      <w:pPr>
        <w:pStyle w:val="20"/>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5.评标委员会对报价情况进行评审；</w:t>
      </w:r>
    </w:p>
    <w:p>
      <w:pPr>
        <w:pStyle w:val="20"/>
        <w:widowControl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6.在系统上公布评审结果。</w:t>
      </w:r>
    </w:p>
    <w:p>
      <w:pPr>
        <w:spacing w:line="360" w:lineRule="auto"/>
        <w:ind w:firstLine="426" w:firstLineChars="177"/>
        <w:jc w:val="left"/>
        <w:rPr>
          <w:rFonts w:hint="eastAsia" w:ascii="宋体" w:hAnsi="宋体" w:eastAsia="宋体" w:cs="宋体"/>
          <w:b/>
          <w:color w:val="000000"/>
          <w:sz w:val="24"/>
        </w:rPr>
      </w:pPr>
      <w:r>
        <w:rPr>
          <w:rFonts w:hint="eastAsia" w:ascii="宋体" w:hAnsi="宋体" w:eastAsia="宋体" w:cs="宋体"/>
          <w:b/>
          <w:color w:val="000000"/>
          <w:sz w:val="24"/>
        </w:rPr>
        <w:t>特别说明：如遇“</w:t>
      </w:r>
      <w:r>
        <w:rPr>
          <w:rFonts w:hint="eastAsia" w:ascii="宋体" w:hAnsi="宋体" w:eastAsia="宋体" w:cs="宋体"/>
          <w:b/>
          <w:color w:val="000000"/>
          <w:sz w:val="24"/>
          <w:lang w:eastAsia="zh-CN"/>
        </w:rPr>
        <w:t>乐采云平台</w:t>
      </w:r>
      <w:r>
        <w:rPr>
          <w:rFonts w:hint="eastAsia" w:ascii="宋体" w:hAnsi="宋体" w:eastAsia="宋体" w:cs="宋体"/>
          <w:b/>
          <w:color w:val="000000"/>
          <w:sz w:val="24"/>
        </w:rPr>
        <w:t>”电子化开标或评审程序调整的，按调整后程序执行。</w:t>
      </w:r>
    </w:p>
    <w:p>
      <w:pPr>
        <w:autoSpaceDE w:val="0"/>
        <w:autoSpaceDN w:val="0"/>
        <w:adjustRightInd w:val="0"/>
        <w:spacing w:line="360" w:lineRule="auto"/>
        <w:ind w:firstLine="472" w:firstLineChars="196"/>
        <w:rPr>
          <w:rFonts w:hint="eastAsia" w:ascii="宋体" w:hAnsi="宋体" w:eastAsia="宋体" w:cs="宋体"/>
          <w:b/>
          <w:sz w:val="24"/>
          <w:lang w:val="zh-CN"/>
        </w:rPr>
      </w:pPr>
      <w:bookmarkStart w:id="18" w:name="_Toc24550037"/>
      <w:bookmarkStart w:id="19" w:name="_Toc33194393"/>
      <w:r>
        <w:rPr>
          <w:rFonts w:hint="eastAsia" w:ascii="宋体" w:hAnsi="宋体" w:eastAsia="宋体" w:cs="宋体"/>
          <w:b/>
          <w:sz w:val="24"/>
          <w:lang w:val="zh-CN"/>
        </w:rPr>
        <w:t>（四）投标供应商资格审查</w:t>
      </w:r>
      <w:bookmarkEnd w:id="18"/>
      <w:bookmarkEnd w:id="19"/>
    </w:p>
    <w:p>
      <w:pPr>
        <w:spacing w:line="360" w:lineRule="auto"/>
        <w:ind w:firstLine="424" w:firstLineChars="177"/>
        <w:rPr>
          <w:rFonts w:hint="eastAsia" w:ascii="宋体" w:hAnsi="宋体" w:eastAsia="宋体" w:cs="宋体"/>
          <w:bCs/>
          <w:color w:val="000000"/>
          <w:sz w:val="24"/>
        </w:rPr>
      </w:pPr>
      <w:r>
        <w:rPr>
          <w:rFonts w:hint="eastAsia" w:ascii="宋体" w:hAnsi="宋体" w:eastAsia="宋体" w:cs="宋体"/>
          <w:bCs/>
          <w:color w:val="000000"/>
          <w:sz w:val="24"/>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360" w:lineRule="auto"/>
        <w:ind w:firstLine="424" w:firstLineChars="177"/>
        <w:rPr>
          <w:rFonts w:hint="eastAsia" w:ascii="宋体" w:hAnsi="宋体" w:eastAsia="宋体" w:cs="宋体"/>
          <w:bCs/>
          <w:color w:val="000000"/>
          <w:sz w:val="24"/>
        </w:rPr>
      </w:pPr>
      <w:r>
        <w:rPr>
          <w:rFonts w:hint="eastAsia" w:ascii="宋体" w:hAnsi="宋体" w:eastAsia="宋体" w:cs="宋体"/>
          <w:bCs/>
          <w:color w:val="000000"/>
          <w:sz w:val="24"/>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spacing w:line="360" w:lineRule="auto"/>
        <w:ind w:firstLine="424" w:firstLineChars="177"/>
        <w:rPr>
          <w:rFonts w:hint="eastAsia" w:ascii="宋体" w:hAnsi="宋体" w:eastAsia="宋体" w:cs="宋体"/>
          <w:bCs/>
          <w:sz w:val="24"/>
          <w:lang w:val="zh-CN"/>
        </w:rPr>
      </w:pPr>
      <w:r>
        <w:rPr>
          <w:rFonts w:hint="eastAsia" w:ascii="宋体" w:hAnsi="宋体" w:eastAsia="宋体" w:cs="宋体"/>
          <w:bCs/>
          <w:color w:val="000000"/>
          <w:sz w:val="24"/>
        </w:rPr>
        <w:t>3、单位负责人为同一人或者存在直接控股、管理关系的不同供应商参加同一合同项下的采购活动的，相关投标供应商均作资格无效处理。</w:t>
      </w:r>
    </w:p>
    <w:p>
      <w:pPr>
        <w:autoSpaceDE w:val="0"/>
        <w:autoSpaceDN w:val="0"/>
        <w:adjustRightInd w:val="0"/>
        <w:spacing w:line="360" w:lineRule="auto"/>
        <w:ind w:firstLine="354"/>
        <w:rPr>
          <w:rFonts w:hint="eastAsia" w:ascii="宋体" w:hAnsi="宋体" w:eastAsia="宋体" w:cs="宋体"/>
          <w:b/>
          <w:sz w:val="24"/>
          <w:lang w:val="zh-CN"/>
        </w:rPr>
      </w:pPr>
      <w:r>
        <w:rPr>
          <w:rFonts w:hint="eastAsia" w:ascii="宋体" w:hAnsi="宋体" w:eastAsia="宋体" w:cs="宋体"/>
          <w:b/>
          <w:sz w:val="24"/>
          <w:lang w:val="zh-CN"/>
        </w:rPr>
        <w:t>五、评标</w:t>
      </w:r>
    </w:p>
    <w:p>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（一）组建评标委员会</w:t>
      </w:r>
    </w:p>
    <w:p>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评标委员会由采购人或采购代理机构依法组建，成员包括采购人代表和评审专家，成员人数为五人或以上单数，其中评审专家不少于成员总数的三分之二。</w:t>
      </w:r>
    </w:p>
    <w:p>
      <w:pPr>
        <w:autoSpaceDE w:val="0"/>
        <w:autoSpaceDN w:val="0"/>
        <w:adjustRightInd w:val="0"/>
        <w:spacing w:line="360" w:lineRule="auto"/>
        <w:ind w:firstLine="482"/>
        <w:rPr>
          <w:rFonts w:hint="eastAsia" w:ascii="宋体" w:hAnsi="宋体" w:eastAsia="宋体" w:cs="宋体"/>
          <w:b/>
          <w:sz w:val="24"/>
          <w:lang w:val="zh-CN"/>
        </w:rPr>
      </w:pPr>
    </w:p>
    <w:p>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（二）评标的方式</w:t>
      </w:r>
    </w:p>
    <w:p>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本项目采用不公开方式评标，评标的依据为招标文件和投标文件。</w:t>
      </w:r>
    </w:p>
    <w:p>
      <w:pPr>
        <w:autoSpaceDE w:val="0"/>
        <w:autoSpaceDN w:val="0"/>
        <w:adjustRightInd w:val="0"/>
        <w:spacing w:line="360" w:lineRule="auto"/>
        <w:ind w:firstLine="482"/>
        <w:rPr>
          <w:rFonts w:hint="eastAsia" w:ascii="宋体" w:hAnsi="宋体" w:eastAsia="宋体" w:cs="宋体"/>
          <w:b/>
          <w:sz w:val="24"/>
          <w:lang w:val="zh-CN"/>
        </w:rPr>
      </w:pPr>
      <w:r>
        <w:rPr>
          <w:rFonts w:hint="eastAsia" w:ascii="宋体" w:hAnsi="宋体" w:eastAsia="宋体" w:cs="宋体"/>
          <w:b/>
          <w:sz w:val="24"/>
          <w:lang w:val="zh-CN"/>
        </w:rPr>
        <w:t>（三） 评标程序</w:t>
      </w:r>
    </w:p>
    <w:p>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1.资格审查</w:t>
      </w:r>
    </w:p>
    <w:p>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采购人或采购代理机构依据法律法规和招标文件的规定，对供应商的基本资格条件、特定资格条件进行审查。供应商未按照招标文件要求提供与基本资格条件、特定资格条件相应的有效资格证明材料的或资格证明文件不全的，视为供应商不具备招标文件中规定的资格要求，其投标无效。</w:t>
      </w:r>
    </w:p>
    <w:p>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评标委员会对供应商的投标文件的完整性、合法性等进行审查。</w:t>
      </w:r>
    </w:p>
    <w:p>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2.实质审查与比较</w:t>
      </w:r>
    </w:p>
    <w:p>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（1）评标委员会审查投标文件的实质性内容是否符合招标文件的实质性要求。</w:t>
      </w:r>
    </w:p>
    <w:p>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（2）评标委员会将根据供应商的投标文件进行审查、核对,如有疑问,将对供应商进行询标,供应商要向评标委员会澄清有关问题,并最终以书面形式进行答复。</w:t>
      </w:r>
    </w:p>
    <w:p>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（3）各供应商的</w:t>
      </w:r>
      <w:r>
        <w:rPr>
          <w:rFonts w:hint="eastAsia" w:ascii="宋体" w:hAnsi="宋体" w:eastAsia="宋体" w:cs="宋体"/>
          <w:sz w:val="24"/>
        </w:rPr>
        <w:t>商务技术得分</w:t>
      </w:r>
      <w:r>
        <w:rPr>
          <w:rFonts w:hint="eastAsia" w:ascii="宋体" w:hAnsi="宋体" w:eastAsia="宋体" w:cs="宋体"/>
          <w:sz w:val="24"/>
          <w:lang w:val="zh-CN"/>
        </w:rPr>
        <w:t>按照评标委员会成员的独立评分结果汇总数后的算术平均分计算。</w:t>
      </w:r>
    </w:p>
    <w:p>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（4）评标委员会根据供应商的商务报价,计算各供应商的价格分。</w:t>
      </w:r>
    </w:p>
    <w:p>
      <w:pPr>
        <w:autoSpaceDE w:val="0"/>
        <w:autoSpaceDN w:val="0"/>
        <w:adjustRightInd w:val="0"/>
        <w:spacing w:line="360" w:lineRule="auto"/>
        <w:ind w:firstLine="360"/>
        <w:rPr>
          <w:rFonts w:hint="eastAsia" w:ascii="宋体" w:hAnsi="宋体" w:eastAsia="宋体" w:cs="宋体"/>
          <w:sz w:val="24"/>
          <w:lang w:val="zh-CN"/>
        </w:rPr>
      </w:pPr>
      <w:r>
        <w:rPr>
          <w:rFonts w:hint="eastAsia" w:ascii="宋体" w:hAnsi="宋体" w:eastAsia="宋体" w:cs="宋体"/>
          <w:sz w:val="24"/>
          <w:lang w:val="zh-CN"/>
        </w:rPr>
        <w:t>（5）评标委员会完成评标后,评委对各部分得分汇总,得出本项目最终得分,评标委员会按评标原则推荐中标候选人同时起草评标报告。</w:t>
      </w:r>
    </w:p>
    <w:p>
      <w:pPr>
        <w:autoSpaceDE w:val="0"/>
        <w:autoSpaceDN w:val="0"/>
        <w:adjustRightInd w:val="0"/>
        <w:spacing w:line="360" w:lineRule="auto"/>
        <w:ind w:firstLine="360"/>
        <w:rPr>
          <w:rFonts w:hint="eastAsia" w:ascii="宋体" w:hAnsi="宋体" w:eastAsia="宋体" w:cs="宋体"/>
          <w:b/>
          <w:sz w:val="24"/>
          <w:lang w:val="zh-CN"/>
        </w:rPr>
      </w:pPr>
      <w:r>
        <w:rPr>
          <w:rFonts w:hint="eastAsia" w:ascii="宋体" w:hAnsi="宋体" w:eastAsia="宋体" w:cs="宋体"/>
          <w:b/>
          <w:bCs/>
          <w:sz w:val="24"/>
          <w:lang w:val="zh-CN"/>
        </w:rPr>
        <w:t>（四）</w:t>
      </w:r>
      <w:r>
        <w:rPr>
          <w:rFonts w:hint="eastAsia" w:ascii="宋体" w:hAnsi="宋体" w:eastAsia="宋体" w:cs="宋体"/>
          <w:b/>
          <w:sz w:val="24"/>
          <w:lang w:val="zh-CN"/>
        </w:rPr>
        <w:t>澄清问题的形式</w:t>
      </w:r>
    </w:p>
    <w:p>
      <w:pPr>
        <w:autoSpaceDE w:val="0"/>
        <w:autoSpaceDN w:val="0"/>
        <w:adjustRightIn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对投标文件中含义不明确、同类问题表述不一致或者有明显文字和计算错误的内容，评标委员会可要求供应商作出必要的澄清、说明或者纠正。供应商的澄清、说明或者补正应当采用书面形式，由其法人代表或其委托代理人签字或盖章确认，并不得超出投标文件的范围或者改变投标文件的实质性内容。</w:t>
      </w:r>
    </w:p>
    <w:p>
      <w:pPr>
        <w:autoSpaceDE w:val="0"/>
        <w:autoSpaceDN w:val="0"/>
        <w:adjustRightInd w:val="0"/>
        <w:spacing w:line="360" w:lineRule="auto"/>
        <w:ind w:firstLine="480"/>
        <w:rPr>
          <w:rFonts w:hint="eastAsia" w:ascii="宋体" w:hAnsi="宋体" w:eastAsia="宋体" w:cs="宋体"/>
          <w:b/>
          <w:sz w:val="24"/>
          <w:lang w:val="zh-CN"/>
        </w:rPr>
      </w:pPr>
      <w:r>
        <w:rPr>
          <w:rFonts w:hint="eastAsia" w:ascii="宋体" w:hAnsi="宋体" w:eastAsia="宋体" w:cs="宋体"/>
          <w:b/>
          <w:bCs/>
          <w:sz w:val="24"/>
          <w:lang w:val="zh-CN"/>
        </w:rPr>
        <w:t>（五）</w:t>
      </w:r>
      <w:r>
        <w:rPr>
          <w:rFonts w:hint="eastAsia" w:ascii="宋体" w:hAnsi="宋体" w:eastAsia="宋体" w:cs="宋体"/>
          <w:b/>
          <w:sz w:val="24"/>
          <w:lang w:val="zh-CN"/>
        </w:rPr>
        <w:t>错误修正</w:t>
      </w:r>
    </w:p>
    <w:p>
      <w:pPr>
        <w:pStyle w:val="20"/>
        <w:snapToGrid w:val="0"/>
        <w:spacing w:line="360" w:lineRule="auto"/>
        <w:ind w:firstLine="434" w:firstLineChars="181"/>
        <w:rPr>
          <w:rFonts w:hint="eastAsia" w:ascii="宋体" w:hAnsi="宋体" w:eastAsia="宋体" w:cs="宋体"/>
          <w:bCs/>
          <w:color w:val="000000"/>
          <w:sz w:val="24"/>
          <w:lang w:val="zh-CN"/>
        </w:rPr>
      </w:pPr>
      <w:r>
        <w:rPr>
          <w:rFonts w:hint="eastAsia" w:ascii="宋体" w:hAnsi="宋体" w:eastAsia="宋体" w:cs="宋体"/>
          <w:bCs/>
          <w:color w:val="000000"/>
          <w:sz w:val="24"/>
          <w:lang w:val="zh-CN"/>
        </w:rPr>
        <w:t>投标文件如果出现计算或表达上的错误，修正错误的原则如下：</w:t>
      </w:r>
    </w:p>
    <w:p>
      <w:pPr>
        <w:pStyle w:val="20"/>
        <w:snapToGrid w:val="0"/>
        <w:spacing w:line="360" w:lineRule="auto"/>
        <w:ind w:firstLine="434" w:firstLineChars="181"/>
        <w:rPr>
          <w:rFonts w:hint="eastAsia" w:ascii="宋体" w:hAnsi="宋体" w:eastAsia="宋体" w:cs="宋体"/>
          <w:bCs/>
          <w:color w:val="000000"/>
          <w:sz w:val="24"/>
          <w:lang w:val="zh-CN"/>
        </w:rPr>
      </w:pPr>
      <w:r>
        <w:rPr>
          <w:rFonts w:hint="eastAsia" w:ascii="宋体" w:hAnsi="宋体" w:eastAsia="宋体" w:cs="宋体"/>
          <w:bCs/>
          <w:color w:val="000000"/>
          <w:sz w:val="24"/>
          <w:lang w:val="zh-CN"/>
        </w:rPr>
        <w:t>1.</w:t>
      </w:r>
      <w:r>
        <w:rPr>
          <w:rFonts w:hint="eastAsia" w:ascii="宋体" w:hAnsi="宋体" w:eastAsia="宋体" w:cs="宋体"/>
          <w:bCs/>
          <w:color w:val="000000"/>
          <w:sz w:val="24"/>
        </w:rPr>
        <w:t>投标文件中开标一览表（报价表）内容与投标文件中相应内容不一致的，以开标一览表（报价表）为准；</w:t>
      </w:r>
    </w:p>
    <w:p>
      <w:pPr>
        <w:pStyle w:val="20"/>
        <w:snapToGrid w:val="0"/>
        <w:spacing w:line="360" w:lineRule="auto"/>
        <w:ind w:firstLine="434" w:firstLineChars="181"/>
        <w:rPr>
          <w:rFonts w:hint="eastAsia" w:ascii="宋体" w:hAnsi="宋体" w:eastAsia="宋体" w:cs="宋体"/>
          <w:bCs/>
          <w:color w:val="000000"/>
          <w:sz w:val="24"/>
          <w:lang w:val="zh-CN"/>
        </w:rPr>
      </w:pPr>
      <w:r>
        <w:rPr>
          <w:rFonts w:hint="eastAsia" w:ascii="宋体" w:hAnsi="宋体" w:eastAsia="宋体" w:cs="宋体"/>
          <w:bCs/>
          <w:color w:val="000000"/>
          <w:sz w:val="24"/>
          <w:lang w:val="zh-CN"/>
        </w:rPr>
        <w:t>2.</w:t>
      </w:r>
      <w:r>
        <w:rPr>
          <w:rFonts w:hint="eastAsia" w:ascii="宋体" w:hAnsi="宋体" w:eastAsia="宋体" w:cs="宋体"/>
          <w:bCs/>
          <w:color w:val="000000"/>
          <w:sz w:val="24"/>
        </w:rPr>
        <w:t>大写金额和小写金额不一致的，以大写金额为准；</w:t>
      </w:r>
    </w:p>
    <w:p>
      <w:pPr>
        <w:pStyle w:val="20"/>
        <w:snapToGrid w:val="0"/>
        <w:spacing w:line="360" w:lineRule="auto"/>
        <w:ind w:firstLine="434" w:firstLineChars="181"/>
        <w:rPr>
          <w:rFonts w:hint="eastAsia" w:ascii="宋体" w:hAnsi="宋体" w:eastAsia="宋体" w:cs="宋体"/>
          <w:bCs/>
          <w:color w:val="000000"/>
          <w:sz w:val="24"/>
          <w:lang w:val="zh-CN"/>
        </w:rPr>
      </w:pPr>
      <w:r>
        <w:rPr>
          <w:rFonts w:hint="eastAsia" w:ascii="宋体" w:hAnsi="宋体" w:eastAsia="宋体" w:cs="宋体"/>
          <w:bCs/>
          <w:color w:val="000000"/>
          <w:sz w:val="24"/>
          <w:lang w:val="zh-CN"/>
        </w:rPr>
        <w:t>3.</w:t>
      </w:r>
      <w:r>
        <w:rPr>
          <w:rFonts w:hint="eastAsia" w:ascii="宋体" w:hAnsi="宋体" w:eastAsia="宋体" w:cs="宋体"/>
          <w:bCs/>
          <w:color w:val="000000"/>
          <w:sz w:val="24"/>
        </w:rPr>
        <w:t xml:space="preserve">单价金额小数点或者百分比有明显错位的，以开标一览表的总价为准，并修改单价； </w:t>
      </w:r>
    </w:p>
    <w:p>
      <w:pPr>
        <w:pStyle w:val="20"/>
        <w:snapToGrid w:val="0"/>
        <w:spacing w:line="360" w:lineRule="auto"/>
        <w:ind w:firstLine="434" w:firstLineChars="181"/>
        <w:rPr>
          <w:rFonts w:hint="eastAsia" w:ascii="宋体" w:hAnsi="宋体" w:eastAsia="宋体" w:cs="宋体"/>
          <w:bCs/>
          <w:color w:val="000000"/>
          <w:sz w:val="24"/>
        </w:rPr>
      </w:pPr>
      <w:r>
        <w:rPr>
          <w:rFonts w:hint="eastAsia" w:ascii="宋体" w:hAnsi="宋体" w:eastAsia="宋体" w:cs="宋体"/>
          <w:bCs/>
          <w:color w:val="000000"/>
          <w:sz w:val="24"/>
          <w:lang w:val="zh-CN"/>
        </w:rPr>
        <w:t>4.</w:t>
      </w:r>
      <w:r>
        <w:rPr>
          <w:rFonts w:hint="eastAsia" w:ascii="宋体" w:hAnsi="宋体" w:eastAsia="宋体" w:cs="宋体"/>
          <w:bCs/>
          <w:color w:val="000000"/>
          <w:sz w:val="24"/>
        </w:rPr>
        <w:t>总价金额与按单价汇总金额不一致的，以单价金额计算结果为准。</w:t>
      </w:r>
    </w:p>
    <w:p>
      <w:pPr>
        <w:tabs>
          <w:tab w:val="left" w:pos="630"/>
        </w:tabs>
        <w:autoSpaceDE w:val="0"/>
        <w:autoSpaceDN w:val="0"/>
        <w:adjustRightInd w:val="0"/>
        <w:spacing w:line="360" w:lineRule="auto"/>
        <w:ind w:firstLine="318"/>
        <w:rPr>
          <w:rFonts w:hint="eastAsia" w:ascii="宋体" w:hAnsi="宋体" w:eastAsia="宋体" w:cs="宋体"/>
          <w:b/>
          <w:sz w:val="24"/>
          <w:lang w:val="zh-CN"/>
        </w:rPr>
      </w:pPr>
      <w:r>
        <w:rPr>
          <w:rFonts w:hint="eastAsia" w:ascii="宋体" w:hAnsi="宋体" w:eastAsia="宋体" w:cs="宋体"/>
          <w:b/>
          <w:sz w:val="24"/>
          <w:lang w:val="zh-CN"/>
        </w:rPr>
        <w:t>（六）评标原则和评标办法</w:t>
      </w:r>
    </w:p>
    <w:p>
      <w:pPr>
        <w:autoSpaceDE w:val="0"/>
        <w:autoSpaceDN w:val="0"/>
        <w:adjustRightInd w:val="0"/>
        <w:spacing w:line="360" w:lineRule="auto"/>
        <w:ind w:firstLine="437"/>
        <w:rPr>
          <w:rFonts w:hint="eastAsia" w:ascii="宋体" w:hAnsi="宋体" w:eastAsia="宋体" w:cs="宋体"/>
          <w:sz w:val="24"/>
          <w:lang w:val="zh-CN"/>
        </w:rPr>
      </w:pPr>
      <w:r>
        <w:rPr>
          <w:rFonts w:hint="eastAsia" w:ascii="宋体" w:hAnsi="宋体" w:eastAsia="宋体" w:cs="宋体"/>
          <w:sz w:val="24"/>
          <w:lang w:val="zh-CN"/>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autoSpaceDE w:val="0"/>
        <w:autoSpaceDN w:val="0"/>
        <w:adjustRightInd w:val="0"/>
        <w:spacing w:line="360" w:lineRule="auto"/>
        <w:ind w:firstLine="437"/>
        <w:rPr>
          <w:rFonts w:hint="eastAsia" w:ascii="宋体" w:hAnsi="宋体" w:eastAsia="宋体" w:cs="宋体"/>
          <w:sz w:val="24"/>
          <w:lang w:val="zh-CN"/>
        </w:rPr>
      </w:pPr>
      <w:r>
        <w:rPr>
          <w:rFonts w:hint="eastAsia" w:ascii="宋体" w:hAnsi="宋体" w:eastAsia="宋体" w:cs="宋体"/>
          <w:sz w:val="24"/>
          <w:lang w:val="zh-CN"/>
        </w:rPr>
        <w:t>2.评标办法。根据采购项目的实际情况采用综合评分法。本项目的具体评标办法详见《第四章：评标办法及评分标准》。</w:t>
      </w:r>
    </w:p>
    <w:p>
      <w:pPr>
        <w:autoSpaceDE w:val="0"/>
        <w:autoSpaceDN w:val="0"/>
        <w:adjustRightInd w:val="0"/>
        <w:spacing w:line="360" w:lineRule="auto"/>
        <w:ind w:firstLine="352"/>
        <w:rPr>
          <w:rFonts w:hint="eastAsia" w:ascii="宋体" w:hAnsi="宋体" w:eastAsia="宋体" w:cs="宋体"/>
          <w:b/>
          <w:sz w:val="24"/>
          <w:lang w:val="zh-CN"/>
        </w:rPr>
      </w:pPr>
      <w:r>
        <w:rPr>
          <w:rFonts w:hint="eastAsia" w:ascii="宋体" w:hAnsi="宋体" w:eastAsia="宋体" w:cs="宋体"/>
          <w:b/>
          <w:sz w:val="24"/>
          <w:lang w:val="zh-CN"/>
        </w:rPr>
        <w:t>（七）评标过程的监控</w:t>
      </w:r>
    </w:p>
    <w:p>
      <w:pPr>
        <w:autoSpaceDE w:val="0"/>
        <w:autoSpaceDN w:val="0"/>
        <w:adjustRightInd w:val="0"/>
        <w:spacing w:line="360" w:lineRule="auto"/>
        <w:ind w:firstLine="480"/>
        <w:rPr>
          <w:rFonts w:hint="eastAsia" w:ascii="宋体" w:hAnsi="宋体" w:eastAsia="宋体" w:cs="宋体"/>
          <w:b/>
          <w:sz w:val="24"/>
        </w:rPr>
      </w:pPr>
      <w:r>
        <w:rPr>
          <w:rFonts w:hint="eastAsia" w:ascii="宋体" w:hAnsi="宋体" w:eastAsia="宋体" w:cs="宋体"/>
          <w:sz w:val="24"/>
          <w:lang w:val="zh-CN"/>
        </w:rPr>
        <w:t>本项目评标过程实行全程录像监控，供应商在评标过程中所进行的力图影响评标结果的不公正活动，可能导致其投标被拒绝。</w:t>
      </w:r>
      <w:bookmarkStart w:id="20" w:name="_Toc177870555"/>
    </w:p>
    <w:p>
      <w:pPr>
        <w:pStyle w:val="2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六、</w:t>
      </w:r>
      <w:bookmarkEnd w:id="20"/>
      <w:r>
        <w:rPr>
          <w:rFonts w:hint="eastAsia" w:ascii="宋体" w:hAnsi="宋体" w:eastAsia="宋体" w:cs="宋体"/>
          <w:b/>
          <w:sz w:val="24"/>
        </w:rPr>
        <w:t>确定中标人</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rPr>
        <w:t>1.中标公告：采购机构在评标结束后将采购结果确认函交采购人确认，采购结果经采购人确认后，在发布招标公告的网站上进行1个工作日的中标公告。</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2.质疑：供应商认为采购过程、采购结果使自己的合法权益受到损害的，供应商可以提出书面质疑。质疑书须包括以下内容：</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（1）质疑人的名称、地址、邮政编码、联系人、联系电话，以及被质疑人名称及联系方式；</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（2）被质疑采购项目名称、编号及采购内容；</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（3）具体的质疑事项及事实依据；</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（4）认为自己合法权益受到损害或可能受到损害的相关证据材料；</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（5）提出质疑的日期。</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（6）采购过程的质疑期限自各采购程序环节结束之日起计算，7 个工作日内向采购代理机构提出，逾期提出不予受理。</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（7）采购结果的质疑期限自采购结果公告（包括结果公示、结果变更公告等）之日起计算，7个工作日内向采购代理机构提出，逾期提出不予受理。</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（8）质疑书中涉及的相关材料中有外文资料的，应当将与质疑相关的外文资料完整、客观、真实地翻译为中文，并注明翻译人员姓名、工作单位、联系方式等信息。</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（9）质疑书必须署名，由法定代表人签字（或盖章）并加盖单位公章，否则不予受理。</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（10）质疑书以直接提交、传真或邮寄方式提交（一式三份）。</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（11）质疑书以传真形式提交后，同时须向采购代理机构提交质疑书原件，采购代理机构以收到原件之日作为收到质疑日。</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采购代理机构在评审结束之日起2个工作日内将评标报告送交采购人。采购人应当自收到评标报告之日起5个工作日内在评审报告推荐的中标或者成交候选人中按顺序确定中标或者成交供应商。中标候选人并列的，由采购人或者采购人委托评标委员会按照招标文件规定的方式确定中标人；招标文件未规定的，采取随机抽取的方式确定。采购人或者采购代理机构自中标人确定之日起2个工作日内，在招标公告发布的同一网站公告中标结果。</w:t>
      </w:r>
    </w:p>
    <w:p>
      <w:pPr>
        <w:keepNext w:val="0"/>
        <w:keepLines w:val="0"/>
        <w:pageBreakBefore w:val="0"/>
        <w:widowControl/>
        <w:kinsoku/>
        <w:wordWrap/>
        <w:overflowPunct/>
        <w:topLinePunct w:val="0"/>
        <w:autoSpaceDE w:val="0"/>
        <w:autoSpaceDN w:val="0"/>
        <w:bidi w:val="0"/>
        <w:adjustRightInd w:val="0"/>
        <w:spacing w:line="420" w:lineRule="exact"/>
        <w:ind w:firstLine="436"/>
        <w:textAlignment w:val="auto"/>
        <w:rPr>
          <w:rFonts w:hint="eastAsia" w:ascii="宋体" w:hAnsi="宋体" w:eastAsia="宋体" w:cs="宋体"/>
          <w:sz w:val="24"/>
        </w:rPr>
      </w:pPr>
      <w:r>
        <w:rPr>
          <w:rFonts w:hint="eastAsia" w:ascii="宋体" w:hAnsi="宋体" w:eastAsia="宋体" w:cs="宋体"/>
          <w:sz w:val="24"/>
        </w:rPr>
        <w:t>4.在公告成交结果的同时，采购人或者采购代理机构将向中标人发出中标通知书。中标通知书发出后，采购人不得违法改变成交结果，中标人无正当理由不得放弃中标。</w:t>
      </w:r>
    </w:p>
    <w:p>
      <w:pPr>
        <w:keepNext w:val="0"/>
        <w:keepLines w:val="0"/>
        <w:pageBreakBefore w:val="0"/>
        <w:widowControl/>
        <w:kinsoku/>
        <w:wordWrap/>
        <w:overflowPunct/>
        <w:topLinePunct w:val="0"/>
        <w:autoSpaceDE w:val="0"/>
        <w:autoSpaceDN w:val="0"/>
        <w:bidi w:val="0"/>
        <w:adjustRightInd w:val="0"/>
        <w:spacing w:line="420" w:lineRule="exact"/>
        <w:ind w:firstLine="436"/>
        <w:textAlignment w:val="auto"/>
        <w:rPr>
          <w:rFonts w:hint="eastAsia" w:ascii="宋体" w:hAnsi="宋体" w:eastAsia="宋体" w:cs="宋体"/>
          <w:b/>
          <w:sz w:val="24"/>
          <w:lang w:val="zh-CN"/>
        </w:rPr>
      </w:pPr>
      <w:r>
        <w:rPr>
          <w:rFonts w:hint="eastAsia" w:ascii="宋体" w:hAnsi="宋体" w:eastAsia="宋体" w:cs="宋体"/>
          <w:b/>
          <w:sz w:val="24"/>
          <w:lang w:val="zh-CN"/>
        </w:rPr>
        <w:t>七、合同授予</w:t>
      </w:r>
    </w:p>
    <w:p>
      <w:pPr>
        <w:pStyle w:val="20"/>
        <w:keepNext w:val="0"/>
        <w:keepLines w:val="0"/>
        <w:pageBreakBefore w:val="0"/>
        <w:widowControl/>
        <w:kinsoku/>
        <w:wordWrap/>
        <w:overflowPunct/>
        <w:topLinePunct w:val="0"/>
        <w:bidi w:val="0"/>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（一）签订合同</w:t>
      </w:r>
    </w:p>
    <w:p>
      <w:pPr>
        <w:pStyle w:val="20"/>
        <w:keepNext w:val="0"/>
        <w:keepLines w:val="0"/>
        <w:pageBreakBefore w:val="0"/>
        <w:widowControl/>
        <w:kinsoku/>
        <w:wordWrap/>
        <w:overflowPunct/>
        <w:topLinePunct w:val="0"/>
        <w:bidi w:val="0"/>
        <w:snapToGrid w:val="0"/>
        <w:spacing w:line="420" w:lineRule="exact"/>
        <w:ind w:firstLine="556" w:firstLineChars="232"/>
        <w:textAlignment w:val="auto"/>
        <w:rPr>
          <w:rFonts w:hint="eastAsia" w:ascii="宋体" w:hAnsi="宋体" w:eastAsia="宋体" w:cs="宋体"/>
          <w:sz w:val="24"/>
        </w:rPr>
      </w:pPr>
      <w:r>
        <w:rPr>
          <w:rFonts w:hint="eastAsia" w:ascii="宋体" w:hAnsi="宋体" w:eastAsia="宋体" w:cs="宋体"/>
          <w:sz w:val="24"/>
        </w:rPr>
        <w:t>中标人应自接到中标通知书后30日内与招标人</w:t>
      </w:r>
      <w:r>
        <w:rPr>
          <w:rFonts w:hint="eastAsia" w:ascii="宋体" w:hAnsi="宋体" w:eastAsia="宋体" w:cs="宋体"/>
          <w:sz w:val="24"/>
          <w:lang w:eastAsia="zh-CN"/>
        </w:rPr>
        <w:t>签订采购合同</w:t>
      </w:r>
      <w:r>
        <w:rPr>
          <w:rFonts w:hint="eastAsia" w:ascii="宋体" w:hAnsi="宋体" w:eastAsia="宋体" w:cs="宋体"/>
          <w:sz w:val="24"/>
        </w:rPr>
        <w:t>。</w:t>
      </w:r>
    </w:p>
    <w:p>
      <w:pPr>
        <w:snapToGrid w:val="0"/>
        <w:spacing w:line="360" w:lineRule="auto"/>
        <w:jc w:val="center"/>
        <w:rPr>
          <w:rFonts w:hint="eastAsia" w:ascii="宋体" w:hAnsi="宋体" w:eastAsia="宋体" w:cs="宋体"/>
          <w:b/>
          <w:sz w:val="32"/>
          <w:szCs w:val="32"/>
        </w:rPr>
        <w:sectPr>
          <w:pgSz w:w="11906" w:h="16838"/>
          <w:pgMar w:top="1440" w:right="1457" w:bottom="1440" w:left="1457" w:header="851" w:footer="992" w:gutter="0"/>
          <w:pgNumType w:fmt="decimal"/>
          <w:cols w:space="720" w:num="1"/>
          <w:docGrid w:type="lines" w:linePitch="319" w:charSpace="0"/>
        </w:sectPr>
      </w:pPr>
    </w:p>
    <w:p>
      <w:pPr>
        <w:snapToGrid w:val="0"/>
        <w:spacing w:line="360" w:lineRule="auto"/>
        <w:ind w:left="0" w:leftChars="0" w:firstLine="2249" w:firstLineChars="700"/>
        <w:jc w:val="both"/>
        <w:rPr>
          <w:rFonts w:hint="eastAsia" w:ascii="宋体" w:hAnsi="宋体" w:eastAsia="宋体" w:cs="宋体"/>
          <w:b/>
          <w:sz w:val="32"/>
          <w:szCs w:val="32"/>
        </w:rPr>
      </w:pPr>
      <w:r>
        <w:rPr>
          <w:rFonts w:hint="eastAsia" w:ascii="宋体" w:hAnsi="宋体" w:eastAsia="宋体" w:cs="宋体"/>
          <w:b/>
          <w:sz w:val="32"/>
          <w:szCs w:val="32"/>
        </w:rPr>
        <w:t>第四章  评标办法及评分标准</w:t>
      </w:r>
    </w:p>
    <w:p>
      <w:pPr>
        <w:spacing w:after="159" w:afterLines="50" w:line="360" w:lineRule="auto"/>
        <w:rPr>
          <w:rFonts w:hint="eastAsia" w:ascii="宋体" w:hAnsi="宋体" w:eastAsia="宋体" w:cs="宋体"/>
          <w:b/>
          <w:color w:val="000000"/>
          <w:sz w:val="24"/>
        </w:rPr>
      </w:pPr>
      <w:r>
        <w:rPr>
          <w:rFonts w:hint="eastAsia" w:ascii="宋体" w:hAnsi="宋体" w:eastAsia="宋体" w:cs="宋体"/>
          <w:b/>
          <w:sz w:val="24"/>
        </w:rPr>
        <w:t>一、总则</w:t>
      </w:r>
    </w:p>
    <w:p>
      <w:pPr>
        <w:spacing w:after="159" w:afterLines="50" w:line="360" w:lineRule="auto"/>
        <w:ind w:firstLine="480" w:firstLineChars="200"/>
        <w:rPr>
          <w:rFonts w:hint="eastAsia" w:ascii="宋体" w:hAnsi="宋体" w:eastAsia="宋体" w:cs="宋体"/>
          <w:bCs/>
          <w:sz w:val="24"/>
        </w:rPr>
      </w:pPr>
      <w:r>
        <w:rPr>
          <w:rFonts w:hint="eastAsia" w:ascii="宋体" w:hAnsi="宋体" w:eastAsia="宋体" w:cs="宋体"/>
          <w:color w:val="000000"/>
          <w:sz w:val="24"/>
        </w:rPr>
        <w:t>本次评标采用综合评分法。</w:t>
      </w:r>
      <w:r>
        <w:rPr>
          <w:rFonts w:hint="eastAsia" w:ascii="宋体" w:hAnsi="宋体" w:eastAsia="宋体" w:cs="宋体"/>
          <w:sz w:val="24"/>
        </w:rPr>
        <w:t>合格投标人的评标得分为各项目汇总得分，中标候选资格按评标得分由高到低顺序排列，得分相同的，按投标报价由低到高顺序排列；得分且投标报价相同的，按技术分由高到低顺序排列。</w:t>
      </w:r>
      <w:r>
        <w:rPr>
          <w:rFonts w:hint="eastAsia" w:ascii="宋体" w:hAnsi="宋体" w:eastAsia="宋体" w:cs="宋体"/>
          <w:bCs/>
          <w:sz w:val="24"/>
        </w:rPr>
        <w:t>综合得分</w:t>
      </w:r>
      <w:r>
        <w:rPr>
          <w:rFonts w:hint="eastAsia" w:ascii="宋体" w:hAnsi="宋体" w:eastAsia="宋体" w:cs="宋体"/>
          <w:sz w:val="24"/>
        </w:rPr>
        <w:t>排名第一的投标人为第一中标候选人。</w:t>
      </w:r>
      <w:r>
        <w:rPr>
          <w:rFonts w:hint="eastAsia" w:ascii="宋体" w:hAnsi="宋体" w:eastAsia="宋体" w:cs="宋体"/>
          <w:bCs/>
          <w:sz w:val="24"/>
        </w:rPr>
        <w:t>评分过程中采用四舍五入法，并保留小数2位。</w:t>
      </w:r>
    </w:p>
    <w:p>
      <w:pPr>
        <w:spacing w:after="159" w:afterLines="50" w:line="360" w:lineRule="auto"/>
        <w:ind w:firstLine="480" w:firstLineChars="200"/>
        <w:rPr>
          <w:rFonts w:hint="eastAsia" w:ascii="宋体" w:hAnsi="宋体" w:eastAsia="宋体" w:cs="宋体"/>
          <w:bCs/>
          <w:sz w:val="24"/>
        </w:rPr>
      </w:pPr>
      <w:r>
        <w:rPr>
          <w:rFonts w:hint="eastAsia" w:ascii="宋体" w:hAnsi="宋体" w:eastAsia="宋体" w:cs="宋体"/>
          <w:bCs/>
          <w:sz w:val="24"/>
        </w:rPr>
        <w:t>投标人评标综合得分=价格分+</w:t>
      </w:r>
      <w:r>
        <w:rPr>
          <w:rFonts w:hint="eastAsia" w:ascii="宋体" w:hAnsi="宋体" w:eastAsia="宋体" w:cs="宋体"/>
          <w:bCs/>
          <w:sz w:val="24"/>
          <w:lang w:eastAsia="zh-CN"/>
        </w:rPr>
        <w:t>商务技术</w:t>
      </w:r>
      <w:r>
        <w:rPr>
          <w:rFonts w:hint="eastAsia" w:ascii="宋体" w:hAnsi="宋体" w:eastAsia="宋体" w:cs="宋体"/>
          <w:bCs/>
          <w:sz w:val="24"/>
        </w:rPr>
        <w:t>分</w:t>
      </w:r>
    </w:p>
    <w:p>
      <w:pPr>
        <w:numPr>
          <w:ilvl w:val="0"/>
          <w:numId w:val="0"/>
        </w:numPr>
        <w:spacing w:after="159" w:afterLines="50" w:line="360" w:lineRule="auto"/>
        <w:rPr>
          <w:rFonts w:hint="eastAsia" w:ascii="宋体" w:hAnsi="宋体" w:eastAsia="宋体" w:cs="宋体"/>
          <w:b/>
          <w:sz w:val="24"/>
        </w:rPr>
      </w:pPr>
      <w:r>
        <w:rPr>
          <w:rFonts w:hint="eastAsia" w:ascii="宋体" w:hAnsi="宋体" w:eastAsia="宋体" w:cs="宋体"/>
          <w:b/>
          <w:sz w:val="24"/>
          <w:lang w:eastAsia="zh-CN"/>
        </w:rPr>
        <w:t>二、</w:t>
      </w:r>
      <w:r>
        <w:rPr>
          <w:rFonts w:hint="eastAsia" w:ascii="宋体" w:hAnsi="宋体" w:eastAsia="宋体" w:cs="宋体"/>
          <w:b/>
          <w:sz w:val="24"/>
        </w:rPr>
        <w:t>评标内容及标准</w:t>
      </w:r>
    </w:p>
    <w:p>
      <w:pPr>
        <w:spacing w:after="159" w:afterLines="50" w:line="360" w:lineRule="auto"/>
        <w:rPr>
          <w:rFonts w:hint="eastAsia" w:ascii="宋体" w:hAnsi="宋体" w:eastAsia="宋体" w:cs="宋体"/>
          <w:b/>
          <w:sz w:val="24"/>
        </w:rPr>
      </w:pPr>
      <w:r>
        <w:rPr>
          <w:rFonts w:hint="eastAsia" w:ascii="宋体" w:hAnsi="宋体" w:eastAsia="宋体" w:cs="宋体"/>
          <w:b/>
          <w:sz w:val="24"/>
        </w:rPr>
        <w:t>（一）价格分（</w:t>
      </w:r>
      <w:r>
        <w:rPr>
          <w:rFonts w:hint="eastAsia" w:ascii="宋体" w:hAnsi="宋体" w:eastAsia="宋体" w:cs="宋体"/>
          <w:b/>
          <w:sz w:val="24"/>
          <w:lang w:val="en-US" w:eastAsia="zh-CN"/>
        </w:rPr>
        <w:t>30</w:t>
      </w:r>
      <w:r>
        <w:rPr>
          <w:rFonts w:hint="eastAsia" w:ascii="宋体" w:hAnsi="宋体" w:eastAsia="宋体" w:cs="宋体"/>
          <w:b/>
          <w:sz w:val="24"/>
        </w:rPr>
        <w:t>分）</w:t>
      </w:r>
    </w:p>
    <w:p>
      <w:pPr>
        <w:spacing w:after="159" w:afterLines="50" w:line="360" w:lineRule="auto"/>
        <w:ind w:firstLine="480" w:firstLineChars="200"/>
        <w:rPr>
          <w:rFonts w:hint="eastAsia" w:ascii="宋体" w:hAnsi="宋体" w:eastAsia="宋体" w:cs="宋体"/>
          <w:sz w:val="24"/>
        </w:rPr>
      </w:pPr>
      <w:r>
        <w:rPr>
          <w:rFonts w:hint="eastAsia" w:ascii="宋体" w:hAnsi="宋体" w:eastAsia="宋体" w:cs="宋体"/>
          <w:sz w:val="24"/>
        </w:rPr>
        <w:t>1、价格分采用低价优先法计算，即满足招标文件要求且投标价格最低的投标报价为评标基准价，其他投标人的价格分按照下列公式计算：</w:t>
      </w:r>
    </w:p>
    <w:p>
      <w:pPr>
        <w:spacing w:after="159" w:afterLines="50" w:line="360" w:lineRule="auto"/>
        <w:ind w:firstLine="480" w:firstLineChars="200"/>
        <w:rPr>
          <w:rFonts w:hint="eastAsia" w:ascii="宋体" w:hAnsi="宋体" w:eastAsia="宋体" w:cs="宋体"/>
          <w:sz w:val="24"/>
          <w:lang w:val="en-US"/>
        </w:rPr>
      </w:pPr>
      <w:r>
        <w:rPr>
          <w:rFonts w:hint="eastAsia" w:ascii="宋体" w:hAnsi="宋体" w:eastAsia="宋体" w:cs="宋体"/>
          <w:sz w:val="24"/>
        </w:rPr>
        <w:t>价格分=（评标基准价/投标报价）×</w:t>
      </w:r>
      <w:r>
        <w:rPr>
          <w:rFonts w:hint="eastAsia" w:ascii="宋体" w:hAnsi="宋体" w:eastAsia="宋体" w:cs="宋体"/>
          <w:sz w:val="24"/>
          <w:lang w:val="en-US" w:eastAsia="zh-CN"/>
        </w:rPr>
        <w:t>30</w:t>
      </w:r>
    </w:p>
    <w:p>
      <w:pPr>
        <w:spacing w:after="159" w:afterLines="50" w:line="360" w:lineRule="auto"/>
        <w:ind w:firstLine="480" w:firstLineChars="200"/>
        <w:rPr>
          <w:rFonts w:hint="eastAsia" w:ascii="宋体" w:hAnsi="宋体" w:eastAsia="宋体" w:cs="宋体"/>
          <w:color w:val="FF0000"/>
          <w:sz w:val="24"/>
        </w:rPr>
      </w:pPr>
      <w:r>
        <w:rPr>
          <w:rFonts w:hint="eastAsia" w:ascii="宋体" w:hAnsi="宋体" w:eastAsia="宋体" w:cs="宋体"/>
          <w:color w:val="FF0000"/>
          <w:sz w:val="24"/>
        </w:rPr>
        <w:t>2、投标人的投标报价超过设定的上限价的作为无效标处理。</w:t>
      </w:r>
    </w:p>
    <w:p>
      <w:pPr>
        <w:spacing w:after="159" w:afterLines="50" w:line="360" w:lineRule="auto"/>
        <w:ind w:firstLine="723" w:firstLineChars="300"/>
        <w:rPr>
          <w:rFonts w:hint="eastAsia" w:ascii="宋体" w:hAnsi="宋体" w:eastAsia="宋体" w:cs="宋体"/>
          <w:b/>
          <w:bCs/>
          <w:color w:val="FF0000"/>
          <w:sz w:val="24"/>
        </w:rPr>
      </w:pPr>
      <w:r>
        <w:rPr>
          <w:rFonts w:hint="eastAsia" w:ascii="宋体" w:hAnsi="宋体" w:eastAsia="宋体" w:cs="宋体"/>
          <w:b/>
          <w:bCs/>
          <w:color w:val="FF0000"/>
          <w:sz w:val="24"/>
        </w:rPr>
        <w:t>本项目最高限价为：</w:t>
      </w:r>
      <w:r>
        <w:rPr>
          <w:rFonts w:hint="eastAsia" w:ascii="宋体" w:hAnsi="宋体" w:eastAsia="宋体" w:cs="宋体"/>
          <w:b/>
          <w:bCs/>
          <w:color w:val="FF0000"/>
          <w:sz w:val="24"/>
          <w:lang w:val="en-US" w:eastAsia="zh-CN"/>
        </w:rPr>
        <w:t>130</w:t>
      </w:r>
      <w:r>
        <w:rPr>
          <w:rFonts w:hint="eastAsia" w:ascii="宋体" w:hAnsi="宋体" w:eastAsia="宋体" w:cs="宋体"/>
          <w:b/>
          <w:bCs/>
          <w:color w:val="FF0000"/>
          <w:sz w:val="24"/>
          <w:lang w:eastAsia="zh-CN"/>
        </w:rPr>
        <w:t>万元</w:t>
      </w:r>
      <w:r>
        <w:rPr>
          <w:rFonts w:hint="eastAsia" w:ascii="宋体" w:hAnsi="宋体" w:eastAsia="宋体" w:cs="宋体"/>
          <w:b/>
          <w:bCs/>
          <w:color w:val="FF0000"/>
          <w:sz w:val="24"/>
        </w:rPr>
        <w:t>。</w:t>
      </w:r>
    </w:p>
    <w:p>
      <w:pPr>
        <w:spacing w:after="159" w:afterLines="50" w:line="360" w:lineRule="auto"/>
        <w:ind w:firstLine="480" w:firstLineChars="200"/>
        <w:rPr>
          <w:rFonts w:hint="eastAsia" w:ascii="宋体" w:hAnsi="宋体" w:eastAsia="宋体" w:cs="宋体"/>
          <w:sz w:val="24"/>
        </w:rPr>
      </w:pPr>
      <w:r>
        <w:rPr>
          <w:rFonts w:hint="eastAsia" w:ascii="宋体" w:hAnsi="宋体" w:eastAsia="宋体" w:cs="宋体"/>
          <w:sz w:val="24"/>
        </w:rPr>
        <w:t>3、报价是中标的一个重要因素，但最低报价不是中标的唯一依据。</w:t>
      </w:r>
    </w:p>
    <w:p>
      <w:pPr>
        <w:spacing w:after="159" w:afterLines="50" w:line="360" w:lineRule="auto"/>
        <w:ind w:firstLine="480" w:firstLineChars="200"/>
        <w:rPr>
          <w:rFonts w:hint="eastAsia" w:ascii="宋体" w:hAnsi="宋体" w:eastAsia="宋体" w:cs="宋体"/>
          <w:sz w:val="24"/>
        </w:rPr>
      </w:pPr>
      <w:r>
        <w:rPr>
          <w:rFonts w:hint="eastAsia" w:ascii="宋体" w:hAnsi="宋体" w:eastAsia="宋体" w:cs="宋体"/>
          <w:sz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after="159" w:afterLines="50" w:line="360" w:lineRule="auto"/>
        <w:ind w:firstLine="480" w:firstLineChars="200"/>
        <w:rPr>
          <w:rFonts w:hint="eastAsia" w:ascii="宋体" w:hAnsi="宋体" w:eastAsia="宋体" w:cs="宋体"/>
          <w:b/>
          <w:bCs/>
          <w:sz w:val="24"/>
        </w:rPr>
      </w:pPr>
      <w:r>
        <w:rPr>
          <w:rFonts w:hint="eastAsia" w:ascii="宋体" w:hAnsi="宋体" w:eastAsia="宋体" w:cs="宋体"/>
          <w:sz w:val="24"/>
        </w:rPr>
        <w:t>5、评审小组在评审时发现供应商的报价明显高于其市场报价或低于成本价的，应当要求该供应商书面说明并提供相关证明材料。供应商不能合理说明原因并提供证明材料的，评审小组应将该供应商的采购响应文件做无效处理，并在评审报告中说明。采购人或采购代理机构应将上述情况报同级财政部门，对弄虚作假、恶意串通的供应商，应将其列入不良行为记录名单，在1至3年内禁止参加采购活动。</w:t>
      </w:r>
    </w:p>
    <w:p>
      <w:pPr>
        <w:ind w:left="0" w:leftChars="0" w:firstLine="0" w:firstLineChars="0"/>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b/>
          <w:bCs/>
          <w:sz w:val="24"/>
        </w:rPr>
        <w:t>商务技术</w:t>
      </w:r>
      <w:r>
        <w:rPr>
          <w:rFonts w:hint="eastAsia" w:ascii="宋体" w:hAnsi="宋体" w:eastAsia="宋体" w:cs="宋体"/>
          <w:b/>
          <w:sz w:val="24"/>
        </w:rPr>
        <w:t>分</w:t>
      </w:r>
      <w:r>
        <w:rPr>
          <w:rFonts w:hint="eastAsia" w:ascii="宋体" w:hAnsi="宋体" w:eastAsia="宋体" w:cs="宋体"/>
          <w:b/>
          <w:bCs/>
          <w:sz w:val="24"/>
        </w:rPr>
        <w:t>（</w:t>
      </w:r>
      <w:r>
        <w:rPr>
          <w:rFonts w:hint="eastAsia" w:ascii="宋体" w:hAnsi="宋体" w:eastAsia="宋体" w:cs="宋体"/>
          <w:b/>
          <w:bCs/>
          <w:sz w:val="24"/>
          <w:lang w:val="en-US" w:eastAsia="zh-CN"/>
        </w:rPr>
        <w:t>70</w:t>
      </w:r>
      <w:r>
        <w:rPr>
          <w:rFonts w:hint="eastAsia" w:ascii="宋体" w:hAnsi="宋体" w:eastAsia="宋体" w:cs="宋体"/>
          <w:b/>
          <w:bCs/>
          <w:sz w:val="24"/>
        </w:rPr>
        <w:t>分）</w:t>
      </w:r>
      <w:r>
        <w:rPr>
          <w:rFonts w:hint="eastAsia" w:ascii="宋体" w:hAnsi="宋体" w:eastAsia="宋体" w:cs="宋体"/>
          <w:b/>
          <w:bCs/>
          <w:sz w:val="24"/>
        </w:rPr>
        <w:br w:type="textWrapping"/>
      </w:r>
    </w:p>
    <w:tbl>
      <w:tblPr>
        <w:tblStyle w:val="28"/>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638"/>
        <w:gridCol w:w="7032"/>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序号</w:t>
            </w:r>
          </w:p>
        </w:tc>
        <w:tc>
          <w:tcPr>
            <w:tcW w:w="16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项目名称</w:t>
            </w:r>
          </w:p>
        </w:tc>
        <w:tc>
          <w:tcPr>
            <w:tcW w:w="70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评分细则</w:t>
            </w:r>
          </w:p>
        </w:tc>
        <w:tc>
          <w:tcPr>
            <w:tcW w:w="7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16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业绩证明</w:t>
            </w:r>
          </w:p>
        </w:tc>
        <w:tc>
          <w:tcPr>
            <w:tcW w:w="703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highlight w:val="none"/>
                <w:lang w:val="en-US" w:eastAsia="zh-CN" w:bidi="ar"/>
              </w:rPr>
              <w:t>投标人或所投产品生产厂家</w:t>
            </w:r>
            <w:r>
              <w:rPr>
                <w:rFonts w:hint="eastAsia" w:ascii="宋体" w:hAnsi="宋体" w:eastAsia="宋体" w:cs="宋体"/>
                <w:color w:val="auto"/>
                <w:kern w:val="0"/>
                <w:sz w:val="24"/>
                <w:szCs w:val="24"/>
                <w:lang w:val="en-US" w:eastAsia="zh-CN" w:bidi="ar"/>
              </w:rPr>
              <w:t>自2021年1月1日以来（以合同签订时间为准）完成过单个</w:t>
            </w:r>
            <w:r>
              <w:rPr>
                <w:rFonts w:hint="eastAsia" w:ascii="宋体" w:hAnsi="宋体" w:eastAsia="宋体" w:cs="宋体"/>
                <w:color w:val="auto"/>
                <w:kern w:val="0"/>
                <w:sz w:val="24"/>
                <w:szCs w:val="24"/>
                <w:highlight w:val="none"/>
                <w:lang w:val="en-US" w:eastAsia="zh-CN" w:bidi="ar"/>
              </w:rPr>
              <w:t>酒店或宾馆</w:t>
            </w:r>
            <w:r>
              <w:rPr>
                <w:rFonts w:hint="eastAsia" w:ascii="宋体" w:hAnsi="宋体" w:eastAsia="宋体" w:cs="宋体"/>
                <w:color w:val="auto"/>
                <w:kern w:val="0"/>
                <w:sz w:val="24"/>
                <w:szCs w:val="24"/>
                <w:lang w:val="en-US" w:eastAsia="zh-CN" w:bidi="ar"/>
              </w:rPr>
              <w:t>地毯采购及安装业绩：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（1）单项合同额130万元（含）以上的，每个得5分；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（2）单项合同额100万元（含）—130万元以内的，每个得4分；</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（3）单项合同额70万元（含）—100万元以内的，每个得3分；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注：本项最高得20分。证明材料：提供合同、发票及采购单位盖章的验收报告扫描件，缺一不可，不提供的不得分。上述证明材料中需体现详细的地毯采购货物清单及金额。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特别说明：投标人最多可填报4个业绩，投标人填报业绩的数量超过招标人要求的，超过的业绩不再评审。如招标人要求投标人填报4个业绩，若某投标人按序号填报了4个以上的类似业绩，评标时专家仅评审序号为1到4的的业绩即可，不论后续业绩是否有效，专家均不再给予评审。</w:t>
            </w:r>
          </w:p>
        </w:tc>
        <w:tc>
          <w:tcPr>
            <w:tcW w:w="7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6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w:t>
            </w:r>
          </w:p>
        </w:tc>
        <w:tc>
          <w:tcPr>
            <w:tcW w:w="1638"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企业认证</w:t>
            </w:r>
          </w:p>
        </w:tc>
        <w:tc>
          <w:tcPr>
            <w:tcW w:w="703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投标人具有有效期内质量管理体系认证证书得1分；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投标人具有有效期内环境管理体系认证证书得1分；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投标人具有有效期内职业健康安全管理体系认证证书得1分；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投标人具有有效期内售后服务认证证书（5星级及以上）得1分；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注：提供有效的证书扫描件，否则不得分。</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240" w:firstLineChars="100"/>
              <w:jc w:val="both"/>
              <w:textAlignment w:val="auto"/>
              <w:rPr>
                <w:rFonts w:hint="eastAsia" w:ascii="宋体" w:hAnsi="宋体" w:eastAsia="宋体" w:cs="宋体"/>
                <w:color w:val="auto"/>
                <w:spacing w:val="0"/>
                <w:kern w:val="2"/>
                <w:sz w:val="24"/>
                <w:szCs w:val="24"/>
                <w:lang w:val="en-US" w:eastAsia="zh-CN"/>
              </w:rPr>
            </w:pPr>
            <w:r>
              <w:rPr>
                <w:rFonts w:hint="eastAsia" w:ascii="宋体" w:hAnsi="宋体" w:eastAsia="宋体" w:cs="宋体"/>
                <w:color w:val="auto"/>
                <w:spacing w:val="0"/>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6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w:t>
            </w:r>
          </w:p>
        </w:tc>
        <w:tc>
          <w:tcPr>
            <w:tcW w:w="1638"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技术指标</w:t>
            </w:r>
          </w:p>
        </w:tc>
        <w:tc>
          <w:tcPr>
            <w:tcW w:w="70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全部响应并满足或优于采购需求的，得5分，每负偏离一项、或每存在一项未作出明确响应的扣1分，扣完为止。</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color w:val="auto"/>
                <w:spacing w:val="0"/>
                <w:kern w:val="2"/>
                <w:sz w:val="24"/>
                <w:szCs w:val="24"/>
                <w:lang w:val="en-US" w:eastAsia="zh-CN" w:bidi="ar"/>
              </w:rPr>
            </w:pPr>
            <w:r>
              <w:rPr>
                <w:rFonts w:hint="eastAsia" w:ascii="宋体" w:hAnsi="宋体" w:eastAsia="宋体" w:cs="宋体"/>
                <w:color w:val="auto"/>
                <w:spacing w:val="0"/>
                <w:kern w:val="2"/>
                <w:sz w:val="24"/>
                <w:szCs w:val="24"/>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69"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w:t>
            </w:r>
          </w:p>
        </w:tc>
        <w:tc>
          <w:tcPr>
            <w:tcW w:w="163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生产能力</w:t>
            </w:r>
          </w:p>
        </w:tc>
        <w:tc>
          <w:tcPr>
            <w:tcW w:w="703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投标人的生产技术能力：生产加工基地、生产设备配备情况等进行打分。（0-4分）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注：须提供生产加工基地产地的租赁合同或房产证扫描件、生产场景及设备照片（设备需提供发票原件扫描件）并加盖公章，以上证明资料须同时提供，缺项或不提供均不得分。</w:t>
            </w:r>
          </w:p>
        </w:tc>
        <w:tc>
          <w:tcPr>
            <w:tcW w:w="76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color w:val="auto"/>
                <w:spacing w:val="0"/>
                <w:kern w:val="2"/>
                <w:sz w:val="24"/>
                <w:szCs w:val="24"/>
                <w:lang w:val="en-US" w:eastAsia="zh-CN" w:bidi="ar"/>
              </w:rPr>
            </w:pPr>
            <w:r>
              <w:rPr>
                <w:rFonts w:hint="eastAsia" w:ascii="宋体" w:hAnsi="宋体" w:eastAsia="宋体" w:cs="宋体"/>
                <w:color w:val="auto"/>
                <w:spacing w:val="0"/>
                <w:kern w:val="2"/>
                <w:sz w:val="24"/>
                <w:szCs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6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w:t>
            </w:r>
          </w:p>
        </w:tc>
        <w:tc>
          <w:tcPr>
            <w:tcW w:w="1638"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产品检测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zh-CN" w:eastAsia="zh-CN" w:bidi="ar"/>
              </w:rPr>
              <w:t>报告</w:t>
            </w:r>
          </w:p>
        </w:tc>
        <w:tc>
          <w:tcPr>
            <w:tcW w:w="70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投标人提供地毯阻燃检测报告得2分、提供地毯环保检测报告得2分、提供地毯质量检测报告得2分、地毯甲醛释放量未检出的得2分；提供B1及以上防火检测报告得2分。</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b/>
                <w:bCs/>
                <w:color w:val="auto"/>
                <w:kern w:val="0"/>
                <w:sz w:val="24"/>
                <w:szCs w:val="24"/>
                <w:highlight w:val="none"/>
                <w:lang w:val="en-US" w:eastAsia="zh-CN" w:bidi="ar"/>
              </w:rPr>
              <w:t>注：未提供检测报告或提供的检测报告非投标对应的产品不得分。</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spacing w:val="0"/>
                <w:kern w:val="2"/>
                <w:sz w:val="24"/>
                <w:szCs w:val="24"/>
                <w:lang w:val="en-US" w:eastAsia="zh-CN" w:bidi="ar"/>
              </w:rPr>
            </w:pPr>
            <w:r>
              <w:rPr>
                <w:rFonts w:hint="eastAsia" w:ascii="宋体" w:hAnsi="宋体" w:eastAsia="宋体" w:cs="宋体"/>
                <w:color w:val="auto"/>
                <w:spacing w:val="0"/>
                <w:kern w:val="2"/>
                <w:sz w:val="24"/>
                <w:szCs w:val="24"/>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jc w:val="center"/>
        </w:trPr>
        <w:tc>
          <w:tcPr>
            <w:tcW w:w="769" w:type="dxa"/>
            <w:tcBorders>
              <w:top w:val="nil"/>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w:t>
            </w:r>
          </w:p>
        </w:tc>
        <w:tc>
          <w:tcPr>
            <w:tcW w:w="1638" w:type="dxa"/>
            <w:tcBorders>
              <w:top w:val="nil"/>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样品工艺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lang w:val="en-US" w:eastAsia="zh-CN"/>
              </w:rPr>
            </w:pPr>
          </w:p>
        </w:tc>
        <w:tc>
          <w:tcPr>
            <w:tcW w:w="7032" w:type="dxa"/>
            <w:tcBorders>
              <w:top w:val="single" w:color="auto" w:sz="4" w:space="0"/>
              <w:left w:val="nil"/>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lang w:val="en-US" w:eastAsia="zh-CN" w:bidi="ar"/>
              </w:rPr>
              <w:t>地毯</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highlight w:val="none"/>
                <w:lang w:val="en-US" w:eastAsia="zh-CN" w:bidi="ar"/>
              </w:rPr>
              <w:t>1.整体产品的工艺水平：产品的整体质量（0-3分），整体产品的工艺制作、细节处理水平、产品的材质是否满足招标文件要求（0-3分）；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2.整体产品外观样式与招标文件要求吻合度（0-3分）；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3.整体产品体验过程中的舒适度、体验感（0-3分）；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highlight w:val="none"/>
                <w:lang w:val="en-US" w:eastAsia="zh-CN" w:bidi="ar"/>
              </w:rPr>
              <w:t>4.整体产品选用的主要材料：材料质量、有无刺激性气味（0-3分）；</w:t>
            </w:r>
          </w:p>
        </w:tc>
        <w:tc>
          <w:tcPr>
            <w:tcW w:w="768"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pacing w:val="0"/>
                <w:kern w:val="2"/>
                <w:sz w:val="24"/>
                <w:szCs w:val="24"/>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6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w:t>
            </w:r>
          </w:p>
        </w:tc>
        <w:tc>
          <w:tcPr>
            <w:tcW w:w="1638"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安装、生产、调试方案</w:t>
            </w:r>
          </w:p>
        </w:tc>
        <w:tc>
          <w:tcPr>
            <w:tcW w:w="7032"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投标人组织实施方案的科学性、合理性、规范性和可操作性，包括设备集成、设备供货、安装时间安排、验货、调试、试运行、调优等内容。（0-2分）</w:t>
            </w:r>
          </w:p>
        </w:tc>
        <w:tc>
          <w:tcPr>
            <w:tcW w:w="768"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69"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rPr>
            </w:pPr>
          </w:p>
        </w:tc>
        <w:tc>
          <w:tcPr>
            <w:tcW w:w="1638" w:type="dxa"/>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rPr>
            </w:pPr>
          </w:p>
        </w:tc>
        <w:tc>
          <w:tcPr>
            <w:tcW w:w="7032" w:type="dxa"/>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rPr>
                <w:rFonts w:hint="eastAsia" w:ascii="宋体" w:hAnsi="宋体" w:eastAsia="宋体" w:cs="宋体"/>
              </w:rPr>
            </w:pPr>
            <w:r>
              <w:rPr>
                <w:rFonts w:hint="eastAsia" w:ascii="宋体" w:hAnsi="宋体" w:eastAsia="宋体" w:cs="宋体"/>
                <w:color w:val="auto"/>
                <w:sz w:val="24"/>
                <w:szCs w:val="24"/>
                <w:lang w:val="en-US" w:eastAsia="zh-CN"/>
              </w:rPr>
              <w:t>项目组实施人员专业素质、技术能力、专业分布等情况，数量充足，配置合理。（0-3分）</w:t>
            </w:r>
          </w:p>
        </w:tc>
        <w:tc>
          <w:tcPr>
            <w:tcW w:w="768"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8</w:t>
            </w:r>
          </w:p>
        </w:tc>
        <w:tc>
          <w:tcPr>
            <w:tcW w:w="16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供货期</w:t>
            </w:r>
          </w:p>
        </w:tc>
        <w:tc>
          <w:tcPr>
            <w:tcW w:w="70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bidi="ar"/>
              </w:rPr>
              <w:t>招标文件规定供货期基础上，承诺第一批货物每提前2日的得1分，最多得2分。承诺总工期提前4日的得1分。本项目最高得3分。（0-3分）</w:t>
            </w:r>
          </w:p>
        </w:tc>
        <w:tc>
          <w:tcPr>
            <w:tcW w:w="7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9</w:t>
            </w:r>
          </w:p>
        </w:tc>
        <w:tc>
          <w:tcPr>
            <w:tcW w:w="16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售后服务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方案</w:t>
            </w:r>
          </w:p>
        </w:tc>
        <w:tc>
          <w:tcPr>
            <w:tcW w:w="70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投标供应商的售后服务承诺方案，包含售后服务点设置、人员配备、响应时间、保障措施、培训计划、验收方案、质保期后维保费用以及服务承诺条款的合理性等。（0-2分）</w:t>
            </w:r>
          </w:p>
        </w:tc>
        <w:tc>
          <w:tcPr>
            <w:tcW w:w="7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10</w:t>
            </w:r>
          </w:p>
        </w:tc>
        <w:tc>
          <w:tcPr>
            <w:tcW w:w="16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质保期</w:t>
            </w:r>
          </w:p>
        </w:tc>
        <w:tc>
          <w:tcPr>
            <w:tcW w:w="70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招标文件规定质保期为2年，每增加1年得1分,最多得2分，质保期没有超过的本项不得分。（0-2分）</w:t>
            </w:r>
          </w:p>
        </w:tc>
        <w:tc>
          <w:tcPr>
            <w:tcW w:w="7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p>
        </w:tc>
      </w:tr>
    </w:tbl>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rPr>
      </w:pPr>
    </w:p>
    <w:p>
      <w:pPr>
        <w:keepNext w:val="0"/>
        <w:keepLines w:val="0"/>
        <w:pageBreakBefore w:val="0"/>
        <w:kinsoku/>
        <w:wordWrap/>
        <w:overflowPunct/>
        <w:topLinePunct w:val="0"/>
        <w:autoSpaceDE/>
        <w:autoSpaceDN/>
        <w:bidi w:val="0"/>
        <w:spacing w:before="120" w:line="380" w:lineRule="exact"/>
        <w:ind w:left="0" w:leftChars="0" w:firstLine="0" w:firstLineChars="0"/>
        <w:textAlignment w:val="auto"/>
        <w:rPr>
          <w:rFonts w:hint="eastAsia" w:ascii="宋体" w:hAnsi="宋体" w:eastAsia="宋体" w:cs="宋体"/>
          <w:b/>
          <w:sz w:val="24"/>
        </w:rPr>
      </w:pPr>
      <w:r>
        <w:rPr>
          <w:rFonts w:hint="eastAsia" w:ascii="宋体" w:hAnsi="宋体" w:eastAsia="宋体" w:cs="宋体"/>
          <w:b/>
          <w:sz w:val="24"/>
        </w:rPr>
        <w:t>（三）商务技术分的计算</w:t>
      </w:r>
    </w:p>
    <w:p>
      <w:pPr>
        <w:keepNext w:val="0"/>
        <w:keepLines w:val="0"/>
        <w:pageBreakBefore w:val="0"/>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eastAsia="宋体" w:cs="宋体"/>
          <w:b/>
          <w:sz w:val="32"/>
          <w:szCs w:val="32"/>
        </w:rPr>
        <w:sectPr>
          <w:pgSz w:w="11906" w:h="16838"/>
          <w:pgMar w:top="1440" w:right="1457" w:bottom="1440" w:left="1457" w:header="851" w:footer="992" w:gutter="0"/>
          <w:pgNumType w:fmt="decimal"/>
          <w:cols w:space="720" w:num="1"/>
          <w:docGrid w:type="lines" w:linePitch="319" w:charSpace="0"/>
        </w:sectPr>
      </w:pPr>
      <w:r>
        <w:rPr>
          <w:rFonts w:hint="eastAsia" w:ascii="宋体" w:hAnsi="宋体" w:eastAsia="宋体" w:cs="宋体"/>
          <w:sz w:val="24"/>
        </w:rPr>
        <w:t>商务技术评分按照评标委员会成员的独立评分结果汇总后的算术平均分计算，计算公式为：商务技术评分＝评标委员会所有成员评分合计数/评标委员会组成人员数。</w:t>
      </w:r>
    </w:p>
    <w:p>
      <w:pPr>
        <w:spacing w:before="120" w:beforeLines="50" w:after="120" w:afterLines="50" w:line="360" w:lineRule="auto"/>
        <w:jc w:val="center"/>
        <w:outlineLvl w:val="0"/>
        <w:rPr>
          <w:rFonts w:hint="eastAsia" w:ascii="宋体" w:hAnsi="宋体" w:eastAsia="宋体" w:cs="宋体"/>
          <w:b/>
          <w:sz w:val="32"/>
          <w:szCs w:val="32"/>
        </w:rPr>
      </w:pPr>
      <w:bookmarkStart w:id="21" w:name="_Toc194217895"/>
      <w:bookmarkStart w:id="22" w:name="_Toc177870561"/>
      <w:r>
        <w:rPr>
          <w:rFonts w:hint="eastAsia" w:ascii="宋体" w:hAnsi="宋体" w:eastAsia="宋体" w:cs="宋体"/>
          <w:b/>
          <w:sz w:val="32"/>
          <w:szCs w:val="32"/>
        </w:rPr>
        <w:t>第五章 采购合同</w:t>
      </w:r>
    </w:p>
    <w:p>
      <w:pPr>
        <w:spacing w:line="240" w:lineRule="auto"/>
        <w:ind w:firstLine="0"/>
        <w:jc w:val="both"/>
        <w:rPr>
          <w:rFonts w:hint="eastAsia" w:ascii="宋体" w:hAnsi="宋体" w:eastAsia="宋体" w:cs="宋体"/>
          <w:kern w:val="0"/>
          <w:sz w:val="24"/>
          <w:szCs w:val="21"/>
          <w:u w:val="single"/>
        </w:rPr>
      </w:pPr>
      <w:r>
        <w:rPr>
          <w:rFonts w:hint="eastAsia" w:ascii="宋体" w:hAnsi="宋体" w:eastAsia="宋体" w:cs="宋体"/>
          <w:kern w:val="0"/>
          <w:sz w:val="24"/>
          <w:szCs w:val="21"/>
        </w:rPr>
        <w:t>合同编号：</w:t>
      </w:r>
    </w:p>
    <w:p>
      <w:pPr>
        <w:spacing w:line="480" w:lineRule="auto"/>
        <w:ind w:firstLine="0"/>
        <w:jc w:val="center"/>
        <w:rPr>
          <w:rFonts w:hint="eastAsia" w:ascii="宋体" w:hAnsi="宋体" w:eastAsia="宋体" w:cs="宋体"/>
          <w:b/>
          <w:kern w:val="0"/>
          <w:sz w:val="28"/>
          <w:szCs w:val="28"/>
        </w:rPr>
      </w:pPr>
    </w:p>
    <w:p>
      <w:pPr>
        <w:spacing w:line="480" w:lineRule="auto"/>
        <w:ind w:firstLine="0"/>
        <w:jc w:val="both"/>
        <w:rPr>
          <w:rFonts w:hint="eastAsia" w:ascii="宋体" w:hAnsi="宋体" w:eastAsia="宋体" w:cs="宋体"/>
          <w:b/>
          <w:kern w:val="0"/>
          <w:sz w:val="24"/>
          <w:szCs w:val="21"/>
        </w:rPr>
      </w:pPr>
    </w:p>
    <w:p>
      <w:pPr>
        <w:spacing w:line="480" w:lineRule="auto"/>
        <w:ind w:firstLine="0"/>
        <w:jc w:val="center"/>
        <w:rPr>
          <w:rFonts w:hint="eastAsia" w:ascii="宋体" w:hAnsi="宋体" w:eastAsia="宋体" w:cs="宋体"/>
          <w:b/>
          <w:kern w:val="0"/>
          <w:sz w:val="36"/>
          <w:szCs w:val="36"/>
        </w:rPr>
      </w:pPr>
      <w:r>
        <w:rPr>
          <w:rFonts w:hint="eastAsia" w:ascii="宋体" w:hAnsi="宋体" w:eastAsia="宋体" w:cs="宋体"/>
          <w:b/>
          <w:kern w:val="0"/>
          <w:sz w:val="36"/>
          <w:szCs w:val="36"/>
        </w:rPr>
        <w:t>政府采购合同</w:t>
      </w:r>
    </w:p>
    <w:p>
      <w:pPr>
        <w:spacing w:line="480" w:lineRule="auto"/>
        <w:ind w:firstLine="0"/>
        <w:jc w:val="center"/>
        <w:rPr>
          <w:rFonts w:hint="eastAsia" w:ascii="宋体" w:hAnsi="宋体" w:eastAsia="宋体" w:cs="宋体"/>
          <w:b/>
          <w:kern w:val="0"/>
          <w:sz w:val="36"/>
          <w:szCs w:val="36"/>
        </w:rPr>
      </w:pPr>
      <w:r>
        <w:rPr>
          <w:rFonts w:hint="eastAsia" w:ascii="宋体" w:hAnsi="宋体" w:eastAsia="宋体" w:cs="宋体"/>
          <w:b/>
          <w:kern w:val="0"/>
          <w:sz w:val="36"/>
          <w:szCs w:val="36"/>
        </w:rPr>
        <w:t>（货物类）</w:t>
      </w:r>
    </w:p>
    <w:p>
      <w:pPr>
        <w:autoSpaceDE w:val="0"/>
        <w:autoSpaceDN w:val="0"/>
        <w:snapToGrid w:val="0"/>
        <w:spacing w:after="120" w:line="360" w:lineRule="auto"/>
        <w:ind w:left="480" w:leftChars="200" w:firstLine="480" w:firstLineChars="200"/>
        <w:jc w:val="both"/>
        <w:rPr>
          <w:rFonts w:hint="eastAsia" w:ascii="宋体" w:hAnsi="宋体" w:eastAsia="宋体" w:cs="宋体"/>
          <w:sz w:val="24"/>
          <w:szCs w:val="24"/>
          <w:lang w:val="en-US" w:eastAsia="zh-CN" w:bidi="ar-SA"/>
        </w:rPr>
      </w:pPr>
    </w:p>
    <w:p>
      <w:pPr>
        <w:autoSpaceDE w:val="0"/>
        <w:autoSpaceDN w:val="0"/>
        <w:snapToGrid w:val="0"/>
        <w:spacing w:after="120" w:line="360" w:lineRule="auto"/>
        <w:ind w:left="480" w:leftChars="200" w:firstLine="480" w:firstLineChars="200"/>
        <w:jc w:val="both"/>
        <w:rPr>
          <w:rFonts w:hint="eastAsia" w:ascii="宋体" w:hAnsi="宋体" w:eastAsia="宋体" w:cs="宋体"/>
          <w:sz w:val="24"/>
          <w:szCs w:val="24"/>
          <w:lang w:val="en-US" w:eastAsia="zh-CN" w:bidi="ar-SA"/>
        </w:rPr>
      </w:pPr>
    </w:p>
    <w:p>
      <w:pPr>
        <w:spacing w:before="120" w:line="22" w:lineRule="atLeast"/>
        <w:ind w:firstLine="0"/>
        <w:jc w:val="both"/>
        <w:rPr>
          <w:rFonts w:hint="eastAsia" w:ascii="宋体" w:hAnsi="宋体" w:eastAsia="宋体" w:cs="宋体"/>
          <w:kern w:val="0"/>
          <w:sz w:val="24"/>
          <w:szCs w:val="21"/>
        </w:rPr>
      </w:pPr>
    </w:p>
    <w:p>
      <w:pPr>
        <w:spacing w:before="120" w:line="22" w:lineRule="atLeast"/>
        <w:ind w:left="960" w:firstLine="0"/>
        <w:jc w:val="both"/>
        <w:rPr>
          <w:rFonts w:hint="eastAsia" w:ascii="宋体" w:hAnsi="宋体" w:eastAsia="宋体" w:cs="宋体"/>
          <w:kern w:val="0"/>
          <w:sz w:val="24"/>
          <w:szCs w:val="21"/>
        </w:rPr>
      </w:pPr>
      <w:r>
        <w:rPr>
          <w:rFonts w:hint="eastAsia" w:ascii="宋体" w:hAnsi="宋体" w:eastAsia="宋体" w:cs="宋体"/>
          <w:kern w:val="0"/>
          <w:sz w:val="24"/>
          <w:szCs w:val="21"/>
        </w:rPr>
        <w:t>项目名称：</w:t>
      </w:r>
    </w:p>
    <w:p>
      <w:pPr>
        <w:adjustRightInd/>
        <w:spacing w:before="120" w:line="22" w:lineRule="atLeast"/>
        <w:jc w:val="both"/>
        <w:rPr>
          <w:rFonts w:hint="eastAsia" w:ascii="宋体" w:hAnsi="宋体" w:eastAsia="宋体" w:cs="宋体"/>
          <w:sz w:val="24"/>
          <w:szCs w:val="24"/>
          <w:lang w:val="en-US" w:eastAsia="zh-CN" w:bidi="ar-SA"/>
        </w:rPr>
      </w:pPr>
    </w:p>
    <w:p>
      <w:pPr>
        <w:adjustRightInd/>
        <w:spacing w:before="120" w:line="22" w:lineRule="atLeast"/>
        <w:jc w:val="both"/>
        <w:rPr>
          <w:rFonts w:hint="eastAsia" w:ascii="宋体" w:hAnsi="宋体" w:eastAsia="宋体" w:cs="宋体"/>
          <w:sz w:val="24"/>
          <w:szCs w:val="24"/>
          <w:lang w:val="en-US" w:eastAsia="zh-CN" w:bidi="ar-SA"/>
        </w:rPr>
      </w:pPr>
    </w:p>
    <w:p>
      <w:pPr>
        <w:spacing w:line="240" w:lineRule="auto"/>
        <w:ind w:firstLine="0"/>
        <w:jc w:val="both"/>
        <w:rPr>
          <w:rFonts w:hint="eastAsia" w:ascii="宋体" w:hAnsi="宋体" w:eastAsia="宋体" w:cs="宋体"/>
          <w:kern w:val="0"/>
          <w:sz w:val="24"/>
          <w:szCs w:val="21"/>
        </w:rPr>
      </w:pPr>
    </w:p>
    <w:p>
      <w:pPr>
        <w:spacing w:before="120" w:line="22" w:lineRule="atLeast"/>
        <w:ind w:left="960" w:firstLine="0"/>
        <w:jc w:val="both"/>
        <w:rPr>
          <w:rFonts w:hint="eastAsia" w:ascii="宋体" w:hAnsi="宋体" w:eastAsia="宋体" w:cs="宋体"/>
          <w:kern w:val="0"/>
          <w:sz w:val="24"/>
          <w:szCs w:val="21"/>
          <w:u w:val="single"/>
        </w:rPr>
      </w:pPr>
      <w:r>
        <w:rPr>
          <w:rFonts w:hint="eastAsia" w:ascii="宋体" w:hAnsi="宋体" w:eastAsia="宋体" w:cs="宋体"/>
          <w:kern w:val="0"/>
          <w:sz w:val="24"/>
          <w:szCs w:val="21"/>
        </w:rPr>
        <w:t>甲方：</w:t>
      </w:r>
    </w:p>
    <w:p>
      <w:pPr>
        <w:spacing w:before="120" w:line="22" w:lineRule="atLeast"/>
        <w:ind w:firstLine="0"/>
        <w:jc w:val="both"/>
        <w:rPr>
          <w:rFonts w:hint="eastAsia" w:ascii="宋体" w:hAnsi="宋体" w:eastAsia="宋体" w:cs="宋体"/>
          <w:kern w:val="0"/>
          <w:sz w:val="24"/>
          <w:szCs w:val="21"/>
        </w:rPr>
      </w:pPr>
    </w:p>
    <w:p>
      <w:pPr>
        <w:spacing w:before="120" w:line="22" w:lineRule="atLeast"/>
        <w:ind w:left="960" w:firstLine="0"/>
        <w:jc w:val="both"/>
        <w:rPr>
          <w:rFonts w:hint="eastAsia" w:ascii="宋体" w:hAnsi="宋体" w:eastAsia="宋体" w:cs="宋体"/>
          <w:kern w:val="0"/>
          <w:sz w:val="24"/>
          <w:szCs w:val="21"/>
          <w:u w:val="single"/>
        </w:rPr>
      </w:pPr>
      <w:r>
        <w:rPr>
          <w:rFonts w:hint="eastAsia" w:ascii="宋体" w:hAnsi="宋体" w:eastAsia="宋体" w:cs="宋体"/>
          <w:kern w:val="0"/>
          <w:sz w:val="24"/>
          <w:szCs w:val="21"/>
        </w:rPr>
        <w:t>乙方：</w:t>
      </w:r>
    </w:p>
    <w:p>
      <w:pPr>
        <w:spacing w:before="120" w:line="22" w:lineRule="atLeast"/>
        <w:ind w:firstLine="0"/>
        <w:jc w:val="both"/>
        <w:rPr>
          <w:rFonts w:hint="eastAsia" w:ascii="宋体" w:hAnsi="宋体" w:eastAsia="宋体" w:cs="宋体"/>
          <w:kern w:val="0"/>
          <w:sz w:val="24"/>
          <w:szCs w:val="21"/>
        </w:rPr>
      </w:pPr>
    </w:p>
    <w:p>
      <w:pPr>
        <w:spacing w:before="120" w:line="22" w:lineRule="atLeast"/>
        <w:ind w:firstLine="960" w:firstLineChars="400"/>
        <w:jc w:val="both"/>
        <w:rPr>
          <w:rFonts w:hint="eastAsia" w:ascii="宋体" w:hAnsi="宋体" w:eastAsia="宋体" w:cs="宋体"/>
          <w:kern w:val="0"/>
          <w:sz w:val="24"/>
          <w:szCs w:val="21"/>
          <w:u w:val="single"/>
        </w:rPr>
      </w:pPr>
      <w:r>
        <w:rPr>
          <w:rFonts w:hint="eastAsia" w:ascii="宋体" w:hAnsi="宋体" w:eastAsia="宋体" w:cs="宋体"/>
          <w:kern w:val="0"/>
          <w:sz w:val="24"/>
          <w:szCs w:val="21"/>
        </w:rPr>
        <w:t>签订地：</w:t>
      </w:r>
    </w:p>
    <w:p>
      <w:pPr>
        <w:spacing w:before="120" w:line="22" w:lineRule="atLeast"/>
        <w:ind w:firstLine="0"/>
        <w:jc w:val="both"/>
        <w:rPr>
          <w:rFonts w:hint="eastAsia" w:ascii="宋体" w:hAnsi="宋体" w:eastAsia="宋体" w:cs="宋体"/>
          <w:kern w:val="0"/>
          <w:sz w:val="24"/>
          <w:szCs w:val="21"/>
        </w:rPr>
      </w:pPr>
    </w:p>
    <w:p>
      <w:pPr>
        <w:spacing w:before="120" w:line="22" w:lineRule="atLeast"/>
        <w:ind w:firstLine="960" w:firstLineChars="400"/>
        <w:jc w:val="both"/>
        <w:rPr>
          <w:rFonts w:hint="eastAsia" w:ascii="宋体" w:hAnsi="宋体" w:eastAsia="宋体" w:cs="宋体"/>
          <w:kern w:val="0"/>
          <w:sz w:val="24"/>
          <w:szCs w:val="21"/>
          <w:u w:val="single"/>
        </w:rPr>
      </w:pPr>
      <w:r>
        <w:rPr>
          <w:rFonts w:hint="eastAsia" w:ascii="宋体" w:hAnsi="宋体" w:eastAsia="宋体" w:cs="宋体"/>
          <w:kern w:val="0"/>
          <w:sz w:val="24"/>
          <w:szCs w:val="21"/>
        </w:rPr>
        <w:t>签订日期：年</w:t>
      </w:r>
      <w:r>
        <w:rPr>
          <w:rFonts w:hint="eastAsia" w:ascii="宋体" w:hAnsi="宋体" w:eastAsia="宋体" w:cs="宋体"/>
          <w:kern w:val="0"/>
          <w:sz w:val="24"/>
          <w:szCs w:val="21"/>
          <w:lang w:val="en-US" w:eastAsia="zh-CN"/>
        </w:rPr>
        <w:t xml:space="preserve"> </w:t>
      </w:r>
      <w:r>
        <w:rPr>
          <w:rFonts w:hint="eastAsia" w:ascii="宋体" w:hAnsi="宋体" w:eastAsia="宋体" w:cs="宋体"/>
          <w:kern w:val="0"/>
          <w:sz w:val="24"/>
          <w:szCs w:val="21"/>
        </w:rPr>
        <w:t>月</w:t>
      </w:r>
      <w:r>
        <w:rPr>
          <w:rFonts w:hint="eastAsia" w:ascii="宋体" w:hAnsi="宋体" w:eastAsia="宋体" w:cs="宋体"/>
          <w:kern w:val="0"/>
          <w:sz w:val="24"/>
          <w:szCs w:val="21"/>
          <w:lang w:val="en-US" w:eastAsia="zh-CN"/>
        </w:rPr>
        <w:t xml:space="preserve"> </w:t>
      </w:r>
      <w:r>
        <w:rPr>
          <w:rFonts w:hint="eastAsia" w:ascii="宋体" w:hAnsi="宋体" w:eastAsia="宋体" w:cs="宋体"/>
          <w:kern w:val="0"/>
          <w:sz w:val="24"/>
          <w:szCs w:val="21"/>
        </w:rPr>
        <w:t>日</w:t>
      </w:r>
    </w:p>
    <w:p>
      <w:pPr>
        <w:widowControl/>
        <w:jc w:val="left"/>
        <w:rPr>
          <w:rFonts w:hint="eastAsia" w:ascii="宋体" w:hAnsi="宋体" w:eastAsia="宋体" w:cs="宋体"/>
          <w:kern w:val="0"/>
          <w:sz w:val="24"/>
        </w:rPr>
        <w:sectPr>
          <w:pgSz w:w="11907" w:h="16840"/>
          <w:pgMar w:top="1474" w:right="1814" w:bottom="1474" w:left="1814" w:header="851" w:footer="851" w:gutter="0"/>
          <w:cols w:space="720" w:num="1"/>
        </w:sectPr>
      </w:pP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年月日</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（采购人）   </w:t>
      </w:r>
      <w:r>
        <w:rPr>
          <w:rFonts w:hint="eastAsia" w:ascii="宋体" w:hAnsi="宋体" w:eastAsia="宋体" w:cs="宋体"/>
          <w:kern w:val="0"/>
          <w:sz w:val="24"/>
          <w:szCs w:val="24"/>
        </w:rPr>
        <w:t>以</w:t>
      </w:r>
      <w:r>
        <w:rPr>
          <w:rFonts w:hint="eastAsia" w:ascii="宋体" w:hAnsi="宋体" w:eastAsia="宋体" w:cs="宋体"/>
          <w:kern w:val="0"/>
          <w:sz w:val="24"/>
          <w:szCs w:val="24"/>
          <w:u w:val="single"/>
        </w:rPr>
        <w:t xml:space="preserve">   （政府采购方式）  </w:t>
      </w:r>
      <w:r>
        <w:rPr>
          <w:rFonts w:hint="eastAsia" w:ascii="宋体" w:hAnsi="宋体" w:eastAsia="宋体" w:cs="宋体"/>
          <w:kern w:val="0"/>
          <w:sz w:val="24"/>
          <w:szCs w:val="24"/>
        </w:rPr>
        <w:t>对</w:t>
      </w:r>
      <w:r>
        <w:rPr>
          <w:rFonts w:hint="eastAsia" w:ascii="宋体" w:hAnsi="宋体" w:eastAsia="宋体" w:cs="宋体"/>
          <w:kern w:val="0"/>
          <w:sz w:val="24"/>
          <w:szCs w:val="24"/>
          <w:u w:val="single"/>
        </w:rPr>
        <w:t xml:space="preserve">   （同前页项目名称）   </w:t>
      </w:r>
      <w:r>
        <w:rPr>
          <w:rFonts w:hint="eastAsia" w:ascii="宋体" w:hAnsi="宋体" w:eastAsia="宋体" w:cs="宋体"/>
          <w:kern w:val="0"/>
          <w:sz w:val="24"/>
          <w:szCs w:val="24"/>
        </w:rPr>
        <w:t>项目进行了采购。经</w:t>
      </w:r>
      <w:r>
        <w:rPr>
          <w:rFonts w:hint="eastAsia" w:ascii="宋体" w:hAnsi="宋体" w:eastAsia="宋体" w:cs="宋体"/>
          <w:kern w:val="0"/>
          <w:sz w:val="24"/>
          <w:szCs w:val="24"/>
          <w:u w:val="single"/>
        </w:rPr>
        <w:t xml:space="preserve">   （相关评定主体名称）   </w:t>
      </w:r>
      <w:r>
        <w:rPr>
          <w:rFonts w:hint="eastAsia" w:ascii="宋体" w:hAnsi="宋体" w:eastAsia="宋体" w:cs="宋体"/>
          <w:kern w:val="0"/>
          <w:sz w:val="24"/>
          <w:szCs w:val="24"/>
        </w:rPr>
        <w:t>评定，</w:t>
      </w:r>
      <w:r>
        <w:rPr>
          <w:rFonts w:hint="eastAsia" w:ascii="宋体" w:hAnsi="宋体" w:eastAsia="宋体" w:cs="宋体"/>
          <w:kern w:val="0"/>
          <w:sz w:val="24"/>
          <w:szCs w:val="24"/>
          <w:u w:val="single"/>
        </w:rPr>
        <w:t xml:space="preserve">   （中标供应商名称）</w:t>
      </w:r>
      <w:r>
        <w:rPr>
          <w:rFonts w:hint="eastAsia" w:ascii="宋体" w:hAnsi="宋体" w:eastAsia="宋体" w:cs="宋体"/>
          <w:kern w:val="0"/>
          <w:sz w:val="24"/>
          <w:szCs w:val="24"/>
        </w:rPr>
        <w:t>为该项目中标供应商。现于中标通知书发出之日起三十日内，按照采购文件确定的事项签订本合同。</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根据《中华人民共和国民法典》《中华人民共和国政府采购法》等相关法律法规之规定，按照平等、自愿、公平、诚实信用和绿色的原则，经</w:t>
      </w:r>
      <w:r>
        <w:rPr>
          <w:rFonts w:hint="eastAsia" w:ascii="宋体" w:hAnsi="宋体" w:eastAsia="宋体" w:cs="宋体"/>
          <w:kern w:val="0"/>
          <w:sz w:val="24"/>
          <w:szCs w:val="24"/>
          <w:u w:val="single"/>
        </w:rPr>
        <w:t xml:space="preserve">   （采购人）   </w:t>
      </w:r>
      <w:r>
        <w:rPr>
          <w:rFonts w:hint="eastAsia" w:ascii="宋体" w:hAnsi="宋体" w:eastAsia="宋体" w:cs="宋体"/>
          <w:kern w:val="0"/>
          <w:sz w:val="24"/>
          <w:szCs w:val="24"/>
          <w:lang w:val="zh-CN"/>
        </w:rPr>
        <w:t>(以下简称：甲方)和</w:t>
      </w:r>
      <w:r>
        <w:rPr>
          <w:rFonts w:hint="eastAsia" w:ascii="宋体" w:hAnsi="宋体" w:eastAsia="宋体" w:cs="宋体"/>
          <w:kern w:val="0"/>
          <w:sz w:val="24"/>
          <w:szCs w:val="24"/>
          <w:u w:val="single"/>
        </w:rPr>
        <w:t xml:space="preserve">   （中标供应商名称）   </w:t>
      </w:r>
      <w:r>
        <w:rPr>
          <w:rFonts w:hint="eastAsia" w:ascii="宋体" w:hAnsi="宋体" w:eastAsia="宋体" w:cs="宋体"/>
          <w:kern w:val="0"/>
          <w:sz w:val="24"/>
          <w:szCs w:val="24"/>
          <w:lang w:val="zh-CN"/>
        </w:rPr>
        <w:t>(以下简称：乙方)协商一致，约定以下合同</w:t>
      </w:r>
      <w:r>
        <w:rPr>
          <w:rFonts w:hint="eastAsia" w:ascii="宋体" w:hAnsi="宋体" w:eastAsia="宋体" w:cs="宋体"/>
          <w:kern w:val="0"/>
          <w:sz w:val="24"/>
          <w:szCs w:val="24"/>
        </w:rPr>
        <w:t>条款，以兹共同遵守、全面履行。</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lang w:eastAsia="zh-CN"/>
        </w:rPr>
      </w:pPr>
      <w:bookmarkStart w:id="23" w:name="_Toc2232"/>
      <w:bookmarkStart w:id="24" w:name="_Toc3029"/>
      <w:bookmarkStart w:id="25" w:name="_Toc24059"/>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一</w:t>
      </w:r>
      <w:r>
        <w:rPr>
          <w:rFonts w:hint="eastAsia" w:ascii="宋体" w:hAnsi="宋体" w:eastAsia="宋体" w:cs="宋体"/>
          <w:b/>
          <w:kern w:val="0"/>
          <w:sz w:val="24"/>
          <w:szCs w:val="24"/>
        </w:rPr>
        <w:t>条 合同组成部分</w:t>
      </w:r>
      <w:bookmarkEnd w:id="23"/>
      <w:bookmarkEnd w:id="24"/>
      <w:bookmarkEnd w:id="25"/>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 </w:t>
      </w:r>
      <w:r>
        <w:rPr>
          <w:rFonts w:hint="eastAsia" w:ascii="宋体" w:hAnsi="宋体" w:eastAsia="宋体" w:cs="宋体"/>
          <w:kern w:val="0"/>
          <w:sz w:val="24"/>
          <w:szCs w:val="24"/>
        </w:rPr>
        <w:t>本合同及其补充合同、变更协议；</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1.2 </w:t>
      </w:r>
      <w:r>
        <w:rPr>
          <w:rFonts w:hint="eastAsia" w:ascii="宋体" w:hAnsi="宋体" w:eastAsia="宋体" w:cs="宋体"/>
          <w:kern w:val="0"/>
          <w:sz w:val="24"/>
          <w:szCs w:val="24"/>
        </w:rPr>
        <w:t>中标通知书；</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1.3 </w:t>
      </w:r>
      <w:r>
        <w:rPr>
          <w:rFonts w:hint="eastAsia" w:ascii="宋体" w:hAnsi="宋体" w:eastAsia="宋体" w:cs="宋体"/>
          <w:kern w:val="0"/>
          <w:sz w:val="24"/>
          <w:szCs w:val="24"/>
        </w:rPr>
        <w:t>投标文件（含澄清或者说明文件）；</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1.4 </w:t>
      </w:r>
      <w:r>
        <w:rPr>
          <w:rFonts w:hint="eastAsia" w:ascii="宋体" w:hAnsi="宋体" w:eastAsia="宋体" w:cs="宋体"/>
          <w:kern w:val="0"/>
          <w:sz w:val="24"/>
          <w:szCs w:val="24"/>
        </w:rPr>
        <w:t>招标文件（含澄清或者修改文件）；</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1.5 </w:t>
      </w:r>
      <w:r>
        <w:rPr>
          <w:rFonts w:hint="eastAsia" w:ascii="宋体" w:hAnsi="宋体" w:eastAsia="宋体" w:cs="宋体"/>
          <w:kern w:val="0"/>
          <w:sz w:val="24"/>
          <w:szCs w:val="24"/>
        </w:rPr>
        <w:t>其他相关采购文件。</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bookmarkStart w:id="26" w:name="_Toc24300"/>
      <w:bookmarkStart w:id="27" w:name="_Toc27126"/>
      <w:bookmarkStart w:id="28" w:name="_Toc21295"/>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条 采购货物</w:t>
      </w:r>
      <w:bookmarkEnd w:id="26"/>
      <w:bookmarkEnd w:id="27"/>
      <w:bookmarkEnd w:id="28"/>
      <w:r>
        <w:rPr>
          <w:rFonts w:hint="eastAsia" w:ascii="宋体" w:hAnsi="宋体" w:eastAsia="宋体" w:cs="宋体"/>
          <w:b/>
          <w:kern w:val="0"/>
          <w:sz w:val="24"/>
          <w:szCs w:val="24"/>
        </w:rPr>
        <w:t>（详见招标文件采购清单）</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lang w:val="en-US" w:eastAsia="zh-CN"/>
        </w:rPr>
        <w:t xml:space="preserve">2.1 </w:t>
      </w:r>
      <w:r>
        <w:rPr>
          <w:rFonts w:hint="eastAsia" w:ascii="宋体" w:hAnsi="宋体" w:eastAsia="宋体" w:cs="宋体"/>
          <w:kern w:val="0"/>
          <w:sz w:val="24"/>
          <w:szCs w:val="24"/>
        </w:rPr>
        <w:t>货物名称：；</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lang w:val="en-US" w:eastAsia="zh-CN"/>
        </w:rPr>
        <w:t xml:space="preserve">2.2 </w:t>
      </w:r>
      <w:r>
        <w:rPr>
          <w:rFonts w:hint="eastAsia" w:ascii="宋体" w:hAnsi="宋体" w:eastAsia="宋体" w:cs="宋体"/>
          <w:kern w:val="0"/>
          <w:sz w:val="24"/>
          <w:szCs w:val="24"/>
        </w:rPr>
        <w:t>货物数量：；</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2.3 </w:t>
      </w:r>
      <w:r>
        <w:rPr>
          <w:rFonts w:hint="eastAsia" w:ascii="宋体" w:hAnsi="宋体" w:eastAsia="宋体" w:cs="宋体"/>
          <w:kern w:val="0"/>
          <w:sz w:val="24"/>
          <w:szCs w:val="24"/>
        </w:rPr>
        <w:t>货物质量：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bookmarkStart w:id="29" w:name="_Toc21551"/>
      <w:bookmarkStart w:id="30" w:name="_Toc23292"/>
      <w:bookmarkStart w:id="31" w:name="_Toc21631"/>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三</w:t>
      </w:r>
      <w:r>
        <w:rPr>
          <w:rFonts w:hint="eastAsia" w:ascii="宋体" w:hAnsi="宋体" w:eastAsia="宋体" w:cs="宋体"/>
          <w:b/>
          <w:kern w:val="0"/>
          <w:sz w:val="24"/>
          <w:szCs w:val="24"/>
        </w:rPr>
        <w:t>条 价款</w:t>
      </w:r>
      <w:bookmarkEnd w:id="29"/>
      <w:bookmarkEnd w:id="30"/>
      <w:bookmarkEnd w:id="31"/>
    </w:p>
    <w:p>
      <w:pPr>
        <w:keepNext w:val="0"/>
        <w:keepLines w:val="0"/>
        <w:pageBreakBefore w:val="0"/>
        <w:widowControl w:val="0"/>
        <w:kinsoku/>
        <w:wordWrap/>
        <w:overflowPunct/>
        <w:topLinePunct w:val="0"/>
        <w:autoSpaceDE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3.1 </w:t>
      </w:r>
      <w:r>
        <w:rPr>
          <w:rFonts w:hint="eastAsia" w:ascii="宋体" w:hAnsi="宋体" w:eastAsia="宋体" w:cs="宋体"/>
          <w:kern w:val="0"/>
          <w:sz w:val="24"/>
          <w:szCs w:val="24"/>
        </w:rPr>
        <w:t>本合同总价为：￥元（大写：元人民币）（含税价）。</w:t>
      </w:r>
    </w:p>
    <w:p>
      <w:pPr>
        <w:keepNext w:val="0"/>
        <w:keepLines w:val="0"/>
        <w:pageBreakBefore w:val="0"/>
        <w:widowControl w:val="0"/>
        <w:kinsoku/>
        <w:wordWrap/>
        <w:overflowPunct/>
        <w:topLinePunct w:val="0"/>
        <w:autoSpaceDE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注：包括设备费（包括必备的附件）、零配件、水电费、设备预埋件、仓储费、检测费、材料费、人工费、运输费、搬运费、现场成品保护费、保险费、采购人指定地点的卸货费、就位及安装费、安装材料费、垃圾清运费、保洁费、安装调试费、深化设计费、检验试验费、售后服务、税费、利润等其他一切费用。除该价格外，甲方不再另行支付任何费用。</w:t>
      </w:r>
    </w:p>
    <w:p>
      <w:pPr>
        <w:keepNext w:val="0"/>
        <w:keepLines w:val="0"/>
        <w:pageBreakBefore w:val="0"/>
        <w:widowControl w:val="0"/>
        <w:kinsoku/>
        <w:wordWrap/>
        <w:overflowPunct/>
        <w:topLinePunct w:val="0"/>
        <w:bidi w:val="0"/>
        <w:adjustRightInd/>
        <w:snapToGrid/>
        <w:spacing w:line="460" w:lineRule="exact"/>
        <w:ind w:left="547" w:leftChars="228" w:firstLine="0"/>
        <w:jc w:val="both"/>
        <w:textAlignment w:val="auto"/>
        <w:rPr>
          <w:rFonts w:hint="eastAsia" w:ascii="宋体" w:hAnsi="宋体" w:eastAsia="宋体" w:cs="宋体"/>
          <w:kern w:val="0"/>
          <w:sz w:val="24"/>
          <w:szCs w:val="24"/>
          <w:lang w:val="en-US" w:eastAsia="zh-CN"/>
        </w:rPr>
      </w:pPr>
    </w:p>
    <w:p>
      <w:pPr>
        <w:keepNext w:val="0"/>
        <w:keepLines w:val="0"/>
        <w:pageBreakBefore w:val="0"/>
        <w:widowControl w:val="0"/>
        <w:kinsoku/>
        <w:wordWrap/>
        <w:overflowPunct/>
        <w:topLinePunct w:val="0"/>
        <w:bidi w:val="0"/>
        <w:adjustRightInd/>
        <w:snapToGrid/>
        <w:spacing w:line="460" w:lineRule="exact"/>
        <w:ind w:left="547" w:leftChars="228" w:firstLine="0"/>
        <w:jc w:val="both"/>
        <w:textAlignment w:val="auto"/>
        <w:rPr>
          <w:rFonts w:hint="eastAsia" w:ascii="宋体" w:hAnsi="宋体" w:eastAsia="宋体" w:cs="宋体"/>
          <w:kern w:val="0"/>
          <w:sz w:val="24"/>
          <w:szCs w:val="24"/>
          <w:lang w:val="en-US" w:eastAsia="zh-CN"/>
        </w:rPr>
      </w:pPr>
    </w:p>
    <w:p>
      <w:pPr>
        <w:keepNext w:val="0"/>
        <w:keepLines w:val="0"/>
        <w:pageBreakBefore w:val="0"/>
        <w:widowControl w:val="0"/>
        <w:kinsoku/>
        <w:wordWrap/>
        <w:overflowPunct/>
        <w:topLinePunct w:val="0"/>
        <w:bidi w:val="0"/>
        <w:adjustRightInd/>
        <w:snapToGrid/>
        <w:spacing w:line="460" w:lineRule="exact"/>
        <w:ind w:left="547" w:leftChars="228" w:firstLine="0"/>
        <w:jc w:val="both"/>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lang w:val="en-US" w:eastAsia="zh-CN"/>
        </w:rPr>
        <w:t xml:space="preserve">3.2 </w:t>
      </w:r>
      <w:r>
        <w:rPr>
          <w:rFonts w:hint="eastAsia" w:ascii="宋体" w:hAnsi="宋体" w:eastAsia="宋体" w:cs="宋体"/>
          <w:kern w:val="0"/>
          <w:sz w:val="24"/>
          <w:szCs w:val="24"/>
        </w:rPr>
        <w:t>分项价格：</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序号</w:t>
            </w:r>
          </w:p>
        </w:tc>
        <w:tc>
          <w:tcPr>
            <w:tcW w:w="34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分项名称</w:t>
            </w:r>
          </w:p>
        </w:tc>
        <w:tc>
          <w:tcPr>
            <w:tcW w:w="25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340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c>
          <w:tcPr>
            <w:tcW w:w="25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总价</w:t>
            </w:r>
          </w:p>
        </w:tc>
        <w:tc>
          <w:tcPr>
            <w:tcW w:w="25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460" w:lineRule="exact"/>
              <w:ind w:firstLine="200"/>
              <w:jc w:val="center"/>
              <w:textAlignment w:val="auto"/>
              <w:rPr>
                <w:rFonts w:hint="eastAsia" w:ascii="宋体" w:hAnsi="宋体" w:eastAsia="宋体" w:cs="宋体"/>
                <w:kern w:val="0"/>
                <w:sz w:val="24"/>
                <w:szCs w:val="24"/>
                <w:lang w:val="en-US" w:eastAsia="zh-CN" w:bidi="ar-SA"/>
              </w:rPr>
            </w:pPr>
          </w:p>
        </w:tc>
      </w:tr>
    </w:tbl>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bookmarkStart w:id="32" w:name="_Toc1814"/>
      <w:bookmarkStart w:id="33" w:name="_Toc10340"/>
      <w:bookmarkStart w:id="34" w:name="_Toc22618"/>
      <w:bookmarkStart w:id="35" w:name="_Toc7245"/>
      <w:bookmarkStart w:id="36" w:name="_Toc11173"/>
      <w:bookmarkStart w:id="37" w:name="_Toc15322"/>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四</w:t>
      </w:r>
      <w:r>
        <w:rPr>
          <w:rFonts w:hint="eastAsia" w:ascii="宋体" w:hAnsi="宋体" w:eastAsia="宋体" w:cs="宋体"/>
          <w:b/>
          <w:kern w:val="0"/>
          <w:sz w:val="24"/>
          <w:szCs w:val="24"/>
        </w:rPr>
        <w:t>条 采购期限</w:t>
      </w:r>
    </w:p>
    <w:p>
      <w:pPr>
        <w:keepNext w:val="0"/>
        <w:keepLines w:val="0"/>
        <w:pageBreakBefore w:val="0"/>
        <w:widowControl w:val="0"/>
        <w:kinsoku/>
        <w:wordWrap/>
        <w:overflowPunct/>
        <w:topLinePunct w:val="0"/>
        <w:autoSpaceDE/>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本项目采购期限为   ，自 年 月 日—  年 月 日止。本项目中任何一项货物逾期交付的，若每逾期一天，应按本项目总货款每日千分之三计算支付违约给甲方，逾期超过十天的，视为乙方根本性违约，甲方有权单方解除本合同，合同解除的，乙方还应按本项目总货款15%计算支付违约金给甲方，因此给甲方造成损失的，乙方仍应全额赔偿。</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五</w:t>
      </w:r>
      <w:r>
        <w:rPr>
          <w:rFonts w:hint="eastAsia" w:ascii="宋体" w:hAnsi="宋体" w:eastAsia="宋体" w:cs="宋体"/>
          <w:b/>
          <w:kern w:val="0"/>
          <w:sz w:val="24"/>
          <w:szCs w:val="24"/>
        </w:rPr>
        <w:t>条 技术规范</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六</w:t>
      </w:r>
      <w:r>
        <w:rPr>
          <w:rFonts w:hint="eastAsia" w:ascii="宋体" w:hAnsi="宋体" w:eastAsia="宋体" w:cs="宋体"/>
          <w:b/>
          <w:kern w:val="0"/>
          <w:sz w:val="24"/>
          <w:szCs w:val="24"/>
        </w:rPr>
        <w:t>条</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付款</w:t>
      </w:r>
      <w:bookmarkEnd w:id="32"/>
      <w:bookmarkEnd w:id="33"/>
      <w:bookmarkEnd w:id="34"/>
      <w:r>
        <w:rPr>
          <w:rFonts w:hint="eastAsia" w:ascii="宋体" w:hAnsi="宋体" w:eastAsia="宋体" w:cs="宋体"/>
          <w:b/>
          <w:kern w:val="0"/>
          <w:sz w:val="24"/>
          <w:szCs w:val="24"/>
        </w:rPr>
        <w:t>方式、时间和条件</w:t>
      </w:r>
    </w:p>
    <w:p>
      <w:pPr>
        <w:keepNext w:val="0"/>
        <w:keepLines w:val="0"/>
        <w:pageBreakBefore w:val="0"/>
        <w:widowControl w:val="0"/>
        <w:kinsoku/>
        <w:wordWrap/>
        <w:overflowPunct/>
        <w:topLinePunct w:val="0"/>
        <w:bidi w:val="0"/>
        <w:adjustRightInd/>
        <w:snapToGrid/>
        <w:spacing w:before="0" w:beforeAutospacing="0" w:after="0" w:afterAutospacing="0"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6.1 </w:t>
      </w:r>
      <w:r>
        <w:rPr>
          <w:rFonts w:hint="eastAsia" w:ascii="宋体" w:hAnsi="宋体" w:eastAsia="宋体" w:cs="宋体"/>
          <w:kern w:val="0"/>
          <w:sz w:val="24"/>
          <w:szCs w:val="24"/>
        </w:rPr>
        <w:t>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但乙方应在甲方每次付款前提供等额的增值税专用发票给甲方，若因乙方迟延提供发票导致甲方延迟付款的，责任由乙方自行承担，与甲方无关。</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6.2 </w:t>
      </w:r>
      <w:r>
        <w:rPr>
          <w:rFonts w:hint="eastAsia" w:ascii="宋体" w:hAnsi="宋体" w:eastAsia="宋体" w:cs="宋体"/>
          <w:kern w:val="0"/>
          <w:sz w:val="24"/>
          <w:szCs w:val="24"/>
        </w:rPr>
        <w:t>资金支付的方式、时间和条件：</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合同签订且具备实施条件进场施工后7个工作日内向中标人支付合同金额的30%；货物、设备在中标人供货、安装调试完毕经采购人确认后支付至合同金额的80%，项目最终验收合格后经审计后支付至审定金额的95%，剩余5%作为项目质保金，待中标人承诺的质保期满，经采购人确认无任何问题后一次性付清（不计息）。</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bookmarkStart w:id="38" w:name="_Toc2846"/>
      <w:bookmarkStart w:id="39" w:name="_Toc32071"/>
      <w:bookmarkStart w:id="40" w:name="_Toc19304"/>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七</w:t>
      </w:r>
      <w:r>
        <w:rPr>
          <w:rFonts w:hint="eastAsia" w:ascii="宋体" w:hAnsi="宋体" w:eastAsia="宋体" w:cs="宋体"/>
          <w:b/>
          <w:kern w:val="0"/>
          <w:sz w:val="24"/>
          <w:szCs w:val="24"/>
        </w:rPr>
        <w:t>条 货物交付期限、地点和方式</w:t>
      </w:r>
      <w:bookmarkEnd w:id="38"/>
      <w:bookmarkEnd w:id="39"/>
      <w:bookmarkEnd w:id="40"/>
    </w:p>
    <w:p>
      <w:pPr>
        <w:keepNext w:val="0"/>
        <w:keepLines w:val="0"/>
        <w:pageBreakBefore w:val="0"/>
        <w:widowControl w:val="0"/>
        <w:kinsoku/>
        <w:wordWrap/>
        <w:overflowPunct/>
        <w:topLinePunct w:val="0"/>
        <w:autoSpaceDE w:val="0"/>
        <w:bidi w:val="0"/>
        <w:adjustRightInd/>
        <w:snapToGrid/>
        <w:spacing w:line="460" w:lineRule="exact"/>
        <w:ind w:firstLine="480" w:firstLineChars="200"/>
        <w:jc w:val="both"/>
        <w:textAlignment w:val="auto"/>
        <w:rPr>
          <w:rFonts w:hint="eastAsia" w:ascii="宋体" w:hAnsi="宋体" w:eastAsia="宋体" w:cs="宋体"/>
          <w:kern w:val="0"/>
          <w:sz w:val="24"/>
          <w:szCs w:val="24"/>
          <w:u w:val="none"/>
        </w:rPr>
      </w:pPr>
      <w:r>
        <w:rPr>
          <w:rFonts w:hint="eastAsia" w:ascii="宋体" w:hAnsi="宋体" w:eastAsia="宋体" w:cs="宋体"/>
          <w:kern w:val="0"/>
          <w:sz w:val="24"/>
          <w:szCs w:val="24"/>
          <w:lang w:val="en-US" w:eastAsia="zh-CN"/>
        </w:rPr>
        <w:t xml:space="preserve">7.1 </w:t>
      </w:r>
      <w:r>
        <w:rPr>
          <w:rFonts w:hint="eastAsia" w:ascii="宋体" w:hAnsi="宋体" w:eastAsia="宋体" w:cs="宋体"/>
          <w:kern w:val="0"/>
          <w:sz w:val="24"/>
          <w:szCs w:val="24"/>
        </w:rPr>
        <w:t>交付期限：</w:t>
      </w:r>
      <w:r>
        <w:rPr>
          <w:rFonts w:hint="eastAsia" w:ascii="宋体" w:hAnsi="宋体" w:eastAsia="宋体" w:cs="宋体"/>
          <w:kern w:val="0"/>
          <w:sz w:val="24"/>
          <w:szCs w:val="24"/>
          <w:lang w:eastAsia="zh-CN"/>
        </w:rPr>
        <w:t>合同签订后 80  日内完成所有货物的生产、安装、调试并交付验收，其中大堂、会议室、宴会厅第一批货物要求2025年1月21日前安装调试到位。每延期一天扣款50000元。</w:t>
      </w:r>
    </w:p>
    <w:p>
      <w:pPr>
        <w:keepNext w:val="0"/>
        <w:keepLines w:val="0"/>
        <w:pageBreakBefore w:val="0"/>
        <w:widowControl w:val="0"/>
        <w:kinsoku/>
        <w:wordWrap/>
        <w:overflowPunct/>
        <w:topLinePunct w:val="0"/>
        <w:autoSpaceDE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7.2 </w:t>
      </w:r>
      <w:r>
        <w:rPr>
          <w:rFonts w:hint="eastAsia" w:ascii="宋体" w:hAnsi="宋体" w:eastAsia="宋体" w:cs="宋体"/>
          <w:kern w:val="0"/>
          <w:sz w:val="24"/>
          <w:szCs w:val="24"/>
        </w:rPr>
        <w:t>交付地点：桐庐县瑶琳镇红灯笼乡村家园；</w:t>
      </w:r>
    </w:p>
    <w:p>
      <w:pPr>
        <w:keepNext w:val="0"/>
        <w:keepLines w:val="0"/>
        <w:pageBreakBefore w:val="0"/>
        <w:widowControl w:val="0"/>
        <w:kinsoku/>
        <w:wordWrap/>
        <w:overflowPunct/>
        <w:topLinePunct w:val="0"/>
        <w:autoSpaceDE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7.3 </w:t>
      </w:r>
      <w:r>
        <w:rPr>
          <w:rFonts w:hint="eastAsia" w:ascii="宋体" w:hAnsi="宋体" w:eastAsia="宋体" w:cs="宋体"/>
          <w:kern w:val="0"/>
          <w:sz w:val="24"/>
          <w:szCs w:val="24"/>
        </w:rPr>
        <w:t>交付方式：现实交付（按甲方要求将货物送达指定地点并安装调试完毕后交付给甲方）。</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八</w:t>
      </w:r>
      <w:r>
        <w:rPr>
          <w:rFonts w:hint="eastAsia" w:ascii="宋体" w:hAnsi="宋体" w:eastAsia="宋体" w:cs="宋体"/>
          <w:b/>
          <w:kern w:val="0"/>
          <w:sz w:val="24"/>
          <w:szCs w:val="24"/>
        </w:rPr>
        <w:t>条 履约保证金</w:t>
      </w:r>
    </w:p>
    <w:p>
      <w:pPr>
        <w:keepNext w:val="0"/>
        <w:keepLines w:val="0"/>
        <w:pageBreakBefore w:val="0"/>
        <w:widowControl w:val="0"/>
        <w:kinsoku/>
        <w:wordWrap/>
        <w:overflowPunct/>
        <w:topLinePunct w:val="0"/>
        <w:bidi w:val="0"/>
        <w:adjustRightInd/>
        <w:snapToGrid/>
        <w:spacing w:before="0" w:beforeAutospacing="0" w:after="0" w:afterAutospacing="0"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8.1 </w:t>
      </w:r>
      <w:r>
        <w:rPr>
          <w:rFonts w:hint="eastAsia" w:ascii="宋体" w:hAnsi="宋体" w:eastAsia="宋体" w:cs="宋体"/>
          <w:kern w:val="0"/>
          <w:sz w:val="24"/>
          <w:szCs w:val="24"/>
        </w:rPr>
        <w:t>本项目签订合同之前，投标人需缴纳2%中标价的履约担保金（采用转账或见索即付、不可撤销的银行保函方式，若采用保函方式，如保函担保时间到期，到期延期），验收合格之日起30天内无息退还（不计息）。</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8.2 </w:t>
      </w:r>
      <w:r>
        <w:rPr>
          <w:rFonts w:hint="eastAsia" w:ascii="宋体" w:hAnsi="宋体" w:eastAsia="宋体" w:cs="宋体"/>
          <w:kern w:val="0"/>
          <w:sz w:val="24"/>
          <w:szCs w:val="24"/>
        </w:rPr>
        <w:t xml:space="preserve">甲方在项目验收结束且确认无任何问题后及时退还履约保证金（无息）。 </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8.3 </w:t>
      </w:r>
      <w:r>
        <w:rPr>
          <w:rFonts w:hint="eastAsia" w:ascii="宋体" w:hAnsi="宋体" w:eastAsia="宋体" w:cs="宋体"/>
          <w:kern w:val="0"/>
          <w:sz w:val="24"/>
          <w:szCs w:val="24"/>
        </w:rPr>
        <w:t>如果乙方未能按本合同约定全面履行义务，有任何违约行为的，那么甲方有权直接从履约保证金中扣除违约金及赔偿，同时不影响甲方要求乙方承担合同约定的超过履约保证金的违约责任的权利。</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8.4 </w:t>
      </w:r>
      <w:r>
        <w:rPr>
          <w:rFonts w:hint="eastAsia" w:ascii="宋体" w:hAnsi="宋体" w:eastAsia="宋体" w:cs="宋体"/>
          <w:kern w:val="0"/>
          <w:sz w:val="24"/>
          <w:szCs w:val="24"/>
        </w:rPr>
        <w:t>甲方在乙方履行完合同约定义务事项后及时退还，延迟退还的，应当按照合同约定和法律规定承担相应的赔偿责任。</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b/>
          <w:kern w:val="0"/>
          <w:sz w:val="24"/>
          <w:szCs w:val="24"/>
        </w:rPr>
      </w:pPr>
      <w:r>
        <w:rPr>
          <w:rFonts w:hint="eastAsia" w:ascii="宋体" w:hAnsi="宋体" w:eastAsia="宋体" w:cs="宋体"/>
          <w:kern w:val="0"/>
          <w:sz w:val="24"/>
          <w:szCs w:val="24"/>
          <w:lang w:val="en-US" w:eastAsia="zh-CN"/>
        </w:rPr>
        <w:t xml:space="preserve">8.5 </w:t>
      </w:r>
      <w:r>
        <w:rPr>
          <w:rFonts w:hint="eastAsia" w:ascii="宋体" w:hAnsi="宋体" w:eastAsia="宋体" w:cs="宋体"/>
          <w:kern w:val="0"/>
          <w:sz w:val="24"/>
          <w:szCs w:val="24"/>
        </w:rPr>
        <w:t>对于因甲方原因导致变更、中止或者终止政府采购合同的，甲方应当依照合同约定对供应商受到的损失予以赔偿或者补偿。</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九</w:t>
      </w:r>
      <w:r>
        <w:rPr>
          <w:rFonts w:hint="eastAsia" w:ascii="宋体" w:hAnsi="宋体" w:eastAsia="宋体" w:cs="宋体"/>
          <w:b/>
          <w:kern w:val="0"/>
          <w:sz w:val="24"/>
          <w:szCs w:val="24"/>
        </w:rPr>
        <w:t>条</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知识产权</w:t>
      </w:r>
    </w:p>
    <w:p>
      <w:pPr>
        <w:keepNext w:val="0"/>
        <w:keepLines w:val="0"/>
        <w:pageBreakBefore w:val="0"/>
        <w:widowControl w:val="0"/>
        <w:kinsoku/>
        <w:wordWrap/>
        <w:overflowPunct/>
        <w:topLinePunct w:val="0"/>
        <w:bidi w:val="0"/>
        <w:adjustRightInd/>
        <w:snapToGrid/>
        <w:spacing w:line="460" w:lineRule="exact"/>
        <w:ind w:firstLine="48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若因此给甲方造成损失的，乙方仍应全额赔偿甲方。具有知识产权的计算机软件等货物的知识产权一律归属乙方。</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十</w:t>
      </w:r>
      <w:r>
        <w:rPr>
          <w:rFonts w:hint="eastAsia" w:ascii="宋体" w:hAnsi="宋体" w:eastAsia="宋体" w:cs="宋体"/>
          <w:b/>
          <w:kern w:val="0"/>
          <w:sz w:val="24"/>
          <w:szCs w:val="24"/>
        </w:rPr>
        <w:t>条  税费</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与本合同有关的一切税费，均按照相关法律的规定各自承担。</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十一</w:t>
      </w:r>
      <w:r>
        <w:rPr>
          <w:rFonts w:hint="eastAsia" w:ascii="宋体" w:hAnsi="宋体" w:eastAsia="宋体" w:cs="宋体"/>
          <w:b/>
          <w:kern w:val="0"/>
          <w:sz w:val="24"/>
          <w:szCs w:val="24"/>
        </w:rPr>
        <w:t>条 验收及检查</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11.1 </w:t>
      </w:r>
      <w:r>
        <w:rPr>
          <w:rFonts w:hint="eastAsia" w:ascii="宋体" w:hAnsi="宋体" w:eastAsia="宋体" w:cs="宋体"/>
          <w:kern w:val="0"/>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11.2 </w:t>
      </w:r>
      <w:r>
        <w:rPr>
          <w:rFonts w:hint="eastAsia" w:ascii="宋体" w:hAnsi="宋体" w:eastAsia="宋体" w:cs="宋体"/>
          <w:kern w:val="0"/>
          <w:sz w:val="24"/>
          <w:szCs w:val="24"/>
        </w:rPr>
        <w:t>合同履行期间，甲方有权将履行过程中出现的问题反馈给乙方，双方当事人应以书面形式约定需要完善和改进的内容。</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11.3 </w:t>
      </w:r>
      <w:r>
        <w:rPr>
          <w:rFonts w:hint="eastAsia" w:ascii="宋体" w:hAnsi="宋体" w:eastAsia="宋体" w:cs="宋体"/>
          <w:kern w:val="0"/>
          <w:sz w:val="24"/>
          <w:szCs w:val="24"/>
        </w:rPr>
        <w:t>货物交付前，乙方应对货物的质量、数量等方面进行详细、全面的检验，并向甲方出具证明货物符合合同约定的文件；甲方应按照本合同约定的时间及地点将货物送至乙方指定地点，货物交付时，甲方在乙方安装调试完毕后10个工作日内约定时间内组织验收，并可依法邀请相关方参加，验收应出具验收书。</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11.4 </w:t>
      </w:r>
      <w:r>
        <w:rPr>
          <w:rFonts w:hint="eastAsia" w:ascii="宋体" w:hAnsi="宋体" w:eastAsia="宋体" w:cs="宋体"/>
          <w:kern w:val="0"/>
          <w:sz w:val="24"/>
          <w:szCs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11.5 </w:t>
      </w:r>
      <w:r>
        <w:rPr>
          <w:rFonts w:hint="eastAsia" w:ascii="宋体" w:hAnsi="宋体" w:eastAsia="宋体" w:cs="宋体"/>
          <w:kern w:val="0"/>
          <w:sz w:val="24"/>
          <w:szCs w:val="24"/>
        </w:rPr>
        <w:t>检验和验收标准、程序等具体内容以及前述验收书的效力采用本行业通用标准</w:t>
      </w:r>
      <w:r>
        <w:rPr>
          <w:rFonts w:hint="eastAsia" w:ascii="宋体" w:hAnsi="宋体" w:eastAsia="宋体" w:cs="宋体"/>
          <w:i w:val="0"/>
          <w:kern w:val="0"/>
          <w:sz w:val="24"/>
          <w:szCs w:val="24"/>
        </w:rPr>
        <w:t>。</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条 包装和装运</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12.1 </w:t>
      </w:r>
      <w:r>
        <w:rPr>
          <w:rFonts w:hint="eastAsia" w:ascii="宋体" w:hAnsi="宋体" w:eastAsia="宋体" w:cs="宋体"/>
          <w:kern w:val="0"/>
          <w:sz w:val="24"/>
          <w:szCs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12.2 </w:t>
      </w:r>
      <w:r>
        <w:rPr>
          <w:rFonts w:hint="eastAsia" w:ascii="宋体" w:hAnsi="宋体" w:eastAsia="宋体" w:cs="宋体"/>
          <w:kern w:val="0"/>
          <w:sz w:val="24"/>
          <w:szCs w:val="24"/>
        </w:rPr>
        <w:t xml:space="preserve">乙方提供产品及相关快递服务的具体包装要求应符合《商品包装政府采购需求标准（试行）》《快递包装政府采购需求标准（试行）》，并作为履约验收的内容，必要时甲方可以要求乙方在履约验收环节出具检测报告。 </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12.3 </w:t>
      </w:r>
      <w:r>
        <w:rPr>
          <w:rFonts w:hint="eastAsia" w:ascii="宋体" w:hAnsi="宋体" w:eastAsia="宋体" w:cs="宋体"/>
          <w:kern w:val="0"/>
          <w:sz w:val="24"/>
          <w:szCs w:val="24"/>
        </w:rPr>
        <w:t>装运货物的要求和通知，在交付期限内乙方自行安排装运并承担相应费用，并在货物起运前提前告知采购人。</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三</w:t>
      </w:r>
      <w:r>
        <w:rPr>
          <w:rFonts w:hint="eastAsia" w:ascii="宋体" w:hAnsi="宋体" w:eastAsia="宋体" w:cs="宋体"/>
          <w:b/>
          <w:kern w:val="0"/>
          <w:sz w:val="24"/>
          <w:szCs w:val="24"/>
        </w:rPr>
        <w:t>条</w:t>
      </w:r>
      <w:r>
        <w:rPr>
          <w:rFonts w:hint="eastAsia" w:ascii="宋体" w:hAnsi="宋体" w:eastAsia="宋体" w:cs="宋体"/>
          <w:b/>
          <w:kern w:val="0"/>
          <w:sz w:val="24"/>
          <w:szCs w:val="24"/>
          <w:lang w:val="en-US" w:eastAsia="zh-CN"/>
        </w:rPr>
        <w:t xml:space="preserve"> </w:t>
      </w:r>
      <w:r>
        <w:rPr>
          <w:rFonts w:hint="eastAsia" w:ascii="宋体" w:hAnsi="宋体" w:eastAsia="宋体" w:cs="宋体"/>
          <w:b/>
          <w:kern w:val="0"/>
          <w:sz w:val="24"/>
          <w:szCs w:val="24"/>
        </w:rPr>
        <w:t>技术资料和保密义务</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13.1 </w:t>
      </w:r>
      <w:r>
        <w:rPr>
          <w:rFonts w:hint="eastAsia" w:ascii="宋体" w:hAnsi="宋体" w:eastAsia="宋体" w:cs="宋体"/>
          <w:kern w:val="0"/>
          <w:sz w:val="24"/>
          <w:szCs w:val="24"/>
        </w:rPr>
        <w:t>乙方有权依据合同约定和项目需要，向甲方了解有关情况，调阅有关资料等，甲方应予积极配合；</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13.2 </w:t>
      </w:r>
      <w:r>
        <w:rPr>
          <w:rFonts w:hint="eastAsia" w:ascii="宋体" w:hAnsi="宋体" w:eastAsia="宋体" w:cs="宋体"/>
          <w:kern w:val="0"/>
          <w:sz w:val="24"/>
          <w:szCs w:val="24"/>
        </w:rPr>
        <w:t>乙方有义务妥善保管和保护由甲方提供的前款信息和资料等；</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13.3 </w:t>
      </w:r>
      <w:r>
        <w:rPr>
          <w:rFonts w:hint="eastAsia" w:ascii="宋体" w:hAnsi="宋体" w:eastAsia="宋体" w:cs="宋体"/>
          <w:kern w:val="0"/>
          <w:sz w:val="24"/>
          <w:szCs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否则违约方应承担相应的违约责任，支付</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元违约金给守约方，情节严重的，直至追究法律责任。本保密条款不因本合同解除、终止而无效。</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四</w:t>
      </w:r>
      <w:r>
        <w:rPr>
          <w:rFonts w:hint="eastAsia" w:ascii="宋体" w:hAnsi="宋体" w:eastAsia="宋体" w:cs="宋体"/>
          <w:b/>
          <w:kern w:val="0"/>
          <w:sz w:val="24"/>
          <w:szCs w:val="24"/>
        </w:rPr>
        <w:t>条 质量保证</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14.1 </w:t>
      </w:r>
      <w:r>
        <w:rPr>
          <w:rFonts w:hint="eastAsia" w:ascii="宋体" w:hAnsi="宋体" w:eastAsia="宋体" w:cs="宋体"/>
          <w:kern w:val="0"/>
          <w:sz w:val="24"/>
          <w:szCs w:val="24"/>
        </w:rPr>
        <w:t>乙方应建立和完善履行合同的内部质量保证体系，并提供相关内部规章制度给甲方，以便甲方进行监督检查；</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14.2 </w:t>
      </w:r>
      <w:r>
        <w:rPr>
          <w:rFonts w:hint="eastAsia" w:ascii="宋体" w:hAnsi="宋体" w:eastAsia="宋体" w:cs="宋体"/>
          <w:kern w:val="0"/>
          <w:sz w:val="24"/>
          <w:szCs w:val="24"/>
        </w:rPr>
        <w:t>乙方应保证履行合同的人员数量和素质、软件和硬件设备的配置、场地、环境和设施等满足全面履行合同的要求，并应接受甲方的监督检查。</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五</w:t>
      </w:r>
      <w:r>
        <w:rPr>
          <w:rFonts w:hint="eastAsia" w:ascii="宋体" w:hAnsi="宋体" w:eastAsia="宋体" w:cs="宋体"/>
          <w:b/>
          <w:kern w:val="0"/>
          <w:sz w:val="24"/>
          <w:szCs w:val="24"/>
        </w:rPr>
        <w:t>条 货物的风险负担</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本合同的货物在甲方验收合格确认无任何问题前毁损、灭失的风险均由乙方承担</w:t>
      </w:r>
      <w:r>
        <w:rPr>
          <w:rFonts w:hint="eastAsia" w:ascii="宋体" w:hAnsi="宋体" w:eastAsia="宋体" w:cs="宋体"/>
          <w:b w:val="0"/>
          <w:i w:val="0"/>
          <w:kern w:val="0"/>
          <w:sz w:val="24"/>
          <w:szCs w:val="24"/>
        </w:rPr>
        <w:t>。</w:t>
      </w:r>
    </w:p>
    <w:p>
      <w:pPr>
        <w:keepNext w:val="0"/>
        <w:keepLines w:val="0"/>
        <w:pageBreakBefore w:val="0"/>
        <w:widowControl w:val="0"/>
        <w:kinsoku/>
        <w:wordWrap/>
        <w:overflowPunct/>
        <w:topLinePunct w:val="0"/>
        <w:bidi w:val="0"/>
        <w:adjustRightInd/>
        <w:snapToGrid/>
        <w:spacing w:line="460" w:lineRule="exact"/>
        <w:ind w:left="0" w:leftChars="0"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六</w:t>
      </w:r>
      <w:r>
        <w:rPr>
          <w:rFonts w:hint="eastAsia" w:ascii="宋体" w:hAnsi="宋体" w:eastAsia="宋体" w:cs="宋体"/>
          <w:b/>
          <w:kern w:val="0"/>
          <w:sz w:val="24"/>
          <w:szCs w:val="24"/>
        </w:rPr>
        <w:t>条 延迟交货</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七</w:t>
      </w:r>
      <w:r>
        <w:rPr>
          <w:rFonts w:hint="eastAsia" w:ascii="宋体" w:hAnsi="宋体" w:eastAsia="宋体" w:cs="宋体"/>
          <w:b/>
          <w:kern w:val="0"/>
          <w:sz w:val="24"/>
          <w:szCs w:val="24"/>
        </w:rPr>
        <w:t>条 合同转让和分包</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17.1 </w:t>
      </w:r>
      <w:r>
        <w:rPr>
          <w:rFonts w:hint="eastAsia" w:ascii="宋体" w:hAnsi="宋体" w:eastAsia="宋体" w:cs="宋体"/>
          <w:kern w:val="0"/>
          <w:sz w:val="24"/>
          <w:szCs w:val="24"/>
        </w:rPr>
        <w:t>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17.2 </w:t>
      </w:r>
      <w:r>
        <w:rPr>
          <w:rFonts w:hint="eastAsia" w:ascii="宋体" w:hAnsi="宋体" w:eastAsia="宋体" w:cs="宋体"/>
          <w:kern w:val="0"/>
          <w:sz w:val="24"/>
          <w:szCs w:val="24"/>
        </w:rPr>
        <w:t>乙方同意，采取分包方式履行合同的，甲方可直接向分包供应商支付款项。</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八</w:t>
      </w:r>
      <w:r>
        <w:rPr>
          <w:rFonts w:hint="eastAsia" w:ascii="宋体" w:hAnsi="宋体" w:eastAsia="宋体" w:cs="宋体"/>
          <w:b/>
          <w:kern w:val="0"/>
          <w:sz w:val="24"/>
          <w:szCs w:val="24"/>
        </w:rPr>
        <w:t>条 违约责任</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18.1 </w:t>
      </w:r>
      <w:r>
        <w:rPr>
          <w:rFonts w:hint="eastAsia" w:ascii="宋体" w:hAnsi="宋体" w:eastAsia="宋体" w:cs="宋体"/>
          <w:kern w:val="0"/>
          <w:sz w:val="24"/>
          <w:szCs w:val="24"/>
        </w:rPr>
        <w:t>如果乙方没有按照本合同约定的期限、地点和方式交付货物，那么甲方可要求乙方支付违约金，逾期一天，违约金按本合同货物总价格的日</w:t>
      </w:r>
      <w:r>
        <w:rPr>
          <w:rFonts w:hint="eastAsia" w:ascii="宋体" w:hAnsi="宋体" w:eastAsia="宋体" w:cs="宋体"/>
          <w:kern w:val="0"/>
          <w:sz w:val="24"/>
          <w:szCs w:val="24"/>
          <w:u w:val="none"/>
        </w:rPr>
        <w:t>千分之三</w:t>
      </w:r>
      <w:r>
        <w:rPr>
          <w:rFonts w:hint="eastAsia" w:ascii="宋体" w:hAnsi="宋体" w:eastAsia="宋体" w:cs="宋体"/>
          <w:kern w:val="0"/>
          <w:sz w:val="24"/>
          <w:szCs w:val="24"/>
        </w:rPr>
        <w:t>计算，最高限额为本合同总价的</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%；迟延交付货物超过十五天，视为乙方根本性违约，甲方有权单方解除本合同，合同解除的，乙方还应按货物总价款15%计算支付违约金给甲方，不足以弥补甲方损失的，乙方仍应全额赔偿。</w:t>
      </w:r>
    </w:p>
    <w:p>
      <w:pPr>
        <w:keepNext w:val="0"/>
        <w:keepLines w:val="0"/>
        <w:pageBreakBefore w:val="0"/>
        <w:widowControl w:val="0"/>
        <w:kinsoku/>
        <w:wordWrap/>
        <w:overflowPunct/>
        <w:topLinePunct w:val="0"/>
        <w:bidi w:val="0"/>
        <w:adjustRightInd/>
        <w:snapToGrid/>
        <w:spacing w:line="460" w:lineRule="exact"/>
        <w:ind w:left="0" w:leftChars="0"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18.2 </w:t>
      </w:r>
      <w:r>
        <w:rPr>
          <w:rFonts w:hint="eastAsia" w:ascii="宋体" w:hAnsi="宋体" w:eastAsia="宋体" w:cs="宋体"/>
          <w:kern w:val="0"/>
          <w:sz w:val="24"/>
          <w:szCs w:val="24"/>
        </w:rPr>
        <w:t>若乙方提供的货物设备不符合相关法律规定及行业规定或本合同约定的，视为乙方根本性违约，甲方有权单方解除本合同，合同解除的，甲方支付的货款全额返还甲方，且乙方应支付按本合同总价款15%计算的违约金给甲方，若因此给甲方造成损失的，乙方仍应全额赔偿。</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18.3 </w:t>
      </w:r>
      <w:r>
        <w:rPr>
          <w:rFonts w:hint="eastAsia" w:ascii="宋体" w:hAnsi="宋体" w:eastAsia="宋体" w:cs="宋体"/>
          <w:kern w:val="0"/>
          <w:sz w:val="24"/>
          <w:szCs w:val="24"/>
        </w:rPr>
        <w:t>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并承担相应的违约责任，情节严重的，直至追究法律责任。</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18.4 </w:t>
      </w:r>
      <w:r>
        <w:rPr>
          <w:rFonts w:hint="eastAsia" w:ascii="宋体" w:hAnsi="宋体" w:eastAsia="宋体" w:cs="宋体"/>
          <w:kern w:val="0"/>
          <w:sz w:val="24"/>
          <w:szCs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18.5 </w:t>
      </w:r>
      <w:r>
        <w:rPr>
          <w:rFonts w:hint="eastAsia" w:ascii="宋体" w:hAnsi="宋体" w:eastAsia="宋体" w:cs="宋体"/>
          <w:kern w:val="0"/>
          <w:sz w:val="24"/>
          <w:szCs w:val="24"/>
        </w:rPr>
        <w:t>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outlineLvl w:val="9"/>
        <w:rPr>
          <w:rFonts w:hint="eastAsia" w:ascii="宋体" w:hAnsi="宋体" w:eastAsia="宋体" w:cs="宋体"/>
          <w:b w:val="0"/>
          <w:kern w:val="0"/>
          <w:sz w:val="24"/>
          <w:szCs w:val="24"/>
        </w:rPr>
      </w:pPr>
      <w:r>
        <w:rPr>
          <w:rFonts w:hint="eastAsia" w:ascii="宋体" w:hAnsi="宋体" w:eastAsia="宋体" w:cs="宋体"/>
          <w:kern w:val="0"/>
          <w:sz w:val="24"/>
          <w:szCs w:val="24"/>
          <w:lang w:val="en-US" w:eastAsia="zh-CN"/>
        </w:rPr>
        <w:t xml:space="preserve">18.6 </w:t>
      </w:r>
      <w:r>
        <w:rPr>
          <w:rFonts w:hint="eastAsia" w:ascii="宋体" w:hAnsi="宋体" w:eastAsia="宋体" w:cs="宋体"/>
          <w:kern w:val="0"/>
          <w:sz w:val="24"/>
          <w:szCs w:val="24"/>
        </w:rPr>
        <w:t>有任何一方违约的，违约方除应承担违约责任外，还需承担守约方为实现债权所支出的全部费用（包括但不限于律师费、诉讼费、保全费、鉴定费等）。</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第十</w:t>
      </w:r>
      <w:r>
        <w:rPr>
          <w:rFonts w:hint="eastAsia" w:ascii="宋体" w:hAnsi="宋体" w:eastAsia="宋体" w:cs="宋体"/>
          <w:b/>
          <w:kern w:val="0"/>
          <w:sz w:val="24"/>
          <w:szCs w:val="24"/>
          <w:lang w:eastAsia="zh-CN"/>
        </w:rPr>
        <w:t>九</w:t>
      </w:r>
      <w:r>
        <w:rPr>
          <w:rFonts w:hint="eastAsia" w:ascii="宋体" w:hAnsi="宋体" w:eastAsia="宋体" w:cs="宋体"/>
          <w:b/>
          <w:kern w:val="0"/>
          <w:sz w:val="24"/>
          <w:szCs w:val="24"/>
        </w:rPr>
        <w:t>条 不可抗力</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19.1 </w:t>
      </w:r>
      <w:r>
        <w:rPr>
          <w:rFonts w:hint="eastAsia" w:ascii="宋体" w:hAnsi="宋体" w:eastAsia="宋体" w:cs="宋体"/>
          <w:kern w:val="0"/>
          <w:sz w:val="24"/>
          <w:szCs w:val="24"/>
        </w:rPr>
        <w:t>如果任何一方遭遇法律规定的不可抗力，致使合同履行受阻时，履行合同的期限应予延长，延长的期限应相当于不可抗力所影响的时间；</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19.2 </w:t>
      </w:r>
      <w:r>
        <w:rPr>
          <w:rFonts w:hint="eastAsia" w:ascii="宋体" w:hAnsi="宋体" w:eastAsia="宋体" w:cs="宋体"/>
          <w:kern w:val="0"/>
          <w:sz w:val="24"/>
          <w:szCs w:val="24"/>
        </w:rPr>
        <w:t>因不可抗力致使不能实现合同目的的，当事人可以解除合同，不视为违约；</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b/>
          <w:kern w:val="0"/>
          <w:sz w:val="24"/>
          <w:szCs w:val="24"/>
        </w:rPr>
      </w:pPr>
      <w:r>
        <w:rPr>
          <w:rFonts w:hint="eastAsia" w:ascii="宋体" w:hAnsi="宋体" w:eastAsia="宋体" w:cs="宋体"/>
          <w:kern w:val="0"/>
          <w:sz w:val="24"/>
          <w:szCs w:val="24"/>
          <w:lang w:val="en-US" w:eastAsia="zh-CN"/>
        </w:rPr>
        <w:t xml:space="preserve">19.3 </w:t>
      </w:r>
      <w:r>
        <w:rPr>
          <w:rFonts w:hint="eastAsia" w:ascii="宋体" w:hAnsi="宋体" w:eastAsia="宋体" w:cs="宋体"/>
          <w:kern w:val="0"/>
          <w:sz w:val="24"/>
          <w:szCs w:val="24"/>
        </w:rPr>
        <w:t>但遭受不可抗力一方应及时告知对方，并将有关部门出具的证明文件送达对方当事人，若因未及时告知对方导致损失扩大的，遭受不可抗力一方对扩大的损失仍应承担赔偿责任。</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二十</w:t>
      </w:r>
      <w:r>
        <w:rPr>
          <w:rFonts w:hint="eastAsia" w:ascii="宋体" w:hAnsi="宋体" w:eastAsia="宋体" w:cs="宋体"/>
          <w:b/>
          <w:kern w:val="0"/>
          <w:sz w:val="24"/>
          <w:szCs w:val="24"/>
        </w:rPr>
        <w:t>条 乙方破产</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如果乙方在本合同履行过程中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w:t>
      </w:r>
      <w:r>
        <w:rPr>
          <w:rFonts w:hint="eastAsia" w:ascii="宋体" w:hAnsi="宋体" w:eastAsia="宋体" w:cs="宋体"/>
          <w:b/>
          <w:kern w:val="0"/>
          <w:sz w:val="24"/>
          <w:szCs w:val="24"/>
          <w:lang w:eastAsia="zh-CN"/>
        </w:rPr>
        <w:t>二十一</w:t>
      </w:r>
      <w:r>
        <w:rPr>
          <w:rFonts w:hint="eastAsia" w:ascii="宋体" w:hAnsi="宋体" w:eastAsia="宋体" w:cs="宋体"/>
          <w:b/>
          <w:kern w:val="0"/>
          <w:sz w:val="24"/>
          <w:szCs w:val="24"/>
        </w:rPr>
        <w:t>条 同变更、解除、终止</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21.1 </w:t>
      </w:r>
      <w:r>
        <w:rPr>
          <w:rFonts w:hint="eastAsia" w:ascii="宋体" w:hAnsi="宋体" w:eastAsia="宋体" w:cs="宋体"/>
          <w:kern w:val="0"/>
          <w:sz w:val="24"/>
          <w:szCs w:val="24"/>
        </w:rPr>
        <w:t>甲乙双方协商一致可以变更、解除、终止本合同。</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21.2 </w:t>
      </w:r>
      <w:r>
        <w:rPr>
          <w:rFonts w:hint="eastAsia" w:ascii="宋体" w:hAnsi="宋体" w:eastAsia="宋体" w:cs="宋体"/>
          <w:kern w:val="0"/>
          <w:sz w:val="24"/>
          <w:szCs w:val="24"/>
        </w:rPr>
        <w:t>合同继续履行将损害国家利益和社会公共利益的，双方当事人应当以书面形式变更合同。有过错的一方应当承担赔偿责任，双方当事人都有过错的，各自承担相应的责任。</w:t>
      </w:r>
    </w:p>
    <w:p>
      <w:pPr>
        <w:keepNext w:val="0"/>
        <w:keepLines w:val="0"/>
        <w:pageBreakBefore w:val="0"/>
        <w:widowControl w:val="0"/>
        <w:tabs>
          <w:tab w:val="left" w:pos="360"/>
          <w:tab w:val="left" w:pos="540"/>
          <w:tab w:val="left" w:pos="1080"/>
        </w:tabs>
        <w:kinsoku/>
        <w:wordWrap/>
        <w:overflowPunct/>
        <w:topLinePunct w:val="0"/>
        <w:bidi w:val="0"/>
        <w:adjustRightInd/>
        <w:snapToGrid/>
        <w:spacing w:line="460" w:lineRule="exact"/>
        <w:ind w:firstLine="482" w:firstLineChars="200"/>
        <w:jc w:val="both"/>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第二十</w:t>
      </w:r>
      <w:r>
        <w:rPr>
          <w:rFonts w:hint="eastAsia" w:ascii="宋体" w:hAnsi="宋体" w:eastAsia="宋体" w:cs="宋体"/>
          <w:b/>
          <w:kern w:val="0"/>
          <w:sz w:val="24"/>
          <w:szCs w:val="24"/>
          <w:lang w:eastAsia="zh-CN"/>
        </w:rPr>
        <w:t>二</w:t>
      </w:r>
      <w:r>
        <w:rPr>
          <w:rFonts w:hint="eastAsia" w:ascii="宋体" w:hAnsi="宋体" w:eastAsia="宋体" w:cs="宋体"/>
          <w:b/>
          <w:kern w:val="0"/>
          <w:sz w:val="24"/>
          <w:szCs w:val="24"/>
        </w:rPr>
        <w:t>条 通知和送达</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22.1 </w:t>
      </w:r>
      <w:r>
        <w:rPr>
          <w:rFonts w:hint="eastAsia" w:ascii="宋体" w:hAnsi="宋体" w:eastAsia="宋体" w:cs="宋体"/>
          <w:kern w:val="0"/>
          <w:sz w:val="24"/>
          <w:szCs w:val="24"/>
        </w:rPr>
        <w:t>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eastAsia="宋体" w:cs="宋体"/>
          <w:kern w:val="0"/>
          <w:sz w:val="24"/>
          <w:szCs w:val="24"/>
          <w:u w:val="none"/>
        </w:rPr>
        <w:t>3</w:t>
      </w:r>
      <w:r>
        <w:rPr>
          <w:rFonts w:hint="eastAsia" w:ascii="宋体" w:hAnsi="宋体" w:eastAsia="宋体" w:cs="宋体"/>
          <w:kern w:val="0"/>
          <w:sz w:val="24"/>
          <w:szCs w:val="24"/>
        </w:rPr>
        <w:t>个工作日内书面通知对方当事人，在对方当事人收到有关变更通知之前，变更前的约定送达方式或者地址仍视为有效。</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22.2 </w:t>
      </w:r>
      <w:r>
        <w:rPr>
          <w:rFonts w:hint="eastAsia" w:ascii="宋体" w:hAnsi="宋体" w:eastAsia="宋体" w:cs="宋体"/>
          <w:kern w:val="0"/>
          <w:sz w:val="24"/>
          <w:szCs w:val="24"/>
        </w:rPr>
        <w:t>以当面交付方式送达的，交付之时视为送达；以电子邮件方式送达的，发出电子邮件之时视为送达；以传真方式送达的，发出传真之时视为送达；以邮寄方式送达的，邮件挂号寄出或者交邮之日之次日视为送达。</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第二十</w:t>
      </w:r>
      <w:r>
        <w:rPr>
          <w:rFonts w:hint="eastAsia" w:ascii="宋体" w:hAnsi="宋体" w:eastAsia="宋体" w:cs="宋体"/>
          <w:b/>
          <w:kern w:val="0"/>
          <w:sz w:val="24"/>
          <w:szCs w:val="24"/>
          <w:lang w:eastAsia="zh-CN"/>
        </w:rPr>
        <w:t>三</w:t>
      </w:r>
      <w:r>
        <w:rPr>
          <w:rFonts w:hint="eastAsia" w:ascii="宋体" w:hAnsi="宋体" w:eastAsia="宋体" w:cs="宋体"/>
          <w:b/>
          <w:kern w:val="0"/>
          <w:sz w:val="24"/>
          <w:szCs w:val="24"/>
        </w:rPr>
        <w:t>条 计量单位</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除技术规范中另有规定外,合同的计量单位均使用国家法定计量单位。</w:t>
      </w:r>
    </w:p>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第二十</w:t>
      </w:r>
      <w:r>
        <w:rPr>
          <w:rFonts w:hint="eastAsia" w:ascii="宋体" w:hAnsi="宋体" w:eastAsia="宋体" w:cs="宋体"/>
          <w:b/>
          <w:kern w:val="0"/>
          <w:sz w:val="24"/>
          <w:szCs w:val="24"/>
          <w:lang w:eastAsia="zh-CN"/>
        </w:rPr>
        <w:t>四</w:t>
      </w:r>
      <w:r>
        <w:rPr>
          <w:rFonts w:hint="eastAsia" w:ascii="宋体" w:hAnsi="宋体" w:eastAsia="宋体" w:cs="宋体"/>
          <w:b/>
          <w:kern w:val="0"/>
          <w:sz w:val="24"/>
          <w:szCs w:val="24"/>
        </w:rPr>
        <w:t>条 合同使用的文字和适用的法律</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24.1 </w:t>
      </w:r>
      <w:r>
        <w:rPr>
          <w:rFonts w:hint="eastAsia" w:ascii="宋体" w:hAnsi="宋体" w:eastAsia="宋体" w:cs="宋体"/>
          <w:kern w:val="0"/>
          <w:sz w:val="24"/>
          <w:szCs w:val="24"/>
        </w:rPr>
        <w:t>合同使用汉语书就、变更和解释；</w:t>
      </w:r>
    </w:p>
    <w:p>
      <w:pPr>
        <w:keepNext w:val="0"/>
        <w:keepLines w:val="0"/>
        <w:pageBreakBefore w:val="0"/>
        <w:widowControl w:val="0"/>
        <w:kinsoku/>
        <w:wordWrap/>
        <w:overflowPunct/>
        <w:topLinePunct w:val="0"/>
        <w:bidi w:val="0"/>
        <w:adjustRightInd/>
        <w:snapToGrid/>
        <w:spacing w:line="460" w:lineRule="exact"/>
        <w:ind w:firstLine="480" w:firstLineChars="200"/>
        <w:jc w:val="both"/>
        <w:textAlignment w:val="auto"/>
        <w:outlineLvl w:val="9"/>
        <w:rPr>
          <w:rFonts w:hint="eastAsia" w:ascii="宋体" w:hAnsi="宋体" w:eastAsia="宋体" w:cs="宋体"/>
          <w:b w:val="0"/>
          <w:kern w:val="0"/>
          <w:sz w:val="24"/>
          <w:szCs w:val="24"/>
        </w:rPr>
      </w:pPr>
      <w:r>
        <w:rPr>
          <w:rFonts w:hint="eastAsia" w:ascii="宋体" w:hAnsi="宋体" w:eastAsia="宋体" w:cs="宋体"/>
          <w:kern w:val="0"/>
          <w:sz w:val="24"/>
          <w:szCs w:val="24"/>
          <w:lang w:val="en-US" w:eastAsia="zh-CN"/>
        </w:rPr>
        <w:t xml:space="preserve">24.2 </w:t>
      </w:r>
      <w:r>
        <w:rPr>
          <w:rFonts w:hint="eastAsia" w:ascii="宋体" w:hAnsi="宋体" w:eastAsia="宋体" w:cs="宋体"/>
          <w:kern w:val="0"/>
          <w:sz w:val="24"/>
          <w:szCs w:val="24"/>
        </w:rPr>
        <w:t>合同适用中华人民共和国法律。</w:t>
      </w:r>
      <w:bookmarkStart w:id="41" w:name="_Toc21423"/>
      <w:bookmarkStart w:id="42" w:name="_Toc27250"/>
      <w:bookmarkStart w:id="43" w:name="_Toc19554"/>
    </w:p>
    <w:bookmarkEnd w:id="41"/>
    <w:bookmarkEnd w:id="42"/>
    <w:bookmarkEnd w:id="43"/>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bookmarkStart w:id="44" w:name="_Toc16021"/>
      <w:bookmarkStart w:id="45" w:name="_Toc15583"/>
      <w:bookmarkStart w:id="46" w:name="_Toc28375"/>
      <w:r>
        <w:rPr>
          <w:rFonts w:hint="eastAsia" w:ascii="宋体" w:hAnsi="宋体" w:eastAsia="宋体" w:cs="宋体"/>
          <w:b/>
          <w:kern w:val="0"/>
          <w:sz w:val="24"/>
          <w:szCs w:val="24"/>
        </w:rPr>
        <w:t>第二十</w:t>
      </w:r>
      <w:r>
        <w:rPr>
          <w:rFonts w:hint="eastAsia" w:ascii="宋体" w:hAnsi="宋体" w:eastAsia="宋体" w:cs="宋体"/>
          <w:b/>
          <w:kern w:val="0"/>
          <w:sz w:val="24"/>
          <w:szCs w:val="24"/>
          <w:lang w:eastAsia="zh-CN"/>
        </w:rPr>
        <w:t>五</w:t>
      </w:r>
      <w:r>
        <w:rPr>
          <w:rFonts w:hint="eastAsia" w:ascii="宋体" w:hAnsi="宋体" w:eastAsia="宋体" w:cs="宋体"/>
          <w:b/>
          <w:kern w:val="0"/>
          <w:sz w:val="24"/>
          <w:szCs w:val="24"/>
        </w:rPr>
        <w:t>条 合同争议的解决</w:t>
      </w:r>
      <w:bookmarkEnd w:id="44"/>
      <w:bookmarkEnd w:id="45"/>
      <w:bookmarkEnd w:id="46"/>
    </w:p>
    <w:p>
      <w:pPr>
        <w:keepNext w:val="0"/>
        <w:keepLines w:val="0"/>
        <w:pageBreakBefore w:val="0"/>
        <w:widowControl w:val="0"/>
        <w:kinsoku/>
        <w:wordWrap/>
        <w:overflowPunct/>
        <w:topLinePunct w:val="0"/>
        <w:bidi w:val="0"/>
        <w:adjustRightInd/>
        <w:snapToGrid/>
        <w:spacing w:line="460" w:lineRule="exact"/>
        <w:ind w:left="-70" w:leftChars="-29" w:right="-480" w:rightChars="-200" w:firstLine="240" w:firstLineChars="1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本合同履行过程中发生的任何争议，双方当事人应先协商解决，协商不成的，任何一方均可向桐庐县人民法院提起诉讼。</w:t>
      </w:r>
    </w:p>
    <w:bookmarkEnd w:id="35"/>
    <w:bookmarkEnd w:id="36"/>
    <w:bookmarkEnd w:id="37"/>
    <w:p>
      <w:pPr>
        <w:keepNext w:val="0"/>
        <w:keepLines w:val="0"/>
        <w:pageBreakBefore w:val="0"/>
        <w:widowControl w:val="0"/>
        <w:kinsoku/>
        <w:wordWrap/>
        <w:overflowPunct/>
        <w:topLinePunct w:val="0"/>
        <w:bidi w:val="0"/>
        <w:adjustRightInd/>
        <w:snapToGrid/>
        <w:spacing w:line="460" w:lineRule="exact"/>
        <w:ind w:firstLine="482" w:firstLineChars="200"/>
        <w:jc w:val="both"/>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第二十</w:t>
      </w:r>
      <w:r>
        <w:rPr>
          <w:rFonts w:hint="eastAsia" w:ascii="宋体" w:hAnsi="宋体" w:eastAsia="宋体" w:cs="宋体"/>
          <w:b/>
          <w:kern w:val="0"/>
          <w:sz w:val="24"/>
          <w:szCs w:val="24"/>
          <w:lang w:eastAsia="zh-CN"/>
        </w:rPr>
        <w:t>六</w:t>
      </w:r>
      <w:r>
        <w:rPr>
          <w:rFonts w:hint="eastAsia" w:ascii="宋体" w:hAnsi="宋体" w:eastAsia="宋体" w:cs="宋体"/>
          <w:b/>
          <w:kern w:val="0"/>
          <w:sz w:val="24"/>
          <w:szCs w:val="24"/>
        </w:rPr>
        <w:t>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kern w:val="0"/>
          <w:sz w:val="24"/>
          <w:szCs w:val="24"/>
          <w:lang w:val="zh-CN"/>
        </w:rPr>
      </w:pPr>
      <w:r>
        <w:rPr>
          <w:rFonts w:hint="eastAsia" w:ascii="宋体" w:hAnsi="宋体" w:eastAsia="宋体" w:cs="宋体"/>
          <w:kern w:val="0"/>
          <w:sz w:val="24"/>
          <w:szCs w:val="24"/>
        </w:rPr>
        <w:t>本合同一式四份，甲乙双方各执两份，自双方当事人盖章或者签字后生效。</w:t>
      </w:r>
    </w:p>
    <w:p>
      <w:pPr>
        <w:keepNext w:val="0"/>
        <w:keepLines w:val="0"/>
        <w:pageBreakBefore w:val="0"/>
        <w:widowControl w:val="0"/>
        <w:kinsoku/>
        <w:wordWrap/>
        <w:overflowPunct/>
        <w:topLinePunct w:val="0"/>
        <w:autoSpaceDE w:val="0"/>
        <w:autoSpaceDN w:val="0"/>
        <w:bidi w:val="0"/>
        <w:adjustRightInd/>
        <w:snapToGrid/>
        <w:spacing w:line="460" w:lineRule="exact"/>
        <w:ind w:firstLine="482"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b/>
          <w:kern w:val="0"/>
          <w:sz w:val="24"/>
          <w:szCs w:val="24"/>
          <w:lang w:val="zh-CN"/>
        </w:rPr>
        <w:t>甲方</w:t>
      </w:r>
      <w:r>
        <w:rPr>
          <w:rFonts w:hint="eastAsia" w:ascii="宋体" w:hAnsi="宋体" w:eastAsia="宋体" w:cs="宋体"/>
          <w:kern w:val="0"/>
          <w:sz w:val="24"/>
          <w:szCs w:val="24"/>
          <w:lang w:val="zh-CN"/>
        </w:rPr>
        <w:t xml:space="preserve">：                             </w:t>
      </w:r>
      <w:r>
        <w:rPr>
          <w:rFonts w:hint="eastAsia" w:ascii="宋体" w:hAnsi="宋体" w:eastAsia="宋体" w:cs="宋体"/>
          <w:b/>
          <w:kern w:val="0"/>
          <w:sz w:val="24"/>
          <w:szCs w:val="24"/>
          <w:lang w:val="zh-CN"/>
        </w:rPr>
        <w:t xml:space="preserve">      乙方</w:t>
      </w:r>
      <w:r>
        <w:rPr>
          <w:rFonts w:hint="eastAsia" w:ascii="宋体" w:hAnsi="宋体" w:eastAsia="宋体" w:cs="宋体"/>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统一社会信用代码：                       统一社会信用代码：</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住所：                                   住所：</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法定代表人或                             法定代表人或</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授权代表（签字）：                       授权代表（签字）: </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联系人：                                 联系人：</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约定送达地址：                           约定送达地址：</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邮政编码：                               邮政编码：</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电话:                                    电话: </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传真:                                    传真:</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电子邮箱：                               电子邮箱：</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开户银行：                               开户银行： </w:t>
      </w:r>
    </w:p>
    <w:p>
      <w:pPr>
        <w:keepNext w:val="0"/>
        <w:keepLines w:val="0"/>
        <w:pageBreakBefore w:val="0"/>
        <w:widowControl w:val="0"/>
        <w:kinsoku/>
        <w:wordWrap/>
        <w:overflowPunct/>
        <w:topLinePunct w:val="0"/>
        <w:autoSpaceDE w:val="0"/>
        <w:autoSpaceDN w:val="0"/>
        <w:bidi w:val="0"/>
        <w:adjustRightInd/>
        <w:snapToGrid/>
        <w:spacing w:line="300" w:lineRule="exact"/>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xml:space="preserve">开户名称：                               开户名称： </w:t>
      </w:r>
    </w:p>
    <w:p>
      <w:pPr>
        <w:keepNext w:val="0"/>
        <w:keepLines w:val="0"/>
        <w:pageBreakBefore w:val="0"/>
        <w:kinsoku/>
        <w:wordWrap/>
        <w:overflowPunct/>
        <w:topLinePunct w:val="0"/>
        <w:bidi w:val="0"/>
        <w:adjustRightInd/>
        <w:snapToGrid/>
        <w:spacing w:line="300" w:lineRule="exact"/>
        <w:ind w:firstLine="436" w:firstLineChars="182"/>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SA"/>
        </w:rPr>
        <w:t>开户账号：                               开户账号：</w:t>
      </w:r>
    </w:p>
    <w:p>
      <w:pPr>
        <w:pStyle w:val="20"/>
        <w:keepNext w:val="0"/>
        <w:keepLines w:val="0"/>
        <w:pageBreakBefore w:val="0"/>
        <w:kinsoku/>
        <w:wordWrap/>
        <w:overflowPunct/>
        <w:topLinePunct w:val="0"/>
        <w:bidi w:val="0"/>
        <w:adjustRightInd/>
        <w:snapToGrid w:val="0"/>
        <w:spacing w:line="300" w:lineRule="exact"/>
        <w:ind w:left="0" w:leftChars="0" w:firstLine="0" w:firstLineChars="0"/>
        <w:jc w:val="both"/>
        <w:textAlignment w:val="baseline"/>
        <w:rPr>
          <w:rFonts w:hint="eastAsia" w:ascii="宋体" w:hAnsi="宋体" w:eastAsia="宋体" w:cs="宋体"/>
          <w:b/>
          <w:sz w:val="44"/>
          <w:szCs w:val="44"/>
        </w:rPr>
      </w:pPr>
    </w:p>
    <w:p>
      <w:pPr>
        <w:pStyle w:val="20"/>
        <w:snapToGrid w:val="0"/>
        <w:spacing w:line="500" w:lineRule="exact"/>
        <w:ind w:firstLine="640"/>
        <w:jc w:val="center"/>
        <w:textAlignment w:val="baseline"/>
        <w:rPr>
          <w:rFonts w:hint="eastAsia" w:ascii="宋体" w:hAnsi="宋体" w:eastAsia="宋体" w:cs="宋体"/>
          <w:b/>
          <w:sz w:val="44"/>
          <w:szCs w:val="44"/>
        </w:rPr>
      </w:pPr>
      <w:r>
        <w:rPr>
          <w:rFonts w:hint="eastAsia" w:ascii="宋体" w:hAnsi="宋体" w:eastAsia="宋体" w:cs="宋体"/>
          <w:b/>
          <w:sz w:val="44"/>
          <w:szCs w:val="44"/>
        </w:rPr>
        <w:t>第六章　投标文件格式</w:t>
      </w:r>
    </w:p>
    <w:p>
      <w:pPr>
        <w:snapToGrid w:val="0"/>
        <w:spacing w:before="156" w:beforeLines="50" w:after="50" w:line="360" w:lineRule="auto"/>
        <w:ind w:firstLine="645"/>
        <w:jc w:val="left"/>
        <w:rPr>
          <w:rFonts w:hint="eastAsia" w:ascii="宋体" w:hAnsi="宋体" w:eastAsia="宋体" w:cs="宋体"/>
          <w:b/>
          <w:sz w:val="24"/>
        </w:rPr>
      </w:pPr>
    </w:p>
    <w:p>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pPr>
        <w:spacing w:before="240" w:beforeLines="100" w:line="240" w:lineRule="atLeast"/>
        <w:jc w:val="center"/>
        <w:rPr>
          <w:rFonts w:hint="eastAsia" w:ascii="宋体" w:hAnsi="宋体" w:eastAsia="宋体" w:cs="宋体"/>
          <w:sz w:val="36"/>
          <w:szCs w:val="36"/>
          <w:lang w:val="en-US"/>
        </w:rPr>
      </w:pPr>
      <w:r>
        <w:rPr>
          <w:rFonts w:hint="eastAsia" w:ascii="宋体" w:hAnsi="宋体" w:eastAsia="宋体" w:cs="宋体"/>
          <w:sz w:val="36"/>
          <w:szCs w:val="36"/>
        </w:rPr>
        <w:t>项目编号：</w:t>
      </w:r>
      <w:r>
        <w:rPr>
          <w:rFonts w:hint="eastAsia" w:ascii="宋体" w:hAnsi="宋体" w:eastAsia="宋体" w:cs="宋体"/>
          <w:color w:val="auto"/>
          <w:sz w:val="28"/>
          <w:szCs w:val="28"/>
          <w:lang w:val="en-US" w:eastAsia="zh-CN"/>
        </w:rPr>
        <w:t>HZKYTLCG-2024-08</w:t>
      </w:r>
    </w:p>
    <w:p>
      <w:pPr>
        <w:spacing w:after="100" w:afterAutospacing="1" w:line="800" w:lineRule="exact"/>
        <w:ind w:right="-108"/>
        <w:jc w:val="center"/>
        <w:rPr>
          <w:rFonts w:hint="eastAsia" w:ascii="宋体" w:hAnsi="宋体" w:eastAsia="宋体" w:cs="宋体"/>
          <w:b/>
          <w:spacing w:val="40"/>
          <w:sz w:val="84"/>
          <w:szCs w:val="84"/>
        </w:rPr>
      </w:pPr>
    </w:p>
    <w:p>
      <w:pPr>
        <w:spacing w:after="100" w:afterAutospacing="1" w:line="240" w:lineRule="auto"/>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资</w:t>
      </w:r>
    </w:p>
    <w:p>
      <w:pPr>
        <w:spacing w:after="100" w:afterAutospacing="1" w:line="240" w:lineRule="auto"/>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格</w:t>
      </w:r>
    </w:p>
    <w:p>
      <w:pPr>
        <w:spacing w:after="100" w:afterAutospacing="1" w:line="240" w:lineRule="auto"/>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pPr>
        <w:spacing w:after="100" w:afterAutospacing="1" w:line="240" w:lineRule="auto"/>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投标人全称：</w:t>
      </w:r>
    </w:p>
    <w:p>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pPr>
        <w:spacing w:line="600" w:lineRule="exact"/>
        <w:ind w:right="532" w:firstLine="720" w:firstLineChars="200"/>
        <w:rPr>
          <w:rFonts w:hint="eastAsia" w:ascii="宋体" w:hAnsi="宋体" w:eastAsia="宋体" w:cs="宋体"/>
          <w:b/>
          <w:sz w:val="36"/>
          <w:szCs w:val="36"/>
        </w:rPr>
      </w:pPr>
      <w:r>
        <w:rPr>
          <w:rFonts w:hint="eastAsia" w:ascii="宋体" w:hAnsi="宋体" w:eastAsia="宋体" w:cs="宋体"/>
          <w:sz w:val="36"/>
          <w:szCs w:val="36"/>
        </w:rPr>
        <w:t>时    间：</w:t>
      </w:r>
    </w:p>
    <w:p>
      <w:pPr>
        <w:snapToGrid w:val="0"/>
        <w:spacing w:before="50" w:after="50"/>
        <w:rPr>
          <w:rFonts w:hint="eastAsia" w:ascii="宋体" w:hAnsi="宋体" w:eastAsia="宋体" w:cs="宋体"/>
          <w:b/>
          <w:sz w:val="36"/>
          <w:szCs w:val="36"/>
        </w:rPr>
      </w:pPr>
    </w:p>
    <w:p>
      <w:pPr>
        <w:snapToGrid w:val="0"/>
        <w:spacing w:before="50" w:after="50"/>
        <w:rPr>
          <w:rFonts w:hint="eastAsia" w:ascii="宋体" w:hAnsi="宋体" w:eastAsia="宋体" w:cs="宋体"/>
          <w:b/>
          <w:sz w:val="36"/>
          <w:szCs w:val="36"/>
        </w:rPr>
        <w:sectPr>
          <w:headerReference r:id="rId9" w:type="default"/>
          <w:footerReference r:id="rId10" w:type="default"/>
          <w:pgSz w:w="11906" w:h="16838"/>
          <w:pgMar w:top="1559" w:right="1531" w:bottom="471" w:left="1531" w:header="851" w:footer="851" w:gutter="0"/>
          <w:pgNumType w:fmt="decimal" w:chapStyle="1" w:chapSep="colon"/>
          <w:cols w:space="720" w:num="1"/>
        </w:sectPr>
      </w:pPr>
    </w:p>
    <w:p>
      <w:pPr>
        <w:snapToGrid w:val="0"/>
        <w:spacing w:before="50" w:after="50"/>
        <w:ind w:left="0" w:leftChars="0" w:firstLine="0" w:firstLineChars="0"/>
        <w:rPr>
          <w:rFonts w:hint="eastAsia" w:ascii="宋体" w:hAnsi="宋体" w:eastAsia="宋体" w:cs="宋体"/>
          <w:b/>
          <w:sz w:val="36"/>
          <w:szCs w:val="36"/>
        </w:rPr>
      </w:pPr>
    </w:p>
    <w:p>
      <w:pPr>
        <w:snapToGrid w:val="0"/>
        <w:spacing w:before="50" w:after="50"/>
        <w:rPr>
          <w:rFonts w:hint="eastAsia" w:ascii="宋体" w:hAnsi="宋体" w:eastAsia="宋体" w:cs="宋体"/>
          <w:sz w:val="30"/>
          <w:szCs w:val="30"/>
        </w:rPr>
      </w:pPr>
      <w:r>
        <w:rPr>
          <w:rFonts w:hint="eastAsia" w:ascii="宋体" w:hAnsi="宋体" w:eastAsia="宋体" w:cs="宋体"/>
          <w:b/>
          <w:sz w:val="36"/>
          <w:szCs w:val="36"/>
        </w:rPr>
        <w:t>1、</w:t>
      </w:r>
      <w:r>
        <w:rPr>
          <w:rFonts w:hint="eastAsia" w:ascii="宋体" w:hAnsi="宋体" w:eastAsia="宋体" w:cs="宋体"/>
          <w:b/>
          <w:bCs/>
          <w:sz w:val="36"/>
          <w:szCs w:val="36"/>
        </w:rPr>
        <w:t>资</w:t>
      </w:r>
      <w:r>
        <w:rPr>
          <w:rFonts w:hint="eastAsia" w:ascii="宋体" w:hAnsi="宋体" w:eastAsia="宋体" w:cs="宋体"/>
          <w:b/>
          <w:bCs/>
          <w:sz w:val="36"/>
          <w:szCs w:val="36"/>
          <w:lang w:eastAsia="zh-CN"/>
        </w:rPr>
        <w:t>格</w:t>
      </w:r>
      <w:r>
        <w:rPr>
          <w:rFonts w:hint="eastAsia" w:ascii="宋体" w:hAnsi="宋体" w:eastAsia="宋体" w:cs="宋体"/>
          <w:b/>
          <w:bCs/>
          <w:sz w:val="36"/>
          <w:szCs w:val="36"/>
        </w:rPr>
        <w:t>文件目录</w:t>
      </w:r>
    </w:p>
    <w:p>
      <w:pPr>
        <w:pStyle w:val="21"/>
        <w:snapToGrid w:val="0"/>
        <w:spacing w:line="360" w:lineRule="auto"/>
        <w:ind w:left="0"/>
        <w:rPr>
          <w:rFonts w:hint="eastAsia" w:ascii="宋体" w:hAnsi="宋体" w:eastAsia="宋体" w:cs="宋体"/>
          <w:spacing w:val="-17"/>
          <w:sz w:val="30"/>
          <w:szCs w:val="30"/>
        </w:rPr>
      </w:pPr>
      <w:r>
        <w:rPr>
          <w:rFonts w:hint="eastAsia" w:ascii="宋体" w:hAnsi="宋体" w:eastAsia="宋体" w:cs="宋体"/>
          <w:spacing w:val="-17"/>
          <w:sz w:val="30"/>
          <w:szCs w:val="30"/>
        </w:rPr>
        <w:t>（1）提供有效的营业执照副本并加盖公章（或事业单位法人登记证或其他工商等登记证明材料）……………………………………………………</w:t>
      </w:r>
      <w:r>
        <w:rPr>
          <w:rFonts w:hint="eastAsia" w:ascii="宋体" w:hAnsi="宋体" w:eastAsia="宋体" w:cs="宋体"/>
          <w:spacing w:val="-17"/>
          <w:sz w:val="30"/>
          <w:szCs w:val="30"/>
          <w:lang w:val="en-US" w:eastAsia="zh-CN"/>
        </w:rPr>
        <w:t xml:space="preserve"> </w:t>
      </w:r>
      <w:r>
        <w:rPr>
          <w:rFonts w:hint="eastAsia" w:ascii="宋体" w:hAnsi="宋体" w:eastAsia="宋体" w:cs="宋体"/>
          <w:spacing w:val="-17"/>
          <w:sz w:val="30"/>
          <w:szCs w:val="30"/>
        </w:rPr>
        <w:t>（页码）</w:t>
      </w:r>
    </w:p>
    <w:p>
      <w:pPr>
        <w:pStyle w:val="21"/>
        <w:snapToGrid w:val="0"/>
        <w:spacing w:line="360" w:lineRule="auto"/>
        <w:ind w:left="0"/>
        <w:rPr>
          <w:rFonts w:hint="eastAsia" w:ascii="宋体" w:hAnsi="宋体" w:eastAsia="宋体" w:cs="宋体"/>
          <w:spacing w:val="-17"/>
          <w:sz w:val="30"/>
          <w:szCs w:val="30"/>
        </w:rPr>
      </w:pPr>
      <w:r>
        <w:rPr>
          <w:rFonts w:hint="eastAsia" w:ascii="宋体" w:hAnsi="宋体" w:eastAsia="宋体" w:cs="宋体"/>
          <w:spacing w:val="-17"/>
          <w:sz w:val="30"/>
          <w:szCs w:val="30"/>
        </w:rPr>
        <w:t>（2）符合参加政府采购活动应当具备的一般条件的承诺函…………（页码）</w:t>
      </w:r>
    </w:p>
    <w:p>
      <w:pPr>
        <w:pStyle w:val="21"/>
        <w:snapToGrid w:val="0"/>
        <w:spacing w:line="360" w:lineRule="auto"/>
        <w:ind w:left="0"/>
        <w:rPr>
          <w:rFonts w:hint="eastAsia" w:ascii="宋体" w:hAnsi="宋体" w:eastAsia="宋体" w:cs="宋体"/>
          <w:spacing w:val="-17"/>
          <w:sz w:val="30"/>
          <w:szCs w:val="30"/>
        </w:rPr>
      </w:pPr>
      <w:r>
        <w:rPr>
          <w:rFonts w:hint="eastAsia" w:ascii="宋体" w:hAnsi="宋体" w:eastAsia="宋体" w:cs="宋体"/>
          <w:spacing w:val="-17"/>
          <w:sz w:val="30"/>
          <w:szCs w:val="30"/>
        </w:rPr>
        <w:t>（</w:t>
      </w:r>
      <w:r>
        <w:rPr>
          <w:rFonts w:hint="eastAsia" w:ascii="宋体" w:hAnsi="宋体" w:eastAsia="宋体" w:cs="宋体"/>
          <w:spacing w:val="-17"/>
          <w:sz w:val="30"/>
          <w:szCs w:val="30"/>
          <w:lang w:val="en-US" w:eastAsia="zh-CN"/>
        </w:rPr>
        <w:t>3</w:t>
      </w:r>
      <w:r>
        <w:rPr>
          <w:rFonts w:hint="eastAsia" w:ascii="宋体" w:hAnsi="宋体" w:eastAsia="宋体" w:cs="宋体"/>
          <w:spacing w:val="-17"/>
          <w:sz w:val="30"/>
          <w:szCs w:val="30"/>
        </w:rPr>
        <w:t>）本项目的特定资格要求</w:t>
      </w:r>
      <w:r>
        <w:rPr>
          <w:rFonts w:hint="eastAsia" w:ascii="宋体" w:hAnsi="宋体" w:eastAsia="宋体" w:cs="宋体"/>
          <w:spacing w:val="-17"/>
          <w:sz w:val="30"/>
          <w:szCs w:val="30"/>
          <w:lang w:eastAsia="zh-CN"/>
        </w:rPr>
        <w:t>（如果有）</w:t>
      </w:r>
      <w:r>
        <w:rPr>
          <w:rFonts w:hint="eastAsia" w:ascii="宋体" w:hAnsi="宋体" w:eastAsia="宋体" w:cs="宋体"/>
          <w:spacing w:val="-17"/>
          <w:sz w:val="30"/>
          <w:szCs w:val="30"/>
        </w:rPr>
        <w:t>………………………………（页码）</w:t>
      </w:r>
    </w:p>
    <w:p>
      <w:pPr>
        <w:widowControl/>
        <w:jc w:val="left"/>
        <w:rPr>
          <w:rFonts w:hint="eastAsia" w:ascii="宋体" w:hAnsi="宋体" w:eastAsia="宋体" w:cs="宋体"/>
          <w:b/>
          <w:color w:val="000000"/>
          <w:kern w:val="0"/>
          <w:sz w:val="30"/>
          <w:szCs w:val="30"/>
          <w:lang w:bidi="ar"/>
        </w:rPr>
      </w:pPr>
    </w:p>
    <w:p>
      <w:pPr>
        <w:widowControl/>
        <w:jc w:val="left"/>
        <w:rPr>
          <w:rFonts w:hint="eastAsia" w:ascii="宋体" w:hAnsi="宋体" w:eastAsia="宋体" w:cs="宋体"/>
          <w:b/>
          <w:color w:val="000000"/>
          <w:kern w:val="0"/>
          <w:sz w:val="28"/>
          <w:szCs w:val="28"/>
          <w:lang w:bidi="ar"/>
        </w:rPr>
      </w:pPr>
    </w:p>
    <w:p>
      <w:pPr>
        <w:widowControl/>
        <w:jc w:val="left"/>
        <w:rPr>
          <w:rFonts w:hint="eastAsia" w:ascii="宋体" w:hAnsi="宋体" w:eastAsia="宋体" w:cs="宋体"/>
          <w:b/>
          <w:color w:val="000000"/>
          <w:kern w:val="0"/>
          <w:sz w:val="28"/>
          <w:szCs w:val="28"/>
          <w:lang w:bidi="ar"/>
        </w:rPr>
      </w:pPr>
    </w:p>
    <w:p>
      <w:pPr>
        <w:widowControl/>
        <w:jc w:val="left"/>
        <w:rPr>
          <w:rFonts w:hint="eastAsia" w:ascii="宋体" w:hAnsi="宋体" w:eastAsia="宋体" w:cs="宋体"/>
          <w:b/>
          <w:color w:val="000000"/>
          <w:kern w:val="0"/>
          <w:sz w:val="28"/>
          <w:szCs w:val="28"/>
          <w:lang w:bidi="ar"/>
        </w:rPr>
      </w:pPr>
    </w:p>
    <w:p>
      <w:pPr>
        <w:widowControl/>
        <w:jc w:val="left"/>
        <w:rPr>
          <w:rFonts w:hint="eastAsia" w:ascii="宋体" w:hAnsi="宋体" w:eastAsia="宋体" w:cs="宋体"/>
          <w:b/>
          <w:color w:val="000000"/>
          <w:kern w:val="0"/>
          <w:sz w:val="28"/>
          <w:szCs w:val="28"/>
          <w:lang w:bidi="ar"/>
        </w:rPr>
      </w:pPr>
    </w:p>
    <w:p>
      <w:pPr>
        <w:widowControl/>
        <w:jc w:val="left"/>
        <w:rPr>
          <w:rFonts w:hint="eastAsia" w:ascii="宋体" w:hAnsi="宋体" w:eastAsia="宋体" w:cs="宋体"/>
          <w:b/>
          <w:color w:val="000000"/>
          <w:kern w:val="0"/>
          <w:sz w:val="28"/>
          <w:szCs w:val="28"/>
          <w:lang w:bidi="ar"/>
        </w:rPr>
      </w:pPr>
    </w:p>
    <w:p>
      <w:pPr>
        <w:widowControl/>
        <w:jc w:val="left"/>
        <w:rPr>
          <w:rFonts w:hint="eastAsia" w:ascii="宋体" w:hAnsi="宋体" w:eastAsia="宋体" w:cs="宋体"/>
          <w:b/>
          <w:color w:val="000000"/>
          <w:kern w:val="0"/>
          <w:sz w:val="28"/>
          <w:szCs w:val="28"/>
          <w:lang w:bidi="ar"/>
        </w:rPr>
      </w:pPr>
    </w:p>
    <w:p>
      <w:pPr>
        <w:widowControl/>
        <w:jc w:val="left"/>
        <w:rPr>
          <w:rFonts w:hint="eastAsia" w:ascii="宋体" w:hAnsi="宋体" w:eastAsia="宋体" w:cs="宋体"/>
          <w:b/>
          <w:color w:val="000000"/>
          <w:kern w:val="0"/>
          <w:sz w:val="28"/>
          <w:szCs w:val="28"/>
          <w:lang w:bidi="ar"/>
        </w:rPr>
        <w:sectPr>
          <w:pgSz w:w="11906" w:h="16838"/>
          <w:pgMar w:top="1559" w:right="1531" w:bottom="471" w:left="1531" w:header="851" w:footer="851" w:gutter="0"/>
          <w:pgNumType w:fmt="decimal" w:chapStyle="1" w:chapSep="colon"/>
          <w:cols w:space="720" w:num="1"/>
        </w:sect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一、 符合参加采购活动应当具备的一般条件的承诺函</w:t>
      </w:r>
    </w:p>
    <w:p>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我方参与（项目名称）【招标编号：（采购编号）】政府采购活动，郑重承诺：</w:t>
      </w:r>
    </w:p>
    <w:p>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lang w:val="zh-CN"/>
        </w:rPr>
      </w:pPr>
    </w:p>
    <w:p>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both"/>
        <w:rPr>
          <w:rFonts w:hint="eastAsia" w:ascii="宋体" w:hAnsi="宋体" w:eastAsia="宋体" w:cs="宋体"/>
          <w:b/>
          <w:kern w:val="0"/>
          <w:sz w:val="32"/>
          <w:szCs w:val="32"/>
        </w:rPr>
      </w:pPr>
    </w:p>
    <w:p>
      <w:pPr>
        <w:numPr>
          <w:ilvl w:val="0"/>
          <w:numId w:val="0"/>
        </w:numPr>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二、</w:t>
      </w:r>
      <w:r>
        <w:rPr>
          <w:rFonts w:hint="eastAsia" w:ascii="宋体" w:hAnsi="宋体" w:eastAsia="宋体" w:cs="宋体"/>
          <w:b/>
          <w:kern w:val="0"/>
          <w:sz w:val="32"/>
          <w:szCs w:val="32"/>
        </w:rPr>
        <w:t>本项目的特定资格要求</w:t>
      </w:r>
    </w:p>
    <w:p>
      <w:pPr>
        <w:pStyle w:val="47"/>
        <w:numPr>
          <w:ilvl w:val="0"/>
          <w:numId w:val="0"/>
        </w:numPr>
        <w:rPr>
          <w:rFonts w:hint="eastAsia" w:ascii="宋体" w:hAnsi="宋体" w:eastAsia="宋体" w:cs="宋体"/>
        </w:rPr>
      </w:pPr>
    </w:p>
    <w:p>
      <w:pPr>
        <w:spacing w:line="360" w:lineRule="auto"/>
        <w:jc w:val="center"/>
        <w:rPr>
          <w:rFonts w:hint="eastAsia" w:ascii="宋体" w:hAnsi="宋体" w:eastAsia="宋体" w:cs="宋体"/>
        </w:rPr>
        <w:sectPr>
          <w:pgSz w:w="11906" w:h="16838"/>
          <w:pgMar w:top="1559" w:right="1531" w:bottom="471" w:left="1531" w:header="851" w:footer="851" w:gutter="0"/>
          <w:pgNumType w:fmt="decimal" w:chapStyle="1" w:chapSep="colon"/>
          <w:cols w:space="720" w:num="1"/>
        </w:sectPr>
      </w:pPr>
      <w:r>
        <w:rPr>
          <w:rFonts w:hint="eastAsia" w:ascii="宋体" w:hAnsi="宋体" w:eastAsia="宋体" w:cs="宋体"/>
          <w:sz w:val="24"/>
        </w:rPr>
        <w:t>（根据招标公告本项目的特定资格要求提供相应的材料；未要求的，无需提供）</w:t>
      </w:r>
    </w:p>
    <w:p>
      <w:pPr>
        <w:widowControl/>
        <w:jc w:val="left"/>
        <w:rPr>
          <w:rFonts w:hint="eastAsia" w:ascii="宋体" w:hAnsi="宋体" w:eastAsia="宋体" w:cs="宋体"/>
          <w:sz w:val="30"/>
          <w:szCs w:val="30"/>
          <w:u w:val="single"/>
        </w:rPr>
      </w:pPr>
    </w:p>
    <w:p>
      <w:pPr>
        <w:snapToGrid w:val="0"/>
        <w:spacing w:before="120" w:beforeLines="50" w:after="50"/>
        <w:ind w:left="0" w:leftChars="0" w:firstLine="0" w:firstLineChars="0"/>
        <w:rPr>
          <w:rFonts w:hint="eastAsia" w:ascii="宋体" w:hAnsi="宋体" w:eastAsia="宋体" w:cs="宋体"/>
          <w:b/>
          <w:sz w:val="30"/>
          <w:szCs w:val="30"/>
        </w:rPr>
      </w:pPr>
      <w:r>
        <w:rPr>
          <w:rFonts w:hint="eastAsia" w:ascii="宋体" w:hAnsi="宋体" w:eastAsia="宋体" w:cs="宋体"/>
          <w:b/>
          <w:sz w:val="30"/>
          <w:szCs w:val="30"/>
        </w:rPr>
        <w:t xml:space="preserve">                </w:t>
      </w:r>
    </w:p>
    <w:p>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pPr>
        <w:spacing w:before="240" w:beforeLines="100" w:line="240" w:lineRule="atLeast"/>
        <w:jc w:val="center"/>
        <w:rPr>
          <w:rFonts w:hint="eastAsia" w:ascii="宋体" w:hAnsi="宋体" w:eastAsia="宋体" w:cs="宋体"/>
          <w:sz w:val="36"/>
          <w:szCs w:val="36"/>
          <w:lang w:val="en-US"/>
        </w:rPr>
      </w:pPr>
      <w:r>
        <w:rPr>
          <w:rFonts w:hint="eastAsia" w:ascii="宋体" w:hAnsi="宋体" w:eastAsia="宋体" w:cs="宋体"/>
          <w:sz w:val="36"/>
          <w:szCs w:val="36"/>
        </w:rPr>
        <w:t>项目编号</w:t>
      </w:r>
      <w:r>
        <w:rPr>
          <w:rFonts w:hint="eastAsia" w:ascii="宋体" w:hAnsi="宋体" w:eastAsia="宋体" w:cs="宋体"/>
          <w:color w:val="auto"/>
          <w:sz w:val="36"/>
          <w:szCs w:val="36"/>
        </w:rPr>
        <w:t>：</w:t>
      </w:r>
      <w:r>
        <w:rPr>
          <w:rFonts w:hint="eastAsia" w:ascii="宋体" w:hAnsi="宋体" w:eastAsia="宋体" w:cs="宋体"/>
          <w:sz w:val="36"/>
          <w:szCs w:val="36"/>
          <w:lang w:val="en-US" w:eastAsia="zh-CN"/>
        </w:rPr>
        <w:t>HZKYTLCG-2024-08</w:t>
      </w:r>
    </w:p>
    <w:p>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商</w:t>
      </w:r>
    </w:p>
    <w:p>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务</w:t>
      </w:r>
    </w:p>
    <w:p>
      <w:pPr>
        <w:spacing w:line="1200" w:lineRule="exact"/>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技</w:t>
      </w:r>
    </w:p>
    <w:p>
      <w:pPr>
        <w:spacing w:line="1200" w:lineRule="exact"/>
        <w:ind w:right="-108"/>
        <w:jc w:val="center"/>
        <w:rPr>
          <w:rFonts w:hint="eastAsia" w:ascii="宋体" w:hAnsi="宋体" w:eastAsia="宋体" w:cs="宋体"/>
          <w:b/>
          <w:spacing w:val="40"/>
          <w:sz w:val="84"/>
          <w:szCs w:val="84"/>
          <w:lang w:eastAsia="zh-CN"/>
        </w:rPr>
      </w:pPr>
      <w:r>
        <w:rPr>
          <w:rFonts w:hint="eastAsia" w:ascii="宋体" w:hAnsi="宋体" w:eastAsia="宋体" w:cs="宋体"/>
          <w:b/>
          <w:spacing w:val="40"/>
          <w:sz w:val="84"/>
          <w:szCs w:val="84"/>
          <w:lang w:eastAsia="zh-CN"/>
        </w:rPr>
        <w:t>术</w:t>
      </w:r>
    </w:p>
    <w:p>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投标人全称：</w:t>
      </w:r>
    </w:p>
    <w:p>
      <w:pPr>
        <w:spacing w:line="6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pPr>
        <w:spacing w:line="6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pPr>
        <w:snapToGrid w:val="0"/>
        <w:spacing w:before="50" w:after="50"/>
        <w:rPr>
          <w:rFonts w:hint="eastAsia" w:ascii="宋体" w:hAnsi="宋体" w:eastAsia="宋体" w:cs="宋体"/>
          <w:sz w:val="30"/>
          <w:szCs w:val="30"/>
        </w:rPr>
      </w:pPr>
    </w:p>
    <w:p>
      <w:pPr>
        <w:snapToGrid w:val="0"/>
        <w:spacing w:before="50" w:after="50"/>
        <w:rPr>
          <w:rFonts w:hint="eastAsia" w:ascii="宋体" w:hAnsi="宋体" w:eastAsia="宋体" w:cs="宋体"/>
          <w:sz w:val="30"/>
          <w:szCs w:val="30"/>
        </w:rPr>
      </w:pPr>
    </w:p>
    <w:p>
      <w:pPr>
        <w:snapToGrid w:val="0"/>
        <w:spacing w:before="50" w:after="50"/>
        <w:rPr>
          <w:rFonts w:hint="eastAsia" w:ascii="宋体" w:hAnsi="宋体" w:eastAsia="宋体" w:cs="宋体"/>
          <w:sz w:val="36"/>
          <w:szCs w:val="36"/>
        </w:rPr>
        <w:sectPr>
          <w:footerReference r:id="rId12" w:type="first"/>
          <w:footerReference r:id="rId11" w:type="default"/>
          <w:pgSz w:w="11906" w:h="16838"/>
          <w:pgMar w:top="1559" w:right="1531" w:bottom="471" w:left="1531" w:header="851" w:footer="851" w:gutter="0"/>
          <w:pgNumType w:fmt="decimal" w:chapStyle="1" w:chapSep="colon"/>
          <w:cols w:space="720" w:num="1"/>
        </w:sectPr>
      </w:pPr>
    </w:p>
    <w:p>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pPr>
        <w:pStyle w:val="21"/>
        <w:numPr>
          <w:ilvl w:val="0"/>
          <w:numId w:val="6"/>
        </w:numPr>
        <w:snapToGrid w:val="0"/>
        <w:spacing w:line="360" w:lineRule="auto"/>
        <w:ind w:left="345" w:leftChars="125" w:hanging="45" w:hangingChars="17"/>
        <w:rPr>
          <w:rFonts w:hint="eastAsia" w:ascii="宋体" w:hAnsi="宋体" w:eastAsia="宋体" w:cs="宋体"/>
          <w:spacing w:val="-17"/>
          <w:sz w:val="30"/>
          <w:szCs w:val="30"/>
        </w:rPr>
      </w:pPr>
      <w:r>
        <w:rPr>
          <w:rFonts w:hint="eastAsia" w:ascii="宋体" w:hAnsi="宋体" w:eastAsia="宋体" w:cs="宋体"/>
          <w:spacing w:val="-17"/>
          <w:sz w:val="30"/>
          <w:szCs w:val="30"/>
        </w:rPr>
        <w:t>投标函………………………………………………………………（页码）</w:t>
      </w:r>
    </w:p>
    <w:p>
      <w:pPr>
        <w:pStyle w:val="21"/>
        <w:numPr>
          <w:ilvl w:val="0"/>
          <w:numId w:val="6"/>
        </w:numPr>
        <w:snapToGrid w:val="0"/>
        <w:spacing w:line="360" w:lineRule="auto"/>
        <w:ind w:left="343" w:leftChars="125" w:hanging="43" w:hangingChars="17"/>
        <w:rPr>
          <w:rFonts w:hint="eastAsia" w:ascii="宋体" w:hAnsi="宋体" w:eastAsia="宋体" w:cs="宋体"/>
          <w:spacing w:val="-23"/>
          <w:sz w:val="30"/>
          <w:szCs w:val="30"/>
        </w:rPr>
      </w:pPr>
      <w:r>
        <w:rPr>
          <w:rFonts w:hint="eastAsia" w:ascii="宋体" w:hAnsi="宋体" w:eastAsia="宋体" w:cs="宋体"/>
          <w:spacing w:val="-23"/>
          <w:sz w:val="30"/>
          <w:szCs w:val="30"/>
        </w:rPr>
        <w:t>授权委托书或法定代表人（单位负责人、自然人本人）身份证明</w:t>
      </w:r>
      <w:r>
        <w:rPr>
          <w:rFonts w:hint="eastAsia" w:ascii="宋体" w:hAnsi="宋体" w:eastAsia="宋体" w:cs="宋体"/>
          <w:spacing w:val="-17"/>
          <w:sz w:val="30"/>
          <w:szCs w:val="30"/>
        </w:rPr>
        <w:t>…</w:t>
      </w:r>
      <w:r>
        <w:rPr>
          <w:rFonts w:hint="eastAsia" w:ascii="宋体" w:hAnsi="宋体" w:eastAsia="宋体" w:cs="宋体"/>
          <w:spacing w:val="-23"/>
          <w:sz w:val="30"/>
          <w:szCs w:val="30"/>
        </w:rPr>
        <w:t>（页码）</w:t>
      </w:r>
    </w:p>
    <w:p>
      <w:pPr>
        <w:pStyle w:val="21"/>
        <w:numPr>
          <w:ilvl w:val="0"/>
          <w:numId w:val="6"/>
        </w:numPr>
        <w:snapToGrid w:val="0"/>
        <w:spacing w:line="360" w:lineRule="auto"/>
        <w:ind w:left="345" w:leftChars="125" w:hanging="45" w:hangingChars="17"/>
        <w:rPr>
          <w:rFonts w:hint="eastAsia" w:ascii="宋体" w:hAnsi="宋体" w:eastAsia="宋体" w:cs="宋体"/>
          <w:spacing w:val="-17"/>
          <w:sz w:val="30"/>
          <w:szCs w:val="30"/>
        </w:rPr>
      </w:pPr>
      <w:r>
        <w:rPr>
          <w:rFonts w:hint="eastAsia" w:ascii="宋体" w:hAnsi="宋体" w:eastAsia="宋体" w:cs="宋体"/>
          <w:spacing w:val="-17"/>
          <w:sz w:val="30"/>
          <w:szCs w:val="30"/>
        </w:rPr>
        <w:t>符合性审查资料……………………………………………………（页码）</w:t>
      </w:r>
    </w:p>
    <w:p>
      <w:pPr>
        <w:pStyle w:val="21"/>
        <w:numPr>
          <w:ilvl w:val="0"/>
          <w:numId w:val="6"/>
        </w:numPr>
        <w:snapToGrid w:val="0"/>
        <w:spacing w:line="360" w:lineRule="auto"/>
        <w:ind w:left="345" w:leftChars="125" w:hanging="45" w:hangingChars="17"/>
        <w:rPr>
          <w:rFonts w:hint="eastAsia" w:ascii="宋体" w:hAnsi="宋体" w:eastAsia="宋体" w:cs="宋体"/>
          <w:spacing w:val="-17"/>
          <w:sz w:val="30"/>
          <w:szCs w:val="30"/>
        </w:rPr>
      </w:pPr>
      <w:r>
        <w:rPr>
          <w:rFonts w:hint="eastAsia" w:ascii="宋体" w:hAnsi="宋体" w:eastAsia="宋体" w:cs="宋体"/>
          <w:spacing w:val="-17"/>
          <w:sz w:val="30"/>
          <w:szCs w:val="30"/>
        </w:rPr>
        <w:t>评标标准相应的商务技术资料……………………………………（页码）（</w:t>
      </w:r>
      <w:r>
        <w:rPr>
          <w:rFonts w:hint="eastAsia" w:ascii="宋体" w:hAnsi="宋体" w:eastAsia="宋体" w:cs="宋体"/>
          <w:spacing w:val="-17"/>
          <w:sz w:val="30"/>
          <w:szCs w:val="30"/>
          <w:lang w:val="en-US" w:eastAsia="zh-CN"/>
        </w:rPr>
        <w:t>5</w:t>
      </w:r>
      <w:r>
        <w:rPr>
          <w:rFonts w:hint="eastAsia" w:ascii="宋体" w:hAnsi="宋体" w:eastAsia="宋体" w:cs="宋体"/>
          <w:spacing w:val="-17"/>
          <w:sz w:val="30"/>
          <w:szCs w:val="30"/>
        </w:rPr>
        <w:t>）投标标的清单………………………………………………………</w:t>
      </w:r>
      <w:r>
        <w:rPr>
          <w:rFonts w:hint="eastAsia" w:ascii="宋体" w:hAnsi="宋体" w:eastAsia="宋体" w:cs="宋体"/>
          <w:spacing w:val="-17"/>
          <w:sz w:val="30"/>
          <w:szCs w:val="30"/>
          <w:lang w:val="en-US" w:eastAsia="zh-CN"/>
        </w:rPr>
        <w:t xml:space="preserve"> </w:t>
      </w:r>
      <w:r>
        <w:rPr>
          <w:rFonts w:hint="eastAsia" w:ascii="宋体" w:hAnsi="宋体" w:eastAsia="宋体" w:cs="宋体"/>
          <w:spacing w:val="-17"/>
          <w:sz w:val="30"/>
          <w:szCs w:val="30"/>
        </w:rPr>
        <w:t>（页码）（</w:t>
      </w:r>
      <w:r>
        <w:rPr>
          <w:rFonts w:hint="eastAsia" w:ascii="宋体" w:hAnsi="宋体" w:eastAsia="宋体" w:cs="宋体"/>
          <w:spacing w:val="-17"/>
          <w:sz w:val="30"/>
          <w:szCs w:val="30"/>
          <w:lang w:val="en-US" w:eastAsia="zh-CN"/>
        </w:rPr>
        <w:t>6</w:t>
      </w:r>
      <w:r>
        <w:rPr>
          <w:rFonts w:hint="eastAsia" w:ascii="宋体" w:hAnsi="宋体" w:eastAsia="宋体" w:cs="宋体"/>
          <w:spacing w:val="-17"/>
          <w:sz w:val="30"/>
          <w:szCs w:val="30"/>
        </w:rPr>
        <w:t>）商务技术偏离表……………………………………………………（页码）</w:t>
      </w:r>
    </w:p>
    <w:p>
      <w:pPr>
        <w:pStyle w:val="21"/>
        <w:numPr>
          <w:ilvl w:val="0"/>
          <w:numId w:val="0"/>
        </w:numPr>
        <w:snapToGrid w:val="0"/>
        <w:spacing w:line="360" w:lineRule="auto"/>
        <w:ind w:leftChars="108"/>
        <w:rPr>
          <w:rFonts w:hint="eastAsia" w:ascii="宋体" w:hAnsi="宋体" w:eastAsia="宋体" w:cs="宋体"/>
          <w:spacing w:val="-17"/>
          <w:sz w:val="30"/>
          <w:szCs w:val="30"/>
          <w:lang w:val="en-US" w:eastAsia="zh-CN"/>
        </w:rPr>
      </w:pPr>
      <w:r>
        <w:rPr>
          <w:rFonts w:hint="eastAsia" w:ascii="宋体" w:hAnsi="宋体" w:eastAsia="宋体" w:cs="宋体"/>
          <w:spacing w:val="-17"/>
          <w:sz w:val="30"/>
          <w:szCs w:val="30"/>
          <w:lang w:val="zh-CN"/>
        </w:rPr>
        <w:t>（</w:t>
      </w:r>
      <w:r>
        <w:rPr>
          <w:rFonts w:hint="eastAsia" w:ascii="宋体" w:hAnsi="宋体" w:eastAsia="宋体" w:cs="宋体"/>
          <w:spacing w:val="-17"/>
          <w:sz w:val="30"/>
          <w:szCs w:val="30"/>
          <w:lang w:val="en-US" w:eastAsia="zh-CN"/>
        </w:rPr>
        <w:t>7</w:t>
      </w:r>
      <w:r>
        <w:rPr>
          <w:rFonts w:hint="eastAsia" w:ascii="宋体" w:hAnsi="宋体" w:eastAsia="宋体" w:cs="宋体"/>
          <w:spacing w:val="-17"/>
          <w:sz w:val="30"/>
          <w:szCs w:val="30"/>
          <w:lang w:val="zh-CN"/>
        </w:rPr>
        <w:t>）政府采购供应商廉洁自律承诺书</w:t>
      </w:r>
      <w:r>
        <w:rPr>
          <w:rFonts w:hint="eastAsia" w:ascii="宋体" w:hAnsi="宋体" w:eastAsia="宋体" w:cs="宋体"/>
          <w:spacing w:val="-17"/>
          <w:sz w:val="30"/>
          <w:szCs w:val="30"/>
        </w:rPr>
        <w:t>…………………………………（页码）</w:t>
      </w:r>
    </w:p>
    <w:p>
      <w:pPr>
        <w:rPr>
          <w:rFonts w:hint="eastAsia" w:ascii="宋体" w:hAnsi="宋体" w:eastAsia="宋体" w:cs="宋体"/>
          <w:lang w:val="en-US" w:eastAsia="zh-CN"/>
        </w:rPr>
      </w:pPr>
    </w:p>
    <w:p>
      <w:pPr>
        <w:pStyle w:val="47"/>
        <w:rPr>
          <w:rFonts w:hint="eastAsia" w:ascii="宋体" w:hAnsi="宋体" w:eastAsia="宋体" w:cs="宋体"/>
          <w:lang w:val="en-US" w:eastAsia="zh-CN"/>
        </w:rPr>
      </w:pPr>
    </w:p>
    <w:p>
      <w:pPr>
        <w:pStyle w:val="16"/>
        <w:rPr>
          <w:rFonts w:hint="eastAsia" w:ascii="宋体" w:hAnsi="宋体" w:eastAsia="宋体" w:cs="宋体"/>
          <w:lang w:val="en-US" w:eastAsia="zh-CN"/>
        </w:rPr>
      </w:pPr>
    </w:p>
    <w:p>
      <w:pPr>
        <w:pStyle w:val="17"/>
        <w:rPr>
          <w:rFonts w:hint="eastAsia" w:ascii="宋体" w:hAnsi="宋体" w:eastAsia="宋体" w:cs="宋体"/>
          <w:lang w:val="en-US" w:eastAsia="zh-CN"/>
        </w:rPr>
      </w:pPr>
    </w:p>
    <w:p>
      <w:pPr>
        <w:pStyle w:val="18"/>
        <w:rPr>
          <w:rFonts w:hint="eastAsia" w:ascii="宋体" w:hAnsi="宋体" w:eastAsia="宋体" w:cs="宋体"/>
          <w:lang w:val="en-US" w:eastAsia="zh-CN"/>
        </w:rPr>
      </w:pPr>
    </w:p>
    <w:p>
      <w:pPr>
        <w:rPr>
          <w:rFonts w:hint="eastAsia" w:ascii="宋体" w:hAnsi="宋体" w:eastAsia="宋体" w:cs="宋体"/>
          <w:lang w:val="en-US" w:eastAsia="zh-CN"/>
        </w:rPr>
      </w:pPr>
    </w:p>
    <w:p>
      <w:pPr>
        <w:pStyle w:val="47"/>
        <w:rPr>
          <w:rFonts w:hint="eastAsia" w:ascii="宋体" w:hAnsi="宋体" w:eastAsia="宋体" w:cs="宋体"/>
          <w:lang w:val="en-US" w:eastAsia="zh-CN"/>
        </w:rPr>
      </w:pPr>
    </w:p>
    <w:p>
      <w:pPr>
        <w:pStyle w:val="16"/>
        <w:rPr>
          <w:rFonts w:hint="eastAsia" w:ascii="宋体" w:hAnsi="宋体" w:eastAsia="宋体" w:cs="宋体"/>
          <w:lang w:val="en-US" w:eastAsia="zh-CN"/>
        </w:rPr>
      </w:pPr>
    </w:p>
    <w:p>
      <w:pPr>
        <w:pStyle w:val="17"/>
        <w:rPr>
          <w:rFonts w:hint="eastAsia" w:ascii="宋体" w:hAnsi="宋体" w:eastAsia="宋体" w:cs="宋体"/>
          <w:lang w:val="en-US" w:eastAsia="zh-CN"/>
        </w:rPr>
      </w:pPr>
    </w:p>
    <w:p>
      <w:pPr>
        <w:pStyle w:val="18"/>
        <w:rPr>
          <w:rFonts w:hint="eastAsia" w:ascii="宋体" w:hAnsi="宋体" w:eastAsia="宋体" w:cs="宋体"/>
          <w:lang w:val="en-US" w:eastAsia="zh-CN"/>
        </w:rPr>
      </w:pPr>
    </w:p>
    <w:p>
      <w:pPr>
        <w:rPr>
          <w:rFonts w:hint="eastAsia" w:ascii="宋体" w:hAnsi="宋体" w:eastAsia="宋体" w:cs="宋体"/>
          <w:lang w:val="en-US" w:eastAsia="zh-CN"/>
        </w:rPr>
      </w:pPr>
    </w:p>
    <w:p>
      <w:pPr>
        <w:pStyle w:val="47"/>
        <w:rPr>
          <w:rFonts w:hint="eastAsia" w:ascii="宋体" w:hAnsi="宋体" w:eastAsia="宋体" w:cs="宋体"/>
          <w:lang w:val="en-US" w:eastAsia="zh-CN"/>
        </w:rPr>
      </w:pPr>
    </w:p>
    <w:p>
      <w:pPr>
        <w:pStyle w:val="16"/>
        <w:rPr>
          <w:rFonts w:hint="eastAsia" w:ascii="宋体" w:hAnsi="宋体" w:eastAsia="宋体" w:cs="宋体"/>
          <w:lang w:val="en-US" w:eastAsia="zh-CN"/>
        </w:rPr>
      </w:pPr>
    </w:p>
    <w:p>
      <w:pPr>
        <w:snapToGrid w:val="0"/>
        <w:spacing w:line="360" w:lineRule="auto"/>
        <w:ind w:left="0" w:leftChars="0" w:firstLine="0" w:firstLineChars="0"/>
        <w:outlineLvl w:val="0"/>
        <w:rPr>
          <w:rFonts w:hint="eastAsia" w:ascii="宋体" w:hAnsi="宋体" w:eastAsia="宋体" w:cs="宋体"/>
          <w:b/>
          <w:kern w:val="0"/>
          <w:sz w:val="32"/>
          <w:szCs w:val="32"/>
        </w:rPr>
      </w:pPr>
    </w:p>
    <w:p>
      <w:pPr>
        <w:snapToGrid w:val="0"/>
        <w:spacing w:line="360" w:lineRule="auto"/>
        <w:ind w:firstLine="3855" w:firstLineChars="1200"/>
        <w:outlineLvl w:val="0"/>
        <w:rPr>
          <w:rFonts w:hint="eastAsia" w:ascii="宋体" w:hAnsi="宋体" w:eastAsia="宋体" w:cs="宋体"/>
          <w:b/>
          <w:kern w:val="0"/>
          <w:sz w:val="32"/>
          <w:szCs w:val="32"/>
        </w:rPr>
      </w:pPr>
    </w:p>
    <w:p>
      <w:pPr>
        <w:snapToGrid w:val="0"/>
        <w:spacing w:line="360" w:lineRule="auto"/>
        <w:ind w:firstLine="3855" w:firstLineChars="1200"/>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pPr>
        <w:keepNext w:val="0"/>
        <w:keepLines w:val="0"/>
        <w:pageBreakBefore w:val="0"/>
        <w:widowControl/>
        <w:kinsoku/>
        <w:wordWrap/>
        <w:overflowPunct/>
        <w:topLinePunct w:val="0"/>
        <w:autoSpaceDE/>
        <w:autoSpaceDN/>
        <w:bidi w:val="0"/>
        <w:adjustRightInd/>
        <w:snapToGrid w:val="0"/>
        <w:spacing w:line="380" w:lineRule="exact"/>
        <w:textAlignment w:val="auto"/>
        <w:rPr>
          <w:rFonts w:hint="eastAsia" w:ascii="宋体" w:hAnsi="宋体" w:eastAsia="宋体" w:cs="宋体"/>
          <w:sz w:val="24"/>
        </w:rPr>
      </w:pPr>
      <w:r>
        <w:rPr>
          <w:rFonts w:hint="eastAsia" w:ascii="宋体" w:hAnsi="宋体" w:eastAsia="宋体" w:cs="宋体"/>
          <w:sz w:val="24"/>
        </w:rPr>
        <w:t>（采购人）、（采购代理机构）：</w:t>
      </w:r>
    </w:p>
    <w:p>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我方参加你方组织的（项目名称）【招标编号：（采购编号）】招标的有关活动，并对此项目进行投标。为此：</w:t>
      </w:r>
    </w:p>
    <w:p>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1、我方承诺投标有效期从提交投标文件的截止之日</w:t>
      </w:r>
      <w:r>
        <w:rPr>
          <w:rFonts w:hint="eastAsia" w:ascii="宋体" w:hAnsi="宋体" w:eastAsia="宋体" w:cs="宋体"/>
          <w:sz w:val="24"/>
          <w:highlight w:val="yellow"/>
        </w:rPr>
        <w:t>起</w:t>
      </w:r>
      <w:r>
        <w:rPr>
          <w:rFonts w:hint="eastAsia" w:ascii="宋体" w:hAnsi="宋体" w:eastAsia="宋体" w:cs="宋体"/>
          <w:sz w:val="24"/>
          <w:highlight w:val="yellow"/>
          <w:u w:val="single"/>
        </w:rPr>
        <w:t xml:space="preserve">     </w:t>
      </w:r>
      <w:r>
        <w:rPr>
          <w:rFonts w:hint="eastAsia" w:ascii="宋体" w:hAnsi="宋体" w:eastAsia="宋体" w:cs="宋体"/>
          <w:sz w:val="24"/>
          <w:highlight w:val="yellow"/>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2、我方的投标文件包括以下内容：</w:t>
      </w:r>
    </w:p>
    <w:p>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2.1资格文件：</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2.1.1提供有效的营业执照副本并加盖公章（或事业单位法人登记证或其他工商等登记证明材料）；</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2.1.2承诺函</w:t>
      </w:r>
      <w:r>
        <w:rPr>
          <w:rFonts w:hint="eastAsia" w:ascii="宋体" w:hAnsi="宋体" w:eastAsia="宋体" w:cs="宋体"/>
          <w:snapToGrid w:val="0"/>
          <w:kern w:val="28"/>
          <w:sz w:val="24"/>
          <w:szCs w:val="20"/>
        </w:rPr>
        <w:t>；</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3</w:t>
      </w:r>
      <w:r>
        <w:rPr>
          <w:rFonts w:hint="eastAsia" w:ascii="宋体" w:hAnsi="宋体" w:eastAsia="宋体" w:cs="宋体"/>
          <w:sz w:val="24"/>
        </w:rPr>
        <w:t>本项目的特定资格要求（如果有）。</w:t>
      </w:r>
    </w:p>
    <w:p>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2.2.2授权委托书或法定代表人（单位负责人）身份证明；</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3</w:t>
      </w:r>
      <w:r>
        <w:rPr>
          <w:rFonts w:hint="eastAsia" w:ascii="宋体" w:hAnsi="宋体" w:eastAsia="宋体" w:cs="宋体"/>
          <w:sz w:val="24"/>
        </w:rPr>
        <w:t>符合性审查资料；</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4</w:t>
      </w:r>
      <w:r>
        <w:rPr>
          <w:rFonts w:hint="eastAsia" w:ascii="宋体" w:hAnsi="宋体" w:eastAsia="宋体" w:cs="宋体"/>
          <w:sz w:val="24"/>
        </w:rPr>
        <w:t>评标标准相应的商务技术资料；</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5</w:t>
      </w:r>
      <w:r>
        <w:rPr>
          <w:rFonts w:hint="eastAsia" w:ascii="宋体" w:hAnsi="宋体" w:eastAsia="宋体" w:cs="宋体"/>
          <w:sz w:val="24"/>
        </w:rPr>
        <w:t>投标标的清单；</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6</w:t>
      </w:r>
      <w:r>
        <w:rPr>
          <w:rFonts w:hint="eastAsia" w:ascii="宋体" w:hAnsi="宋体" w:eastAsia="宋体" w:cs="宋体"/>
          <w:sz w:val="24"/>
        </w:rPr>
        <w:t>商务技术偏离表；</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7</w:t>
      </w:r>
      <w:r>
        <w:rPr>
          <w:rFonts w:hint="eastAsia" w:ascii="宋体" w:hAnsi="宋体" w:eastAsia="宋体" w:cs="宋体"/>
          <w:sz w:val="24"/>
          <w:lang w:val="zh-CN"/>
        </w:rPr>
        <w:t>政府采购供应商廉洁自律承诺书；</w:t>
      </w:r>
    </w:p>
    <w:p>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2.3.1</w:t>
      </w:r>
      <w:r>
        <w:rPr>
          <w:rFonts w:hint="eastAsia" w:ascii="宋体" w:hAnsi="宋体" w:eastAsia="宋体" w:cs="宋体"/>
          <w:sz w:val="24"/>
          <w:lang w:eastAsia="zh-CN"/>
        </w:rPr>
        <w:t>开标一览表</w:t>
      </w:r>
      <w:r>
        <w:rPr>
          <w:rFonts w:hint="eastAsia" w:ascii="宋体" w:hAnsi="宋体" w:eastAsia="宋体" w:cs="宋体"/>
          <w:sz w:val="24"/>
        </w:rPr>
        <w:t>（报价表）；</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80" w:firstLineChars="200"/>
        <w:textAlignment w:val="auto"/>
        <w:rPr>
          <w:rFonts w:hint="eastAsia" w:ascii="宋体" w:hAnsi="宋体" w:eastAsia="宋体" w:cs="宋体"/>
          <w:sz w:val="24"/>
        </w:rPr>
      </w:pPr>
      <w:r>
        <w:rPr>
          <w:rFonts w:hint="eastAsia" w:ascii="宋体" w:hAnsi="宋体" w:eastAsia="宋体" w:cs="宋体"/>
          <w:sz w:val="24"/>
        </w:rPr>
        <w:t>2.3.</w:t>
      </w:r>
      <w:r>
        <w:rPr>
          <w:rFonts w:hint="eastAsia" w:ascii="宋体" w:hAnsi="宋体" w:eastAsia="宋体" w:cs="宋体"/>
          <w:sz w:val="24"/>
          <w:lang w:val="en-US" w:eastAsia="zh-CN"/>
        </w:rPr>
        <w:t>2</w:t>
      </w:r>
      <w:r>
        <w:rPr>
          <w:rFonts w:hint="eastAsia" w:ascii="宋体" w:hAnsi="宋体" w:eastAsia="宋体" w:cs="宋体"/>
          <w:sz w:val="24"/>
          <w:lang w:eastAsia="zh-CN"/>
        </w:rPr>
        <w:t>投标人针对报价需要说明的其他文件和说明</w:t>
      </w:r>
      <w:r>
        <w:rPr>
          <w:rFonts w:hint="eastAsia" w:ascii="宋体" w:hAnsi="宋体" w:eastAsia="宋体" w:cs="宋体"/>
          <w:sz w:val="24"/>
        </w:rPr>
        <w:t>；</w:t>
      </w:r>
    </w:p>
    <w:p>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4、如我方中标，我方承诺：</w:t>
      </w:r>
    </w:p>
    <w:p>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4.3按照招标文件要求提交履约保证金； </w:t>
      </w:r>
    </w:p>
    <w:p>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pPr>
        <w:keepNext w:val="0"/>
        <w:keepLines w:val="0"/>
        <w:pageBreakBefore w:val="0"/>
        <w:widowControl/>
        <w:kinsoku/>
        <w:wordWrap/>
        <w:overflowPunct/>
        <w:topLinePunct w:val="0"/>
        <w:autoSpaceDE/>
        <w:autoSpaceDN/>
        <w:bidi w:val="0"/>
        <w:adjustRightInd/>
        <w:snapToGrid w:val="0"/>
        <w:spacing w:line="380" w:lineRule="exact"/>
        <w:ind w:left="240" w:leftChars="100" w:firstLine="480" w:firstLineChars="200"/>
        <w:textAlignment w:val="auto"/>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pPr>
        <w:keepNext w:val="0"/>
        <w:keepLines w:val="0"/>
        <w:pageBreakBefore w:val="0"/>
        <w:widowControl/>
        <w:kinsoku/>
        <w:wordWrap/>
        <w:overflowPunct/>
        <w:topLinePunct w:val="0"/>
        <w:autoSpaceDE/>
        <w:autoSpaceDN/>
        <w:bidi w:val="0"/>
        <w:adjustRightInd/>
        <w:spacing w:line="380" w:lineRule="exact"/>
        <w:ind w:firstLine="3600" w:firstLineChars="1500"/>
        <w:textAlignment w:val="auto"/>
        <w:rPr>
          <w:rFonts w:hint="eastAsia" w:ascii="宋体" w:hAnsi="宋体" w:eastAsia="宋体" w:cs="宋体"/>
          <w:sz w:val="24"/>
        </w:rPr>
      </w:pPr>
      <w:r>
        <w:rPr>
          <w:rFonts w:hint="eastAsia" w:ascii="宋体" w:hAnsi="宋体" w:eastAsia="宋体" w:cs="宋体"/>
          <w:sz w:val="24"/>
        </w:rPr>
        <w:t xml:space="preserve">投标人名称（电子签名）：                          </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宋体" w:hAnsi="宋体" w:eastAsia="宋体" w:cs="宋体"/>
          <w:sz w:val="24"/>
        </w:rPr>
      </w:pPr>
      <w:r>
        <w:rPr>
          <w:rFonts w:hint="eastAsia" w:ascii="宋体" w:hAnsi="宋体" w:eastAsia="宋体" w:cs="宋体"/>
          <w:sz w:val="24"/>
        </w:rPr>
        <w:t xml:space="preserve">     日期：  年   月   日</w:t>
      </w:r>
    </w:p>
    <w:p>
      <w:pPr>
        <w:keepNext w:val="0"/>
        <w:keepLines w:val="0"/>
        <w:pageBreakBefore w:val="0"/>
        <w:widowControl/>
        <w:kinsoku/>
        <w:wordWrap/>
        <w:overflowPunct/>
        <w:topLinePunct w:val="0"/>
        <w:autoSpaceDE/>
        <w:autoSpaceDN/>
        <w:bidi w:val="0"/>
        <w:adjustRightInd/>
        <w:snapToGrid w:val="0"/>
        <w:spacing w:line="380" w:lineRule="exact"/>
        <w:ind w:left="480" w:leftChars="200" w:firstLine="4200" w:firstLineChars="1750"/>
        <w:textAlignment w:val="auto"/>
        <w:rPr>
          <w:rFonts w:hint="eastAsia" w:ascii="宋体" w:hAnsi="宋体" w:eastAsia="宋体" w:cs="宋体"/>
          <w:kern w:val="0"/>
          <w:sz w:val="24"/>
          <w:u w:val="single"/>
        </w:rPr>
      </w:pPr>
    </w:p>
    <w:p>
      <w:pPr>
        <w:keepNext w:val="0"/>
        <w:keepLines w:val="0"/>
        <w:pageBreakBefore w:val="0"/>
        <w:widowControl/>
        <w:kinsoku/>
        <w:wordWrap/>
        <w:overflowPunct/>
        <w:topLinePunct w:val="0"/>
        <w:autoSpaceDE/>
        <w:autoSpaceDN/>
        <w:bidi w:val="0"/>
        <w:adjustRightInd/>
        <w:spacing w:line="380" w:lineRule="exact"/>
        <w:ind w:right="420"/>
        <w:textAlignment w:val="auto"/>
        <w:rPr>
          <w:rFonts w:hint="eastAsia" w:ascii="宋体" w:hAnsi="宋体" w:eastAsia="宋体" w:cs="宋体"/>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sz w:val="24"/>
        </w:rPr>
        <w:t>注：按本格式和要求提供。</w:t>
      </w:r>
    </w:p>
    <w:p>
      <w:pPr>
        <w:ind w:left="0" w:leftChars="0" w:firstLine="0" w:firstLineChars="0"/>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 xml:space="preserve">      </w:t>
      </w:r>
      <w:r>
        <w:rPr>
          <w:rFonts w:hint="eastAsia" w:ascii="宋体" w:hAnsi="宋体" w:eastAsia="宋体" w:cs="宋体"/>
          <w:b/>
          <w:kern w:val="0"/>
          <w:sz w:val="32"/>
          <w:szCs w:val="32"/>
        </w:rPr>
        <w:t xml:space="preserve"> </w:t>
      </w:r>
      <w:r>
        <w:rPr>
          <w:rFonts w:hint="eastAsia" w:ascii="宋体" w:hAnsi="宋体" w:eastAsia="宋体" w:cs="宋体"/>
          <w:b/>
          <w:kern w:val="0"/>
          <w:sz w:val="32"/>
          <w:szCs w:val="32"/>
          <w:lang w:val="zh-CN"/>
        </w:rPr>
        <w:t>授权委托书（适用于联合体投标）</w:t>
      </w: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pPr>
        <w:ind w:left="0" w:leftChars="0" w:firstLine="0" w:firstLineChars="0"/>
        <w:rPr>
          <w:rFonts w:hint="eastAsia" w:ascii="宋体" w:hAnsi="宋体" w:eastAsia="宋体" w:cs="宋体"/>
        </w:rPr>
      </w:pP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autoSpaceDE w:val="0"/>
        <w:autoSpaceDN w:val="0"/>
        <w:spacing w:line="360" w:lineRule="auto"/>
        <w:jc w:val="center"/>
        <w:rPr>
          <w:rFonts w:hint="eastAsia" w:ascii="宋体" w:hAnsi="宋体" w:eastAsia="宋体" w:cs="宋体"/>
          <w:b/>
          <w:kern w:val="0"/>
          <w:sz w:val="32"/>
          <w:szCs w:val="32"/>
          <w:lang w:val="zh-CN"/>
        </w:rPr>
      </w:pPr>
    </w:p>
    <w:p>
      <w:pPr>
        <w:autoSpaceDE w:val="0"/>
        <w:autoSpaceDN w:val="0"/>
        <w:spacing w:line="360" w:lineRule="auto"/>
        <w:jc w:val="center"/>
        <w:rPr>
          <w:rFonts w:hint="eastAsia" w:ascii="宋体" w:hAnsi="宋体" w:eastAsia="宋体" w:cs="宋体"/>
          <w:b/>
          <w:kern w:val="0"/>
          <w:sz w:val="32"/>
          <w:szCs w:val="32"/>
          <w:lang w:val="zh-CN"/>
        </w:rPr>
      </w:pPr>
    </w:p>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pPr>
        <w:pStyle w:val="52"/>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52"/>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pPr>
              <w:pStyle w:val="52"/>
              <w:adjustRightInd w:val="0"/>
              <w:spacing w:line="360" w:lineRule="auto"/>
              <w:rPr>
                <w:rFonts w:hint="eastAsia" w:ascii="宋体" w:hAnsi="宋体" w:eastAsia="宋体" w:cs="宋体"/>
                <w:bCs/>
                <w:sz w:val="24"/>
              </w:rPr>
            </w:pPr>
          </w:p>
        </w:tc>
      </w:tr>
    </w:tbl>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snapToGrid w:val="0"/>
        <w:spacing w:line="360" w:lineRule="auto"/>
        <w:ind w:left="0" w:leftChars="0" w:firstLine="0" w:firstLineChars="0"/>
        <w:rPr>
          <w:rFonts w:hint="eastAsia" w:ascii="宋体" w:hAnsi="宋体" w:eastAsia="宋体" w:cs="宋体"/>
          <w:kern w:val="0"/>
          <w:sz w:val="24"/>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三</w:t>
      </w:r>
      <w:r>
        <w:rPr>
          <w:rFonts w:hint="eastAsia" w:ascii="宋体" w:hAnsi="宋体" w:eastAsia="宋体" w:cs="宋体"/>
          <w:b/>
          <w:kern w:val="0"/>
          <w:sz w:val="32"/>
          <w:szCs w:val="32"/>
        </w:rPr>
        <w:t>、符合性审查资料</w:t>
      </w:r>
    </w:p>
    <w:p>
      <w:pPr>
        <w:jc w:val="center"/>
        <w:rPr>
          <w:rFonts w:hint="eastAsia" w:ascii="宋体" w:hAnsi="宋体" w:eastAsia="宋体" w:cs="宋体"/>
          <w:b/>
          <w:kern w:val="0"/>
          <w:sz w:val="32"/>
          <w:szCs w:val="32"/>
        </w:rPr>
      </w:pPr>
    </w:p>
    <w:tbl>
      <w:tblPr>
        <w:tblStyle w:val="28"/>
        <w:tblW w:w="9838"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78" w:type="dxa"/>
            <w:noWrap w:val="0"/>
            <w:vAlign w:val="center"/>
          </w:tcPr>
          <w:p>
            <w:pPr>
              <w:snapToGrid w:val="0"/>
              <w:spacing w:line="240" w:lineRule="atLeast"/>
              <w:ind w:left="0" w:leftChars="0" w:firstLine="0" w:firstLineChars="0"/>
              <w:jc w:val="center"/>
              <w:rPr>
                <w:rFonts w:hint="eastAsia" w:ascii="宋体" w:hAnsi="宋体" w:eastAsia="宋体" w:cs="宋体"/>
                <w:b/>
                <w:sz w:val="24"/>
              </w:rPr>
            </w:pPr>
            <w:r>
              <w:rPr>
                <w:rFonts w:hint="eastAsia" w:ascii="宋体" w:hAnsi="宋体" w:eastAsia="宋体" w:cs="宋体"/>
                <w:b/>
                <w:sz w:val="24"/>
              </w:rPr>
              <w:t>序号</w:t>
            </w:r>
          </w:p>
        </w:tc>
        <w:tc>
          <w:tcPr>
            <w:tcW w:w="4991" w:type="dxa"/>
            <w:noWrap w:val="0"/>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noWrap w:val="0"/>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noWrap w:val="0"/>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8"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4991" w:type="dxa"/>
            <w:noWrap w:val="0"/>
            <w:vAlign w:val="center"/>
          </w:tcPr>
          <w:p>
            <w:pPr>
              <w:spacing w:line="360" w:lineRule="auto"/>
              <w:jc w:val="both"/>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noWrap w:val="0"/>
            <w:vAlign w:val="center"/>
          </w:tcPr>
          <w:p>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noWrap w:val="0"/>
            <w:vAlign w:val="center"/>
          </w:tcPr>
          <w:p>
            <w:pPr>
              <w:ind w:left="0" w:leftChars="0" w:firstLine="0" w:firstLineChars="0"/>
              <w:jc w:val="both"/>
              <w:rPr>
                <w:rFonts w:hint="eastAsia" w:ascii="宋体" w:hAnsi="宋体" w:eastAsia="宋体" w:cs="宋体"/>
                <w:sz w:val="24"/>
              </w:rPr>
            </w:pPr>
            <w:r>
              <w:rPr>
                <w:rFonts w:hint="eastAsia" w:ascii="宋体" w:hAnsi="宋体" w:eastAsia="宋体" w:cs="宋体"/>
                <w:sz w:val="24"/>
              </w:rPr>
              <w:t>见投标文件</w:t>
            </w:r>
          </w:p>
          <w:p>
            <w:pPr>
              <w:jc w:val="both"/>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4991" w:type="dxa"/>
            <w:noWrap w:val="0"/>
            <w:vAlign w:val="center"/>
          </w:tcPr>
          <w:p>
            <w:pPr>
              <w:spacing w:line="360" w:lineRule="auto"/>
              <w:jc w:val="both"/>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noWrap w:val="0"/>
            <w:vAlign w:val="center"/>
          </w:tcPr>
          <w:p>
            <w:pPr>
              <w:rPr>
                <w:rFonts w:hint="eastAsia" w:ascii="宋体" w:hAnsi="宋体" w:eastAsia="宋体" w:cs="宋体"/>
                <w:sz w:val="24"/>
              </w:rPr>
            </w:pPr>
            <w:r>
              <w:rPr>
                <w:rFonts w:hint="eastAsia" w:ascii="宋体" w:hAnsi="宋体" w:eastAsia="宋体" w:cs="宋体"/>
                <w:sz w:val="24"/>
              </w:rPr>
              <w:t>投标函</w:t>
            </w:r>
          </w:p>
        </w:tc>
        <w:tc>
          <w:tcPr>
            <w:tcW w:w="1418" w:type="dxa"/>
            <w:noWrap w:val="0"/>
            <w:vAlign w:val="center"/>
          </w:tcPr>
          <w:p>
            <w:pPr>
              <w:ind w:left="0" w:leftChars="0" w:firstLine="0" w:firstLineChars="0"/>
              <w:jc w:val="both"/>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4991" w:type="dxa"/>
            <w:noWrap w:val="0"/>
            <w:vAlign w:val="center"/>
          </w:tcPr>
          <w:p>
            <w:pPr>
              <w:spacing w:line="360" w:lineRule="auto"/>
              <w:jc w:val="both"/>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noWrap w:val="0"/>
            <w:vAlign w:val="center"/>
          </w:tcPr>
          <w:p>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noWrap w:val="0"/>
            <w:vAlign w:val="center"/>
          </w:tcPr>
          <w:p>
            <w:pPr>
              <w:ind w:left="0" w:leftChars="0" w:firstLine="0" w:firstLineChars="0"/>
              <w:jc w:val="both"/>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页</w:t>
            </w:r>
          </w:p>
        </w:tc>
      </w:tr>
    </w:tbl>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pPr>
        <w:jc w:val="center"/>
        <w:rPr>
          <w:rFonts w:hint="eastAsia" w:ascii="宋体" w:hAnsi="宋体" w:eastAsia="宋体" w:cs="宋体"/>
        </w:rPr>
      </w:pPr>
      <w:r>
        <w:rPr>
          <w:rFonts w:hint="eastAsia" w:ascii="宋体" w:hAnsi="宋体" w:eastAsia="宋体" w:cs="宋体"/>
          <w:b/>
          <w:kern w:val="0"/>
          <w:sz w:val="32"/>
          <w:szCs w:val="32"/>
          <w:lang w:eastAsia="zh-CN"/>
        </w:rPr>
        <w:t>四</w:t>
      </w:r>
      <w:r>
        <w:rPr>
          <w:rFonts w:hint="eastAsia" w:ascii="宋体" w:hAnsi="宋体" w:eastAsia="宋体" w:cs="宋体"/>
          <w:b/>
          <w:kern w:val="0"/>
          <w:sz w:val="32"/>
          <w:szCs w:val="32"/>
        </w:rPr>
        <w:t>、评标标准相应的商务技术资料</w:t>
      </w:r>
    </w:p>
    <w:p>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pPr>
        <w:jc w:val="center"/>
        <w:rPr>
          <w:rFonts w:hint="eastAsia" w:ascii="宋体" w:hAnsi="宋体" w:eastAsia="宋体" w:cs="宋体"/>
          <w:b/>
          <w:kern w:val="0"/>
          <w:sz w:val="32"/>
          <w:szCs w:val="32"/>
        </w:rPr>
      </w:pPr>
    </w:p>
    <w:p>
      <w:pPr>
        <w:ind w:left="0" w:leftChars="0" w:firstLine="0" w:firstLineChars="0"/>
        <w:jc w:val="both"/>
        <w:rPr>
          <w:rFonts w:hint="eastAsia" w:ascii="宋体" w:hAnsi="宋体" w:eastAsia="宋体" w:cs="宋体"/>
          <w:b/>
          <w:kern w:val="0"/>
          <w:sz w:val="32"/>
          <w:szCs w:val="32"/>
        </w:rPr>
      </w:pPr>
    </w:p>
    <w:p>
      <w:pPr>
        <w:pStyle w:val="2"/>
        <w:numPr>
          <w:ilvl w:val="2"/>
          <w:numId w:val="0"/>
        </w:numPr>
        <w:ind w:leftChars="0"/>
        <w:rPr>
          <w:rFonts w:hint="eastAsia" w:ascii="宋体" w:hAnsi="宋体" w:eastAsia="宋体" w:cs="宋体"/>
        </w:rPr>
      </w:pPr>
    </w:p>
    <w:p>
      <w:pPr>
        <w:rPr>
          <w:rFonts w:hint="eastAsia" w:ascii="宋体" w:hAnsi="宋体" w:eastAsia="宋体" w:cs="宋体"/>
        </w:rPr>
      </w:pPr>
    </w:p>
    <w:p>
      <w:pPr>
        <w:ind w:firstLine="2891" w:firstLineChars="900"/>
        <w:rPr>
          <w:rFonts w:hint="eastAsia" w:ascii="宋体" w:hAnsi="宋体" w:eastAsia="宋体" w:cs="宋体"/>
          <w:b/>
          <w:kern w:val="0"/>
          <w:sz w:val="32"/>
          <w:szCs w:val="32"/>
        </w:rPr>
      </w:pPr>
      <w:r>
        <w:rPr>
          <w:rFonts w:hint="eastAsia" w:ascii="宋体" w:hAnsi="宋体" w:eastAsia="宋体" w:cs="宋体"/>
          <w:b/>
          <w:kern w:val="0"/>
          <w:sz w:val="32"/>
          <w:szCs w:val="32"/>
          <w:lang w:eastAsia="zh-CN"/>
        </w:rPr>
        <w:t>五</w:t>
      </w:r>
      <w:r>
        <w:rPr>
          <w:rFonts w:hint="eastAsia" w:ascii="宋体" w:hAnsi="宋体" w:eastAsia="宋体" w:cs="宋体"/>
          <w:b/>
          <w:kern w:val="0"/>
          <w:sz w:val="32"/>
          <w:szCs w:val="32"/>
        </w:rPr>
        <w:t>、投标标的清单</w:t>
      </w:r>
    </w:p>
    <w:tbl>
      <w:tblPr>
        <w:tblStyle w:val="28"/>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369"/>
        <w:gridCol w:w="1647"/>
        <w:gridCol w:w="1770"/>
        <w:gridCol w:w="1732"/>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64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品牌（如果有）</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规格型号</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6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6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6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r>
    </w:tbl>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六</w:t>
      </w:r>
      <w:r>
        <w:rPr>
          <w:rFonts w:hint="eastAsia" w:ascii="宋体" w:hAnsi="宋体" w:eastAsia="宋体" w:cs="宋体"/>
          <w:b/>
          <w:kern w:val="0"/>
          <w:sz w:val="32"/>
          <w:szCs w:val="32"/>
        </w:rPr>
        <w:t>、商务技术偏离表</w:t>
      </w:r>
    </w:p>
    <w:tbl>
      <w:tblPr>
        <w:tblStyle w:val="2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noWrap w:val="0"/>
            <w:vAlign w:val="top"/>
          </w:tcPr>
          <w:p>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noWrap w:val="0"/>
            <w:vAlign w:val="top"/>
          </w:tcPr>
          <w:p>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noWrap w:val="0"/>
            <w:vAlign w:val="top"/>
          </w:tcPr>
          <w:p>
            <w:pPr>
              <w:jc w:val="center"/>
              <w:rPr>
                <w:rFonts w:hint="eastAsia" w:ascii="宋体" w:hAnsi="宋体" w:eastAsia="宋体" w:cs="宋体"/>
                <w:b/>
                <w:bCs/>
                <w:sz w:val="24"/>
              </w:rPr>
            </w:pPr>
            <w:r>
              <w:rPr>
                <w:rFonts w:hint="eastAsia" w:ascii="宋体" w:hAnsi="宋体" w:eastAsia="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noWrap w:val="0"/>
            <w:vAlign w:val="top"/>
          </w:tcPr>
          <w:p>
            <w:pPr>
              <w:jc w:val="center"/>
              <w:rPr>
                <w:rFonts w:hint="eastAsia" w:ascii="宋体" w:hAnsi="宋体" w:eastAsia="宋体" w:cs="宋体"/>
                <w:b/>
                <w:kern w:val="0"/>
                <w:sz w:val="32"/>
                <w:szCs w:val="32"/>
              </w:rPr>
            </w:pPr>
          </w:p>
        </w:tc>
        <w:tc>
          <w:tcPr>
            <w:tcW w:w="3546" w:type="dxa"/>
            <w:noWrap w:val="0"/>
            <w:vAlign w:val="top"/>
          </w:tcPr>
          <w:p>
            <w:pPr>
              <w:jc w:val="center"/>
              <w:rPr>
                <w:rFonts w:hint="eastAsia" w:ascii="宋体" w:hAnsi="宋体" w:eastAsia="宋体" w:cs="宋体"/>
                <w:b/>
                <w:kern w:val="0"/>
                <w:sz w:val="32"/>
                <w:szCs w:val="32"/>
              </w:rPr>
            </w:pPr>
          </w:p>
        </w:tc>
        <w:tc>
          <w:tcPr>
            <w:tcW w:w="1276" w:type="dxa"/>
            <w:noWrap w:val="0"/>
            <w:vAlign w:val="top"/>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noWrap w:val="0"/>
            <w:vAlign w:val="top"/>
          </w:tcPr>
          <w:p>
            <w:pPr>
              <w:jc w:val="center"/>
              <w:rPr>
                <w:rFonts w:hint="eastAsia" w:ascii="宋体" w:hAnsi="宋体" w:eastAsia="宋体" w:cs="宋体"/>
                <w:b/>
                <w:kern w:val="0"/>
                <w:sz w:val="32"/>
                <w:szCs w:val="32"/>
              </w:rPr>
            </w:pPr>
          </w:p>
        </w:tc>
        <w:tc>
          <w:tcPr>
            <w:tcW w:w="3546" w:type="dxa"/>
            <w:noWrap w:val="0"/>
            <w:vAlign w:val="top"/>
          </w:tcPr>
          <w:p>
            <w:pPr>
              <w:jc w:val="center"/>
              <w:rPr>
                <w:rFonts w:hint="eastAsia" w:ascii="宋体" w:hAnsi="宋体" w:eastAsia="宋体" w:cs="宋体"/>
                <w:b/>
                <w:kern w:val="0"/>
                <w:sz w:val="32"/>
                <w:szCs w:val="32"/>
              </w:rPr>
            </w:pPr>
          </w:p>
        </w:tc>
        <w:tc>
          <w:tcPr>
            <w:tcW w:w="1276" w:type="dxa"/>
            <w:noWrap w:val="0"/>
            <w:vAlign w:val="top"/>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noWrap w:val="0"/>
            <w:vAlign w:val="top"/>
          </w:tcPr>
          <w:p>
            <w:pPr>
              <w:jc w:val="center"/>
              <w:rPr>
                <w:rFonts w:hint="eastAsia" w:ascii="宋体" w:hAnsi="宋体" w:eastAsia="宋体" w:cs="宋体"/>
                <w:b/>
                <w:kern w:val="0"/>
                <w:sz w:val="32"/>
                <w:szCs w:val="32"/>
              </w:rPr>
            </w:pPr>
          </w:p>
        </w:tc>
        <w:tc>
          <w:tcPr>
            <w:tcW w:w="3546" w:type="dxa"/>
            <w:noWrap w:val="0"/>
            <w:vAlign w:val="top"/>
          </w:tcPr>
          <w:p>
            <w:pPr>
              <w:jc w:val="center"/>
              <w:rPr>
                <w:rFonts w:hint="eastAsia" w:ascii="宋体" w:hAnsi="宋体" w:eastAsia="宋体" w:cs="宋体"/>
                <w:b/>
                <w:kern w:val="0"/>
                <w:sz w:val="32"/>
                <w:szCs w:val="32"/>
              </w:rPr>
            </w:pPr>
          </w:p>
        </w:tc>
        <w:tc>
          <w:tcPr>
            <w:tcW w:w="1276" w:type="dxa"/>
            <w:noWrap w:val="0"/>
            <w:vAlign w:val="top"/>
          </w:tcPr>
          <w:p>
            <w:pPr>
              <w:jc w:val="center"/>
              <w:rPr>
                <w:rFonts w:hint="eastAsia" w:ascii="宋体" w:hAnsi="宋体" w:eastAsia="宋体" w:cs="宋体"/>
                <w:b/>
                <w:kern w:val="0"/>
                <w:sz w:val="32"/>
                <w:szCs w:val="32"/>
              </w:rPr>
            </w:pPr>
          </w:p>
        </w:tc>
      </w:tr>
    </w:tbl>
    <w:p>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pPr>
        <w:jc w:val="center"/>
        <w:rPr>
          <w:rFonts w:hint="eastAsia" w:ascii="宋体" w:hAnsi="宋体" w:eastAsia="宋体" w:cs="宋体"/>
          <w:b/>
          <w:kern w:val="0"/>
          <w:sz w:val="32"/>
          <w:szCs w:val="32"/>
        </w:rPr>
      </w:pP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ind w:left="0" w:leftChars="0" w:firstLine="0" w:firstLineChars="0"/>
        <w:rPr>
          <w:rFonts w:hint="eastAsia" w:ascii="宋体" w:hAnsi="宋体" w:eastAsia="宋体" w:cs="宋体"/>
          <w:b/>
          <w:bCs/>
          <w:sz w:val="32"/>
          <w:szCs w:val="32"/>
        </w:rPr>
      </w:pPr>
    </w:p>
    <w:p>
      <w:pPr>
        <w:ind w:firstLine="1911" w:firstLineChars="595"/>
        <w:rPr>
          <w:rFonts w:hint="eastAsia" w:ascii="宋体" w:hAnsi="宋体" w:eastAsia="宋体" w:cs="宋体"/>
          <w:b/>
          <w:bCs/>
          <w:sz w:val="32"/>
          <w:szCs w:val="32"/>
          <w:lang w:eastAsia="zh-CN"/>
        </w:rPr>
      </w:pPr>
    </w:p>
    <w:p>
      <w:pPr>
        <w:ind w:firstLine="1911" w:firstLineChars="595"/>
        <w:rPr>
          <w:rFonts w:hint="eastAsia" w:ascii="宋体" w:hAnsi="宋体" w:eastAsia="宋体" w:cs="宋体"/>
          <w:b/>
          <w:bCs/>
          <w:sz w:val="32"/>
          <w:szCs w:val="32"/>
          <w:lang w:eastAsia="zh-CN"/>
        </w:rPr>
      </w:pPr>
    </w:p>
    <w:p>
      <w:pPr>
        <w:ind w:firstLine="1911" w:firstLineChars="595"/>
        <w:rPr>
          <w:rFonts w:hint="eastAsia" w:ascii="宋体" w:hAnsi="宋体" w:eastAsia="宋体" w:cs="宋体"/>
          <w:b/>
          <w:bCs/>
          <w:sz w:val="32"/>
          <w:szCs w:val="32"/>
          <w:lang w:eastAsia="zh-CN"/>
        </w:rPr>
      </w:pPr>
    </w:p>
    <w:p>
      <w:pPr>
        <w:ind w:firstLine="1911" w:firstLineChars="595"/>
        <w:rPr>
          <w:rFonts w:hint="eastAsia" w:ascii="宋体" w:hAnsi="宋体" w:eastAsia="宋体" w:cs="宋体"/>
          <w:b/>
          <w:bCs/>
          <w:sz w:val="32"/>
          <w:szCs w:val="32"/>
          <w:lang w:eastAsia="zh-CN"/>
        </w:rPr>
      </w:pPr>
    </w:p>
    <w:p>
      <w:pPr>
        <w:ind w:firstLine="1911" w:firstLineChars="595"/>
        <w:rPr>
          <w:rFonts w:hint="eastAsia" w:ascii="宋体" w:hAnsi="宋体" w:eastAsia="宋体" w:cs="宋体"/>
          <w:b/>
          <w:kern w:val="0"/>
          <w:sz w:val="32"/>
          <w:szCs w:val="32"/>
        </w:rPr>
      </w:pPr>
      <w:r>
        <w:rPr>
          <w:rFonts w:hint="eastAsia" w:ascii="宋体" w:hAnsi="宋体" w:eastAsia="宋体" w:cs="宋体"/>
          <w:b/>
          <w:bCs/>
          <w:sz w:val="32"/>
          <w:szCs w:val="32"/>
          <w:lang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pPr>
        <w:autoSpaceDE w:val="0"/>
        <w:autoSpaceDN w:val="0"/>
        <w:spacing w:line="360" w:lineRule="auto"/>
        <w:ind w:left="550"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pPr>
        <w:autoSpaceDE w:val="0"/>
        <w:autoSpaceDN w:val="0"/>
        <w:spacing w:line="360" w:lineRule="auto"/>
        <w:ind w:left="550"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pPr>
        <w:spacing w:line="360" w:lineRule="auto"/>
        <w:ind w:left="528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pPr>
        <w:spacing w:line="360" w:lineRule="auto"/>
        <w:jc w:val="center"/>
        <w:rPr>
          <w:rFonts w:hint="eastAsia" w:ascii="宋体" w:hAnsi="宋体" w:eastAsia="宋体" w:cs="宋体"/>
          <w:b/>
          <w:bCs/>
          <w:sz w:val="24"/>
        </w:rPr>
      </w:pPr>
    </w:p>
    <w:p>
      <w:pPr>
        <w:spacing w:line="360" w:lineRule="auto"/>
        <w:ind w:right="420"/>
        <w:rPr>
          <w:rFonts w:hint="eastAsia" w:ascii="宋体" w:hAnsi="宋体" w:eastAsia="宋体" w:cs="宋体"/>
          <w:b/>
          <w:bCs/>
          <w:sz w:val="24"/>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sz w:val="24"/>
        </w:rPr>
        <w:t>注：按本格式和要求提供。</w:t>
      </w:r>
    </w:p>
    <w:p>
      <w:pPr>
        <w:snapToGrid w:val="0"/>
        <w:spacing w:before="120" w:beforeLines="50" w:after="50"/>
        <w:ind w:left="0" w:leftChars="0" w:firstLine="0" w:firstLineChars="0"/>
        <w:rPr>
          <w:rFonts w:hint="eastAsia" w:ascii="宋体" w:hAnsi="宋体" w:eastAsia="宋体" w:cs="宋体"/>
          <w:b/>
          <w:sz w:val="30"/>
          <w:szCs w:val="30"/>
        </w:rPr>
      </w:pPr>
      <w:r>
        <w:rPr>
          <w:rFonts w:hint="eastAsia" w:ascii="宋体" w:hAnsi="宋体" w:eastAsia="宋体" w:cs="宋体"/>
          <w:b/>
          <w:sz w:val="30"/>
          <w:szCs w:val="30"/>
        </w:rPr>
        <w:t xml:space="preserve">            </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p>
    <w:p>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pPr>
        <w:spacing w:before="240" w:beforeLines="100" w:line="240" w:lineRule="atLeast"/>
        <w:jc w:val="center"/>
        <w:rPr>
          <w:rFonts w:hint="eastAsia" w:ascii="宋体" w:hAnsi="宋体" w:eastAsia="宋体" w:cs="宋体"/>
          <w:sz w:val="36"/>
          <w:szCs w:val="36"/>
          <w:lang w:val="en-US"/>
        </w:rPr>
      </w:pPr>
      <w:r>
        <w:rPr>
          <w:rFonts w:hint="eastAsia" w:ascii="宋体" w:hAnsi="宋体" w:eastAsia="宋体" w:cs="宋体"/>
          <w:sz w:val="36"/>
          <w:szCs w:val="36"/>
        </w:rPr>
        <w:t>项目编号</w:t>
      </w:r>
      <w:r>
        <w:rPr>
          <w:rFonts w:hint="eastAsia" w:ascii="宋体" w:hAnsi="宋体" w:eastAsia="宋体" w:cs="宋体"/>
          <w:color w:val="auto"/>
          <w:sz w:val="36"/>
          <w:szCs w:val="36"/>
        </w:rPr>
        <w:t>：</w:t>
      </w:r>
      <w:r>
        <w:rPr>
          <w:rFonts w:hint="eastAsia" w:ascii="宋体" w:hAnsi="宋体" w:eastAsia="宋体" w:cs="宋体"/>
          <w:sz w:val="36"/>
          <w:szCs w:val="36"/>
          <w:lang w:val="en-US" w:eastAsia="zh-CN"/>
        </w:rPr>
        <w:t>HZKYTLCG-2024-08</w:t>
      </w:r>
    </w:p>
    <w:p>
      <w:pPr>
        <w:spacing w:after="100" w:afterAutospacing="1" w:line="800" w:lineRule="exact"/>
        <w:ind w:right="-108"/>
        <w:jc w:val="center"/>
        <w:rPr>
          <w:rFonts w:hint="eastAsia" w:ascii="宋体" w:hAnsi="宋体" w:eastAsia="宋体" w:cs="宋体"/>
          <w:b/>
          <w:spacing w:val="40"/>
          <w:sz w:val="84"/>
          <w:szCs w:val="84"/>
        </w:rPr>
      </w:pPr>
    </w:p>
    <w:p>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报</w:t>
      </w:r>
    </w:p>
    <w:p>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价</w:t>
      </w:r>
    </w:p>
    <w:p>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pPr>
        <w:spacing w:line="500" w:lineRule="exact"/>
        <w:ind w:right="532"/>
        <w:jc w:val="center"/>
        <w:rPr>
          <w:rFonts w:hint="eastAsia" w:ascii="宋体" w:hAnsi="宋体" w:eastAsia="宋体" w:cs="宋体"/>
          <w:sz w:val="36"/>
          <w:szCs w:val="36"/>
        </w:rPr>
      </w:pPr>
    </w:p>
    <w:p>
      <w:pPr>
        <w:spacing w:line="5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投标人全称：</w:t>
      </w:r>
    </w:p>
    <w:p>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pPr>
        <w:snapToGrid w:val="0"/>
        <w:spacing w:before="50" w:after="50"/>
        <w:rPr>
          <w:rFonts w:hint="eastAsia" w:ascii="宋体" w:hAnsi="宋体" w:eastAsia="宋体" w:cs="宋体"/>
          <w:sz w:val="30"/>
          <w:szCs w:val="30"/>
        </w:rPr>
      </w:pPr>
    </w:p>
    <w:p>
      <w:pPr>
        <w:pStyle w:val="2"/>
        <w:numPr>
          <w:ilvl w:val="2"/>
          <w:numId w:val="0"/>
        </w:numPr>
        <w:ind w:leftChars="0"/>
        <w:rPr>
          <w:rFonts w:hint="eastAsia" w:ascii="宋体" w:hAnsi="宋体" w:eastAsia="宋体" w:cs="宋体"/>
        </w:rPr>
      </w:pPr>
    </w:p>
    <w:p>
      <w:pPr>
        <w:pStyle w:val="21"/>
        <w:snapToGrid w:val="0"/>
        <w:ind w:left="0"/>
        <w:rPr>
          <w:rFonts w:hint="eastAsia" w:ascii="宋体" w:hAnsi="宋体" w:eastAsia="宋体" w:cs="宋体"/>
        </w:rPr>
      </w:pPr>
      <w:r>
        <w:rPr>
          <w:rFonts w:hint="eastAsia" w:ascii="宋体" w:hAnsi="宋体" w:eastAsia="宋体" w:cs="宋体"/>
          <w:sz w:val="36"/>
          <w:szCs w:val="36"/>
          <w:lang w:val="en-US" w:eastAsia="zh-CN"/>
        </w:rPr>
        <w:t>1</w:t>
      </w:r>
      <w:r>
        <w:rPr>
          <w:rFonts w:hint="eastAsia" w:ascii="宋体" w:hAnsi="宋体" w:eastAsia="宋体" w:cs="宋体"/>
          <w:sz w:val="36"/>
          <w:szCs w:val="36"/>
        </w:rPr>
        <w:t>、</w:t>
      </w:r>
      <w:r>
        <w:rPr>
          <w:rFonts w:hint="eastAsia" w:ascii="宋体" w:hAnsi="宋体" w:eastAsia="宋体" w:cs="宋体"/>
          <w:b/>
          <w:sz w:val="36"/>
          <w:szCs w:val="36"/>
        </w:rPr>
        <w:t>报价文件目录</w:t>
      </w:r>
    </w:p>
    <w:p>
      <w:pPr>
        <w:pStyle w:val="21"/>
        <w:snapToGrid w:val="0"/>
        <w:spacing w:line="360" w:lineRule="auto"/>
        <w:ind w:left="0"/>
        <w:rPr>
          <w:rFonts w:hint="eastAsia" w:ascii="宋体" w:hAnsi="宋体" w:eastAsia="宋体" w:cs="宋体"/>
          <w:sz w:val="30"/>
          <w:szCs w:val="30"/>
        </w:rPr>
      </w:pPr>
      <w:r>
        <w:rPr>
          <w:rFonts w:hint="eastAsia" w:ascii="宋体" w:hAnsi="宋体" w:eastAsia="宋体" w:cs="宋体"/>
          <w:sz w:val="30"/>
          <w:szCs w:val="30"/>
        </w:rPr>
        <w:t>（1）</w:t>
      </w:r>
      <w:r>
        <w:rPr>
          <w:rFonts w:hint="eastAsia" w:ascii="宋体" w:hAnsi="宋体" w:eastAsia="宋体" w:cs="宋体"/>
          <w:sz w:val="30"/>
          <w:szCs w:val="30"/>
          <w:lang w:eastAsia="zh-CN"/>
        </w:rPr>
        <w:t>开标一览表（报价表）</w:t>
      </w:r>
      <w:r>
        <w:rPr>
          <w:rFonts w:hint="eastAsia" w:ascii="宋体" w:hAnsi="宋体" w:eastAsia="宋体" w:cs="宋体"/>
          <w:sz w:val="30"/>
          <w:szCs w:val="30"/>
        </w:rPr>
        <w:t>；(格式见附件)；</w:t>
      </w:r>
    </w:p>
    <w:p>
      <w:pPr>
        <w:pStyle w:val="21"/>
        <w:snapToGrid w:val="0"/>
        <w:spacing w:line="360" w:lineRule="auto"/>
        <w:ind w:left="0"/>
        <w:rPr>
          <w:rFonts w:hint="eastAsia" w:ascii="宋体" w:hAnsi="宋体" w:eastAsia="宋体" w:cs="宋体"/>
          <w:sz w:val="30"/>
          <w:szCs w:val="30"/>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sz w:val="30"/>
          <w:szCs w:val="30"/>
        </w:rPr>
        <w:t>（</w:t>
      </w:r>
      <w:r>
        <w:rPr>
          <w:rFonts w:hint="eastAsia" w:ascii="宋体" w:hAnsi="宋体" w:eastAsia="宋体" w:cs="宋体"/>
          <w:sz w:val="30"/>
          <w:szCs w:val="30"/>
          <w:lang w:val="en-US" w:eastAsia="zh-CN"/>
        </w:rPr>
        <w:t>2</w:t>
      </w:r>
      <w:r>
        <w:rPr>
          <w:rFonts w:hint="eastAsia" w:ascii="宋体" w:hAnsi="宋体" w:eastAsia="宋体" w:cs="宋体"/>
          <w:sz w:val="30"/>
          <w:szCs w:val="30"/>
        </w:rPr>
        <w:t>）投标人针对报价需要说明的其他文件和说明（格式自拟）；</w:t>
      </w:r>
    </w:p>
    <w:p>
      <w:pPr>
        <w:pStyle w:val="20"/>
        <w:snapToGrid w:val="0"/>
        <w:spacing w:before="120" w:after="120"/>
        <w:jc w:val="left"/>
        <w:rPr>
          <w:rFonts w:hint="eastAsia" w:ascii="宋体" w:hAnsi="宋体" w:eastAsia="宋体" w:cs="宋体"/>
          <w:sz w:val="30"/>
          <w:szCs w:val="30"/>
        </w:rPr>
      </w:pPr>
      <w:r>
        <w:rPr>
          <w:rFonts w:hint="eastAsia" w:ascii="宋体" w:hAnsi="宋体" w:eastAsia="宋体" w:cs="宋体"/>
          <w:sz w:val="30"/>
          <w:szCs w:val="30"/>
        </w:rPr>
        <w:t>附件</w:t>
      </w:r>
      <w:r>
        <w:rPr>
          <w:rFonts w:hint="eastAsia" w:ascii="宋体" w:hAnsi="宋体" w:eastAsia="宋体" w:cs="宋体"/>
          <w:sz w:val="30"/>
          <w:szCs w:val="30"/>
          <w:lang w:val="en-US" w:eastAsia="zh-CN"/>
        </w:rPr>
        <w:t>1</w:t>
      </w:r>
      <w:r>
        <w:rPr>
          <w:rFonts w:hint="eastAsia" w:ascii="宋体" w:hAnsi="宋体" w:eastAsia="宋体" w:cs="宋体"/>
          <w:sz w:val="30"/>
          <w:szCs w:val="30"/>
        </w:rPr>
        <w:t>：</w:t>
      </w:r>
    </w:p>
    <w:p>
      <w:pPr>
        <w:pStyle w:val="20"/>
        <w:snapToGrid w:val="0"/>
        <w:spacing w:before="120" w:after="120"/>
        <w:jc w:val="center"/>
        <w:rPr>
          <w:rFonts w:hint="eastAsia" w:ascii="宋体" w:hAnsi="宋体" w:eastAsia="宋体" w:cs="宋体"/>
          <w:lang w:eastAsia="zh-CN"/>
        </w:rPr>
      </w:pPr>
      <w:r>
        <w:rPr>
          <w:rFonts w:hint="eastAsia" w:ascii="宋体" w:hAnsi="宋体" w:eastAsia="宋体" w:cs="宋体"/>
          <w:b/>
          <w:sz w:val="36"/>
          <w:szCs w:val="36"/>
          <w:lang w:eastAsia="zh-CN"/>
        </w:rPr>
        <w:t>开标一览表（报价表）</w:t>
      </w: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28"/>
        <w:tblW w:w="14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406"/>
        <w:gridCol w:w="1829"/>
        <w:gridCol w:w="3095"/>
        <w:gridCol w:w="985"/>
        <w:gridCol w:w="1547"/>
        <w:gridCol w:w="1969"/>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530"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406"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829" w:type="dxa"/>
            <w:noWrap w:val="0"/>
            <w:vAlign w:val="top"/>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品牌（如果有）</w:t>
            </w:r>
          </w:p>
        </w:tc>
        <w:tc>
          <w:tcPr>
            <w:tcW w:w="3095"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规格型号</w:t>
            </w:r>
          </w:p>
        </w:tc>
        <w:tc>
          <w:tcPr>
            <w:tcW w:w="985"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547"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单价</w:t>
            </w:r>
          </w:p>
        </w:tc>
        <w:tc>
          <w:tcPr>
            <w:tcW w:w="1969" w:type="dxa"/>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合计</w:t>
            </w:r>
          </w:p>
        </w:tc>
        <w:tc>
          <w:tcPr>
            <w:tcW w:w="3096" w:type="dxa"/>
            <w:noWrap w:val="0"/>
            <w:vAlign w:val="center"/>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备注（如果有）</w:t>
            </w:r>
          </w:p>
          <w:p>
            <w:pPr>
              <w:spacing w:line="360" w:lineRule="auto"/>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406" w:type="dxa"/>
            <w:noWrap w:val="0"/>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XX</w:t>
            </w:r>
          </w:p>
        </w:tc>
        <w:tc>
          <w:tcPr>
            <w:tcW w:w="1829" w:type="dxa"/>
            <w:noWrap w:val="0"/>
            <w:vAlign w:val="center"/>
          </w:tcPr>
          <w:p>
            <w:pPr>
              <w:snapToGrid w:val="0"/>
              <w:spacing w:line="360" w:lineRule="auto"/>
              <w:jc w:val="center"/>
              <w:rPr>
                <w:rFonts w:hint="eastAsia" w:ascii="宋体" w:hAnsi="宋体" w:eastAsia="宋体" w:cs="宋体"/>
                <w:sz w:val="24"/>
              </w:rPr>
            </w:pPr>
          </w:p>
        </w:tc>
        <w:tc>
          <w:tcPr>
            <w:tcW w:w="3095" w:type="dxa"/>
            <w:noWrap w:val="0"/>
            <w:vAlign w:val="center"/>
          </w:tcPr>
          <w:p>
            <w:pPr>
              <w:snapToGrid w:val="0"/>
              <w:spacing w:line="360" w:lineRule="auto"/>
              <w:jc w:val="center"/>
              <w:rPr>
                <w:rFonts w:hint="eastAsia" w:ascii="宋体" w:hAnsi="宋体" w:eastAsia="宋体" w:cs="宋体"/>
                <w:sz w:val="24"/>
              </w:rPr>
            </w:pPr>
          </w:p>
        </w:tc>
        <w:tc>
          <w:tcPr>
            <w:tcW w:w="985" w:type="dxa"/>
            <w:noWrap w:val="0"/>
            <w:vAlign w:val="center"/>
          </w:tcPr>
          <w:p>
            <w:pPr>
              <w:snapToGrid w:val="0"/>
              <w:spacing w:line="360" w:lineRule="auto"/>
              <w:jc w:val="center"/>
              <w:rPr>
                <w:rFonts w:hint="eastAsia" w:ascii="宋体" w:hAnsi="宋体" w:eastAsia="宋体" w:cs="宋体"/>
                <w:sz w:val="24"/>
              </w:rPr>
            </w:pPr>
          </w:p>
        </w:tc>
        <w:tc>
          <w:tcPr>
            <w:tcW w:w="1547" w:type="dxa"/>
            <w:noWrap w:val="0"/>
            <w:vAlign w:val="center"/>
          </w:tcPr>
          <w:p>
            <w:pPr>
              <w:spacing w:line="360" w:lineRule="auto"/>
              <w:jc w:val="center"/>
              <w:rPr>
                <w:rFonts w:hint="eastAsia" w:ascii="宋体" w:hAnsi="宋体" w:eastAsia="宋体" w:cs="宋体"/>
                <w:sz w:val="24"/>
              </w:rPr>
            </w:pPr>
          </w:p>
        </w:tc>
        <w:tc>
          <w:tcPr>
            <w:tcW w:w="1969" w:type="dxa"/>
            <w:noWrap w:val="0"/>
            <w:vAlign w:val="center"/>
          </w:tcPr>
          <w:p>
            <w:pPr>
              <w:spacing w:line="360" w:lineRule="auto"/>
              <w:jc w:val="center"/>
              <w:rPr>
                <w:rFonts w:hint="eastAsia" w:ascii="宋体" w:hAnsi="宋体" w:eastAsia="宋体" w:cs="宋体"/>
                <w:sz w:val="24"/>
              </w:rPr>
            </w:pPr>
          </w:p>
        </w:tc>
        <w:tc>
          <w:tcPr>
            <w:tcW w:w="3096" w:type="dxa"/>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406" w:type="dxa"/>
            <w:noWrap w:val="0"/>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XX</w:t>
            </w:r>
          </w:p>
        </w:tc>
        <w:tc>
          <w:tcPr>
            <w:tcW w:w="1829" w:type="dxa"/>
            <w:noWrap w:val="0"/>
            <w:vAlign w:val="center"/>
          </w:tcPr>
          <w:p>
            <w:pPr>
              <w:snapToGrid w:val="0"/>
              <w:spacing w:line="360" w:lineRule="auto"/>
              <w:jc w:val="center"/>
              <w:rPr>
                <w:rFonts w:hint="eastAsia" w:ascii="宋体" w:hAnsi="宋体" w:eastAsia="宋体" w:cs="宋体"/>
                <w:sz w:val="24"/>
              </w:rPr>
            </w:pPr>
          </w:p>
        </w:tc>
        <w:tc>
          <w:tcPr>
            <w:tcW w:w="3095" w:type="dxa"/>
            <w:noWrap w:val="0"/>
            <w:vAlign w:val="center"/>
          </w:tcPr>
          <w:p>
            <w:pPr>
              <w:snapToGrid w:val="0"/>
              <w:spacing w:line="360" w:lineRule="auto"/>
              <w:jc w:val="center"/>
              <w:rPr>
                <w:rFonts w:hint="eastAsia" w:ascii="宋体" w:hAnsi="宋体" w:eastAsia="宋体" w:cs="宋体"/>
                <w:sz w:val="24"/>
              </w:rPr>
            </w:pPr>
          </w:p>
        </w:tc>
        <w:tc>
          <w:tcPr>
            <w:tcW w:w="985" w:type="dxa"/>
            <w:noWrap w:val="0"/>
            <w:vAlign w:val="center"/>
          </w:tcPr>
          <w:p>
            <w:pPr>
              <w:snapToGrid w:val="0"/>
              <w:spacing w:line="360" w:lineRule="auto"/>
              <w:jc w:val="center"/>
              <w:rPr>
                <w:rFonts w:hint="eastAsia" w:ascii="宋体" w:hAnsi="宋体" w:eastAsia="宋体" w:cs="宋体"/>
                <w:sz w:val="24"/>
              </w:rPr>
            </w:pPr>
          </w:p>
        </w:tc>
        <w:tc>
          <w:tcPr>
            <w:tcW w:w="1547" w:type="dxa"/>
            <w:noWrap w:val="0"/>
            <w:vAlign w:val="center"/>
          </w:tcPr>
          <w:p>
            <w:pPr>
              <w:spacing w:line="360" w:lineRule="auto"/>
              <w:jc w:val="center"/>
              <w:rPr>
                <w:rFonts w:hint="eastAsia" w:ascii="宋体" w:hAnsi="宋体" w:eastAsia="宋体" w:cs="宋体"/>
                <w:sz w:val="24"/>
              </w:rPr>
            </w:pPr>
          </w:p>
        </w:tc>
        <w:tc>
          <w:tcPr>
            <w:tcW w:w="1969" w:type="dxa"/>
            <w:noWrap w:val="0"/>
            <w:vAlign w:val="center"/>
          </w:tcPr>
          <w:p>
            <w:pPr>
              <w:spacing w:line="360" w:lineRule="auto"/>
              <w:jc w:val="center"/>
              <w:rPr>
                <w:rFonts w:hint="eastAsia" w:ascii="宋体" w:hAnsi="宋体" w:eastAsia="宋体" w:cs="宋体"/>
                <w:sz w:val="24"/>
              </w:rPr>
            </w:pPr>
          </w:p>
        </w:tc>
        <w:tc>
          <w:tcPr>
            <w:tcW w:w="3096" w:type="dxa"/>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406" w:type="dxa"/>
            <w:noWrap w:val="0"/>
            <w:vAlign w:val="center"/>
          </w:tcPr>
          <w:p>
            <w:pPr>
              <w:snapToGrid w:val="0"/>
              <w:spacing w:line="360" w:lineRule="auto"/>
              <w:jc w:val="center"/>
              <w:rPr>
                <w:rFonts w:hint="eastAsia" w:ascii="宋体" w:hAnsi="宋体" w:eastAsia="宋体" w:cs="宋体"/>
                <w:sz w:val="24"/>
              </w:rPr>
            </w:pPr>
          </w:p>
        </w:tc>
        <w:tc>
          <w:tcPr>
            <w:tcW w:w="1829" w:type="dxa"/>
            <w:noWrap w:val="0"/>
            <w:vAlign w:val="center"/>
          </w:tcPr>
          <w:p>
            <w:pPr>
              <w:snapToGrid w:val="0"/>
              <w:spacing w:line="360" w:lineRule="auto"/>
              <w:jc w:val="center"/>
              <w:rPr>
                <w:rFonts w:hint="eastAsia" w:ascii="宋体" w:hAnsi="宋体" w:eastAsia="宋体" w:cs="宋体"/>
                <w:sz w:val="24"/>
              </w:rPr>
            </w:pPr>
          </w:p>
        </w:tc>
        <w:tc>
          <w:tcPr>
            <w:tcW w:w="3095" w:type="dxa"/>
            <w:noWrap w:val="0"/>
            <w:vAlign w:val="center"/>
          </w:tcPr>
          <w:p>
            <w:pPr>
              <w:snapToGrid w:val="0"/>
              <w:spacing w:line="360" w:lineRule="auto"/>
              <w:jc w:val="center"/>
              <w:rPr>
                <w:rFonts w:hint="eastAsia" w:ascii="宋体" w:hAnsi="宋体" w:eastAsia="宋体" w:cs="宋体"/>
                <w:sz w:val="24"/>
              </w:rPr>
            </w:pPr>
          </w:p>
        </w:tc>
        <w:tc>
          <w:tcPr>
            <w:tcW w:w="985" w:type="dxa"/>
            <w:noWrap w:val="0"/>
            <w:vAlign w:val="center"/>
          </w:tcPr>
          <w:p>
            <w:pPr>
              <w:snapToGrid w:val="0"/>
              <w:spacing w:line="360" w:lineRule="auto"/>
              <w:jc w:val="center"/>
              <w:rPr>
                <w:rFonts w:hint="eastAsia" w:ascii="宋体" w:hAnsi="宋体" w:eastAsia="宋体" w:cs="宋体"/>
                <w:sz w:val="24"/>
              </w:rPr>
            </w:pPr>
          </w:p>
        </w:tc>
        <w:tc>
          <w:tcPr>
            <w:tcW w:w="1547" w:type="dxa"/>
            <w:noWrap w:val="0"/>
            <w:vAlign w:val="center"/>
          </w:tcPr>
          <w:p>
            <w:pPr>
              <w:spacing w:line="360" w:lineRule="auto"/>
              <w:jc w:val="center"/>
              <w:rPr>
                <w:rFonts w:hint="eastAsia" w:ascii="宋体" w:hAnsi="宋体" w:eastAsia="宋体" w:cs="宋体"/>
                <w:sz w:val="24"/>
              </w:rPr>
            </w:pPr>
          </w:p>
        </w:tc>
        <w:tc>
          <w:tcPr>
            <w:tcW w:w="1969" w:type="dxa"/>
            <w:noWrap w:val="0"/>
            <w:vAlign w:val="center"/>
          </w:tcPr>
          <w:p>
            <w:pPr>
              <w:spacing w:line="360" w:lineRule="auto"/>
              <w:jc w:val="center"/>
              <w:rPr>
                <w:rFonts w:hint="eastAsia" w:ascii="宋体" w:hAnsi="宋体" w:eastAsia="宋体" w:cs="宋体"/>
                <w:sz w:val="24"/>
              </w:rPr>
            </w:pPr>
          </w:p>
        </w:tc>
        <w:tc>
          <w:tcPr>
            <w:tcW w:w="3096" w:type="dxa"/>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noWrap w:val="0"/>
            <w:vAlign w:val="center"/>
          </w:tcPr>
          <w:p>
            <w:pPr>
              <w:spacing w:line="360" w:lineRule="auto"/>
              <w:jc w:val="center"/>
              <w:rPr>
                <w:rFonts w:hint="eastAsia" w:ascii="宋体" w:hAnsi="宋体" w:eastAsia="宋体" w:cs="宋体"/>
                <w:sz w:val="24"/>
              </w:rPr>
            </w:pPr>
          </w:p>
        </w:tc>
        <w:tc>
          <w:tcPr>
            <w:tcW w:w="1406" w:type="dxa"/>
            <w:noWrap w:val="0"/>
            <w:vAlign w:val="center"/>
          </w:tcPr>
          <w:p>
            <w:pPr>
              <w:snapToGrid w:val="0"/>
              <w:spacing w:line="360" w:lineRule="auto"/>
              <w:jc w:val="center"/>
              <w:rPr>
                <w:rFonts w:hint="eastAsia" w:ascii="宋体" w:hAnsi="宋体" w:eastAsia="宋体" w:cs="宋体"/>
                <w:sz w:val="24"/>
              </w:rPr>
            </w:pPr>
          </w:p>
        </w:tc>
        <w:tc>
          <w:tcPr>
            <w:tcW w:w="1829" w:type="dxa"/>
            <w:noWrap w:val="0"/>
            <w:vAlign w:val="center"/>
          </w:tcPr>
          <w:p>
            <w:pPr>
              <w:snapToGrid w:val="0"/>
              <w:spacing w:line="360" w:lineRule="auto"/>
              <w:jc w:val="center"/>
              <w:rPr>
                <w:rFonts w:hint="eastAsia" w:ascii="宋体" w:hAnsi="宋体" w:eastAsia="宋体" w:cs="宋体"/>
                <w:sz w:val="24"/>
              </w:rPr>
            </w:pPr>
          </w:p>
        </w:tc>
        <w:tc>
          <w:tcPr>
            <w:tcW w:w="3095" w:type="dxa"/>
            <w:noWrap w:val="0"/>
            <w:vAlign w:val="center"/>
          </w:tcPr>
          <w:p>
            <w:pPr>
              <w:snapToGrid w:val="0"/>
              <w:spacing w:line="360" w:lineRule="auto"/>
              <w:jc w:val="center"/>
              <w:rPr>
                <w:rFonts w:hint="eastAsia" w:ascii="宋体" w:hAnsi="宋体" w:eastAsia="宋体" w:cs="宋体"/>
                <w:sz w:val="24"/>
              </w:rPr>
            </w:pPr>
          </w:p>
        </w:tc>
        <w:tc>
          <w:tcPr>
            <w:tcW w:w="985" w:type="dxa"/>
            <w:noWrap w:val="0"/>
            <w:vAlign w:val="center"/>
          </w:tcPr>
          <w:p>
            <w:pPr>
              <w:snapToGrid w:val="0"/>
              <w:spacing w:line="360" w:lineRule="auto"/>
              <w:jc w:val="center"/>
              <w:rPr>
                <w:rFonts w:hint="eastAsia" w:ascii="宋体" w:hAnsi="宋体" w:eastAsia="宋体" w:cs="宋体"/>
                <w:sz w:val="24"/>
              </w:rPr>
            </w:pPr>
          </w:p>
        </w:tc>
        <w:tc>
          <w:tcPr>
            <w:tcW w:w="1547" w:type="dxa"/>
            <w:noWrap w:val="0"/>
            <w:vAlign w:val="center"/>
          </w:tcPr>
          <w:p>
            <w:pPr>
              <w:spacing w:line="360" w:lineRule="auto"/>
              <w:jc w:val="center"/>
              <w:rPr>
                <w:rFonts w:hint="eastAsia" w:ascii="宋体" w:hAnsi="宋体" w:eastAsia="宋体" w:cs="宋体"/>
                <w:sz w:val="24"/>
              </w:rPr>
            </w:pPr>
          </w:p>
        </w:tc>
        <w:tc>
          <w:tcPr>
            <w:tcW w:w="1969" w:type="dxa"/>
            <w:noWrap w:val="0"/>
            <w:vAlign w:val="center"/>
          </w:tcPr>
          <w:p>
            <w:pPr>
              <w:spacing w:line="360" w:lineRule="auto"/>
              <w:jc w:val="center"/>
              <w:rPr>
                <w:rFonts w:hint="eastAsia" w:ascii="宋体" w:hAnsi="宋体" w:eastAsia="宋体" w:cs="宋体"/>
                <w:sz w:val="24"/>
              </w:rPr>
            </w:pPr>
          </w:p>
        </w:tc>
        <w:tc>
          <w:tcPr>
            <w:tcW w:w="3096" w:type="dxa"/>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dxa"/>
            <w:noWrap w:val="0"/>
            <w:vAlign w:val="center"/>
          </w:tcPr>
          <w:p>
            <w:pPr>
              <w:spacing w:line="360" w:lineRule="auto"/>
              <w:jc w:val="center"/>
              <w:rPr>
                <w:rFonts w:hint="eastAsia" w:ascii="宋体" w:hAnsi="宋体" w:eastAsia="宋体" w:cs="宋体"/>
                <w:sz w:val="24"/>
              </w:rPr>
            </w:pPr>
          </w:p>
        </w:tc>
        <w:tc>
          <w:tcPr>
            <w:tcW w:w="1406" w:type="dxa"/>
            <w:noWrap w:val="0"/>
            <w:vAlign w:val="center"/>
          </w:tcPr>
          <w:p>
            <w:pPr>
              <w:snapToGrid w:val="0"/>
              <w:spacing w:line="360" w:lineRule="auto"/>
              <w:jc w:val="center"/>
              <w:rPr>
                <w:rFonts w:hint="eastAsia" w:ascii="宋体" w:hAnsi="宋体" w:eastAsia="宋体" w:cs="宋体"/>
                <w:sz w:val="24"/>
              </w:rPr>
            </w:pPr>
          </w:p>
        </w:tc>
        <w:tc>
          <w:tcPr>
            <w:tcW w:w="1829" w:type="dxa"/>
            <w:noWrap w:val="0"/>
            <w:vAlign w:val="center"/>
          </w:tcPr>
          <w:p>
            <w:pPr>
              <w:snapToGrid w:val="0"/>
              <w:spacing w:line="360" w:lineRule="auto"/>
              <w:jc w:val="center"/>
              <w:rPr>
                <w:rFonts w:hint="eastAsia" w:ascii="宋体" w:hAnsi="宋体" w:eastAsia="宋体" w:cs="宋体"/>
                <w:sz w:val="24"/>
              </w:rPr>
            </w:pPr>
          </w:p>
        </w:tc>
        <w:tc>
          <w:tcPr>
            <w:tcW w:w="3095" w:type="dxa"/>
            <w:noWrap w:val="0"/>
            <w:vAlign w:val="center"/>
          </w:tcPr>
          <w:p>
            <w:pPr>
              <w:snapToGrid w:val="0"/>
              <w:spacing w:line="360" w:lineRule="auto"/>
              <w:jc w:val="center"/>
              <w:rPr>
                <w:rFonts w:hint="eastAsia" w:ascii="宋体" w:hAnsi="宋体" w:eastAsia="宋体" w:cs="宋体"/>
                <w:sz w:val="24"/>
              </w:rPr>
            </w:pPr>
          </w:p>
        </w:tc>
        <w:tc>
          <w:tcPr>
            <w:tcW w:w="985" w:type="dxa"/>
            <w:noWrap w:val="0"/>
            <w:vAlign w:val="center"/>
          </w:tcPr>
          <w:p>
            <w:pPr>
              <w:snapToGrid w:val="0"/>
              <w:spacing w:line="360" w:lineRule="auto"/>
              <w:jc w:val="center"/>
              <w:rPr>
                <w:rFonts w:hint="eastAsia" w:ascii="宋体" w:hAnsi="宋体" w:eastAsia="宋体" w:cs="宋体"/>
                <w:sz w:val="24"/>
              </w:rPr>
            </w:pPr>
          </w:p>
        </w:tc>
        <w:tc>
          <w:tcPr>
            <w:tcW w:w="1547" w:type="dxa"/>
            <w:noWrap w:val="0"/>
            <w:vAlign w:val="center"/>
          </w:tcPr>
          <w:p>
            <w:pPr>
              <w:spacing w:line="360" w:lineRule="auto"/>
              <w:jc w:val="center"/>
              <w:rPr>
                <w:rFonts w:hint="eastAsia" w:ascii="宋体" w:hAnsi="宋体" w:eastAsia="宋体" w:cs="宋体"/>
                <w:sz w:val="24"/>
              </w:rPr>
            </w:pPr>
          </w:p>
        </w:tc>
        <w:tc>
          <w:tcPr>
            <w:tcW w:w="1969" w:type="dxa"/>
            <w:noWrap w:val="0"/>
            <w:vAlign w:val="center"/>
          </w:tcPr>
          <w:p>
            <w:pPr>
              <w:spacing w:line="360" w:lineRule="auto"/>
              <w:jc w:val="center"/>
              <w:rPr>
                <w:rFonts w:hint="eastAsia" w:ascii="宋体" w:hAnsi="宋体" w:eastAsia="宋体" w:cs="宋体"/>
                <w:sz w:val="24"/>
              </w:rPr>
            </w:pPr>
          </w:p>
        </w:tc>
        <w:tc>
          <w:tcPr>
            <w:tcW w:w="3096" w:type="dxa"/>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60" w:type="dxa"/>
            <w:gridSpan w:val="4"/>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投标报价（小写）</w:t>
            </w:r>
          </w:p>
        </w:tc>
        <w:tc>
          <w:tcPr>
            <w:tcW w:w="7597" w:type="dxa"/>
            <w:gridSpan w:val="4"/>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60" w:type="dxa"/>
            <w:gridSpan w:val="4"/>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投标报价（大写）</w:t>
            </w:r>
          </w:p>
        </w:tc>
        <w:tc>
          <w:tcPr>
            <w:tcW w:w="7597" w:type="dxa"/>
            <w:gridSpan w:val="4"/>
            <w:noWrap w:val="0"/>
            <w:vAlign w:val="center"/>
          </w:tcPr>
          <w:p>
            <w:pPr>
              <w:spacing w:line="360" w:lineRule="auto"/>
              <w:jc w:val="center"/>
              <w:rPr>
                <w:rFonts w:hint="eastAsia" w:ascii="宋体" w:hAnsi="宋体" w:eastAsia="宋体" w:cs="宋体"/>
                <w:sz w:val="24"/>
              </w:rPr>
            </w:pPr>
          </w:p>
        </w:tc>
      </w:tr>
    </w:tbl>
    <w:p>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1、此表应按项目的明细情况列项填报，在填写时，如上表不适合本项目的实际情况，可在确保投标明细内容完整的情况下，根据上表格式自行划表填写。</w:t>
      </w:r>
    </w:p>
    <w:p>
      <w:pPr>
        <w:spacing w:line="360" w:lineRule="auto"/>
        <w:ind w:firstLine="480" w:firstLineChars="200"/>
        <w:rPr>
          <w:rFonts w:hint="eastAsia" w:ascii="宋体" w:hAnsi="宋体" w:eastAsia="宋体" w:cs="宋体"/>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bookmarkEnd w:id="21"/>
      <w:bookmarkEnd w:id="22"/>
    </w:p>
    <w:p>
      <w:pPr>
        <w:pStyle w:val="4"/>
        <w:ind w:firstLine="480"/>
        <w:rPr>
          <w:rFonts w:hint="eastAsia" w:ascii="宋体" w:hAnsi="宋体" w:eastAsia="宋体" w:cs="宋体"/>
        </w:rPr>
        <w:sectPr>
          <w:pgSz w:w="16838" w:h="11906" w:orient="landscape"/>
          <w:pgMar w:top="1800" w:right="1440" w:bottom="1800" w:left="1440" w:header="851" w:footer="992" w:gutter="0"/>
          <w:pgNumType w:fmt="decimal"/>
          <w:cols w:space="425" w:num="1"/>
          <w:docGrid w:type="lines" w:linePitch="312" w:charSpace="0"/>
        </w:sectPr>
      </w:pP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质疑函范本及制作说明</w:t>
      </w: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pPr>
        <w:snapToGrid w:val="0"/>
        <w:spacing w:line="360" w:lineRule="auto"/>
        <w:rPr>
          <w:rFonts w:hint="eastAsia" w:ascii="宋体" w:hAnsi="宋体" w:eastAsia="宋体" w:cs="宋体"/>
          <w:sz w:val="24"/>
        </w:rPr>
      </w:pPr>
      <w:r>
        <w:rPr>
          <w:rFonts w:hint="eastAsia" w:ascii="宋体" w:hAnsi="宋体" w:eastAsia="宋体" w:cs="宋体"/>
          <w:sz w:val="24"/>
        </w:rPr>
        <w:t>……</w:t>
      </w:r>
    </w:p>
    <w:p>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签字</w:t>
      </w:r>
      <w:r>
        <w:rPr>
          <w:rFonts w:hint="eastAsia" w:ascii="宋体" w:hAnsi="宋体" w:eastAsia="宋体" w:cs="宋体"/>
          <w:sz w:val="24"/>
          <w:lang w:eastAsia="zh-CN"/>
        </w:rPr>
        <w:t>（</w:t>
      </w:r>
      <w:r>
        <w:rPr>
          <w:rFonts w:hint="eastAsia" w:ascii="宋体" w:hAnsi="宋体" w:eastAsia="宋体" w:cs="宋体"/>
          <w:sz w:val="24"/>
        </w:rPr>
        <w:t>签章</w:t>
      </w:r>
      <w:r>
        <w:rPr>
          <w:rFonts w:hint="eastAsia" w:ascii="宋体" w:hAnsi="宋体" w:eastAsia="宋体" w:cs="宋体"/>
          <w:sz w:val="24"/>
          <w:lang w:eastAsia="zh-CN"/>
        </w:rPr>
        <w:t>）</w:t>
      </w:r>
      <w:r>
        <w:rPr>
          <w:rFonts w:hint="eastAsia" w:ascii="宋体" w:hAnsi="宋体" w:eastAsia="宋体" w:cs="宋体"/>
          <w:sz w:val="24"/>
        </w:rPr>
        <w:t xml:space="preserve">：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jc w:val="center"/>
        <w:rPr>
          <w:rFonts w:hint="eastAsia" w:ascii="宋体" w:hAnsi="宋体" w:eastAsia="宋体" w:cs="宋体"/>
          <w:b/>
          <w:bCs/>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质疑函制作说明：</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pPr>
        <w:pStyle w:val="4"/>
        <w:ind w:firstLine="480"/>
        <w:rPr>
          <w:rFonts w:hint="eastAsia" w:ascii="宋体" w:hAnsi="宋体" w:eastAsia="宋体" w:cs="宋体"/>
        </w:rPr>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2"/>
                      <w:rPr>
                        <w:rFonts w:hint="eastAsia"/>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56</w:t>
                    </w:r>
                    <w:r>
                      <w:fldChar w:fldCharType="end"/>
                    </w:r>
                  </w:p>
                </w:txbxContent>
              </v:textbox>
            </v:shape>
          </w:pict>
        </mc:Fallback>
      </mc:AlternateConten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rPr>
        <w:rStyle w:val="31"/>
        <w:rFonts w:hint="eastAsia"/>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w:t>
                    </w:r>
                    <w:r>
                      <w:fldChar w:fldCharType="end"/>
                    </w:r>
                  </w:p>
                </w:txbxContent>
              </v:textbox>
            </v:shape>
          </w:pict>
        </mc:Fallback>
      </mc:AlternateContent>
    </w:r>
    <w:r>
      <w:rPr>
        <w:sz w:val="17"/>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pPr>
                      <w:pStyle w:val="22"/>
                      <w:rPr>
                        <w:rFonts w:hint="eastAsia" w:eastAsia="宋体"/>
                        <w:lang w:eastAsia="zh-CN"/>
                      </w:rPr>
                    </w:pPr>
                  </w:p>
                </w:txbxContent>
              </v:textbox>
            </v:shape>
          </w:pict>
        </mc:Fallback>
      </mc:AlternateContent>
    </w:r>
  </w:p>
  <w:p>
    <w:pPr>
      <w:pStyle w:val="22"/>
      <w:ind w:right="360"/>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i/>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76885" cy="1574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76885" cy="157480"/>
                      </a:xfrm>
                      <a:prstGeom prst="rect">
                        <a:avLst/>
                      </a:prstGeom>
                      <a:noFill/>
                      <a:ln>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33</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4pt;width:37.55pt;mso-position-horizontal:center;mso-position-horizontal-relative:margin;mso-wrap-style:none;z-index:251660288;mso-width-relative:page;mso-height-relative:page;" filled="f" stroked="f" coordsize="21600,21600" o:gfxdata="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Kmg39EAAAADAQAADwAAAAAAAAABACAAAAAiAAAAZHJzL2Rv&#10;d25yZXYueG1sUEsBAhQAFAAAAAgAh07iQKWP6zHPAQAAlwMAAA4AAAAAAAAAAQAgAAAAIAEAAGRy&#10;cy9lMm9Eb2MueG1sUEsFBgAAAAAGAAYAWQEAAGEFAAAAAA==&#10;">
              <v:fill on="f" focussize="0,0"/>
              <v:stroke on="f"/>
              <v:imagedata o:title=""/>
              <o:lock v:ext="edit" aspectratio="f"/>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33</w:t>
                    </w:r>
                    <w:r>
                      <w:rPr>
                        <w:rFonts w:hint="eastAsia"/>
                        <w:sz w:val="18"/>
                      </w:rPr>
                      <w:fldChar w:fldCharType="end"/>
                    </w:r>
                    <w:r>
                      <w:rPr>
                        <w:rFonts w:hint="eastAsia"/>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55</w:t>
                    </w:r>
                    <w:r>
                      <w:fldChar w:fldCharType="end"/>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54</w:t>
                    </w:r>
                    <w:r>
                      <w:fldChar w:fldCharType="end"/>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57</w:t>
                    </w:r>
                    <w:r>
                      <w:fldChar w:fldCharType="end"/>
                    </w:r>
                  </w:p>
                </w:txbxContent>
              </v:textbox>
            </v:shape>
          </w:pict>
        </mc:Fallback>
      </mc:AlternateContent>
    </w:r>
  </w:p>
  <w:p>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tabs>
        <w:tab w:val="left" w:pos="2889"/>
        <w:tab w:val="center" w:pos="6620"/>
      </w:tabs>
      <w:jc w:val="left"/>
      <w:rPr>
        <w:rFonts w:ascii="仿宋_GB2312" w:eastAsia="仿宋_GB2312"/>
        <w:b/>
        <w:i/>
        <w:u w:val="single"/>
      </w:rPr>
    </w:pPr>
    <w:r>
      <w:rPr>
        <w:rFonts w:hint="eastAsia"/>
        <w:lang w:eastAsia="zh-CN"/>
      </w:rPr>
      <w:tab/>
    </w:r>
    <w:r>
      <w:rPr>
        <w:rFonts w:hint="eastAsia"/>
        <w:lang w:eastAsia="zh-CN"/>
      </w:rPr>
      <w:tab/>
    </w: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r>
      <w:t></w:t>
    </w:r>
    <w:r>
      <w:rPr>
        <w:rFonts w:hint="eastAsia"/>
      </w:rPr>
      <w:t xml:space="preserve">         </w:t>
    </w:r>
  </w:p>
  <w:p>
    <w:pPr>
      <w:pStyle w:val="23"/>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rPr>
        <w:rFonts w:ascii="仿宋_GB2312" w:eastAsia="仿宋_GB2312"/>
        <w:b/>
        <w:i/>
        <w:u w:val="single"/>
      </w:rPr>
    </w:pPr>
    <w:r>
      <w:t></w:t>
    </w:r>
    <w:r>
      <w:rPr>
        <w:rFonts w:hint="eastAsia"/>
      </w:rPr>
      <w:t xml:space="preserve">                                                </w:t>
    </w:r>
    <w:r>
      <w:t xml:space="preserve">    </w:t>
    </w:r>
  </w:p>
  <w:p>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r>
      <w:t></w:t>
    </w:r>
    <w:r>
      <w:rPr>
        <w:rFonts w:hint="eastAsia"/>
      </w:rPr>
      <w:t xml:space="preserve">         </w:t>
    </w:r>
  </w:p>
  <w:p>
    <w:pPr>
      <w:pStyle w:val="23"/>
      <w:pBdr>
        <w:bottom w:val="none" w:color="auto" w:sz="0"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E3BF2"/>
    <w:multiLevelType w:val="singleLevel"/>
    <w:tmpl w:val="AF9E3BF2"/>
    <w:lvl w:ilvl="0" w:tentative="0">
      <w:start w:val="1"/>
      <w:numFmt w:val="decimal"/>
      <w:pStyle w:val="12"/>
      <w:lvlText w:val="%1."/>
      <w:lvlJc w:val="left"/>
      <w:pPr>
        <w:tabs>
          <w:tab w:val="left" w:pos="360"/>
        </w:tabs>
        <w:ind w:left="360" w:hanging="360"/>
      </w:pPr>
    </w:lvl>
  </w:abstractNum>
  <w:abstractNum w:abstractNumId="1">
    <w:nsid w:val="DEE5A7FF"/>
    <w:multiLevelType w:val="singleLevel"/>
    <w:tmpl w:val="DEE5A7FF"/>
    <w:lvl w:ilvl="0" w:tentative="0">
      <w:start w:val="1"/>
      <w:numFmt w:val="decimal"/>
      <w:suff w:val="nothing"/>
      <w:lvlText w:val="（%1）"/>
      <w:lvlJc w:val="left"/>
    </w:lvl>
  </w:abstractNum>
  <w:abstractNum w:abstractNumId="2">
    <w:nsid w:val="051D54B3"/>
    <w:multiLevelType w:val="singleLevel"/>
    <w:tmpl w:val="051D54B3"/>
    <w:lvl w:ilvl="0" w:tentative="0">
      <w:start w:val="1"/>
      <w:numFmt w:val="chineseCounting"/>
      <w:suff w:val="nothing"/>
      <w:lvlText w:val="%1、"/>
      <w:lvlJc w:val="left"/>
      <w:rPr>
        <w:rFonts w:hint="eastAsia"/>
      </w:rPr>
    </w:lvl>
  </w:abstractNum>
  <w:abstractNum w:abstractNumId="3">
    <w:nsid w:val="32B75EBB"/>
    <w:multiLevelType w:val="multilevel"/>
    <w:tmpl w:val="32B75EBB"/>
    <w:lvl w:ilvl="0" w:tentative="0">
      <w:start w:val="1"/>
      <w:numFmt w:val="decimal"/>
      <w:pStyle w:val="3"/>
      <w:isLgl/>
      <w:lvlText w:val="%1、"/>
      <w:lvlJc w:val="left"/>
      <w:pPr>
        <w:ind w:left="420" w:hanging="420"/>
      </w:pPr>
      <w:rPr>
        <w:rFonts w:hint="default"/>
        <w:b/>
        <w:i w:val="0"/>
        <w:sz w:val="32"/>
      </w:rPr>
    </w:lvl>
    <w:lvl w:ilvl="1" w:tentative="0">
      <w:start w:val="1"/>
      <w:numFmt w:val="decimal"/>
      <w:pStyle w:val="5"/>
      <w:isLgl/>
      <w:suff w:val="space"/>
      <w:lvlText w:val="%1.%2 "/>
      <w:lvlJc w:val="left"/>
      <w:pPr>
        <w:ind w:left="0" w:firstLine="0"/>
      </w:pPr>
      <w:rPr>
        <w:rFonts w:hint="eastAsia"/>
      </w:rPr>
    </w:lvl>
    <w:lvl w:ilvl="2" w:tentative="0">
      <w:start w:val="1"/>
      <w:numFmt w:val="decimal"/>
      <w:pStyle w:val="2"/>
      <w:isLgl/>
      <w:suff w:val="space"/>
      <w:lvlText w:val="%1.%2.%3 "/>
      <w:lvlJc w:val="left"/>
      <w:pPr>
        <w:ind w:left="0" w:firstLine="0"/>
      </w:pPr>
      <w:rPr>
        <w:rFonts w:hint="eastAsia"/>
      </w:rPr>
    </w:lvl>
    <w:lvl w:ilvl="3" w:tentative="0">
      <w:start w:val="1"/>
      <w:numFmt w:val="decimal"/>
      <w:pStyle w:val="6"/>
      <w:isLgl/>
      <w:suff w:val="space"/>
      <w:lvlText w:val="%1.%2.%3.%4 "/>
      <w:lvlJc w:val="left"/>
      <w:pPr>
        <w:ind w:left="0" w:firstLine="0"/>
      </w:pPr>
      <w:rPr>
        <w:rFonts w:hint="eastAsia"/>
      </w:rPr>
    </w:lvl>
    <w:lvl w:ilvl="4" w:tentative="0">
      <w:start w:val="1"/>
      <w:numFmt w:val="decimal"/>
      <w:pStyle w:val="7"/>
      <w:isLgl/>
      <w:suff w:val="space"/>
      <w:lvlText w:val="%1.%2.%3.%4.%5"/>
      <w:lvlJc w:val="left"/>
      <w:pPr>
        <w:ind w:left="0" w:firstLine="0"/>
      </w:pPr>
      <w:rPr>
        <w:rFonts w:hint="default" w:ascii="Times New Roman" w:hAnsi="Times New Roman" w:eastAsia="仿宋"/>
        <w:b/>
        <w:i w:val="0"/>
        <w:sz w:val="24"/>
      </w:rPr>
    </w:lvl>
    <w:lvl w:ilvl="5" w:tentative="0">
      <w:start w:val="1"/>
      <w:numFmt w:val="chineseCountingThousand"/>
      <w:pStyle w:val="8"/>
      <w:suff w:val="space"/>
      <w:lvlText w:val="（%6） "/>
      <w:lvlJc w:val="left"/>
      <w:pPr>
        <w:ind w:left="0" w:firstLine="420"/>
      </w:pPr>
      <w:rPr>
        <w:rFonts w:hint="default" w:ascii="Times New Roman" w:hAnsi="Times New Roman" w:eastAsia="仿宋"/>
        <w:b/>
        <w:i w:val="0"/>
        <w:sz w:val="24"/>
      </w:rPr>
    </w:lvl>
    <w:lvl w:ilvl="6" w:tentative="0">
      <w:start w:val="1"/>
      <w:numFmt w:val="lowerLetter"/>
      <w:pStyle w:val="9"/>
      <w:suff w:val="space"/>
      <w:lvlText w:val="%7. "/>
      <w:lvlJc w:val="left"/>
      <w:pPr>
        <w:ind w:left="0" w:firstLine="839"/>
      </w:pPr>
      <w:rPr>
        <w:rFonts w:hint="default" w:ascii="Times New Roman" w:hAnsi="Times New Roman" w:eastAsia="仿宋"/>
        <w:b w:val="0"/>
        <w:i w:val="0"/>
        <w:sz w:val="24"/>
      </w:rPr>
    </w:lvl>
    <w:lvl w:ilvl="7" w:tentative="0">
      <w:start w:val="1"/>
      <w:numFmt w:val="decimal"/>
      <w:pStyle w:val="10"/>
      <w:isLgl/>
      <w:suff w:val="space"/>
      <w:lvlText w:val="%1.%2.%3.%4.%5.%6.%7.%8 "/>
      <w:lvlJc w:val="left"/>
      <w:pPr>
        <w:ind w:left="0" w:firstLine="0"/>
      </w:pPr>
      <w:rPr>
        <w:rFonts w:hint="eastAsia"/>
      </w:rPr>
    </w:lvl>
    <w:lvl w:ilvl="8" w:tentative="0">
      <w:start w:val="1"/>
      <w:numFmt w:val="decimal"/>
      <w:pStyle w:val="11"/>
      <w:isLgl/>
      <w:suff w:val="space"/>
      <w:lvlText w:val="%1.%2.%3.%4.%5.%6.%7.%8.%9 "/>
      <w:lvlJc w:val="left"/>
      <w:pPr>
        <w:ind w:left="0" w:firstLine="0"/>
      </w:pPr>
      <w:rPr>
        <w:rFonts w:hint="eastAsia"/>
      </w:rPr>
    </w:lvl>
  </w:abstractNum>
  <w:abstractNum w:abstractNumId="4">
    <w:nsid w:val="3FEE531A"/>
    <w:multiLevelType w:val="singleLevel"/>
    <w:tmpl w:val="3FEE531A"/>
    <w:lvl w:ilvl="0" w:tentative="0">
      <w:start w:val="1"/>
      <w:numFmt w:val="chineseCounting"/>
      <w:suff w:val="space"/>
      <w:lvlText w:val="%1、"/>
      <w:lvlJc w:val="left"/>
      <w:rPr>
        <w:rFonts w:hint="eastAsia"/>
      </w:rPr>
    </w:lvl>
  </w:abstractNum>
  <w:abstractNum w:abstractNumId="5">
    <w:nsid w:val="59873320"/>
    <w:multiLevelType w:val="singleLevel"/>
    <w:tmpl w:val="59873320"/>
    <w:lvl w:ilvl="0" w:tentative="0">
      <w:start w:val="1"/>
      <w:numFmt w:val="decimal"/>
      <w:suff w:val="nothing"/>
      <w:lvlText w:val="%1."/>
      <w:lvlJc w:val="left"/>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lMWY2MTg3OTEzYjgyMzRlMWIwN2RkYWU5ZGQyM2QifQ=="/>
    <w:docVar w:name="KSO_WPS_MARK_KEY" w:val="5719d5ef-aefc-4c2a-a36f-42048a194f26"/>
  </w:docVars>
  <w:rsids>
    <w:rsidRoot w:val="00FD1906"/>
    <w:rsid w:val="000749E3"/>
    <w:rsid w:val="0015275A"/>
    <w:rsid w:val="00233096"/>
    <w:rsid w:val="002D30FF"/>
    <w:rsid w:val="002E1F6F"/>
    <w:rsid w:val="00363E91"/>
    <w:rsid w:val="00365312"/>
    <w:rsid w:val="00441793"/>
    <w:rsid w:val="00452631"/>
    <w:rsid w:val="00467B75"/>
    <w:rsid w:val="00474A30"/>
    <w:rsid w:val="006B3CC8"/>
    <w:rsid w:val="006E30D7"/>
    <w:rsid w:val="00752924"/>
    <w:rsid w:val="00791DC6"/>
    <w:rsid w:val="007A1D27"/>
    <w:rsid w:val="007B15E8"/>
    <w:rsid w:val="00811BB8"/>
    <w:rsid w:val="008505DF"/>
    <w:rsid w:val="0088414B"/>
    <w:rsid w:val="00934FB6"/>
    <w:rsid w:val="00935CD7"/>
    <w:rsid w:val="00980797"/>
    <w:rsid w:val="009C15CF"/>
    <w:rsid w:val="00A404DE"/>
    <w:rsid w:val="00A617EC"/>
    <w:rsid w:val="00A95F8F"/>
    <w:rsid w:val="00BA05F9"/>
    <w:rsid w:val="00BA103C"/>
    <w:rsid w:val="00BA7CA7"/>
    <w:rsid w:val="00C07129"/>
    <w:rsid w:val="00C34F15"/>
    <w:rsid w:val="00C77DD8"/>
    <w:rsid w:val="00C94924"/>
    <w:rsid w:val="00CB1D48"/>
    <w:rsid w:val="00D56D7A"/>
    <w:rsid w:val="00DD42C5"/>
    <w:rsid w:val="00EB57F3"/>
    <w:rsid w:val="00EF7950"/>
    <w:rsid w:val="00F26333"/>
    <w:rsid w:val="00F3689B"/>
    <w:rsid w:val="00F46D15"/>
    <w:rsid w:val="00F53E66"/>
    <w:rsid w:val="00FB3342"/>
    <w:rsid w:val="00FD1906"/>
    <w:rsid w:val="00FD747D"/>
    <w:rsid w:val="011357E5"/>
    <w:rsid w:val="012810B4"/>
    <w:rsid w:val="01341807"/>
    <w:rsid w:val="01376D9B"/>
    <w:rsid w:val="013E4434"/>
    <w:rsid w:val="015D0D5E"/>
    <w:rsid w:val="019D115B"/>
    <w:rsid w:val="020A2568"/>
    <w:rsid w:val="02301FCF"/>
    <w:rsid w:val="023D46EC"/>
    <w:rsid w:val="024E68F9"/>
    <w:rsid w:val="0273010D"/>
    <w:rsid w:val="027F2F56"/>
    <w:rsid w:val="028E3199"/>
    <w:rsid w:val="02954528"/>
    <w:rsid w:val="029E162E"/>
    <w:rsid w:val="02A8425B"/>
    <w:rsid w:val="03034482"/>
    <w:rsid w:val="03323B24"/>
    <w:rsid w:val="034675D0"/>
    <w:rsid w:val="035A307B"/>
    <w:rsid w:val="037C61D6"/>
    <w:rsid w:val="03936CB9"/>
    <w:rsid w:val="039C3694"/>
    <w:rsid w:val="039D18E6"/>
    <w:rsid w:val="04003C23"/>
    <w:rsid w:val="04E2157A"/>
    <w:rsid w:val="050634BB"/>
    <w:rsid w:val="051931EE"/>
    <w:rsid w:val="05513747"/>
    <w:rsid w:val="055B3806"/>
    <w:rsid w:val="05600E1D"/>
    <w:rsid w:val="05654685"/>
    <w:rsid w:val="05760640"/>
    <w:rsid w:val="058645FB"/>
    <w:rsid w:val="059E1945"/>
    <w:rsid w:val="05B57FBE"/>
    <w:rsid w:val="05C054C9"/>
    <w:rsid w:val="05E11539"/>
    <w:rsid w:val="062A142B"/>
    <w:rsid w:val="064E5119"/>
    <w:rsid w:val="06712BB6"/>
    <w:rsid w:val="067F3525"/>
    <w:rsid w:val="069F5975"/>
    <w:rsid w:val="06BB2083"/>
    <w:rsid w:val="06C929F2"/>
    <w:rsid w:val="070D3E2D"/>
    <w:rsid w:val="07500A1D"/>
    <w:rsid w:val="07656115"/>
    <w:rsid w:val="077A3CEC"/>
    <w:rsid w:val="081D2FF5"/>
    <w:rsid w:val="081E0B1B"/>
    <w:rsid w:val="08444A26"/>
    <w:rsid w:val="08732C15"/>
    <w:rsid w:val="088A61B1"/>
    <w:rsid w:val="08D4742C"/>
    <w:rsid w:val="08DD29D1"/>
    <w:rsid w:val="08E9737B"/>
    <w:rsid w:val="091C14FF"/>
    <w:rsid w:val="091E5277"/>
    <w:rsid w:val="09280C19"/>
    <w:rsid w:val="09410820"/>
    <w:rsid w:val="09652EA6"/>
    <w:rsid w:val="09A03EDE"/>
    <w:rsid w:val="09F2400E"/>
    <w:rsid w:val="0A0007F1"/>
    <w:rsid w:val="0A075D0B"/>
    <w:rsid w:val="0A09393B"/>
    <w:rsid w:val="0A432061"/>
    <w:rsid w:val="0AA277E2"/>
    <w:rsid w:val="0AD16319"/>
    <w:rsid w:val="0AEF054D"/>
    <w:rsid w:val="0B116715"/>
    <w:rsid w:val="0B2621C1"/>
    <w:rsid w:val="0B5C2086"/>
    <w:rsid w:val="0B66377A"/>
    <w:rsid w:val="0B7F3FC7"/>
    <w:rsid w:val="0B867103"/>
    <w:rsid w:val="0B925AA8"/>
    <w:rsid w:val="0BCF2858"/>
    <w:rsid w:val="0C1E332A"/>
    <w:rsid w:val="0C2A7A8F"/>
    <w:rsid w:val="0C395F24"/>
    <w:rsid w:val="0C5965C6"/>
    <w:rsid w:val="0C7870BF"/>
    <w:rsid w:val="0C9B6FF0"/>
    <w:rsid w:val="0CC04046"/>
    <w:rsid w:val="0CD21ED4"/>
    <w:rsid w:val="0CF35B37"/>
    <w:rsid w:val="0D6E7E4F"/>
    <w:rsid w:val="0D933C77"/>
    <w:rsid w:val="0D9F44AC"/>
    <w:rsid w:val="0DAB4BFF"/>
    <w:rsid w:val="0DBD4932"/>
    <w:rsid w:val="0DC108C7"/>
    <w:rsid w:val="0DE85E53"/>
    <w:rsid w:val="0E3D4D49"/>
    <w:rsid w:val="0E6D6359"/>
    <w:rsid w:val="0EC918BA"/>
    <w:rsid w:val="0EDB7766"/>
    <w:rsid w:val="0EFD76DC"/>
    <w:rsid w:val="0F205179"/>
    <w:rsid w:val="0F4E7F38"/>
    <w:rsid w:val="0F6A75CA"/>
    <w:rsid w:val="0F87169C"/>
    <w:rsid w:val="0F9067A2"/>
    <w:rsid w:val="0F953DB9"/>
    <w:rsid w:val="0F9718DF"/>
    <w:rsid w:val="0FAD0600"/>
    <w:rsid w:val="0FB104C7"/>
    <w:rsid w:val="0FDF5034"/>
    <w:rsid w:val="0FDF6DE2"/>
    <w:rsid w:val="100B5E29"/>
    <w:rsid w:val="10141507"/>
    <w:rsid w:val="101B0D53"/>
    <w:rsid w:val="103233B6"/>
    <w:rsid w:val="107C2883"/>
    <w:rsid w:val="107E13C0"/>
    <w:rsid w:val="107F2A45"/>
    <w:rsid w:val="10857989"/>
    <w:rsid w:val="10881228"/>
    <w:rsid w:val="10AD0C8E"/>
    <w:rsid w:val="10BE10ED"/>
    <w:rsid w:val="10C55FD8"/>
    <w:rsid w:val="10C77FA2"/>
    <w:rsid w:val="10D95F27"/>
    <w:rsid w:val="10EC17B7"/>
    <w:rsid w:val="11365128"/>
    <w:rsid w:val="116A6B7F"/>
    <w:rsid w:val="117874EE"/>
    <w:rsid w:val="118B7221"/>
    <w:rsid w:val="11902A8A"/>
    <w:rsid w:val="11940A4B"/>
    <w:rsid w:val="11980B70"/>
    <w:rsid w:val="11A309D4"/>
    <w:rsid w:val="11CE35B2"/>
    <w:rsid w:val="11D0732A"/>
    <w:rsid w:val="11E84674"/>
    <w:rsid w:val="11F03528"/>
    <w:rsid w:val="11FF19BD"/>
    <w:rsid w:val="12114BEB"/>
    <w:rsid w:val="12147639"/>
    <w:rsid w:val="12170AB5"/>
    <w:rsid w:val="128819B3"/>
    <w:rsid w:val="12B46304"/>
    <w:rsid w:val="12C80001"/>
    <w:rsid w:val="12D44BF8"/>
    <w:rsid w:val="12F901BB"/>
    <w:rsid w:val="13041E6B"/>
    <w:rsid w:val="13086650"/>
    <w:rsid w:val="13345697"/>
    <w:rsid w:val="135B0E75"/>
    <w:rsid w:val="13750189"/>
    <w:rsid w:val="13A97E33"/>
    <w:rsid w:val="13AA55D0"/>
    <w:rsid w:val="13BB36C2"/>
    <w:rsid w:val="13FD7406"/>
    <w:rsid w:val="13FF3EF7"/>
    <w:rsid w:val="140B2B66"/>
    <w:rsid w:val="14151024"/>
    <w:rsid w:val="143F2545"/>
    <w:rsid w:val="14691370"/>
    <w:rsid w:val="149208C7"/>
    <w:rsid w:val="14E32326"/>
    <w:rsid w:val="14E530ED"/>
    <w:rsid w:val="150F1EAB"/>
    <w:rsid w:val="15227E9D"/>
    <w:rsid w:val="153104E2"/>
    <w:rsid w:val="15446098"/>
    <w:rsid w:val="157B135B"/>
    <w:rsid w:val="159A6830"/>
    <w:rsid w:val="15D13671"/>
    <w:rsid w:val="15E52C78"/>
    <w:rsid w:val="163A1216"/>
    <w:rsid w:val="16481B85"/>
    <w:rsid w:val="16A60975"/>
    <w:rsid w:val="16B41B7E"/>
    <w:rsid w:val="16B56AEF"/>
    <w:rsid w:val="16BD3B7A"/>
    <w:rsid w:val="16E55626"/>
    <w:rsid w:val="16ED3213"/>
    <w:rsid w:val="17035AAC"/>
    <w:rsid w:val="1704317B"/>
    <w:rsid w:val="17123F41"/>
    <w:rsid w:val="17214184"/>
    <w:rsid w:val="176522C3"/>
    <w:rsid w:val="17E97D1C"/>
    <w:rsid w:val="18155A97"/>
    <w:rsid w:val="181A629A"/>
    <w:rsid w:val="183D4FEE"/>
    <w:rsid w:val="185D743E"/>
    <w:rsid w:val="18684588"/>
    <w:rsid w:val="18694035"/>
    <w:rsid w:val="186B1B5B"/>
    <w:rsid w:val="18D03455"/>
    <w:rsid w:val="18ED2570"/>
    <w:rsid w:val="190A1374"/>
    <w:rsid w:val="192F2B88"/>
    <w:rsid w:val="193E2DCB"/>
    <w:rsid w:val="19466124"/>
    <w:rsid w:val="1962355C"/>
    <w:rsid w:val="1977008B"/>
    <w:rsid w:val="19B117EF"/>
    <w:rsid w:val="19B830FE"/>
    <w:rsid w:val="19C07B2D"/>
    <w:rsid w:val="19E82D37"/>
    <w:rsid w:val="19EF2318"/>
    <w:rsid w:val="19F416DC"/>
    <w:rsid w:val="1A051B3B"/>
    <w:rsid w:val="1A0E09F0"/>
    <w:rsid w:val="1A3A7A37"/>
    <w:rsid w:val="1A966130"/>
    <w:rsid w:val="1AD35795"/>
    <w:rsid w:val="1AE36298"/>
    <w:rsid w:val="1AFF5D54"/>
    <w:rsid w:val="1B652AA0"/>
    <w:rsid w:val="1B79633D"/>
    <w:rsid w:val="1B9118D8"/>
    <w:rsid w:val="1BBC26CD"/>
    <w:rsid w:val="1C3A1F70"/>
    <w:rsid w:val="1C3D380E"/>
    <w:rsid w:val="1C6E0AF0"/>
    <w:rsid w:val="1CA13D9D"/>
    <w:rsid w:val="1CB33AD0"/>
    <w:rsid w:val="1CE95744"/>
    <w:rsid w:val="1CEB326A"/>
    <w:rsid w:val="1CED6FE2"/>
    <w:rsid w:val="1CF00880"/>
    <w:rsid w:val="1CF02AC3"/>
    <w:rsid w:val="1D214DD8"/>
    <w:rsid w:val="1D2A0873"/>
    <w:rsid w:val="1D444728"/>
    <w:rsid w:val="1D4A2936"/>
    <w:rsid w:val="1D9F5E03"/>
    <w:rsid w:val="1DBC4C07"/>
    <w:rsid w:val="1DCA7323"/>
    <w:rsid w:val="1DED025A"/>
    <w:rsid w:val="1DF443A0"/>
    <w:rsid w:val="1DF60F39"/>
    <w:rsid w:val="1E012619"/>
    <w:rsid w:val="1E6E5F01"/>
    <w:rsid w:val="1E845724"/>
    <w:rsid w:val="1E9811D0"/>
    <w:rsid w:val="1EA27958"/>
    <w:rsid w:val="1ECA6EAF"/>
    <w:rsid w:val="1EDD4E34"/>
    <w:rsid w:val="1EE2069D"/>
    <w:rsid w:val="1EF87EC0"/>
    <w:rsid w:val="1F046865"/>
    <w:rsid w:val="1F0C1276"/>
    <w:rsid w:val="1F15637C"/>
    <w:rsid w:val="1F226FBB"/>
    <w:rsid w:val="1F2E38E2"/>
    <w:rsid w:val="1F5D7D23"/>
    <w:rsid w:val="1F63358C"/>
    <w:rsid w:val="1F745F7B"/>
    <w:rsid w:val="1FB30D56"/>
    <w:rsid w:val="20176124"/>
    <w:rsid w:val="20230F6D"/>
    <w:rsid w:val="202C6073"/>
    <w:rsid w:val="20360CA0"/>
    <w:rsid w:val="20446376"/>
    <w:rsid w:val="20C53DD2"/>
    <w:rsid w:val="20FF72E4"/>
    <w:rsid w:val="2100305C"/>
    <w:rsid w:val="21050673"/>
    <w:rsid w:val="21350F58"/>
    <w:rsid w:val="213571AA"/>
    <w:rsid w:val="21893DF4"/>
    <w:rsid w:val="222339F7"/>
    <w:rsid w:val="225E44DE"/>
    <w:rsid w:val="227930C6"/>
    <w:rsid w:val="227B6E3E"/>
    <w:rsid w:val="22877591"/>
    <w:rsid w:val="229677D4"/>
    <w:rsid w:val="229879F0"/>
    <w:rsid w:val="22EE5862"/>
    <w:rsid w:val="231D1CA3"/>
    <w:rsid w:val="232079E6"/>
    <w:rsid w:val="23487548"/>
    <w:rsid w:val="23515DF1"/>
    <w:rsid w:val="23717717"/>
    <w:rsid w:val="2378512C"/>
    <w:rsid w:val="237A0EA4"/>
    <w:rsid w:val="23977CA8"/>
    <w:rsid w:val="23C068D3"/>
    <w:rsid w:val="23E32EED"/>
    <w:rsid w:val="23F60736"/>
    <w:rsid w:val="240A66CC"/>
    <w:rsid w:val="24213A15"/>
    <w:rsid w:val="24507E57"/>
    <w:rsid w:val="24561911"/>
    <w:rsid w:val="246A716A"/>
    <w:rsid w:val="2483022C"/>
    <w:rsid w:val="249D12EE"/>
    <w:rsid w:val="24A85EE5"/>
    <w:rsid w:val="24B15CB7"/>
    <w:rsid w:val="24EC5DD1"/>
    <w:rsid w:val="252A68FA"/>
    <w:rsid w:val="25456399"/>
    <w:rsid w:val="255816B9"/>
    <w:rsid w:val="25660EFE"/>
    <w:rsid w:val="2573204F"/>
    <w:rsid w:val="257B7624"/>
    <w:rsid w:val="257F09F3"/>
    <w:rsid w:val="2584600A"/>
    <w:rsid w:val="259326F1"/>
    <w:rsid w:val="25BC39F6"/>
    <w:rsid w:val="25C96113"/>
    <w:rsid w:val="26431A21"/>
    <w:rsid w:val="268564DD"/>
    <w:rsid w:val="26937BFF"/>
    <w:rsid w:val="26961EDB"/>
    <w:rsid w:val="26A050C5"/>
    <w:rsid w:val="26AF5308"/>
    <w:rsid w:val="26B00074"/>
    <w:rsid w:val="26CA2142"/>
    <w:rsid w:val="26CF7759"/>
    <w:rsid w:val="27207FB4"/>
    <w:rsid w:val="27225ADA"/>
    <w:rsid w:val="27392E24"/>
    <w:rsid w:val="27706BF2"/>
    <w:rsid w:val="27985D9D"/>
    <w:rsid w:val="27A504B9"/>
    <w:rsid w:val="27BC5F2F"/>
    <w:rsid w:val="27D33279"/>
    <w:rsid w:val="281C69CE"/>
    <w:rsid w:val="281D773F"/>
    <w:rsid w:val="28575C58"/>
    <w:rsid w:val="286D438F"/>
    <w:rsid w:val="28AD3ACA"/>
    <w:rsid w:val="28BC3086"/>
    <w:rsid w:val="28D41056"/>
    <w:rsid w:val="28E31299"/>
    <w:rsid w:val="28FD5DB2"/>
    <w:rsid w:val="291678C1"/>
    <w:rsid w:val="29323FCF"/>
    <w:rsid w:val="296B6E20"/>
    <w:rsid w:val="2996455E"/>
    <w:rsid w:val="29A273A6"/>
    <w:rsid w:val="29C235A5"/>
    <w:rsid w:val="29C94933"/>
    <w:rsid w:val="29D15596"/>
    <w:rsid w:val="29E259F5"/>
    <w:rsid w:val="2A063491"/>
    <w:rsid w:val="2A224043"/>
    <w:rsid w:val="2A482B83"/>
    <w:rsid w:val="2A4C2E6E"/>
    <w:rsid w:val="2A500BB0"/>
    <w:rsid w:val="2A6E1037"/>
    <w:rsid w:val="2A7B55E0"/>
    <w:rsid w:val="2A93584E"/>
    <w:rsid w:val="2AA36F32"/>
    <w:rsid w:val="2B1C4F36"/>
    <w:rsid w:val="2B59701E"/>
    <w:rsid w:val="2B7F05E3"/>
    <w:rsid w:val="2B850564"/>
    <w:rsid w:val="2BA271EA"/>
    <w:rsid w:val="2BCF1059"/>
    <w:rsid w:val="2BD870AF"/>
    <w:rsid w:val="2BDD0222"/>
    <w:rsid w:val="2C0734F1"/>
    <w:rsid w:val="2C0A397A"/>
    <w:rsid w:val="2C161986"/>
    <w:rsid w:val="2C2C11A9"/>
    <w:rsid w:val="2C6170A5"/>
    <w:rsid w:val="2C655CD6"/>
    <w:rsid w:val="2C8903AA"/>
    <w:rsid w:val="2CD0422B"/>
    <w:rsid w:val="2CE455E0"/>
    <w:rsid w:val="2D102879"/>
    <w:rsid w:val="2D1F0559"/>
    <w:rsid w:val="2D482013"/>
    <w:rsid w:val="2D4A7B39"/>
    <w:rsid w:val="2D7050C6"/>
    <w:rsid w:val="2D917516"/>
    <w:rsid w:val="2DA23164"/>
    <w:rsid w:val="2DDB4C35"/>
    <w:rsid w:val="2E41718E"/>
    <w:rsid w:val="2E4C5B33"/>
    <w:rsid w:val="2E530C6F"/>
    <w:rsid w:val="2E5F7614"/>
    <w:rsid w:val="2E752192"/>
    <w:rsid w:val="2E8B665B"/>
    <w:rsid w:val="2F0D52DA"/>
    <w:rsid w:val="2F204FF5"/>
    <w:rsid w:val="2F3F5396"/>
    <w:rsid w:val="2F776BDF"/>
    <w:rsid w:val="2FA011EA"/>
    <w:rsid w:val="2FA01C92"/>
    <w:rsid w:val="2FA84FEB"/>
    <w:rsid w:val="301D1535"/>
    <w:rsid w:val="304E16EE"/>
    <w:rsid w:val="304F5466"/>
    <w:rsid w:val="30534F57"/>
    <w:rsid w:val="30A5668C"/>
    <w:rsid w:val="30CD2F5B"/>
    <w:rsid w:val="30F009F7"/>
    <w:rsid w:val="30FD4EC2"/>
    <w:rsid w:val="310B1D3F"/>
    <w:rsid w:val="310D15A9"/>
    <w:rsid w:val="31342FDA"/>
    <w:rsid w:val="313703D4"/>
    <w:rsid w:val="31570A76"/>
    <w:rsid w:val="315A0567"/>
    <w:rsid w:val="3175714F"/>
    <w:rsid w:val="31821543"/>
    <w:rsid w:val="31AB491E"/>
    <w:rsid w:val="31AD4B3A"/>
    <w:rsid w:val="31B23EFF"/>
    <w:rsid w:val="31EB11BF"/>
    <w:rsid w:val="320104FF"/>
    <w:rsid w:val="320504D2"/>
    <w:rsid w:val="321626E0"/>
    <w:rsid w:val="32173554"/>
    <w:rsid w:val="322975E7"/>
    <w:rsid w:val="325A081E"/>
    <w:rsid w:val="32640E00"/>
    <w:rsid w:val="326C2300"/>
    <w:rsid w:val="32700042"/>
    <w:rsid w:val="32807B59"/>
    <w:rsid w:val="329A50BF"/>
    <w:rsid w:val="32A45F3D"/>
    <w:rsid w:val="32B51EF8"/>
    <w:rsid w:val="32D61E6F"/>
    <w:rsid w:val="32D700C1"/>
    <w:rsid w:val="33053299"/>
    <w:rsid w:val="332C1A8F"/>
    <w:rsid w:val="332C6155"/>
    <w:rsid w:val="33460DA3"/>
    <w:rsid w:val="33A974A1"/>
    <w:rsid w:val="344A2B14"/>
    <w:rsid w:val="346314E0"/>
    <w:rsid w:val="34763D72"/>
    <w:rsid w:val="34833930"/>
    <w:rsid w:val="34930017"/>
    <w:rsid w:val="349D49F2"/>
    <w:rsid w:val="35056B6A"/>
    <w:rsid w:val="35103416"/>
    <w:rsid w:val="351C5E01"/>
    <w:rsid w:val="352C3FC8"/>
    <w:rsid w:val="35414B88"/>
    <w:rsid w:val="355F439E"/>
    <w:rsid w:val="35655E21"/>
    <w:rsid w:val="356E5C86"/>
    <w:rsid w:val="35B5220F"/>
    <w:rsid w:val="35C506A4"/>
    <w:rsid w:val="35CD7559"/>
    <w:rsid w:val="35DB7EC8"/>
    <w:rsid w:val="35EB0151"/>
    <w:rsid w:val="35FE7865"/>
    <w:rsid w:val="36611E1B"/>
    <w:rsid w:val="368220F2"/>
    <w:rsid w:val="36B50719"/>
    <w:rsid w:val="36BA5D2F"/>
    <w:rsid w:val="36C7044C"/>
    <w:rsid w:val="36D668E1"/>
    <w:rsid w:val="372C6B57"/>
    <w:rsid w:val="37620175"/>
    <w:rsid w:val="37732382"/>
    <w:rsid w:val="37FA3F53"/>
    <w:rsid w:val="384004B6"/>
    <w:rsid w:val="38741F0E"/>
    <w:rsid w:val="387737AC"/>
    <w:rsid w:val="38FB43DD"/>
    <w:rsid w:val="391B69F1"/>
    <w:rsid w:val="39227BBC"/>
    <w:rsid w:val="3929250D"/>
    <w:rsid w:val="3942200C"/>
    <w:rsid w:val="39423DBA"/>
    <w:rsid w:val="39EC3D26"/>
    <w:rsid w:val="3A802DEC"/>
    <w:rsid w:val="3A8328DC"/>
    <w:rsid w:val="3AA82343"/>
    <w:rsid w:val="3AB17449"/>
    <w:rsid w:val="3ADE3FB6"/>
    <w:rsid w:val="3AFD61EB"/>
    <w:rsid w:val="3B0A78BE"/>
    <w:rsid w:val="3B194FEF"/>
    <w:rsid w:val="3B4974F4"/>
    <w:rsid w:val="3B4A51A8"/>
    <w:rsid w:val="3B6A75F8"/>
    <w:rsid w:val="3B801C20"/>
    <w:rsid w:val="3BC96A15"/>
    <w:rsid w:val="3BD22094"/>
    <w:rsid w:val="3BDC04F6"/>
    <w:rsid w:val="3BE253E0"/>
    <w:rsid w:val="3BF42C19"/>
    <w:rsid w:val="3C1112C7"/>
    <w:rsid w:val="3C265C15"/>
    <w:rsid w:val="3CA8662A"/>
    <w:rsid w:val="3CE07B72"/>
    <w:rsid w:val="3CE27D8E"/>
    <w:rsid w:val="3D0A1E30"/>
    <w:rsid w:val="3D2A34E3"/>
    <w:rsid w:val="3D460DCE"/>
    <w:rsid w:val="3D5D5666"/>
    <w:rsid w:val="3D687B67"/>
    <w:rsid w:val="3DC76F84"/>
    <w:rsid w:val="3DCA52D7"/>
    <w:rsid w:val="3DEB2C72"/>
    <w:rsid w:val="3DF06109"/>
    <w:rsid w:val="3E1877DF"/>
    <w:rsid w:val="3E8A248B"/>
    <w:rsid w:val="3E8F7347"/>
    <w:rsid w:val="3E90381A"/>
    <w:rsid w:val="3EC11C25"/>
    <w:rsid w:val="3EC34A9C"/>
    <w:rsid w:val="3ECD3B48"/>
    <w:rsid w:val="3EF24AD6"/>
    <w:rsid w:val="3F080FA9"/>
    <w:rsid w:val="3F183C76"/>
    <w:rsid w:val="3F19380F"/>
    <w:rsid w:val="3F6C393F"/>
    <w:rsid w:val="3F7F6E2D"/>
    <w:rsid w:val="3F9D36D7"/>
    <w:rsid w:val="3FA4757D"/>
    <w:rsid w:val="3FB874DD"/>
    <w:rsid w:val="3FDD2A8F"/>
    <w:rsid w:val="3FE756BB"/>
    <w:rsid w:val="3FEB6F5A"/>
    <w:rsid w:val="3FFA0F4B"/>
    <w:rsid w:val="40055B41"/>
    <w:rsid w:val="401429C4"/>
    <w:rsid w:val="402661E4"/>
    <w:rsid w:val="4041301D"/>
    <w:rsid w:val="408178BE"/>
    <w:rsid w:val="409D5D7A"/>
    <w:rsid w:val="40C94DC1"/>
    <w:rsid w:val="40D519B8"/>
    <w:rsid w:val="40E843C9"/>
    <w:rsid w:val="40E96016"/>
    <w:rsid w:val="40FD201B"/>
    <w:rsid w:val="41086AFC"/>
    <w:rsid w:val="413E4FFA"/>
    <w:rsid w:val="41FB71FC"/>
    <w:rsid w:val="42116A20"/>
    <w:rsid w:val="421B33FA"/>
    <w:rsid w:val="421B789E"/>
    <w:rsid w:val="423746D8"/>
    <w:rsid w:val="42660B19"/>
    <w:rsid w:val="428C7EBD"/>
    <w:rsid w:val="42B5384F"/>
    <w:rsid w:val="42C03CBC"/>
    <w:rsid w:val="42C36318"/>
    <w:rsid w:val="42D93D3B"/>
    <w:rsid w:val="42F83F42"/>
    <w:rsid w:val="431467C7"/>
    <w:rsid w:val="43340C18"/>
    <w:rsid w:val="43454BD3"/>
    <w:rsid w:val="43456981"/>
    <w:rsid w:val="434A043B"/>
    <w:rsid w:val="434D7F2B"/>
    <w:rsid w:val="436E2F43"/>
    <w:rsid w:val="43AF2BC6"/>
    <w:rsid w:val="43CF0940"/>
    <w:rsid w:val="43D1290A"/>
    <w:rsid w:val="43D877F5"/>
    <w:rsid w:val="43ED4379"/>
    <w:rsid w:val="441611D5"/>
    <w:rsid w:val="441A605F"/>
    <w:rsid w:val="44587568"/>
    <w:rsid w:val="445F543B"/>
    <w:rsid w:val="4461094B"/>
    <w:rsid w:val="448259B3"/>
    <w:rsid w:val="44F468B0"/>
    <w:rsid w:val="45036AF3"/>
    <w:rsid w:val="455E01CE"/>
    <w:rsid w:val="4565330A"/>
    <w:rsid w:val="457754EA"/>
    <w:rsid w:val="459534C4"/>
    <w:rsid w:val="459C68A4"/>
    <w:rsid w:val="45AA6F6F"/>
    <w:rsid w:val="45B20519"/>
    <w:rsid w:val="45BC6CA2"/>
    <w:rsid w:val="45BE1AE6"/>
    <w:rsid w:val="45E5444B"/>
    <w:rsid w:val="45F1670E"/>
    <w:rsid w:val="465F520C"/>
    <w:rsid w:val="46A76744"/>
    <w:rsid w:val="46A95479"/>
    <w:rsid w:val="46F64735"/>
    <w:rsid w:val="47217705"/>
    <w:rsid w:val="47971775"/>
    <w:rsid w:val="47976456"/>
    <w:rsid w:val="47B916EB"/>
    <w:rsid w:val="47EF7803"/>
    <w:rsid w:val="47FE35A2"/>
    <w:rsid w:val="48284AC3"/>
    <w:rsid w:val="48311BC9"/>
    <w:rsid w:val="485B6C46"/>
    <w:rsid w:val="486A6E0B"/>
    <w:rsid w:val="486D2CD8"/>
    <w:rsid w:val="489E2D6C"/>
    <w:rsid w:val="48A56114"/>
    <w:rsid w:val="48AD6346"/>
    <w:rsid w:val="48CE11C6"/>
    <w:rsid w:val="48D175CC"/>
    <w:rsid w:val="49247038"/>
    <w:rsid w:val="492A3A72"/>
    <w:rsid w:val="49380D36"/>
    <w:rsid w:val="498547EE"/>
    <w:rsid w:val="49B26D3A"/>
    <w:rsid w:val="49E6576F"/>
    <w:rsid w:val="4A34774F"/>
    <w:rsid w:val="4A527BD5"/>
    <w:rsid w:val="4A54394D"/>
    <w:rsid w:val="4AA448D5"/>
    <w:rsid w:val="4AB80380"/>
    <w:rsid w:val="4AB81412"/>
    <w:rsid w:val="4AF33D06"/>
    <w:rsid w:val="4AF62C56"/>
    <w:rsid w:val="4AFF5FAF"/>
    <w:rsid w:val="4B156AF3"/>
    <w:rsid w:val="4B1D6435"/>
    <w:rsid w:val="4B6E6C91"/>
    <w:rsid w:val="4B7122DD"/>
    <w:rsid w:val="4BC52D55"/>
    <w:rsid w:val="4BCB5E91"/>
    <w:rsid w:val="4BF47196"/>
    <w:rsid w:val="4C1930A0"/>
    <w:rsid w:val="4C3D6D8F"/>
    <w:rsid w:val="4C4F261E"/>
    <w:rsid w:val="4C6D519A"/>
    <w:rsid w:val="4C942727"/>
    <w:rsid w:val="4CA26BF2"/>
    <w:rsid w:val="4CB201CA"/>
    <w:rsid w:val="4CBB4158"/>
    <w:rsid w:val="4D176E22"/>
    <w:rsid w:val="4D2770F7"/>
    <w:rsid w:val="4D401408"/>
    <w:rsid w:val="4D8D11DF"/>
    <w:rsid w:val="4D901140"/>
    <w:rsid w:val="4DA4699A"/>
    <w:rsid w:val="4DB30F27"/>
    <w:rsid w:val="4E263853"/>
    <w:rsid w:val="4E281379"/>
    <w:rsid w:val="4E37780E"/>
    <w:rsid w:val="4E485577"/>
    <w:rsid w:val="4E5A2257"/>
    <w:rsid w:val="4E74636C"/>
    <w:rsid w:val="4E7E71EB"/>
    <w:rsid w:val="4E8567CB"/>
    <w:rsid w:val="4EA03605"/>
    <w:rsid w:val="4EB1136E"/>
    <w:rsid w:val="4EC354C3"/>
    <w:rsid w:val="4EEF633A"/>
    <w:rsid w:val="4F22226C"/>
    <w:rsid w:val="4F245FE4"/>
    <w:rsid w:val="4FD974F3"/>
    <w:rsid w:val="4FDD4733"/>
    <w:rsid w:val="4FDF63AF"/>
    <w:rsid w:val="501F0559"/>
    <w:rsid w:val="504D3319"/>
    <w:rsid w:val="505226DD"/>
    <w:rsid w:val="50566671"/>
    <w:rsid w:val="507A32F8"/>
    <w:rsid w:val="507C775A"/>
    <w:rsid w:val="50830AE8"/>
    <w:rsid w:val="50947199"/>
    <w:rsid w:val="50B3232E"/>
    <w:rsid w:val="50BD049E"/>
    <w:rsid w:val="50C07F8E"/>
    <w:rsid w:val="50C555A5"/>
    <w:rsid w:val="50ED2406"/>
    <w:rsid w:val="511F2F07"/>
    <w:rsid w:val="51A74CAA"/>
    <w:rsid w:val="51BD44CE"/>
    <w:rsid w:val="51C25640"/>
    <w:rsid w:val="51C4585C"/>
    <w:rsid w:val="5208052B"/>
    <w:rsid w:val="52291B63"/>
    <w:rsid w:val="522A5477"/>
    <w:rsid w:val="524806C4"/>
    <w:rsid w:val="52592449"/>
    <w:rsid w:val="52727066"/>
    <w:rsid w:val="528154FB"/>
    <w:rsid w:val="530F658E"/>
    <w:rsid w:val="53312A7E"/>
    <w:rsid w:val="533B56AA"/>
    <w:rsid w:val="533D58C6"/>
    <w:rsid w:val="538232D9"/>
    <w:rsid w:val="5394125E"/>
    <w:rsid w:val="53B042EA"/>
    <w:rsid w:val="53F02939"/>
    <w:rsid w:val="53FC752F"/>
    <w:rsid w:val="5406215C"/>
    <w:rsid w:val="542B45EC"/>
    <w:rsid w:val="544669FD"/>
    <w:rsid w:val="549534E0"/>
    <w:rsid w:val="54980F22"/>
    <w:rsid w:val="54A83213"/>
    <w:rsid w:val="55630EE8"/>
    <w:rsid w:val="55A03EEB"/>
    <w:rsid w:val="55A067CC"/>
    <w:rsid w:val="55DA38A0"/>
    <w:rsid w:val="5632548A"/>
    <w:rsid w:val="563D3E2F"/>
    <w:rsid w:val="566B7DFC"/>
    <w:rsid w:val="568A7940"/>
    <w:rsid w:val="56DD3859"/>
    <w:rsid w:val="56DF0A43"/>
    <w:rsid w:val="57272B15"/>
    <w:rsid w:val="572B7067"/>
    <w:rsid w:val="572D7A00"/>
    <w:rsid w:val="57346FE0"/>
    <w:rsid w:val="5737087F"/>
    <w:rsid w:val="57711FE2"/>
    <w:rsid w:val="577540B8"/>
    <w:rsid w:val="57B70297"/>
    <w:rsid w:val="57E24C8E"/>
    <w:rsid w:val="580A1AEF"/>
    <w:rsid w:val="5822508B"/>
    <w:rsid w:val="583F3E8F"/>
    <w:rsid w:val="585225F3"/>
    <w:rsid w:val="58676F42"/>
    <w:rsid w:val="587B479B"/>
    <w:rsid w:val="588F3B20"/>
    <w:rsid w:val="58AB32D2"/>
    <w:rsid w:val="58C0339B"/>
    <w:rsid w:val="590444F4"/>
    <w:rsid w:val="590C4664"/>
    <w:rsid w:val="59367040"/>
    <w:rsid w:val="597E2795"/>
    <w:rsid w:val="59E61F07"/>
    <w:rsid w:val="5A053D8C"/>
    <w:rsid w:val="5A272E2C"/>
    <w:rsid w:val="5A3C2885"/>
    <w:rsid w:val="5A436D1B"/>
    <w:rsid w:val="5A720F23"/>
    <w:rsid w:val="5A843DDB"/>
    <w:rsid w:val="5ABF2995"/>
    <w:rsid w:val="5ABF4E13"/>
    <w:rsid w:val="5AE42ACB"/>
    <w:rsid w:val="5B70093C"/>
    <w:rsid w:val="5B985EBC"/>
    <w:rsid w:val="5BB93F58"/>
    <w:rsid w:val="5BC76675"/>
    <w:rsid w:val="5C1A0E6D"/>
    <w:rsid w:val="5C221AFD"/>
    <w:rsid w:val="5C4B1054"/>
    <w:rsid w:val="5C4E644E"/>
    <w:rsid w:val="5C593F81"/>
    <w:rsid w:val="5C86208C"/>
    <w:rsid w:val="5C891B7C"/>
    <w:rsid w:val="5CB62246"/>
    <w:rsid w:val="5CBF734C"/>
    <w:rsid w:val="5D192F00"/>
    <w:rsid w:val="5D445AA3"/>
    <w:rsid w:val="5D6121B1"/>
    <w:rsid w:val="5D700646"/>
    <w:rsid w:val="5DA0717E"/>
    <w:rsid w:val="5DE066BF"/>
    <w:rsid w:val="5E197A93"/>
    <w:rsid w:val="5E243E67"/>
    <w:rsid w:val="5E36363E"/>
    <w:rsid w:val="5E622104"/>
    <w:rsid w:val="5E8C14B0"/>
    <w:rsid w:val="5EA75195"/>
    <w:rsid w:val="5EE50BC0"/>
    <w:rsid w:val="5F105C3D"/>
    <w:rsid w:val="5F1E27A5"/>
    <w:rsid w:val="5F21609C"/>
    <w:rsid w:val="5F487ACD"/>
    <w:rsid w:val="5F65675B"/>
    <w:rsid w:val="5F7A57AC"/>
    <w:rsid w:val="5F8E3006"/>
    <w:rsid w:val="5FCD46F9"/>
    <w:rsid w:val="5FFA069B"/>
    <w:rsid w:val="60196D73"/>
    <w:rsid w:val="60343BAD"/>
    <w:rsid w:val="60563B24"/>
    <w:rsid w:val="607E307A"/>
    <w:rsid w:val="608C3C73"/>
    <w:rsid w:val="60AF21F2"/>
    <w:rsid w:val="60B30F76"/>
    <w:rsid w:val="60B62814"/>
    <w:rsid w:val="60BB42CE"/>
    <w:rsid w:val="60E750C3"/>
    <w:rsid w:val="60F31CBA"/>
    <w:rsid w:val="61093088"/>
    <w:rsid w:val="612B4FB0"/>
    <w:rsid w:val="61475B62"/>
    <w:rsid w:val="61642270"/>
    <w:rsid w:val="61A60ADB"/>
    <w:rsid w:val="61B41449"/>
    <w:rsid w:val="61B431F8"/>
    <w:rsid w:val="61E82EA1"/>
    <w:rsid w:val="61F53810"/>
    <w:rsid w:val="6232236E"/>
    <w:rsid w:val="623B56C7"/>
    <w:rsid w:val="623E51B7"/>
    <w:rsid w:val="624A590A"/>
    <w:rsid w:val="62546789"/>
    <w:rsid w:val="6259410F"/>
    <w:rsid w:val="626C3AD2"/>
    <w:rsid w:val="6271733B"/>
    <w:rsid w:val="6291178B"/>
    <w:rsid w:val="62C21944"/>
    <w:rsid w:val="62E0626E"/>
    <w:rsid w:val="62E47B0C"/>
    <w:rsid w:val="62EC4C13"/>
    <w:rsid w:val="6318012F"/>
    <w:rsid w:val="63395A57"/>
    <w:rsid w:val="636724EC"/>
    <w:rsid w:val="63972DD1"/>
    <w:rsid w:val="63C82F8A"/>
    <w:rsid w:val="63CB4828"/>
    <w:rsid w:val="63D7141F"/>
    <w:rsid w:val="63F35B2D"/>
    <w:rsid w:val="63F9493F"/>
    <w:rsid w:val="64B21544"/>
    <w:rsid w:val="64B82FFF"/>
    <w:rsid w:val="64C03C61"/>
    <w:rsid w:val="65000502"/>
    <w:rsid w:val="651B533C"/>
    <w:rsid w:val="652D0ECB"/>
    <w:rsid w:val="653F727C"/>
    <w:rsid w:val="655B1BDC"/>
    <w:rsid w:val="657333CA"/>
    <w:rsid w:val="6589396E"/>
    <w:rsid w:val="6589499B"/>
    <w:rsid w:val="65C43C25"/>
    <w:rsid w:val="66575889"/>
    <w:rsid w:val="66783F59"/>
    <w:rsid w:val="66A01F9C"/>
    <w:rsid w:val="66A23F66"/>
    <w:rsid w:val="66B141AA"/>
    <w:rsid w:val="66B27F22"/>
    <w:rsid w:val="66DE4873"/>
    <w:rsid w:val="66E71979"/>
    <w:rsid w:val="670C7632"/>
    <w:rsid w:val="672C1A82"/>
    <w:rsid w:val="672E57FA"/>
    <w:rsid w:val="673E0C06"/>
    <w:rsid w:val="67AC4971"/>
    <w:rsid w:val="67B53825"/>
    <w:rsid w:val="67E265E5"/>
    <w:rsid w:val="67F56318"/>
    <w:rsid w:val="68190258"/>
    <w:rsid w:val="6884144A"/>
    <w:rsid w:val="688723D3"/>
    <w:rsid w:val="68A45648"/>
    <w:rsid w:val="68BA4E6C"/>
    <w:rsid w:val="68C33D20"/>
    <w:rsid w:val="690C3919"/>
    <w:rsid w:val="69110F2F"/>
    <w:rsid w:val="69423360"/>
    <w:rsid w:val="6949691B"/>
    <w:rsid w:val="695B5B89"/>
    <w:rsid w:val="69635503"/>
    <w:rsid w:val="69690D6B"/>
    <w:rsid w:val="696F1336"/>
    <w:rsid w:val="69733998"/>
    <w:rsid w:val="698C05B6"/>
    <w:rsid w:val="69C9180A"/>
    <w:rsid w:val="69D00DEB"/>
    <w:rsid w:val="6A060CA6"/>
    <w:rsid w:val="6A102F95"/>
    <w:rsid w:val="6A10568B"/>
    <w:rsid w:val="6A42336B"/>
    <w:rsid w:val="6A795746"/>
    <w:rsid w:val="6AC83870"/>
    <w:rsid w:val="6AC90DF4"/>
    <w:rsid w:val="6ACA3A8C"/>
    <w:rsid w:val="6B086321"/>
    <w:rsid w:val="6B166CD1"/>
    <w:rsid w:val="6B286A04"/>
    <w:rsid w:val="6B6712DB"/>
    <w:rsid w:val="6B6951CD"/>
    <w:rsid w:val="6B8F210E"/>
    <w:rsid w:val="6BBA58AE"/>
    <w:rsid w:val="6BC73B27"/>
    <w:rsid w:val="6BDB5825"/>
    <w:rsid w:val="6BF32B6E"/>
    <w:rsid w:val="6C7D4B2E"/>
    <w:rsid w:val="6C814F8B"/>
    <w:rsid w:val="6C8C6B1F"/>
    <w:rsid w:val="6CAD1960"/>
    <w:rsid w:val="6CB26586"/>
    <w:rsid w:val="6CEA21C3"/>
    <w:rsid w:val="6CF070AE"/>
    <w:rsid w:val="6D282CEC"/>
    <w:rsid w:val="6D2A6A64"/>
    <w:rsid w:val="6D3B2A1F"/>
    <w:rsid w:val="6D6535F8"/>
    <w:rsid w:val="6D6C0E2A"/>
    <w:rsid w:val="6D735F7B"/>
    <w:rsid w:val="6D9162CD"/>
    <w:rsid w:val="6D9F08E5"/>
    <w:rsid w:val="6DAD31F1"/>
    <w:rsid w:val="6DD4077E"/>
    <w:rsid w:val="6DE22E9A"/>
    <w:rsid w:val="6DEF55B7"/>
    <w:rsid w:val="6DFB5D0A"/>
    <w:rsid w:val="6E26547D"/>
    <w:rsid w:val="6E396833"/>
    <w:rsid w:val="6E7F4B8D"/>
    <w:rsid w:val="6E8E6B7E"/>
    <w:rsid w:val="6E9A19C7"/>
    <w:rsid w:val="6EC10D02"/>
    <w:rsid w:val="6EF235B1"/>
    <w:rsid w:val="6F7E1C23"/>
    <w:rsid w:val="6FC767EC"/>
    <w:rsid w:val="6FF62C2D"/>
    <w:rsid w:val="6FFB0243"/>
    <w:rsid w:val="7007308C"/>
    <w:rsid w:val="70074E3A"/>
    <w:rsid w:val="700A492A"/>
    <w:rsid w:val="700F1F41"/>
    <w:rsid w:val="70131A31"/>
    <w:rsid w:val="70313C65"/>
    <w:rsid w:val="705A140E"/>
    <w:rsid w:val="71031AA6"/>
    <w:rsid w:val="710364D6"/>
    <w:rsid w:val="7130216F"/>
    <w:rsid w:val="714D4ACF"/>
    <w:rsid w:val="719C6A43"/>
    <w:rsid w:val="71B71FA3"/>
    <w:rsid w:val="71BA7C8A"/>
    <w:rsid w:val="71C70239"/>
    <w:rsid w:val="71D657B6"/>
    <w:rsid w:val="71E116BB"/>
    <w:rsid w:val="72141120"/>
    <w:rsid w:val="723D4B43"/>
    <w:rsid w:val="72AB41A3"/>
    <w:rsid w:val="731F06ED"/>
    <w:rsid w:val="73217DC5"/>
    <w:rsid w:val="733A5527"/>
    <w:rsid w:val="73463ECB"/>
    <w:rsid w:val="73571EEC"/>
    <w:rsid w:val="73852C46"/>
    <w:rsid w:val="73B40E35"/>
    <w:rsid w:val="73B819C4"/>
    <w:rsid w:val="73D96AEE"/>
    <w:rsid w:val="73E7745D"/>
    <w:rsid w:val="73FE6554"/>
    <w:rsid w:val="740022CC"/>
    <w:rsid w:val="7407365B"/>
    <w:rsid w:val="7431087C"/>
    <w:rsid w:val="7456013E"/>
    <w:rsid w:val="745B39A7"/>
    <w:rsid w:val="745E5245"/>
    <w:rsid w:val="74604B19"/>
    <w:rsid w:val="748527D2"/>
    <w:rsid w:val="7491561A"/>
    <w:rsid w:val="74A23383"/>
    <w:rsid w:val="74AA2238"/>
    <w:rsid w:val="74C257D4"/>
    <w:rsid w:val="74D177C5"/>
    <w:rsid w:val="75093403"/>
    <w:rsid w:val="75301913"/>
    <w:rsid w:val="755723C0"/>
    <w:rsid w:val="75856CF0"/>
    <w:rsid w:val="75B415C0"/>
    <w:rsid w:val="75DB4D9F"/>
    <w:rsid w:val="761C0F14"/>
    <w:rsid w:val="7631437F"/>
    <w:rsid w:val="764364A0"/>
    <w:rsid w:val="76472434"/>
    <w:rsid w:val="764C7A4B"/>
    <w:rsid w:val="76595CC4"/>
    <w:rsid w:val="76785167"/>
    <w:rsid w:val="76854D0B"/>
    <w:rsid w:val="76A34141"/>
    <w:rsid w:val="76AF3B36"/>
    <w:rsid w:val="76C07AF1"/>
    <w:rsid w:val="76FB321F"/>
    <w:rsid w:val="770932F4"/>
    <w:rsid w:val="770976EA"/>
    <w:rsid w:val="7711659E"/>
    <w:rsid w:val="77366005"/>
    <w:rsid w:val="77456248"/>
    <w:rsid w:val="77581692"/>
    <w:rsid w:val="776821F4"/>
    <w:rsid w:val="77B70EF4"/>
    <w:rsid w:val="77DA4BE2"/>
    <w:rsid w:val="77DA614E"/>
    <w:rsid w:val="77E43CB3"/>
    <w:rsid w:val="78047EB1"/>
    <w:rsid w:val="782A3DBC"/>
    <w:rsid w:val="7868764D"/>
    <w:rsid w:val="788A03B6"/>
    <w:rsid w:val="788D434B"/>
    <w:rsid w:val="78E201F2"/>
    <w:rsid w:val="79352A18"/>
    <w:rsid w:val="794744F9"/>
    <w:rsid w:val="795B1D53"/>
    <w:rsid w:val="795C61F7"/>
    <w:rsid w:val="79904DBA"/>
    <w:rsid w:val="79937CCB"/>
    <w:rsid w:val="79AB2CDA"/>
    <w:rsid w:val="79B53B59"/>
    <w:rsid w:val="79DD09BA"/>
    <w:rsid w:val="7A212F9C"/>
    <w:rsid w:val="7A22231A"/>
    <w:rsid w:val="7A2A00A3"/>
    <w:rsid w:val="7A3F3423"/>
    <w:rsid w:val="7A5073DE"/>
    <w:rsid w:val="7A6E350B"/>
    <w:rsid w:val="7A890316"/>
    <w:rsid w:val="7A911ED0"/>
    <w:rsid w:val="7AB160CE"/>
    <w:rsid w:val="7AF57EF1"/>
    <w:rsid w:val="7B3960C4"/>
    <w:rsid w:val="7B3A4316"/>
    <w:rsid w:val="7B690757"/>
    <w:rsid w:val="7B937ECA"/>
    <w:rsid w:val="7BDD1145"/>
    <w:rsid w:val="7BE349AD"/>
    <w:rsid w:val="7BE97AEA"/>
    <w:rsid w:val="7BF2262B"/>
    <w:rsid w:val="7C105077"/>
    <w:rsid w:val="7C635AEE"/>
    <w:rsid w:val="7C7E6484"/>
    <w:rsid w:val="7CE56503"/>
    <w:rsid w:val="7D075E39"/>
    <w:rsid w:val="7D11554A"/>
    <w:rsid w:val="7D4551F4"/>
    <w:rsid w:val="7D494CE4"/>
    <w:rsid w:val="7D650960"/>
    <w:rsid w:val="7DEB7B49"/>
    <w:rsid w:val="7DF06F0E"/>
    <w:rsid w:val="7E01736D"/>
    <w:rsid w:val="7E1202D5"/>
    <w:rsid w:val="7E124621"/>
    <w:rsid w:val="7E235535"/>
    <w:rsid w:val="7E4A17B5"/>
    <w:rsid w:val="7E584145"/>
    <w:rsid w:val="7E6671D0"/>
    <w:rsid w:val="7E7933A7"/>
    <w:rsid w:val="7E7C2E97"/>
    <w:rsid w:val="7E7C4C45"/>
    <w:rsid w:val="7EE34CC4"/>
    <w:rsid w:val="7F8042C1"/>
    <w:rsid w:val="7FB72A94"/>
    <w:rsid w:val="7FB76415"/>
    <w:rsid w:val="7FC72C59"/>
    <w:rsid w:val="7FCE14D1"/>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4"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2"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nhideWhenUsed="0" w:uiPriority="0"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4"/>
    <w:pPr>
      <w:spacing w:line="360" w:lineRule="auto"/>
      <w:ind w:firstLine="198"/>
    </w:pPr>
    <w:rPr>
      <w:rFonts w:ascii="Times New Roman" w:hAnsi="Times New Roman" w:eastAsia="仿宋" w:cstheme="minorBidi"/>
      <w:kern w:val="2"/>
      <w:sz w:val="24"/>
      <w:szCs w:val="24"/>
      <w:lang w:val="en-US" w:eastAsia="zh-CN" w:bidi="ar-SA"/>
    </w:rPr>
  </w:style>
  <w:style w:type="paragraph" w:styleId="3">
    <w:name w:val="heading 1"/>
    <w:basedOn w:val="4"/>
    <w:next w:val="5"/>
    <w:link w:val="35"/>
    <w:qFormat/>
    <w:uiPriority w:val="0"/>
    <w:pPr>
      <w:keepNext/>
      <w:keepLines/>
      <w:numPr>
        <w:ilvl w:val="0"/>
        <w:numId w:val="1"/>
      </w:numPr>
      <w:tabs>
        <w:tab w:val="left" w:pos="360"/>
      </w:tabs>
      <w:autoSpaceDN w:val="0"/>
      <w:spacing w:before="50" w:beforeLines="50" w:after="50" w:afterLines="50"/>
      <w:ind w:firstLine="0" w:firstLineChars="0"/>
      <w:jc w:val="center"/>
      <w:textAlignment w:val="top"/>
      <w:outlineLvl w:val="0"/>
    </w:pPr>
    <w:rPr>
      <w:rFonts w:cs="仿宋"/>
      <w:b/>
      <w:bCs/>
      <w:kern w:val="44"/>
      <w:sz w:val="32"/>
      <w:szCs w:val="32"/>
    </w:rPr>
  </w:style>
  <w:style w:type="paragraph" w:styleId="5">
    <w:name w:val="heading 2"/>
    <w:basedOn w:val="1"/>
    <w:next w:val="1"/>
    <w:link w:val="36"/>
    <w:qFormat/>
    <w:uiPriority w:val="0"/>
    <w:pPr>
      <w:keepNext/>
      <w:keepLines/>
      <w:numPr>
        <w:ilvl w:val="1"/>
        <w:numId w:val="1"/>
      </w:numPr>
      <w:tabs>
        <w:tab w:val="left" w:pos="360"/>
      </w:tabs>
      <w:ind w:firstLineChars="0"/>
      <w:outlineLvl w:val="1"/>
    </w:pPr>
    <w:rPr>
      <w:b/>
      <w:bCs/>
      <w:color w:val="000000"/>
      <w:sz w:val="28"/>
    </w:rPr>
  </w:style>
  <w:style w:type="paragraph" w:styleId="2">
    <w:name w:val="heading 3"/>
    <w:basedOn w:val="1"/>
    <w:next w:val="1"/>
    <w:link w:val="37"/>
    <w:qFormat/>
    <w:uiPriority w:val="0"/>
    <w:pPr>
      <w:keepNext/>
      <w:keepLines/>
      <w:numPr>
        <w:ilvl w:val="2"/>
        <w:numId w:val="1"/>
      </w:numPr>
      <w:tabs>
        <w:tab w:val="left" w:pos="360"/>
      </w:tabs>
      <w:ind w:firstLineChars="0"/>
      <w:outlineLvl w:val="2"/>
    </w:pPr>
    <w:rPr>
      <w:rFonts w:cs="微软雅黑"/>
      <w:b/>
      <w:sz w:val="28"/>
      <w:szCs w:val="28"/>
    </w:rPr>
  </w:style>
  <w:style w:type="paragraph" w:styleId="6">
    <w:name w:val="heading 4"/>
    <w:basedOn w:val="4"/>
    <w:next w:val="4"/>
    <w:link w:val="38"/>
    <w:qFormat/>
    <w:uiPriority w:val="0"/>
    <w:pPr>
      <w:keepNext/>
      <w:keepLines/>
      <w:numPr>
        <w:ilvl w:val="3"/>
        <w:numId w:val="1"/>
      </w:numPr>
      <w:tabs>
        <w:tab w:val="left" w:pos="360"/>
      </w:tabs>
      <w:ind w:firstLineChars="0"/>
      <w:outlineLvl w:val="3"/>
    </w:pPr>
    <w:rPr>
      <w:rFonts w:cstheme="majorBidi"/>
      <w:b/>
      <w:bCs/>
      <w:szCs w:val="28"/>
    </w:rPr>
  </w:style>
  <w:style w:type="paragraph" w:styleId="7">
    <w:name w:val="heading 5"/>
    <w:basedOn w:val="4"/>
    <w:next w:val="4"/>
    <w:link w:val="39"/>
    <w:qFormat/>
    <w:uiPriority w:val="0"/>
    <w:pPr>
      <w:keepNext/>
      <w:keepLines/>
      <w:numPr>
        <w:ilvl w:val="4"/>
        <w:numId w:val="1"/>
      </w:numPr>
      <w:tabs>
        <w:tab w:val="left" w:pos="360"/>
      </w:tabs>
      <w:ind w:firstLineChars="0"/>
      <w:outlineLvl w:val="4"/>
    </w:pPr>
    <w:rPr>
      <w:b/>
      <w:bCs/>
      <w:szCs w:val="28"/>
    </w:rPr>
  </w:style>
  <w:style w:type="paragraph" w:styleId="8">
    <w:name w:val="heading 6"/>
    <w:basedOn w:val="1"/>
    <w:next w:val="1"/>
    <w:link w:val="40"/>
    <w:qFormat/>
    <w:uiPriority w:val="0"/>
    <w:pPr>
      <w:keepNext/>
      <w:keepLines/>
      <w:numPr>
        <w:ilvl w:val="5"/>
        <w:numId w:val="1"/>
      </w:numPr>
      <w:tabs>
        <w:tab w:val="left" w:pos="360"/>
        <w:tab w:val="left" w:pos="2004"/>
      </w:tabs>
      <w:ind w:firstLine="0" w:firstLineChars="0"/>
      <w:outlineLvl w:val="5"/>
    </w:pPr>
    <w:rPr>
      <w:rFonts w:cstheme="majorBidi"/>
      <w:b/>
      <w:bCs/>
    </w:rPr>
  </w:style>
  <w:style w:type="paragraph" w:styleId="9">
    <w:name w:val="heading 7"/>
    <w:basedOn w:val="4"/>
    <w:next w:val="1"/>
    <w:link w:val="41"/>
    <w:qFormat/>
    <w:uiPriority w:val="0"/>
    <w:pPr>
      <w:keepNext/>
      <w:keepLines/>
      <w:numPr>
        <w:ilvl w:val="6"/>
        <w:numId w:val="1"/>
      </w:numPr>
      <w:tabs>
        <w:tab w:val="left" w:pos="360"/>
      </w:tabs>
      <w:ind w:firstLine="0" w:firstLineChars="0"/>
      <w:outlineLvl w:val="6"/>
    </w:pPr>
    <w:rPr>
      <w:bCs/>
    </w:rPr>
  </w:style>
  <w:style w:type="paragraph" w:styleId="10">
    <w:name w:val="heading 8"/>
    <w:basedOn w:val="1"/>
    <w:next w:val="1"/>
    <w:link w:val="42"/>
    <w:unhideWhenUsed/>
    <w:qFormat/>
    <w:uiPriority w:val="2"/>
    <w:pPr>
      <w:keepNext/>
      <w:keepLines/>
      <w:numPr>
        <w:ilvl w:val="7"/>
        <w:numId w:val="1"/>
      </w:numPr>
      <w:tabs>
        <w:tab w:val="left" w:pos="2292"/>
      </w:tabs>
      <w:spacing w:before="240" w:after="64" w:line="320" w:lineRule="auto"/>
      <w:outlineLvl w:val="7"/>
    </w:pPr>
    <w:rPr>
      <w:rFonts w:asciiTheme="majorHAnsi" w:hAnsiTheme="majorHAnsi" w:eastAsiaTheme="majorEastAsia" w:cstheme="majorBidi"/>
    </w:rPr>
  </w:style>
  <w:style w:type="paragraph" w:styleId="11">
    <w:name w:val="heading 9"/>
    <w:basedOn w:val="1"/>
    <w:next w:val="1"/>
    <w:link w:val="43"/>
    <w:unhideWhenUsed/>
    <w:qFormat/>
    <w:uiPriority w:val="9"/>
    <w:pPr>
      <w:keepNext/>
      <w:keepLines/>
      <w:numPr>
        <w:ilvl w:val="8"/>
        <w:numId w:val="1"/>
      </w:numPr>
      <w:tabs>
        <w:tab w:val="left" w:pos="2436"/>
      </w:tabs>
      <w:spacing w:before="240" w:after="64" w:line="320" w:lineRule="auto"/>
      <w:outlineLvl w:val="8"/>
    </w:pPr>
    <w:rPr>
      <w:rFonts w:asciiTheme="majorHAnsi" w:hAnsiTheme="majorHAnsi" w:eastAsiaTheme="majorEastAsia" w:cstheme="majorBidi"/>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4">
    <w:name w:val="正文1"/>
    <w:basedOn w:val="1"/>
    <w:link w:val="44"/>
    <w:qFormat/>
    <w:uiPriority w:val="0"/>
    <w:pPr>
      <w:widowControl w:val="0"/>
      <w:ind w:firstLine="200" w:firstLineChars="200"/>
      <w:jc w:val="both"/>
    </w:pPr>
    <w:rPr>
      <w:lang w:val="zh-CN"/>
    </w:rPr>
  </w:style>
  <w:style w:type="paragraph" w:styleId="12">
    <w:name w:val="List Number"/>
    <w:basedOn w:val="1"/>
    <w:next w:val="13"/>
    <w:semiHidden/>
    <w:unhideWhenUsed/>
    <w:qFormat/>
    <w:uiPriority w:val="99"/>
    <w:pPr>
      <w:numPr>
        <w:ilvl w:val="0"/>
        <w:numId w:val="2"/>
      </w:numPr>
    </w:pPr>
  </w:style>
  <w:style w:type="paragraph" w:styleId="13">
    <w:name w:val="Balloon Text"/>
    <w:basedOn w:val="1"/>
    <w:next w:val="14"/>
    <w:qFormat/>
    <w:uiPriority w:val="0"/>
    <w:rPr>
      <w:sz w:val="18"/>
      <w:szCs w:val="18"/>
    </w:rPr>
  </w:style>
  <w:style w:type="paragraph" w:styleId="14">
    <w:name w:val="toc 8"/>
    <w:basedOn w:val="1"/>
    <w:next w:val="1"/>
    <w:qFormat/>
    <w:uiPriority w:val="0"/>
    <w:pPr>
      <w:ind w:left="1470"/>
      <w:jc w:val="left"/>
    </w:pPr>
    <w:rPr>
      <w:sz w:val="18"/>
      <w:szCs w:val="18"/>
    </w:rPr>
  </w:style>
  <w:style w:type="paragraph" w:styleId="15">
    <w:name w:val="Normal Indent"/>
    <w:basedOn w:val="1"/>
    <w:qFormat/>
    <w:uiPriority w:val="0"/>
    <w:pPr>
      <w:ind w:firstLine="420" w:firstLineChars="200"/>
    </w:pPr>
  </w:style>
  <w:style w:type="paragraph" w:styleId="16">
    <w:name w:val="Body Text"/>
    <w:basedOn w:val="1"/>
    <w:next w:val="17"/>
    <w:qFormat/>
    <w:uiPriority w:val="0"/>
    <w:pPr>
      <w:spacing w:after="120" w:afterLines="0"/>
    </w:pPr>
    <w:rPr>
      <w:sz w:val="28"/>
    </w:rPr>
  </w:style>
  <w:style w:type="paragraph" w:styleId="17">
    <w:name w:val="Body Text First Indent"/>
    <w:basedOn w:val="16"/>
    <w:next w:val="18"/>
    <w:qFormat/>
    <w:uiPriority w:val="0"/>
    <w:pPr>
      <w:adjustRightInd w:val="0"/>
      <w:spacing w:after="120" w:afterLines="0" w:line="360" w:lineRule="auto"/>
      <w:ind w:firstLine="420"/>
      <w:textAlignment w:val="baseline"/>
    </w:pPr>
    <w:rPr>
      <w:rFonts w:eastAsia="楷体_GB2312"/>
      <w:sz w:val="24"/>
      <w:lang w:bidi="ar-SA"/>
    </w:rPr>
  </w:style>
  <w:style w:type="paragraph" w:styleId="18">
    <w:name w:val="toc 6"/>
    <w:basedOn w:val="1"/>
    <w:next w:val="1"/>
    <w:semiHidden/>
    <w:qFormat/>
    <w:uiPriority w:val="0"/>
    <w:pPr>
      <w:widowControl w:val="0"/>
      <w:ind w:left="1050"/>
    </w:pPr>
    <w:rPr>
      <w:kern w:val="2"/>
      <w:sz w:val="18"/>
      <w:szCs w:val="18"/>
      <w:lang w:val="en-US" w:eastAsia="zh-CN" w:bidi="ar-SA"/>
    </w:rPr>
  </w:style>
  <w:style w:type="paragraph" w:styleId="19">
    <w:name w:val="Body Text Indent"/>
    <w:basedOn w:val="1"/>
    <w:next w:val="1"/>
    <w:qFormat/>
    <w:uiPriority w:val="0"/>
    <w:pPr>
      <w:spacing w:after="120"/>
      <w:ind w:leftChars="200"/>
    </w:pPr>
    <w:rPr>
      <w:rFonts w:eastAsia="宋体"/>
      <w:sz w:val="21"/>
      <w:szCs w:val="24"/>
    </w:rPr>
  </w:style>
  <w:style w:type="paragraph" w:styleId="20">
    <w:name w:val="Plain Text"/>
    <w:basedOn w:val="1"/>
    <w:next w:val="1"/>
    <w:qFormat/>
    <w:uiPriority w:val="0"/>
    <w:rPr>
      <w:rFonts w:ascii="宋体" w:hAnsi="Courier New"/>
      <w:szCs w:val="20"/>
    </w:rPr>
  </w:style>
  <w:style w:type="paragraph" w:styleId="21">
    <w:name w:val="Date"/>
    <w:basedOn w:val="1"/>
    <w:next w:val="1"/>
    <w:qFormat/>
    <w:uiPriority w:val="0"/>
    <w:pPr>
      <w:ind w:left="100"/>
    </w:pPr>
    <w:rPr>
      <w:sz w:val="28"/>
      <w:szCs w:val="20"/>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Body Text Indent 3"/>
    <w:basedOn w:val="1"/>
    <w:qFormat/>
    <w:uiPriority w:val="0"/>
    <w:pPr>
      <w:ind w:firstLine="570"/>
    </w:pPr>
    <w:rPr>
      <w:rFonts w:ascii="楷体_GB2312" w:eastAsia="楷体_GB2312"/>
      <w:sz w:val="32"/>
      <w:szCs w:val="20"/>
    </w:rPr>
  </w:style>
  <w:style w:type="paragraph" w:styleId="25">
    <w:name w:val="toc 2"/>
    <w:basedOn w:val="1"/>
    <w:next w:val="1"/>
    <w:qFormat/>
    <w:uiPriority w:val="0"/>
    <w:pPr>
      <w:ind w:left="420" w:leftChars="200"/>
    </w:p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7">
    <w:name w:val="Body Text First Indent 2"/>
    <w:basedOn w:val="19"/>
    <w:next w:val="1"/>
    <w:qFormat/>
    <w:uiPriority w:val="0"/>
    <w:pPr>
      <w:ind w:left="420" w:firstLine="420" w:firstLineChars="200"/>
    </w:pPr>
  </w:style>
  <w:style w:type="table" w:styleId="29">
    <w:name w:val="Table Grid"/>
    <w:basedOn w:val="28"/>
    <w:qFormat/>
    <w:uiPriority w:val="99"/>
    <w:pPr>
      <w:jc w:val="center"/>
    </w:pPr>
    <w:rPr>
      <w:rFonts w:ascii="Times New Roman" w:hAnsi="Times New Roman" w:eastAsia="仿宋"/>
      <w:kern w:val="0"/>
      <w:sz w:val="20"/>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ascii="Times New Roman" w:hAnsi="Times New Roman" w:eastAsia="仿宋"/>
        <w:b/>
        <w:i w:val="0"/>
        <w:sz w:val="28"/>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tcPr>
    </w:tblStylePr>
    <w:tblStylePr w:type="firstCol">
      <w:rPr>
        <w:rFonts w:ascii="Times New Roman" w:hAnsi="Times New Roman" w:eastAsia="仿宋"/>
        <w:b/>
        <w:i w:val="0"/>
        <w:sz w:val="21"/>
      </w:rPr>
    </w:tblStylePr>
  </w:style>
  <w:style w:type="character" w:styleId="31">
    <w:name w:val="page number"/>
    <w:basedOn w:val="30"/>
    <w:qFormat/>
    <w:uiPriority w:val="0"/>
  </w:style>
  <w:style w:type="paragraph" w:customStyle="1" w:styleId="32">
    <w:name w:val="段落"/>
    <w:basedOn w:val="33"/>
    <w:qFormat/>
    <w:uiPriority w:val="0"/>
    <w:pPr>
      <w:ind w:firstLine="200"/>
    </w:pPr>
    <w:rPr>
      <w:rFonts w:ascii="Verdana" w:hAnsi="Verdana"/>
      <w:color w:val="000000"/>
      <w:shd w:val="clear" w:color="auto" w:fill="FFFFFF"/>
    </w:rPr>
  </w:style>
  <w:style w:type="paragraph" w:customStyle="1" w:styleId="33">
    <w:name w:val="列表段落1"/>
    <w:basedOn w:val="1"/>
    <w:qFormat/>
    <w:uiPriority w:val="34"/>
    <w:pPr>
      <w:spacing w:before="120" w:after="120"/>
      <w:ind w:firstLine="420"/>
    </w:pPr>
    <w:rPr>
      <w:rFonts w:cs="Times New Roman"/>
      <w:szCs w:val="22"/>
    </w:rPr>
  </w:style>
  <w:style w:type="character" w:customStyle="1" w:styleId="34">
    <w:name w:val="apple-converted-space"/>
    <w:basedOn w:val="30"/>
    <w:qFormat/>
    <w:uiPriority w:val="0"/>
  </w:style>
  <w:style w:type="character" w:customStyle="1" w:styleId="35">
    <w:name w:val="标题 1 字符"/>
    <w:basedOn w:val="30"/>
    <w:link w:val="3"/>
    <w:qFormat/>
    <w:uiPriority w:val="0"/>
    <w:rPr>
      <w:rFonts w:ascii="Times New Roman" w:hAnsi="Times New Roman" w:eastAsia="仿宋" w:cs="仿宋"/>
      <w:b/>
      <w:bCs/>
      <w:kern w:val="44"/>
      <w:sz w:val="32"/>
      <w:szCs w:val="32"/>
      <w:lang w:val="zh-CN"/>
    </w:rPr>
  </w:style>
  <w:style w:type="character" w:customStyle="1" w:styleId="36">
    <w:name w:val="标题 2 字符"/>
    <w:basedOn w:val="30"/>
    <w:link w:val="5"/>
    <w:qFormat/>
    <w:uiPriority w:val="0"/>
    <w:rPr>
      <w:rFonts w:ascii="Times New Roman" w:hAnsi="Times New Roman" w:eastAsia="仿宋"/>
      <w:b/>
      <w:bCs/>
      <w:color w:val="000000"/>
      <w:sz w:val="28"/>
      <w:szCs w:val="24"/>
      <w:lang w:val="zh-CN"/>
    </w:rPr>
  </w:style>
  <w:style w:type="character" w:customStyle="1" w:styleId="37">
    <w:name w:val="标题 3 字符"/>
    <w:basedOn w:val="30"/>
    <w:link w:val="2"/>
    <w:qFormat/>
    <w:uiPriority w:val="0"/>
    <w:rPr>
      <w:rFonts w:ascii="Times New Roman" w:hAnsi="Times New Roman" w:eastAsia="仿宋" w:cs="微软雅黑"/>
      <w:b/>
      <w:sz w:val="28"/>
      <w:szCs w:val="28"/>
      <w:lang w:val="zh-CN"/>
    </w:rPr>
  </w:style>
  <w:style w:type="character" w:customStyle="1" w:styleId="38">
    <w:name w:val="标题 4 字符"/>
    <w:basedOn w:val="30"/>
    <w:link w:val="6"/>
    <w:qFormat/>
    <w:uiPriority w:val="0"/>
    <w:rPr>
      <w:rFonts w:ascii="Times New Roman" w:hAnsi="Times New Roman" w:eastAsia="仿宋" w:cstheme="majorBidi"/>
      <w:b/>
      <w:bCs/>
      <w:sz w:val="24"/>
      <w:szCs w:val="28"/>
      <w:lang w:val="zh-CN"/>
    </w:rPr>
  </w:style>
  <w:style w:type="character" w:customStyle="1" w:styleId="39">
    <w:name w:val="标题 5 字符"/>
    <w:basedOn w:val="30"/>
    <w:link w:val="7"/>
    <w:qFormat/>
    <w:uiPriority w:val="0"/>
    <w:rPr>
      <w:rFonts w:ascii="Times New Roman" w:hAnsi="Times New Roman" w:eastAsia="仿宋"/>
      <w:b/>
      <w:bCs/>
      <w:sz w:val="24"/>
      <w:szCs w:val="28"/>
      <w:lang w:val="zh-CN"/>
    </w:rPr>
  </w:style>
  <w:style w:type="character" w:customStyle="1" w:styleId="40">
    <w:name w:val="标题 6 字符"/>
    <w:basedOn w:val="30"/>
    <w:link w:val="8"/>
    <w:qFormat/>
    <w:uiPriority w:val="0"/>
    <w:rPr>
      <w:rFonts w:ascii="Times New Roman" w:hAnsi="Times New Roman" w:eastAsia="仿宋" w:cstheme="majorBidi"/>
      <w:b/>
      <w:bCs/>
      <w:sz w:val="24"/>
      <w:szCs w:val="24"/>
      <w:lang w:val="zh-CN"/>
    </w:rPr>
  </w:style>
  <w:style w:type="character" w:customStyle="1" w:styleId="41">
    <w:name w:val="标题 7 字符"/>
    <w:basedOn w:val="30"/>
    <w:link w:val="9"/>
    <w:qFormat/>
    <w:uiPriority w:val="0"/>
    <w:rPr>
      <w:rFonts w:ascii="Times New Roman" w:hAnsi="Times New Roman" w:eastAsia="仿宋"/>
      <w:bCs/>
      <w:sz w:val="24"/>
      <w:szCs w:val="24"/>
      <w:lang w:val="zh-CN"/>
    </w:rPr>
  </w:style>
  <w:style w:type="character" w:customStyle="1" w:styleId="42">
    <w:name w:val="标题 8 字符"/>
    <w:basedOn w:val="30"/>
    <w:link w:val="10"/>
    <w:qFormat/>
    <w:uiPriority w:val="2"/>
    <w:rPr>
      <w:rFonts w:asciiTheme="majorHAnsi" w:hAnsiTheme="majorHAnsi" w:eastAsiaTheme="majorEastAsia" w:cstheme="majorBidi"/>
      <w:sz w:val="24"/>
      <w:szCs w:val="24"/>
    </w:rPr>
  </w:style>
  <w:style w:type="character" w:customStyle="1" w:styleId="43">
    <w:name w:val="标题 9 字符"/>
    <w:basedOn w:val="30"/>
    <w:link w:val="11"/>
    <w:qFormat/>
    <w:uiPriority w:val="9"/>
    <w:rPr>
      <w:rFonts w:asciiTheme="majorHAnsi" w:hAnsiTheme="majorHAnsi" w:eastAsiaTheme="majorEastAsia" w:cstheme="majorBidi"/>
      <w:sz w:val="24"/>
      <w:szCs w:val="24"/>
    </w:rPr>
  </w:style>
  <w:style w:type="character" w:customStyle="1" w:styleId="44">
    <w:name w:val="正文1 字符"/>
    <w:basedOn w:val="30"/>
    <w:link w:val="4"/>
    <w:qFormat/>
    <w:uiPriority w:val="0"/>
    <w:rPr>
      <w:rFonts w:ascii="Times New Roman" w:hAnsi="Times New Roman" w:eastAsia="仿宋"/>
      <w:sz w:val="24"/>
      <w:szCs w:val="24"/>
      <w:lang w:val="zh-CN"/>
    </w:rPr>
  </w:style>
  <w:style w:type="paragraph" w:customStyle="1" w:styleId="45">
    <w:name w:val="列出段落1"/>
    <w:basedOn w:val="1"/>
    <w:qFormat/>
    <w:uiPriority w:val="0"/>
    <w:pPr>
      <w:widowControl w:val="0"/>
      <w:ind w:firstLine="420" w:firstLineChars="200"/>
      <w:jc w:val="both"/>
    </w:pPr>
    <w:rPr>
      <w:rFonts w:ascii="Calibri" w:hAnsi="Calibri" w:eastAsia="宋体" w:cs="Times New Roman"/>
    </w:rPr>
  </w:style>
  <w:style w:type="paragraph" w:customStyle="1" w:styleId="46">
    <w:name w:val="标题 3_0"/>
    <w:basedOn w:val="1"/>
    <w:next w:val="1"/>
    <w:qFormat/>
    <w:uiPriority w:val="0"/>
    <w:pPr>
      <w:keepNext/>
      <w:keepLines/>
      <w:spacing w:before="260" w:after="260" w:line="360" w:lineRule="auto"/>
      <w:ind w:firstLine="602" w:firstLineChars="200"/>
      <w:outlineLvl w:val="2"/>
    </w:pPr>
    <w:rPr>
      <w:rFonts w:ascii="仿宋_GB2312" w:hAnsi="Calibri" w:eastAsia="仿宋_GB2312"/>
      <w:b/>
      <w:bCs/>
      <w:sz w:val="30"/>
      <w:szCs w:val="20"/>
    </w:rPr>
  </w:style>
  <w:style w:type="paragraph" w:customStyle="1" w:styleId="47">
    <w:name w:val="表格文字"/>
    <w:basedOn w:val="20"/>
    <w:next w:val="15"/>
    <w:qFormat/>
    <w:uiPriority w:val="0"/>
    <w:pPr>
      <w:adjustRightInd/>
      <w:ind w:firstLine="200" w:firstLineChars="200"/>
    </w:pPr>
    <w:rPr>
      <w:rFonts w:ascii="Arial" w:hAnsi="Arial"/>
      <w:spacing w:val="-5"/>
      <w:kern w:val="0"/>
      <w:sz w:val="24"/>
      <w:szCs w:val="20"/>
    </w:rPr>
  </w:style>
  <w:style w:type="paragraph" w:customStyle="1" w:styleId="48">
    <w:name w:val="标准中文版式_正文"/>
    <w:basedOn w:val="1"/>
    <w:qFormat/>
    <w:uiPriority w:val="0"/>
    <w:pPr>
      <w:spacing w:before="30" w:line="360" w:lineRule="auto"/>
      <w:ind w:firstLine="200" w:firstLineChars="200"/>
    </w:pPr>
    <w:rPr>
      <w:rFonts w:ascii="Arial" w:hAnsi="Arial"/>
      <w:sz w:val="24"/>
    </w:rPr>
  </w:style>
  <w:style w:type="paragraph" w:customStyle="1" w:styleId="49">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50">
    <w:name w:val="Plain Text"/>
    <w:basedOn w:val="51"/>
    <w:qFormat/>
    <w:uiPriority w:val="0"/>
    <w:pPr>
      <w:widowControl/>
      <w:jc w:val="left"/>
    </w:pPr>
    <w:rPr>
      <w:rFonts w:hint="eastAsia" w:ascii="宋体" w:hAnsi="Courier New"/>
    </w:rPr>
  </w:style>
  <w:style w:type="paragraph" w:customStyle="1" w:styleId="5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2">
    <w:name w:val="纯文本_0_0"/>
    <w:basedOn w:val="53"/>
    <w:qFormat/>
    <w:uiPriority w:val="0"/>
    <w:rPr>
      <w:rFonts w:ascii="宋体" w:hAnsi="Courier New"/>
      <w:szCs w:val="21"/>
    </w:rPr>
  </w:style>
  <w:style w:type="paragraph" w:customStyle="1" w:styleId="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Body Text 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55">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56">
    <w:name w:val="15"/>
    <w:qFormat/>
    <w:uiPriority w:val="0"/>
  </w:style>
  <w:style w:type="paragraph" w:customStyle="1" w:styleId="57">
    <w:name w:val="招标-主标题"/>
    <w:basedOn w:val="1"/>
    <w:qFormat/>
    <w:uiPriority w:val="0"/>
    <w:pPr>
      <w:tabs>
        <w:tab w:val="left" w:pos="1620"/>
        <w:tab w:val="left" w:pos="1800"/>
        <w:tab w:val="left" w:pos="1980"/>
      </w:tabs>
      <w:spacing w:line="768" w:lineRule="auto"/>
      <w:jc w:val="center"/>
    </w:pPr>
    <w:rPr>
      <w:rFonts w:ascii="宋体" w:hAnsi="宋体" w:eastAsia="宋体"/>
      <w:b/>
      <w:sz w:val="32"/>
    </w:rPr>
  </w:style>
  <w:style w:type="paragraph" w:customStyle="1" w:styleId="58">
    <w:name w:val="正文缩进1"/>
    <w:basedOn w:val="1"/>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59">
    <w:name w:val="索引 11"/>
    <w:basedOn w:val="1"/>
    <w:next w:val="1"/>
    <w:qFormat/>
    <w:uiPriority w:val="99"/>
    <w:pPr>
      <w:adjustRightInd/>
      <w:spacing w:line="360" w:lineRule="auto"/>
    </w:pPr>
    <w:rPr>
      <w:rFonts w:ascii="仿宋_GB2312" w:eastAsia="仿宋_GB2312"/>
      <w:sz w:val="24"/>
      <w:szCs w:val="20"/>
    </w:rPr>
  </w:style>
  <w:style w:type="paragraph" w:customStyle="1" w:styleId="60">
    <w:name w:val="纯文本1"/>
    <w:basedOn w:val="1"/>
    <w:qFormat/>
    <w:uiPriority w:val="0"/>
    <w:pPr>
      <w:adjustRightInd/>
    </w:pPr>
    <w:rPr>
      <w:rFonts w:ascii="宋体" w:hAnsi="Courier New"/>
      <w:kern w:val="0"/>
      <w:sz w:val="20"/>
      <w:szCs w:val="20"/>
    </w:rPr>
  </w:style>
  <w:style w:type="paragraph" w:customStyle="1" w:styleId="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
    <w:name w:val="font21"/>
    <w:basedOn w:val="30"/>
    <w:qFormat/>
    <w:uiPriority w:val="0"/>
    <w:rPr>
      <w:rFonts w:hint="eastAsia" w:ascii="宋体" w:hAnsi="宋体" w:eastAsia="宋体" w:cs="宋体"/>
      <w:color w:val="000000"/>
      <w:sz w:val="20"/>
      <w:szCs w:val="20"/>
      <w:u w:val="none"/>
    </w:rPr>
  </w:style>
  <w:style w:type="character" w:customStyle="1" w:styleId="63">
    <w:name w:val="NormalCharacter"/>
    <w:link w:val="64"/>
    <w:qFormat/>
    <w:uiPriority w:val="0"/>
    <w:rPr>
      <w:rFonts w:ascii="Tahoma" w:hAnsi="Tahoma" w:eastAsia="宋体"/>
      <w:kern w:val="0"/>
      <w:sz w:val="24"/>
      <w:szCs w:val="20"/>
    </w:rPr>
  </w:style>
  <w:style w:type="paragraph" w:customStyle="1" w:styleId="64">
    <w:name w:val="UserStyle_85"/>
    <w:basedOn w:val="1"/>
    <w:link w:val="63"/>
    <w:qFormat/>
    <w:uiPriority w:val="0"/>
    <w:rPr>
      <w:rFonts w:ascii="Tahoma" w:hAnsi="Tahoma" w:eastAsia="宋体"/>
      <w:kern w:val="0"/>
      <w:sz w:val="24"/>
      <w:szCs w:val="20"/>
    </w:rPr>
  </w:style>
  <w:style w:type="character" w:customStyle="1" w:styleId="65">
    <w:name w:val="font11"/>
    <w:basedOn w:val="30"/>
    <w:qFormat/>
    <w:uiPriority w:val="0"/>
    <w:rPr>
      <w:rFonts w:hint="eastAsia" w:ascii="微软雅黑" w:hAnsi="微软雅黑" w:eastAsia="微软雅黑" w:cs="微软雅黑"/>
      <w:color w:val="FF0000"/>
      <w:sz w:val="20"/>
      <w:szCs w:val="20"/>
      <w:u w:val="none"/>
    </w:rPr>
  </w:style>
  <w:style w:type="character" w:customStyle="1" w:styleId="66">
    <w:name w:val="font31"/>
    <w:basedOn w:val="30"/>
    <w:qFormat/>
    <w:uiPriority w:val="0"/>
    <w:rPr>
      <w:rFonts w:ascii="微软雅黑" w:hAnsi="微软雅黑" w:eastAsia="微软雅黑" w:cs="微软雅黑"/>
      <w:color w:val="000000"/>
      <w:sz w:val="20"/>
      <w:szCs w:val="20"/>
      <w:u w:val="none"/>
    </w:rPr>
  </w:style>
  <w:style w:type="character" w:customStyle="1" w:styleId="67">
    <w:name w:val="font01"/>
    <w:basedOn w:val="30"/>
    <w:qFormat/>
    <w:uiPriority w:val="0"/>
    <w:rPr>
      <w:rFonts w:hint="eastAsia" w:ascii="等线" w:hAnsi="等线" w:eastAsia="等线" w:cs="等线"/>
      <w:color w:val="000000"/>
      <w:sz w:val="22"/>
      <w:szCs w:val="22"/>
      <w:u w:val="none"/>
    </w:rPr>
  </w:style>
  <w:style w:type="character" w:customStyle="1" w:styleId="68">
    <w:name w:val="font61"/>
    <w:basedOn w:val="30"/>
    <w:qFormat/>
    <w:uiPriority w:val="0"/>
    <w:rPr>
      <w:rFonts w:ascii="微软雅黑" w:hAnsi="微软雅黑" w:eastAsia="微软雅黑" w:cs="微软雅黑"/>
      <w:color w:val="000000"/>
      <w:sz w:val="24"/>
      <w:szCs w:val="24"/>
      <w:u w:val="none"/>
    </w:rPr>
  </w:style>
  <w:style w:type="character" w:customStyle="1" w:styleId="69">
    <w:name w:val="font71"/>
    <w:basedOn w:val="30"/>
    <w:qFormat/>
    <w:uiPriority w:val="0"/>
    <w:rPr>
      <w:rFonts w:hint="eastAsia" w:ascii="微软雅黑" w:hAnsi="微软雅黑" w:eastAsia="微软雅黑" w:cs="微软雅黑"/>
      <w:color w:val="000000"/>
      <w:sz w:val="24"/>
      <w:szCs w:val="24"/>
      <w:u w:val="none"/>
    </w:rPr>
  </w:style>
  <w:style w:type="character" w:customStyle="1" w:styleId="70">
    <w:name w:val="font81"/>
    <w:basedOn w:val="30"/>
    <w:qFormat/>
    <w:uiPriority w:val="0"/>
    <w:rPr>
      <w:rFonts w:ascii="Microsoft YaHei UI" w:hAnsi="Microsoft YaHei UI" w:eastAsia="Microsoft YaHei UI" w:cs="Microsoft YaHei U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24634</Words>
  <Characters>25596</Characters>
  <Lines>110</Lines>
  <Paragraphs>30</Paragraphs>
  <TotalTime>5</TotalTime>
  <ScaleCrop>false</ScaleCrop>
  <LinksUpToDate>false</LinksUpToDate>
  <CharactersWithSpaces>28111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2023-06-01T04:51:00Z</dcterms:created>
  <dc:creator>jie xie</dc:creator>
  <cp:lastModifiedBy>钟梨霞</cp:lastModifiedBy>
  <cp:lastPrinted>2024-11-29T09:23:00Z</cp:lastPrinted>
  <dcterms:modified xsi:type="dcterms:W3CDTF">2024-12-07T08:48:20Z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7E64EB6445BD4E2CB0451655FD8F1479</vt:lpwstr>
  </property>
</Properties>
</file>