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23F8C8">
      <w:pPr>
        <w:spacing w:line="360" w:lineRule="auto"/>
        <w:jc w:val="center"/>
        <w:rPr>
          <w:rFonts w:hint="eastAsia" w:ascii="宋体" w:hAnsi="宋体" w:eastAsia="宋体" w:cs="宋体"/>
          <w:b/>
          <w:color w:val="000000"/>
          <w:sz w:val="24"/>
        </w:rPr>
      </w:pPr>
    </w:p>
    <w:p w14:paraId="188386B4">
      <w:pPr>
        <w:spacing w:line="360" w:lineRule="auto"/>
        <w:jc w:val="center"/>
        <w:rPr>
          <w:rFonts w:hint="eastAsia" w:ascii="宋体" w:hAnsi="宋体" w:eastAsia="宋体" w:cs="宋体"/>
          <w:b/>
          <w:color w:val="000000"/>
          <w:sz w:val="24"/>
        </w:rPr>
      </w:pPr>
    </w:p>
    <w:p w14:paraId="32A4257C">
      <w:pPr>
        <w:adjustRightInd/>
        <w:spacing w:line="360" w:lineRule="auto"/>
        <w:jc w:val="center"/>
        <w:rPr>
          <w:rFonts w:hint="eastAsia" w:ascii="宋体" w:hAnsi="宋体" w:eastAsia="宋体" w:cs="宋体"/>
          <w:b/>
          <w:bCs/>
          <w:color w:val="000000" w:themeColor="text1"/>
          <w:sz w:val="48"/>
          <w:szCs w:val="48"/>
          <w14:textFill>
            <w14:solidFill>
              <w14:schemeClr w14:val="tx1"/>
            </w14:solidFill>
          </w14:textFill>
        </w:rPr>
      </w:pPr>
      <w:r>
        <w:rPr>
          <w:rFonts w:hint="eastAsia" w:ascii="宋体" w:hAnsi="宋体" w:eastAsia="宋体" w:cs="宋体"/>
          <w:b/>
          <w:bCs/>
          <w:color w:val="000000" w:themeColor="text1"/>
          <w:sz w:val="48"/>
          <w:szCs w:val="48"/>
          <w14:textFill>
            <w14:solidFill>
              <w14:schemeClr w14:val="tx1"/>
            </w14:solidFill>
          </w14:textFill>
        </w:rPr>
        <w:t>瓜沥（益农）中心粮库粮油装卸、运输服务采购项目</w:t>
      </w:r>
    </w:p>
    <w:p w14:paraId="22982D10">
      <w:pPr>
        <w:adjustRightInd/>
        <w:spacing w:line="360" w:lineRule="auto"/>
        <w:jc w:val="center"/>
        <w:rPr>
          <w:rFonts w:hint="eastAsia" w:ascii="宋体" w:hAnsi="宋体" w:eastAsia="宋体" w:cs="宋体"/>
          <w:b/>
          <w:bCs/>
          <w:color w:val="000000" w:themeColor="text1"/>
          <w:sz w:val="48"/>
          <w:szCs w:val="48"/>
          <w14:textFill>
            <w14:solidFill>
              <w14:schemeClr w14:val="tx1"/>
            </w14:solidFill>
          </w14:textFill>
        </w:rPr>
      </w:pPr>
    </w:p>
    <w:p w14:paraId="1DB64EE6">
      <w:pPr>
        <w:adjustRightInd/>
        <w:spacing w:line="360" w:lineRule="auto"/>
        <w:jc w:val="center"/>
        <w:rPr>
          <w:rFonts w:hint="eastAsia" w:ascii="宋体" w:hAnsi="宋体" w:eastAsia="宋体" w:cs="宋体"/>
          <w:b/>
          <w:bCs/>
          <w:color w:val="000000" w:themeColor="text1"/>
          <w:sz w:val="48"/>
          <w:szCs w:val="48"/>
          <w14:textFill>
            <w14:solidFill>
              <w14:schemeClr w14:val="tx1"/>
            </w14:solidFill>
          </w14:textFill>
        </w:rPr>
      </w:pPr>
      <w:r>
        <w:rPr>
          <w:rFonts w:hint="eastAsia" w:ascii="宋体" w:hAnsi="宋体" w:eastAsia="宋体" w:cs="宋体"/>
          <w:b/>
          <w:bCs/>
          <w:color w:val="000000" w:themeColor="text1"/>
          <w:sz w:val="48"/>
          <w:szCs w:val="48"/>
          <w14:textFill>
            <w14:solidFill>
              <w14:schemeClr w14:val="tx1"/>
            </w14:solidFill>
          </w14:textFill>
        </w:rPr>
        <w:t>招标文件</w:t>
      </w:r>
    </w:p>
    <w:p w14:paraId="454D7758">
      <w:pPr>
        <w:pStyle w:val="487"/>
        <w:spacing w:before="120"/>
        <w:ind w:firstLine="482"/>
        <w:rPr>
          <w:rFonts w:hint="eastAsia" w:ascii="宋体" w:hAnsi="宋体" w:eastAsia="宋体" w:cs="宋体"/>
          <w:b/>
          <w:bCs/>
          <w:color w:val="000000" w:themeColor="text1"/>
          <w14:textFill>
            <w14:solidFill>
              <w14:schemeClr w14:val="tx1"/>
            </w14:solidFill>
          </w14:textFill>
        </w:rPr>
      </w:pPr>
    </w:p>
    <w:p w14:paraId="43C54606">
      <w:pPr>
        <w:snapToGrid w:val="0"/>
        <w:spacing w:line="360" w:lineRule="auto"/>
        <w:jc w:val="center"/>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编号:HXXS2025-GK-LCY004</w:t>
      </w:r>
    </w:p>
    <w:p w14:paraId="4FB89B97">
      <w:pPr>
        <w:adjustRightInd/>
        <w:spacing w:line="360" w:lineRule="auto"/>
        <w:jc w:val="center"/>
        <w:rPr>
          <w:rFonts w:hint="eastAsia" w:ascii="宋体" w:hAnsi="宋体" w:eastAsia="宋体" w:cs="宋体"/>
          <w:b/>
          <w:bCs/>
          <w:color w:val="000000"/>
          <w:sz w:val="56"/>
          <w:szCs w:val="72"/>
        </w:rPr>
      </w:pPr>
    </w:p>
    <w:p w14:paraId="14E3A3FD">
      <w:pPr>
        <w:adjustRightInd/>
        <w:spacing w:line="360" w:lineRule="auto"/>
        <w:jc w:val="center"/>
        <w:rPr>
          <w:rFonts w:hint="eastAsia" w:ascii="宋体" w:hAnsi="宋体" w:eastAsia="宋体" w:cs="宋体"/>
          <w:b/>
          <w:bCs/>
          <w:color w:val="000000"/>
          <w:sz w:val="56"/>
          <w:szCs w:val="72"/>
        </w:rPr>
      </w:pPr>
    </w:p>
    <w:p w14:paraId="589ACBFE">
      <w:pPr>
        <w:adjustRightInd/>
        <w:spacing w:line="360" w:lineRule="auto"/>
        <w:jc w:val="center"/>
        <w:rPr>
          <w:rFonts w:hint="eastAsia" w:ascii="宋体" w:hAnsi="宋体" w:eastAsia="宋体" w:cs="宋体"/>
          <w:b/>
          <w:bCs/>
          <w:color w:val="000000"/>
          <w:sz w:val="56"/>
          <w:szCs w:val="72"/>
        </w:rPr>
      </w:pPr>
    </w:p>
    <w:p w14:paraId="001E1771">
      <w:pPr>
        <w:adjustRightInd/>
        <w:spacing w:line="360" w:lineRule="auto"/>
        <w:jc w:val="center"/>
        <w:rPr>
          <w:rFonts w:hint="eastAsia" w:ascii="宋体" w:hAnsi="宋体" w:eastAsia="宋体" w:cs="宋体"/>
          <w:b/>
          <w:bCs/>
          <w:color w:val="000000"/>
          <w:spacing w:val="17"/>
          <w:w w:val="83"/>
          <w:kern w:val="0"/>
          <w:sz w:val="32"/>
          <w:szCs w:val="30"/>
        </w:rPr>
      </w:pPr>
    </w:p>
    <w:p w14:paraId="44E703D8">
      <w:pPr>
        <w:pStyle w:val="2"/>
        <w:numPr>
          <w:ilvl w:val="2"/>
          <w:numId w:val="0"/>
        </w:numPr>
        <w:ind w:left="180"/>
        <w:rPr>
          <w:rFonts w:hint="eastAsia" w:ascii="宋体" w:hAnsi="宋体" w:eastAsia="宋体" w:cs="宋体"/>
        </w:rPr>
      </w:pPr>
    </w:p>
    <w:p w14:paraId="13AC7AB1">
      <w:pPr>
        <w:autoSpaceDE w:val="0"/>
        <w:autoSpaceDN w:val="0"/>
        <w:spacing w:line="600" w:lineRule="exact"/>
        <w:jc w:val="center"/>
        <w:textAlignment w:val="bottom"/>
        <w:rPr>
          <w:rFonts w:hint="eastAsia" w:ascii="宋体" w:hAnsi="宋体" w:eastAsia="宋体" w:cs="宋体"/>
          <w:color w:val="000000"/>
          <w:sz w:val="40"/>
          <w:szCs w:val="40"/>
        </w:rPr>
      </w:pPr>
      <w:r>
        <w:rPr>
          <w:rFonts w:hint="eastAsia" w:ascii="宋体" w:hAnsi="宋体" w:eastAsia="宋体" w:cs="宋体"/>
          <w:color w:val="000000"/>
          <w:sz w:val="40"/>
          <w:szCs w:val="40"/>
        </w:rPr>
        <w:t>杭州萧山粮食购销有限责任公司</w:t>
      </w:r>
    </w:p>
    <w:p w14:paraId="278E6CAF">
      <w:pPr>
        <w:autoSpaceDE w:val="0"/>
        <w:autoSpaceDN w:val="0"/>
        <w:spacing w:line="600" w:lineRule="exact"/>
        <w:jc w:val="center"/>
        <w:textAlignment w:val="bottom"/>
        <w:rPr>
          <w:rFonts w:hint="eastAsia" w:ascii="宋体" w:hAnsi="宋体" w:eastAsia="宋体" w:cs="宋体"/>
          <w:color w:val="000000"/>
          <w:sz w:val="40"/>
          <w:szCs w:val="40"/>
          <w:highlight w:val="none"/>
          <w:lang w:eastAsia="zh-CN"/>
        </w:rPr>
      </w:pPr>
      <w:r>
        <w:rPr>
          <w:rFonts w:hint="eastAsia" w:ascii="宋体" w:hAnsi="宋体" w:eastAsia="宋体" w:cs="宋体"/>
          <w:color w:val="000000"/>
          <w:sz w:val="40"/>
          <w:szCs w:val="40"/>
          <w:highlight w:val="none"/>
          <w:lang w:eastAsia="zh-CN"/>
        </w:rPr>
        <w:t>浙江华夏工程管理有限公司</w:t>
      </w:r>
    </w:p>
    <w:p w14:paraId="2D026301">
      <w:pPr>
        <w:autoSpaceDE w:val="0"/>
        <w:autoSpaceDN w:val="0"/>
        <w:spacing w:line="600" w:lineRule="exact"/>
        <w:jc w:val="center"/>
        <w:textAlignment w:val="bottom"/>
        <w:rPr>
          <w:rFonts w:hint="eastAsia" w:ascii="宋体" w:hAnsi="宋体" w:eastAsia="宋体" w:cs="宋体"/>
          <w:color w:val="000000"/>
          <w:sz w:val="32"/>
          <w:szCs w:val="32"/>
          <w:highlight w:val="yellow"/>
        </w:rPr>
      </w:pPr>
      <w:r>
        <w:rPr>
          <w:rFonts w:hint="eastAsia" w:ascii="宋体" w:hAnsi="宋体" w:eastAsia="宋体" w:cs="宋体"/>
          <w:color w:val="000000"/>
          <w:sz w:val="40"/>
          <w:szCs w:val="40"/>
          <w:highlight w:val="none"/>
          <w:lang w:val="en-US" w:eastAsia="zh-CN"/>
        </w:rPr>
        <w:t>2025</w:t>
      </w:r>
      <w:r>
        <w:rPr>
          <w:rFonts w:hint="eastAsia" w:ascii="宋体" w:hAnsi="宋体" w:eastAsia="宋体" w:cs="宋体"/>
          <w:color w:val="000000"/>
          <w:sz w:val="40"/>
          <w:szCs w:val="40"/>
          <w:highlight w:val="none"/>
        </w:rPr>
        <w:t>年</w:t>
      </w:r>
      <w:r>
        <w:rPr>
          <w:rFonts w:hint="eastAsia" w:ascii="宋体" w:hAnsi="宋体" w:eastAsia="宋体" w:cs="宋体"/>
          <w:color w:val="000000"/>
          <w:sz w:val="40"/>
          <w:szCs w:val="40"/>
          <w:highlight w:val="none"/>
          <w:lang w:val="en-US" w:eastAsia="zh-CN"/>
        </w:rPr>
        <w:t>1</w:t>
      </w:r>
      <w:r>
        <w:rPr>
          <w:rFonts w:hint="eastAsia" w:ascii="宋体" w:hAnsi="宋体" w:eastAsia="宋体" w:cs="宋体"/>
          <w:color w:val="000000"/>
          <w:sz w:val="40"/>
          <w:szCs w:val="40"/>
          <w:highlight w:val="none"/>
        </w:rPr>
        <w:t>月</w:t>
      </w:r>
      <w:r>
        <w:rPr>
          <w:rFonts w:hint="eastAsia" w:ascii="宋体" w:hAnsi="宋体" w:cs="宋体"/>
          <w:color w:val="000000"/>
          <w:sz w:val="40"/>
          <w:szCs w:val="40"/>
          <w:highlight w:val="none"/>
          <w:lang w:val="en-US" w:eastAsia="zh-CN"/>
        </w:rPr>
        <w:t>26</w:t>
      </w:r>
      <w:r>
        <w:rPr>
          <w:rFonts w:hint="eastAsia" w:ascii="宋体" w:hAnsi="宋体" w:eastAsia="宋体" w:cs="宋体"/>
          <w:color w:val="000000"/>
          <w:sz w:val="40"/>
          <w:szCs w:val="40"/>
          <w:highlight w:val="none"/>
        </w:rPr>
        <w:t>日</w:t>
      </w:r>
    </w:p>
    <w:p w14:paraId="46840AA3">
      <w:pPr>
        <w:spacing w:line="360" w:lineRule="auto"/>
        <w:jc w:val="center"/>
        <w:rPr>
          <w:rFonts w:hint="eastAsia" w:ascii="宋体" w:hAnsi="宋体" w:eastAsia="宋体" w:cs="宋体"/>
          <w:bCs/>
          <w:color w:val="000000"/>
          <w:sz w:val="32"/>
          <w:szCs w:val="32"/>
        </w:rPr>
      </w:pPr>
    </w:p>
    <w:p w14:paraId="5EDACBD9">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br w:type="page"/>
      </w:r>
      <w:bookmarkStart w:id="0" w:name="_Hlt67893495"/>
      <w:bookmarkEnd w:id="0"/>
    </w:p>
    <w:p w14:paraId="7B6ECE9E">
      <w:pPr>
        <w:spacing w:line="360" w:lineRule="auto"/>
        <w:jc w:val="center"/>
        <w:rPr>
          <w:rFonts w:hint="eastAsia" w:ascii="宋体" w:hAnsi="宋体" w:eastAsia="宋体" w:cs="宋体"/>
          <w:color w:val="000000"/>
          <w:sz w:val="24"/>
        </w:rPr>
      </w:pPr>
    </w:p>
    <w:p w14:paraId="019F93DE">
      <w:pPr>
        <w:spacing w:line="360" w:lineRule="auto"/>
        <w:jc w:val="center"/>
        <w:rPr>
          <w:rFonts w:hint="eastAsia" w:ascii="宋体" w:hAnsi="宋体" w:eastAsia="宋体" w:cs="宋体"/>
          <w:b/>
          <w:color w:val="000000"/>
          <w:sz w:val="48"/>
          <w:szCs w:val="48"/>
        </w:rPr>
      </w:pPr>
      <w:r>
        <w:rPr>
          <w:rFonts w:hint="eastAsia" w:ascii="宋体" w:hAnsi="宋体" w:eastAsia="宋体" w:cs="宋体"/>
          <w:b/>
          <w:color w:val="000000"/>
          <w:sz w:val="48"/>
          <w:szCs w:val="48"/>
        </w:rPr>
        <w:t>目  录</w:t>
      </w:r>
    </w:p>
    <w:p w14:paraId="0FA186BC">
      <w:pPr>
        <w:spacing w:line="360" w:lineRule="auto"/>
        <w:rPr>
          <w:rFonts w:hint="eastAsia" w:ascii="宋体" w:hAnsi="宋体" w:eastAsia="宋体" w:cs="宋体"/>
          <w:color w:val="000000"/>
          <w:sz w:val="32"/>
          <w:szCs w:val="32"/>
        </w:rPr>
      </w:pPr>
    </w:p>
    <w:p w14:paraId="541EDE88">
      <w:pPr>
        <w:spacing w:line="360" w:lineRule="auto"/>
        <w:rPr>
          <w:rFonts w:hint="eastAsia" w:ascii="宋体" w:hAnsi="宋体" w:eastAsia="宋体" w:cs="宋体"/>
          <w:color w:val="000000"/>
          <w:sz w:val="32"/>
          <w:szCs w:val="32"/>
        </w:rPr>
      </w:pPr>
    </w:p>
    <w:p w14:paraId="418605CE">
      <w:pPr>
        <w:spacing w:line="360" w:lineRule="auto"/>
        <w:ind w:firstLine="1280" w:firstLineChars="400"/>
        <w:rPr>
          <w:rFonts w:hint="eastAsia" w:ascii="宋体" w:hAnsi="宋体" w:eastAsia="宋体" w:cs="宋体"/>
          <w:color w:val="000000"/>
          <w:sz w:val="32"/>
          <w:szCs w:val="32"/>
        </w:rPr>
      </w:pPr>
      <w:r>
        <w:rPr>
          <w:rFonts w:hint="eastAsia" w:ascii="宋体" w:hAnsi="宋体" w:eastAsia="宋体" w:cs="宋体"/>
          <w:color w:val="000000"/>
          <w:sz w:val="32"/>
          <w:szCs w:val="32"/>
        </w:rPr>
        <w:t>第一部分      招标公告</w:t>
      </w:r>
    </w:p>
    <w:p w14:paraId="13D753C1">
      <w:pPr>
        <w:spacing w:line="360" w:lineRule="auto"/>
        <w:ind w:firstLine="1280" w:firstLineChars="400"/>
        <w:rPr>
          <w:rFonts w:hint="eastAsia" w:ascii="宋体" w:hAnsi="宋体" w:eastAsia="宋体" w:cs="宋体"/>
          <w:color w:val="000000"/>
          <w:sz w:val="32"/>
          <w:szCs w:val="32"/>
        </w:rPr>
      </w:pPr>
      <w:r>
        <w:rPr>
          <w:rFonts w:hint="eastAsia" w:ascii="宋体" w:hAnsi="宋体" w:eastAsia="宋体" w:cs="宋体"/>
          <w:color w:val="000000"/>
          <w:sz w:val="32"/>
          <w:szCs w:val="32"/>
        </w:rPr>
        <w:t>第二部分      投标人须知</w:t>
      </w:r>
    </w:p>
    <w:p w14:paraId="3FAC01C1">
      <w:pPr>
        <w:spacing w:line="360" w:lineRule="auto"/>
        <w:ind w:firstLine="1280" w:firstLineChars="400"/>
        <w:rPr>
          <w:rFonts w:hint="eastAsia" w:ascii="宋体" w:hAnsi="宋体" w:eastAsia="宋体" w:cs="宋体"/>
          <w:color w:val="000000"/>
          <w:sz w:val="32"/>
          <w:szCs w:val="32"/>
        </w:rPr>
      </w:pPr>
      <w:r>
        <w:rPr>
          <w:rFonts w:hint="eastAsia" w:ascii="宋体" w:hAnsi="宋体" w:eastAsia="宋体" w:cs="宋体"/>
          <w:color w:val="000000"/>
          <w:sz w:val="32"/>
          <w:szCs w:val="32"/>
        </w:rPr>
        <w:t>第三部分      采购需求</w:t>
      </w:r>
    </w:p>
    <w:p w14:paraId="18FC29C6">
      <w:pPr>
        <w:spacing w:line="360" w:lineRule="auto"/>
        <w:ind w:firstLine="1280" w:firstLineChars="400"/>
        <w:rPr>
          <w:rFonts w:hint="eastAsia" w:ascii="宋体" w:hAnsi="宋体" w:eastAsia="宋体" w:cs="宋体"/>
          <w:color w:val="000000"/>
          <w:sz w:val="32"/>
          <w:szCs w:val="32"/>
        </w:rPr>
      </w:pPr>
      <w:r>
        <w:rPr>
          <w:rFonts w:hint="eastAsia" w:ascii="宋体" w:hAnsi="宋体" w:eastAsia="宋体" w:cs="宋体"/>
          <w:color w:val="000000"/>
          <w:sz w:val="32"/>
          <w:szCs w:val="32"/>
        </w:rPr>
        <w:t>第四部分      评标方法及评分标准</w:t>
      </w:r>
    </w:p>
    <w:p w14:paraId="18578457">
      <w:pPr>
        <w:spacing w:line="360" w:lineRule="auto"/>
        <w:ind w:firstLine="1280" w:firstLineChars="400"/>
        <w:rPr>
          <w:rFonts w:hint="eastAsia" w:ascii="宋体" w:hAnsi="宋体" w:eastAsia="宋体" w:cs="宋体"/>
          <w:color w:val="000000"/>
          <w:sz w:val="32"/>
          <w:szCs w:val="32"/>
        </w:rPr>
      </w:pPr>
      <w:r>
        <w:rPr>
          <w:rFonts w:hint="eastAsia" w:ascii="宋体" w:hAnsi="宋体" w:eastAsia="宋体" w:cs="宋体"/>
          <w:color w:val="000000"/>
          <w:sz w:val="32"/>
          <w:szCs w:val="32"/>
        </w:rPr>
        <w:t>第五部分      应提交的有关格式范例</w:t>
      </w:r>
    </w:p>
    <w:p w14:paraId="62FC6FD7">
      <w:pPr>
        <w:spacing w:line="360" w:lineRule="auto"/>
        <w:ind w:firstLine="549" w:firstLineChars="229"/>
        <w:rPr>
          <w:rFonts w:hint="eastAsia" w:ascii="宋体" w:hAnsi="宋体" w:eastAsia="宋体" w:cs="宋体"/>
          <w:color w:val="000000"/>
          <w:sz w:val="24"/>
        </w:rPr>
      </w:pPr>
      <w:bookmarkStart w:id="1" w:name="_Hlt91233176"/>
      <w:bookmarkEnd w:id="1"/>
      <w:bookmarkStart w:id="2" w:name="_Toc91899869"/>
    </w:p>
    <w:p w14:paraId="4F99D3D7">
      <w:pPr>
        <w:spacing w:line="360" w:lineRule="auto"/>
        <w:ind w:firstLine="549" w:firstLineChars="229"/>
        <w:rPr>
          <w:rFonts w:hint="eastAsia" w:ascii="宋体" w:hAnsi="宋体" w:eastAsia="宋体" w:cs="宋体"/>
          <w:color w:val="000000"/>
          <w:sz w:val="24"/>
        </w:rPr>
      </w:pPr>
    </w:p>
    <w:p w14:paraId="4653A3FC">
      <w:pPr>
        <w:spacing w:line="360" w:lineRule="auto"/>
        <w:ind w:firstLine="549" w:firstLineChars="229"/>
        <w:rPr>
          <w:rFonts w:hint="eastAsia" w:ascii="宋体" w:hAnsi="宋体" w:eastAsia="宋体" w:cs="宋体"/>
          <w:color w:val="000000"/>
          <w:sz w:val="24"/>
        </w:rPr>
      </w:pPr>
    </w:p>
    <w:p w14:paraId="1ED9FCCA">
      <w:pPr>
        <w:spacing w:line="360" w:lineRule="auto"/>
        <w:ind w:firstLine="549" w:firstLineChars="229"/>
        <w:rPr>
          <w:rFonts w:hint="eastAsia" w:ascii="宋体" w:hAnsi="宋体" w:eastAsia="宋体" w:cs="宋体"/>
          <w:color w:val="000000"/>
          <w:sz w:val="24"/>
        </w:rPr>
      </w:pPr>
    </w:p>
    <w:p w14:paraId="0F2B05B4">
      <w:pPr>
        <w:spacing w:line="360" w:lineRule="auto"/>
        <w:ind w:firstLine="549" w:firstLineChars="229"/>
        <w:rPr>
          <w:rFonts w:hint="eastAsia" w:ascii="宋体" w:hAnsi="宋体" w:eastAsia="宋体" w:cs="宋体"/>
          <w:color w:val="000000"/>
          <w:sz w:val="24"/>
        </w:rPr>
      </w:pPr>
    </w:p>
    <w:p w14:paraId="5DD35D75">
      <w:pPr>
        <w:spacing w:line="360" w:lineRule="auto"/>
        <w:ind w:firstLine="549" w:firstLineChars="229"/>
        <w:rPr>
          <w:rFonts w:hint="eastAsia" w:ascii="宋体" w:hAnsi="宋体" w:eastAsia="宋体" w:cs="宋体"/>
          <w:color w:val="000000"/>
          <w:sz w:val="24"/>
        </w:rPr>
      </w:pPr>
    </w:p>
    <w:p w14:paraId="6A5164D7">
      <w:pPr>
        <w:spacing w:line="360" w:lineRule="auto"/>
        <w:ind w:firstLine="549" w:firstLineChars="229"/>
        <w:rPr>
          <w:rFonts w:hint="eastAsia" w:ascii="宋体" w:hAnsi="宋体" w:eastAsia="宋体" w:cs="宋体"/>
          <w:color w:val="000000"/>
          <w:sz w:val="24"/>
        </w:rPr>
      </w:pPr>
    </w:p>
    <w:p w14:paraId="40598F99">
      <w:pPr>
        <w:spacing w:line="360" w:lineRule="auto"/>
        <w:ind w:firstLine="549" w:firstLineChars="229"/>
        <w:rPr>
          <w:rFonts w:hint="eastAsia" w:ascii="宋体" w:hAnsi="宋体" w:eastAsia="宋体" w:cs="宋体"/>
          <w:color w:val="000000"/>
          <w:sz w:val="24"/>
        </w:rPr>
      </w:pPr>
    </w:p>
    <w:p w14:paraId="3D00F80D">
      <w:pPr>
        <w:spacing w:line="360" w:lineRule="auto"/>
        <w:ind w:firstLine="549" w:firstLineChars="229"/>
        <w:rPr>
          <w:rFonts w:hint="eastAsia" w:ascii="宋体" w:hAnsi="宋体" w:eastAsia="宋体" w:cs="宋体"/>
          <w:color w:val="000000"/>
          <w:sz w:val="24"/>
        </w:rPr>
      </w:pPr>
    </w:p>
    <w:p w14:paraId="490956BD">
      <w:pPr>
        <w:spacing w:line="360" w:lineRule="auto"/>
        <w:ind w:firstLine="549" w:firstLineChars="229"/>
        <w:rPr>
          <w:rFonts w:hint="eastAsia" w:ascii="宋体" w:hAnsi="宋体" w:eastAsia="宋体" w:cs="宋体"/>
          <w:color w:val="000000"/>
          <w:sz w:val="24"/>
        </w:rPr>
      </w:pPr>
    </w:p>
    <w:p w14:paraId="35D7DE4B">
      <w:pPr>
        <w:spacing w:line="360" w:lineRule="auto"/>
        <w:ind w:firstLine="549" w:firstLineChars="229"/>
        <w:rPr>
          <w:rFonts w:hint="eastAsia" w:ascii="宋体" w:hAnsi="宋体" w:eastAsia="宋体" w:cs="宋体"/>
          <w:color w:val="000000"/>
          <w:sz w:val="24"/>
        </w:rPr>
      </w:pPr>
    </w:p>
    <w:p w14:paraId="187BB074">
      <w:pPr>
        <w:spacing w:line="360" w:lineRule="auto"/>
        <w:ind w:firstLine="549" w:firstLineChars="229"/>
        <w:rPr>
          <w:rFonts w:hint="eastAsia" w:ascii="宋体" w:hAnsi="宋体" w:eastAsia="宋体" w:cs="宋体"/>
          <w:color w:val="000000"/>
          <w:sz w:val="24"/>
        </w:rPr>
      </w:pPr>
    </w:p>
    <w:p w14:paraId="146DBFC4">
      <w:pPr>
        <w:spacing w:line="360" w:lineRule="auto"/>
        <w:ind w:firstLine="549" w:firstLineChars="229"/>
        <w:rPr>
          <w:rFonts w:hint="eastAsia" w:ascii="宋体" w:hAnsi="宋体" w:eastAsia="宋体" w:cs="宋体"/>
          <w:color w:val="000000"/>
          <w:sz w:val="24"/>
        </w:rPr>
      </w:pPr>
    </w:p>
    <w:p w14:paraId="43884251">
      <w:pPr>
        <w:spacing w:line="360" w:lineRule="auto"/>
        <w:rPr>
          <w:rFonts w:hint="eastAsia" w:ascii="宋体" w:hAnsi="宋体" w:eastAsia="宋体" w:cs="宋体"/>
          <w:color w:val="000000"/>
          <w:sz w:val="24"/>
        </w:rPr>
      </w:pPr>
    </w:p>
    <w:p w14:paraId="75CA41EE">
      <w:pPr>
        <w:pStyle w:val="3"/>
        <w:rPr>
          <w:rFonts w:hint="eastAsia" w:ascii="宋体" w:hAnsi="宋体" w:eastAsia="宋体" w:cs="宋体"/>
        </w:rPr>
      </w:pPr>
      <w:bookmarkStart w:id="3" w:name="第一部分"/>
      <w:r>
        <w:rPr>
          <w:rFonts w:hint="eastAsia" w:ascii="宋体" w:hAnsi="宋体" w:eastAsia="宋体" w:cs="宋体"/>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eastAsia="宋体" w:cs="宋体"/>
        </w:rPr>
        <w:t>第一部分 招标公告</w:t>
      </w:r>
    </w:p>
    <w:p w14:paraId="1F57A7EF">
      <w:pPr>
        <w:pBdr>
          <w:top w:val="single" w:color="auto" w:sz="4" w:space="1"/>
          <w:left w:val="single" w:color="auto" w:sz="4" w:space="4"/>
          <w:bottom w:val="single" w:color="auto" w:sz="4" w:space="1"/>
          <w:right w:val="single" w:color="auto" w:sz="4" w:space="4"/>
        </w:pBdr>
        <w:ind w:left="840"/>
        <w:rPr>
          <w:rFonts w:hint="eastAsia" w:ascii="宋体" w:hAnsi="宋体" w:eastAsia="宋体" w:cs="宋体"/>
          <w:sz w:val="24"/>
          <w:szCs w:val="28"/>
        </w:rPr>
      </w:pPr>
      <w:r>
        <w:rPr>
          <w:rFonts w:hint="eastAsia" w:ascii="宋体" w:hAnsi="宋体" w:eastAsia="宋体" w:cs="宋体"/>
          <w:sz w:val="24"/>
          <w:szCs w:val="28"/>
        </w:rPr>
        <w:t>项目概况：</w:t>
      </w:r>
    </w:p>
    <w:p w14:paraId="586F0B74">
      <w:pPr>
        <w:pBdr>
          <w:top w:val="single" w:color="auto" w:sz="4" w:space="1"/>
          <w:left w:val="single" w:color="auto" w:sz="4" w:space="4"/>
          <w:bottom w:val="single" w:color="auto" w:sz="4" w:space="1"/>
          <w:right w:val="single" w:color="auto" w:sz="4" w:space="4"/>
        </w:pBdr>
        <w:ind w:left="840" w:firstLine="480" w:firstLineChars="200"/>
        <w:rPr>
          <w:rFonts w:hint="eastAsia" w:ascii="宋体" w:hAnsi="宋体" w:eastAsia="宋体" w:cs="宋体"/>
          <w:sz w:val="24"/>
          <w:szCs w:val="28"/>
        </w:rPr>
      </w:pPr>
      <w:r>
        <w:rPr>
          <w:rFonts w:hint="eastAsia" w:ascii="宋体" w:hAnsi="宋体" w:eastAsia="宋体" w:cs="宋体"/>
          <w:sz w:val="24"/>
          <w:u w:val="single"/>
        </w:rPr>
        <w:t>瓜沥（益农）中心粮库粮油装卸、运输服务采购项目</w:t>
      </w:r>
      <w:r>
        <w:rPr>
          <w:rFonts w:hint="eastAsia" w:ascii="宋体" w:hAnsi="宋体" w:eastAsia="宋体" w:cs="宋体"/>
          <w:sz w:val="24"/>
        </w:rPr>
        <w:t>的潜在投标人应在乐采云平台（</w:t>
      </w:r>
      <w:r>
        <w:rPr>
          <w:rFonts w:hint="eastAsia" w:ascii="宋体" w:hAnsi="宋体" w:eastAsia="宋体" w:cs="宋体"/>
          <w:sz w:val="24"/>
          <w:lang w:eastAsia="zh-CN"/>
        </w:rPr>
        <w:t>https://www.lecaiyun.com/</w:t>
      </w:r>
      <w:r>
        <w:rPr>
          <w:rFonts w:hint="eastAsia" w:ascii="宋体" w:hAnsi="宋体" w:eastAsia="宋体" w:cs="宋体"/>
          <w:sz w:val="24"/>
        </w:rPr>
        <w:t>）</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"https://www.zcygov.cn/）获取（下载）招标文件，并于2023年" </w:instrText>
      </w:r>
      <w:r>
        <w:rPr>
          <w:rFonts w:hint="eastAsia" w:ascii="宋体" w:hAnsi="宋体" w:eastAsia="宋体" w:cs="宋体"/>
          <w:color w:val="auto"/>
        </w:rPr>
        <w:fldChar w:fldCharType="separate"/>
      </w:r>
      <w:r>
        <w:rPr>
          <w:rStyle w:val="69"/>
          <w:rFonts w:hint="eastAsia" w:ascii="宋体" w:hAnsi="宋体" w:eastAsia="宋体" w:cs="宋体"/>
          <w:color w:val="auto"/>
          <w:sz w:val="24"/>
          <w:szCs w:val="24"/>
        </w:rPr>
        <w:t>获取（下载）招标文件，并于</w:t>
      </w:r>
      <w:r>
        <w:rPr>
          <w:rStyle w:val="69"/>
          <w:rFonts w:hint="eastAsia" w:ascii="宋体" w:hAnsi="宋体" w:eastAsia="宋体" w:cs="宋体"/>
          <w:color w:val="auto"/>
          <w:sz w:val="24"/>
          <w:szCs w:val="24"/>
          <w:u w:val="single"/>
        </w:rPr>
        <w:t>202</w:t>
      </w:r>
      <w:r>
        <w:rPr>
          <w:rStyle w:val="69"/>
          <w:rFonts w:hint="eastAsia" w:ascii="宋体" w:hAnsi="宋体" w:eastAsia="宋体" w:cs="宋体"/>
          <w:color w:val="auto"/>
          <w:sz w:val="24"/>
          <w:szCs w:val="24"/>
          <w:u w:val="single"/>
          <w:lang w:val="en-US" w:eastAsia="zh-CN"/>
        </w:rPr>
        <w:t>5</w:t>
      </w:r>
      <w:r>
        <w:rPr>
          <w:rStyle w:val="69"/>
          <w:rFonts w:hint="eastAsia" w:ascii="宋体" w:hAnsi="宋体" w:eastAsia="宋体" w:cs="宋体"/>
          <w:color w:val="auto"/>
          <w:sz w:val="24"/>
          <w:szCs w:val="24"/>
          <w:u w:val="single"/>
        </w:rPr>
        <w:t>年</w:t>
      </w:r>
      <w:r>
        <w:rPr>
          <w:rStyle w:val="69"/>
          <w:rFonts w:hint="eastAsia" w:ascii="宋体" w:hAnsi="宋体" w:eastAsia="宋体" w:cs="宋体"/>
          <w:color w:val="auto"/>
          <w:sz w:val="24"/>
          <w:szCs w:val="24"/>
        </w:rPr>
        <w:fldChar w:fldCharType="end"/>
      </w:r>
      <w:r>
        <w:rPr>
          <w:rFonts w:hint="eastAsia" w:ascii="宋体" w:hAnsi="宋体" w:cs="宋体"/>
          <w:color w:val="auto"/>
          <w:sz w:val="24"/>
          <w:u w:val="single"/>
          <w:lang w:val="en-US" w:eastAsia="zh-CN"/>
        </w:rPr>
        <w:t>02</w:t>
      </w:r>
      <w:r>
        <w:rPr>
          <w:rFonts w:hint="eastAsia" w:ascii="宋体" w:hAnsi="宋体" w:eastAsia="宋体" w:cs="宋体"/>
          <w:color w:val="auto"/>
          <w:sz w:val="24"/>
          <w:u w:val="single"/>
        </w:rPr>
        <w:t>月</w:t>
      </w:r>
      <w:r>
        <w:rPr>
          <w:rFonts w:hint="eastAsia" w:ascii="宋体" w:hAnsi="宋体" w:cs="宋体"/>
          <w:color w:val="auto"/>
          <w:sz w:val="24"/>
          <w:u w:val="single"/>
          <w:lang w:val="en-US" w:eastAsia="zh-CN"/>
        </w:rPr>
        <w:t>18</w:t>
      </w:r>
      <w:r>
        <w:rPr>
          <w:rFonts w:hint="eastAsia" w:ascii="宋体" w:hAnsi="宋体" w:eastAsia="宋体" w:cs="宋体"/>
          <w:color w:val="auto"/>
          <w:sz w:val="24"/>
          <w:u w:val="single"/>
        </w:rPr>
        <w:t>日</w:t>
      </w:r>
      <w:r>
        <w:rPr>
          <w:rFonts w:hint="eastAsia" w:ascii="宋体" w:hAnsi="宋体" w:eastAsia="宋体" w:cs="宋体"/>
          <w:sz w:val="24"/>
          <w:u w:val="single"/>
          <w:lang w:val="en-US" w:eastAsia="zh-CN"/>
        </w:rPr>
        <w:t>09</w:t>
      </w:r>
      <w:r>
        <w:rPr>
          <w:rFonts w:hint="eastAsia" w:ascii="宋体" w:hAnsi="宋体" w:eastAsia="宋体" w:cs="宋体"/>
          <w:bCs/>
          <w:sz w:val="24"/>
          <w:u w:val="single"/>
        </w:rPr>
        <w:t>点</w:t>
      </w:r>
      <w:r>
        <w:rPr>
          <w:rFonts w:hint="eastAsia" w:ascii="宋体" w:hAnsi="宋体" w:eastAsia="宋体" w:cs="宋体"/>
          <w:bCs/>
          <w:sz w:val="24"/>
          <w:u w:val="single"/>
          <w:lang w:val="en-US" w:eastAsia="zh-CN"/>
        </w:rPr>
        <w:t>00</w:t>
      </w:r>
      <w:r>
        <w:rPr>
          <w:rFonts w:hint="eastAsia" w:ascii="宋体" w:hAnsi="宋体" w:eastAsia="宋体" w:cs="宋体"/>
          <w:bCs/>
          <w:sz w:val="24"/>
          <w:u w:val="single"/>
        </w:rPr>
        <w:t>分00秒</w:t>
      </w:r>
      <w:r>
        <w:rPr>
          <w:rFonts w:hint="eastAsia" w:ascii="宋体" w:hAnsi="宋体" w:eastAsia="宋体" w:cs="宋体"/>
          <w:bCs/>
          <w:sz w:val="24"/>
        </w:rPr>
        <w:t>（北京时间）前</w:t>
      </w:r>
      <w:r>
        <w:rPr>
          <w:rFonts w:hint="eastAsia" w:ascii="宋体" w:hAnsi="宋体" w:eastAsia="宋体" w:cs="宋体"/>
          <w:sz w:val="24"/>
        </w:rPr>
        <w:t>递交投标文件。</w:t>
      </w:r>
    </w:p>
    <w:p w14:paraId="20275FC5">
      <w:pPr>
        <w:pStyle w:val="4"/>
        <w:numPr>
          <w:ilvl w:val="0"/>
          <w:numId w:val="0"/>
        </w:numPr>
        <w:rPr>
          <w:rFonts w:hint="eastAsia" w:ascii="宋体" w:hAnsi="宋体" w:eastAsia="宋体" w:cs="宋体"/>
          <w:sz w:val="24"/>
          <w:szCs w:val="28"/>
        </w:rPr>
      </w:pPr>
      <w:bookmarkStart w:id="11" w:name="_Toc35393790"/>
      <w:bookmarkStart w:id="12" w:name="_Toc28359079"/>
      <w:bookmarkStart w:id="13" w:name="_Toc35393621"/>
      <w:bookmarkStart w:id="14" w:name="_Toc28359002"/>
      <w:bookmarkStart w:id="15" w:name="_Hlk24379207"/>
      <w:r>
        <w:rPr>
          <w:rFonts w:hint="eastAsia" w:ascii="宋体" w:hAnsi="宋体" w:eastAsia="宋体" w:cs="宋体"/>
          <w:sz w:val="24"/>
          <w:szCs w:val="28"/>
        </w:rPr>
        <w:t>一、项目基本情况</w:t>
      </w:r>
      <w:bookmarkEnd w:id="11"/>
      <w:bookmarkEnd w:id="12"/>
      <w:bookmarkEnd w:id="13"/>
      <w:bookmarkEnd w:id="14"/>
    </w:p>
    <w:p w14:paraId="4A2F35CB">
      <w:pPr>
        <w:spacing w:line="360" w:lineRule="auto"/>
        <w:ind w:left="420" w:leftChars="200"/>
        <w:jc w:val="left"/>
        <w:rPr>
          <w:rFonts w:hint="eastAsia" w:ascii="宋体" w:hAnsi="宋体" w:eastAsia="宋体" w:cs="宋体"/>
          <w:color w:val="FF0000"/>
          <w:sz w:val="24"/>
          <w:szCs w:val="28"/>
        </w:rPr>
      </w:pPr>
      <w:r>
        <w:rPr>
          <w:rFonts w:hint="eastAsia" w:ascii="宋体" w:hAnsi="宋体" w:eastAsia="宋体" w:cs="宋体"/>
          <w:sz w:val="24"/>
          <w:szCs w:val="28"/>
        </w:rPr>
        <w:t>项目编号：HXXS2025-GK-LCY004</w:t>
      </w:r>
    </w:p>
    <w:p w14:paraId="11A794E7">
      <w:pPr>
        <w:spacing w:line="360" w:lineRule="auto"/>
        <w:ind w:left="420" w:leftChars="200"/>
        <w:jc w:val="left"/>
        <w:rPr>
          <w:rFonts w:hint="eastAsia" w:ascii="宋体" w:hAnsi="宋体" w:eastAsia="宋体" w:cs="宋体"/>
          <w:sz w:val="24"/>
        </w:rPr>
      </w:pPr>
      <w:r>
        <w:rPr>
          <w:rFonts w:hint="eastAsia" w:ascii="宋体" w:hAnsi="宋体" w:eastAsia="宋体" w:cs="宋体"/>
          <w:sz w:val="24"/>
          <w:szCs w:val="28"/>
        </w:rPr>
        <w:t>项目名称：</w:t>
      </w:r>
      <w:bookmarkEnd w:id="15"/>
      <w:r>
        <w:rPr>
          <w:rFonts w:hint="eastAsia" w:ascii="宋体" w:hAnsi="宋体" w:eastAsia="宋体" w:cs="宋体"/>
          <w:sz w:val="24"/>
          <w:u w:val="single"/>
        </w:rPr>
        <w:t>瓜沥（益农）中心粮库粮油装卸、运输服务采购项目</w:t>
      </w:r>
    </w:p>
    <w:p w14:paraId="095F1505">
      <w:pPr>
        <w:spacing w:line="360" w:lineRule="auto"/>
        <w:ind w:left="420" w:leftChars="200"/>
        <w:jc w:val="left"/>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预算金额：1</w:t>
      </w:r>
      <w:r>
        <w:rPr>
          <w:rFonts w:hint="eastAsia" w:ascii="宋体" w:hAnsi="宋体" w:eastAsia="宋体" w:cs="宋体"/>
          <w:color w:val="000000" w:themeColor="text1"/>
          <w:sz w:val="24"/>
          <w:szCs w:val="28"/>
          <w:lang w:val="en-US" w:eastAsia="zh-CN"/>
          <w14:textFill>
            <w14:solidFill>
              <w14:schemeClr w14:val="tx1"/>
            </w14:solidFill>
          </w14:textFill>
        </w:rPr>
        <w:t>0</w:t>
      </w:r>
      <w:r>
        <w:rPr>
          <w:rFonts w:hint="eastAsia" w:ascii="宋体" w:hAnsi="宋体" w:eastAsia="宋体" w:cs="宋体"/>
          <w:color w:val="000000" w:themeColor="text1"/>
          <w:sz w:val="24"/>
          <w:szCs w:val="28"/>
          <w14:textFill>
            <w14:solidFill>
              <w14:schemeClr w14:val="tx1"/>
            </w14:solidFill>
          </w14:textFill>
        </w:rPr>
        <w:t>0万元/年（仅作为评标权值使用，不作为结算依据）</w:t>
      </w:r>
    </w:p>
    <w:p w14:paraId="6C6AD63D">
      <w:pPr>
        <w:spacing w:line="360" w:lineRule="auto"/>
        <w:ind w:left="420" w:leftChars="200"/>
        <w:jc w:val="left"/>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最高限价：1</w:t>
      </w:r>
      <w:r>
        <w:rPr>
          <w:rFonts w:hint="eastAsia" w:ascii="宋体" w:hAnsi="宋体" w:eastAsia="宋体" w:cs="宋体"/>
          <w:color w:val="000000" w:themeColor="text1"/>
          <w:sz w:val="24"/>
          <w:szCs w:val="28"/>
          <w:lang w:val="en-US" w:eastAsia="zh-CN"/>
          <w14:textFill>
            <w14:solidFill>
              <w14:schemeClr w14:val="tx1"/>
            </w14:solidFill>
          </w14:textFill>
        </w:rPr>
        <w:t>0</w:t>
      </w:r>
      <w:r>
        <w:rPr>
          <w:rFonts w:hint="eastAsia" w:ascii="宋体" w:hAnsi="宋体" w:eastAsia="宋体" w:cs="宋体"/>
          <w:color w:val="000000" w:themeColor="text1"/>
          <w:sz w:val="24"/>
          <w:szCs w:val="28"/>
          <w14:textFill>
            <w14:solidFill>
              <w14:schemeClr w14:val="tx1"/>
            </w14:solidFill>
          </w14:textFill>
        </w:rPr>
        <w:t>0万元/年（仅作为评标权值使用，不作为结算依据）</w:t>
      </w:r>
    </w:p>
    <w:p w14:paraId="5517D010">
      <w:pPr>
        <w:spacing w:line="360" w:lineRule="auto"/>
        <w:ind w:left="420" w:leftChars="200"/>
        <w:jc w:val="left"/>
        <w:rPr>
          <w:rFonts w:hint="eastAsia" w:ascii="宋体" w:hAnsi="宋体" w:eastAsia="宋体" w:cs="宋体"/>
          <w:sz w:val="24"/>
          <w:szCs w:val="28"/>
        </w:rPr>
      </w:pPr>
      <w:r>
        <w:rPr>
          <w:rFonts w:hint="eastAsia" w:ascii="宋体" w:hAnsi="宋体" w:eastAsia="宋体" w:cs="宋体"/>
          <w:sz w:val="24"/>
          <w:szCs w:val="28"/>
        </w:rPr>
        <w:t>采购需求：具体要求详见招标需求</w:t>
      </w:r>
    </w:p>
    <w:p w14:paraId="03F6B84F">
      <w:pPr>
        <w:spacing w:line="360" w:lineRule="auto"/>
        <w:ind w:firstLine="480"/>
        <w:rPr>
          <w:rFonts w:hint="eastAsia" w:ascii="宋体" w:hAnsi="宋体" w:eastAsia="宋体" w:cs="宋体"/>
          <w:b/>
          <w:sz w:val="24"/>
        </w:rPr>
      </w:pPr>
      <w:r>
        <w:rPr>
          <w:rFonts w:hint="eastAsia" w:ascii="宋体" w:hAnsi="宋体" w:eastAsia="宋体" w:cs="宋体"/>
          <w:b/>
          <w:sz w:val="24"/>
        </w:rPr>
        <w:t>本项目是否接受联合体投标：（√）否</w:t>
      </w:r>
    </w:p>
    <w:p w14:paraId="49C22FAA">
      <w:pPr>
        <w:pStyle w:val="4"/>
        <w:numPr>
          <w:ilvl w:val="0"/>
          <w:numId w:val="0"/>
        </w:numPr>
        <w:rPr>
          <w:rFonts w:hint="eastAsia" w:ascii="宋体" w:hAnsi="宋体" w:eastAsia="宋体" w:cs="宋体"/>
          <w:sz w:val="24"/>
          <w:szCs w:val="28"/>
        </w:rPr>
      </w:pPr>
      <w:r>
        <w:rPr>
          <w:rFonts w:hint="eastAsia" w:ascii="宋体" w:hAnsi="宋体" w:eastAsia="宋体" w:cs="宋体"/>
          <w:sz w:val="24"/>
          <w:szCs w:val="28"/>
        </w:rPr>
        <w:t>二、</w:t>
      </w:r>
      <w:bookmarkStart w:id="16" w:name="_Toc35393791"/>
      <w:bookmarkStart w:id="17" w:name="_Toc28359080"/>
      <w:bookmarkStart w:id="18" w:name="_Toc28359003"/>
      <w:bookmarkStart w:id="19" w:name="_Toc35393622"/>
      <w:r>
        <w:rPr>
          <w:rFonts w:hint="eastAsia" w:ascii="宋体" w:hAnsi="宋体" w:eastAsia="宋体" w:cs="宋体"/>
          <w:sz w:val="24"/>
          <w:szCs w:val="28"/>
        </w:rPr>
        <w:t>申请人的资格要求：</w:t>
      </w:r>
      <w:bookmarkEnd w:id="16"/>
      <w:bookmarkEnd w:id="17"/>
      <w:bookmarkEnd w:id="18"/>
      <w:bookmarkEnd w:id="19"/>
    </w:p>
    <w:p w14:paraId="081E3EAA">
      <w:pPr>
        <w:spacing w:line="360" w:lineRule="auto"/>
        <w:ind w:firstLine="480"/>
        <w:rPr>
          <w:rFonts w:hint="eastAsia" w:ascii="宋体" w:hAnsi="宋体" w:eastAsia="宋体" w:cs="宋体"/>
          <w:snapToGrid w:val="0"/>
          <w:kern w:val="28"/>
          <w:sz w:val="24"/>
          <w:szCs w:val="20"/>
        </w:rPr>
      </w:pPr>
      <w:bookmarkStart w:id="20" w:name="_Toc28359081"/>
      <w:bookmarkStart w:id="21" w:name="_Toc35393623"/>
      <w:bookmarkStart w:id="22" w:name="_Toc35393792"/>
      <w:bookmarkStart w:id="23" w:name="_Toc28359004"/>
      <w:r>
        <w:rPr>
          <w:rFonts w:hint="eastAsia" w:ascii="宋体" w:hAnsi="宋体" w:eastAsia="宋体" w:cs="宋体"/>
          <w:sz w:val="24"/>
        </w:rPr>
        <w:t>1.</w:t>
      </w:r>
      <w:r>
        <w:rPr>
          <w:rFonts w:hint="eastAsia" w:ascii="宋体" w:hAnsi="宋体" w:eastAsia="宋体" w:cs="宋体"/>
          <w:snapToGrid w:val="0"/>
          <w:kern w:val="28"/>
          <w:sz w:val="24"/>
          <w:szCs w:val="20"/>
        </w:rPr>
        <w:t>满足《中华人民共和国政府采购法》第二十二条规定；未被“信用中国”（www.creditchina.gov.cn)、中国政府采购网（www.ccgp.gov.cn）列入失信被执行人、重大税收违法案件当事人名单、政府采购严重违法失信行为记录名单；</w:t>
      </w:r>
    </w:p>
    <w:p w14:paraId="79355B35">
      <w:pPr>
        <w:spacing w:line="360" w:lineRule="auto"/>
        <w:ind w:firstLine="480"/>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2.落实政府采购政策需满足的资格要求：无</w:t>
      </w:r>
    </w:p>
    <w:p w14:paraId="048B44E0">
      <w:pPr>
        <w:snapToGrid w:val="0"/>
        <w:spacing w:line="360" w:lineRule="auto"/>
        <w:ind w:firstLine="480" w:firstLineChars="200"/>
        <w:rPr>
          <w:rFonts w:hint="eastAsia" w:ascii="宋体" w:hAnsi="宋体" w:eastAsia="宋体" w:cs="宋体"/>
        </w:rPr>
      </w:pPr>
      <w:r>
        <w:rPr>
          <w:rFonts w:hint="eastAsia" w:ascii="宋体" w:hAnsi="宋体" w:eastAsia="宋体" w:cs="宋体"/>
          <w:snapToGrid w:val="0"/>
          <w:kern w:val="28"/>
          <w:sz w:val="24"/>
          <w:szCs w:val="20"/>
        </w:rPr>
        <w:t>3.本项目的特定资格要求：可承接普通货物装卸、运输（或代办运输）服务。</w:t>
      </w:r>
    </w:p>
    <w:p w14:paraId="0AB9FF2F">
      <w:pPr>
        <w:pStyle w:val="4"/>
        <w:numPr>
          <w:ilvl w:val="0"/>
          <w:numId w:val="0"/>
        </w:numPr>
        <w:rPr>
          <w:rFonts w:hint="eastAsia" w:ascii="宋体" w:hAnsi="宋体" w:eastAsia="宋体" w:cs="宋体"/>
          <w:sz w:val="24"/>
          <w:szCs w:val="28"/>
        </w:rPr>
      </w:pPr>
      <w:r>
        <w:rPr>
          <w:rFonts w:hint="eastAsia" w:ascii="宋体" w:hAnsi="宋体" w:eastAsia="宋体" w:cs="宋体"/>
          <w:sz w:val="24"/>
          <w:szCs w:val="28"/>
        </w:rPr>
        <w:t>三、获取招标文件</w:t>
      </w:r>
      <w:bookmarkEnd w:id="20"/>
      <w:bookmarkEnd w:id="21"/>
      <w:bookmarkEnd w:id="22"/>
      <w:bookmarkEnd w:id="23"/>
    </w:p>
    <w:p w14:paraId="13A426BB">
      <w:pPr>
        <w:pageBreakBefore w:val="0"/>
        <w:widowControl w:val="0"/>
        <w:kinsoku/>
        <w:wordWrap/>
        <w:overflowPunct/>
        <w:topLinePunct w:val="0"/>
        <w:autoSpaceDE/>
        <w:autoSpaceDN/>
        <w:bidi w:val="0"/>
        <w:spacing w:line="360" w:lineRule="auto"/>
        <w:ind w:left="0" w:leftChars="0" w:firstLine="482" w:firstLineChars="200"/>
        <w:textAlignment w:val="auto"/>
        <w:rPr>
          <w:rFonts w:hint="eastAsia" w:ascii="宋体" w:hAnsi="宋体" w:eastAsia="宋体" w:cs="宋体"/>
          <w:color w:val="auto"/>
          <w:sz w:val="24"/>
          <w:highlight w:val="none"/>
        </w:rPr>
      </w:pPr>
      <w:bookmarkStart w:id="24" w:name="_Toc28359082"/>
      <w:bookmarkStart w:id="25" w:name="_Toc28359005"/>
      <w:bookmarkStart w:id="26" w:name="_Toc35393624"/>
      <w:bookmarkStart w:id="27" w:name="_Toc35393793"/>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02</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476D302E">
      <w:pPr>
        <w:pageBreakBefore w:val="0"/>
        <w:widowControl w:val="0"/>
        <w:kinsoku/>
        <w:wordWrap/>
        <w:overflowPunct/>
        <w:topLinePunct w:val="0"/>
        <w:autoSpaceDE/>
        <w:autoSpaceDN/>
        <w:bidi w:val="0"/>
        <w:spacing w:line="360" w:lineRule="auto"/>
        <w:ind w:left="0" w:leftChars="0"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乐采云平台（</w:t>
      </w:r>
      <w:r>
        <w:rPr>
          <w:rFonts w:hint="eastAsia" w:ascii="宋体" w:hAnsi="宋体" w:eastAsia="宋体" w:cs="宋体"/>
          <w:color w:val="auto"/>
          <w:sz w:val="24"/>
          <w:highlight w:val="none"/>
          <w:lang w:eastAsia="zh-CN"/>
        </w:rPr>
        <w:t>https://www.lecaiyun.com/</w:t>
      </w:r>
      <w:r>
        <w:rPr>
          <w:rFonts w:hint="eastAsia" w:ascii="宋体" w:hAnsi="宋体" w:eastAsia="宋体" w:cs="宋体"/>
          <w:color w:val="auto"/>
          <w:sz w:val="24"/>
          <w:highlight w:val="none"/>
        </w:rPr>
        <w:t xml:space="preserve">） </w:t>
      </w:r>
    </w:p>
    <w:p w14:paraId="15F2F48B">
      <w:pPr>
        <w:pageBreakBefore w:val="0"/>
        <w:widowControl w:val="0"/>
        <w:kinsoku/>
        <w:wordWrap/>
        <w:overflowPunct/>
        <w:topLinePunct w:val="0"/>
        <w:autoSpaceDE/>
        <w:autoSpaceDN/>
        <w:bidi w:val="0"/>
        <w:spacing w:line="360" w:lineRule="auto"/>
        <w:ind w:left="0" w:leftChars="0"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供应商登录乐采云平台（</w:t>
      </w:r>
      <w:r>
        <w:rPr>
          <w:rFonts w:hint="eastAsia" w:ascii="宋体" w:hAnsi="宋体" w:eastAsia="宋体" w:cs="宋体"/>
          <w:color w:val="auto"/>
          <w:sz w:val="24"/>
          <w:highlight w:val="none"/>
          <w:lang w:eastAsia="zh-CN"/>
        </w:rPr>
        <w:t>https://www.lecaiyun.com/</w:t>
      </w:r>
      <w:r>
        <w:rPr>
          <w:rFonts w:hint="eastAsia" w:ascii="宋体" w:hAnsi="宋体" w:eastAsia="宋体" w:cs="宋体"/>
          <w:color w:val="auto"/>
          <w:sz w:val="24"/>
          <w:highlight w:val="none"/>
        </w:rPr>
        <w:t xml:space="preserve">） 在线申请获取招标文件（进入“项目采购”应用，在获取招标文件菜单中选择项目，申请获取招标文件）。 </w:t>
      </w:r>
    </w:p>
    <w:p w14:paraId="2D463E8F">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0</w:t>
      </w:r>
      <w:r>
        <w:rPr>
          <w:rFonts w:hint="eastAsia" w:ascii="宋体" w:hAnsi="宋体" w:eastAsia="宋体" w:cs="宋体"/>
          <w:color w:val="auto"/>
          <w:sz w:val="24"/>
        </w:rPr>
        <w:t xml:space="preserve"> </w:t>
      </w:r>
      <w:r>
        <w:rPr>
          <w:rFonts w:hint="eastAsia" w:ascii="宋体" w:hAnsi="宋体" w:eastAsia="宋体" w:cs="宋体"/>
          <w:color w:val="auto"/>
          <w:sz w:val="24"/>
        </w:rPr>
        <w:tab/>
      </w:r>
    </w:p>
    <w:p w14:paraId="6FC9A904">
      <w:pPr>
        <w:pStyle w:val="4"/>
        <w:numPr>
          <w:ilvl w:val="0"/>
          <w:numId w:val="0"/>
        </w:numPr>
        <w:rPr>
          <w:rFonts w:hint="eastAsia" w:ascii="宋体" w:hAnsi="宋体" w:eastAsia="宋体" w:cs="宋体"/>
          <w:color w:val="auto"/>
          <w:sz w:val="24"/>
          <w:szCs w:val="28"/>
        </w:rPr>
      </w:pPr>
      <w:r>
        <w:rPr>
          <w:rFonts w:hint="eastAsia" w:ascii="宋体" w:hAnsi="宋体" w:eastAsia="宋体" w:cs="宋体"/>
          <w:color w:val="auto"/>
          <w:sz w:val="24"/>
          <w:szCs w:val="28"/>
        </w:rPr>
        <w:t>四、提交投标文件</w:t>
      </w:r>
      <w:bookmarkEnd w:id="24"/>
      <w:bookmarkEnd w:id="25"/>
      <w:r>
        <w:rPr>
          <w:rFonts w:hint="eastAsia" w:ascii="宋体" w:hAnsi="宋体" w:eastAsia="宋体" w:cs="宋体"/>
          <w:color w:val="auto"/>
          <w:sz w:val="24"/>
          <w:szCs w:val="28"/>
        </w:rPr>
        <w:t>截止时间、开标时间和地点</w:t>
      </w:r>
      <w:bookmarkEnd w:id="26"/>
      <w:bookmarkEnd w:id="27"/>
    </w:p>
    <w:p w14:paraId="2534C532">
      <w:pPr>
        <w:pageBreakBefore w:val="0"/>
        <w:widowControl w:val="0"/>
        <w:kinsoku/>
        <w:wordWrap/>
        <w:overflowPunct/>
        <w:topLinePunct w:val="0"/>
        <w:autoSpaceDE/>
        <w:autoSpaceDN/>
        <w:bidi w:val="0"/>
        <w:spacing w:line="360" w:lineRule="auto"/>
        <w:ind w:left="0" w:leftChars="0"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02</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u w:val="single"/>
          <w:lang w:val="en-US" w:eastAsia="zh-CN"/>
        </w:rPr>
        <w:t>09</w:t>
      </w:r>
      <w:r>
        <w:rPr>
          <w:rFonts w:hint="eastAsia" w:ascii="宋体" w:hAnsi="宋体" w:eastAsia="宋体" w:cs="宋体"/>
          <w:color w:val="auto"/>
          <w:sz w:val="24"/>
          <w:highlight w:val="none"/>
          <w:u w:val="single"/>
        </w:rPr>
        <w:t>点</w:t>
      </w:r>
      <w:r>
        <w:rPr>
          <w:rFonts w:hint="eastAsia" w:ascii="宋体" w:hAnsi="宋体" w:eastAsia="宋体" w:cs="宋体"/>
          <w:color w:val="auto"/>
          <w:sz w:val="24"/>
          <w:highlight w:val="none"/>
          <w:u w:val="single"/>
          <w:lang w:val="en-US" w:eastAsia="zh-CN"/>
        </w:rPr>
        <w:t>00</w:t>
      </w:r>
      <w:r>
        <w:rPr>
          <w:rFonts w:hint="eastAsia" w:ascii="宋体" w:hAnsi="宋体" w:eastAsia="宋体" w:cs="宋体"/>
          <w:color w:val="auto"/>
          <w:sz w:val="24"/>
          <w:highlight w:val="none"/>
          <w:u w:val="single"/>
        </w:rPr>
        <w:t>分00秒</w:t>
      </w:r>
      <w:r>
        <w:rPr>
          <w:rFonts w:hint="eastAsia" w:ascii="宋体" w:hAnsi="宋体" w:eastAsia="宋体" w:cs="宋体"/>
          <w:color w:val="auto"/>
          <w:sz w:val="24"/>
          <w:highlight w:val="none"/>
        </w:rPr>
        <w:t>（北京时间）</w:t>
      </w:r>
    </w:p>
    <w:p w14:paraId="441BA405">
      <w:pPr>
        <w:pageBreakBefore w:val="0"/>
        <w:widowControl w:val="0"/>
        <w:kinsoku/>
        <w:wordWrap/>
        <w:overflowPunct/>
        <w:topLinePunct w:val="0"/>
        <w:autoSpaceDE/>
        <w:autoSpaceDN/>
        <w:bidi w:val="0"/>
        <w:spacing w:line="360" w:lineRule="auto"/>
        <w:ind w:left="0" w:leftChars="0"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02</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u w:val="single"/>
          <w:lang w:val="en-US" w:eastAsia="zh-CN"/>
        </w:rPr>
        <w:t>09</w:t>
      </w:r>
      <w:r>
        <w:rPr>
          <w:rFonts w:hint="eastAsia" w:ascii="宋体" w:hAnsi="宋体" w:eastAsia="宋体" w:cs="宋体"/>
          <w:color w:val="auto"/>
          <w:sz w:val="24"/>
          <w:highlight w:val="none"/>
          <w:u w:val="single"/>
        </w:rPr>
        <w:t>点</w:t>
      </w:r>
      <w:r>
        <w:rPr>
          <w:rFonts w:hint="eastAsia" w:ascii="宋体" w:hAnsi="宋体" w:eastAsia="宋体" w:cs="宋体"/>
          <w:color w:val="auto"/>
          <w:sz w:val="24"/>
          <w:highlight w:val="none"/>
          <w:u w:val="single"/>
          <w:lang w:val="en-US" w:eastAsia="zh-CN"/>
        </w:rPr>
        <w:t>00</w:t>
      </w:r>
      <w:r>
        <w:rPr>
          <w:rFonts w:hint="eastAsia" w:ascii="宋体" w:hAnsi="宋体" w:eastAsia="宋体" w:cs="宋体"/>
          <w:color w:val="auto"/>
          <w:sz w:val="24"/>
          <w:highlight w:val="none"/>
          <w:u w:val="single"/>
        </w:rPr>
        <w:t>分00秒</w:t>
      </w:r>
    </w:p>
    <w:p w14:paraId="3573A255">
      <w:pPr>
        <w:spacing w:line="360" w:lineRule="auto"/>
        <w:ind w:firstLine="482" w:firstLineChars="200"/>
        <w:rPr>
          <w:rFonts w:hint="eastAsia" w:ascii="宋体" w:hAnsi="宋体" w:eastAsia="宋体" w:cs="宋体"/>
          <w:sz w:val="24"/>
        </w:rPr>
      </w:pPr>
      <w:r>
        <w:rPr>
          <w:rFonts w:hint="eastAsia" w:ascii="宋体" w:hAnsi="宋体" w:eastAsia="宋体" w:cs="宋体"/>
          <w:b/>
          <w:sz w:val="24"/>
          <w:highlight w:val="none"/>
        </w:rPr>
        <w:t>开标地点：</w:t>
      </w:r>
      <w:r>
        <w:rPr>
          <w:rFonts w:hint="eastAsia" w:ascii="宋体" w:hAnsi="宋体" w:eastAsia="宋体" w:cs="宋体"/>
          <w:sz w:val="24"/>
          <w:highlight w:val="none"/>
        </w:rPr>
        <w:t>浙江华夏工程管理有限公司开标室（萧山区北干街道金城路560号心意广场3幢1802）</w:t>
      </w:r>
    </w:p>
    <w:p w14:paraId="7B67B7CA">
      <w:pPr>
        <w:pStyle w:val="4"/>
        <w:numPr>
          <w:ilvl w:val="0"/>
          <w:numId w:val="0"/>
        </w:numPr>
        <w:rPr>
          <w:rFonts w:hint="eastAsia" w:ascii="宋体" w:hAnsi="宋体" w:eastAsia="宋体" w:cs="宋体"/>
          <w:sz w:val="24"/>
          <w:szCs w:val="28"/>
        </w:rPr>
      </w:pPr>
      <w:bookmarkStart w:id="28" w:name="_Toc35393625"/>
      <w:bookmarkStart w:id="29" w:name="_Toc28359084"/>
      <w:bookmarkStart w:id="30" w:name="_Toc28359007"/>
      <w:bookmarkStart w:id="31" w:name="_Toc35393794"/>
      <w:r>
        <w:rPr>
          <w:rFonts w:hint="eastAsia" w:ascii="宋体" w:hAnsi="宋体" w:eastAsia="宋体" w:cs="宋体"/>
          <w:sz w:val="24"/>
          <w:szCs w:val="28"/>
        </w:rPr>
        <w:t>五、公告期限</w:t>
      </w:r>
      <w:bookmarkEnd w:id="28"/>
      <w:bookmarkEnd w:id="29"/>
      <w:bookmarkEnd w:id="30"/>
      <w:bookmarkEnd w:id="31"/>
    </w:p>
    <w:p w14:paraId="052A42CA">
      <w:pPr>
        <w:spacing w:line="360" w:lineRule="auto"/>
        <w:ind w:firstLine="480" w:firstLineChars="200"/>
        <w:jc w:val="left"/>
        <w:rPr>
          <w:rFonts w:hint="eastAsia" w:ascii="宋体" w:hAnsi="宋体" w:eastAsia="宋体" w:cs="宋体"/>
          <w:kern w:val="0"/>
          <w:sz w:val="24"/>
          <w:szCs w:val="28"/>
        </w:rPr>
      </w:pPr>
      <w:r>
        <w:rPr>
          <w:rFonts w:hint="eastAsia" w:ascii="宋体" w:hAnsi="宋体" w:eastAsia="宋体" w:cs="宋体"/>
          <w:kern w:val="0"/>
          <w:sz w:val="24"/>
          <w:szCs w:val="28"/>
        </w:rPr>
        <w:t>自本公告发布之日起5个工作日。</w:t>
      </w:r>
    </w:p>
    <w:p w14:paraId="0D94ED3C">
      <w:pPr>
        <w:pStyle w:val="4"/>
        <w:pageBreakBefore w:val="0"/>
        <w:widowControl w:val="0"/>
        <w:numPr>
          <w:ilvl w:val="0"/>
          <w:numId w:val="0"/>
        </w:numPr>
        <w:kinsoku/>
        <w:wordWrap/>
        <w:overflowPunct/>
        <w:topLinePunct w:val="0"/>
        <w:autoSpaceDE/>
        <w:autoSpaceDN/>
        <w:bidi w:val="0"/>
        <w:snapToGrid/>
        <w:spacing w:line="360" w:lineRule="auto"/>
        <w:textAlignment w:val="auto"/>
        <w:rPr>
          <w:rFonts w:hint="eastAsia" w:ascii="宋体" w:hAnsi="宋体" w:eastAsia="宋体" w:cs="宋体"/>
          <w:sz w:val="24"/>
          <w:szCs w:val="28"/>
        </w:rPr>
      </w:pPr>
      <w:bookmarkStart w:id="32" w:name="_Toc35393626"/>
      <w:bookmarkStart w:id="33" w:name="_Toc35393795"/>
      <w:r>
        <w:rPr>
          <w:rFonts w:hint="eastAsia" w:ascii="宋体" w:hAnsi="宋体" w:eastAsia="宋体" w:cs="宋体"/>
          <w:sz w:val="24"/>
          <w:szCs w:val="28"/>
        </w:rPr>
        <w:t>六、其他补充事宜</w:t>
      </w:r>
      <w:bookmarkEnd w:id="32"/>
      <w:bookmarkEnd w:id="33"/>
    </w:p>
    <w:p w14:paraId="1C53307B">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rPr>
      </w:pPr>
      <w:bookmarkStart w:id="34" w:name="_Toc28359008"/>
      <w:bookmarkStart w:id="35" w:name="_Toc35393627"/>
      <w:bookmarkStart w:id="36" w:name="_Toc28359085"/>
      <w:bookmarkStart w:id="37" w:name="_Toc35393796"/>
      <w:r>
        <w:rPr>
          <w:rFonts w:hint="eastAsia" w:ascii="宋体" w:hAnsi="宋体" w:eastAsia="宋体" w:cs="宋体"/>
          <w:sz w:val="24"/>
        </w:rPr>
        <w:t>1.供应商认为招标文件使自己的权益受到损害的，可以自获取招标文件之日起3个工作日内，以书面形式向采购人和采购代理机构提出质疑。</w:t>
      </w:r>
    </w:p>
    <w:p w14:paraId="418FE4D9">
      <w:pPr>
        <w:pageBreakBefore w:val="0"/>
        <w:widowControl w:val="0"/>
        <w:kinsoku/>
        <w:wordWrap/>
        <w:overflowPunct/>
        <w:topLinePunct w:val="0"/>
        <w:autoSpaceDE/>
        <w:autoSpaceDN/>
        <w:bidi w:val="0"/>
        <w:snapToGrid/>
        <w:spacing w:line="360" w:lineRule="auto"/>
        <w:ind w:firstLine="482" w:firstLineChars="200"/>
        <w:textAlignment w:val="auto"/>
        <w:rPr>
          <w:rFonts w:hint="eastAsia" w:ascii="宋体" w:hAnsi="宋体" w:eastAsia="宋体" w:cs="宋体"/>
          <w:b/>
          <w:bCs/>
          <w:sz w:val="24"/>
        </w:rPr>
      </w:pPr>
      <w:r>
        <w:rPr>
          <w:rFonts w:hint="eastAsia" w:ascii="宋体" w:hAnsi="宋体" w:eastAsia="宋体" w:cs="宋体"/>
          <w:b/>
          <w:bCs/>
          <w:sz w:val="24"/>
          <w:u w:val="single"/>
        </w:rPr>
        <w:t>2.本项目采用线下开评标。</w:t>
      </w:r>
    </w:p>
    <w:p w14:paraId="7BB3F5CE">
      <w:pPr>
        <w:pStyle w:val="4"/>
        <w:pageBreakBefore w:val="0"/>
        <w:widowControl w:val="0"/>
        <w:numPr>
          <w:ilvl w:val="0"/>
          <w:numId w:val="0"/>
        </w:numPr>
        <w:kinsoku/>
        <w:wordWrap/>
        <w:overflowPunct/>
        <w:topLinePunct w:val="0"/>
        <w:autoSpaceDE/>
        <w:autoSpaceDN/>
        <w:bidi w:val="0"/>
        <w:snapToGrid/>
        <w:spacing w:line="360" w:lineRule="auto"/>
        <w:textAlignment w:val="auto"/>
        <w:rPr>
          <w:rFonts w:hint="eastAsia" w:ascii="宋体" w:hAnsi="宋体" w:eastAsia="宋体" w:cs="宋体"/>
          <w:sz w:val="24"/>
          <w:szCs w:val="28"/>
        </w:rPr>
      </w:pPr>
      <w:r>
        <w:rPr>
          <w:rFonts w:hint="eastAsia" w:ascii="宋体" w:hAnsi="宋体" w:eastAsia="宋体" w:cs="宋体"/>
          <w:sz w:val="24"/>
          <w:szCs w:val="28"/>
        </w:rPr>
        <w:t>七、对本次招标提出询问，请按以下方式联系。</w:t>
      </w:r>
      <w:bookmarkEnd w:id="34"/>
      <w:bookmarkEnd w:id="35"/>
      <w:bookmarkEnd w:id="36"/>
      <w:bookmarkEnd w:id="37"/>
    </w:p>
    <w:p w14:paraId="2AE0A343">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采购人名称：杭州萧山粮食购销有限责任公司</w:t>
      </w:r>
    </w:p>
    <w:p w14:paraId="43E7EBDB">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联系人姓名：</w:t>
      </w:r>
      <w:r>
        <w:rPr>
          <w:rFonts w:hint="eastAsia" w:ascii="宋体" w:hAnsi="宋体" w:eastAsia="宋体" w:cs="宋体"/>
          <w:sz w:val="24"/>
          <w:highlight w:val="none"/>
          <w:lang w:val="en-US" w:eastAsia="zh-CN"/>
        </w:rPr>
        <w:t>卢</w:t>
      </w:r>
      <w:r>
        <w:rPr>
          <w:rFonts w:hint="eastAsia" w:ascii="宋体" w:hAnsi="宋体" w:eastAsia="宋体" w:cs="宋体"/>
          <w:sz w:val="24"/>
          <w:highlight w:val="none"/>
        </w:rPr>
        <w:t xml:space="preserve">先生             </w:t>
      </w:r>
    </w:p>
    <w:p w14:paraId="08141AFB">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rPr>
        <w:t>电话：0571-8268</w:t>
      </w:r>
      <w:r>
        <w:rPr>
          <w:rFonts w:hint="eastAsia" w:ascii="宋体" w:hAnsi="宋体" w:eastAsia="宋体" w:cs="宋体"/>
          <w:sz w:val="24"/>
          <w:highlight w:val="none"/>
          <w:lang w:val="en-US" w:eastAsia="zh-CN"/>
        </w:rPr>
        <w:t>0850</w:t>
      </w:r>
    </w:p>
    <w:p w14:paraId="789C0B53">
      <w:pPr>
        <w:pageBreakBefore w:val="0"/>
        <w:widowControl w:val="0"/>
        <w:kinsoku/>
        <w:wordWrap/>
        <w:overflowPunct/>
        <w:topLinePunct w:val="0"/>
        <w:autoSpaceDE/>
        <w:autoSpaceDN/>
        <w:bidi w:val="0"/>
        <w:snapToGrid/>
        <w:spacing w:line="360" w:lineRule="auto"/>
        <w:ind w:left="0" w:leftChars="0" w:firstLine="480" w:firstLineChars="200"/>
        <w:jc w:val="left"/>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代理机构名称：</w:t>
      </w:r>
      <w:r>
        <w:rPr>
          <w:rFonts w:hint="eastAsia" w:ascii="宋体" w:hAnsi="宋体" w:eastAsia="宋体" w:cs="宋体"/>
          <w:sz w:val="24"/>
          <w:highlight w:val="none"/>
          <w:lang w:eastAsia="zh-CN"/>
        </w:rPr>
        <w:t>浙江华夏工程管理有限公司</w:t>
      </w:r>
    </w:p>
    <w:p w14:paraId="17165C42">
      <w:pPr>
        <w:pageBreakBefore w:val="0"/>
        <w:widowControl w:val="0"/>
        <w:kinsoku/>
        <w:wordWrap/>
        <w:overflowPunct/>
        <w:topLinePunct w:val="0"/>
        <w:autoSpaceDE/>
        <w:autoSpaceDN/>
        <w:bidi w:val="0"/>
        <w:snapToGrid/>
        <w:spacing w:line="360" w:lineRule="auto"/>
        <w:ind w:left="0" w:leftChars="0"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代理机构项目联系人姓名：</w:t>
      </w:r>
      <w:r>
        <w:rPr>
          <w:rFonts w:hint="eastAsia" w:ascii="宋体" w:hAnsi="宋体" w:eastAsia="宋体" w:cs="宋体"/>
          <w:sz w:val="24"/>
          <w:highlight w:val="none"/>
          <w:lang w:val="en-US" w:eastAsia="zh-CN"/>
        </w:rPr>
        <w:t>傅翔</w:t>
      </w:r>
      <w:r>
        <w:rPr>
          <w:rFonts w:hint="eastAsia" w:ascii="宋体" w:hAnsi="宋体" w:eastAsia="宋体" w:cs="宋体"/>
          <w:sz w:val="24"/>
          <w:highlight w:val="none"/>
        </w:rPr>
        <w:t xml:space="preserve">  </w:t>
      </w:r>
    </w:p>
    <w:p w14:paraId="78CF27A8">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highlight w:val="yellow"/>
        </w:rPr>
      </w:pPr>
      <w:r>
        <w:rPr>
          <w:rFonts w:hint="eastAsia" w:ascii="宋体" w:hAnsi="宋体" w:eastAsia="宋体" w:cs="宋体"/>
          <w:sz w:val="24"/>
          <w:highlight w:val="none"/>
        </w:rPr>
        <w:t>电话：</w:t>
      </w:r>
      <w:r>
        <w:rPr>
          <w:rFonts w:hint="eastAsia" w:ascii="宋体" w:hAnsi="宋体" w:eastAsia="宋体" w:cs="宋体"/>
          <w:sz w:val="24"/>
          <w:highlight w:val="none"/>
          <w:lang w:val="en-US" w:eastAsia="zh-CN"/>
        </w:rPr>
        <w:t>13738174344</w:t>
      </w:r>
    </w:p>
    <w:p w14:paraId="272F3DE9">
      <w:pPr>
        <w:spacing w:line="360" w:lineRule="auto"/>
        <w:jc w:val="left"/>
        <w:rPr>
          <w:rFonts w:hint="eastAsia" w:ascii="宋体" w:hAnsi="宋体" w:eastAsia="宋体" w:cs="宋体"/>
          <w:sz w:val="24"/>
          <w:szCs w:val="28"/>
        </w:rPr>
      </w:pPr>
      <w:r>
        <w:rPr>
          <w:rFonts w:hint="eastAsia" w:ascii="宋体" w:hAnsi="宋体" w:eastAsia="宋体" w:cs="宋体"/>
          <w:color w:val="0000FF"/>
          <w:sz w:val="24"/>
          <w:szCs w:val="28"/>
        </w:rPr>
        <w:t> </w:t>
      </w:r>
    </w:p>
    <w:p w14:paraId="10768A5E">
      <w:pPr>
        <w:wordWrap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 xml:space="preserve">若对项目采购电子交易系统操作有疑问，可登录政采云（https://www.zcygov.cn/），点击右侧咨询小采，获取采小蜜智能服务管家帮助，或拨打政采云服务热线400-881-7190获取热线服务帮助。       </w:t>
      </w:r>
    </w:p>
    <w:p w14:paraId="796F7C41">
      <w:pPr>
        <w:pStyle w:val="58"/>
        <w:jc w:val="both"/>
        <w:rPr>
          <w:rFonts w:hint="eastAsia" w:ascii="宋体" w:hAnsi="宋体" w:eastAsia="宋体" w:cs="宋体"/>
          <w:lang w:val="en-US"/>
        </w:rPr>
      </w:pPr>
    </w:p>
    <w:p w14:paraId="5CA0C0C2">
      <w:pPr>
        <w:pStyle w:val="3"/>
        <w:rPr>
          <w:rFonts w:hint="eastAsia" w:ascii="宋体" w:hAnsi="宋体" w:eastAsia="宋体" w:cs="宋体"/>
        </w:rPr>
      </w:pPr>
      <w:r>
        <w:rPr>
          <w:rFonts w:hint="eastAsia" w:ascii="宋体" w:hAnsi="宋体" w:eastAsia="宋体" w:cs="宋体"/>
        </w:rPr>
        <w:br w:type="page"/>
      </w:r>
      <w:r>
        <w:rPr>
          <w:rFonts w:hint="eastAsia" w:ascii="宋体" w:hAnsi="宋体" w:eastAsia="宋体" w:cs="宋体"/>
        </w:rPr>
        <w:t>第二部分</w:t>
      </w:r>
      <w:bookmarkEnd w:id="8"/>
      <w:r>
        <w:rPr>
          <w:rFonts w:hint="eastAsia" w:ascii="宋体" w:hAnsi="宋体" w:eastAsia="宋体" w:cs="宋体"/>
        </w:rPr>
        <w:t xml:space="preserve"> 投标人须知</w:t>
      </w:r>
      <w:bookmarkEnd w:id="9"/>
    </w:p>
    <w:p w14:paraId="44756A01">
      <w:pPr>
        <w:snapToGrid w:val="0"/>
        <w:spacing w:line="360" w:lineRule="auto"/>
        <w:jc w:val="center"/>
        <w:rPr>
          <w:rFonts w:hint="eastAsia" w:ascii="宋体" w:hAnsi="宋体" w:eastAsia="宋体" w:cs="宋体"/>
          <w:b/>
          <w:color w:val="000000"/>
          <w:sz w:val="32"/>
          <w:szCs w:val="20"/>
        </w:rPr>
      </w:pPr>
      <w:r>
        <w:rPr>
          <w:rFonts w:hint="eastAsia" w:ascii="宋体" w:hAnsi="宋体" w:eastAsia="宋体" w:cs="宋体"/>
          <w:b/>
          <w:color w:val="000000"/>
          <w:sz w:val="32"/>
          <w:szCs w:val="20"/>
        </w:rPr>
        <w:t>前附表</w:t>
      </w:r>
    </w:p>
    <w:tbl>
      <w:tblPr>
        <w:tblStyle w:val="6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59"/>
        <w:gridCol w:w="6562"/>
      </w:tblGrid>
      <w:tr w14:paraId="7AC927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5EEA1532">
            <w:pPr>
              <w:snapToGrid w:val="0"/>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序号</w:t>
            </w:r>
          </w:p>
        </w:tc>
        <w:tc>
          <w:tcPr>
            <w:tcW w:w="1559" w:type="dxa"/>
            <w:tcBorders>
              <w:top w:val="single" w:color="000000" w:sz="8" w:space="0"/>
              <w:left w:val="single" w:color="auto" w:sz="4" w:space="0"/>
              <w:bottom w:val="single" w:color="000000" w:sz="8" w:space="0"/>
              <w:right w:val="single" w:color="000000" w:sz="8" w:space="0"/>
            </w:tcBorders>
            <w:vAlign w:val="center"/>
          </w:tcPr>
          <w:p w14:paraId="5031A015">
            <w:pPr>
              <w:snapToGrid w:val="0"/>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事项</w:t>
            </w:r>
          </w:p>
        </w:tc>
        <w:tc>
          <w:tcPr>
            <w:tcW w:w="6562" w:type="dxa"/>
            <w:tcBorders>
              <w:top w:val="single" w:color="000000" w:sz="8" w:space="0"/>
              <w:left w:val="single" w:color="000000" w:sz="2" w:space="0"/>
              <w:bottom w:val="single" w:color="000000" w:sz="8" w:space="0"/>
              <w:right w:val="single" w:color="000000" w:sz="8" w:space="0"/>
            </w:tcBorders>
            <w:vAlign w:val="center"/>
          </w:tcPr>
          <w:p w14:paraId="24CB8AC6">
            <w:pPr>
              <w:snapToGrid w:val="0"/>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本项目的特别规定</w:t>
            </w:r>
          </w:p>
        </w:tc>
      </w:tr>
      <w:tr w14:paraId="56E39A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428"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7D2106CF">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1</w:t>
            </w:r>
          </w:p>
        </w:tc>
        <w:tc>
          <w:tcPr>
            <w:tcW w:w="1559" w:type="dxa"/>
            <w:tcBorders>
              <w:top w:val="single" w:color="000000" w:sz="8" w:space="0"/>
              <w:left w:val="single" w:color="auto" w:sz="4" w:space="0"/>
              <w:bottom w:val="single" w:color="000000" w:sz="8" w:space="0"/>
              <w:right w:val="single" w:color="000000" w:sz="8" w:space="0"/>
            </w:tcBorders>
            <w:vAlign w:val="center"/>
          </w:tcPr>
          <w:p w14:paraId="2610DF98">
            <w:pPr>
              <w:snapToGrid w:val="0"/>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报价要求</w:t>
            </w:r>
          </w:p>
        </w:tc>
        <w:tc>
          <w:tcPr>
            <w:tcW w:w="6562" w:type="dxa"/>
            <w:tcBorders>
              <w:top w:val="single" w:color="000000" w:sz="8" w:space="0"/>
              <w:left w:val="single" w:color="000000" w:sz="2" w:space="0"/>
              <w:bottom w:val="single" w:color="000000" w:sz="8" w:space="0"/>
              <w:right w:val="single" w:color="000000" w:sz="8" w:space="0"/>
            </w:tcBorders>
            <w:vAlign w:val="center"/>
          </w:tcPr>
          <w:p w14:paraId="1EF8E95D">
            <w:pPr>
              <w:snapToGrid w:val="0"/>
              <w:spacing w:line="360" w:lineRule="auto"/>
              <w:jc w:val="left"/>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有关本项目开展所需的</w:t>
            </w:r>
            <w:r>
              <w:rPr>
                <w:rFonts w:hint="eastAsia" w:ascii="宋体" w:hAnsi="宋体" w:eastAsia="宋体" w:cs="宋体"/>
                <w:sz w:val="24"/>
              </w:rPr>
              <w:t>所有</w:t>
            </w:r>
            <w:r>
              <w:rPr>
                <w:rFonts w:hint="eastAsia" w:ascii="宋体" w:hAnsi="宋体" w:eastAsia="宋体" w:cs="宋体"/>
                <w:color w:val="000000"/>
                <w:kern w:val="0"/>
                <w:sz w:val="24"/>
                <w:lang w:val="zh-CN"/>
              </w:rPr>
              <w:t>费用均计入报价。</w:t>
            </w:r>
            <w:r>
              <w:rPr>
                <w:rFonts w:hint="eastAsia" w:ascii="宋体" w:hAnsi="宋体" w:eastAsia="宋体" w:cs="宋体"/>
                <w:color w:val="000000"/>
                <w:sz w:val="24"/>
              </w:rPr>
              <w:t>《投标（开标）一览表》是报价的唯一载体</w:t>
            </w:r>
            <w:r>
              <w:rPr>
                <w:rFonts w:hint="eastAsia" w:ascii="宋体" w:hAnsi="宋体" w:eastAsia="宋体" w:cs="宋体"/>
                <w:color w:val="000000"/>
                <w:kern w:val="0"/>
                <w:sz w:val="24"/>
                <w:lang w:val="zh-CN"/>
              </w:rPr>
              <w:t>。投标文件中价格全部采用人民币报价。招标文件未列明，而投标人认为必需的费用也需列入报价。</w:t>
            </w:r>
          </w:p>
          <w:p w14:paraId="62449B0E">
            <w:pPr>
              <w:snapToGrid w:val="0"/>
              <w:spacing w:line="360" w:lineRule="auto"/>
              <w:jc w:val="left"/>
              <w:rPr>
                <w:rFonts w:hint="eastAsia" w:ascii="宋体" w:hAnsi="宋体" w:eastAsia="宋体" w:cs="宋体"/>
                <w:b/>
                <w:color w:val="000000"/>
                <w:kern w:val="0"/>
                <w:sz w:val="24"/>
                <w:lang w:val="zh-CN"/>
              </w:rPr>
            </w:pPr>
            <w:r>
              <w:rPr>
                <w:rFonts w:hint="eastAsia" w:ascii="宋体" w:hAnsi="宋体" w:eastAsia="宋体" w:cs="宋体"/>
                <w:b/>
                <w:color w:val="000000"/>
                <w:kern w:val="0"/>
                <w:sz w:val="24"/>
                <w:lang w:val="zh-CN"/>
              </w:rPr>
              <w:t>投标报价出现下列情形的，投标无效：</w:t>
            </w:r>
          </w:p>
          <w:p w14:paraId="2CDCE4E6">
            <w:pPr>
              <w:snapToGrid w:val="0"/>
              <w:spacing w:line="360" w:lineRule="auto"/>
              <w:jc w:val="left"/>
              <w:rPr>
                <w:rFonts w:hint="eastAsia" w:ascii="宋体" w:hAnsi="宋体" w:eastAsia="宋体" w:cs="宋体"/>
                <w:b/>
                <w:color w:val="000000"/>
                <w:kern w:val="0"/>
                <w:sz w:val="24"/>
                <w:lang w:val="zh-CN"/>
              </w:rPr>
            </w:pPr>
            <w:r>
              <w:rPr>
                <w:rFonts w:hint="eastAsia" w:ascii="宋体" w:hAnsi="宋体" w:eastAsia="宋体" w:cs="宋体"/>
                <w:b/>
                <w:color w:val="000000"/>
                <w:sz w:val="24"/>
              </w:rPr>
              <w:t>▲</w:t>
            </w:r>
            <w:r>
              <w:rPr>
                <w:rFonts w:hint="eastAsia" w:ascii="宋体" w:hAnsi="宋体" w:eastAsia="宋体" w:cs="宋体"/>
                <w:b/>
                <w:color w:val="000000"/>
                <w:kern w:val="0"/>
                <w:sz w:val="24"/>
                <w:lang w:val="zh-CN"/>
              </w:rPr>
              <w:t>投标文件出现不是唯一的、有选择性投标报价的；</w:t>
            </w:r>
          </w:p>
          <w:p w14:paraId="3F114295">
            <w:pPr>
              <w:snapToGrid w:val="0"/>
              <w:spacing w:line="360" w:lineRule="auto"/>
              <w:jc w:val="left"/>
              <w:rPr>
                <w:rFonts w:hint="eastAsia" w:ascii="宋体" w:hAnsi="宋体" w:eastAsia="宋体" w:cs="宋体"/>
                <w:color w:val="000000"/>
                <w:kern w:val="0"/>
                <w:sz w:val="24"/>
                <w:lang w:val="zh-CN"/>
              </w:rPr>
            </w:pPr>
            <w:r>
              <w:rPr>
                <w:rFonts w:hint="eastAsia" w:ascii="宋体" w:hAnsi="宋体" w:eastAsia="宋体" w:cs="宋体"/>
                <w:b/>
                <w:color w:val="000000"/>
                <w:sz w:val="24"/>
              </w:rPr>
              <w:t>▲投标报价高于本项目采购预算或者最高限价的;</w:t>
            </w:r>
          </w:p>
          <w:p w14:paraId="20AF6FBC">
            <w:pPr>
              <w:spacing w:line="360" w:lineRule="auto"/>
              <w:rPr>
                <w:rFonts w:hint="eastAsia" w:ascii="宋体" w:hAnsi="宋体" w:eastAsia="宋体" w:cs="宋体"/>
                <w:b/>
                <w:color w:val="000000"/>
                <w:sz w:val="24"/>
              </w:rPr>
            </w:pPr>
            <w:r>
              <w:rPr>
                <w:rFonts w:hint="eastAsia" w:ascii="宋体" w:hAnsi="宋体" w:eastAsia="宋体" w:cs="宋体"/>
                <w:b/>
                <w:color w:val="000000"/>
                <w:sz w:val="24"/>
              </w:rPr>
              <w:t>▲</w:t>
            </w:r>
            <w:r>
              <w:rPr>
                <w:rFonts w:hint="eastAsia" w:ascii="宋体" w:hAnsi="宋体" w:eastAsia="宋体" w:cs="宋体"/>
                <w:b/>
                <w:color w:val="000000"/>
                <w:kern w:val="0"/>
                <w:sz w:val="24"/>
              </w:rPr>
              <w:t>报价明显低于其他通过符合性审查投标人的报价，有可能影响产品质量或者不能诚信履约的，未能按要求提供书面说明或者提交相关证明材料，不能证明其报价合理性的</w:t>
            </w:r>
            <w:r>
              <w:rPr>
                <w:rFonts w:hint="eastAsia" w:ascii="宋体" w:hAnsi="宋体" w:eastAsia="宋体" w:cs="宋体"/>
                <w:b/>
                <w:color w:val="000000"/>
                <w:sz w:val="24"/>
                <w:szCs w:val="21"/>
              </w:rPr>
              <w:t>;</w:t>
            </w:r>
          </w:p>
          <w:p w14:paraId="5D0226D4">
            <w:pPr>
              <w:spacing w:line="360" w:lineRule="auto"/>
              <w:rPr>
                <w:rFonts w:hint="eastAsia" w:ascii="宋体" w:hAnsi="宋体" w:eastAsia="宋体" w:cs="宋体"/>
                <w:color w:val="000000"/>
                <w:sz w:val="24"/>
                <w:szCs w:val="21"/>
              </w:rPr>
            </w:pPr>
            <w:r>
              <w:rPr>
                <w:rFonts w:hint="eastAsia" w:ascii="宋体" w:hAnsi="宋体" w:eastAsia="宋体" w:cs="宋体"/>
                <w:b/>
                <w:color w:val="000000"/>
                <w:sz w:val="24"/>
              </w:rPr>
              <w:t>▲《投标（开标）一览表》填写不完整或字迹不能辨认或有漏项的；</w:t>
            </w:r>
          </w:p>
          <w:p w14:paraId="3027105A">
            <w:pPr>
              <w:spacing w:line="360" w:lineRule="auto"/>
              <w:rPr>
                <w:rFonts w:hint="eastAsia" w:ascii="宋体" w:hAnsi="宋体" w:eastAsia="宋体" w:cs="宋体"/>
                <w:b/>
                <w:color w:val="000000"/>
                <w:sz w:val="24"/>
              </w:rPr>
            </w:pPr>
            <w:r>
              <w:rPr>
                <w:rFonts w:hint="eastAsia" w:ascii="宋体" w:hAnsi="宋体" w:eastAsia="宋体" w:cs="宋体"/>
                <w:b/>
                <w:color w:val="000000"/>
                <w:kern w:val="0"/>
                <w:sz w:val="24"/>
              </w:rPr>
              <w:t>▲投标人对根据修正原则修正后的报价不确认的</w:t>
            </w:r>
            <w:r>
              <w:rPr>
                <w:rFonts w:hint="eastAsia" w:ascii="宋体" w:hAnsi="宋体" w:eastAsia="宋体" w:cs="宋体"/>
                <w:b/>
                <w:color w:val="000000"/>
                <w:sz w:val="24"/>
              </w:rPr>
              <w:t>。</w:t>
            </w:r>
          </w:p>
          <w:p w14:paraId="7DD5A909">
            <w:pPr>
              <w:spacing w:line="360" w:lineRule="auto"/>
              <w:rPr>
                <w:rFonts w:hint="eastAsia" w:ascii="宋体" w:hAnsi="宋体" w:eastAsia="宋体" w:cs="宋体"/>
                <w:color w:val="000000"/>
                <w:sz w:val="24"/>
              </w:rPr>
            </w:pPr>
            <w:r>
              <w:rPr>
                <w:rFonts w:hint="eastAsia" w:ascii="宋体" w:hAnsi="宋体" w:eastAsia="宋体" w:cs="宋体"/>
                <w:b/>
                <w:color w:val="000000"/>
                <w:kern w:val="0"/>
                <w:sz w:val="24"/>
              </w:rPr>
              <w:t>▲资格文件、商务技术文件与报价文件未分开制作</w:t>
            </w:r>
            <w:r>
              <w:rPr>
                <w:rFonts w:hint="eastAsia" w:ascii="宋体" w:hAnsi="宋体" w:eastAsia="宋体" w:cs="宋体"/>
                <w:b/>
                <w:color w:val="000000"/>
                <w:sz w:val="24"/>
              </w:rPr>
              <w:t>。</w:t>
            </w:r>
          </w:p>
        </w:tc>
      </w:tr>
      <w:tr w14:paraId="6200CB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5927227F">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2</w:t>
            </w:r>
          </w:p>
        </w:tc>
        <w:tc>
          <w:tcPr>
            <w:tcW w:w="1559" w:type="dxa"/>
            <w:tcBorders>
              <w:top w:val="single" w:color="000000" w:sz="8" w:space="0"/>
              <w:left w:val="single" w:color="auto" w:sz="4" w:space="0"/>
              <w:bottom w:val="single" w:color="000000" w:sz="8" w:space="0"/>
              <w:right w:val="single" w:color="000000" w:sz="8" w:space="0"/>
            </w:tcBorders>
            <w:vAlign w:val="center"/>
          </w:tcPr>
          <w:p w14:paraId="4D91F231">
            <w:pPr>
              <w:spacing w:line="360" w:lineRule="auto"/>
              <w:rPr>
                <w:rFonts w:hint="eastAsia" w:ascii="宋体" w:hAnsi="宋体" w:eastAsia="宋体" w:cs="宋体"/>
                <w:b/>
                <w:color w:val="000000"/>
                <w:sz w:val="24"/>
              </w:rPr>
            </w:pPr>
            <w:r>
              <w:rPr>
                <w:rFonts w:hint="eastAsia" w:ascii="宋体" w:hAnsi="宋体" w:eastAsia="宋体" w:cs="宋体"/>
                <w:b/>
                <w:sz w:val="24"/>
              </w:rPr>
              <w:t>分包或转包</w:t>
            </w:r>
          </w:p>
        </w:tc>
        <w:tc>
          <w:tcPr>
            <w:tcW w:w="6562" w:type="dxa"/>
            <w:tcBorders>
              <w:top w:val="single" w:color="000000" w:sz="8" w:space="0"/>
              <w:left w:val="single" w:color="000000" w:sz="2" w:space="0"/>
              <w:bottom w:val="single" w:color="000000" w:sz="8" w:space="0"/>
              <w:right w:val="single" w:color="000000" w:sz="8" w:space="0"/>
            </w:tcBorders>
            <w:vAlign w:val="center"/>
          </w:tcPr>
          <w:p w14:paraId="2252CBE9">
            <w:pPr>
              <w:snapToGrid w:val="0"/>
              <w:spacing w:line="360" w:lineRule="auto"/>
              <w:rPr>
                <w:rFonts w:hint="eastAsia" w:ascii="宋体" w:hAnsi="宋体" w:eastAsia="宋体" w:cs="宋体"/>
                <w:color w:val="000000"/>
                <w:sz w:val="24"/>
              </w:rPr>
            </w:pPr>
            <w:r>
              <w:rPr>
                <w:rFonts w:hint="eastAsia" w:ascii="宋体" w:hAnsi="宋体" w:eastAsia="宋体" w:cs="宋体"/>
                <w:b/>
                <w:sz w:val="24"/>
              </w:rPr>
              <w:t>（√）</w:t>
            </w:r>
            <w:r>
              <w:rPr>
                <w:rFonts w:hint="eastAsia" w:ascii="宋体" w:hAnsi="宋体" w:eastAsia="宋体" w:cs="宋体"/>
                <w:kern w:val="0"/>
                <w:sz w:val="24"/>
              </w:rPr>
              <w:t>B</w:t>
            </w:r>
            <w:r>
              <w:rPr>
                <w:rFonts w:hint="eastAsia" w:ascii="宋体" w:hAnsi="宋体" w:eastAsia="宋体" w:cs="宋体"/>
                <w:sz w:val="24"/>
              </w:rPr>
              <w:t>不同意分包。</w:t>
            </w:r>
          </w:p>
        </w:tc>
      </w:tr>
      <w:tr w14:paraId="6DD7E8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82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FDCC54B">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3</w:t>
            </w:r>
          </w:p>
        </w:tc>
        <w:tc>
          <w:tcPr>
            <w:tcW w:w="1559" w:type="dxa"/>
            <w:tcBorders>
              <w:top w:val="single" w:color="000000" w:sz="8" w:space="0"/>
              <w:left w:val="single" w:color="auto" w:sz="4" w:space="0"/>
              <w:bottom w:val="single" w:color="000000" w:sz="8" w:space="0"/>
              <w:right w:val="single" w:color="000000" w:sz="8" w:space="0"/>
            </w:tcBorders>
            <w:vAlign w:val="center"/>
          </w:tcPr>
          <w:p w14:paraId="241CF164">
            <w:pPr>
              <w:snapToGrid w:val="0"/>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投标人应当提供的资格、资信证明等文件</w:t>
            </w:r>
          </w:p>
        </w:tc>
        <w:tc>
          <w:tcPr>
            <w:tcW w:w="6562" w:type="dxa"/>
            <w:tcBorders>
              <w:top w:val="single" w:color="000000" w:sz="8" w:space="0"/>
              <w:left w:val="single" w:color="000000" w:sz="2" w:space="0"/>
              <w:bottom w:val="single" w:color="000000" w:sz="8" w:space="0"/>
              <w:right w:val="single" w:color="000000" w:sz="8" w:space="0"/>
            </w:tcBorders>
            <w:vAlign w:val="center"/>
          </w:tcPr>
          <w:p w14:paraId="2A9AD82C">
            <w:pPr>
              <w:numPr>
                <w:ilvl w:val="0"/>
                <w:numId w:val="7"/>
              </w:numPr>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资格证明文件：</w:t>
            </w:r>
            <w:r>
              <w:rPr>
                <w:rFonts w:hint="eastAsia" w:ascii="宋体" w:hAnsi="宋体" w:eastAsia="宋体" w:cs="宋体"/>
                <w:kern w:val="0"/>
                <w:sz w:val="24"/>
              </w:rPr>
              <w:t>见招标文件第二部分11.1。</w:t>
            </w:r>
          </w:p>
          <w:p w14:paraId="24DF6B48">
            <w:pPr>
              <w:numPr>
                <w:ilvl w:val="0"/>
                <w:numId w:val="7"/>
              </w:numPr>
              <w:spacing w:line="360" w:lineRule="auto"/>
              <w:rPr>
                <w:rFonts w:hint="eastAsia" w:ascii="宋体" w:hAnsi="宋体" w:eastAsia="宋体" w:cs="宋体"/>
                <w:color w:val="0000FF"/>
                <w:sz w:val="24"/>
              </w:rPr>
            </w:pPr>
            <w:r>
              <w:rPr>
                <w:rFonts w:hint="eastAsia" w:ascii="宋体" w:hAnsi="宋体" w:eastAsia="宋体" w:cs="宋体"/>
                <w:color w:val="000000"/>
                <w:sz w:val="24"/>
              </w:rPr>
              <w:t>资信证明文件：</w:t>
            </w:r>
            <w:r>
              <w:rPr>
                <w:rFonts w:hint="eastAsia" w:ascii="宋体" w:hAnsi="宋体" w:eastAsia="宋体" w:cs="宋体"/>
                <w:sz w:val="24"/>
              </w:rPr>
              <w:t>根据招标文件第四部分评标标准提供。</w:t>
            </w:r>
          </w:p>
          <w:p w14:paraId="65C45C13">
            <w:pPr>
              <w:spacing w:line="360" w:lineRule="auto"/>
              <w:rPr>
                <w:rFonts w:hint="eastAsia" w:ascii="宋体" w:hAnsi="宋体" w:eastAsia="宋体" w:cs="宋体"/>
                <w:color w:val="000000"/>
                <w:kern w:val="0"/>
                <w:sz w:val="24"/>
              </w:rPr>
            </w:pPr>
            <w:r>
              <w:rPr>
                <w:rFonts w:hint="eastAsia" w:ascii="宋体" w:hAnsi="宋体" w:eastAsia="宋体" w:cs="宋体"/>
                <w:color w:val="000000"/>
                <w:sz w:val="24"/>
              </w:rPr>
              <w:t>▲</w:t>
            </w:r>
            <w:r>
              <w:rPr>
                <w:rFonts w:hint="eastAsia" w:ascii="宋体" w:hAnsi="宋体" w:eastAsia="宋体" w:cs="宋体"/>
                <w:b/>
                <w:color w:val="000000"/>
                <w:sz w:val="24"/>
              </w:rPr>
              <w:t>投标人未提供（1）的有效的资格证明文件的，视为投标人不具备招标文件中规定的资格要求，投标无效。</w:t>
            </w:r>
          </w:p>
        </w:tc>
      </w:tr>
      <w:tr w14:paraId="6BADBD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E223574">
            <w:pPr>
              <w:snapToGrid w:val="0"/>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4</w:t>
            </w:r>
          </w:p>
        </w:tc>
        <w:tc>
          <w:tcPr>
            <w:tcW w:w="1559" w:type="dxa"/>
            <w:tcBorders>
              <w:top w:val="single" w:color="auto" w:sz="4" w:space="0"/>
              <w:left w:val="single" w:color="auto" w:sz="4" w:space="0"/>
              <w:bottom w:val="single" w:color="000000" w:sz="8" w:space="0"/>
              <w:right w:val="single" w:color="000000" w:sz="8" w:space="0"/>
            </w:tcBorders>
            <w:vAlign w:val="center"/>
          </w:tcPr>
          <w:p w14:paraId="6C31E8A3">
            <w:pPr>
              <w:spacing w:line="360" w:lineRule="auto"/>
              <w:rPr>
                <w:rFonts w:hint="eastAsia" w:ascii="宋体" w:hAnsi="宋体" w:eastAsia="宋体" w:cs="宋体"/>
                <w:b/>
                <w:color w:val="000000"/>
                <w:sz w:val="24"/>
              </w:rPr>
            </w:pPr>
            <w:r>
              <w:rPr>
                <w:rFonts w:hint="eastAsia" w:ascii="宋体" w:hAnsi="宋体" w:eastAsia="宋体" w:cs="宋体"/>
                <w:b/>
                <w:sz w:val="24"/>
              </w:rPr>
              <w:t>开标前答疑会或现场考察</w:t>
            </w:r>
          </w:p>
        </w:tc>
        <w:tc>
          <w:tcPr>
            <w:tcW w:w="6562" w:type="dxa"/>
            <w:tcBorders>
              <w:top w:val="single" w:color="auto" w:sz="4" w:space="0"/>
              <w:left w:val="single" w:color="000000" w:sz="2" w:space="0"/>
              <w:bottom w:val="single" w:color="000000" w:sz="8" w:space="0"/>
              <w:right w:val="single" w:color="000000" w:sz="8" w:space="0"/>
            </w:tcBorders>
            <w:vAlign w:val="center"/>
          </w:tcPr>
          <w:p w14:paraId="0E0A4D4D">
            <w:pPr>
              <w:spacing w:line="360" w:lineRule="auto"/>
              <w:rPr>
                <w:rFonts w:hint="eastAsia" w:ascii="宋体" w:hAnsi="宋体" w:eastAsia="宋体" w:cs="宋体"/>
                <w:sz w:val="24"/>
              </w:rPr>
            </w:pPr>
            <w:r>
              <w:rPr>
                <w:rFonts w:hint="eastAsia" w:ascii="宋体" w:hAnsi="宋体" w:eastAsia="宋体" w:cs="宋体"/>
                <w:b/>
                <w:sz w:val="24"/>
              </w:rPr>
              <w:t>（√）</w:t>
            </w:r>
            <w:r>
              <w:rPr>
                <w:rFonts w:hint="eastAsia" w:ascii="宋体" w:hAnsi="宋体" w:eastAsia="宋体" w:cs="宋体"/>
                <w:kern w:val="0"/>
                <w:sz w:val="24"/>
              </w:rPr>
              <w:t>A</w:t>
            </w:r>
            <w:r>
              <w:rPr>
                <w:rFonts w:hint="eastAsia" w:ascii="宋体" w:hAnsi="宋体" w:eastAsia="宋体" w:cs="宋体"/>
                <w:sz w:val="24"/>
              </w:rPr>
              <w:t>不组织。</w:t>
            </w:r>
          </w:p>
        </w:tc>
      </w:tr>
      <w:tr w14:paraId="4DC4B3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6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F56B2DC">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5</w:t>
            </w:r>
          </w:p>
        </w:tc>
        <w:tc>
          <w:tcPr>
            <w:tcW w:w="1559" w:type="dxa"/>
            <w:tcBorders>
              <w:top w:val="single" w:color="000000" w:sz="8" w:space="0"/>
              <w:left w:val="single" w:color="auto" w:sz="4" w:space="0"/>
              <w:bottom w:val="single" w:color="000000" w:sz="8" w:space="0"/>
              <w:right w:val="single" w:color="000000" w:sz="8" w:space="0"/>
            </w:tcBorders>
            <w:vAlign w:val="center"/>
          </w:tcPr>
          <w:p w14:paraId="6F885FEC">
            <w:pPr>
              <w:spacing w:line="360" w:lineRule="auto"/>
              <w:jc w:val="center"/>
              <w:rPr>
                <w:rFonts w:hint="eastAsia" w:ascii="宋体" w:hAnsi="宋体" w:eastAsia="宋体" w:cs="宋体"/>
                <w:b/>
                <w:sz w:val="24"/>
              </w:rPr>
            </w:pPr>
            <w:r>
              <w:rPr>
                <w:rFonts w:hint="eastAsia" w:ascii="宋体" w:hAnsi="宋体" w:eastAsia="宋体" w:cs="宋体"/>
                <w:b/>
                <w:sz w:val="24"/>
              </w:rPr>
              <w:t>样品提供</w:t>
            </w:r>
          </w:p>
        </w:tc>
        <w:tc>
          <w:tcPr>
            <w:tcW w:w="6562" w:type="dxa"/>
            <w:tcBorders>
              <w:top w:val="single" w:color="000000" w:sz="8" w:space="0"/>
              <w:left w:val="single" w:color="000000" w:sz="2" w:space="0"/>
              <w:bottom w:val="single" w:color="000000" w:sz="8" w:space="0"/>
              <w:right w:val="single" w:color="000000" w:sz="8" w:space="0"/>
            </w:tcBorders>
            <w:vAlign w:val="center"/>
          </w:tcPr>
          <w:p w14:paraId="3C6D5FC6">
            <w:pPr>
              <w:spacing w:line="360" w:lineRule="auto"/>
              <w:rPr>
                <w:rFonts w:hint="eastAsia" w:ascii="宋体" w:hAnsi="宋体" w:eastAsia="宋体" w:cs="宋体"/>
                <w:sz w:val="24"/>
              </w:rPr>
            </w:pPr>
            <w:r>
              <w:rPr>
                <w:rFonts w:hint="eastAsia" w:ascii="宋体" w:hAnsi="宋体" w:eastAsia="宋体" w:cs="宋体"/>
                <w:snapToGrid w:val="0"/>
                <w:kern w:val="28"/>
                <w:sz w:val="24"/>
              </w:rPr>
              <w:t>无</w:t>
            </w:r>
          </w:p>
        </w:tc>
      </w:tr>
      <w:tr w14:paraId="59C113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5A6D7500">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6</w:t>
            </w:r>
          </w:p>
        </w:tc>
        <w:tc>
          <w:tcPr>
            <w:tcW w:w="1559" w:type="dxa"/>
            <w:tcBorders>
              <w:top w:val="single" w:color="000000" w:sz="8" w:space="0"/>
              <w:left w:val="single" w:color="auto" w:sz="4" w:space="0"/>
              <w:bottom w:val="single" w:color="000000" w:sz="8" w:space="0"/>
              <w:right w:val="single" w:color="000000" w:sz="8" w:space="0"/>
            </w:tcBorders>
            <w:vAlign w:val="center"/>
          </w:tcPr>
          <w:p w14:paraId="01E79464">
            <w:pPr>
              <w:spacing w:line="360" w:lineRule="auto"/>
              <w:jc w:val="center"/>
              <w:rPr>
                <w:rFonts w:hint="eastAsia" w:ascii="宋体" w:hAnsi="宋体" w:eastAsia="宋体" w:cs="宋体"/>
                <w:b/>
                <w:sz w:val="24"/>
              </w:rPr>
            </w:pPr>
            <w:r>
              <w:rPr>
                <w:rFonts w:hint="eastAsia" w:ascii="宋体" w:hAnsi="宋体" w:eastAsia="宋体" w:cs="宋体"/>
                <w:b/>
                <w:sz w:val="24"/>
              </w:rPr>
              <w:t>投标文件</w:t>
            </w:r>
          </w:p>
          <w:p w14:paraId="255600F0">
            <w:pPr>
              <w:spacing w:line="360" w:lineRule="auto"/>
              <w:jc w:val="center"/>
              <w:rPr>
                <w:rFonts w:hint="eastAsia" w:ascii="宋体" w:hAnsi="宋体" w:eastAsia="宋体" w:cs="宋体"/>
                <w:b/>
                <w:sz w:val="24"/>
              </w:rPr>
            </w:pPr>
            <w:r>
              <w:rPr>
                <w:rFonts w:hint="eastAsia" w:ascii="宋体" w:hAnsi="宋体" w:eastAsia="宋体" w:cs="宋体"/>
                <w:b/>
                <w:sz w:val="24"/>
              </w:rPr>
              <w:t>的份数</w:t>
            </w:r>
          </w:p>
        </w:tc>
        <w:tc>
          <w:tcPr>
            <w:tcW w:w="6562" w:type="dxa"/>
            <w:tcBorders>
              <w:top w:val="single" w:color="000000" w:sz="8" w:space="0"/>
              <w:left w:val="single" w:color="000000" w:sz="2" w:space="0"/>
              <w:bottom w:val="single" w:color="000000" w:sz="8" w:space="0"/>
              <w:right w:val="single" w:color="000000" w:sz="8" w:space="0"/>
            </w:tcBorders>
            <w:vAlign w:val="center"/>
          </w:tcPr>
          <w:p w14:paraId="0129E2A4">
            <w:pPr>
              <w:spacing w:line="360" w:lineRule="auto"/>
              <w:rPr>
                <w:rFonts w:hint="eastAsia" w:ascii="宋体" w:hAnsi="宋体" w:eastAsia="宋体" w:cs="宋体"/>
                <w:b/>
                <w:sz w:val="24"/>
              </w:rPr>
            </w:pPr>
            <w:r>
              <w:rPr>
                <w:rFonts w:hint="eastAsia" w:ascii="宋体" w:hAnsi="宋体" w:eastAsia="宋体" w:cs="宋体"/>
                <w:b/>
                <w:sz w:val="24"/>
              </w:rPr>
              <w:t>本项目实行线下投标。</w:t>
            </w:r>
          </w:p>
          <w:p w14:paraId="75D19361">
            <w:pPr>
              <w:spacing w:line="360" w:lineRule="auto"/>
              <w:rPr>
                <w:rFonts w:hint="eastAsia" w:ascii="宋体" w:hAnsi="宋体" w:eastAsia="宋体" w:cs="宋体"/>
                <w:b/>
                <w:sz w:val="24"/>
              </w:rPr>
            </w:pPr>
            <w:r>
              <w:rPr>
                <w:rFonts w:hint="eastAsia" w:ascii="宋体" w:hAnsi="宋体" w:eastAsia="宋体" w:cs="宋体"/>
                <w:b/>
                <w:sz w:val="24"/>
              </w:rPr>
              <w:t>供应商必须准备纸质投标文件参与投标：</w:t>
            </w:r>
          </w:p>
          <w:p w14:paraId="76C29188">
            <w:pPr>
              <w:spacing w:line="360" w:lineRule="auto"/>
              <w:rPr>
                <w:rFonts w:hint="eastAsia" w:ascii="宋体" w:hAnsi="宋体" w:eastAsia="宋体" w:cs="宋体"/>
                <w:b/>
                <w:sz w:val="24"/>
              </w:rPr>
            </w:pPr>
            <w:r>
              <w:rPr>
                <w:rFonts w:hint="eastAsia" w:ascii="宋体" w:hAnsi="宋体" w:eastAsia="宋体" w:cs="宋体"/>
                <w:b/>
                <w:kern w:val="0"/>
                <w:sz w:val="24"/>
              </w:rPr>
              <w:t>投标文件份数</w:t>
            </w:r>
            <w:r>
              <w:rPr>
                <w:rFonts w:hint="eastAsia" w:ascii="宋体" w:hAnsi="宋体" w:eastAsia="宋体" w:cs="宋体"/>
                <w:sz w:val="24"/>
              </w:rPr>
              <w:t>：</w:t>
            </w:r>
            <w:r>
              <w:rPr>
                <w:rFonts w:hint="eastAsia" w:ascii="宋体" w:hAnsi="宋体" w:eastAsia="宋体" w:cs="宋体"/>
                <w:b/>
                <w:sz w:val="24"/>
              </w:rPr>
              <w:t>正本</w:t>
            </w:r>
            <w:r>
              <w:rPr>
                <w:rFonts w:hint="eastAsia" w:ascii="宋体" w:hAnsi="宋体" w:eastAsia="宋体" w:cs="宋体"/>
                <w:b/>
                <w:sz w:val="24"/>
                <w:u w:val="single"/>
              </w:rPr>
              <w:t xml:space="preserve"> 壹 </w:t>
            </w:r>
            <w:r>
              <w:rPr>
                <w:rFonts w:hint="eastAsia" w:ascii="宋体" w:hAnsi="宋体" w:eastAsia="宋体" w:cs="宋体"/>
                <w:b/>
                <w:sz w:val="24"/>
              </w:rPr>
              <w:t>份、副本</w:t>
            </w:r>
            <w:r>
              <w:rPr>
                <w:rFonts w:hint="eastAsia" w:ascii="宋体" w:hAnsi="宋体" w:eastAsia="宋体" w:cs="宋体"/>
                <w:b/>
                <w:sz w:val="24"/>
                <w:u w:val="single"/>
              </w:rPr>
              <w:t xml:space="preserve"> 肆 </w:t>
            </w:r>
            <w:r>
              <w:rPr>
                <w:rFonts w:hint="eastAsia" w:ascii="宋体" w:hAnsi="宋体" w:eastAsia="宋体" w:cs="宋体"/>
                <w:b/>
                <w:sz w:val="24"/>
              </w:rPr>
              <w:t>份。</w:t>
            </w:r>
          </w:p>
          <w:p w14:paraId="30F6959A">
            <w:pPr>
              <w:spacing w:line="360" w:lineRule="auto"/>
              <w:rPr>
                <w:rFonts w:hint="eastAsia" w:ascii="宋体" w:hAnsi="宋体" w:eastAsia="宋体" w:cs="宋体"/>
                <w:b/>
                <w:sz w:val="24"/>
              </w:rPr>
            </w:pPr>
            <w:r>
              <w:rPr>
                <w:rFonts w:hint="eastAsia" w:ascii="宋体" w:hAnsi="宋体" w:eastAsia="宋体" w:cs="宋体"/>
                <w:b/>
                <w:sz w:val="24"/>
              </w:rPr>
              <w:t>报价文件必须与资格文件、商务技术文件分开装订，单独密封。密封袋上须注明项目名称、标项号及类似（报价文件或资格文件或商务技术文件）字样并加盖供应商公章。资格文件、商务技术文件中不得出现投标报价。</w:t>
            </w:r>
          </w:p>
        </w:tc>
      </w:tr>
      <w:tr w14:paraId="1CF67C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35"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46C16E9">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7</w:t>
            </w:r>
          </w:p>
        </w:tc>
        <w:tc>
          <w:tcPr>
            <w:tcW w:w="1559" w:type="dxa"/>
            <w:tcBorders>
              <w:top w:val="single" w:color="000000" w:sz="8" w:space="0"/>
              <w:left w:val="single" w:color="000000" w:sz="2" w:space="0"/>
              <w:bottom w:val="single" w:color="000000" w:sz="8" w:space="0"/>
              <w:right w:val="single" w:color="000000" w:sz="8" w:space="0"/>
            </w:tcBorders>
            <w:vAlign w:val="center"/>
          </w:tcPr>
          <w:p w14:paraId="0A8839D1">
            <w:pPr>
              <w:spacing w:line="360" w:lineRule="auto"/>
              <w:jc w:val="center"/>
              <w:rPr>
                <w:rFonts w:hint="eastAsia" w:ascii="宋体" w:hAnsi="宋体" w:eastAsia="宋体" w:cs="宋体"/>
                <w:bCs/>
                <w:sz w:val="24"/>
              </w:rPr>
            </w:pPr>
            <w:r>
              <w:rPr>
                <w:rFonts w:hint="eastAsia" w:ascii="宋体" w:hAnsi="宋体" w:eastAsia="宋体" w:cs="宋体"/>
                <w:b/>
                <w:sz w:val="24"/>
              </w:rPr>
              <w:t>方案讲解演示</w:t>
            </w:r>
          </w:p>
        </w:tc>
        <w:tc>
          <w:tcPr>
            <w:tcW w:w="6562" w:type="dxa"/>
            <w:tcBorders>
              <w:top w:val="single" w:color="000000" w:sz="8" w:space="0"/>
              <w:left w:val="single" w:color="000000" w:sz="2" w:space="0"/>
              <w:bottom w:val="single" w:color="000000" w:sz="8" w:space="0"/>
              <w:right w:val="single" w:color="000000" w:sz="8" w:space="0"/>
            </w:tcBorders>
            <w:vAlign w:val="center"/>
          </w:tcPr>
          <w:p w14:paraId="0F497BA0">
            <w:pPr>
              <w:spacing w:line="360" w:lineRule="auto"/>
              <w:rPr>
                <w:rFonts w:hint="eastAsia" w:ascii="宋体" w:hAnsi="宋体" w:eastAsia="宋体" w:cs="宋体"/>
                <w:sz w:val="24"/>
              </w:rPr>
            </w:pPr>
            <w:r>
              <w:rPr>
                <w:rFonts w:hint="eastAsia" w:ascii="宋体" w:hAnsi="宋体" w:eastAsia="宋体" w:cs="宋体"/>
                <w:sz w:val="24"/>
              </w:rPr>
              <w:t>（√）A不组织。</w:t>
            </w:r>
          </w:p>
        </w:tc>
      </w:tr>
      <w:tr w14:paraId="7BE31A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831"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2E32B52">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8</w:t>
            </w:r>
          </w:p>
        </w:tc>
        <w:tc>
          <w:tcPr>
            <w:tcW w:w="1559" w:type="dxa"/>
            <w:tcBorders>
              <w:top w:val="single" w:color="000000" w:sz="8" w:space="0"/>
              <w:left w:val="single" w:color="000000" w:sz="2" w:space="0"/>
              <w:bottom w:val="single" w:color="000000" w:sz="8" w:space="0"/>
              <w:right w:val="single" w:color="000000" w:sz="8" w:space="0"/>
            </w:tcBorders>
            <w:vAlign w:val="center"/>
          </w:tcPr>
          <w:p w14:paraId="5A93BBBB">
            <w:pPr>
              <w:spacing w:line="360" w:lineRule="auto"/>
              <w:jc w:val="center"/>
              <w:rPr>
                <w:rFonts w:hint="eastAsia" w:ascii="宋体" w:hAnsi="宋体" w:eastAsia="宋体" w:cs="宋体"/>
                <w:b/>
                <w:sz w:val="24"/>
              </w:rPr>
            </w:pPr>
            <w:r>
              <w:rPr>
                <w:rFonts w:hint="eastAsia" w:ascii="宋体" w:hAnsi="宋体" w:eastAsia="宋体" w:cs="宋体"/>
                <w:b/>
                <w:sz w:val="24"/>
              </w:rPr>
              <w:t>采购机构</w:t>
            </w:r>
          </w:p>
          <w:p w14:paraId="480BA07D">
            <w:pPr>
              <w:spacing w:line="360" w:lineRule="auto"/>
              <w:jc w:val="center"/>
              <w:rPr>
                <w:rFonts w:hint="eastAsia" w:ascii="宋体" w:hAnsi="宋体" w:eastAsia="宋体" w:cs="宋体"/>
                <w:b/>
                <w:sz w:val="24"/>
              </w:rPr>
            </w:pPr>
            <w:r>
              <w:rPr>
                <w:rFonts w:hint="eastAsia" w:ascii="宋体" w:hAnsi="宋体" w:eastAsia="宋体" w:cs="宋体"/>
                <w:b/>
                <w:sz w:val="24"/>
              </w:rPr>
              <w:t>代理费用</w:t>
            </w:r>
          </w:p>
        </w:tc>
        <w:tc>
          <w:tcPr>
            <w:tcW w:w="6562" w:type="dxa"/>
            <w:tcBorders>
              <w:top w:val="single" w:color="000000" w:sz="8" w:space="0"/>
              <w:left w:val="single" w:color="000000" w:sz="2" w:space="0"/>
              <w:bottom w:val="single" w:color="000000" w:sz="8" w:space="0"/>
              <w:right w:val="single" w:color="000000" w:sz="8" w:space="0"/>
            </w:tcBorders>
            <w:vAlign w:val="center"/>
          </w:tcPr>
          <w:p w14:paraId="3560BB25">
            <w:pPr>
              <w:pStyle w:val="15"/>
              <w:spacing w:line="360" w:lineRule="auto"/>
              <w:ind w:firstLine="0"/>
              <w:rPr>
                <w:rFonts w:hint="eastAsia" w:ascii="宋体" w:hAnsi="宋体" w:eastAsia="宋体" w:cs="宋体"/>
                <w:b/>
                <w:bCs/>
                <w:sz w:val="24"/>
              </w:rPr>
            </w:pPr>
            <w:r>
              <w:rPr>
                <w:rFonts w:hint="eastAsia" w:ascii="宋体" w:hAnsi="宋体" w:eastAsia="宋体" w:cs="宋体"/>
                <w:color w:val="auto"/>
                <w:sz w:val="24"/>
              </w:rPr>
              <w:t>代理服务费和专家评审费由采购人支付。代理服务费计费标准：以成交金额为计费基准，按计价格[2002]1980号文规定收费标准下浮50%计取，不足2000元按2000元计。</w:t>
            </w:r>
          </w:p>
        </w:tc>
      </w:tr>
      <w:tr w14:paraId="75155A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59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CEF1786">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9</w:t>
            </w:r>
          </w:p>
        </w:tc>
        <w:tc>
          <w:tcPr>
            <w:tcW w:w="1559" w:type="dxa"/>
            <w:tcBorders>
              <w:top w:val="single" w:color="000000" w:sz="8" w:space="0"/>
              <w:left w:val="single" w:color="000000" w:sz="2" w:space="0"/>
              <w:bottom w:val="single" w:color="000000" w:sz="8" w:space="0"/>
              <w:right w:val="single" w:color="000000" w:sz="8" w:space="0"/>
            </w:tcBorders>
            <w:vAlign w:val="center"/>
          </w:tcPr>
          <w:p w14:paraId="19F834F2">
            <w:pPr>
              <w:spacing w:line="360" w:lineRule="auto"/>
              <w:jc w:val="center"/>
              <w:rPr>
                <w:rFonts w:hint="eastAsia" w:ascii="宋体" w:hAnsi="宋体" w:eastAsia="宋体" w:cs="宋体"/>
                <w:b/>
                <w:sz w:val="24"/>
              </w:rPr>
            </w:pPr>
            <w:r>
              <w:rPr>
                <w:rFonts w:hint="eastAsia" w:ascii="宋体" w:hAnsi="宋体" w:eastAsia="宋体" w:cs="宋体"/>
                <w:b/>
                <w:sz w:val="24"/>
              </w:rPr>
              <w:t>投标保证金</w:t>
            </w:r>
          </w:p>
          <w:p w14:paraId="2C23628E">
            <w:pPr>
              <w:spacing w:line="360" w:lineRule="auto"/>
              <w:jc w:val="center"/>
              <w:rPr>
                <w:rFonts w:hint="eastAsia" w:ascii="宋体" w:hAnsi="宋体" w:eastAsia="宋体" w:cs="宋体"/>
                <w:b/>
                <w:sz w:val="24"/>
              </w:rPr>
            </w:pPr>
            <w:r>
              <w:rPr>
                <w:rFonts w:hint="eastAsia" w:ascii="宋体" w:hAnsi="宋体" w:eastAsia="宋体" w:cs="宋体"/>
                <w:b/>
                <w:sz w:val="24"/>
              </w:rPr>
              <w:t>履约保证金</w:t>
            </w:r>
          </w:p>
        </w:tc>
        <w:tc>
          <w:tcPr>
            <w:tcW w:w="6562" w:type="dxa"/>
            <w:tcBorders>
              <w:top w:val="single" w:color="000000" w:sz="8" w:space="0"/>
              <w:left w:val="single" w:color="000000" w:sz="2" w:space="0"/>
              <w:bottom w:val="single" w:color="000000" w:sz="8" w:space="0"/>
              <w:right w:val="single" w:color="000000" w:sz="8" w:space="0"/>
            </w:tcBorders>
            <w:vAlign w:val="center"/>
          </w:tcPr>
          <w:p w14:paraId="78E3051A">
            <w:pPr>
              <w:pStyle w:val="15"/>
              <w:spacing w:line="360" w:lineRule="auto"/>
              <w:ind w:firstLine="434" w:firstLineChars="181"/>
              <w:rPr>
                <w:rFonts w:hint="eastAsia" w:ascii="宋体" w:hAnsi="宋体" w:eastAsia="宋体" w:cs="宋体"/>
                <w:color w:val="auto"/>
                <w:sz w:val="24"/>
              </w:rPr>
            </w:pPr>
            <w:r>
              <w:rPr>
                <w:rFonts w:hint="eastAsia" w:ascii="宋体" w:hAnsi="宋体" w:eastAsia="宋体" w:cs="宋体"/>
                <w:color w:val="auto"/>
                <w:sz w:val="24"/>
              </w:rPr>
              <w:t>投标保证金：不收取。</w:t>
            </w:r>
          </w:p>
          <w:p w14:paraId="0CA69A8F">
            <w:pPr>
              <w:pStyle w:val="15"/>
              <w:spacing w:line="360" w:lineRule="auto"/>
              <w:ind w:firstLine="434" w:firstLineChars="181"/>
              <w:rPr>
                <w:rFonts w:hint="eastAsia" w:ascii="宋体" w:hAnsi="宋体" w:eastAsia="宋体" w:cs="宋体"/>
                <w:color w:val="auto"/>
                <w:sz w:val="24"/>
              </w:rPr>
            </w:pPr>
            <w:r>
              <w:rPr>
                <w:rFonts w:hint="eastAsia" w:ascii="宋体" w:hAnsi="宋体" w:eastAsia="宋体" w:cs="宋体"/>
                <w:color w:val="auto"/>
                <w:sz w:val="24"/>
              </w:rPr>
              <w:t>履约保证金：70000元</w:t>
            </w:r>
          </w:p>
          <w:p w14:paraId="3B50270C">
            <w:pPr>
              <w:pStyle w:val="15"/>
              <w:spacing w:line="360" w:lineRule="auto"/>
              <w:ind w:firstLine="434" w:firstLineChars="181"/>
              <w:rPr>
                <w:rFonts w:hint="eastAsia" w:ascii="宋体" w:hAnsi="宋体" w:eastAsia="宋体" w:cs="宋体"/>
                <w:color w:val="auto"/>
                <w:sz w:val="24"/>
              </w:rPr>
            </w:pPr>
            <w:r>
              <w:rPr>
                <w:rFonts w:hint="eastAsia" w:ascii="宋体" w:hAnsi="宋体" w:eastAsia="宋体" w:cs="宋体"/>
                <w:color w:val="auto"/>
                <w:sz w:val="24"/>
              </w:rPr>
              <w:t>供应商应当以支票、汇票等形式提交。</w:t>
            </w:r>
          </w:p>
        </w:tc>
      </w:tr>
      <w:tr w14:paraId="38CB80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28"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B5E9233">
            <w:pPr>
              <w:snapToGrid w:val="0"/>
              <w:spacing w:line="360" w:lineRule="auto"/>
              <w:jc w:val="center"/>
              <w:rPr>
                <w:rFonts w:hint="eastAsia" w:ascii="宋体" w:hAnsi="宋体" w:eastAsia="宋体" w:cs="宋体"/>
                <w:sz w:val="24"/>
              </w:rPr>
            </w:pPr>
            <w:r>
              <w:rPr>
                <w:rFonts w:hint="eastAsia" w:ascii="宋体" w:hAnsi="宋体" w:eastAsia="宋体" w:cs="宋体"/>
                <w:sz w:val="24"/>
              </w:rPr>
              <w:t>10</w:t>
            </w:r>
          </w:p>
        </w:tc>
        <w:tc>
          <w:tcPr>
            <w:tcW w:w="1559" w:type="dxa"/>
            <w:tcBorders>
              <w:top w:val="single" w:color="000000" w:sz="8" w:space="0"/>
              <w:left w:val="single" w:color="000000" w:sz="2" w:space="0"/>
              <w:bottom w:val="single" w:color="000000" w:sz="8" w:space="0"/>
              <w:right w:val="single" w:color="000000" w:sz="8" w:space="0"/>
            </w:tcBorders>
            <w:vAlign w:val="center"/>
          </w:tcPr>
          <w:p w14:paraId="69635EDD">
            <w:pPr>
              <w:spacing w:line="360" w:lineRule="auto"/>
              <w:jc w:val="center"/>
              <w:rPr>
                <w:rFonts w:hint="eastAsia" w:ascii="宋体" w:hAnsi="宋体" w:eastAsia="宋体" w:cs="宋体"/>
                <w:b/>
                <w:sz w:val="24"/>
              </w:rPr>
            </w:pPr>
            <w:r>
              <w:rPr>
                <w:rFonts w:hint="eastAsia" w:ascii="宋体" w:hAnsi="宋体" w:eastAsia="宋体" w:cs="宋体"/>
                <w:b/>
                <w:sz w:val="24"/>
              </w:rPr>
              <w:t>资格审查及信用信息查询</w:t>
            </w:r>
          </w:p>
        </w:tc>
        <w:tc>
          <w:tcPr>
            <w:tcW w:w="6562" w:type="dxa"/>
            <w:tcBorders>
              <w:top w:val="single" w:color="000000" w:sz="8" w:space="0"/>
              <w:left w:val="single" w:color="000000" w:sz="2" w:space="0"/>
              <w:bottom w:val="single" w:color="000000" w:sz="8" w:space="0"/>
              <w:right w:val="single" w:color="000000" w:sz="8" w:space="0"/>
            </w:tcBorders>
            <w:vAlign w:val="center"/>
          </w:tcPr>
          <w:p w14:paraId="5EEFE119">
            <w:pPr>
              <w:pStyle w:val="15"/>
              <w:spacing w:line="360" w:lineRule="auto"/>
              <w:ind w:firstLine="0"/>
              <w:rPr>
                <w:rFonts w:hint="eastAsia" w:ascii="宋体" w:hAnsi="宋体" w:eastAsia="宋体" w:cs="宋体"/>
                <w:color w:val="auto"/>
                <w:sz w:val="24"/>
              </w:rPr>
            </w:pPr>
            <w:r>
              <w:rPr>
                <w:rFonts w:hint="eastAsia" w:ascii="宋体" w:hAnsi="宋体" w:eastAsia="宋体" w:cs="宋体"/>
                <w:color w:val="auto"/>
                <w:sz w:val="24"/>
              </w:rPr>
              <w:t>本项目由采购人进行资格文件及信用信息查询。</w:t>
            </w:r>
          </w:p>
        </w:tc>
      </w:tr>
      <w:tr w14:paraId="5AFB10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861"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86B42EA">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11</w:t>
            </w:r>
          </w:p>
        </w:tc>
        <w:tc>
          <w:tcPr>
            <w:tcW w:w="1559" w:type="dxa"/>
            <w:tcBorders>
              <w:top w:val="single" w:color="000000" w:sz="8" w:space="0"/>
              <w:left w:val="single" w:color="000000" w:sz="2" w:space="0"/>
              <w:bottom w:val="single" w:color="000000" w:sz="8" w:space="0"/>
              <w:right w:val="single" w:color="000000" w:sz="8" w:space="0"/>
            </w:tcBorders>
            <w:vAlign w:val="center"/>
          </w:tcPr>
          <w:p w14:paraId="2C60FA19">
            <w:pPr>
              <w:spacing w:line="360" w:lineRule="auto"/>
              <w:jc w:val="center"/>
              <w:rPr>
                <w:rFonts w:hint="eastAsia" w:ascii="宋体" w:hAnsi="宋体" w:eastAsia="宋体" w:cs="宋体"/>
                <w:b/>
                <w:sz w:val="24"/>
              </w:rPr>
            </w:pPr>
            <w:r>
              <w:rPr>
                <w:rFonts w:hint="eastAsia" w:ascii="宋体" w:hAnsi="宋体" w:eastAsia="宋体" w:cs="宋体"/>
                <w:b/>
                <w:sz w:val="24"/>
              </w:rPr>
              <w:t>项目采购类型</w:t>
            </w:r>
          </w:p>
        </w:tc>
        <w:tc>
          <w:tcPr>
            <w:tcW w:w="6562" w:type="dxa"/>
            <w:tcBorders>
              <w:top w:val="single" w:color="000000" w:sz="8" w:space="0"/>
              <w:left w:val="single" w:color="000000" w:sz="2" w:space="0"/>
              <w:bottom w:val="single" w:color="000000" w:sz="8" w:space="0"/>
              <w:right w:val="single" w:color="000000" w:sz="8" w:space="0"/>
            </w:tcBorders>
            <w:vAlign w:val="center"/>
          </w:tcPr>
          <w:p w14:paraId="4B19ECCD">
            <w:pPr>
              <w:snapToGrid w:val="0"/>
              <w:spacing w:line="360" w:lineRule="auto"/>
              <w:rPr>
                <w:rFonts w:hint="eastAsia" w:ascii="宋体" w:hAnsi="宋体" w:eastAsia="宋体" w:cs="宋体"/>
                <w:sz w:val="24"/>
              </w:rPr>
            </w:pPr>
            <w:r>
              <w:rPr>
                <w:rFonts w:hint="eastAsia" w:ascii="宋体" w:hAnsi="宋体" w:eastAsia="宋体" w:cs="宋体"/>
                <w:sz w:val="24"/>
              </w:rPr>
              <w:t>本项目为</w:t>
            </w:r>
            <w:r>
              <w:rPr>
                <w:rFonts w:hint="eastAsia" w:ascii="宋体" w:hAnsi="宋体" w:eastAsia="宋体" w:cs="宋体"/>
                <w:sz w:val="24"/>
                <w:u w:val="single"/>
              </w:rPr>
              <w:t>服务类</w:t>
            </w:r>
            <w:r>
              <w:rPr>
                <w:rFonts w:hint="eastAsia" w:ascii="宋体" w:hAnsi="宋体" w:eastAsia="宋体" w:cs="宋体"/>
                <w:sz w:val="24"/>
              </w:rPr>
              <w:t>采购项目</w:t>
            </w:r>
          </w:p>
        </w:tc>
      </w:tr>
      <w:tr w14:paraId="02D106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705EB00">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12</w:t>
            </w:r>
          </w:p>
        </w:tc>
        <w:tc>
          <w:tcPr>
            <w:tcW w:w="1559" w:type="dxa"/>
            <w:tcBorders>
              <w:top w:val="single" w:color="000000" w:sz="8" w:space="0"/>
              <w:left w:val="single" w:color="000000" w:sz="2" w:space="0"/>
              <w:bottom w:val="single" w:color="000000" w:sz="8" w:space="0"/>
              <w:right w:val="single" w:color="000000" w:sz="8" w:space="0"/>
            </w:tcBorders>
            <w:vAlign w:val="center"/>
          </w:tcPr>
          <w:p w14:paraId="5FF3433F">
            <w:pPr>
              <w:spacing w:line="360" w:lineRule="auto"/>
              <w:jc w:val="center"/>
              <w:rPr>
                <w:rFonts w:hint="eastAsia" w:ascii="宋体" w:hAnsi="宋体" w:eastAsia="宋体" w:cs="宋体"/>
                <w:b/>
                <w:sz w:val="24"/>
              </w:rPr>
            </w:pPr>
            <w:r>
              <w:rPr>
                <w:rFonts w:hint="eastAsia" w:ascii="宋体" w:hAnsi="宋体" w:eastAsia="宋体" w:cs="宋体"/>
                <w:b/>
                <w:sz w:val="24"/>
              </w:rPr>
              <w:t>评标方法</w:t>
            </w:r>
          </w:p>
        </w:tc>
        <w:tc>
          <w:tcPr>
            <w:tcW w:w="6562" w:type="dxa"/>
            <w:tcBorders>
              <w:top w:val="single" w:color="000000" w:sz="8" w:space="0"/>
              <w:left w:val="single" w:color="000000" w:sz="2" w:space="0"/>
              <w:bottom w:val="single" w:color="000000" w:sz="8" w:space="0"/>
              <w:right w:val="single" w:color="000000" w:sz="8" w:space="0"/>
            </w:tcBorders>
            <w:vAlign w:val="center"/>
          </w:tcPr>
          <w:p w14:paraId="6144417B">
            <w:pPr>
              <w:snapToGrid w:val="0"/>
              <w:spacing w:line="360" w:lineRule="auto"/>
              <w:rPr>
                <w:rFonts w:hint="eastAsia" w:ascii="宋体" w:hAnsi="宋体" w:eastAsia="宋体" w:cs="宋体"/>
                <w:sz w:val="24"/>
              </w:rPr>
            </w:pPr>
            <w:r>
              <w:rPr>
                <w:rFonts w:hint="eastAsia" w:ascii="宋体" w:hAnsi="宋体" w:eastAsia="宋体" w:cs="宋体"/>
                <w:sz w:val="24"/>
                <w:u w:val="single"/>
              </w:rPr>
              <w:t>标项一</w:t>
            </w:r>
            <w:r>
              <w:rPr>
                <w:rFonts w:hint="eastAsia" w:ascii="宋体" w:hAnsi="宋体" w:eastAsia="宋体" w:cs="宋体"/>
                <w:sz w:val="24"/>
              </w:rPr>
              <w:t>为</w:t>
            </w:r>
            <w:r>
              <w:rPr>
                <w:rFonts w:hint="eastAsia" w:ascii="宋体" w:hAnsi="宋体" w:eastAsia="宋体" w:cs="宋体"/>
                <w:sz w:val="24"/>
                <w:u w:val="single"/>
              </w:rPr>
              <w:t>综合评估法</w:t>
            </w:r>
          </w:p>
        </w:tc>
      </w:tr>
    </w:tbl>
    <w:p w14:paraId="2AA5E401">
      <w:pPr>
        <w:spacing w:line="360" w:lineRule="auto"/>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注：本项目通用总则条款与前附表等专用特别规定有冲突之处，以专用条款（特别规定）为准</w:t>
      </w:r>
    </w:p>
    <w:p w14:paraId="441B9721">
      <w:pPr>
        <w:adjustRightInd/>
        <w:spacing w:line="360" w:lineRule="auto"/>
        <w:jc w:val="center"/>
        <w:outlineLvl w:val="0"/>
        <w:rPr>
          <w:rFonts w:hint="eastAsia" w:ascii="宋体" w:hAnsi="宋体" w:eastAsia="宋体" w:cs="宋体"/>
          <w:b/>
          <w:color w:val="000000"/>
          <w:sz w:val="32"/>
          <w:szCs w:val="20"/>
        </w:rPr>
      </w:pPr>
      <w:r>
        <w:rPr>
          <w:rFonts w:hint="eastAsia" w:ascii="宋体" w:hAnsi="宋体" w:eastAsia="宋体" w:cs="宋体"/>
          <w:b/>
          <w:color w:val="000000"/>
          <w:sz w:val="32"/>
          <w:szCs w:val="20"/>
        </w:rPr>
        <w:br w:type="page"/>
      </w:r>
      <w:bookmarkEnd w:id="10"/>
      <w:bookmarkStart w:id="38" w:name="_Toc164416483"/>
      <w:bookmarkStart w:id="39" w:name="第三部分"/>
      <w:r>
        <w:rPr>
          <w:rFonts w:hint="eastAsia" w:ascii="宋体" w:hAnsi="宋体" w:eastAsia="宋体" w:cs="宋体"/>
          <w:b/>
          <w:color w:val="000000"/>
          <w:sz w:val="32"/>
          <w:szCs w:val="20"/>
        </w:rPr>
        <w:t>一、总则</w:t>
      </w:r>
    </w:p>
    <w:p w14:paraId="44FA052C">
      <w:pPr>
        <w:keepNext w:val="0"/>
        <w:keepLines w:val="0"/>
        <w:pageBreakBefore w:val="0"/>
        <w:kinsoku/>
        <w:wordWrap/>
        <w:overflowPunct/>
        <w:topLinePunct w:val="0"/>
        <w:bidi w:val="0"/>
        <w:snapToGrid w:val="0"/>
        <w:spacing w:beforeAutospacing="0" w:line="360" w:lineRule="auto"/>
        <w:ind w:right="0" w:firstLine="482" w:firstLineChars="200"/>
        <w:jc w:val="left"/>
        <w:textAlignment w:val="auto"/>
        <w:outlineLvl w:val="1"/>
        <w:rPr>
          <w:rFonts w:hint="eastAsia" w:ascii="宋体" w:hAnsi="宋体" w:eastAsia="宋体" w:cs="宋体"/>
          <w:b/>
          <w:color w:val="000000"/>
          <w:sz w:val="24"/>
        </w:rPr>
      </w:pPr>
      <w:r>
        <w:rPr>
          <w:rFonts w:hint="eastAsia" w:ascii="宋体" w:hAnsi="宋体" w:eastAsia="宋体" w:cs="宋体"/>
          <w:b/>
          <w:color w:val="000000"/>
          <w:sz w:val="24"/>
        </w:rPr>
        <w:t>1. 适用范围</w:t>
      </w:r>
    </w:p>
    <w:p w14:paraId="5D00B9CF">
      <w:pPr>
        <w:keepNext w:val="0"/>
        <w:keepLines w:val="0"/>
        <w:pageBreakBefore w:val="0"/>
        <w:kinsoku/>
        <w:wordWrap/>
        <w:overflowPunct/>
        <w:topLinePunct w:val="0"/>
        <w:bidi w:val="0"/>
        <w:snapToGrid w:val="0"/>
        <w:spacing w:beforeAutospacing="0" w:line="360" w:lineRule="auto"/>
        <w:ind w:right="0"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本招标文件适用于该项目的招标、资格审查及信用信息查询、评标、定标、合同、验收等行为（法律、法规另有规定的，从其规定）。</w:t>
      </w:r>
    </w:p>
    <w:p w14:paraId="3BFF886B">
      <w:pPr>
        <w:keepNext w:val="0"/>
        <w:keepLines w:val="0"/>
        <w:pageBreakBefore w:val="0"/>
        <w:kinsoku/>
        <w:wordWrap/>
        <w:overflowPunct/>
        <w:topLinePunct w:val="0"/>
        <w:bidi w:val="0"/>
        <w:adjustRightInd/>
        <w:spacing w:beforeAutospacing="0" w:line="360" w:lineRule="auto"/>
        <w:ind w:right="0" w:firstLine="482" w:firstLineChars="200"/>
        <w:textAlignment w:val="auto"/>
        <w:outlineLvl w:val="0"/>
        <w:rPr>
          <w:rFonts w:hint="eastAsia" w:ascii="宋体" w:hAnsi="宋体" w:eastAsia="宋体" w:cs="宋体"/>
          <w:b/>
          <w:color w:val="000000"/>
          <w:sz w:val="24"/>
        </w:rPr>
      </w:pPr>
      <w:r>
        <w:rPr>
          <w:rFonts w:hint="eastAsia" w:ascii="宋体" w:hAnsi="宋体" w:eastAsia="宋体" w:cs="宋体"/>
          <w:b/>
          <w:color w:val="000000"/>
          <w:sz w:val="24"/>
        </w:rPr>
        <w:t>2.定义</w:t>
      </w:r>
    </w:p>
    <w:p w14:paraId="369B74BA">
      <w:pPr>
        <w:keepNext w:val="0"/>
        <w:keepLines w:val="0"/>
        <w:pageBreakBefore w:val="0"/>
        <w:kinsoku/>
        <w:wordWrap/>
        <w:overflowPunct/>
        <w:topLinePunct w:val="0"/>
        <w:bidi w:val="0"/>
        <w:spacing w:beforeAutospacing="0" w:line="360" w:lineRule="auto"/>
        <w:ind w:right="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2.1 “采购人”系指招标公告中载明的本项目的采购人。</w:t>
      </w:r>
    </w:p>
    <w:p w14:paraId="064FE57E">
      <w:pPr>
        <w:keepNext w:val="0"/>
        <w:keepLines w:val="0"/>
        <w:pageBreakBefore w:val="0"/>
        <w:kinsoku/>
        <w:wordWrap/>
        <w:overflowPunct/>
        <w:topLinePunct w:val="0"/>
        <w:bidi w:val="0"/>
        <w:spacing w:beforeAutospacing="0" w:line="360" w:lineRule="auto"/>
        <w:ind w:right="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2.2“采购机构”系指招标公告中载明的本项目的采购机构。</w:t>
      </w:r>
    </w:p>
    <w:p w14:paraId="6E00ACE8">
      <w:pPr>
        <w:keepNext w:val="0"/>
        <w:keepLines w:val="0"/>
        <w:pageBreakBefore w:val="0"/>
        <w:kinsoku/>
        <w:wordWrap/>
        <w:overflowPunct/>
        <w:topLinePunct w:val="0"/>
        <w:bidi w:val="0"/>
        <w:spacing w:beforeAutospacing="0" w:line="360" w:lineRule="auto"/>
        <w:ind w:right="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2.3“投标人”系指是指响应招标、参加投标竞争的法人、其他组织或者自然人。</w:t>
      </w:r>
    </w:p>
    <w:p w14:paraId="1797F968">
      <w:pPr>
        <w:keepNext w:val="0"/>
        <w:keepLines w:val="0"/>
        <w:pageBreakBefore w:val="0"/>
        <w:kinsoku/>
        <w:wordWrap/>
        <w:overflowPunct/>
        <w:topLinePunct w:val="0"/>
        <w:bidi w:val="0"/>
        <w:spacing w:beforeAutospacing="0" w:line="360" w:lineRule="auto"/>
        <w:ind w:right="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2.4“负责人”系指法人企业的法定负责人，或其他组织为法律、行政法规规定代表单位行使职权的主要负责人，或自然人本人。</w:t>
      </w:r>
    </w:p>
    <w:p w14:paraId="3D2039E1">
      <w:pPr>
        <w:keepNext w:val="0"/>
        <w:keepLines w:val="0"/>
        <w:pageBreakBefore w:val="0"/>
        <w:kinsoku/>
        <w:wordWrap/>
        <w:overflowPunct/>
        <w:topLinePunct w:val="0"/>
        <w:bidi w:val="0"/>
        <w:spacing w:beforeAutospacing="0" w:line="360" w:lineRule="auto"/>
        <w:ind w:right="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2.5“▲” 系指实质性要求条款，“★”系产品采购项目中单一产品或核心产品。</w:t>
      </w:r>
    </w:p>
    <w:p w14:paraId="428BCACB">
      <w:pPr>
        <w:keepNext w:val="0"/>
        <w:keepLines w:val="0"/>
        <w:pageBreakBefore w:val="0"/>
        <w:kinsoku/>
        <w:wordWrap/>
        <w:overflowPunct/>
        <w:topLinePunct w:val="0"/>
        <w:bidi w:val="0"/>
        <w:snapToGrid w:val="0"/>
        <w:spacing w:beforeAutospacing="0" w:line="360" w:lineRule="auto"/>
        <w:ind w:right="0" w:firstLine="480" w:firstLineChars="200"/>
        <w:textAlignment w:val="auto"/>
        <w:rPr>
          <w:rFonts w:hint="eastAsia" w:ascii="宋体" w:hAnsi="宋体" w:eastAsia="宋体" w:cs="宋体"/>
          <w:kern w:val="0"/>
          <w:sz w:val="24"/>
        </w:rPr>
      </w:pPr>
      <w:r>
        <w:rPr>
          <w:rFonts w:hint="eastAsia" w:ascii="宋体" w:hAnsi="宋体" w:eastAsia="宋体" w:cs="宋体"/>
          <w:sz w:val="24"/>
        </w:rPr>
        <w:t>“</w:t>
      </w:r>
      <w:r>
        <w:rPr>
          <w:rFonts w:hint="eastAsia" w:ascii="宋体" w:hAnsi="宋体" w:eastAsia="宋体" w:cs="宋体"/>
          <w:b/>
          <w:sz w:val="24"/>
        </w:rPr>
        <w:t>（√）</w:t>
      </w:r>
      <w:r>
        <w:rPr>
          <w:rFonts w:hint="eastAsia" w:ascii="宋体" w:hAnsi="宋体" w:eastAsia="宋体" w:cs="宋体"/>
          <w:sz w:val="24"/>
        </w:rPr>
        <w:t>” 系指适用本项目的要求，“</w:t>
      </w:r>
      <w:r>
        <w:rPr>
          <w:rFonts w:hint="eastAsia" w:ascii="宋体" w:hAnsi="宋体" w:eastAsia="宋体" w:cs="宋体"/>
          <w:b/>
          <w:sz w:val="24"/>
        </w:rPr>
        <w:t>（ ）</w:t>
      </w:r>
      <w:r>
        <w:rPr>
          <w:rFonts w:hint="eastAsia" w:ascii="宋体" w:hAnsi="宋体" w:eastAsia="宋体" w:cs="宋体"/>
          <w:kern w:val="0"/>
          <w:sz w:val="24"/>
        </w:rPr>
        <w:t>”</w:t>
      </w:r>
      <w:r>
        <w:rPr>
          <w:rFonts w:hint="eastAsia" w:ascii="宋体" w:hAnsi="宋体" w:eastAsia="宋体" w:cs="宋体"/>
          <w:sz w:val="24"/>
        </w:rPr>
        <w:t>系指不适用本项目的要求。</w:t>
      </w:r>
    </w:p>
    <w:p w14:paraId="69E9E413">
      <w:pPr>
        <w:keepNext w:val="0"/>
        <w:keepLines w:val="0"/>
        <w:pageBreakBefore w:val="0"/>
        <w:kinsoku/>
        <w:wordWrap/>
        <w:overflowPunct/>
        <w:topLinePunct w:val="0"/>
        <w:bidi w:val="0"/>
        <w:spacing w:beforeAutospacing="0" w:line="360" w:lineRule="auto"/>
        <w:ind w:right="0" w:firstLine="482" w:firstLineChars="200"/>
        <w:textAlignment w:val="auto"/>
        <w:rPr>
          <w:rFonts w:hint="eastAsia" w:ascii="宋体" w:hAnsi="宋体" w:eastAsia="宋体" w:cs="宋体"/>
          <w:b/>
          <w:color w:val="000000"/>
          <w:sz w:val="24"/>
        </w:rPr>
      </w:pPr>
      <w:r>
        <w:rPr>
          <w:rFonts w:hint="eastAsia" w:ascii="宋体" w:hAnsi="宋体" w:eastAsia="宋体" w:cs="宋体"/>
          <w:b/>
          <w:color w:val="000000"/>
          <w:sz w:val="24"/>
        </w:rPr>
        <w:t>3.采购项目需要落实的政府采购政策：无</w:t>
      </w:r>
    </w:p>
    <w:p w14:paraId="63FCF312">
      <w:pPr>
        <w:keepNext w:val="0"/>
        <w:keepLines w:val="0"/>
        <w:pageBreakBefore w:val="0"/>
        <w:kinsoku/>
        <w:wordWrap/>
        <w:overflowPunct/>
        <w:topLinePunct w:val="0"/>
        <w:bidi w:val="0"/>
        <w:spacing w:beforeAutospacing="0" w:line="360" w:lineRule="auto"/>
        <w:ind w:right="0" w:firstLine="482" w:firstLineChars="200"/>
        <w:textAlignment w:val="auto"/>
        <w:rPr>
          <w:rFonts w:hint="eastAsia" w:ascii="宋体" w:hAnsi="宋体" w:eastAsia="宋体" w:cs="宋体"/>
          <w:b/>
          <w:color w:val="000000"/>
          <w:sz w:val="24"/>
        </w:rPr>
      </w:pPr>
      <w:r>
        <w:rPr>
          <w:rFonts w:hint="eastAsia" w:ascii="宋体" w:hAnsi="宋体" w:eastAsia="宋体" w:cs="宋体"/>
          <w:b/>
          <w:color w:val="000000"/>
          <w:sz w:val="24"/>
        </w:rPr>
        <w:t>4. 询问、质疑、投诉</w:t>
      </w:r>
    </w:p>
    <w:p w14:paraId="7FA767A5">
      <w:pPr>
        <w:keepNext w:val="0"/>
        <w:keepLines w:val="0"/>
        <w:pageBreakBefore w:val="0"/>
        <w:kinsoku/>
        <w:wordWrap/>
        <w:overflowPunct/>
        <w:topLinePunct w:val="0"/>
        <w:autoSpaceDE w:val="0"/>
        <w:autoSpaceDN w:val="0"/>
        <w:bidi w:val="0"/>
        <w:spacing w:beforeAutospacing="0" w:line="360" w:lineRule="auto"/>
        <w:ind w:right="0" w:firstLine="480" w:firstLineChars="200"/>
        <w:jc w:val="left"/>
        <w:textAlignment w:val="auto"/>
        <w:rPr>
          <w:rFonts w:hint="eastAsia" w:ascii="宋体" w:hAnsi="宋体" w:eastAsia="宋体" w:cs="宋体"/>
          <w:kern w:val="0"/>
          <w:sz w:val="24"/>
          <w:lang w:val="zh-CN"/>
        </w:rPr>
      </w:pPr>
      <w:r>
        <w:rPr>
          <w:rFonts w:hint="eastAsia" w:ascii="宋体" w:hAnsi="宋体" w:eastAsia="宋体" w:cs="宋体"/>
          <w:kern w:val="0"/>
          <w:sz w:val="24"/>
          <w:lang w:val="zh-CN"/>
        </w:rPr>
        <w:t>4.1供应商询问</w:t>
      </w:r>
    </w:p>
    <w:p w14:paraId="6BDCA2E6">
      <w:pPr>
        <w:keepNext w:val="0"/>
        <w:keepLines w:val="0"/>
        <w:pageBreakBefore w:val="0"/>
        <w:kinsoku/>
        <w:wordWrap/>
        <w:overflowPunct/>
        <w:topLinePunct w:val="0"/>
        <w:autoSpaceDE w:val="0"/>
        <w:autoSpaceDN w:val="0"/>
        <w:bidi w:val="0"/>
        <w:spacing w:beforeAutospacing="0" w:line="360" w:lineRule="auto"/>
        <w:ind w:right="0" w:firstLine="480" w:firstLineChars="200"/>
        <w:jc w:val="left"/>
        <w:textAlignment w:val="auto"/>
        <w:rPr>
          <w:rFonts w:hint="eastAsia" w:ascii="宋体" w:hAnsi="宋体" w:eastAsia="宋体" w:cs="宋体"/>
          <w:kern w:val="0"/>
          <w:sz w:val="24"/>
          <w:lang w:val="zh-CN"/>
        </w:rPr>
      </w:pPr>
      <w:r>
        <w:rPr>
          <w:rFonts w:hint="eastAsia" w:ascii="宋体" w:hAnsi="宋体" w:eastAsia="宋体" w:cs="宋体"/>
          <w:kern w:val="0"/>
          <w:sz w:val="24"/>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3CDDF6B">
      <w:pPr>
        <w:keepNext w:val="0"/>
        <w:keepLines w:val="0"/>
        <w:pageBreakBefore w:val="0"/>
        <w:kinsoku/>
        <w:wordWrap/>
        <w:overflowPunct/>
        <w:topLinePunct w:val="0"/>
        <w:autoSpaceDE w:val="0"/>
        <w:autoSpaceDN w:val="0"/>
        <w:bidi w:val="0"/>
        <w:spacing w:beforeAutospacing="0" w:line="360" w:lineRule="auto"/>
        <w:ind w:right="0" w:firstLine="480" w:firstLineChars="200"/>
        <w:jc w:val="left"/>
        <w:textAlignment w:val="auto"/>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4.2供应商质疑</w:t>
      </w:r>
    </w:p>
    <w:p w14:paraId="79FAF274">
      <w:pPr>
        <w:pStyle w:val="33"/>
        <w:keepNext w:val="0"/>
        <w:keepLines w:val="0"/>
        <w:pageBreakBefore w:val="0"/>
        <w:kinsoku/>
        <w:wordWrap/>
        <w:overflowPunct/>
        <w:topLinePunct w:val="0"/>
        <w:bidi w:val="0"/>
        <w:spacing w:beforeAutospacing="0" w:line="360" w:lineRule="auto"/>
        <w:ind w:right="0" w:firstLine="480" w:firstLineChars="200"/>
        <w:textAlignment w:val="auto"/>
        <w:rPr>
          <w:rFonts w:hint="eastAsia" w:ascii="宋体" w:hAnsi="宋体" w:eastAsia="宋体" w:cs="宋体"/>
          <w:color w:val="000000"/>
          <w:sz w:val="24"/>
        </w:rPr>
      </w:pPr>
      <w:r>
        <w:rPr>
          <w:rFonts w:hint="eastAsia" w:ascii="宋体" w:hAnsi="宋体" w:eastAsia="宋体" w:cs="宋体"/>
          <w:color w:val="000000"/>
          <w:kern w:val="0"/>
          <w:sz w:val="24"/>
          <w:lang w:val="zh-CN"/>
        </w:rPr>
        <w:t>4.2</w:t>
      </w:r>
      <w:r>
        <w:rPr>
          <w:rFonts w:hint="eastAsia" w:ascii="宋体" w:hAnsi="宋体" w:eastAsia="宋体" w:cs="宋体"/>
          <w:color w:val="000000"/>
          <w:sz w:val="24"/>
        </w:rPr>
        <w:t>.1提出质疑的供应商应当是参与所质疑项目采购活动的供应商。潜在供应商已依法获取其可质疑的招标文件的，可以对该文件提出质疑。</w:t>
      </w:r>
    </w:p>
    <w:p w14:paraId="0601EFEA">
      <w:pPr>
        <w:pStyle w:val="33"/>
        <w:keepNext w:val="0"/>
        <w:keepLines w:val="0"/>
        <w:pageBreakBefore w:val="0"/>
        <w:kinsoku/>
        <w:wordWrap/>
        <w:overflowPunct/>
        <w:topLinePunct w:val="0"/>
        <w:bidi w:val="0"/>
        <w:spacing w:beforeAutospacing="0" w:line="360" w:lineRule="auto"/>
        <w:ind w:right="0" w:firstLine="480" w:firstLineChars="200"/>
        <w:textAlignment w:val="auto"/>
        <w:rPr>
          <w:rFonts w:hint="eastAsia" w:ascii="宋体" w:hAnsi="宋体" w:eastAsia="宋体" w:cs="宋体"/>
          <w:sz w:val="24"/>
        </w:rPr>
      </w:pPr>
      <w:r>
        <w:rPr>
          <w:rFonts w:hint="eastAsia" w:ascii="宋体" w:hAnsi="宋体" w:eastAsia="宋体" w:cs="宋体"/>
          <w:color w:val="000000"/>
          <w:kern w:val="0"/>
          <w:sz w:val="24"/>
          <w:lang w:val="zh-CN"/>
        </w:rPr>
        <w:t>4.2</w:t>
      </w:r>
      <w:r>
        <w:rPr>
          <w:rFonts w:hint="eastAsia" w:ascii="宋体" w:hAnsi="宋体" w:eastAsia="宋体" w:cs="宋体"/>
          <w:color w:val="000000"/>
          <w:sz w:val="24"/>
        </w:rPr>
        <w:t>.2供应商认为招标文件、采购过程和成交结果使自己的权益受到损害的，可以在知道或者应知其权益受到损害之日起七个工作日内，以书面形式向采购人或者采购机构提出质</w:t>
      </w:r>
      <w:r>
        <w:rPr>
          <w:rFonts w:hint="eastAsia" w:ascii="宋体" w:hAnsi="宋体" w:eastAsia="宋体" w:cs="宋体"/>
          <w:sz w:val="24"/>
        </w:rPr>
        <w:t>疑，否则，采购人或者采购机构不予受理：</w:t>
      </w:r>
    </w:p>
    <w:p w14:paraId="405C99E2">
      <w:pPr>
        <w:pStyle w:val="616"/>
        <w:keepNext w:val="0"/>
        <w:keepLines w:val="0"/>
        <w:pageBreakBefore w:val="0"/>
        <w:shd w:val="clear" w:color="auto" w:fill="FFFFFF"/>
        <w:kinsoku/>
        <w:wordWrap/>
        <w:overflowPunct/>
        <w:topLinePunct w:val="0"/>
        <w:bidi w:val="0"/>
        <w:snapToGrid w:val="0"/>
        <w:spacing w:before="0" w:beforeAutospacing="0" w:after="0" w:afterAutospacing="0" w:line="360" w:lineRule="auto"/>
        <w:ind w:right="0" w:firstLine="480" w:firstLineChars="200"/>
        <w:contextualSpacing/>
        <w:textAlignment w:val="auto"/>
        <w:rPr>
          <w:rFonts w:hint="eastAsia" w:ascii="宋体" w:hAnsi="宋体" w:eastAsia="宋体" w:cs="宋体"/>
        </w:rPr>
      </w:pPr>
      <w:r>
        <w:rPr>
          <w:rFonts w:hint="eastAsia" w:ascii="宋体" w:hAnsi="宋体" w:eastAsia="宋体" w:cs="宋体"/>
          <w:lang w:val="zh-CN"/>
        </w:rPr>
        <w:t>4.2</w:t>
      </w:r>
      <w:r>
        <w:rPr>
          <w:rFonts w:hint="eastAsia" w:ascii="宋体" w:hAnsi="宋体" w:eastAsia="宋体" w:cs="宋体"/>
        </w:rPr>
        <w:t>.4采购人或者采购机构应当在收到供应商的书面质疑后七个工作日内作出答复，并以书面形式通知质疑供应商和其他与质疑处理结果有利害关系的采购当事人，但答复的内容不得涉及商业秘密。</w:t>
      </w:r>
    </w:p>
    <w:p w14:paraId="3F6A4A5C">
      <w:pPr>
        <w:pStyle w:val="616"/>
        <w:keepNext w:val="0"/>
        <w:keepLines w:val="0"/>
        <w:pageBreakBefore w:val="0"/>
        <w:shd w:val="clear" w:color="auto" w:fill="FFFFFF"/>
        <w:kinsoku/>
        <w:wordWrap/>
        <w:overflowPunct/>
        <w:topLinePunct w:val="0"/>
        <w:bidi w:val="0"/>
        <w:snapToGrid w:val="0"/>
        <w:spacing w:before="0" w:beforeAutospacing="0" w:after="0" w:afterAutospacing="0" w:line="360" w:lineRule="auto"/>
        <w:ind w:right="0" w:firstLine="480" w:firstLineChars="200"/>
        <w:contextualSpacing/>
        <w:textAlignment w:val="auto"/>
        <w:rPr>
          <w:rFonts w:hint="eastAsia" w:ascii="宋体" w:hAnsi="宋体" w:eastAsia="宋体" w:cs="宋体"/>
          <w:color w:val="000000"/>
        </w:rPr>
      </w:pPr>
      <w:r>
        <w:rPr>
          <w:rFonts w:hint="eastAsia" w:ascii="宋体" w:hAnsi="宋体" w:eastAsia="宋体" w:cs="宋体"/>
          <w:color w:val="000000"/>
          <w:lang w:val="zh-CN"/>
        </w:rPr>
        <w:t>4.2</w:t>
      </w:r>
      <w:r>
        <w:rPr>
          <w:rFonts w:hint="eastAsia" w:ascii="宋体" w:hAnsi="宋体" w:eastAsia="宋体" w:cs="宋体"/>
          <w:color w:val="000000"/>
        </w:rPr>
        <w:t>.5询问或者质疑事项可能影响采购结果的，采购人应当暂停签订合同，已经签订合同的，应当中止履行合同。</w:t>
      </w:r>
    </w:p>
    <w:p w14:paraId="7F68A37D">
      <w:pPr>
        <w:pStyle w:val="217"/>
        <w:snapToGrid w:val="0"/>
        <w:spacing w:before="0"/>
        <w:ind w:firstLine="360"/>
        <w:rPr>
          <w:rFonts w:hint="eastAsia" w:ascii="宋体" w:hAnsi="宋体" w:eastAsia="宋体" w:cs="宋体"/>
          <w:color w:val="000000"/>
          <w:sz w:val="18"/>
          <w:szCs w:val="18"/>
        </w:rPr>
      </w:pPr>
    </w:p>
    <w:p w14:paraId="59956DA4">
      <w:pPr>
        <w:adjustRightInd/>
        <w:spacing w:line="360" w:lineRule="auto"/>
        <w:jc w:val="center"/>
        <w:outlineLvl w:val="0"/>
        <w:rPr>
          <w:rFonts w:hint="eastAsia" w:ascii="宋体" w:hAnsi="宋体" w:eastAsia="宋体" w:cs="宋体"/>
          <w:b/>
          <w:color w:val="000000"/>
          <w:sz w:val="32"/>
          <w:szCs w:val="20"/>
        </w:rPr>
      </w:pPr>
      <w:bookmarkStart w:id="40" w:name="_Hlt74707468"/>
      <w:bookmarkEnd w:id="40"/>
      <w:bookmarkStart w:id="41" w:name="_Hlt74730295"/>
      <w:bookmarkEnd w:id="41"/>
      <w:bookmarkStart w:id="42" w:name="_Hlt68072990"/>
      <w:bookmarkEnd w:id="42"/>
      <w:bookmarkStart w:id="43" w:name="_Hlt75236290"/>
      <w:bookmarkEnd w:id="43"/>
      <w:bookmarkStart w:id="44" w:name="_Hlt74714665"/>
      <w:bookmarkEnd w:id="44"/>
      <w:bookmarkStart w:id="45" w:name="_Hlt68057669"/>
      <w:bookmarkEnd w:id="45"/>
      <w:bookmarkStart w:id="46" w:name="_Hlt74729768"/>
      <w:bookmarkEnd w:id="46"/>
      <w:bookmarkStart w:id="47" w:name="_Toc91899879"/>
      <w:r>
        <w:rPr>
          <w:rFonts w:hint="eastAsia" w:ascii="宋体" w:hAnsi="宋体" w:eastAsia="宋体" w:cs="宋体"/>
          <w:b/>
          <w:color w:val="000000"/>
          <w:sz w:val="32"/>
          <w:szCs w:val="20"/>
        </w:rPr>
        <w:t>二、招标文件</w:t>
      </w:r>
      <w:bookmarkEnd w:id="47"/>
      <w:r>
        <w:rPr>
          <w:rFonts w:hint="eastAsia" w:ascii="宋体" w:hAnsi="宋体" w:eastAsia="宋体" w:cs="宋体"/>
          <w:b/>
          <w:color w:val="000000"/>
          <w:sz w:val="32"/>
          <w:szCs w:val="20"/>
        </w:rPr>
        <w:t>的构成、澄清、修改</w:t>
      </w:r>
    </w:p>
    <w:p w14:paraId="1305A4FC">
      <w:pPr>
        <w:pStyle w:val="33"/>
        <w:spacing w:line="360" w:lineRule="auto"/>
        <w:ind w:right="-512" w:firstLine="576"/>
        <w:rPr>
          <w:rFonts w:hint="eastAsia" w:ascii="宋体" w:hAnsi="宋体" w:eastAsia="宋体" w:cs="宋体"/>
          <w:b/>
          <w:color w:val="000000"/>
          <w:sz w:val="24"/>
          <w:szCs w:val="24"/>
        </w:rPr>
      </w:pPr>
      <w:bookmarkStart w:id="48" w:name="_Toc91899880"/>
      <w:bookmarkStart w:id="49" w:name="_Hlt74730307"/>
      <w:r>
        <w:rPr>
          <w:rFonts w:hint="eastAsia" w:ascii="宋体" w:hAnsi="宋体" w:eastAsia="宋体" w:cs="宋体"/>
          <w:b/>
          <w:color w:val="000000"/>
          <w:sz w:val="24"/>
          <w:szCs w:val="24"/>
        </w:rPr>
        <w:t>5．招标文件的构成</w:t>
      </w:r>
      <w:bookmarkEnd w:id="48"/>
    </w:p>
    <w:bookmarkEnd w:id="49"/>
    <w:p w14:paraId="685F8216">
      <w:pPr>
        <w:pStyle w:val="33"/>
        <w:spacing w:line="360" w:lineRule="auto"/>
        <w:ind w:right="-512"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5.1 招标文件包括下列文件及附件</w:t>
      </w:r>
    </w:p>
    <w:p w14:paraId="199C2828">
      <w:pPr>
        <w:pStyle w:val="33"/>
        <w:numPr>
          <w:ilvl w:val="0"/>
          <w:numId w:val="4"/>
        </w:numPr>
        <w:spacing w:line="360" w:lineRule="auto"/>
        <w:ind w:left="-359" w:right="-512"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第一部分 招标公告</w:t>
      </w:r>
    </w:p>
    <w:p w14:paraId="7F027DE8">
      <w:pPr>
        <w:pStyle w:val="33"/>
        <w:numPr>
          <w:ilvl w:val="0"/>
          <w:numId w:val="4"/>
        </w:numPr>
        <w:spacing w:line="360" w:lineRule="auto"/>
        <w:ind w:left="-359" w:right="-512"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第二部分 投标人须知</w:t>
      </w:r>
    </w:p>
    <w:p w14:paraId="50D6E167">
      <w:pPr>
        <w:pStyle w:val="33"/>
        <w:numPr>
          <w:ilvl w:val="0"/>
          <w:numId w:val="4"/>
        </w:numPr>
        <w:spacing w:line="360" w:lineRule="auto"/>
        <w:ind w:left="-359" w:right="-512"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第三部分 采购需求</w:t>
      </w:r>
    </w:p>
    <w:p w14:paraId="16953F16">
      <w:pPr>
        <w:pStyle w:val="33"/>
        <w:numPr>
          <w:ilvl w:val="0"/>
          <w:numId w:val="4"/>
        </w:numPr>
        <w:spacing w:line="360" w:lineRule="auto"/>
        <w:ind w:left="-359" w:right="-512"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第四部分 评标方法及评分标准</w:t>
      </w:r>
    </w:p>
    <w:p w14:paraId="42B8639E">
      <w:pPr>
        <w:pStyle w:val="33"/>
        <w:numPr>
          <w:ilvl w:val="0"/>
          <w:numId w:val="4"/>
        </w:numPr>
        <w:spacing w:line="360" w:lineRule="auto"/>
        <w:ind w:left="-359" w:right="-512"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第五部分 应提交的有关格式范例</w:t>
      </w:r>
    </w:p>
    <w:p w14:paraId="63E6271D">
      <w:pPr>
        <w:wordWrap w:val="0"/>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color w:val="000000"/>
          <w:sz w:val="24"/>
        </w:rPr>
        <w:t>5.2与本项目有关的</w:t>
      </w:r>
      <w:r>
        <w:rPr>
          <w:rFonts w:hint="eastAsia" w:ascii="宋体" w:hAnsi="宋体" w:eastAsia="宋体" w:cs="宋体"/>
          <w:bCs/>
          <w:color w:val="000000"/>
          <w:sz w:val="24"/>
        </w:rPr>
        <w:t>澄清或者修改等公告、内容亦为招标文件的组成部分，投标人须自行于招标公告所在网站获取相关信息（浙江政府采购网）</w:t>
      </w:r>
      <w:r>
        <w:rPr>
          <w:rFonts w:hint="eastAsia" w:ascii="宋体" w:hAnsi="宋体" w:eastAsia="宋体" w:cs="宋体"/>
          <w:color w:val="000000"/>
          <w:sz w:val="24"/>
        </w:rPr>
        <w:t>。</w:t>
      </w:r>
    </w:p>
    <w:p w14:paraId="42516CB9">
      <w:pPr>
        <w:pStyle w:val="33"/>
        <w:spacing w:line="360" w:lineRule="auto"/>
        <w:ind w:right="-512" w:firstLine="576"/>
        <w:rPr>
          <w:rFonts w:hint="eastAsia" w:ascii="宋体" w:hAnsi="宋体" w:eastAsia="宋体" w:cs="宋体"/>
          <w:b/>
          <w:color w:val="000000"/>
          <w:sz w:val="24"/>
          <w:szCs w:val="24"/>
        </w:rPr>
      </w:pPr>
      <w:r>
        <w:rPr>
          <w:rFonts w:hint="eastAsia" w:ascii="宋体" w:hAnsi="宋体" w:eastAsia="宋体" w:cs="宋体"/>
          <w:b/>
          <w:color w:val="000000"/>
          <w:sz w:val="24"/>
          <w:szCs w:val="24"/>
        </w:rPr>
        <w:t>6. 招标文件的澄清、修改</w:t>
      </w:r>
    </w:p>
    <w:p w14:paraId="33D8E757">
      <w:pPr>
        <w:pStyle w:val="217"/>
        <w:snapToGrid w:val="0"/>
        <w:spacing w:before="0"/>
        <w:ind w:firstLine="480"/>
        <w:rPr>
          <w:rFonts w:hint="eastAsia" w:ascii="宋体" w:hAnsi="宋体" w:eastAsia="宋体" w:cs="宋体"/>
          <w:color w:val="000000"/>
        </w:rPr>
      </w:pPr>
      <w:r>
        <w:rPr>
          <w:rFonts w:hint="eastAsia" w:ascii="宋体" w:hAnsi="宋体" w:eastAsia="宋体" w:cs="宋体"/>
          <w:color w:val="000000"/>
        </w:rPr>
        <w:t>6.1已获取招标文件的潜在投标人，若有问题需要澄清，应于投标截止时间前，以书面形式向采购机构提出，采购机构与采购人研究后，对认为有必要回答的问题，将以公告形式通知所有招标文件收受人。</w:t>
      </w:r>
    </w:p>
    <w:p w14:paraId="37FB5AFB">
      <w:pPr>
        <w:pStyle w:val="217"/>
        <w:snapToGrid w:val="0"/>
        <w:spacing w:before="0"/>
        <w:ind w:firstLine="480"/>
        <w:rPr>
          <w:rFonts w:hint="eastAsia" w:ascii="宋体" w:hAnsi="宋体" w:eastAsia="宋体" w:cs="宋体"/>
        </w:rPr>
      </w:pPr>
      <w:r>
        <w:rPr>
          <w:rFonts w:hint="eastAsia" w:ascii="宋体" w:hAnsi="宋体" w:eastAsia="宋体" w:cs="宋体"/>
        </w:rPr>
        <w:t>6.2采购机构如对已发出的招标文件进行必要澄清或者修改的，将在发布招标公告的网站上发布更正、补遗公告，同时视情况延长投标截止时间和开标时间。该公告澄清或者修改的内容为招标文件的组成部分。</w:t>
      </w:r>
    </w:p>
    <w:p w14:paraId="35BCA9AA">
      <w:pPr>
        <w:spacing w:line="360" w:lineRule="auto"/>
        <w:ind w:firstLine="482" w:firstLineChars="200"/>
        <w:rPr>
          <w:rFonts w:hint="eastAsia" w:ascii="宋体" w:hAnsi="宋体" w:eastAsia="宋体" w:cs="宋体"/>
          <w:b/>
          <w:sz w:val="24"/>
          <w:szCs w:val="21"/>
        </w:rPr>
      </w:pPr>
      <w:r>
        <w:rPr>
          <w:rFonts w:hint="eastAsia" w:ascii="宋体" w:hAnsi="宋体" w:eastAsia="宋体" w:cs="宋体"/>
          <w:b/>
          <w:sz w:val="24"/>
        </w:rPr>
        <w:t>▲</w:t>
      </w:r>
      <w:r>
        <w:rPr>
          <w:rFonts w:hint="eastAsia" w:ascii="宋体" w:hAnsi="宋体" w:eastAsia="宋体" w:cs="宋体"/>
          <w:b/>
          <w:sz w:val="24"/>
          <w:szCs w:val="21"/>
        </w:rPr>
        <w:t>投标文件未按招标文件更正、补遗公告的澄清、修改的内容编制，又不符合实质性要求的，投标无效。</w:t>
      </w:r>
    </w:p>
    <w:p w14:paraId="44C41AA7">
      <w:pPr>
        <w:pStyle w:val="22"/>
        <w:rPr>
          <w:rFonts w:hint="eastAsia" w:ascii="宋体" w:hAnsi="宋体" w:eastAsia="宋体" w:cs="宋体"/>
          <w:color w:val="000000"/>
          <w:sz w:val="18"/>
          <w:szCs w:val="18"/>
          <w:lang w:val="en-US"/>
        </w:rPr>
      </w:pPr>
    </w:p>
    <w:p w14:paraId="41995D7F">
      <w:pPr>
        <w:adjustRightInd/>
        <w:spacing w:line="360" w:lineRule="auto"/>
        <w:jc w:val="center"/>
        <w:outlineLvl w:val="0"/>
        <w:rPr>
          <w:rFonts w:hint="eastAsia" w:ascii="宋体" w:hAnsi="宋体" w:eastAsia="宋体" w:cs="宋体"/>
          <w:b/>
          <w:color w:val="000000"/>
          <w:sz w:val="30"/>
          <w:szCs w:val="20"/>
        </w:rPr>
      </w:pPr>
      <w:bookmarkStart w:id="50" w:name="_Hlt75236011"/>
      <w:bookmarkEnd w:id="50"/>
      <w:bookmarkStart w:id="51" w:name="_Toc91899884"/>
      <w:r>
        <w:rPr>
          <w:rFonts w:hint="eastAsia" w:ascii="宋体" w:hAnsi="宋体" w:eastAsia="宋体" w:cs="宋体"/>
          <w:b/>
          <w:color w:val="000000"/>
          <w:sz w:val="30"/>
          <w:szCs w:val="20"/>
        </w:rPr>
        <w:t>三、</w:t>
      </w:r>
      <w:bookmarkEnd w:id="51"/>
      <w:r>
        <w:rPr>
          <w:rFonts w:hint="eastAsia" w:ascii="宋体" w:hAnsi="宋体" w:eastAsia="宋体" w:cs="宋体"/>
          <w:b/>
          <w:color w:val="000000"/>
          <w:sz w:val="30"/>
          <w:szCs w:val="20"/>
        </w:rPr>
        <w:t>投标</w:t>
      </w:r>
    </w:p>
    <w:p w14:paraId="0DC4D4A4">
      <w:pPr>
        <w:pStyle w:val="33"/>
        <w:keepNext w:val="0"/>
        <w:keepLines w:val="0"/>
        <w:pageBreakBefore w:val="0"/>
        <w:widowControl w:val="0"/>
        <w:kinsoku/>
        <w:wordWrap/>
        <w:overflowPunct/>
        <w:topLinePunct w:val="0"/>
        <w:bidi w:val="0"/>
        <w:spacing w:line="360" w:lineRule="auto"/>
        <w:ind w:left="0" w:leftChars="0" w:right="0" w:firstLine="482" w:firstLineChars="200"/>
        <w:textAlignment w:val="auto"/>
        <w:rPr>
          <w:rFonts w:hint="eastAsia" w:ascii="宋体" w:hAnsi="宋体" w:eastAsia="宋体" w:cs="宋体"/>
          <w:b/>
          <w:sz w:val="24"/>
          <w:szCs w:val="24"/>
        </w:rPr>
      </w:pPr>
      <w:bookmarkStart w:id="52" w:name="_Toc86216991"/>
      <w:bookmarkStart w:id="53" w:name="_Toc91899892"/>
      <w:r>
        <w:rPr>
          <w:rFonts w:hint="eastAsia" w:ascii="宋体" w:hAnsi="宋体" w:eastAsia="宋体" w:cs="宋体"/>
          <w:b/>
          <w:sz w:val="24"/>
          <w:szCs w:val="24"/>
        </w:rPr>
        <w:t>7.招标文件的获取</w:t>
      </w:r>
    </w:p>
    <w:p w14:paraId="692A7F70">
      <w:pPr>
        <w:keepNext w:val="0"/>
        <w:keepLines w:val="0"/>
        <w:pageBreakBefore w:val="0"/>
        <w:widowControl w:val="0"/>
        <w:kinsoku/>
        <w:wordWrap/>
        <w:overflowPunct/>
        <w:topLinePunct w:val="0"/>
        <w:bidi w:val="0"/>
        <w:spacing w:line="360" w:lineRule="auto"/>
        <w:ind w:left="0" w:leftChars="0" w:right="0" w:firstLine="480" w:firstLineChars="200"/>
        <w:textAlignment w:val="auto"/>
        <w:rPr>
          <w:rFonts w:hint="eastAsia" w:ascii="宋体" w:hAnsi="宋体" w:eastAsia="宋体" w:cs="宋体"/>
          <w:snapToGrid w:val="0"/>
          <w:color w:val="000000"/>
          <w:kern w:val="28"/>
          <w:sz w:val="24"/>
        </w:rPr>
      </w:pPr>
      <w:r>
        <w:rPr>
          <w:rFonts w:hint="eastAsia" w:ascii="宋体" w:hAnsi="宋体" w:eastAsia="宋体" w:cs="宋体"/>
          <w:snapToGrid w:val="0"/>
          <w:color w:val="000000"/>
          <w:kern w:val="28"/>
          <w:sz w:val="24"/>
        </w:rPr>
        <w:t>详见招标公告中获取招标文件的时间期限、地点、方式。附件中直接下载仅供浏览使用。</w:t>
      </w:r>
    </w:p>
    <w:p w14:paraId="26B20A73">
      <w:pPr>
        <w:keepNext w:val="0"/>
        <w:keepLines w:val="0"/>
        <w:pageBreakBefore w:val="0"/>
        <w:widowControl w:val="0"/>
        <w:kinsoku/>
        <w:wordWrap/>
        <w:overflowPunct/>
        <w:topLinePunct w:val="0"/>
        <w:bidi w:val="0"/>
        <w:spacing w:line="360" w:lineRule="auto"/>
        <w:ind w:left="0" w:leftChars="0" w:right="0" w:firstLine="482" w:firstLineChars="200"/>
        <w:textAlignment w:val="auto"/>
        <w:rPr>
          <w:rFonts w:hint="eastAsia" w:ascii="宋体" w:hAnsi="宋体" w:eastAsia="宋体" w:cs="宋体"/>
          <w:b/>
          <w:color w:val="000000"/>
          <w:sz w:val="24"/>
          <w:szCs w:val="21"/>
        </w:rPr>
      </w:pPr>
      <w:r>
        <w:rPr>
          <w:rFonts w:hint="eastAsia" w:ascii="宋体" w:hAnsi="宋体" w:eastAsia="宋体" w:cs="宋体"/>
          <w:b/>
          <w:color w:val="000000"/>
          <w:sz w:val="24"/>
        </w:rPr>
        <w:t>▲</w:t>
      </w:r>
      <w:r>
        <w:rPr>
          <w:rFonts w:hint="eastAsia" w:ascii="宋体" w:hAnsi="宋体" w:eastAsia="宋体" w:cs="宋体"/>
          <w:b/>
          <w:color w:val="000000"/>
          <w:sz w:val="24"/>
          <w:szCs w:val="21"/>
        </w:rPr>
        <w:t>未按照公告要求完</w:t>
      </w:r>
      <w:r>
        <w:rPr>
          <w:rFonts w:hint="eastAsia" w:ascii="宋体" w:hAnsi="宋体" w:eastAsia="宋体" w:cs="宋体"/>
          <w:b/>
          <w:sz w:val="24"/>
          <w:szCs w:val="21"/>
        </w:rPr>
        <w:t>成招标文件获取的</w:t>
      </w:r>
      <w:r>
        <w:rPr>
          <w:rFonts w:hint="eastAsia" w:ascii="宋体" w:hAnsi="宋体" w:eastAsia="宋体" w:cs="宋体"/>
          <w:b/>
          <w:color w:val="000000" w:themeColor="text1"/>
          <w:sz w:val="24"/>
          <w:szCs w:val="21"/>
          <w14:textFill>
            <w14:solidFill>
              <w14:schemeClr w14:val="tx1"/>
            </w14:solidFill>
          </w14:textFill>
        </w:rPr>
        <w:t>，投标无效。</w:t>
      </w:r>
    </w:p>
    <w:p w14:paraId="6C0D812F">
      <w:pPr>
        <w:pStyle w:val="33"/>
        <w:keepNext w:val="0"/>
        <w:keepLines w:val="0"/>
        <w:pageBreakBefore w:val="0"/>
        <w:widowControl w:val="0"/>
        <w:kinsoku/>
        <w:wordWrap/>
        <w:overflowPunct/>
        <w:topLinePunct w:val="0"/>
        <w:bidi w:val="0"/>
        <w:spacing w:line="360" w:lineRule="auto"/>
        <w:ind w:left="0" w:leftChars="0" w:right="0"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8.开标前答疑会或现场考察</w:t>
      </w:r>
    </w:p>
    <w:p w14:paraId="18DCEFF8">
      <w:pPr>
        <w:pStyle w:val="33"/>
        <w:keepNext w:val="0"/>
        <w:keepLines w:val="0"/>
        <w:pageBreakBefore w:val="0"/>
        <w:widowControl w:val="0"/>
        <w:kinsoku/>
        <w:wordWrap/>
        <w:overflowPunct/>
        <w:topLinePunct w:val="0"/>
        <w:bidi w:val="0"/>
        <w:spacing w:line="360" w:lineRule="auto"/>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采购人视采购项目的具体情况，如果采购人组织潜在投标人现场考察或者召开开标前答疑会的，潜在投标人按前附表的规定参加现场考察或者开标前答疑会。</w:t>
      </w:r>
      <w:r>
        <w:rPr>
          <w:rFonts w:hint="eastAsia" w:ascii="宋体" w:hAnsi="宋体" w:eastAsia="宋体" w:cs="宋体"/>
          <w:b/>
          <w:color w:val="000000"/>
          <w:sz w:val="24"/>
          <w:szCs w:val="24"/>
        </w:rPr>
        <w:t>采购人不单独或分别组织只有一个供应商参加的现场考察和答疑会。</w:t>
      </w:r>
    </w:p>
    <w:p w14:paraId="315662D5">
      <w:pPr>
        <w:pStyle w:val="33"/>
        <w:keepNext w:val="0"/>
        <w:keepLines w:val="0"/>
        <w:pageBreakBefore w:val="0"/>
        <w:widowControl w:val="0"/>
        <w:kinsoku/>
        <w:wordWrap/>
        <w:overflowPunct/>
        <w:topLinePunct w:val="0"/>
        <w:bidi w:val="0"/>
        <w:spacing w:line="360" w:lineRule="auto"/>
        <w:ind w:left="0" w:leftChars="0" w:right="0" w:firstLine="482" w:firstLineChars="200"/>
        <w:textAlignment w:val="auto"/>
        <w:rPr>
          <w:rFonts w:hint="eastAsia" w:ascii="宋体" w:hAnsi="宋体" w:eastAsia="宋体" w:cs="宋体"/>
          <w:b/>
          <w:color w:val="000000"/>
          <w:szCs w:val="24"/>
        </w:rPr>
      </w:pPr>
      <w:r>
        <w:rPr>
          <w:rFonts w:hint="eastAsia" w:ascii="宋体" w:hAnsi="宋体" w:eastAsia="宋体" w:cs="宋体"/>
          <w:b/>
          <w:color w:val="000000"/>
          <w:kern w:val="28"/>
          <w:sz w:val="24"/>
          <w:szCs w:val="24"/>
        </w:rPr>
        <w:t>9.投标保证金</w:t>
      </w:r>
    </w:p>
    <w:p w14:paraId="6353A502">
      <w:pPr>
        <w:pStyle w:val="217"/>
        <w:keepNext w:val="0"/>
        <w:keepLines w:val="0"/>
        <w:pageBreakBefore w:val="0"/>
        <w:widowControl w:val="0"/>
        <w:kinsoku/>
        <w:wordWrap/>
        <w:overflowPunct/>
        <w:topLinePunct w:val="0"/>
        <w:bidi w:val="0"/>
        <w:snapToGrid w:val="0"/>
        <w:spacing w:before="0" w:line="360" w:lineRule="auto"/>
        <w:ind w:left="0" w:leftChars="0" w:right="0" w:firstLine="480" w:firstLineChars="200"/>
        <w:textAlignment w:val="auto"/>
        <w:rPr>
          <w:rFonts w:hint="eastAsia" w:ascii="宋体" w:hAnsi="宋体" w:eastAsia="宋体" w:cs="宋体"/>
          <w:color w:val="000000"/>
          <w:lang w:val="zh-CN"/>
        </w:rPr>
      </w:pPr>
      <w:r>
        <w:rPr>
          <w:rFonts w:hint="eastAsia" w:ascii="宋体" w:hAnsi="宋体" w:eastAsia="宋体" w:cs="宋体"/>
          <w:color w:val="000000"/>
        </w:rPr>
        <w:t>本项目不收取投标保证金。</w:t>
      </w:r>
    </w:p>
    <w:p w14:paraId="59753171">
      <w:pPr>
        <w:pStyle w:val="33"/>
        <w:keepNext w:val="0"/>
        <w:keepLines w:val="0"/>
        <w:pageBreakBefore w:val="0"/>
        <w:widowControl w:val="0"/>
        <w:kinsoku/>
        <w:wordWrap/>
        <w:overflowPunct/>
        <w:topLinePunct w:val="0"/>
        <w:bidi w:val="0"/>
        <w:spacing w:line="360" w:lineRule="auto"/>
        <w:ind w:left="0" w:leftChars="0" w:right="0"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10. 投标文件的语言</w:t>
      </w:r>
    </w:p>
    <w:p w14:paraId="2366F12A">
      <w:pPr>
        <w:keepNext w:val="0"/>
        <w:keepLines w:val="0"/>
        <w:pageBreakBefore w:val="0"/>
        <w:widowControl w:val="0"/>
        <w:kinsoku/>
        <w:wordWrap/>
        <w:overflowPunct/>
        <w:topLinePunct w:val="0"/>
        <w:autoSpaceDE w:val="0"/>
        <w:autoSpaceDN w:val="0"/>
        <w:bidi w:val="0"/>
        <w:spacing w:line="360" w:lineRule="auto"/>
        <w:ind w:left="0" w:leftChars="0" w:right="0" w:firstLine="480" w:firstLineChars="200"/>
        <w:textAlignment w:val="auto"/>
        <w:rPr>
          <w:rFonts w:hint="eastAsia" w:ascii="宋体" w:hAnsi="宋体" w:eastAsia="宋体" w:cs="宋体"/>
          <w:color w:val="000000"/>
          <w:sz w:val="24"/>
          <w:lang w:val="zh-CN"/>
        </w:rPr>
      </w:pPr>
      <w:r>
        <w:rPr>
          <w:rFonts w:hint="eastAsia" w:ascii="宋体" w:hAnsi="宋体" w:eastAsia="宋体" w:cs="宋体"/>
          <w:color w:val="000000"/>
          <w:sz w:val="24"/>
        </w:rPr>
        <w:t>投标文件及投标人与采购有关的来往通知、函件和文件均应使用中文。</w:t>
      </w:r>
    </w:p>
    <w:p w14:paraId="3CADDE90">
      <w:pPr>
        <w:pStyle w:val="33"/>
        <w:keepNext w:val="0"/>
        <w:keepLines w:val="0"/>
        <w:pageBreakBefore w:val="0"/>
        <w:widowControl w:val="0"/>
        <w:kinsoku/>
        <w:wordWrap/>
        <w:overflowPunct/>
        <w:topLinePunct w:val="0"/>
        <w:bidi w:val="0"/>
        <w:spacing w:line="360" w:lineRule="auto"/>
        <w:ind w:left="0" w:leftChars="0" w:right="0"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11. 投标文件的组成</w:t>
      </w:r>
    </w:p>
    <w:p w14:paraId="66029B6B">
      <w:pPr>
        <w:keepNext w:val="0"/>
        <w:keepLines w:val="0"/>
        <w:pageBreakBefore w:val="0"/>
        <w:widowControl w:val="0"/>
        <w:kinsoku/>
        <w:wordWrap/>
        <w:overflowPunct/>
        <w:topLinePunct w:val="0"/>
        <w:bidi w:val="0"/>
        <w:snapToGrid w:val="0"/>
        <w:spacing w:line="360" w:lineRule="auto"/>
        <w:ind w:left="0" w:leftChars="0" w:right="0" w:firstLine="480" w:firstLineChars="200"/>
        <w:textAlignment w:val="auto"/>
        <w:rPr>
          <w:rFonts w:hint="eastAsia" w:ascii="宋体" w:hAnsi="宋体" w:eastAsia="宋体" w:cs="宋体"/>
          <w:sz w:val="24"/>
        </w:rPr>
      </w:pPr>
      <w:bookmarkStart w:id="54" w:name="_Toc91899887"/>
      <w:r>
        <w:rPr>
          <w:rFonts w:hint="eastAsia" w:ascii="宋体" w:hAnsi="宋体" w:eastAsia="宋体" w:cs="宋体"/>
          <w:sz w:val="24"/>
        </w:rPr>
        <w:t>11.1</w:t>
      </w:r>
      <w:r>
        <w:rPr>
          <w:rFonts w:hint="eastAsia" w:ascii="宋体" w:hAnsi="宋体" w:eastAsia="宋体" w:cs="宋体"/>
          <w:b/>
          <w:sz w:val="24"/>
        </w:rPr>
        <w:t>资格文件</w:t>
      </w:r>
      <w:r>
        <w:rPr>
          <w:rFonts w:hint="eastAsia" w:ascii="宋体" w:hAnsi="宋体" w:eastAsia="宋体" w:cs="宋体"/>
          <w:sz w:val="24"/>
        </w:rPr>
        <w:t>：</w:t>
      </w:r>
    </w:p>
    <w:p w14:paraId="7A1FF1E0">
      <w:pPr>
        <w:keepNext w:val="0"/>
        <w:keepLines w:val="0"/>
        <w:pageBreakBefore w:val="0"/>
        <w:widowControl w:val="0"/>
        <w:kinsoku/>
        <w:wordWrap/>
        <w:overflowPunct/>
        <w:topLinePunct w:val="0"/>
        <w:bidi w:val="0"/>
        <w:snapToGrid w:val="0"/>
        <w:spacing w:line="360" w:lineRule="auto"/>
        <w:ind w:left="0" w:leftChars="0" w:right="0" w:firstLine="480" w:firstLineChars="200"/>
        <w:textAlignment w:val="auto"/>
        <w:rPr>
          <w:rFonts w:hint="eastAsia" w:ascii="宋体" w:hAnsi="宋体" w:eastAsia="宋体" w:cs="宋体"/>
          <w:sz w:val="24"/>
        </w:rPr>
      </w:pPr>
      <w:r>
        <w:rPr>
          <w:rFonts w:hint="eastAsia" w:ascii="宋体" w:hAnsi="宋体" w:eastAsia="宋体" w:cs="宋体"/>
          <w:sz w:val="24"/>
        </w:rPr>
        <w:t>11.1.1符合参加采购活动应当具备的一般条件的承诺函；</w:t>
      </w:r>
    </w:p>
    <w:p w14:paraId="651C9BC1">
      <w:pPr>
        <w:keepNext w:val="0"/>
        <w:keepLines w:val="0"/>
        <w:pageBreakBefore w:val="0"/>
        <w:widowControl w:val="0"/>
        <w:kinsoku/>
        <w:wordWrap/>
        <w:overflowPunct/>
        <w:topLinePunct w:val="0"/>
        <w:bidi w:val="0"/>
        <w:snapToGrid w:val="0"/>
        <w:spacing w:line="360" w:lineRule="auto"/>
        <w:ind w:left="0" w:leftChars="0" w:right="0" w:firstLine="480" w:firstLineChars="200"/>
        <w:textAlignment w:val="auto"/>
        <w:rPr>
          <w:rFonts w:hint="eastAsia" w:ascii="宋体" w:hAnsi="宋体" w:eastAsia="宋体" w:cs="宋体"/>
          <w:sz w:val="24"/>
        </w:rPr>
      </w:pPr>
      <w:r>
        <w:rPr>
          <w:rFonts w:hint="eastAsia" w:ascii="宋体" w:hAnsi="宋体" w:eastAsia="宋体" w:cs="宋体"/>
          <w:sz w:val="24"/>
        </w:rPr>
        <w:t>11.1.2本项目的特定资格要求。</w:t>
      </w:r>
    </w:p>
    <w:p w14:paraId="3B94CD5F">
      <w:pPr>
        <w:keepNext w:val="0"/>
        <w:keepLines w:val="0"/>
        <w:pageBreakBefore w:val="0"/>
        <w:widowControl w:val="0"/>
        <w:kinsoku/>
        <w:wordWrap/>
        <w:overflowPunct/>
        <w:topLinePunct w:val="0"/>
        <w:bidi w:val="0"/>
        <w:snapToGrid w:val="0"/>
        <w:spacing w:line="360" w:lineRule="auto"/>
        <w:ind w:left="0" w:leftChars="0" w:right="0" w:firstLine="480" w:firstLineChars="200"/>
        <w:textAlignment w:val="auto"/>
        <w:rPr>
          <w:rFonts w:hint="eastAsia" w:ascii="宋体" w:hAnsi="宋体" w:eastAsia="宋体" w:cs="宋体"/>
          <w:sz w:val="24"/>
          <w:lang w:val="zh-CN"/>
        </w:rPr>
      </w:pPr>
      <w:r>
        <w:rPr>
          <w:rFonts w:hint="eastAsia" w:ascii="宋体" w:hAnsi="宋体" w:eastAsia="宋体" w:cs="宋体"/>
          <w:sz w:val="24"/>
          <w:lang w:val="zh-CN"/>
        </w:rPr>
        <w:t>11.</w:t>
      </w:r>
      <w:r>
        <w:rPr>
          <w:rFonts w:hint="eastAsia" w:ascii="宋体" w:hAnsi="宋体" w:eastAsia="宋体" w:cs="宋体"/>
          <w:sz w:val="24"/>
        </w:rPr>
        <w:t>2</w:t>
      </w:r>
      <w:r>
        <w:rPr>
          <w:rFonts w:hint="eastAsia" w:ascii="宋体" w:hAnsi="宋体" w:eastAsia="宋体" w:cs="宋体"/>
          <w:b/>
          <w:bCs/>
          <w:sz w:val="24"/>
        </w:rPr>
        <w:t>商务技术</w:t>
      </w:r>
      <w:r>
        <w:rPr>
          <w:rFonts w:hint="eastAsia" w:ascii="宋体" w:hAnsi="宋体" w:eastAsia="宋体" w:cs="宋体"/>
          <w:b/>
          <w:bCs/>
          <w:sz w:val="24"/>
          <w:lang w:val="zh-CN"/>
        </w:rPr>
        <w:t>文件</w:t>
      </w:r>
      <w:r>
        <w:rPr>
          <w:rFonts w:hint="eastAsia" w:ascii="宋体" w:hAnsi="宋体" w:eastAsia="宋体" w:cs="宋体"/>
          <w:sz w:val="24"/>
          <w:lang w:val="zh-CN"/>
        </w:rPr>
        <w:t>：</w:t>
      </w:r>
    </w:p>
    <w:p w14:paraId="336A344C">
      <w:pPr>
        <w:keepNext w:val="0"/>
        <w:keepLines w:val="0"/>
        <w:pageBreakBefore w:val="0"/>
        <w:widowControl w:val="0"/>
        <w:kinsoku/>
        <w:wordWrap/>
        <w:overflowPunct/>
        <w:topLinePunct w:val="0"/>
        <w:bidi w:val="0"/>
        <w:snapToGrid w:val="0"/>
        <w:spacing w:line="360" w:lineRule="auto"/>
        <w:ind w:left="0" w:leftChars="0" w:right="0" w:firstLine="480" w:firstLineChars="200"/>
        <w:textAlignment w:val="auto"/>
        <w:rPr>
          <w:rFonts w:hint="eastAsia" w:ascii="宋体" w:hAnsi="宋体" w:eastAsia="宋体" w:cs="宋体"/>
          <w:sz w:val="24"/>
        </w:rPr>
      </w:pPr>
      <w:r>
        <w:rPr>
          <w:rFonts w:hint="eastAsia" w:ascii="宋体" w:hAnsi="宋体" w:eastAsia="宋体" w:cs="宋体"/>
          <w:sz w:val="24"/>
        </w:rPr>
        <w:t>11.2.1投标函；</w:t>
      </w:r>
    </w:p>
    <w:p w14:paraId="6B7F6D8D">
      <w:pPr>
        <w:keepNext w:val="0"/>
        <w:keepLines w:val="0"/>
        <w:pageBreakBefore w:val="0"/>
        <w:widowControl w:val="0"/>
        <w:kinsoku/>
        <w:wordWrap/>
        <w:overflowPunct/>
        <w:topLinePunct w:val="0"/>
        <w:bidi w:val="0"/>
        <w:snapToGrid w:val="0"/>
        <w:spacing w:line="360" w:lineRule="auto"/>
        <w:ind w:left="0" w:leftChars="0" w:right="0" w:firstLine="480" w:firstLineChars="200"/>
        <w:textAlignment w:val="auto"/>
        <w:rPr>
          <w:rFonts w:hint="eastAsia" w:ascii="宋体" w:hAnsi="宋体" w:eastAsia="宋体" w:cs="宋体"/>
          <w:sz w:val="24"/>
        </w:rPr>
      </w:pPr>
      <w:r>
        <w:rPr>
          <w:rFonts w:hint="eastAsia" w:ascii="宋体" w:hAnsi="宋体" w:eastAsia="宋体" w:cs="宋体"/>
          <w:sz w:val="24"/>
        </w:rPr>
        <w:t>11.2.2授权委托书或法定代表人（单位负责人、自然人本人）身份证明；</w:t>
      </w:r>
    </w:p>
    <w:p w14:paraId="1D47DB33">
      <w:pPr>
        <w:keepNext w:val="0"/>
        <w:keepLines w:val="0"/>
        <w:pageBreakBefore w:val="0"/>
        <w:widowControl w:val="0"/>
        <w:kinsoku/>
        <w:wordWrap/>
        <w:overflowPunct/>
        <w:topLinePunct w:val="0"/>
        <w:bidi w:val="0"/>
        <w:snapToGrid w:val="0"/>
        <w:spacing w:line="360" w:lineRule="auto"/>
        <w:ind w:left="0" w:leftChars="0" w:right="0" w:firstLine="480" w:firstLineChars="200"/>
        <w:textAlignment w:val="auto"/>
        <w:rPr>
          <w:rFonts w:hint="eastAsia" w:ascii="宋体" w:hAnsi="宋体" w:eastAsia="宋体" w:cs="宋体"/>
          <w:sz w:val="24"/>
        </w:rPr>
      </w:pPr>
      <w:r>
        <w:rPr>
          <w:rFonts w:hint="eastAsia" w:ascii="宋体" w:hAnsi="宋体" w:eastAsia="宋体" w:cs="宋体"/>
          <w:sz w:val="24"/>
        </w:rPr>
        <w:t>11.2.3符合性审查资料；</w:t>
      </w:r>
    </w:p>
    <w:p w14:paraId="15C6DE1D">
      <w:pPr>
        <w:keepNext w:val="0"/>
        <w:keepLines w:val="0"/>
        <w:pageBreakBefore w:val="0"/>
        <w:widowControl w:val="0"/>
        <w:kinsoku/>
        <w:wordWrap/>
        <w:overflowPunct/>
        <w:topLinePunct w:val="0"/>
        <w:bidi w:val="0"/>
        <w:snapToGrid w:val="0"/>
        <w:spacing w:line="360" w:lineRule="auto"/>
        <w:ind w:left="0" w:leftChars="0" w:right="0" w:firstLine="480" w:firstLineChars="200"/>
        <w:textAlignment w:val="auto"/>
        <w:rPr>
          <w:rFonts w:hint="eastAsia" w:ascii="宋体" w:hAnsi="宋体" w:eastAsia="宋体" w:cs="宋体"/>
          <w:sz w:val="24"/>
        </w:rPr>
      </w:pPr>
      <w:r>
        <w:rPr>
          <w:rFonts w:hint="eastAsia" w:ascii="宋体" w:hAnsi="宋体" w:eastAsia="宋体" w:cs="宋体"/>
          <w:sz w:val="24"/>
        </w:rPr>
        <w:t>11.2.4评标标准相应的商务技术资料；</w:t>
      </w:r>
    </w:p>
    <w:p w14:paraId="3DD0B9C7">
      <w:pPr>
        <w:keepNext w:val="0"/>
        <w:keepLines w:val="0"/>
        <w:pageBreakBefore w:val="0"/>
        <w:widowControl w:val="0"/>
        <w:kinsoku/>
        <w:wordWrap/>
        <w:overflowPunct/>
        <w:topLinePunct w:val="0"/>
        <w:bidi w:val="0"/>
        <w:snapToGrid w:val="0"/>
        <w:spacing w:line="360" w:lineRule="auto"/>
        <w:ind w:left="0" w:leftChars="0" w:right="0" w:firstLine="480" w:firstLineChars="200"/>
        <w:textAlignment w:val="auto"/>
        <w:rPr>
          <w:rFonts w:hint="eastAsia" w:ascii="宋体" w:hAnsi="宋体" w:eastAsia="宋体" w:cs="宋体"/>
          <w:sz w:val="24"/>
        </w:rPr>
      </w:pPr>
      <w:r>
        <w:rPr>
          <w:rFonts w:hint="eastAsia" w:ascii="宋体" w:hAnsi="宋体" w:eastAsia="宋体" w:cs="宋体"/>
          <w:sz w:val="24"/>
        </w:rPr>
        <w:t>11.2.5商务技术偏离表；</w:t>
      </w:r>
    </w:p>
    <w:p w14:paraId="46AC85D2">
      <w:pPr>
        <w:keepNext w:val="0"/>
        <w:keepLines w:val="0"/>
        <w:pageBreakBefore w:val="0"/>
        <w:widowControl w:val="0"/>
        <w:kinsoku/>
        <w:wordWrap/>
        <w:overflowPunct/>
        <w:topLinePunct w:val="0"/>
        <w:bidi w:val="0"/>
        <w:snapToGrid w:val="0"/>
        <w:spacing w:line="360" w:lineRule="auto"/>
        <w:ind w:left="0" w:leftChars="0" w:right="0" w:firstLine="480" w:firstLineChars="200"/>
        <w:textAlignment w:val="auto"/>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11.</w:t>
      </w: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z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6</w:t>
      </w:r>
      <w:r>
        <w:rPr>
          <w:rFonts w:hint="eastAsia" w:ascii="宋体" w:hAnsi="宋体" w:eastAsia="宋体" w:cs="宋体"/>
          <w:color w:val="000000" w:themeColor="text1"/>
          <w:sz w:val="24"/>
          <w:lang w:val="zh-CN"/>
          <w14:textFill>
            <w14:solidFill>
              <w14:schemeClr w14:val="tx1"/>
            </w14:solidFill>
          </w14:textFill>
        </w:rPr>
        <w:t>采购供应商廉洁自律承诺书；</w:t>
      </w:r>
    </w:p>
    <w:p w14:paraId="66F68493">
      <w:pPr>
        <w:keepNext w:val="0"/>
        <w:keepLines w:val="0"/>
        <w:pageBreakBefore w:val="0"/>
        <w:widowControl w:val="0"/>
        <w:kinsoku/>
        <w:wordWrap/>
        <w:overflowPunct/>
        <w:topLinePunct w:val="0"/>
        <w:bidi w:val="0"/>
        <w:spacing w:line="360" w:lineRule="auto"/>
        <w:ind w:left="0" w:leftChars="0" w:right="0" w:firstLine="480" w:firstLineChars="200"/>
        <w:textAlignment w:val="auto"/>
        <w:rPr>
          <w:rFonts w:hint="eastAsia" w:ascii="宋体" w:hAnsi="宋体" w:eastAsia="宋体" w:cs="宋体"/>
          <w:b/>
          <w:color w:val="000000" w:themeColor="text1"/>
          <w:sz w:val="24"/>
          <w:lang w:val="zh-CN"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11.2.</w:t>
      </w:r>
      <w:r>
        <w:rPr>
          <w:rFonts w:hint="eastAsia" w:ascii="宋体" w:hAnsi="宋体" w:eastAsia="宋体" w:cs="宋体"/>
          <w:b w:val="0"/>
          <w:bCs/>
          <w:color w:val="000000" w:themeColor="text1"/>
          <w:sz w:val="24"/>
          <w14:textFill>
            <w14:solidFill>
              <w14:schemeClr w14:val="tx1"/>
            </w14:solidFill>
          </w14:textFill>
        </w:rPr>
        <w:t>7</w:t>
      </w:r>
      <w:r>
        <w:rPr>
          <w:rFonts w:hint="eastAsia" w:ascii="宋体" w:hAnsi="宋体" w:eastAsia="宋体" w:cs="宋体"/>
          <w:b/>
          <w:color w:val="000000" w:themeColor="text1"/>
          <w:sz w:val="24"/>
          <w:lang w:val="zh-CN"/>
          <w14:textFill>
            <w14:solidFill>
              <w14:schemeClr w14:val="tx1"/>
            </w14:solidFill>
          </w14:textFill>
        </w:rPr>
        <w:t>供应商按要求和事项发生量及时配备足够和胜任的相关管理和服务人员，并保持人员稳定，服从粮库的工作安排</w:t>
      </w:r>
      <w:r>
        <w:rPr>
          <w:rFonts w:hint="eastAsia" w:ascii="宋体" w:hAnsi="宋体" w:eastAsia="宋体" w:cs="宋体"/>
          <w:b/>
          <w:color w:val="000000" w:themeColor="text1"/>
          <w:sz w:val="24"/>
          <w:lang w:val="zh-CN" w:eastAsia="zh-CN"/>
          <w14:textFill>
            <w14:solidFill>
              <w14:schemeClr w14:val="tx1"/>
            </w14:solidFill>
          </w14:textFill>
        </w:rPr>
        <w:t>，</w:t>
      </w:r>
      <w:r>
        <w:rPr>
          <w:rFonts w:hint="eastAsia" w:ascii="宋体" w:hAnsi="宋体" w:eastAsia="宋体" w:cs="宋体"/>
          <w:b/>
          <w:color w:val="000000" w:themeColor="text1"/>
          <w:sz w:val="24"/>
          <w:lang w:val="en-US" w:eastAsia="zh-CN"/>
          <w14:textFill>
            <w14:solidFill>
              <w14:schemeClr w14:val="tx1"/>
            </w14:solidFill>
          </w14:textFill>
        </w:rPr>
        <w:t>单个粮库生产作业期间每日必须配备1名及以上长期从事粮库粮油装卸工作人员（2年及以上工作经验）</w:t>
      </w:r>
      <w:r>
        <w:rPr>
          <w:rFonts w:hint="eastAsia" w:ascii="宋体" w:hAnsi="宋体" w:eastAsia="宋体" w:cs="宋体"/>
          <w:b/>
          <w:color w:val="000000" w:themeColor="text1"/>
          <w:sz w:val="24"/>
          <w:lang w:val="zh-CN"/>
          <w14:textFill>
            <w14:solidFill>
              <w14:schemeClr w14:val="tx1"/>
            </w14:solidFill>
          </w14:textFill>
        </w:rPr>
        <w:t>；单个粮库日装卸服务能力≥1500吨的投标承诺；日粮油运输能力或组织运输能力≥300吨，在特殊情况下有提升到≥500吨的能力；每条</w:t>
      </w:r>
      <w:r>
        <w:rPr>
          <w:rFonts w:hint="eastAsia" w:ascii="宋体" w:hAnsi="宋体" w:eastAsia="宋体" w:cs="宋体"/>
          <w:b/>
          <w:color w:val="000000" w:themeColor="text1"/>
          <w:sz w:val="24"/>
          <w:lang w:val="en-US" w:eastAsia="zh-CN"/>
          <w14:textFill>
            <w14:solidFill>
              <w14:schemeClr w14:val="tx1"/>
            </w14:solidFill>
          </w14:textFill>
        </w:rPr>
        <w:t>散装粮</w:t>
      </w:r>
      <w:r>
        <w:rPr>
          <w:rFonts w:hint="eastAsia" w:ascii="宋体" w:hAnsi="宋体" w:eastAsia="宋体" w:cs="宋体"/>
          <w:b/>
          <w:color w:val="000000" w:themeColor="text1"/>
          <w:sz w:val="24"/>
          <w:lang w:val="zh-CN"/>
          <w14:textFill>
            <w14:solidFill>
              <w14:schemeClr w14:val="tx1"/>
            </w14:solidFill>
          </w14:textFill>
        </w:rPr>
        <w:t>工作线上的工作人员不得少于2人</w:t>
      </w:r>
      <w:r>
        <w:rPr>
          <w:rFonts w:hint="eastAsia" w:ascii="宋体" w:hAnsi="宋体" w:eastAsia="宋体" w:cs="宋体"/>
          <w:b/>
          <w:color w:val="000000" w:themeColor="text1"/>
          <w:sz w:val="24"/>
          <w:lang w:val="zh-CN" w:eastAsia="zh-CN"/>
          <w14:textFill>
            <w14:solidFill>
              <w14:schemeClr w14:val="tx1"/>
            </w14:solidFill>
          </w14:textFill>
        </w:rPr>
        <w:t>，</w:t>
      </w:r>
      <w:r>
        <w:rPr>
          <w:rFonts w:hint="eastAsia" w:ascii="宋体" w:hAnsi="宋体" w:eastAsia="宋体" w:cs="宋体"/>
          <w:b/>
          <w:color w:val="000000" w:themeColor="text1"/>
          <w:sz w:val="24"/>
          <w:lang w:val="en-US" w:eastAsia="zh-CN"/>
          <w14:textFill>
            <w14:solidFill>
              <w14:schemeClr w14:val="tx1"/>
            </w14:solidFill>
          </w14:textFill>
        </w:rPr>
        <w:t>每条包装粮工作线日灌包堆桩能力</w:t>
      </w:r>
      <w:r>
        <w:rPr>
          <w:rFonts w:hint="eastAsia" w:ascii="宋体" w:hAnsi="宋体" w:eastAsia="宋体" w:cs="宋体"/>
          <w:b/>
          <w:color w:val="000000" w:themeColor="text1"/>
          <w:sz w:val="24"/>
          <w:lang w:val="zh-CN"/>
          <w14:textFill>
            <w14:solidFill>
              <w14:schemeClr w14:val="tx1"/>
            </w14:solidFill>
          </w14:textFill>
        </w:rPr>
        <w:t>≥1500</w:t>
      </w:r>
      <w:r>
        <w:rPr>
          <w:rFonts w:hint="eastAsia" w:ascii="宋体" w:hAnsi="宋体" w:eastAsia="宋体" w:cs="宋体"/>
          <w:b/>
          <w:color w:val="000000" w:themeColor="text1"/>
          <w:sz w:val="24"/>
          <w:lang w:val="en-US" w:eastAsia="zh-CN"/>
          <w14:textFill>
            <w14:solidFill>
              <w14:schemeClr w14:val="tx1"/>
            </w14:solidFill>
          </w14:textFill>
        </w:rPr>
        <w:t>包</w:t>
      </w:r>
      <w:r>
        <w:rPr>
          <w:rFonts w:hint="eastAsia" w:ascii="宋体" w:hAnsi="宋体" w:eastAsia="宋体" w:cs="宋体"/>
          <w:b/>
          <w:color w:val="000000" w:themeColor="text1"/>
          <w:sz w:val="24"/>
          <w:lang w:val="zh-CN"/>
          <w14:textFill>
            <w14:solidFill>
              <w14:schemeClr w14:val="tx1"/>
            </w14:solidFill>
          </w14:textFill>
        </w:rPr>
        <w:t>。若所有粮库同时下达满负荷装卸任务时，</w:t>
      </w:r>
      <w:r>
        <w:rPr>
          <w:rFonts w:hint="eastAsia" w:ascii="宋体" w:hAnsi="宋体" w:eastAsia="宋体" w:cs="宋体"/>
          <w:b/>
          <w:color w:val="000000" w:themeColor="text1"/>
          <w:sz w:val="24"/>
          <w:lang w:val="en-US" w:eastAsia="zh-CN"/>
          <w14:textFill>
            <w14:solidFill>
              <w14:schemeClr w14:val="tx1"/>
            </w14:solidFill>
          </w14:textFill>
        </w:rPr>
        <w:t>我公司</w:t>
      </w:r>
      <w:r>
        <w:rPr>
          <w:rFonts w:hint="eastAsia" w:ascii="宋体" w:hAnsi="宋体" w:eastAsia="宋体" w:cs="宋体"/>
          <w:b/>
          <w:color w:val="000000" w:themeColor="text1"/>
          <w:sz w:val="24"/>
          <w:lang w:val="zh-CN"/>
          <w14:textFill>
            <w14:solidFill>
              <w14:schemeClr w14:val="tx1"/>
            </w14:solidFill>
          </w14:textFill>
        </w:rPr>
        <w:t>必须保证每个库点能正常作业，保证装卸任务按时、保质完成。</w:t>
      </w:r>
    </w:p>
    <w:p w14:paraId="3BE2D834">
      <w:pPr>
        <w:keepNext w:val="0"/>
        <w:keepLines w:val="0"/>
        <w:pageBreakBefore w:val="0"/>
        <w:widowControl w:val="0"/>
        <w:kinsoku/>
        <w:wordWrap/>
        <w:overflowPunct/>
        <w:topLinePunct w:val="0"/>
        <w:bidi w:val="0"/>
        <w:spacing w:line="360" w:lineRule="auto"/>
        <w:ind w:left="0" w:leftChars="0" w:right="0" w:firstLine="482" w:firstLineChars="200"/>
        <w:textAlignment w:val="auto"/>
        <w:rPr>
          <w:rFonts w:hint="eastAsia" w:ascii="宋体" w:hAnsi="宋体" w:eastAsia="宋体" w:cs="宋体"/>
          <w:b/>
          <w:color w:val="000000" w:themeColor="text1"/>
          <w:sz w:val="24"/>
          <w:lang w:val="zh-CN"/>
          <w14:textFill>
            <w14:solidFill>
              <w14:schemeClr w14:val="tx1"/>
            </w14:solidFill>
          </w14:textFill>
        </w:rPr>
      </w:pPr>
      <w:r>
        <w:rPr>
          <w:rFonts w:hint="eastAsia" w:ascii="宋体" w:hAnsi="宋体" w:eastAsia="宋体" w:cs="宋体"/>
          <w:b/>
          <w:color w:val="000000" w:themeColor="text1"/>
          <w:sz w:val="24"/>
          <w:lang w:val="zh-CN"/>
          <w14:textFill>
            <w14:solidFill>
              <w14:schemeClr w14:val="tx1"/>
            </w14:solidFill>
          </w14:textFill>
        </w:rPr>
        <w:t>中标后签订合同前确保所有装卸服务人员向保险公司投保人身意外伤害保险，保费每年不低于2.5万，并向招标单位备案，否则终止合同并按违约处理。</w:t>
      </w:r>
    </w:p>
    <w:p w14:paraId="0D260BCB">
      <w:pPr>
        <w:keepNext w:val="0"/>
        <w:keepLines w:val="0"/>
        <w:pageBreakBefore w:val="0"/>
        <w:widowControl w:val="0"/>
        <w:kinsoku/>
        <w:wordWrap/>
        <w:overflowPunct/>
        <w:topLinePunct w:val="0"/>
        <w:bidi w:val="0"/>
        <w:spacing w:line="360" w:lineRule="auto"/>
        <w:ind w:left="0" w:leftChars="0" w:right="0" w:firstLine="482" w:firstLineChars="200"/>
        <w:textAlignment w:val="auto"/>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b/>
          <w:color w:val="000000" w:themeColor="text1"/>
          <w:sz w:val="24"/>
          <w:lang w:val="zh-CN"/>
          <w14:textFill>
            <w14:solidFill>
              <w14:schemeClr w14:val="tx1"/>
            </w14:solidFill>
          </w14:textFill>
        </w:rPr>
        <w:t>能够承担上下班、工作过程中所有粮食装卸、运输人员人身、财产安全等风险承诺；供应商能提供全天候服务包含法定休息日，工作时间服从粮库的安排承诺。如遇特殊情况，采购方可根据轮换情况，由出入库客户单位自带装卸人员，或采购方可自行安排装卸能力，费用由供应商承担。</w:t>
      </w:r>
      <w:r>
        <w:rPr>
          <w:rFonts w:hint="eastAsia" w:ascii="宋体" w:hAnsi="宋体" w:eastAsia="宋体" w:cs="宋体"/>
          <w:color w:val="000000" w:themeColor="text1"/>
          <w:sz w:val="24"/>
          <w:lang w:val="zh-CN"/>
          <w14:textFill>
            <w14:solidFill>
              <w14:schemeClr w14:val="tx1"/>
            </w14:solidFill>
          </w14:textFill>
        </w:rPr>
        <w:t xml:space="preserve"> </w:t>
      </w:r>
    </w:p>
    <w:p w14:paraId="65721263">
      <w:pPr>
        <w:pStyle w:val="60"/>
        <w:keepNext w:val="0"/>
        <w:keepLines w:val="0"/>
        <w:pageBreakBefore w:val="0"/>
        <w:widowControl w:val="0"/>
        <w:kinsoku/>
        <w:wordWrap/>
        <w:overflowPunct/>
        <w:topLinePunct w:val="0"/>
        <w:bidi w:val="0"/>
        <w:spacing w:after="0" w:line="360" w:lineRule="auto"/>
        <w:ind w:left="0" w:leftChars="0" w:right="0" w:firstLine="480" w:firstLineChars="200"/>
        <w:textAlignment w:val="auto"/>
        <w:rPr>
          <w:rFonts w:hint="eastAsia" w:ascii="宋体" w:hAnsi="宋体" w:eastAsia="宋体" w:cs="宋体"/>
        </w:rPr>
      </w:pPr>
      <w:r>
        <w:rPr>
          <w:rFonts w:hint="eastAsia" w:ascii="宋体" w:hAnsi="宋体" w:eastAsia="宋体" w:cs="宋体"/>
          <w:sz w:val="24"/>
        </w:rPr>
        <w:t>11.2.8其他供应商认为所需的资料</w:t>
      </w:r>
    </w:p>
    <w:p w14:paraId="69FF8AB1">
      <w:pPr>
        <w:keepNext w:val="0"/>
        <w:keepLines w:val="0"/>
        <w:pageBreakBefore w:val="0"/>
        <w:widowControl w:val="0"/>
        <w:kinsoku/>
        <w:wordWrap/>
        <w:overflowPunct/>
        <w:topLinePunct w:val="0"/>
        <w:bidi w:val="0"/>
        <w:snapToGrid w:val="0"/>
        <w:spacing w:line="360" w:lineRule="auto"/>
        <w:ind w:left="0" w:leftChars="0" w:right="0" w:firstLine="480" w:firstLineChars="200"/>
        <w:textAlignment w:val="auto"/>
        <w:rPr>
          <w:rFonts w:hint="eastAsia" w:ascii="宋体" w:hAnsi="宋体" w:eastAsia="宋体" w:cs="宋体"/>
          <w:sz w:val="24"/>
          <w:u w:val="single"/>
          <w:lang w:val="zh-CN"/>
        </w:rPr>
      </w:pPr>
      <w:r>
        <w:rPr>
          <w:rFonts w:hint="eastAsia" w:ascii="宋体" w:hAnsi="宋体" w:eastAsia="宋体" w:cs="宋体"/>
          <w:kern w:val="0"/>
          <w:sz w:val="24"/>
          <w:lang w:val="zh-CN"/>
        </w:rPr>
        <w:t>11.</w:t>
      </w:r>
      <w:r>
        <w:rPr>
          <w:rFonts w:hint="eastAsia" w:ascii="宋体" w:hAnsi="宋体" w:eastAsia="宋体" w:cs="宋体"/>
          <w:kern w:val="0"/>
          <w:sz w:val="24"/>
        </w:rPr>
        <w:t>3</w:t>
      </w:r>
      <w:r>
        <w:rPr>
          <w:rFonts w:hint="eastAsia" w:ascii="宋体" w:hAnsi="宋体" w:eastAsia="宋体" w:cs="宋体"/>
          <w:b/>
          <w:sz w:val="24"/>
        </w:rPr>
        <w:t>报价文件：</w:t>
      </w:r>
    </w:p>
    <w:p w14:paraId="381A9A15">
      <w:pPr>
        <w:keepNext w:val="0"/>
        <w:keepLines w:val="0"/>
        <w:pageBreakBefore w:val="0"/>
        <w:widowControl w:val="0"/>
        <w:kinsoku/>
        <w:wordWrap/>
        <w:overflowPunct/>
        <w:topLinePunct w:val="0"/>
        <w:bidi w:val="0"/>
        <w:snapToGrid w:val="0"/>
        <w:spacing w:line="360" w:lineRule="auto"/>
        <w:ind w:left="0" w:leftChars="0" w:right="0" w:firstLine="480" w:firstLineChars="200"/>
        <w:textAlignment w:val="auto"/>
        <w:rPr>
          <w:rFonts w:hint="eastAsia" w:ascii="宋体" w:hAnsi="宋体" w:eastAsia="宋体" w:cs="宋体"/>
          <w:sz w:val="24"/>
        </w:rPr>
      </w:pPr>
      <w:r>
        <w:rPr>
          <w:rFonts w:hint="eastAsia" w:ascii="宋体" w:hAnsi="宋体" w:eastAsia="宋体" w:cs="宋体"/>
          <w:sz w:val="24"/>
        </w:rPr>
        <w:t>11.3.1开标一览表（报价表）；</w:t>
      </w:r>
    </w:p>
    <w:p w14:paraId="5239384F">
      <w:pPr>
        <w:keepNext w:val="0"/>
        <w:keepLines w:val="0"/>
        <w:pageBreakBefore w:val="0"/>
        <w:widowControl w:val="0"/>
        <w:kinsoku/>
        <w:wordWrap/>
        <w:overflowPunct/>
        <w:topLinePunct w:val="0"/>
        <w:bidi w:val="0"/>
        <w:spacing w:line="360" w:lineRule="auto"/>
        <w:ind w:left="0" w:leftChars="0" w:right="0" w:firstLine="482" w:firstLineChars="200"/>
        <w:textAlignment w:val="auto"/>
        <w:rPr>
          <w:rFonts w:hint="eastAsia" w:ascii="宋体" w:hAnsi="宋体" w:eastAsia="宋体" w:cs="宋体"/>
          <w:b/>
          <w:sz w:val="24"/>
        </w:rPr>
      </w:pPr>
      <w:r>
        <w:rPr>
          <w:rFonts w:hint="eastAsia" w:ascii="宋体" w:hAnsi="宋体" w:eastAsia="宋体" w:cs="宋体"/>
          <w:b/>
          <w:sz w:val="24"/>
        </w:rPr>
        <w:t>投标文件含有采购人不能接受的附加条件的，投标无效；</w:t>
      </w:r>
    </w:p>
    <w:p w14:paraId="4F854B5F">
      <w:pPr>
        <w:keepNext w:val="0"/>
        <w:keepLines w:val="0"/>
        <w:pageBreakBefore w:val="0"/>
        <w:widowControl w:val="0"/>
        <w:kinsoku/>
        <w:wordWrap/>
        <w:overflowPunct/>
        <w:topLinePunct w:val="0"/>
        <w:bidi w:val="0"/>
        <w:spacing w:line="360" w:lineRule="auto"/>
        <w:ind w:left="0" w:leftChars="0" w:right="0" w:firstLine="482" w:firstLineChars="200"/>
        <w:textAlignment w:val="auto"/>
        <w:rPr>
          <w:rFonts w:hint="eastAsia" w:ascii="宋体" w:hAnsi="宋体" w:eastAsia="宋体" w:cs="宋体"/>
          <w:b/>
          <w:sz w:val="24"/>
        </w:rPr>
      </w:pPr>
      <w:r>
        <w:rPr>
          <w:rFonts w:hint="eastAsia" w:ascii="宋体" w:hAnsi="宋体" w:eastAsia="宋体" w:cs="宋体"/>
          <w:b/>
          <w:sz w:val="24"/>
        </w:rPr>
        <w:t>投标人提供虚假材料投标的，投标无效。</w:t>
      </w:r>
    </w:p>
    <w:p w14:paraId="16852D3B">
      <w:pPr>
        <w:keepNext w:val="0"/>
        <w:keepLines w:val="0"/>
        <w:pageBreakBefore w:val="0"/>
        <w:widowControl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u w:val="single"/>
          <w:lang w:val="zh-CN"/>
        </w:rPr>
      </w:pPr>
      <w:r>
        <w:rPr>
          <w:rFonts w:hint="eastAsia" w:ascii="宋体" w:hAnsi="宋体" w:eastAsia="宋体" w:cs="宋体"/>
          <w:sz w:val="24"/>
          <w:u w:val="single"/>
          <w:lang w:val="zh-CN"/>
        </w:rPr>
        <w:t>注：本项目投标报价为统一下浮率报价；</w:t>
      </w:r>
    </w:p>
    <w:p w14:paraId="1F43AFDE">
      <w:pPr>
        <w:keepNext w:val="0"/>
        <w:keepLines w:val="0"/>
        <w:pageBreakBefore w:val="0"/>
        <w:widowControl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u w:val="single"/>
          <w:lang w:val="zh-CN"/>
        </w:rPr>
      </w:pPr>
      <w:r>
        <w:rPr>
          <w:rFonts w:hint="eastAsia" w:ascii="宋体" w:hAnsi="宋体" w:eastAsia="宋体" w:cs="宋体"/>
          <w:b/>
          <w:bCs/>
          <w:sz w:val="24"/>
          <w:u w:val="single"/>
          <w:lang w:val="zh-CN"/>
        </w:rPr>
        <w:t>报价优惠率为综合优惠率，优惠率以限定价为基础，优惠率有效区间为0.0-15.0%（保留一位小数），优惠率确定后所有单价均同步按优惠率计算，超过取值范围为无效响应。</w:t>
      </w:r>
    </w:p>
    <w:p w14:paraId="1F0ADDF2">
      <w:pPr>
        <w:keepNext w:val="0"/>
        <w:keepLines w:val="0"/>
        <w:pageBreakBefore w:val="0"/>
        <w:widowControl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u w:val="single"/>
          <w:lang w:val="zh-CN"/>
        </w:rPr>
      </w:pPr>
      <w:r>
        <w:rPr>
          <w:rFonts w:hint="eastAsia" w:ascii="宋体" w:hAnsi="宋体" w:eastAsia="宋体" w:cs="宋体"/>
          <w:b/>
          <w:bCs/>
          <w:sz w:val="24"/>
          <w:u w:val="single"/>
          <w:lang w:val="zh-CN"/>
        </w:rPr>
        <w:t>如优惠率为10.2%，则表示在限定价格的基础上下浮10.2%，实际结算价格为限定价的89.8%。</w:t>
      </w:r>
    </w:p>
    <w:p w14:paraId="33D13A91">
      <w:pPr>
        <w:keepNext w:val="0"/>
        <w:keepLines w:val="0"/>
        <w:pageBreakBefore w:val="0"/>
        <w:widowControl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u w:val="single"/>
          <w:lang w:val="zh-CN"/>
        </w:rPr>
      </w:pPr>
      <w:r>
        <w:rPr>
          <w:rFonts w:hint="eastAsia" w:ascii="宋体" w:hAnsi="宋体" w:eastAsia="宋体" w:cs="宋体"/>
          <w:b/>
          <w:bCs/>
          <w:sz w:val="24"/>
          <w:u w:val="single"/>
          <w:lang w:val="zh-CN"/>
        </w:rPr>
        <w:t>招标公告中预算金额、最高限价2</w:t>
      </w:r>
      <w:r>
        <w:rPr>
          <w:rFonts w:hint="eastAsia" w:ascii="宋体" w:hAnsi="宋体" w:eastAsia="宋体" w:cs="宋体"/>
          <w:b/>
          <w:bCs/>
          <w:sz w:val="24"/>
          <w:u w:val="single"/>
          <w:lang w:val="en-US" w:eastAsia="zh-CN"/>
        </w:rPr>
        <w:t>0</w:t>
      </w:r>
      <w:r>
        <w:rPr>
          <w:rFonts w:hint="eastAsia" w:ascii="宋体" w:hAnsi="宋体" w:eastAsia="宋体" w:cs="宋体"/>
          <w:b/>
          <w:bCs/>
          <w:sz w:val="24"/>
          <w:u w:val="single"/>
          <w:lang w:val="zh-CN"/>
        </w:rPr>
        <w:t>0万元仅作为评标权值使用，不作为结算依据，其优惠率即为粮油装卸、运输各子项的优惠率，最终以实际工作量结算。</w:t>
      </w:r>
    </w:p>
    <w:bookmarkEnd w:id="38"/>
    <w:bookmarkEnd w:id="39"/>
    <w:bookmarkEnd w:id="52"/>
    <w:bookmarkEnd w:id="53"/>
    <w:bookmarkEnd w:id="54"/>
    <w:p w14:paraId="4AF43441">
      <w:pPr>
        <w:pStyle w:val="217"/>
        <w:keepNext w:val="0"/>
        <w:keepLines w:val="0"/>
        <w:pageBreakBefore w:val="0"/>
        <w:widowControl w:val="0"/>
        <w:kinsoku/>
        <w:wordWrap/>
        <w:overflowPunct/>
        <w:topLinePunct w:val="0"/>
        <w:bidi w:val="0"/>
        <w:snapToGrid w:val="0"/>
        <w:spacing w:before="0" w:line="360" w:lineRule="auto"/>
        <w:ind w:left="0" w:leftChars="0" w:right="0" w:firstLine="482" w:firstLineChars="200"/>
        <w:textAlignment w:val="auto"/>
        <w:outlineLvl w:val="0"/>
        <w:rPr>
          <w:rFonts w:hint="eastAsia" w:ascii="宋体" w:hAnsi="宋体" w:eastAsia="宋体" w:cs="宋体"/>
          <w:b/>
          <w:color w:val="000000"/>
          <w:szCs w:val="24"/>
        </w:rPr>
      </w:pPr>
      <w:bookmarkStart w:id="55" w:name="第四部分"/>
      <w:r>
        <w:rPr>
          <w:rFonts w:hint="eastAsia" w:ascii="宋体" w:hAnsi="宋体" w:eastAsia="宋体" w:cs="宋体"/>
          <w:b/>
          <w:color w:val="000000"/>
          <w:szCs w:val="24"/>
        </w:rPr>
        <w:t>12</w:t>
      </w:r>
      <w:r>
        <w:rPr>
          <w:rFonts w:hint="eastAsia" w:ascii="宋体" w:hAnsi="宋体" w:eastAsia="宋体" w:cs="宋体"/>
          <w:b/>
          <w:color w:val="000000"/>
          <w:kern w:val="0"/>
          <w:szCs w:val="24"/>
          <w:lang w:val="zh-CN"/>
        </w:rPr>
        <w:t xml:space="preserve">. </w:t>
      </w:r>
      <w:r>
        <w:rPr>
          <w:rFonts w:hint="eastAsia" w:ascii="宋体" w:hAnsi="宋体" w:eastAsia="宋体" w:cs="宋体"/>
          <w:b/>
          <w:color w:val="000000"/>
          <w:szCs w:val="24"/>
        </w:rPr>
        <w:t>投标文件的编制</w:t>
      </w:r>
    </w:p>
    <w:p w14:paraId="1A9B5289">
      <w:pPr>
        <w:keepNext w:val="0"/>
        <w:keepLines w:val="0"/>
        <w:pageBreakBefore w:val="0"/>
        <w:widowControl w:val="0"/>
        <w:kinsoku/>
        <w:wordWrap/>
        <w:overflowPunct/>
        <w:topLinePunct w:val="0"/>
        <w:bidi w:val="0"/>
        <w:spacing w:line="360" w:lineRule="auto"/>
        <w:ind w:left="0" w:leftChars="0" w:right="0" w:firstLine="482" w:firstLineChars="200"/>
        <w:textAlignment w:val="auto"/>
        <w:rPr>
          <w:rFonts w:hint="eastAsia" w:ascii="宋体" w:hAnsi="宋体" w:eastAsia="宋体" w:cs="宋体"/>
          <w:b/>
          <w:color w:val="000000"/>
          <w:sz w:val="24"/>
          <w:szCs w:val="21"/>
        </w:rPr>
      </w:pPr>
      <w:r>
        <w:rPr>
          <w:rFonts w:hint="eastAsia" w:ascii="宋体" w:hAnsi="宋体" w:eastAsia="宋体" w:cs="宋体"/>
          <w:b/>
          <w:color w:val="000000"/>
          <w:sz w:val="24"/>
        </w:rPr>
        <w:t>▲投标文件未按本条规定的格式编制的，投标无效；</w:t>
      </w:r>
    </w:p>
    <w:p w14:paraId="69FE27EC">
      <w:pPr>
        <w:keepNext w:val="0"/>
        <w:keepLines w:val="0"/>
        <w:pageBreakBefore w:val="0"/>
        <w:widowControl w:val="0"/>
        <w:kinsoku/>
        <w:wordWrap/>
        <w:overflowPunct/>
        <w:topLinePunct w:val="0"/>
        <w:bidi w:val="0"/>
        <w:spacing w:line="360" w:lineRule="auto"/>
        <w:ind w:left="0" w:leftChars="0" w:right="0" w:firstLine="480" w:firstLineChars="200"/>
        <w:textAlignment w:val="auto"/>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12.1投标文件分为资格文件、商务技术文件、报价文件三部分。各投标人在编制投标文件时请按照招标文件第五部分规定的格式进行，混乱的编排导致投标文件被误读或评标委员会查找不到有效文件是投标人的风险。</w:t>
      </w:r>
    </w:p>
    <w:p w14:paraId="66AC2011">
      <w:pPr>
        <w:pStyle w:val="217"/>
        <w:keepNext w:val="0"/>
        <w:keepLines w:val="0"/>
        <w:pageBreakBefore w:val="0"/>
        <w:widowControl w:val="0"/>
        <w:kinsoku/>
        <w:wordWrap/>
        <w:overflowPunct/>
        <w:topLinePunct w:val="0"/>
        <w:bidi w:val="0"/>
        <w:snapToGrid w:val="0"/>
        <w:spacing w:before="0" w:line="360" w:lineRule="auto"/>
        <w:ind w:left="0" w:leftChars="0" w:right="0" w:firstLine="482" w:firstLineChars="200"/>
        <w:textAlignment w:val="auto"/>
        <w:rPr>
          <w:rFonts w:hint="eastAsia" w:ascii="宋体" w:hAnsi="宋体" w:eastAsia="宋体" w:cs="宋体"/>
          <w:b/>
          <w:color w:val="000000"/>
          <w:szCs w:val="24"/>
        </w:rPr>
      </w:pPr>
      <w:r>
        <w:rPr>
          <w:rFonts w:hint="eastAsia" w:ascii="宋体" w:hAnsi="宋体" w:eastAsia="宋体" w:cs="宋体"/>
          <w:b/>
          <w:color w:val="000000"/>
          <w:szCs w:val="24"/>
        </w:rPr>
        <w:t>12.2纸质文件的制作要求：</w:t>
      </w:r>
    </w:p>
    <w:p w14:paraId="54439318">
      <w:pPr>
        <w:pStyle w:val="217"/>
        <w:keepNext w:val="0"/>
        <w:keepLines w:val="0"/>
        <w:pageBreakBefore w:val="0"/>
        <w:widowControl w:val="0"/>
        <w:kinsoku/>
        <w:wordWrap/>
        <w:overflowPunct/>
        <w:topLinePunct w:val="0"/>
        <w:bidi w:val="0"/>
        <w:snapToGrid w:val="0"/>
        <w:spacing w:before="0" w:line="360" w:lineRule="auto"/>
        <w:ind w:left="0" w:leftChars="0" w:right="0" w:firstLine="480" w:firstLineChars="200"/>
        <w:textAlignment w:val="auto"/>
        <w:rPr>
          <w:rFonts w:hint="eastAsia" w:ascii="宋体" w:hAnsi="宋体" w:eastAsia="宋体" w:cs="宋体"/>
          <w:color w:val="000000"/>
          <w:szCs w:val="24"/>
        </w:rPr>
      </w:pPr>
      <w:r>
        <w:rPr>
          <w:rFonts w:hint="eastAsia" w:ascii="宋体" w:hAnsi="宋体" w:eastAsia="宋体" w:cs="宋体"/>
          <w:color w:val="000000"/>
          <w:szCs w:val="24"/>
        </w:rPr>
        <w:t>12.2.1投标人制作纸质投标文件须在投标文件封面上标明“正本”与“副本”字样、项目名称与标项号，并加盖投标人公章。正本内容与副本不一致时，以正本为准。</w:t>
      </w:r>
    </w:p>
    <w:p w14:paraId="2AD89107">
      <w:pPr>
        <w:pStyle w:val="217"/>
        <w:keepNext w:val="0"/>
        <w:keepLines w:val="0"/>
        <w:pageBreakBefore w:val="0"/>
        <w:widowControl w:val="0"/>
        <w:kinsoku/>
        <w:wordWrap/>
        <w:overflowPunct/>
        <w:topLinePunct w:val="0"/>
        <w:bidi w:val="0"/>
        <w:snapToGrid w:val="0"/>
        <w:spacing w:before="0" w:line="360" w:lineRule="auto"/>
        <w:ind w:left="0" w:leftChars="0" w:right="0" w:firstLine="480" w:firstLineChars="200"/>
        <w:textAlignment w:val="auto"/>
        <w:rPr>
          <w:rFonts w:hint="eastAsia" w:ascii="宋体" w:hAnsi="宋体" w:eastAsia="宋体" w:cs="宋体"/>
          <w:color w:val="000000"/>
          <w:szCs w:val="24"/>
        </w:rPr>
      </w:pPr>
      <w:r>
        <w:rPr>
          <w:rFonts w:hint="eastAsia" w:ascii="宋体" w:hAnsi="宋体" w:eastAsia="宋体" w:cs="宋体"/>
          <w:color w:val="000000"/>
          <w:szCs w:val="24"/>
        </w:rPr>
        <w:t>12.2.2投标文件正本应使用不能擦去的墨水打印或书写</w:t>
      </w:r>
      <w:r>
        <w:rPr>
          <w:rFonts w:hint="eastAsia" w:ascii="宋体" w:hAnsi="宋体" w:eastAsia="宋体" w:cs="宋体"/>
          <w:color w:val="000000"/>
        </w:rPr>
        <w:t>。</w:t>
      </w:r>
    </w:p>
    <w:p w14:paraId="2E5A7AC8">
      <w:pPr>
        <w:keepNext w:val="0"/>
        <w:keepLines w:val="0"/>
        <w:pageBreakBefore w:val="0"/>
        <w:widowControl w:val="0"/>
        <w:kinsoku/>
        <w:wordWrap/>
        <w:overflowPunct/>
        <w:topLinePunct w:val="0"/>
        <w:bidi w:val="0"/>
        <w:snapToGrid w:val="0"/>
        <w:spacing w:line="360" w:lineRule="auto"/>
        <w:ind w:left="0" w:leftChars="0" w:right="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12.2.3全套投标文件应无涂改和行间插字，除非这些删改是根据代理机构要求进行，或者是投标人造成的必须修改的错误。所修改处应由法定代表人或其授权代表签字盖章予以确认。</w:t>
      </w:r>
    </w:p>
    <w:p w14:paraId="292AC6CB">
      <w:pPr>
        <w:keepNext w:val="0"/>
        <w:keepLines w:val="0"/>
        <w:pageBreakBefore w:val="0"/>
        <w:widowControl w:val="0"/>
        <w:kinsoku/>
        <w:wordWrap/>
        <w:overflowPunct/>
        <w:topLinePunct w:val="0"/>
        <w:bidi w:val="0"/>
        <w:snapToGrid w:val="0"/>
        <w:spacing w:line="360" w:lineRule="auto"/>
        <w:ind w:left="0" w:leftChars="0" w:right="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12.2.4 投标文件建议采用A4幅面，按顺序统一编目编码装订成册。</w:t>
      </w:r>
      <w:r>
        <w:rPr>
          <w:rFonts w:hint="eastAsia" w:ascii="宋体" w:hAnsi="宋体" w:eastAsia="宋体" w:cs="宋体"/>
          <w:b/>
          <w:color w:val="000000"/>
          <w:sz w:val="24"/>
        </w:rPr>
        <w:t>提倡双面打印</w:t>
      </w:r>
      <w:r>
        <w:rPr>
          <w:rFonts w:hint="eastAsia" w:ascii="宋体" w:hAnsi="宋体" w:eastAsia="宋体" w:cs="宋体"/>
          <w:color w:val="000000"/>
          <w:sz w:val="24"/>
        </w:rPr>
        <w:t>。</w:t>
      </w:r>
    </w:p>
    <w:p w14:paraId="02851C83">
      <w:pPr>
        <w:keepNext w:val="0"/>
        <w:keepLines w:val="0"/>
        <w:pageBreakBefore w:val="0"/>
        <w:widowControl w:val="0"/>
        <w:kinsoku/>
        <w:wordWrap/>
        <w:overflowPunct/>
        <w:topLinePunct w:val="0"/>
        <w:bidi w:val="0"/>
        <w:snapToGrid w:val="0"/>
        <w:spacing w:line="360" w:lineRule="auto"/>
        <w:ind w:left="0" w:leftChars="0" w:right="0" w:firstLine="482" w:firstLineChars="200"/>
        <w:textAlignment w:val="auto"/>
        <w:rPr>
          <w:rFonts w:hint="eastAsia" w:ascii="宋体" w:hAnsi="宋体" w:eastAsia="宋体" w:cs="宋体"/>
          <w:b/>
          <w:color w:val="000000"/>
          <w:sz w:val="24"/>
        </w:rPr>
      </w:pPr>
      <w:r>
        <w:rPr>
          <w:rFonts w:hint="eastAsia" w:ascii="宋体" w:hAnsi="宋体" w:eastAsia="宋体" w:cs="宋体"/>
          <w:b/>
          <w:color w:val="000000"/>
          <w:sz w:val="24"/>
        </w:rPr>
        <w:t>13.投标文件的装订、签署、盖章</w:t>
      </w:r>
    </w:p>
    <w:p w14:paraId="6BAC86EA">
      <w:pPr>
        <w:pStyle w:val="217"/>
        <w:keepNext w:val="0"/>
        <w:keepLines w:val="0"/>
        <w:pageBreakBefore w:val="0"/>
        <w:widowControl w:val="0"/>
        <w:kinsoku/>
        <w:wordWrap/>
        <w:overflowPunct/>
        <w:topLinePunct w:val="0"/>
        <w:bidi w:val="0"/>
        <w:snapToGrid w:val="0"/>
        <w:spacing w:before="0" w:line="360" w:lineRule="auto"/>
        <w:ind w:left="0" w:leftChars="0" w:right="0" w:firstLine="480" w:firstLineChars="200"/>
        <w:textAlignment w:val="auto"/>
        <w:rPr>
          <w:rFonts w:hint="eastAsia" w:ascii="宋体" w:hAnsi="宋体" w:eastAsia="宋体" w:cs="宋体"/>
          <w:szCs w:val="24"/>
        </w:rPr>
      </w:pPr>
      <w:r>
        <w:rPr>
          <w:rFonts w:hint="eastAsia" w:ascii="宋体" w:hAnsi="宋体" w:eastAsia="宋体" w:cs="宋体"/>
          <w:szCs w:val="24"/>
        </w:rPr>
        <w:t>13.1投标文件按照招标文件第五部分格式要</w:t>
      </w:r>
      <w:r>
        <w:rPr>
          <w:rFonts w:hint="eastAsia" w:ascii="宋体" w:hAnsi="宋体" w:eastAsia="宋体" w:cs="宋体"/>
        </w:rPr>
        <w:t>求进行签署、盖章。</w:t>
      </w:r>
      <w:r>
        <w:rPr>
          <w:rFonts w:hint="eastAsia" w:ascii="宋体" w:hAnsi="宋体" w:eastAsia="宋体" w:cs="宋体"/>
          <w:b/>
        </w:rPr>
        <w:t>▲投标人的投标文件未按照招标文件要求签署、盖章的，其投标无效</w:t>
      </w:r>
      <w:r>
        <w:rPr>
          <w:rFonts w:hint="eastAsia" w:ascii="宋体" w:hAnsi="宋体" w:eastAsia="宋体" w:cs="宋体"/>
          <w:szCs w:val="24"/>
        </w:rPr>
        <w:t>。</w:t>
      </w:r>
    </w:p>
    <w:p w14:paraId="3C13AD35">
      <w:pPr>
        <w:pStyle w:val="217"/>
        <w:keepNext w:val="0"/>
        <w:keepLines w:val="0"/>
        <w:pageBreakBefore w:val="0"/>
        <w:widowControl w:val="0"/>
        <w:kinsoku/>
        <w:wordWrap/>
        <w:overflowPunct/>
        <w:topLinePunct w:val="0"/>
        <w:bidi w:val="0"/>
        <w:snapToGrid w:val="0"/>
        <w:spacing w:before="0" w:line="360" w:lineRule="auto"/>
        <w:ind w:left="0" w:leftChars="0" w:right="0" w:firstLine="480" w:firstLineChars="200"/>
        <w:textAlignment w:val="auto"/>
        <w:rPr>
          <w:rFonts w:hint="eastAsia" w:ascii="宋体" w:hAnsi="宋体" w:eastAsia="宋体" w:cs="宋体"/>
          <w:szCs w:val="24"/>
        </w:rPr>
      </w:pPr>
      <w:r>
        <w:rPr>
          <w:rFonts w:hint="eastAsia" w:ascii="宋体" w:hAnsi="宋体" w:eastAsia="宋体" w:cs="宋体"/>
        </w:rPr>
        <w:t>13.2招标文件对投标文件签署、盖章的要求适用于公章（盖章）。</w:t>
      </w:r>
    </w:p>
    <w:p w14:paraId="19557C0A">
      <w:pPr>
        <w:pStyle w:val="217"/>
        <w:keepNext w:val="0"/>
        <w:keepLines w:val="0"/>
        <w:pageBreakBefore w:val="0"/>
        <w:widowControl w:val="0"/>
        <w:kinsoku/>
        <w:wordWrap/>
        <w:overflowPunct/>
        <w:topLinePunct w:val="0"/>
        <w:bidi w:val="0"/>
        <w:spacing w:before="0" w:line="360" w:lineRule="auto"/>
        <w:ind w:left="0" w:leftChars="0" w:right="0" w:firstLine="482" w:firstLineChars="200"/>
        <w:textAlignment w:val="auto"/>
        <w:rPr>
          <w:rFonts w:hint="eastAsia" w:ascii="宋体" w:hAnsi="宋体" w:eastAsia="宋体" w:cs="宋体"/>
          <w:b/>
          <w:szCs w:val="24"/>
        </w:rPr>
      </w:pPr>
      <w:r>
        <w:rPr>
          <w:rFonts w:hint="eastAsia" w:ascii="宋体" w:hAnsi="宋体" w:eastAsia="宋体" w:cs="宋体"/>
          <w:b/>
          <w:color w:val="000000"/>
        </w:rPr>
        <w:t>14.</w:t>
      </w:r>
      <w:r>
        <w:rPr>
          <w:rFonts w:hint="eastAsia" w:ascii="宋体" w:hAnsi="宋体" w:eastAsia="宋体" w:cs="宋体"/>
          <w:b/>
          <w:szCs w:val="24"/>
        </w:rPr>
        <w:t>投标文件的提交、补充、修改、撤回</w:t>
      </w:r>
    </w:p>
    <w:p w14:paraId="39228956">
      <w:pPr>
        <w:pStyle w:val="217"/>
        <w:keepNext w:val="0"/>
        <w:keepLines w:val="0"/>
        <w:pageBreakBefore w:val="0"/>
        <w:widowControl w:val="0"/>
        <w:kinsoku/>
        <w:wordWrap/>
        <w:overflowPunct/>
        <w:topLinePunct w:val="0"/>
        <w:bidi w:val="0"/>
        <w:spacing w:before="0" w:line="360" w:lineRule="auto"/>
        <w:ind w:left="0" w:leftChars="0" w:right="0" w:firstLine="480" w:firstLineChars="200"/>
        <w:textAlignment w:val="auto"/>
        <w:rPr>
          <w:rFonts w:hint="eastAsia" w:ascii="宋体" w:hAnsi="宋体" w:eastAsia="宋体" w:cs="宋体"/>
          <w:szCs w:val="24"/>
        </w:rPr>
      </w:pPr>
      <w:r>
        <w:rPr>
          <w:rFonts w:hint="eastAsia" w:ascii="宋体" w:hAnsi="宋体" w:eastAsia="宋体" w:cs="宋体"/>
          <w:szCs w:val="24"/>
        </w:rPr>
        <w:t>14.1 供应商应当在投标截止时间前完成投标文件的递交，并可以补充、修改或者撤回投标文件。补充或者修改投标文件的，应当先行撤回原文件，补充、修改后重新递交。投标截止时间前未完成递交的，视为撤回投标文件。投标截止时间后递交的投标文件，代理机构将拒收。</w:t>
      </w:r>
    </w:p>
    <w:p w14:paraId="67BE4042">
      <w:pPr>
        <w:pStyle w:val="217"/>
        <w:keepNext w:val="0"/>
        <w:keepLines w:val="0"/>
        <w:pageBreakBefore w:val="0"/>
        <w:widowControl w:val="0"/>
        <w:kinsoku/>
        <w:wordWrap/>
        <w:overflowPunct/>
        <w:topLinePunct w:val="0"/>
        <w:bidi w:val="0"/>
        <w:spacing w:before="0" w:line="360" w:lineRule="auto"/>
        <w:ind w:left="0" w:leftChars="0" w:right="0" w:firstLine="480" w:firstLineChars="200"/>
        <w:textAlignment w:val="auto"/>
        <w:rPr>
          <w:rFonts w:hint="eastAsia" w:ascii="宋体" w:hAnsi="宋体" w:eastAsia="宋体" w:cs="宋体"/>
          <w:szCs w:val="24"/>
        </w:rPr>
      </w:pPr>
      <w:r>
        <w:rPr>
          <w:rFonts w:hint="eastAsia" w:ascii="宋体" w:hAnsi="宋体" w:eastAsia="宋体" w:cs="宋体"/>
          <w:szCs w:val="24"/>
        </w:rPr>
        <w:t>14.2代理机构收到投标文件，将妥善保存并即时向供应商发出确认回执通知。在投标截止时间前，除供应商补充、修改或者撤回投标文件外，任何单位和个人不得拆封投标文件。</w:t>
      </w:r>
    </w:p>
    <w:p w14:paraId="5EC30CD9">
      <w:pPr>
        <w:pStyle w:val="217"/>
        <w:keepNext w:val="0"/>
        <w:keepLines w:val="0"/>
        <w:pageBreakBefore w:val="0"/>
        <w:widowControl w:val="0"/>
        <w:kinsoku/>
        <w:wordWrap/>
        <w:overflowPunct/>
        <w:topLinePunct w:val="0"/>
        <w:bidi w:val="0"/>
        <w:spacing w:before="0" w:line="360" w:lineRule="auto"/>
        <w:ind w:left="0" w:leftChars="0" w:right="0" w:firstLine="480" w:firstLineChars="200"/>
        <w:textAlignment w:val="auto"/>
        <w:rPr>
          <w:rFonts w:hint="eastAsia" w:ascii="宋体" w:hAnsi="宋体" w:eastAsia="宋体" w:cs="宋体"/>
          <w:szCs w:val="24"/>
        </w:rPr>
      </w:pPr>
      <w:r>
        <w:rPr>
          <w:rFonts w:hint="eastAsia" w:ascii="宋体" w:hAnsi="宋体" w:eastAsia="宋体" w:cs="宋体"/>
          <w:szCs w:val="24"/>
        </w:rPr>
        <w:t>14.3代理机构可以视情况延长投标文件提交的截止时间。在上述情况下，代理机构与投标人以前在投标截止期方面的全部权利、责任和义务，将适用于延长至新的投标截止期。</w:t>
      </w:r>
    </w:p>
    <w:p w14:paraId="14623D78">
      <w:pPr>
        <w:pStyle w:val="217"/>
        <w:keepNext w:val="0"/>
        <w:keepLines w:val="0"/>
        <w:pageBreakBefore w:val="0"/>
        <w:widowControl w:val="0"/>
        <w:kinsoku/>
        <w:wordWrap/>
        <w:overflowPunct/>
        <w:topLinePunct w:val="0"/>
        <w:bidi w:val="0"/>
        <w:spacing w:before="0" w:line="360" w:lineRule="auto"/>
        <w:ind w:left="0" w:leftChars="0" w:right="0" w:firstLine="480" w:firstLineChars="200"/>
        <w:textAlignment w:val="auto"/>
        <w:rPr>
          <w:rFonts w:hint="eastAsia" w:ascii="宋体" w:hAnsi="宋体" w:eastAsia="宋体" w:cs="宋体"/>
          <w:color w:val="000000"/>
          <w:szCs w:val="24"/>
        </w:rPr>
      </w:pPr>
      <w:r>
        <w:rPr>
          <w:rFonts w:hint="eastAsia" w:ascii="宋体" w:hAnsi="宋体" w:eastAsia="宋体" w:cs="宋体"/>
          <w:color w:val="000000"/>
          <w:szCs w:val="24"/>
        </w:rPr>
        <w:t>14.4投标文件备份：投标人递交投标文件以后，在规定的投标截止时间之前，可以书面形式对投标文件进行补充、修改，补充、修改纸质文件须加盖单位公章，并由法定代表人或其授权代表签字或盖章。在投标截止时间以后，不能补充、修改投标文件。</w:t>
      </w:r>
    </w:p>
    <w:p w14:paraId="51A3F70B">
      <w:pPr>
        <w:pStyle w:val="217"/>
        <w:keepNext w:val="0"/>
        <w:keepLines w:val="0"/>
        <w:pageBreakBefore w:val="0"/>
        <w:widowControl w:val="0"/>
        <w:kinsoku/>
        <w:wordWrap/>
        <w:overflowPunct/>
        <w:topLinePunct w:val="0"/>
        <w:bidi w:val="0"/>
        <w:spacing w:before="0" w:line="360" w:lineRule="auto"/>
        <w:ind w:left="0" w:leftChars="0" w:right="0" w:firstLine="480" w:firstLineChars="200"/>
        <w:textAlignment w:val="auto"/>
        <w:rPr>
          <w:rFonts w:hint="eastAsia" w:ascii="宋体" w:hAnsi="宋体" w:eastAsia="宋体" w:cs="宋体"/>
          <w:color w:val="000000"/>
          <w:szCs w:val="24"/>
        </w:rPr>
      </w:pPr>
      <w:r>
        <w:rPr>
          <w:rFonts w:hint="eastAsia" w:ascii="宋体" w:hAnsi="宋体" w:eastAsia="宋体" w:cs="宋体"/>
          <w:color w:val="000000"/>
          <w:szCs w:val="24"/>
        </w:rPr>
        <w:t>14.4.1 投标人的补充、修改文件，应按本须知规定编制、密封、标志和递交，如果一份投标文件有几份函件时，应注明哪一份有效，否则所作修改视为无效。</w:t>
      </w:r>
    </w:p>
    <w:p w14:paraId="545F7A85">
      <w:pPr>
        <w:pStyle w:val="217"/>
        <w:keepNext w:val="0"/>
        <w:keepLines w:val="0"/>
        <w:pageBreakBefore w:val="0"/>
        <w:widowControl w:val="0"/>
        <w:kinsoku/>
        <w:wordWrap/>
        <w:overflowPunct/>
        <w:topLinePunct w:val="0"/>
        <w:bidi w:val="0"/>
        <w:spacing w:before="0" w:line="360" w:lineRule="auto"/>
        <w:ind w:left="0" w:leftChars="0" w:right="0" w:firstLine="480" w:firstLineChars="200"/>
        <w:textAlignment w:val="auto"/>
        <w:rPr>
          <w:rFonts w:hint="eastAsia" w:ascii="宋体" w:hAnsi="宋体" w:eastAsia="宋体" w:cs="宋体"/>
          <w:color w:val="000000"/>
          <w:szCs w:val="24"/>
        </w:rPr>
      </w:pPr>
      <w:r>
        <w:rPr>
          <w:rFonts w:hint="eastAsia" w:ascii="宋体" w:hAnsi="宋体" w:eastAsia="宋体" w:cs="宋体"/>
          <w:color w:val="000000"/>
          <w:szCs w:val="24"/>
        </w:rPr>
        <w:t>14.4.2投标人对投标文件的修改均要加以说明，否则其修改将被视为无效。</w:t>
      </w:r>
    </w:p>
    <w:p w14:paraId="62959FF1">
      <w:pPr>
        <w:pStyle w:val="217"/>
        <w:keepNext w:val="0"/>
        <w:keepLines w:val="0"/>
        <w:pageBreakBefore w:val="0"/>
        <w:widowControl w:val="0"/>
        <w:kinsoku/>
        <w:wordWrap/>
        <w:overflowPunct/>
        <w:topLinePunct w:val="0"/>
        <w:bidi w:val="0"/>
        <w:spacing w:before="0" w:line="360" w:lineRule="auto"/>
        <w:ind w:left="0" w:leftChars="0" w:right="0" w:firstLine="480" w:firstLineChars="200"/>
        <w:textAlignment w:val="auto"/>
        <w:rPr>
          <w:rFonts w:hint="eastAsia" w:ascii="宋体" w:hAnsi="宋体" w:eastAsia="宋体" w:cs="宋体"/>
          <w:color w:val="000000"/>
          <w:szCs w:val="24"/>
        </w:rPr>
      </w:pPr>
      <w:r>
        <w:rPr>
          <w:rFonts w:hint="eastAsia" w:ascii="宋体" w:hAnsi="宋体" w:eastAsia="宋体" w:cs="宋体"/>
          <w:color w:val="000000"/>
          <w:szCs w:val="24"/>
        </w:rPr>
        <w:t>14.4.3投标人在投标截止时间前，可以对所提交的投标文件进行补充、修改或者撤回，并书面通知采购人、代理机构。补充、修改的内容作为投标文件的组成部分。补充、修改的内容与投标文件不一致的，以补充、修改的内容为准。</w:t>
      </w:r>
    </w:p>
    <w:p w14:paraId="5FA1FFFC">
      <w:pPr>
        <w:pStyle w:val="217"/>
        <w:keepNext w:val="0"/>
        <w:keepLines w:val="0"/>
        <w:pageBreakBefore w:val="0"/>
        <w:widowControl w:val="0"/>
        <w:kinsoku/>
        <w:wordWrap/>
        <w:overflowPunct/>
        <w:topLinePunct w:val="0"/>
        <w:bidi w:val="0"/>
        <w:spacing w:before="0" w:line="360" w:lineRule="auto"/>
        <w:ind w:left="0" w:leftChars="0" w:right="0" w:firstLine="480" w:firstLineChars="200"/>
        <w:textAlignment w:val="auto"/>
        <w:rPr>
          <w:rFonts w:hint="eastAsia" w:ascii="宋体" w:hAnsi="宋体" w:eastAsia="宋体" w:cs="宋体"/>
          <w:color w:val="000000"/>
          <w:szCs w:val="24"/>
        </w:rPr>
      </w:pPr>
      <w:r>
        <w:rPr>
          <w:rFonts w:hint="eastAsia" w:ascii="宋体" w:hAnsi="宋体" w:eastAsia="宋体" w:cs="宋体"/>
          <w:color w:val="000000"/>
          <w:szCs w:val="24"/>
        </w:rPr>
        <w:t>14.4.4</w:t>
      </w:r>
      <w:r>
        <w:rPr>
          <w:rFonts w:hint="eastAsia" w:ascii="宋体" w:hAnsi="宋体" w:eastAsia="宋体" w:cs="宋体"/>
          <w:color w:val="000000"/>
        </w:rPr>
        <w:t>在开标后规定的投标有效期内</w:t>
      </w:r>
      <w:r>
        <w:rPr>
          <w:rFonts w:hint="eastAsia" w:ascii="宋体" w:hAnsi="宋体" w:eastAsia="宋体" w:cs="宋体"/>
          <w:color w:val="000000"/>
          <w:szCs w:val="24"/>
        </w:rPr>
        <w:t>，投标人不能撤销投标文件。</w:t>
      </w:r>
    </w:p>
    <w:p w14:paraId="04B2F15E">
      <w:pPr>
        <w:keepNext w:val="0"/>
        <w:keepLines w:val="0"/>
        <w:pageBreakBefore w:val="0"/>
        <w:widowControl w:val="0"/>
        <w:kinsoku/>
        <w:wordWrap/>
        <w:overflowPunct/>
        <w:topLinePunct w:val="0"/>
        <w:bidi w:val="0"/>
        <w:snapToGrid w:val="0"/>
        <w:spacing w:line="360" w:lineRule="auto"/>
        <w:ind w:left="0" w:leftChars="0" w:right="0" w:firstLine="482" w:firstLineChars="200"/>
        <w:textAlignment w:val="auto"/>
        <w:rPr>
          <w:rFonts w:hint="eastAsia" w:ascii="宋体" w:hAnsi="宋体" w:eastAsia="宋体" w:cs="宋体"/>
          <w:b/>
          <w:color w:val="000000"/>
          <w:sz w:val="24"/>
        </w:rPr>
      </w:pPr>
      <w:r>
        <w:rPr>
          <w:rFonts w:hint="eastAsia" w:ascii="宋体" w:hAnsi="宋体" w:eastAsia="宋体" w:cs="宋体"/>
          <w:b/>
          <w:color w:val="000000"/>
          <w:sz w:val="24"/>
        </w:rPr>
        <w:t>15.投标文件的递交</w:t>
      </w:r>
    </w:p>
    <w:p w14:paraId="13B05506">
      <w:pPr>
        <w:pStyle w:val="217"/>
        <w:keepNext w:val="0"/>
        <w:keepLines w:val="0"/>
        <w:pageBreakBefore w:val="0"/>
        <w:widowControl w:val="0"/>
        <w:kinsoku/>
        <w:wordWrap/>
        <w:overflowPunct/>
        <w:topLinePunct w:val="0"/>
        <w:bidi w:val="0"/>
        <w:spacing w:before="0" w:line="360" w:lineRule="auto"/>
        <w:ind w:left="0" w:leftChars="0" w:right="0" w:firstLine="480" w:firstLineChars="200"/>
        <w:textAlignment w:val="auto"/>
        <w:rPr>
          <w:rFonts w:hint="eastAsia" w:ascii="宋体" w:hAnsi="宋体" w:eastAsia="宋体" w:cs="宋体"/>
          <w:szCs w:val="24"/>
        </w:rPr>
      </w:pPr>
      <w:r>
        <w:rPr>
          <w:rFonts w:hint="eastAsia" w:ascii="宋体" w:hAnsi="宋体" w:eastAsia="宋体" w:cs="宋体"/>
          <w:szCs w:val="24"/>
        </w:rPr>
        <w:t>15.1供应商应当在投标截止时间前完成投标文件的递交，并可以补充、修改或者撤回投标文件。补充或者修改投标文件的，应当先行撤回原文件，补充、修改后重新递交。投标截止时间前未完成传输的，视为撤回投标文件。投标截止时间后递交的投标文件，代理机构将拒收。</w:t>
      </w:r>
    </w:p>
    <w:p w14:paraId="2F35C78C">
      <w:pPr>
        <w:pStyle w:val="217"/>
        <w:keepNext w:val="0"/>
        <w:keepLines w:val="0"/>
        <w:pageBreakBefore w:val="0"/>
        <w:widowControl w:val="0"/>
        <w:kinsoku/>
        <w:wordWrap/>
        <w:overflowPunct/>
        <w:topLinePunct w:val="0"/>
        <w:bidi w:val="0"/>
        <w:spacing w:before="0" w:line="360" w:lineRule="auto"/>
        <w:ind w:left="0" w:leftChars="0" w:right="0" w:firstLine="480" w:firstLineChars="200"/>
        <w:textAlignment w:val="auto"/>
        <w:rPr>
          <w:rFonts w:hint="eastAsia" w:ascii="宋体" w:hAnsi="宋体" w:eastAsia="宋体" w:cs="宋体"/>
          <w:szCs w:val="24"/>
        </w:rPr>
      </w:pPr>
      <w:r>
        <w:rPr>
          <w:rFonts w:hint="eastAsia" w:ascii="宋体" w:hAnsi="宋体" w:eastAsia="宋体" w:cs="宋体"/>
          <w:szCs w:val="24"/>
        </w:rPr>
        <w:t>15.2代理机构可以视情况延长投标文件提交的截止时间。在上述情况下，代理机构与投标人以前在投标截止期方面的全部权利、责任和义务，将适用于延长至新的投标截止期。</w:t>
      </w:r>
    </w:p>
    <w:p w14:paraId="2C7FF922">
      <w:pPr>
        <w:pStyle w:val="217"/>
        <w:keepNext w:val="0"/>
        <w:keepLines w:val="0"/>
        <w:pageBreakBefore w:val="0"/>
        <w:widowControl w:val="0"/>
        <w:kinsoku/>
        <w:wordWrap/>
        <w:overflowPunct/>
        <w:topLinePunct w:val="0"/>
        <w:bidi w:val="0"/>
        <w:spacing w:before="0" w:line="360" w:lineRule="auto"/>
        <w:ind w:left="0" w:leftChars="0" w:right="0" w:firstLine="482" w:firstLineChars="200"/>
        <w:textAlignment w:val="auto"/>
        <w:rPr>
          <w:rFonts w:hint="eastAsia" w:ascii="宋体" w:hAnsi="宋体" w:eastAsia="宋体" w:cs="宋体"/>
          <w:b/>
          <w:color w:val="000000"/>
          <w:szCs w:val="24"/>
        </w:rPr>
      </w:pPr>
      <w:r>
        <w:rPr>
          <w:rFonts w:hint="eastAsia" w:ascii="宋体" w:hAnsi="宋体" w:eastAsia="宋体" w:cs="宋体"/>
          <w:b/>
          <w:color w:val="000000"/>
          <w:szCs w:val="24"/>
        </w:rPr>
        <w:t>16.投标文件的无效处理</w:t>
      </w:r>
    </w:p>
    <w:p w14:paraId="761D4C51">
      <w:pPr>
        <w:pStyle w:val="24"/>
        <w:keepNext w:val="0"/>
        <w:keepLines w:val="0"/>
        <w:pageBreakBefore w:val="0"/>
        <w:widowControl w:val="0"/>
        <w:kinsoku/>
        <w:wordWrap/>
        <w:overflowPunct/>
        <w:topLinePunct w:val="0"/>
        <w:bidi w:val="0"/>
        <w:spacing w:line="360" w:lineRule="auto"/>
        <w:ind w:left="0" w:leftChars="0" w:right="0" w:firstLine="48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有招标文件第四部分</w:t>
      </w:r>
      <w:r>
        <w:rPr>
          <w:rFonts w:hint="eastAsia" w:ascii="宋体" w:hAnsi="宋体" w:eastAsia="宋体" w:cs="宋体"/>
          <w:color w:val="000000"/>
        </w:rPr>
        <w:t>第13项规定</w:t>
      </w:r>
      <w:r>
        <w:rPr>
          <w:rFonts w:hint="eastAsia" w:ascii="宋体" w:hAnsi="宋体" w:eastAsia="宋体" w:cs="宋体"/>
          <w:color w:val="000000"/>
          <w:szCs w:val="21"/>
        </w:rPr>
        <w:t>的情形之一的，投标无效：</w:t>
      </w:r>
    </w:p>
    <w:p w14:paraId="7F9464AD">
      <w:pPr>
        <w:pStyle w:val="217"/>
        <w:keepNext w:val="0"/>
        <w:keepLines w:val="0"/>
        <w:pageBreakBefore w:val="0"/>
        <w:widowControl w:val="0"/>
        <w:kinsoku/>
        <w:wordWrap/>
        <w:overflowPunct/>
        <w:topLinePunct w:val="0"/>
        <w:bidi w:val="0"/>
        <w:spacing w:before="0" w:line="360" w:lineRule="auto"/>
        <w:ind w:left="0" w:leftChars="0" w:right="0" w:firstLine="482" w:firstLineChars="200"/>
        <w:textAlignment w:val="auto"/>
        <w:rPr>
          <w:rFonts w:hint="eastAsia" w:ascii="宋体" w:hAnsi="宋体" w:eastAsia="宋体" w:cs="宋体"/>
          <w:b/>
          <w:color w:val="000000"/>
          <w:szCs w:val="24"/>
        </w:rPr>
      </w:pPr>
      <w:r>
        <w:rPr>
          <w:rFonts w:hint="eastAsia" w:ascii="宋体" w:hAnsi="宋体" w:eastAsia="宋体" w:cs="宋体"/>
          <w:b/>
          <w:color w:val="000000"/>
          <w:szCs w:val="24"/>
        </w:rPr>
        <w:t>17.投标有效期</w:t>
      </w:r>
    </w:p>
    <w:p w14:paraId="478632C0">
      <w:pPr>
        <w:keepNext w:val="0"/>
        <w:keepLines w:val="0"/>
        <w:pageBreakBefore w:val="0"/>
        <w:widowControl w:val="0"/>
        <w:kinsoku/>
        <w:wordWrap/>
        <w:overflowPunct/>
        <w:topLinePunct w:val="0"/>
        <w:bidi w:val="0"/>
        <w:spacing w:line="360" w:lineRule="auto"/>
        <w:ind w:left="0" w:leftChars="0" w:right="0" w:firstLine="480" w:firstLineChars="200"/>
        <w:textAlignment w:val="auto"/>
        <w:rPr>
          <w:rFonts w:hint="eastAsia" w:ascii="宋体" w:hAnsi="宋体" w:eastAsia="宋体" w:cs="宋体"/>
          <w:b/>
          <w:color w:val="000000"/>
          <w:sz w:val="24"/>
          <w:szCs w:val="21"/>
        </w:rPr>
      </w:pPr>
      <w:r>
        <w:rPr>
          <w:rFonts w:hint="eastAsia" w:ascii="宋体" w:hAnsi="宋体" w:eastAsia="宋体" w:cs="宋体"/>
          <w:color w:val="000000"/>
          <w:sz w:val="24"/>
          <w:szCs w:val="20"/>
        </w:rPr>
        <w:t>17.1投标有效期为从提交投标文件的截止之日起90天。▲</w:t>
      </w:r>
      <w:r>
        <w:rPr>
          <w:rFonts w:hint="eastAsia" w:ascii="宋体" w:hAnsi="宋体" w:eastAsia="宋体" w:cs="宋体"/>
          <w:b/>
          <w:color w:val="000000"/>
          <w:sz w:val="24"/>
          <w:szCs w:val="20"/>
        </w:rPr>
        <w:t>投标人的投标文件中承</w:t>
      </w:r>
      <w:r>
        <w:rPr>
          <w:rFonts w:hint="eastAsia" w:ascii="宋体" w:hAnsi="宋体" w:eastAsia="宋体" w:cs="宋体"/>
          <w:b/>
          <w:color w:val="000000"/>
          <w:sz w:val="24"/>
          <w:szCs w:val="21"/>
        </w:rPr>
        <w:t>诺的投标有效期少于招标文件中载明的投标有效期的，投标无效。</w:t>
      </w:r>
    </w:p>
    <w:p w14:paraId="0F2AA1CC">
      <w:pPr>
        <w:pStyle w:val="217"/>
        <w:keepNext w:val="0"/>
        <w:keepLines w:val="0"/>
        <w:pageBreakBefore w:val="0"/>
        <w:widowControl w:val="0"/>
        <w:kinsoku/>
        <w:wordWrap/>
        <w:overflowPunct/>
        <w:topLinePunct w:val="0"/>
        <w:bidi w:val="0"/>
        <w:spacing w:before="0" w:line="360" w:lineRule="auto"/>
        <w:ind w:left="0" w:leftChars="0" w:right="0" w:firstLine="480" w:firstLineChars="200"/>
        <w:textAlignment w:val="auto"/>
        <w:rPr>
          <w:rFonts w:hint="eastAsia" w:ascii="宋体" w:hAnsi="宋体" w:eastAsia="宋体" w:cs="宋体"/>
          <w:color w:val="000000"/>
        </w:rPr>
      </w:pPr>
      <w:r>
        <w:rPr>
          <w:rFonts w:hint="eastAsia" w:ascii="宋体" w:hAnsi="宋体" w:eastAsia="宋体" w:cs="宋体"/>
          <w:color w:val="000000"/>
        </w:rPr>
        <w:t>17.2投标文件合格投递后，自投标截止日期起，在投标有效期内有效。</w:t>
      </w:r>
    </w:p>
    <w:p w14:paraId="04085907">
      <w:pPr>
        <w:pStyle w:val="217"/>
        <w:keepNext w:val="0"/>
        <w:keepLines w:val="0"/>
        <w:pageBreakBefore w:val="0"/>
        <w:widowControl w:val="0"/>
        <w:kinsoku/>
        <w:wordWrap/>
        <w:overflowPunct/>
        <w:topLinePunct w:val="0"/>
        <w:bidi w:val="0"/>
        <w:spacing w:before="0" w:line="360" w:lineRule="auto"/>
        <w:ind w:left="0" w:leftChars="0" w:right="0" w:firstLine="480" w:firstLineChars="200"/>
        <w:textAlignment w:val="auto"/>
        <w:rPr>
          <w:rFonts w:hint="eastAsia" w:ascii="宋体" w:hAnsi="宋体" w:eastAsia="宋体" w:cs="宋体"/>
          <w:color w:val="000000"/>
        </w:rPr>
      </w:pPr>
      <w:r>
        <w:rPr>
          <w:rFonts w:hint="eastAsia" w:ascii="宋体" w:hAnsi="宋体" w:eastAsia="宋体" w:cs="宋体"/>
          <w:color w:val="000000"/>
        </w:rPr>
        <w:t>17.3在原定投标有效期满之前，如果出现特殊情况，采购机构可以以公告形式通知投标人延长投标有效期。</w:t>
      </w:r>
      <w:r>
        <w:rPr>
          <w:rFonts w:hint="eastAsia" w:ascii="宋体" w:hAnsi="宋体" w:eastAsia="宋体" w:cs="宋体"/>
        </w:rPr>
        <w:t>投标人同意延长的，不得要求或被允许修改其投标文件，投标人拒绝延长的，其</w:t>
      </w:r>
      <w:r>
        <w:rPr>
          <w:rFonts w:hint="eastAsia" w:ascii="宋体" w:hAnsi="宋体" w:eastAsia="宋体" w:cs="宋体"/>
          <w:color w:val="000000"/>
        </w:rPr>
        <w:t>投标无效</w:t>
      </w:r>
      <w:r>
        <w:rPr>
          <w:rFonts w:hint="eastAsia" w:ascii="宋体" w:hAnsi="宋体" w:eastAsia="宋体" w:cs="宋体"/>
        </w:rPr>
        <w:t>。</w:t>
      </w:r>
    </w:p>
    <w:p w14:paraId="59AF853A">
      <w:pPr>
        <w:pStyle w:val="217"/>
        <w:spacing w:before="0"/>
        <w:ind w:firstLine="0" w:firstLineChars="0"/>
        <w:jc w:val="center"/>
        <w:rPr>
          <w:rFonts w:hint="eastAsia" w:ascii="宋体" w:hAnsi="宋体" w:eastAsia="宋体" w:cs="宋体"/>
          <w:b/>
          <w:color w:val="000000"/>
          <w:sz w:val="32"/>
        </w:rPr>
      </w:pPr>
      <w:bookmarkStart w:id="56" w:name="_Toc91899897"/>
      <w:r>
        <w:rPr>
          <w:rFonts w:hint="eastAsia" w:ascii="宋体" w:hAnsi="宋体" w:eastAsia="宋体" w:cs="宋体"/>
          <w:b/>
          <w:color w:val="000000"/>
          <w:sz w:val="32"/>
        </w:rPr>
        <w:t>四、</w:t>
      </w:r>
      <w:bookmarkEnd w:id="56"/>
      <w:r>
        <w:rPr>
          <w:rFonts w:hint="eastAsia" w:ascii="宋体" w:hAnsi="宋体" w:eastAsia="宋体" w:cs="宋体"/>
          <w:b/>
          <w:color w:val="000000"/>
          <w:sz w:val="32"/>
        </w:rPr>
        <w:t>开标、资格审查与信用信息查询</w:t>
      </w:r>
    </w:p>
    <w:p w14:paraId="769D7527">
      <w:pPr>
        <w:pStyle w:val="499"/>
        <w:keepNext w:val="0"/>
        <w:keepLines w:val="0"/>
        <w:pageBreakBefore w:val="0"/>
        <w:kinsoku/>
        <w:wordWrap/>
        <w:overflowPunct/>
        <w:topLinePunct w:val="0"/>
        <w:bidi w:val="0"/>
        <w:adjustRightInd w:val="0"/>
        <w:spacing w:before="0" w:beforeAutospacing="0" w:line="360" w:lineRule="auto"/>
        <w:ind w:left="0" w:firstLine="482" w:firstLineChars="200"/>
        <w:contextualSpacing/>
        <w:jc w:val="both"/>
        <w:textAlignment w:val="auto"/>
        <w:rPr>
          <w:rFonts w:hint="eastAsia" w:ascii="宋体" w:hAnsi="宋体" w:eastAsia="宋体" w:cs="宋体"/>
          <w:color w:val="FF0000"/>
          <w:sz w:val="24"/>
        </w:rPr>
      </w:pPr>
      <w:r>
        <w:rPr>
          <w:rFonts w:hint="eastAsia" w:ascii="宋体" w:hAnsi="宋体" w:eastAsia="宋体" w:cs="宋体"/>
          <w:b/>
          <w:color w:val="000000"/>
          <w:sz w:val="24"/>
          <w:szCs w:val="24"/>
        </w:rPr>
        <w:t>18.开标</w:t>
      </w:r>
    </w:p>
    <w:p w14:paraId="37B5C721">
      <w:pPr>
        <w:pStyle w:val="499"/>
        <w:keepNext w:val="0"/>
        <w:keepLines w:val="0"/>
        <w:pageBreakBefore w:val="0"/>
        <w:kinsoku/>
        <w:wordWrap/>
        <w:overflowPunct/>
        <w:topLinePunct w:val="0"/>
        <w:bidi w:val="0"/>
        <w:adjustRightInd w:val="0"/>
        <w:spacing w:before="0" w:beforeAutospacing="0" w:line="360" w:lineRule="auto"/>
        <w:ind w:left="0" w:firstLine="480" w:firstLineChars="200"/>
        <w:contextualSpacing/>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18.1代理机构按照招标文件规定的时组织开标，所有投标人均应当准时参加。投标人不足3家的，不得开标。</w:t>
      </w:r>
    </w:p>
    <w:p w14:paraId="45B26ABD">
      <w:pPr>
        <w:pStyle w:val="499"/>
        <w:keepNext w:val="0"/>
        <w:keepLines w:val="0"/>
        <w:pageBreakBefore w:val="0"/>
        <w:kinsoku/>
        <w:wordWrap/>
        <w:overflowPunct/>
        <w:topLinePunct w:val="0"/>
        <w:bidi w:val="0"/>
        <w:adjustRightInd w:val="0"/>
        <w:spacing w:before="0" w:beforeAutospacing="0" w:line="360" w:lineRule="auto"/>
        <w:ind w:left="0" w:firstLine="480" w:firstLineChars="200"/>
        <w:contextualSpacing/>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18.2投标文件的接收在招标文件确定的时间、地点进行。</w:t>
      </w:r>
    </w:p>
    <w:p w14:paraId="66023635">
      <w:pPr>
        <w:keepNext w:val="0"/>
        <w:keepLines w:val="0"/>
        <w:pageBreakBefore w:val="0"/>
        <w:widowControl/>
        <w:kinsoku/>
        <w:wordWrap/>
        <w:overflowPunct/>
        <w:topLinePunct w:val="0"/>
        <w:bidi w:val="0"/>
        <w:adjustRightInd w:val="0"/>
        <w:spacing w:beforeAutospacing="0" w:line="360" w:lineRule="auto"/>
        <w:ind w:firstLine="482" w:firstLineChars="200"/>
        <w:jc w:val="both"/>
        <w:textAlignment w:val="auto"/>
        <w:rPr>
          <w:rFonts w:hint="eastAsia" w:ascii="宋体" w:hAnsi="宋体" w:eastAsia="宋体" w:cs="宋体"/>
          <w:b/>
          <w:color w:val="000000"/>
          <w:sz w:val="24"/>
          <w:szCs w:val="20"/>
        </w:rPr>
      </w:pPr>
      <w:r>
        <w:rPr>
          <w:rFonts w:hint="eastAsia" w:ascii="宋体" w:hAnsi="宋体" w:eastAsia="宋体" w:cs="宋体"/>
          <w:b/>
          <w:color w:val="000000"/>
          <w:sz w:val="24"/>
          <w:szCs w:val="20"/>
        </w:rPr>
        <w:t>19、资格审查</w:t>
      </w:r>
    </w:p>
    <w:p w14:paraId="07CAEE77">
      <w:pPr>
        <w:pStyle w:val="217"/>
        <w:keepNext w:val="0"/>
        <w:keepLines w:val="0"/>
        <w:pageBreakBefore w:val="0"/>
        <w:kinsoku/>
        <w:wordWrap/>
        <w:overflowPunct/>
        <w:topLinePunct w:val="0"/>
        <w:bidi w:val="0"/>
        <w:adjustRightInd w:val="0"/>
        <w:spacing w:before="0" w:beforeAutospacing="0"/>
        <w:ind w:firstLine="480" w:firstLineChars="200"/>
        <w:jc w:val="both"/>
        <w:textAlignment w:val="auto"/>
        <w:rPr>
          <w:rFonts w:hint="eastAsia" w:ascii="宋体" w:hAnsi="宋体" w:eastAsia="宋体" w:cs="宋体"/>
          <w:color w:val="000000"/>
          <w:kern w:val="0"/>
          <w:szCs w:val="24"/>
        </w:rPr>
      </w:pPr>
      <w:r>
        <w:rPr>
          <w:rFonts w:hint="eastAsia" w:ascii="宋体" w:hAnsi="宋体" w:eastAsia="宋体" w:cs="宋体"/>
          <w:color w:val="000000"/>
          <w:kern w:val="0"/>
          <w:szCs w:val="24"/>
        </w:rPr>
        <w:t>19.1开标后，采购人将依法对投标人的资格进行审查。</w:t>
      </w:r>
    </w:p>
    <w:p w14:paraId="178EBC66">
      <w:pPr>
        <w:keepNext w:val="0"/>
        <w:keepLines w:val="0"/>
        <w:pageBreakBefore w:val="0"/>
        <w:kinsoku/>
        <w:wordWrap/>
        <w:overflowPunct/>
        <w:topLinePunct w:val="0"/>
        <w:bidi w:val="0"/>
        <w:adjustRightInd w:val="0"/>
        <w:snapToGrid w:val="0"/>
        <w:spacing w:beforeAutospacing="0" w:line="360" w:lineRule="auto"/>
        <w:ind w:firstLine="480" w:firstLineChars="200"/>
        <w:jc w:val="both"/>
        <w:textAlignment w:val="auto"/>
        <w:rPr>
          <w:rFonts w:hint="eastAsia" w:ascii="宋体" w:hAnsi="宋体" w:eastAsia="宋体" w:cs="宋体"/>
          <w:color w:val="000000"/>
          <w:sz w:val="24"/>
        </w:rPr>
      </w:pPr>
      <w:r>
        <w:rPr>
          <w:rFonts w:hint="eastAsia" w:ascii="宋体" w:hAnsi="宋体" w:eastAsia="宋体" w:cs="宋体"/>
          <w:color w:val="000000"/>
          <w:kern w:val="0"/>
          <w:sz w:val="24"/>
        </w:rPr>
        <w:t>19.2</w:t>
      </w:r>
      <w:r>
        <w:rPr>
          <w:rFonts w:hint="eastAsia" w:ascii="宋体" w:hAnsi="宋体" w:eastAsia="宋体" w:cs="宋体"/>
          <w:color w:val="000000"/>
          <w:sz w:val="24"/>
        </w:rPr>
        <w:t>采购人或代理机构依据法律法规和招标文件的规定，对投标人的基本资格条件、特定资格条件进行审查。</w:t>
      </w:r>
    </w:p>
    <w:p w14:paraId="694E9FFD">
      <w:pPr>
        <w:pStyle w:val="217"/>
        <w:keepNext w:val="0"/>
        <w:keepLines w:val="0"/>
        <w:pageBreakBefore w:val="0"/>
        <w:kinsoku/>
        <w:wordWrap/>
        <w:overflowPunct/>
        <w:topLinePunct w:val="0"/>
        <w:bidi w:val="0"/>
        <w:adjustRightInd w:val="0"/>
        <w:spacing w:before="0" w:beforeAutospacing="0"/>
        <w:ind w:firstLine="480" w:firstLineChars="200"/>
        <w:jc w:val="both"/>
        <w:textAlignment w:val="auto"/>
        <w:rPr>
          <w:rFonts w:hint="eastAsia" w:ascii="宋体" w:hAnsi="宋体" w:eastAsia="宋体" w:cs="宋体"/>
          <w:color w:val="000000"/>
        </w:rPr>
      </w:pPr>
      <w:r>
        <w:rPr>
          <w:rFonts w:hint="eastAsia" w:ascii="宋体" w:hAnsi="宋体" w:eastAsia="宋体" w:cs="宋体"/>
          <w:color w:val="000000"/>
          <w:kern w:val="0"/>
          <w:szCs w:val="24"/>
        </w:rPr>
        <w:t>19.3投标人未按照招标文件要求提供与</w:t>
      </w:r>
      <w:r>
        <w:rPr>
          <w:rFonts w:hint="eastAsia" w:ascii="宋体" w:hAnsi="宋体" w:eastAsia="宋体" w:cs="宋体"/>
          <w:color w:val="000000"/>
        </w:rPr>
        <w:t>基本资格条件、特定资格条件相应的</w:t>
      </w:r>
      <w:r>
        <w:rPr>
          <w:rFonts w:hint="eastAsia" w:ascii="宋体" w:hAnsi="宋体" w:eastAsia="宋体" w:cs="宋体"/>
          <w:color w:val="000000"/>
          <w:kern w:val="0"/>
          <w:szCs w:val="24"/>
        </w:rPr>
        <w:t>有效资格证明材料的，视为</w:t>
      </w:r>
      <w:r>
        <w:rPr>
          <w:rFonts w:hint="eastAsia" w:ascii="宋体" w:hAnsi="宋体" w:eastAsia="宋体" w:cs="宋体"/>
          <w:color w:val="000000"/>
        </w:rPr>
        <w:t>投标人不具备招标文件中规定的资格要求，其</w:t>
      </w:r>
      <w:r>
        <w:rPr>
          <w:rFonts w:hint="eastAsia" w:ascii="宋体" w:hAnsi="宋体" w:eastAsia="宋体" w:cs="宋体"/>
          <w:color w:val="000000"/>
          <w:kern w:val="0"/>
          <w:szCs w:val="24"/>
        </w:rPr>
        <w:t>投标无效</w:t>
      </w:r>
      <w:r>
        <w:rPr>
          <w:rFonts w:hint="eastAsia" w:ascii="宋体" w:hAnsi="宋体" w:eastAsia="宋体" w:cs="宋体"/>
          <w:color w:val="000000"/>
        </w:rPr>
        <w:t>。</w:t>
      </w:r>
    </w:p>
    <w:p w14:paraId="1DCB480B">
      <w:pPr>
        <w:pStyle w:val="217"/>
        <w:keepNext w:val="0"/>
        <w:keepLines w:val="0"/>
        <w:pageBreakBefore w:val="0"/>
        <w:kinsoku/>
        <w:wordWrap/>
        <w:overflowPunct/>
        <w:topLinePunct w:val="0"/>
        <w:bidi w:val="0"/>
        <w:adjustRightInd w:val="0"/>
        <w:spacing w:before="0" w:beforeAutospacing="0"/>
        <w:ind w:firstLine="480" w:firstLineChars="200"/>
        <w:jc w:val="both"/>
        <w:textAlignment w:val="auto"/>
        <w:rPr>
          <w:rFonts w:hint="eastAsia" w:ascii="宋体" w:hAnsi="宋体" w:eastAsia="宋体" w:cs="宋体"/>
          <w:color w:val="000000"/>
        </w:rPr>
      </w:pPr>
      <w:r>
        <w:rPr>
          <w:rFonts w:hint="eastAsia" w:ascii="宋体" w:hAnsi="宋体" w:eastAsia="宋体" w:cs="宋体"/>
          <w:color w:val="000000"/>
        </w:rPr>
        <w:t>19.4对未通过资格审查的投标人，采购人或代理机构告知其未通过的原因。</w:t>
      </w:r>
    </w:p>
    <w:p w14:paraId="07B13470">
      <w:pPr>
        <w:pStyle w:val="217"/>
        <w:keepNext w:val="0"/>
        <w:keepLines w:val="0"/>
        <w:pageBreakBefore w:val="0"/>
        <w:kinsoku/>
        <w:wordWrap/>
        <w:overflowPunct/>
        <w:topLinePunct w:val="0"/>
        <w:bidi w:val="0"/>
        <w:adjustRightInd w:val="0"/>
        <w:spacing w:before="0" w:beforeAutospacing="0"/>
        <w:ind w:firstLine="480" w:firstLineChars="200"/>
        <w:jc w:val="both"/>
        <w:textAlignment w:val="auto"/>
        <w:rPr>
          <w:rFonts w:hint="eastAsia" w:ascii="宋体" w:hAnsi="宋体" w:eastAsia="宋体" w:cs="宋体"/>
          <w:color w:val="000000"/>
        </w:rPr>
      </w:pPr>
      <w:r>
        <w:rPr>
          <w:rFonts w:hint="eastAsia" w:ascii="宋体" w:hAnsi="宋体" w:eastAsia="宋体" w:cs="宋体"/>
          <w:color w:val="000000"/>
        </w:rPr>
        <w:t>19.5合格投标人不足3家的，不再评标。</w:t>
      </w:r>
    </w:p>
    <w:p w14:paraId="75938744">
      <w:pPr>
        <w:pStyle w:val="217"/>
        <w:keepNext w:val="0"/>
        <w:keepLines w:val="0"/>
        <w:pageBreakBefore w:val="0"/>
        <w:kinsoku/>
        <w:wordWrap/>
        <w:overflowPunct/>
        <w:topLinePunct w:val="0"/>
        <w:bidi w:val="0"/>
        <w:adjustRightInd w:val="0"/>
        <w:spacing w:before="0" w:beforeAutospacing="0"/>
        <w:ind w:firstLine="482" w:firstLineChars="200"/>
        <w:jc w:val="both"/>
        <w:textAlignment w:val="auto"/>
        <w:rPr>
          <w:rFonts w:hint="eastAsia" w:ascii="宋体" w:hAnsi="宋体" w:eastAsia="宋体" w:cs="宋体"/>
          <w:b/>
          <w:color w:val="000000"/>
          <w:szCs w:val="24"/>
        </w:rPr>
      </w:pPr>
      <w:r>
        <w:rPr>
          <w:rFonts w:hint="eastAsia" w:ascii="宋体" w:hAnsi="宋体" w:eastAsia="宋体" w:cs="宋体"/>
          <w:b/>
          <w:color w:val="000000"/>
          <w:szCs w:val="24"/>
        </w:rPr>
        <w:t>20、信用信息查询</w:t>
      </w:r>
    </w:p>
    <w:p w14:paraId="371A7BAA">
      <w:pPr>
        <w:pStyle w:val="217"/>
        <w:keepNext w:val="0"/>
        <w:keepLines w:val="0"/>
        <w:pageBreakBefore w:val="0"/>
        <w:kinsoku/>
        <w:wordWrap/>
        <w:overflowPunct/>
        <w:topLinePunct w:val="0"/>
        <w:bidi w:val="0"/>
        <w:adjustRightInd w:val="0"/>
        <w:spacing w:before="0" w:beforeAutospacing="0"/>
        <w:ind w:firstLine="480" w:firstLineChars="200"/>
        <w:jc w:val="both"/>
        <w:textAlignment w:val="auto"/>
        <w:rPr>
          <w:rFonts w:hint="eastAsia" w:ascii="宋体" w:hAnsi="宋体" w:eastAsia="宋体" w:cs="宋体"/>
          <w:color w:val="000000"/>
          <w:kern w:val="0"/>
          <w:szCs w:val="24"/>
        </w:rPr>
      </w:pPr>
      <w:r>
        <w:rPr>
          <w:rFonts w:hint="eastAsia" w:ascii="宋体" w:hAnsi="宋体" w:eastAsia="宋体" w:cs="宋体"/>
          <w:color w:val="000000"/>
          <w:kern w:val="0"/>
          <w:szCs w:val="24"/>
        </w:rPr>
        <w:t>20.1信用信息查询渠道及截止时间：采购人或采购机构将通过“信用中国”网站(www.creditchina.gov.cn)、中国政府采购网(www.ccgp.gov.cn)渠道查询投标人投标截止时间前的信用记录。</w:t>
      </w:r>
    </w:p>
    <w:p w14:paraId="67B45EE4">
      <w:pPr>
        <w:pStyle w:val="217"/>
        <w:keepNext w:val="0"/>
        <w:keepLines w:val="0"/>
        <w:pageBreakBefore w:val="0"/>
        <w:kinsoku/>
        <w:wordWrap/>
        <w:overflowPunct/>
        <w:topLinePunct w:val="0"/>
        <w:bidi w:val="0"/>
        <w:adjustRightInd w:val="0"/>
        <w:spacing w:before="0" w:beforeAutospacing="0"/>
        <w:ind w:firstLine="480" w:firstLineChars="200"/>
        <w:jc w:val="both"/>
        <w:textAlignment w:val="auto"/>
        <w:rPr>
          <w:rFonts w:hint="eastAsia" w:ascii="宋体" w:hAnsi="宋体" w:eastAsia="宋体" w:cs="宋体"/>
          <w:color w:val="000000"/>
          <w:kern w:val="0"/>
          <w:szCs w:val="24"/>
        </w:rPr>
      </w:pPr>
      <w:r>
        <w:rPr>
          <w:rFonts w:hint="eastAsia" w:ascii="宋体" w:hAnsi="宋体" w:eastAsia="宋体" w:cs="宋体"/>
          <w:color w:val="000000"/>
          <w:kern w:val="0"/>
          <w:szCs w:val="24"/>
        </w:rPr>
        <w:t>20.2信用信息查询记录和证据留存的具体方式：现场查询的投标人的信用记录、查询结果经确认后将与招标文件一起存档。</w:t>
      </w:r>
    </w:p>
    <w:p w14:paraId="0A238E6C">
      <w:pPr>
        <w:pStyle w:val="217"/>
        <w:keepNext w:val="0"/>
        <w:keepLines w:val="0"/>
        <w:pageBreakBefore w:val="0"/>
        <w:kinsoku/>
        <w:wordWrap/>
        <w:overflowPunct/>
        <w:topLinePunct w:val="0"/>
        <w:bidi w:val="0"/>
        <w:adjustRightInd w:val="0"/>
        <w:spacing w:before="0" w:beforeAutospacing="0"/>
        <w:ind w:firstLine="480" w:firstLineChars="200"/>
        <w:jc w:val="both"/>
        <w:textAlignment w:val="auto"/>
        <w:rPr>
          <w:rFonts w:hint="eastAsia" w:ascii="宋体" w:hAnsi="宋体" w:eastAsia="宋体" w:cs="宋体"/>
          <w:color w:val="000000"/>
          <w:kern w:val="0"/>
          <w:szCs w:val="24"/>
        </w:rPr>
      </w:pPr>
      <w:r>
        <w:rPr>
          <w:rFonts w:hint="eastAsia" w:ascii="宋体" w:hAnsi="宋体" w:eastAsia="宋体" w:cs="宋体"/>
          <w:color w:val="000000"/>
          <w:kern w:val="0"/>
          <w:szCs w:val="24"/>
        </w:rPr>
        <w:t>20.3信用信息的使用规则：经查询列入失信被执行人名单、重大税收违法案件当事人名单、政府采购严重违法失信行为记录名单的投标人将被拒绝参与采购活动。</w:t>
      </w:r>
    </w:p>
    <w:p w14:paraId="21F6F0EC">
      <w:pPr>
        <w:pStyle w:val="217"/>
        <w:spacing w:before="0"/>
        <w:ind w:firstLine="0" w:firstLineChars="0"/>
        <w:rPr>
          <w:rFonts w:hint="eastAsia" w:ascii="宋体" w:hAnsi="宋体" w:eastAsia="宋体" w:cs="宋体"/>
          <w:color w:val="000000"/>
          <w:kern w:val="0"/>
          <w:szCs w:val="24"/>
        </w:rPr>
      </w:pPr>
    </w:p>
    <w:p w14:paraId="0B96D12A">
      <w:pPr>
        <w:snapToGrid w:val="0"/>
        <w:spacing w:line="360" w:lineRule="auto"/>
        <w:jc w:val="center"/>
        <w:outlineLvl w:val="0"/>
        <w:rPr>
          <w:rFonts w:hint="eastAsia" w:ascii="宋体" w:hAnsi="宋体" w:eastAsia="宋体" w:cs="宋体"/>
          <w:b/>
          <w:color w:val="000000"/>
          <w:sz w:val="36"/>
          <w:szCs w:val="36"/>
        </w:rPr>
      </w:pPr>
      <w:bookmarkStart w:id="57" w:name="_Hlt75236101"/>
      <w:bookmarkEnd w:id="57"/>
      <w:bookmarkStart w:id="58" w:name="_Toc91899902"/>
      <w:r>
        <w:rPr>
          <w:rFonts w:hint="eastAsia" w:ascii="宋体" w:hAnsi="宋体" w:eastAsia="宋体" w:cs="宋体"/>
          <w:b/>
          <w:color w:val="000000"/>
          <w:sz w:val="36"/>
          <w:szCs w:val="36"/>
        </w:rPr>
        <w:t>五、评标</w:t>
      </w:r>
      <w:bookmarkEnd w:id="58"/>
    </w:p>
    <w:p w14:paraId="7E28091B">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000000"/>
          <w:sz w:val="24"/>
        </w:rPr>
      </w:pPr>
      <w:r>
        <w:rPr>
          <w:rFonts w:hint="eastAsia" w:ascii="宋体" w:hAnsi="宋体" w:eastAsia="宋体" w:cs="宋体"/>
          <w:b/>
          <w:color w:val="000000"/>
          <w:sz w:val="24"/>
        </w:rPr>
        <w:t>21.</w:t>
      </w:r>
      <w:r>
        <w:rPr>
          <w:rFonts w:hint="eastAsia" w:ascii="宋体" w:hAnsi="宋体" w:eastAsia="宋体" w:cs="宋体"/>
          <w:color w:val="000000" w:themeColor="text1"/>
          <w:sz w:val="24"/>
          <w14:textFill>
            <w14:solidFill>
              <w14:schemeClr w14:val="tx1"/>
            </w14:solidFill>
          </w14:textFill>
        </w:rPr>
        <w:t>详见招标文件第四部分“评标方法及评分标准”</w:t>
      </w:r>
    </w:p>
    <w:p w14:paraId="4CACE907">
      <w:pPr>
        <w:snapToGrid w:val="0"/>
        <w:spacing w:line="360" w:lineRule="auto"/>
        <w:jc w:val="center"/>
        <w:outlineLvl w:val="0"/>
        <w:rPr>
          <w:rFonts w:hint="eastAsia" w:ascii="宋体" w:hAnsi="宋体" w:eastAsia="宋体" w:cs="宋体"/>
          <w:b/>
          <w:color w:val="000000"/>
          <w:sz w:val="36"/>
          <w:szCs w:val="36"/>
        </w:rPr>
      </w:pPr>
      <w:r>
        <w:rPr>
          <w:rFonts w:hint="eastAsia" w:ascii="宋体" w:hAnsi="宋体" w:eastAsia="宋体" w:cs="宋体"/>
          <w:b/>
          <w:color w:val="000000"/>
          <w:sz w:val="36"/>
          <w:szCs w:val="36"/>
        </w:rPr>
        <w:t>六、定 标</w:t>
      </w:r>
    </w:p>
    <w:p w14:paraId="2AEDE6BC">
      <w:pPr>
        <w:pStyle w:val="24"/>
        <w:keepNext w:val="0"/>
        <w:keepLines w:val="0"/>
        <w:pageBreakBefore w:val="0"/>
        <w:kinsoku/>
        <w:wordWrap/>
        <w:overflowPunct/>
        <w:topLinePunct w:val="0"/>
        <w:autoSpaceDE/>
        <w:autoSpaceDN/>
        <w:bidi w:val="0"/>
        <w:adjustRightInd w:val="0"/>
        <w:spacing w:line="360" w:lineRule="auto"/>
        <w:ind w:left="0" w:firstLine="482" w:firstLineChars="200"/>
        <w:textAlignment w:val="auto"/>
        <w:rPr>
          <w:rFonts w:hint="eastAsia" w:ascii="宋体" w:hAnsi="宋体" w:eastAsia="宋体" w:cs="宋体"/>
          <w:b/>
          <w:color w:val="000000"/>
        </w:rPr>
      </w:pPr>
      <w:r>
        <w:rPr>
          <w:rFonts w:hint="eastAsia" w:ascii="宋体" w:hAnsi="宋体" w:eastAsia="宋体" w:cs="宋体"/>
          <w:b/>
          <w:color w:val="000000"/>
        </w:rPr>
        <w:t>22. 确定中标供应商</w:t>
      </w:r>
    </w:p>
    <w:p w14:paraId="28DE220E">
      <w:pPr>
        <w:pStyle w:val="217"/>
        <w:keepNext w:val="0"/>
        <w:keepLines w:val="0"/>
        <w:pageBreakBefore w:val="0"/>
        <w:kinsoku/>
        <w:wordWrap/>
        <w:overflowPunct/>
        <w:topLinePunct w:val="0"/>
        <w:autoSpaceDE/>
        <w:autoSpaceDN/>
        <w:bidi w:val="0"/>
        <w:adjustRightInd w:val="0"/>
        <w:snapToGrid w:val="0"/>
        <w:spacing w:before="0"/>
        <w:ind w:left="0" w:firstLine="480" w:firstLineChars="200"/>
        <w:textAlignment w:val="auto"/>
        <w:rPr>
          <w:rFonts w:hint="eastAsia" w:ascii="宋体" w:hAnsi="宋体" w:eastAsia="宋体" w:cs="宋体"/>
          <w:b/>
          <w:color w:val="000000"/>
          <w:szCs w:val="24"/>
        </w:rPr>
      </w:pPr>
      <w:r>
        <w:rPr>
          <w:rFonts w:hint="eastAsia" w:ascii="宋体" w:hAnsi="宋体" w:eastAsia="宋体" w:cs="宋体"/>
          <w:color w:val="000000"/>
          <w:szCs w:val="24"/>
        </w:rPr>
        <w:t>采购机构将自评审结束之日起2个工作日内将评审报告送交采购人。采购人将自收到评审报告之日起5个工作日内在评审报告推荐的中标候选人中按顺序确定中标供应商。</w:t>
      </w:r>
    </w:p>
    <w:p w14:paraId="423080CD">
      <w:pPr>
        <w:pStyle w:val="217"/>
        <w:keepNext w:val="0"/>
        <w:keepLines w:val="0"/>
        <w:pageBreakBefore w:val="0"/>
        <w:kinsoku/>
        <w:wordWrap/>
        <w:overflowPunct/>
        <w:topLinePunct w:val="0"/>
        <w:autoSpaceDE/>
        <w:autoSpaceDN/>
        <w:bidi w:val="0"/>
        <w:adjustRightInd w:val="0"/>
        <w:snapToGrid w:val="0"/>
        <w:spacing w:before="0"/>
        <w:ind w:left="0" w:firstLine="482" w:firstLineChars="200"/>
        <w:textAlignment w:val="auto"/>
        <w:rPr>
          <w:rFonts w:hint="eastAsia" w:ascii="宋体" w:hAnsi="宋体" w:eastAsia="宋体" w:cs="宋体"/>
          <w:b/>
          <w:color w:val="000000"/>
          <w:szCs w:val="24"/>
        </w:rPr>
      </w:pPr>
      <w:r>
        <w:rPr>
          <w:rFonts w:hint="eastAsia" w:ascii="宋体" w:hAnsi="宋体" w:eastAsia="宋体" w:cs="宋体"/>
          <w:b/>
          <w:color w:val="000000"/>
          <w:szCs w:val="24"/>
        </w:rPr>
        <w:t>23. 中标通知与中标结果公告</w:t>
      </w:r>
    </w:p>
    <w:p w14:paraId="76B9BA40">
      <w:pPr>
        <w:keepNext w:val="0"/>
        <w:keepLines w:val="0"/>
        <w:pageBreakBefore w:val="0"/>
        <w:widowControl/>
        <w:shd w:val="clear" w:color="auto" w:fill="FFFFFF"/>
        <w:kinsoku/>
        <w:wordWrap/>
        <w:overflowPunct/>
        <w:topLinePunct w:val="0"/>
        <w:autoSpaceDE/>
        <w:autoSpaceDN/>
        <w:bidi w:val="0"/>
        <w:adjustRightInd w:val="0"/>
        <w:spacing w:line="360" w:lineRule="auto"/>
        <w:ind w:left="0"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23.1采购机构将在自中标人确定之日起2个工作日内，发布招标公告的网站上公告中标结果，同时发出中标通知书。</w:t>
      </w:r>
    </w:p>
    <w:p w14:paraId="059928FE">
      <w:pPr>
        <w:keepNext w:val="0"/>
        <w:keepLines w:val="0"/>
        <w:pageBreakBefore w:val="0"/>
        <w:widowControl/>
        <w:shd w:val="clear" w:color="auto" w:fill="FFFFFF"/>
        <w:kinsoku/>
        <w:wordWrap/>
        <w:overflowPunct/>
        <w:topLinePunct w:val="0"/>
        <w:autoSpaceDE/>
        <w:autoSpaceDN/>
        <w:bidi w:val="0"/>
        <w:adjustRightInd w:val="0"/>
        <w:spacing w:line="360" w:lineRule="auto"/>
        <w:ind w:left="0"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23.2中标结果公告内容包括采购人及其委托的采购机构的名称、地址、联系方式，项目名称和项目编号，中标人名称、地址和中标金额，主要中标标的的名称、规格型号、数量、单价、服务要求，中标公告期限以及评审专家名单。</w:t>
      </w:r>
    </w:p>
    <w:p w14:paraId="1ADA5FB4">
      <w:pPr>
        <w:keepNext w:val="0"/>
        <w:keepLines w:val="0"/>
        <w:pageBreakBefore w:val="0"/>
        <w:widowControl/>
        <w:shd w:val="clear" w:color="auto" w:fill="FFFFFF"/>
        <w:kinsoku/>
        <w:wordWrap/>
        <w:overflowPunct/>
        <w:topLinePunct w:val="0"/>
        <w:autoSpaceDE/>
        <w:autoSpaceDN/>
        <w:bidi w:val="0"/>
        <w:adjustRightInd w:val="0"/>
        <w:spacing w:line="360" w:lineRule="auto"/>
        <w:ind w:left="0"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23.3公告期限为1个工作日。</w:t>
      </w:r>
    </w:p>
    <w:p w14:paraId="7E05C934">
      <w:pPr>
        <w:snapToGrid w:val="0"/>
        <w:spacing w:line="360" w:lineRule="auto"/>
        <w:ind w:left="120" w:leftChars="57" w:firstLine="482" w:firstLineChars="150"/>
        <w:jc w:val="center"/>
        <w:rPr>
          <w:rFonts w:hint="eastAsia" w:ascii="宋体" w:hAnsi="宋体" w:eastAsia="宋体" w:cs="宋体"/>
          <w:b/>
          <w:color w:val="000000"/>
          <w:sz w:val="32"/>
        </w:rPr>
      </w:pPr>
    </w:p>
    <w:p w14:paraId="31293107">
      <w:pPr>
        <w:snapToGrid w:val="0"/>
        <w:spacing w:line="360" w:lineRule="auto"/>
        <w:ind w:left="120" w:leftChars="57" w:firstLine="482" w:firstLineChars="150"/>
        <w:jc w:val="center"/>
        <w:rPr>
          <w:rFonts w:hint="eastAsia" w:ascii="宋体" w:hAnsi="宋体" w:eastAsia="宋体" w:cs="宋体"/>
          <w:b/>
          <w:color w:val="000000"/>
          <w:sz w:val="32"/>
        </w:rPr>
      </w:pPr>
      <w:r>
        <w:rPr>
          <w:rFonts w:hint="eastAsia" w:ascii="宋体" w:hAnsi="宋体" w:eastAsia="宋体" w:cs="宋体"/>
          <w:b/>
          <w:color w:val="000000"/>
          <w:sz w:val="32"/>
        </w:rPr>
        <w:t>七、合同授予</w:t>
      </w:r>
    </w:p>
    <w:p w14:paraId="571ED803">
      <w:pPr>
        <w:pStyle w:val="24"/>
        <w:keepNext w:val="0"/>
        <w:keepLines w:val="0"/>
        <w:pageBreakBefore w:val="0"/>
        <w:kinsoku/>
        <w:wordWrap/>
        <w:overflowPunct/>
        <w:topLinePunct w:val="0"/>
        <w:autoSpaceDE/>
        <w:autoSpaceDN/>
        <w:bidi w:val="0"/>
        <w:adjustRightInd w:val="0"/>
        <w:spacing w:line="360" w:lineRule="auto"/>
        <w:ind w:left="0" w:firstLine="482" w:firstLineChars="200"/>
        <w:textAlignment w:val="auto"/>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24. 合同的签订</w:t>
      </w:r>
    </w:p>
    <w:p w14:paraId="2C5EAAF9">
      <w:pPr>
        <w:keepNext w:val="0"/>
        <w:keepLines w:val="0"/>
        <w:pageBreakBefore w:val="0"/>
        <w:widowControl/>
        <w:shd w:val="clear" w:color="auto" w:fill="FFFFFF"/>
        <w:kinsoku/>
        <w:wordWrap/>
        <w:overflowPunct/>
        <w:topLinePunct w:val="0"/>
        <w:autoSpaceDE/>
        <w:autoSpaceDN/>
        <w:bidi w:val="0"/>
        <w:adjustRightInd w:val="0"/>
        <w:spacing w:line="360" w:lineRule="auto"/>
        <w:ind w:left="0" w:firstLine="480" w:firstLineChars="200"/>
        <w:jc w:val="left"/>
        <w:textAlignment w:val="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24.1</w:t>
      </w:r>
      <w:r>
        <w:rPr>
          <w:rFonts w:hint="eastAsia" w:ascii="宋体" w:hAnsi="宋体" w:eastAsia="宋体" w:cs="宋体"/>
          <w:color w:val="000000" w:themeColor="text1"/>
          <w:kern w:val="0"/>
          <w:sz w:val="24"/>
          <w14:textFill>
            <w14:solidFill>
              <w14:schemeClr w14:val="tx1"/>
            </w14:solidFill>
          </w14:textFill>
        </w:rPr>
        <w:t xml:space="preserve"> 采购人与</w:t>
      </w:r>
      <w:r>
        <w:rPr>
          <w:rFonts w:hint="eastAsia" w:ascii="宋体" w:hAnsi="宋体" w:eastAsia="宋体" w:cs="宋体"/>
          <w:color w:val="000000" w:themeColor="text1"/>
          <w:sz w:val="24"/>
          <w14:textFill>
            <w14:solidFill>
              <w14:schemeClr w14:val="tx1"/>
            </w14:solidFill>
          </w14:textFill>
        </w:rPr>
        <w:t>中标人</w:t>
      </w:r>
      <w:r>
        <w:rPr>
          <w:rFonts w:hint="eastAsia" w:ascii="宋体" w:hAnsi="宋体" w:eastAsia="宋体" w:cs="宋体"/>
          <w:color w:val="000000" w:themeColor="text1"/>
          <w:kern w:val="0"/>
          <w:sz w:val="24"/>
          <w14:textFill>
            <w14:solidFill>
              <w14:schemeClr w14:val="tx1"/>
            </w14:solidFill>
          </w14:textFill>
        </w:rPr>
        <w:t>应当在</w:t>
      </w:r>
      <w:r>
        <w:rPr>
          <w:rFonts w:hint="eastAsia" w:ascii="宋体" w:hAnsi="宋体" w:eastAsia="宋体" w:cs="宋体"/>
          <w:color w:val="000000" w:themeColor="text1"/>
          <w:sz w:val="24"/>
          <w14:textFill>
            <w14:solidFill>
              <w14:schemeClr w14:val="tx1"/>
            </w14:solidFill>
          </w14:textFill>
        </w:rPr>
        <w:t>中标通知书</w:t>
      </w:r>
      <w:r>
        <w:rPr>
          <w:rFonts w:hint="eastAsia" w:ascii="宋体" w:hAnsi="宋体" w:eastAsia="宋体" w:cs="宋体"/>
          <w:color w:val="000000" w:themeColor="text1"/>
          <w:kern w:val="0"/>
          <w:sz w:val="24"/>
          <w14:textFill>
            <w14:solidFill>
              <w14:schemeClr w14:val="tx1"/>
            </w14:solidFill>
          </w14:textFill>
        </w:rPr>
        <w:t>发出之日起三十日内，按照招标文件确定的事项签订采购合同。</w:t>
      </w:r>
      <w:r>
        <w:rPr>
          <w:rFonts w:hint="eastAsia" w:ascii="宋体" w:hAnsi="宋体" w:eastAsia="宋体" w:cs="宋体"/>
          <w:b/>
          <w:color w:val="000000" w:themeColor="text1"/>
          <w:kern w:val="0"/>
          <w:sz w:val="24"/>
          <w14:textFill>
            <w14:solidFill>
              <w14:schemeClr w14:val="tx1"/>
            </w14:solidFill>
          </w14:textFill>
        </w:rPr>
        <w:t>合同由中标人与服务库点直接签订。</w:t>
      </w:r>
    </w:p>
    <w:p w14:paraId="4701C8C5">
      <w:pPr>
        <w:pStyle w:val="217"/>
        <w:keepNext w:val="0"/>
        <w:keepLines w:val="0"/>
        <w:pageBreakBefore w:val="0"/>
        <w:kinsoku/>
        <w:wordWrap/>
        <w:overflowPunct/>
        <w:topLinePunct w:val="0"/>
        <w:autoSpaceDE/>
        <w:autoSpaceDN/>
        <w:bidi w:val="0"/>
        <w:adjustRightInd w:val="0"/>
        <w:snapToGrid w:val="0"/>
        <w:spacing w:before="0"/>
        <w:ind w:left="0" w:firstLine="480" w:firstLineChars="200"/>
        <w:textAlignment w:val="auto"/>
        <w:rPr>
          <w:rFonts w:hint="eastAsia" w:ascii="宋体" w:hAnsi="宋体" w:eastAsia="宋体" w:cs="宋体"/>
          <w:color w:val="000000"/>
          <w:kern w:val="0"/>
        </w:rPr>
      </w:pPr>
      <w:r>
        <w:rPr>
          <w:rFonts w:hint="eastAsia" w:ascii="宋体" w:hAnsi="宋体" w:eastAsia="宋体" w:cs="宋体"/>
          <w:color w:val="000000"/>
          <w:kern w:val="0"/>
          <w:lang w:val="zh-CN"/>
        </w:rPr>
        <w:t>24.2</w:t>
      </w:r>
      <w:r>
        <w:rPr>
          <w:rFonts w:hint="eastAsia" w:ascii="宋体" w:hAnsi="宋体" w:eastAsia="宋体" w:cs="宋体"/>
          <w:color w:val="000000"/>
        </w:rPr>
        <w:t>中标人</w:t>
      </w:r>
      <w:r>
        <w:rPr>
          <w:rFonts w:hint="eastAsia" w:ascii="宋体" w:hAnsi="宋体" w:eastAsia="宋体" w:cs="宋体"/>
          <w:color w:val="000000"/>
          <w:kern w:val="0"/>
          <w:lang w:val="zh-CN"/>
        </w:rPr>
        <w:t>按规定的日期、时间、地点，由法定代表人或其授权代表与采购人代表签订合同。</w:t>
      </w:r>
    </w:p>
    <w:p w14:paraId="3B50B88F">
      <w:pPr>
        <w:pStyle w:val="217"/>
        <w:keepNext w:val="0"/>
        <w:keepLines w:val="0"/>
        <w:pageBreakBefore w:val="0"/>
        <w:kinsoku/>
        <w:wordWrap/>
        <w:overflowPunct/>
        <w:topLinePunct w:val="0"/>
        <w:autoSpaceDE/>
        <w:autoSpaceDN/>
        <w:bidi w:val="0"/>
        <w:adjustRightInd w:val="0"/>
        <w:snapToGrid w:val="0"/>
        <w:spacing w:before="0"/>
        <w:ind w:left="0" w:firstLine="480" w:firstLineChars="200"/>
        <w:textAlignment w:val="auto"/>
        <w:rPr>
          <w:rFonts w:hint="eastAsia" w:ascii="宋体" w:hAnsi="宋体" w:eastAsia="宋体" w:cs="宋体"/>
          <w:color w:val="000000"/>
        </w:rPr>
      </w:pPr>
      <w:r>
        <w:rPr>
          <w:rFonts w:hint="eastAsia" w:ascii="宋体" w:hAnsi="宋体" w:eastAsia="宋体" w:cs="宋体"/>
          <w:color w:val="000000"/>
        </w:rPr>
        <w:t>24.3如签订合同并生效后，供应商无故拒绝或延期，除按照合同条款处理外，列入不良行为记录一次，并给予通报。</w:t>
      </w:r>
    </w:p>
    <w:p w14:paraId="501D69C0">
      <w:pPr>
        <w:pStyle w:val="217"/>
        <w:keepNext w:val="0"/>
        <w:keepLines w:val="0"/>
        <w:pageBreakBefore w:val="0"/>
        <w:kinsoku/>
        <w:wordWrap/>
        <w:overflowPunct/>
        <w:topLinePunct w:val="0"/>
        <w:autoSpaceDE/>
        <w:autoSpaceDN/>
        <w:bidi w:val="0"/>
        <w:adjustRightInd w:val="0"/>
        <w:snapToGrid w:val="0"/>
        <w:spacing w:before="0"/>
        <w:ind w:left="0" w:firstLine="480" w:firstLineChars="200"/>
        <w:textAlignment w:val="auto"/>
        <w:rPr>
          <w:rFonts w:hint="eastAsia" w:ascii="宋体" w:hAnsi="宋体" w:eastAsia="宋体" w:cs="宋体"/>
          <w:color w:val="000000"/>
        </w:rPr>
      </w:pPr>
      <w:r>
        <w:rPr>
          <w:rFonts w:hint="eastAsia" w:ascii="宋体" w:hAnsi="宋体" w:eastAsia="宋体" w:cs="宋体"/>
          <w:color w:val="000000"/>
        </w:rPr>
        <w:t>24.4成交供应商拒绝与采购人签订合同的，采购人可以按照评审报告推荐的成交或者成交候选人名单排序，确定下一候选人为中标供应商，也可以重新开展采购活动。</w:t>
      </w:r>
    </w:p>
    <w:p w14:paraId="4AE40EE0">
      <w:pPr>
        <w:pStyle w:val="24"/>
        <w:keepNext w:val="0"/>
        <w:keepLines w:val="0"/>
        <w:pageBreakBefore w:val="0"/>
        <w:kinsoku/>
        <w:wordWrap/>
        <w:overflowPunct/>
        <w:topLinePunct w:val="0"/>
        <w:autoSpaceDE/>
        <w:autoSpaceDN/>
        <w:bidi w:val="0"/>
        <w:adjustRightInd w:val="0"/>
        <w:spacing w:line="360" w:lineRule="auto"/>
        <w:ind w:left="0" w:firstLine="482" w:firstLineChars="200"/>
        <w:textAlignment w:val="auto"/>
        <w:rPr>
          <w:rFonts w:hint="eastAsia" w:ascii="宋体" w:hAnsi="宋体" w:eastAsia="宋体" w:cs="宋体"/>
          <w:b/>
          <w:color w:val="000000"/>
        </w:rPr>
      </w:pPr>
      <w:r>
        <w:rPr>
          <w:rFonts w:hint="eastAsia" w:ascii="宋体" w:hAnsi="宋体" w:eastAsia="宋体" w:cs="宋体"/>
          <w:b/>
          <w:color w:val="000000"/>
        </w:rPr>
        <w:t>25. 履约保证金</w:t>
      </w:r>
    </w:p>
    <w:p w14:paraId="0110550F">
      <w:pPr>
        <w:keepNext w:val="0"/>
        <w:keepLines w:val="0"/>
        <w:pageBreakBefore w:val="0"/>
        <w:tabs>
          <w:tab w:val="left" w:pos="0"/>
        </w:tabs>
        <w:kinsoku/>
        <w:wordWrap/>
        <w:overflowPunct/>
        <w:topLinePunct w:val="0"/>
        <w:autoSpaceDE/>
        <w:autoSpaceDN/>
        <w:bidi w:val="0"/>
        <w:adjustRightInd w:val="0"/>
        <w:spacing w:line="360" w:lineRule="auto"/>
        <w:ind w:left="0" w:firstLine="480" w:firstLineChars="200"/>
        <w:textAlignment w:val="auto"/>
        <w:rPr>
          <w:rFonts w:hint="eastAsia" w:ascii="宋体" w:hAnsi="宋体" w:eastAsia="宋体" w:cs="宋体"/>
          <w:color w:val="000000"/>
          <w:sz w:val="24"/>
        </w:rPr>
      </w:pPr>
      <w:r>
        <w:rPr>
          <w:rFonts w:hint="eastAsia" w:ascii="宋体" w:hAnsi="宋体" w:eastAsia="宋体" w:cs="宋体"/>
          <w:color w:val="000000"/>
          <w:kern w:val="0"/>
          <w:sz w:val="24"/>
        </w:rPr>
        <w:t>拟签订的合同文本要求</w:t>
      </w:r>
      <w:r>
        <w:rPr>
          <w:rFonts w:hint="eastAsia" w:ascii="宋体" w:hAnsi="宋体" w:eastAsia="宋体" w:cs="宋体"/>
          <w:color w:val="000000"/>
          <w:sz w:val="24"/>
        </w:rPr>
        <w:t>成交</w:t>
      </w:r>
      <w:r>
        <w:rPr>
          <w:rFonts w:hint="eastAsia" w:ascii="宋体" w:hAnsi="宋体" w:eastAsia="宋体" w:cs="宋体"/>
          <w:color w:val="000000"/>
          <w:kern w:val="0"/>
          <w:sz w:val="24"/>
        </w:rPr>
        <w:t>供应商提交履约保证金的，供应商应当以支票、汇票、等形式提交</w:t>
      </w:r>
      <w:r>
        <w:rPr>
          <w:rFonts w:hint="eastAsia" w:ascii="宋体" w:hAnsi="宋体" w:eastAsia="宋体" w:cs="宋体"/>
          <w:color w:val="000000"/>
          <w:sz w:val="24"/>
        </w:rPr>
        <w:t>。</w:t>
      </w:r>
    </w:p>
    <w:p w14:paraId="08C43B32">
      <w:pPr>
        <w:snapToGrid w:val="0"/>
        <w:spacing w:line="360" w:lineRule="auto"/>
        <w:jc w:val="center"/>
        <w:rPr>
          <w:rFonts w:hint="eastAsia" w:ascii="宋体" w:hAnsi="宋体" w:eastAsia="宋体" w:cs="宋体"/>
          <w:b/>
          <w:color w:val="000000"/>
          <w:sz w:val="32"/>
        </w:rPr>
      </w:pPr>
      <w:r>
        <w:rPr>
          <w:rFonts w:hint="eastAsia" w:ascii="宋体" w:hAnsi="宋体" w:eastAsia="宋体" w:cs="宋体"/>
          <w:b/>
          <w:sz w:val="32"/>
        </w:rPr>
        <w:t>八、</w:t>
      </w:r>
      <w:r>
        <w:rPr>
          <w:rFonts w:hint="eastAsia" w:ascii="宋体" w:hAnsi="宋体" w:eastAsia="宋体" w:cs="宋体"/>
          <w:b/>
          <w:color w:val="000000"/>
          <w:sz w:val="32"/>
        </w:rPr>
        <w:t>验收</w:t>
      </w:r>
    </w:p>
    <w:p w14:paraId="109CB4C6">
      <w:pPr>
        <w:pStyle w:val="24"/>
        <w:spacing w:line="360" w:lineRule="auto"/>
        <w:ind w:firstLine="482"/>
        <w:rPr>
          <w:rFonts w:hint="eastAsia" w:ascii="宋体" w:hAnsi="宋体" w:eastAsia="宋体" w:cs="宋体"/>
          <w:b/>
          <w:color w:val="000000"/>
        </w:rPr>
      </w:pPr>
      <w:r>
        <w:rPr>
          <w:rFonts w:hint="eastAsia" w:ascii="宋体" w:hAnsi="宋体" w:eastAsia="宋体" w:cs="宋体"/>
          <w:b/>
          <w:color w:val="000000"/>
        </w:rPr>
        <w:t>26.验收</w:t>
      </w:r>
    </w:p>
    <w:p w14:paraId="3B6F713A">
      <w:pPr>
        <w:tabs>
          <w:tab w:val="left" w:pos="0"/>
        </w:tabs>
        <w:spacing w:line="360" w:lineRule="auto"/>
        <w:ind w:firstLine="480" w:firstLineChars="200"/>
        <w:jc w:val="left"/>
        <w:rPr>
          <w:rFonts w:hint="eastAsia" w:ascii="宋体" w:hAnsi="宋体" w:eastAsia="宋体" w:cs="宋体"/>
          <w:color w:val="000000"/>
          <w:kern w:val="0"/>
          <w:sz w:val="24"/>
        </w:rPr>
        <w:sectPr>
          <w:headerReference r:id="rId4" w:type="first"/>
          <w:footerReference r:id="rId7" w:type="first"/>
          <w:headerReference r:id="rId3" w:type="default"/>
          <w:footerReference r:id="rId5" w:type="default"/>
          <w:footerReference r:id="rId6" w:type="even"/>
          <w:pgSz w:w="11906" w:h="16838"/>
          <w:pgMar w:top="1440" w:right="1803" w:bottom="1440" w:left="1803" w:header="851" w:footer="992" w:gutter="0"/>
          <w:cols w:space="0" w:num="1"/>
          <w:titlePg/>
          <w:docGrid w:linePitch="312" w:charSpace="0"/>
        </w:sectPr>
      </w:pPr>
      <w:r>
        <w:rPr>
          <w:rFonts w:hint="eastAsia" w:ascii="宋体" w:hAnsi="宋体" w:eastAsia="宋体" w:cs="宋体"/>
          <w:color w:val="000000"/>
          <w:kern w:val="0"/>
          <w:sz w:val="24"/>
        </w:rPr>
        <w:t>26.1采购人应当组织对供应商履约的验收。验收标准按区相关政策文件执行。</w:t>
      </w:r>
    </w:p>
    <w:p w14:paraId="439831EB">
      <w:pPr>
        <w:pStyle w:val="3"/>
        <w:rPr>
          <w:rFonts w:hint="eastAsia" w:ascii="宋体" w:hAnsi="宋体" w:eastAsia="宋体" w:cs="宋体"/>
        </w:rPr>
      </w:pPr>
      <w:r>
        <w:rPr>
          <w:rFonts w:hint="eastAsia" w:ascii="宋体" w:hAnsi="宋体" w:eastAsia="宋体" w:cs="宋体"/>
        </w:rPr>
        <w:t>第三部分   采购需求</w:t>
      </w:r>
    </w:p>
    <w:p w14:paraId="32D80207">
      <w:pPr>
        <w:spacing w:line="360" w:lineRule="auto"/>
        <w:jc w:val="center"/>
        <w:outlineLvl w:val="1"/>
        <w:rPr>
          <w:rFonts w:hint="eastAsia" w:ascii="宋体" w:hAnsi="宋体" w:eastAsia="宋体" w:cs="宋体"/>
          <w:b/>
          <w:color w:val="000000"/>
          <w:sz w:val="30"/>
          <w:szCs w:val="30"/>
        </w:rPr>
      </w:pPr>
      <w:bookmarkStart w:id="59" w:name="_Toc18719"/>
      <w:r>
        <w:rPr>
          <w:rFonts w:hint="eastAsia" w:ascii="宋体" w:hAnsi="宋体" w:eastAsia="宋体" w:cs="宋体"/>
          <w:b/>
          <w:color w:val="000000"/>
          <w:sz w:val="30"/>
          <w:szCs w:val="30"/>
        </w:rPr>
        <w:t>一、招标一览表</w:t>
      </w:r>
      <w:bookmarkEnd w:id="59"/>
    </w:p>
    <w:p w14:paraId="1FA0F7B0">
      <w:pPr>
        <w:spacing w:line="400" w:lineRule="exact"/>
        <w:ind w:firstLine="480" w:firstLineChars="200"/>
        <w:rPr>
          <w:rFonts w:hint="eastAsia" w:ascii="宋体" w:hAnsi="宋体" w:eastAsia="宋体" w:cs="宋体"/>
          <w:color w:val="000000"/>
          <w:sz w:val="24"/>
          <w:u w:val="single"/>
        </w:rPr>
      </w:pPr>
      <w:bookmarkStart w:id="60" w:name="_二期网络工程项目改造需求"/>
      <w:bookmarkEnd w:id="60"/>
      <w:r>
        <w:rPr>
          <w:rFonts w:hint="eastAsia" w:ascii="宋体" w:hAnsi="宋体" w:eastAsia="宋体" w:cs="宋体"/>
          <w:color w:val="000000"/>
          <w:sz w:val="24"/>
        </w:rPr>
        <w:t>标项：1</w:t>
      </w:r>
    </w:p>
    <w:tbl>
      <w:tblPr>
        <w:tblStyle w:val="61"/>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8"/>
        <w:gridCol w:w="2798"/>
        <w:gridCol w:w="1823"/>
        <w:gridCol w:w="930"/>
        <w:gridCol w:w="855"/>
        <w:gridCol w:w="2025"/>
      </w:tblGrid>
      <w:tr w14:paraId="46D19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1" w:hRule="atLeast"/>
          <w:jc w:val="center"/>
        </w:trPr>
        <w:tc>
          <w:tcPr>
            <w:tcW w:w="748" w:type="dxa"/>
            <w:tcMar>
              <w:top w:w="15" w:type="dxa"/>
              <w:left w:w="15" w:type="dxa"/>
              <w:bottom w:w="0" w:type="dxa"/>
              <w:right w:w="15" w:type="dxa"/>
            </w:tcMar>
            <w:vAlign w:val="center"/>
          </w:tcPr>
          <w:p w14:paraId="1908E3CE">
            <w:pPr>
              <w:jc w:val="center"/>
              <w:rPr>
                <w:rFonts w:hint="eastAsia" w:ascii="宋体" w:hAnsi="宋体" w:eastAsia="宋体" w:cs="宋体"/>
                <w:color w:val="000000"/>
                <w:sz w:val="24"/>
              </w:rPr>
            </w:pPr>
            <w:bookmarkStart w:id="61" w:name="_Toc331323742"/>
            <w:r>
              <w:rPr>
                <w:rFonts w:hint="eastAsia" w:ascii="宋体" w:hAnsi="宋体" w:eastAsia="宋体" w:cs="宋体"/>
                <w:color w:val="000000"/>
                <w:sz w:val="24"/>
              </w:rPr>
              <w:t>序号</w:t>
            </w:r>
          </w:p>
        </w:tc>
        <w:tc>
          <w:tcPr>
            <w:tcW w:w="2798" w:type="dxa"/>
            <w:tcMar>
              <w:top w:w="15" w:type="dxa"/>
              <w:left w:w="15" w:type="dxa"/>
              <w:bottom w:w="0" w:type="dxa"/>
              <w:right w:w="15" w:type="dxa"/>
            </w:tcMar>
            <w:vAlign w:val="center"/>
          </w:tcPr>
          <w:p w14:paraId="62D72695">
            <w:pPr>
              <w:jc w:val="center"/>
              <w:rPr>
                <w:rFonts w:hint="eastAsia" w:ascii="宋体" w:hAnsi="宋体" w:eastAsia="宋体" w:cs="宋体"/>
                <w:color w:val="000000"/>
                <w:sz w:val="24"/>
              </w:rPr>
            </w:pPr>
            <w:r>
              <w:rPr>
                <w:rFonts w:hint="eastAsia" w:ascii="宋体" w:hAnsi="宋体" w:eastAsia="宋体" w:cs="宋体"/>
                <w:color w:val="000000"/>
                <w:sz w:val="24"/>
              </w:rPr>
              <w:t>名称</w:t>
            </w:r>
          </w:p>
        </w:tc>
        <w:tc>
          <w:tcPr>
            <w:tcW w:w="1823" w:type="dxa"/>
            <w:tcMar>
              <w:top w:w="15" w:type="dxa"/>
              <w:left w:w="15" w:type="dxa"/>
              <w:bottom w:w="0" w:type="dxa"/>
              <w:right w:w="15" w:type="dxa"/>
            </w:tcMar>
            <w:vAlign w:val="center"/>
          </w:tcPr>
          <w:p w14:paraId="2CD1C806">
            <w:pPr>
              <w:jc w:val="center"/>
              <w:rPr>
                <w:rFonts w:hint="eastAsia" w:ascii="宋体" w:hAnsi="宋体" w:eastAsia="宋体" w:cs="宋体"/>
                <w:color w:val="000000"/>
                <w:sz w:val="24"/>
              </w:rPr>
            </w:pPr>
            <w:r>
              <w:rPr>
                <w:rFonts w:hint="eastAsia" w:ascii="宋体" w:hAnsi="宋体" w:eastAsia="宋体" w:cs="宋体"/>
                <w:color w:val="000000"/>
                <w:sz w:val="24"/>
              </w:rPr>
              <w:t>规格型号与参数</w:t>
            </w:r>
          </w:p>
        </w:tc>
        <w:tc>
          <w:tcPr>
            <w:tcW w:w="930" w:type="dxa"/>
            <w:tcMar>
              <w:top w:w="15" w:type="dxa"/>
              <w:left w:w="15" w:type="dxa"/>
              <w:bottom w:w="0" w:type="dxa"/>
              <w:right w:w="15" w:type="dxa"/>
            </w:tcMar>
            <w:vAlign w:val="center"/>
          </w:tcPr>
          <w:p w14:paraId="576EB80E">
            <w:pPr>
              <w:jc w:val="center"/>
              <w:rPr>
                <w:rFonts w:hint="eastAsia" w:ascii="宋体" w:hAnsi="宋体" w:eastAsia="宋体" w:cs="宋体"/>
                <w:color w:val="000000"/>
                <w:sz w:val="24"/>
              </w:rPr>
            </w:pPr>
            <w:r>
              <w:rPr>
                <w:rFonts w:hint="eastAsia" w:ascii="宋体" w:hAnsi="宋体" w:eastAsia="宋体" w:cs="宋体"/>
                <w:color w:val="000000"/>
                <w:sz w:val="24"/>
              </w:rPr>
              <w:t>单位</w:t>
            </w:r>
          </w:p>
        </w:tc>
        <w:tc>
          <w:tcPr>
            <w:tcW w:w="855" w:type="dxa"/>
            <w:tcMar>
              <w:top w:w="15" w:type="dxa"/>
              <w:left w:w="15" w:type="dxa"/>
              <w:bottom w:w="0" w:type="dxa"/>
              <w:right w:w="15" w:type="dxa"/>
            </w:tcMar>
            <w:vAlign w:val="center"/>
          </w:tcPr>
          <w:p w14:paraId="25E93A3D">
            <w:pPr>
              <w:jc w:val="center"/>
              <w:rPr>
                <w:rFonts w:hint="eastAsia" w:ascii="宋体" w:hAnsi="宋体" w:eastAsia="宋体" w:cs="宋体"/>
                <w:color w:val="000000"/>
                <w:sz w:val="24"/>
              </w:rPr>
            </w:pPr>
            <w:r>
              <w:rPr>
                <w:rFonts w:hint="eastAsia" w:ascii="宋体" w:hAnsi="宋体" w:eastAsia="宋体" w:cs="宋体"/>
                <w:color w:val="000000"/>
                <w:sz w:val="24"/>
              </w:rPr>
              <w:t>数量</w:t>
            </w:r>
          </w:p>
        </w:tc>
        <w:tc>
          <w:tcPr>
            <w:tcW w:w="2025" w:type="dxa"/>
            <w:vAlign w:val="center"/>
          </w:tcPr>
          <w:p w14:paraId="21323244">
            <w:pPr>
              <w:spacing w:line="360" w:lineRule="exact"/>
              <w:jc w:val="center"/>
              <w:rPr>
                <w:rFonts w:hint="eastAsia" w:ascii="宋体" w:hAnsi="宋体" w:eastAsia="宋体" w:cs="宋体"/>
                <w:color w:val="000000"/>
                <w:sz w:val="24"/>
              </w:rPr>
            </w:pPr>
            <w:r>
              <w:rPr>
                <w:rFonts w:hint="eastAsia" w:ascii="宋体" w:hAnsi="宋体" w:eastAsia="宋体" w:cs="宋体"/>
                <w:color w:val="000000"/>
                <w:sz w:val="24"/>
              </w:rPr>
              <w:t>具体服务期限</w:t>
            </w:r>
          </w:p>
        </w:tc>
      </w:tr>
      <w:tr w14:paraId="097F9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6" w:hRule="atLeast"/>
          <w:jc w:val="center"/>
        </w:trPr>
        <w:tc>
          <w:tcPr>
            <w:tcW w:w="748" w:type="dxa"/>
            <w:tcMar>
              <w:top w:w="15" w:type="dxa"/>
              <w:left w:w="15" w:type="dxa"/>
              <w:bottom w:w="0" w:type="dxa"/>
              <w:right w:w="15" w:type="dxa"/>
            </w:tcMar>
            <w:vAlign w:val="center"/>
          </w:tcPr>
          <w:p w14:paraId="2550837D">
            <w:pPr>
              <w:jc w:val="center"/>
              <w:rPr>
                <w:rFonts w:hint="eastAsia" w:ascii="宋体" w:hAnsi="宋体" w:eastAsia="宋体" w:cs="宋体"/>
                <w:color w:val="000000"/>
                <w:sz w:val="24"/>
              </w:rPr>
            </w:pPr>
            <w:r>
              <w:rPr>
                <w:rFonts w:hint="eastAsia" w:ascii="宋体" w:hAnsi="宋体" w:eastAsia="宋体" w:cs="宋体"/>
                <w:color w:val="000000"/>
                <w:sz w:val="24"/>
              </w:rPr>
              <w:t>1</w:t>
            </w:r>
          </w:p>
        </w:tc>
        <w:tc>
          <w:tcPr>
            <w:tcW w:w="2798" w:type="dxa"/>
            <w:vAlign w:val="center"/>
          </w:tcPr>
          <w:p w14:paraId="79AE164F">
            <w:pPr>
              <w:jc w:val="center"/>
              <w:rPr>
                <w:rFonts w:hint="eastAsia" w:ascii="宋体" w:hAnsi="宋体" w:eastAsia="宋体" w:cs="宋体"/>
                <w:color w:val="000000"/>
                <w:sz w:val="24"/>
              </w:rPr>
            </w:pPr>
            <w:r>
              <w:rPr>
                <w:rFonts w:hint="eastAsia" w:ascii="宋体" w:hAnsi="宋体" w:eastAsia="宋体" w:cs="宋体"/>
                <w:sz w:val="24"/>
              </w:rPr>
              <w:t>瓜沥（益农）中心粮库粮油装卸、运输服务采购项目</w:t>
            </w:r>
          </w:p>
        </w:tc>
        <w:tc>
          <w:tcPr>
            <w:tcW w:w="1823" w:type="dxa"/>
            <w:vAlign w:val="center"/>
          </w:tcPr>
          <w:p w14:paraId="2E4A057B">
            <w:pPr>
              <w:jc w:val="center"/>
              <w:rPr>
                <w:rFonts w:hint="eastAsia" w:ascii="宋体" w:hAnsi="宋体" w:eastAsia="宋体" w:cs="宋体"/>
                <w:color w:val="000000"/>
                <w:sz w:val="24"/>
              </w:rPr>
            </w:pPr>
            <w:r>
              <w:rPr>
                <w:rFonts w:hint="eastAsia" w:ascii="宋体" w:hAnsi="宋体" w:eastAsia="宋体" w:cs="宋体"/>
                <w:color w:val="000000"/>
                <w:sz w:val="24"/>
              </w:rPr>
              <w:t>详见招标要求</w:t>
            </w:r>
          </w:p>
        </w:tc>
        <w:tc>
          <w:tcPr>
            <w:tcW w:w="930" w:type="dxa"/>
            <w:vAlign w:val="center"/>
          </w:tcPr>
          <w:p w14:paraId="248634EA">
            <w:pPr>
              <w:jc w:val="center"/>
              <w:rPr>
                <w:rFonts w:hint="eastAsia" w:ascii="宋体" w:hAnsi="宋体" w:eastAsia="宋体" w:cs="宋体"/>
                <w:color w:val="000000"/>
                <w:sz w:val="24"/>
              </w:rPr>
            </w:pPr>
            <w:r>
              <w:rPr>
                <w:rFonts w:hint="eastAsia" w:ascii="宋体" w:hAnsi="宋体" w:eastAsia="宋体" w:cs="宋体"/>
                <w:color w:val="000000"/>
                <w:sz w:val="24"/>
              </w:rPr>
              <w:t>年</w:t>
            </w:r>
          </w:p>
        </w:tc>
        <w:tc>
          <w:tcPr>
            <w:tcW w:w="855" w:type="dxa"/>
            <w:vAlign w:val="center"/>
          </w:tcPr>
          <w:p w14:paraId="44F322D5">
            <w:pPr>
              <w:jc w:val="center"/>
              <w:rPr>
                <w:rFonts w:hint="eastAsia" w:ascii="宋体" w:hAnsi="宋体" w:eastAsia="宋体" w:cs="宋体"/>
                <w:color w:val="000000"/>
                <w:sz w:val="24"/>
              </w:rPr>
            </w:pPr>
            <w:r>
              <w:rPr>
                <w:rFonts w:hint="eastAsia" w:ascii="宋体" w:hAnsi="宋体" w:eastAsia="宋体" w:cs="宋体"/>
                <w:color w:val="000000"/>
                <w:sz w:val="24"/>
              </w:rPr>
              <w:t>2</w:t>
            </w:r>
          </w:p>
        </w:tc>
        <w:tc>
          <w:tcPr>
            <w:tcW w:w="2025" w:type="dxa"/>
            <w:vAlign w:val="center"/>
          </w:tcPr>
          <w:p w14:paraId="5C83B4FC">
            <w:pPr>
              <w:jc w:val="center"/>
              <w:rPr>
                <w:rFonts w:hint="eastAsia" w:ascii="宋体" w:hAnsi="宋体" w:eastAsia="宋体" w:cs="宋体"/>
                <w:color w:val="000000"/>
                <w:sz w:val="24"/>
              </w:rPr>
            </w:pPr>
            <w:r>
              <w:rPr>
                <w:rFonts w:hint="eastAsia" w:ascii="宋体" w:hAnsi="宋体" w:eastAsia="宋体" w:cs="宋体"/>
                <w:color w:val="000000"/>
                <w:sz w:val="24"/>
              </w:rPr>
              <w:t>合同签订之日起</w:t>
            </w:r>
          </w:p>
        </w:tc>
      </w:tr>
    </w:tbl>
    <w:p w14:paraId="480B83D5">
      <w:pPr>
        <w:spacing w:line="360" w:lineRule="auto"/>
        <w:ind w:firstLine="602" w:firstLineChars="200"/>
        <w:jc w:val="left"/>
        <w:rPr>
          <w:rFonts w:hint="eastAsia" w:ascii="宋体" w:hAnsi="宋体" w:eastAsia="宋体" w:cs="宋体"/>
          <w:b/>
          <w:color w:val="000000"/>
          <w:sz w:val="30"/>
          <w:szCs w:val="30"/>
        </w:rPr>
      </w:pPr>
    </w:p>
    <w:p w14:paraId="5D5F48FC">
      <w:pPr>
        <w:numPr>
          <w:ilvl w:val="0"/>
          <w:numId w:val="8"/>
        </w:numPr>
        <w:spacing w:line="360" w:lineRule="auto"/>
        <w:jc w:val="center"/>
        <w:outlineLvl w:val="1"/>
        <w:rPr>
          <w:rFonts w:hint="eastAsia" w:ascii="宋体" w:hAnsi="宋体" w:eastAsia="宋体" w:cs="宋体"/>
          <w:b/>
          <w:color w:val="000000" w:themeColor="text1"/>
          <w:sz w:val="30"/>
          <w:szCs w:val="30"/>
          <w14:textFill>
            <w14:solidFill>
              <w14:schemeClr w14:val="tx1"/>
            </w14:solidFill>
          </w14:textFill>
        </w:rPr>
      </w:pPr>
      <w:bookmarkStart w:id="62" w:name="_Toc5632"/>
      <w:r>
        <w:rPr>
          <w:rFonts w:hint="eastAsia" w:ascii="宋体" w:hAnsi="宋体" w:eastAsia="宋体" w:cs="宋体"/>
          <w:b/>
          <w:color w:val="000000" w:themeColor="text1"/>
          <w:sz w:val="30"/>
          <w:szCs w:val="30"/>
          <w14:textFill>
            <w14:solidFill>
              <w14:schemeClr w14:val="tx1"/>
            </w14:solidFill>
          </w14:textFill>
        </w:rPr>
        <w:t>招标要求</w:t>
      </w:r>
      <w:bookmarkEnd w:id="62"/>
    </w:p>
    <w:bookmarkEnd w:id="61"/>
    <w:p w14:paraId="10D9D5C1">
      <w:pPr>
        <w:pageBreakBefore w:val="0"/>
        <w:widowControl w:val="0"/>
        <w:kinsoku/>
        <w:wordWrap/>
        <w:overflowPunct/>
        <w:topLinePunct w:val="0"/>
        <w:autoSpaceDE/>
        <w:autoSpaceDN/>
        <w:bidi w:val="0"/>
        <w:adjustRightInd w:val="0"/>
        <w:snapToGrid/>
        <w:spacing w:line="360" w:lineRule="auto"/>
        <w:ind w:left="0" w:leftChars="0" w:firstLine="482" w:firstLineChars="200"/>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（一）服务范围与数量：</w:t>
      </w:r>
    </w:p>
    <w:p w14:paraId="07863162">
      <w:pPr>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杭州萧山粮食购销有限责任公司拟对所属范围内的粮油装卸、运输服务进行公开招标，粮油装卸业务主要涉及粮库有：瓜沥中心粮库、益农粮库；粮油运输主要涉及粮库有：瓜沥中心粮库、益农粮库等粮库间及库内的调拨运输及相关粮油出入库的运输服务。本服务范围不包含但不限中心粮库、市东中心粮库、北干山地下粮库、衙前粮食购销站、新开河中心粮库、丁坝中心粮库的粮油装卸运输业务。</w:t>
      </w:r>
    </w:p>
    <w:p w14:paraId="68E00B0A">
      <w:pPr>
        <w:pageBreakBefore w:val="0"/>
        <w:widowControl w:val="0"/>
        <w:kinsoku/>
        <w:wordWrap/>
        <w:overflowPunct/>
        <w:topLinePunct w:val="0"/>
        <w:autoSpaceDE/>
        <w:autoSpaceDN/>
        <w:bidi w:val="0"/>
        <w:adjustRightInd w:val="0"/>
        <w:snapToGrid/>
        <w:spacing w:line="360" w:lineRule="auto"/>
        <w:ind w:left="0" w:leftChars="0" w:firstLine="482" w:firstLineChars="200"/>
        <w:textAlignment w:val="auto"/>
        <w:rPr>
          <w:rFonts w:hint="eastAsia" w:ascii="宋体" w:hAnsi="宋体" w:eastAsia="宋体" w:cs="宋体"/>
          <w:b/>
          <w:color w:val="000000" w:themeColor="text1"/>
          <w:sz w:val="24"/>
          <w:shd w:val="clear" w:color="auto" w:fill="FFFFFF"/>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（二）投标单位装卸服务要求：</w:t>
      </w:r>
    </w:p>
    <w:p w14:paraId="29E4885A">
      <w:pPr>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000000" w:themeColor="text1"/>
          <w:sz w:val="24"/>
          <w:shd w:val="clear" w:color="auto" w:fill="FFFFFF"/>
          <w14:textFill>
            <w14:solidFill>
              <w14:schemeClr w14:val="tx1"/>
            </w14:solidFill>
          </w14:textFill>
        </w:rPr>
      </w:pPr>
      <w:r>
        <w:rPr>
          <w:rFonts w:hint="eastAsia" w:ascii="宋体" w:hAnsi="宋体" w:eastAsia="宋体" w:cs="宋体"/>
          <w:color w:val="000000" w:themeColor="text1"/>
          <w:sz w:val="24"/>
          <w:shd w:val="clear" w:color="auto" w:fill="FFFFFF"/>
          <w14:textFill>
            <w14:solidFill>
              <w14:schemeClr w14:val="tx1"/>
            </w14:solidFill>
          </w14:textFill>
        </w:rPr>
        <w:t>1、装卸服务人员必须身体健康，无重大疾病，能承担相应工作。</w:t>
      </w:r>
    </w:p>
    <w:p w14:paraId="77647324">
      <w:pPr>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000000" w:themeColor="text1"/>
          <w:sz w:val="24"/>
          <w:shd w:val="clear" w:color="auto" w:fill="FFFFFF"/>
          <w14:textFill>
            <w14:solidFill>
              <w14:schemeClr w14:val="tx1"/>
            </w14:solidFill>
          </w14:textFill>
        </w:rPr>
      </w:pPr>
      <w:r>
        <w:rPr>
          <w:rFonts w:hint="eastAsia" w:ascii="宋体" w:hAnsi="宋体" w:eastAsia="宋体" w:cs="宋体"/>
          <w:color w:val="000000" w:themeColor="text1"/>
          <w:sz w:val="24"/>
          <w:shd w:val="clear" w:color="auto" w:fill="FFFFFF"/>
          <w14:textFill>
            <w14:solidFill>
              <w14:schemeClr w14:val="tx1"/>
            </w14:solidFill>
          </w14:textFill>
        </w:rPr>
        <w:t>2、装卸服务人员须具有粮食部门装卸服务经验。</w:t>
      </w:r>
    </w:p>
    <w:p w14:paraId="6707C4CF">
      <w:pPr>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b/>
          <w:bCs/>
          <w:color w:val="000000" w:themeColor="text1"/>
          <w:sz w:val="24"/>
          <w:shd w:val="clear" w:color="auto" w:fill="FFFFFF"/>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b/>
          <w:bCs/>
          <w:color w:val="000000" w:themeColor="text1"/>
          <w:sz w:val="24"/>
          <w:u w:val="single"/>
          <w:shd w:val="clear" w:color="auto" w:fill="FFFFFF"/>
          <w14:textFill>
            <w14:solidFill>
              <w14:schemeClr w14:val="tx1"/>
            </w14:solidFill>
          </w14:textFill>
        </w:rPr>
        <w:t>3、粮食运输过程中发生超过合理运输损耗、偷盗、污染、雨淋等损失的由服务单位承担（数量较大的视情节另行处理）</w:t>
      </w:r>
      <w:r>
        <w:rPr>
          <w:rFonts w:hint="eastAsia" w:ascii="宋体" w:hAnsi="宋体" w:eastAsia="宋体" w:cs="宋体"/>
          <w:b/>
          <w:bCs/>
          <w:color w:val="000000" w:themeColor="text1"/>
          <w:sz w:val="24"/>
          <w:shd w:val="clear" w:color="auto" w:fill="FFFFFF"/>
          <w14:textFill>
            <w14:solidFill>
              <w14:schemeClr w14:val="tx1"/>
            </w14:solidFill>
          </w14:textFill>
        </w:rPr>
        <w:t>。超耗赔偿金额按粮食数量乘以当年此品种三等收购价结算，粳米按公司最近一次粳米采购价计，</w:t>
      </w:r>
      <w:r>
        <w:rPr>
          <w:rFonts w:hint="eastAsia" w:ascii="宋体" w:hAnsi="宋体" w:eastAsia="宋体" w:cs="宋体"/>
          <w:b/>
          <w:bCs/>
          <w:color w:val="000000" w:themeColor="text1"/>
          <w:sz w:val="24"/>
          <w:u w:val="single"/>
          <w:shd w:val="clear" w:color="auto" w:fill="FFFFFF"/>
          <w14:textFill>
            <w14:solidFill>
              <w14:schemeClr w14:val="tx1"/>
            </w14:solidFill>
          </w14:textFill>
        </w:rPr>
        <w:t>偷盗、污染、雨淋等损失赔偿按</w:t>
      </w:r>
      <w:r>
        <w:rPr>
          <w:rFonts w:hint="eastAsia" w:ascii="宋体" w:hAnsi="宋体" w:eastAsia="宋体" w:cs="宋体"/>
          <w:b/>
          <w:bCs/>
          <w:color w:val="000000" w:themeColor="text1"/>
          <w:sz w:val="24"/>
          <w:shd w:val="clear" w:color="auto" w:fill="FFFFFF"/>
          <w14:textFill>
            <w14:solidFill>
              <w14:schemeClr w14:val="tx1"/>
            </w14:solidFill>
          </w14:textFill>
        </w:rPr>
        <w:t>超耗赔偿方式的三倍计算。</w:t>
      </w:r>
    </w:p>
    <w:p w14:paraId="06C33075">
      <w:pPr>
        <w:pStyle w:val="2"/>
        <w:pageBreakBefore w:val="0"/>
        <w:widowControl w:val="0"/>
        <w:numPr>
          <w:ilvl w:val="0"/>
          <w:numId w:val="0"/>
        </w:numPr>
        <w:kinsoku/>
        <w:wordWrap/>
        <w:overflowPunct/>
        <w:topLinePunct w:val="0"/>
        <w:autoSpaceDE/>
        <w:autoSpaceDN/>
        <w:bidi w:val="0"/>
        <w:adjustRightInd w:val="0"/>
        <w:snapToGrid/>
        <w:spacing w:before="0" w:after="0" w:line="360" w:lineRule="auto"/>
        <w:ind w:left="0" w:leftChars="0" w:firstLine="480" w:firstLineChars="200"/>
        <w:textAlignment w:val="auto"/>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4、粮食装卸不同车型均按中标价统一下浮结算。</w:t>
      </w:r>
    </w:p>
    <w:p w14:paraId="4F00B420">
      <w:pPr>
        <w:pageBreakBefore w:val="0"/>
        <w:widowControl w:val="0"/>
        <w:kinsoku/>
        <w:wordWrap/>
        <w:overflowPunct/>
        <w:topLinePunct w:val="0"/>
        <w:autoSpaceDE/>
        <w:autoSpaceDN/>
        <w:bidi w:val="0"/>
        <w:adjustRightInd w:val="0"/>
        <w:snapToGrid/>
        <w:spacing w:line="360" w:lineRule="auto"/>
        <w:ind w:left="0" w:leftChars="0" w:firstLine="482" w:firstLineChars="200"/>
        <w:textAlignment w:val="auto"/>
        <w:rPr>
          <w:rFonts w:hint="eastAsia" w:ascii="宋体" w:hAnsi="宋体" w:eastAsia="宋体" w:cs="宋体"/>
          <w:b/>
          <w:color w:val="000000" w:themeColor="text1"/>
          <w:sz w:val="24"/>
          <w:lang w:val="zh-CN"/>
          <w14:textFill>
            <w14:solidFill>
              <w14:schemeClr w14:val="tx1"/>
            </w14:solidFill>
          </w14:textFill>
        </w:rPr>
      </w:pPr>
      <w:r>
        <w:rPr>
          <w:rFonts w:hint="eastAsia" w:ascii="宋体" w:hAnsi="宋体" w:eastAsia="宋体" w:cs="宋体"/>
          <w:b/>
          <w:color w:val="000000" w:themeColor="text1"/>
          <w:kern w:val="0"/>
          <w:sz w:val="24"/>
          <w:u w:val="single"/>
          <w:lang w:val="zh-CN"/>
          <w14:textFill>
            <w14:solidFill>
              <w14:schemeClr w14:val="tx1"/>
            </w14:solidFill>
          </w14:textFill>
        </w:rPr>
        <w:t>5、</w:t>
      </w:r>
      <w:r>
        <w:rPr>
          <w:rFonts w:hint="eastAsia" w:ascii="宋体" w:hAnsi="宋体" w:eastAsia="宋体" w:cs="宋体"/>
          <w:b/>
          <w:color w:val="000000" w:themeColor="text1"/>
          <w:sz w:val="24"/>
          <w:lang w:val="zh-CN"/>
          <w14:textFill>
            <w14:solidFill>
              <w14:schemeClr w14:val="tx1"/>
            </w14:solidFill>
          </w14:textFill>
        </w:rPr>
        <w:t>供应商按要求和事项发生量及时配备足够和胜任的相关管理和服务人员，并保持人员稳定，服从粮库的工作安排</w:t>
      </w:r>
      <w:r>
        <w:rPr>
          <w:rFonts w:hint="eastAsia" w:ascii="宋体" w:hAnsi="宋体" w:eastAsia="宋体" w:cs="宋体"/>
          <w:b/>
          <w:color w:val="000000" w:themeColor="text1"/>
          <w:sz w:val="24"/>
          <w:lang w:val="zh-CN" w:eastAsia="zh-CN"/>
          <w14:textFill>
            <w14:solidFill>
              <w14:schemeClr w14:val="tx1"/>
            </w14:solidFill>
          </w14:textFill>
        </w:rPr>
        <w:t>，</w:t>
      </w:r>
      <w:r>
        <w:rPr>
          <w:rFonts w:hint="eastAsia" w:ascii="宋体" w:hAnsi="宋体" w:eastAsia="宋体" w:cs="宋体"/>
          <w:b/>
          <w:color w:val="000000" w:themeColor="text1"/>
          <w:sz w:val="24"/>
          <w:lang w:val="en-US" w:eastAsia="zh-CN"/>
          <w14:textFill>
            <w14:solidFill>
              <w14:schemeClr w14:val="tx1"/>
            </w14:solidFill>
          </w14:textFill>
        </w:rPr>
        <w:t>单个粮库生产作业期间每日必须配备1名及以上长期从事粮库粮油装卸工作人员（2年及以上工作经验）</w:t>
      </w:r>
      <w:r>
        <w:rPr>
          <w:rFonts w:hint="eastAsia" w:ascii="宋体" w:hAnsi="宋体" w:eastAsia="宋体" w:cs="宋体"/>
          <w:b/>
          <w:color w:val="000000" w:themeColor="text1"/>
          <w:sz w:val="24"/>
          <w:lang w:val="zh-CN"/>
          <w14:textFill>
            <w14:solidFill>
              <w14:schemeClr w14:val="tx1"/>
            </w14:solidFill>
          </w14:textFill>
        </w:rPr>
        <w:t>；单个粮库日装卸服务能力≥1500吨的投标承诺；日粮油运输能力或组织运输能力≥300吨，在特殊情况下有提升到≥500吨的能力；每条</w:t>
      </w:r>
      <w:r>
        <w:rPr>
          <w:rFonts w:hint="eastAsia" w:ascii="宋体" w:hAnsi="宋体" w:eastAsia="宋体" w:cs="宋体"/>
          <w:b/>
          <w:color w:val="000000" w:themeColor="text1"/>
          <w:sz w:val="24"/>
          <w:lang w:val="en-US" w:eastAsia="zh-CN"/>
          <w14:textFill>
            <w14:solidFill>
              <w14:schemeClr w14:val="tx1"/>
            </w14:solidFill>
          </w14:textFill>
        </w:rPr>
        <w:t>散装粮</w:t>
      </w:r>
      <w:r>
        <w:rPr>
          <w:rFonts w:hint="eastAsia" w:ascii="宋体" w:hAnsi="宋体" w:eastAsia="宋体" w:cs="宋体"/>
          <w:b/>
          <w:color w:val="000000" w:themeColor="text1"/>
          <w:sz w:val="24"/>
          <w:lang w:val="zh-CN"/>
          <w14:textFill>
            <w14:solidFill>
              <w14:schemeClr w14:val="tx1"/>
            </w14:solidFill>
          </w14:textFill>
        </w:rPr>
        <w:t>工作线上的工作人员不得少于2人</w:t>
      </w:r>
      <w:r>
        <w:rPr>
          <w:rFonts w:hint="eastAsia" w:ascii="宋体" w:hAnsi="宋体" w:eastAsia="宋体" w:cs="宋体"/>
          <w:b/>
          <w:color w:val="000000" w:themeColor="text1"/>
          <w:sz w:val="24"/>
          <w:lang w:val="zh-CN" w:eastAsia="zh-CN"/>
          <w14:textFill>
            <w14:solidFill>
              <w14:schemeClr w14:val="tx1"/>
            </w14:solidFill>
          </w14:textFill>
        </w:rPr>
        <w:t>，</w:t>
      </w:r>
      <w:r>
        <w:rPr>
          <w:rFonts w:hint="eastAsia" w:ascii="宋体" w:hAnsi="宋体" w:eastAsia="宋体" w:cs="宋体"/>
          <w:b/>
          <w:color w:val="000000" w:themeColor="text1"/>
          <w:sz w:val="24"/>
          <w:lang w:val="en-US" w:eastAsia="zh-CN"/>
          <w14:textFill>
            <w14:solidFill>
              <w14:schemeClr w14:val="tx1"/>
            </w14:solidFill>
          </w14:textFill>
        </w:rPr>
        <w:t>每条包装粮工作线日灌包堆桩能力</w:t>
      </w:r>
      <w:r>
        <w:rPr>
          <w:rFonts w:hint="eastAsia" w:ascii="宋体" w:hAnsi="宋体" w:eastAsia="宋体" w:cs="宋体"/>
          <w:b/>
          <w:color w:val="000000" w:themeColor="text1"/>
          <w:sz w:val="24"/>
          <w:lang w:val="zh-CN"/>
          <w14:textFill>
            <w14:solidFill>
              <w14:schemeClr w14:val="tx1"/>
            </w14:solidFill>
          </w14:textFill>
        </w:rPr>
        <w:t>≥1500</w:t>
      </w:r>
      <w:r>
        <w:rPr>
          <w:rFonts w:hint="eastAsia" w:ascii="宋体" w:hAnsi="宋体" w:eastAsia="宋体" w:cs="宋体"/>
          <w:b/>
          <w:color w:val="000000" w:themeColor="text1"/>
          <w:sz w:val="24"/>
          <w:lang w:val="en-US" w:eastAsia="zh-CN"/>
          <w14:textFill>
            <w14:solidFill>
              <w14:schemeClr w14:val="tx1"/>
            </w14:solidFill>
          </w14:textFill>
        </w:rPr>
        <w:t>包</w:t>
      </w:r>
      <w:r>
        <w:rPr>
          <w:rFonts w:hint="eastAsia" w:ascii="宋体" w:hAnsi="宋体" w:eastAsia="宋体" w:cs="宋体"/>
          <w:b/>
          <w:color w:val="000000" w:themeColor="text1"/>
          <w:sz w:val="24"/>
          <w:lang w:val="zh-CN"/>
          <w14:textFill>
            <w14:solidFill>
              <w14:schemeClr w14:val="tx1"/>
            </w14:solidFill>
          </w14:textFill>
        </w:rPr>
        <w:t>。若所有粮库同时下达满负荷装卸任务时，</w:t>
      </w:r>
      <w:r>
        <w:rPr>
          <w:rFonts w:hint="eastAsia" w:ascii="宋体" w:hAnsi="宋体" w:eastAsia="宋体" w:cs="宋体"/>
          <w:b/>
          <w:color w:val="000000" w:themeColor="text1"/>
          <w:sz w:val="24"/>
          <w:lang w:val="en-US" w:eastAsia="zh-CN"/>
          <w14:textFill>
            <w14:solidFill>
              <w14:schemeClr w14:val="tx1"/>
            </w14:solidFill>
          </w14:textFill>
        </w:rPr>
        <w:t>我公司</w:t>
      </w:r>
      <w:r>
        <w:rPr>
          <w:rFonts w:hint="eastAsia" w:ascii="宋体" w:hAnsi="宋体" w:eastAsia="宋体" w:cs="宋体"/>
          <w:b/>
          <w:color w:val="000000" w:themeColor="text1"/>
          <w:sz w:val="24"/>
          <w:lang w:val="zh-CN"/>
          <w14:textFill>
            <w14:solidFill>
              <w14:schemeClr w14:val="tx1"/>
            </w14:solidFill>
          </w14:textFill>
        </w:rPr>
        <w:t>必须保证每个库点能正常作业，保证装卸任务按时、保质完成。</w:t>
      </w:r>
    </w:p>
    <w:p w14:paraId="51D3B586">
      <w:pPr>
        <w:pageBreakBefore w:val="0"/>
        <w:widowControl w:val="0"/>
        <w:kinsoku/>
        <w:wordWrap/>
        <w:overflowPunct/>
        <w:topLinePunct w:val="0"/>
        <w:autoSpaceDE/>
        <w:autoSpaceDN/>
        <w:bidi w:val="0"/>
        <w:adjustRightInd w:val="0"/>
        <w:snapToGrid/>
        <w:spacing w:line="360" w:lineRule="auto"/>
        <w:ind w:left="0" w:leftChars="0" w:firstLine="482" w:firstLineChars="200"/>
        <w:textAlignment w:val="auto"/>
        <w:rPr>
          <w:rFonts w:hint="eastAsia" w:ascii="宋体" w:hAnsi="宋体" w:eastAsia="宋体" w:cs="宋体"/>
          <w:b/>
          <w:color w:val="000000" w:themeColor="text1"/>
          <w:sz w:val="24"/>
          <w:lang w:val="zh-CN"/>
          <w14:textFill>
            <w14:solidFill>
              <w14:schemeClr w14:val="tx1"/>
            </w14:solidFill>
          </w14:textFill>
        </w:rPr>
      </w:pPr>
      <w:r>
        <w:rPr>
          <w:rFonts w:hint="eastAsia" w:ascii="宋体" w:hAnsi="宋体" w:eastAsia="宋体" w:cs="宋体"/>
          <w:b/>
          <w:color w:val="000000" w:themeColor="text1"/>
          <w:sz w:val="24"/>
          <w:lang w:val="zh-CN"/>
          <w14:textFill>
            <w14:solidFill>
              <w14:schemeClr w14:val="tx1"/>
            </w14:solidFill>
          </w14:textFill>
        </w:rPr>
        <w:t>中标后签订合同前确保所有装卸服务人员向保险公司投保人身意外伤害保险，保费每年不低于2.5万，并向招标单位备案，否则终止合同并按违约处理。</w:t>
      </w:r>
    </w:p>
    <w:p w14:paraId="45EBBA8D">
      <w:pPr>
        <w:pageBreakBefore w:val="0"/>
        <w:widowControl w:val="0"/>
        <w:kinsoku/>
        <w:wordWrap/>
        <w:overflowPunct/>
        <w:topLinePunct w:val="0"/>
        <w:autoSpaceDE/>
        <w:autoSpaceDN/>
        <w:bidi w:val="0"/>
        <w:adjustRightInd w:val="0"/>
        <w:snapToGrid/>
        <w:spacing w:line="360" w:lineRule="auto"/>
        <w:ind w:left="0" w:leftChars="0" w:firstLine="482" w:firstLineChars="200"/>
        <w:textAlignment w:val="auto"/>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b/>
          <w:color w:val="000000" w:themeColor="text1"/>
          <w:sz w:val="24"/>
          <w:lang w:val="zh-CN"/>
          <w14:textFill>
            <w14:solidFill>
              <w14:schemeClr w14:val="tx1"/>
            </w14:solidFill>
          </w14:textFill>
        </w:rPr>
        <w:t>能够承担上下班、工作过程中所有粮食装卸、运输人员人身、财产安全等风险承诺；供应商能提供全天候服务包含法定休息日，工作时间服从粮库的安排承诺。如遇特殊情况，采购方可根据轮换情况，由出入库客户单位自带装卸人员，或采购方可自行安排装卸能力，费用由供应商承担。</w:t>
      </w:r>
      <w:r>
        <w:rPr>
          <w:rFonts w:hint="eastAsia" w:ascii="宋体" w:hAnsi="宋体" w:eastAsia="宋体" w:cs="宋体"/>
          <w:color w:val="000000" w:themeColor="text1"/>
          <w:sz w:val="24"/>
          <w:lang w:val="zh-CN"/>
          <w14:textFill>
            <w14:solidFill>
              <w14:schemeClr w14:val="tx1"/>
            </w14:solidFill>
          </w14:textFill>
        </w:rPr>
        <w:t xml:space="preserve"> </w:t>
      </w:r>
    </w:p>
    <w:p w14:paraId="78244E96">
      <w:pPr>
        <w:pStyle w:val="2"/>
        <w:pageBreakBefore w:val="0"/>
        <w:widowControl w:val="0"/>
        <w:numPr>
          <w:ilvl w:val="0"/>
          <w:numId w:val="0"/>
        </w:numPr>
        <w:kinsoku/>
        <w:wordWrap/>
        <w:overflowPunct/>
        <w:topLinePunct w:val="0"/>
        <w:autoSpaceDE/>
        <w:autoSpaceDN/>
        <w:bidi w:val="0"/>
        <w:adjustRightInd w:val="0"/>
        <w:snapToGrid/>
        <w:spacing w:before="0" w:after="0" w:line="360" w:lineRule="auto"/>
        <w:ind w:left="0" w:leftChars="0" w:firstLine="482" w:firstLineChars="200"/>
        <w:textAlignment w:val="auto"/>
        <w:rPr>
          <w:rFonts w:hint="eastAsia" w:ascii="宋体" w:hAnsi="宋体" w:eastAsia="宋体" w:cs="宋体"/>
          <w:bCs w:val="0"/>
          <w:color w:val="000000" w:themeColor="text1"/>
          <w:sz w:val="24"/>
          <w:u w:val="single"/>
          <w:lang w:val="zh-CN"/>
          <w14:textFill>
            <w14:solidFill>
              <w14:schemeClr w14:val="tx1"/>
            </w14:solidFill>
          </w14:textFill>
        </w:rPr>
      </w:pPr>
      <w:r>
        <w:rPr>
          <w:rFonts w:hint="eastAsia" w:ascii="宋体" w:hAnsi="宋体" w:eastAsia="宋体" w:cs="宋体"/>
          <w:bCs w:val="0"/>
          <w:color w:val="000000" w:themeColor="text1"/>
          <w:sz w:val="24"/>
          <w:u w:val="single"/>
          <w:lang w:val="zh-CN"/>
          <w14:textFill>
            <w14:solidFill>
              <w14:schemeClr w14:val="tx1"/>
            </w14:solidFill>
          </w14:textFill>
        </w:rPr>
        <w:t>6、</w:t>
      </w:r>
      <w:r>
        <w:rPr>
          <w:rFonts w:hint="eastAsia" w:ascii="宋体" w:hAnsi="宋体" w:eastAsia="宋体" w:cs="宋体"/>
          <w:bCs w:val="0"/>
          <w:color w:val="000000" w:themeColor="text1"/>
          <w:sz w:val="24"/>
          <w:u w:val="single"/>
          <w:shd w:val="clear" w:color="auto" w:fill="FFFFFF"/>
          <w14:textFill>
            <w14:solidFill>
              <w14:schemeClr w14:val="tx1"/>
            </w14:solidFill>
          </w14:textFill>
        </w:rPr>
        <w:t>严格执行公司有关各项管理制度和操作规程，服从粮库管理，当日作业结束必须做好设备的防雨工作。</w:t>
      </w:r>
    </w:p>
    <w:p w14:paraId="1AD50CDF">
      <w:pPr>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bCs/>
          <w:color w:val="000000" w:themeColor="text1"/>
          <w:sz w:val="24"/>
          <w:u w:val="single"/>
          <w:shd w:val="clear" w:color="auto" w:fill="FFFFFF"/>
          <w14:textFill>
            <w14:solidFill>
              <w14:schemeClr w14:val="tx1"/>
            </w14:solidFill>
          </w14:textFill>
        </w:rPr>
      </w:pPr>
      <w:r>
        <w:rPr>
          <w:rFonts w:hint="eastAsia" w:ascii="宋体" w:hAnsi="宋体" w:eastAsia="宋体" w:cs="宋体"/>
          <w:bCs/>
          <w:color w:val="000000" w:themeColor="text1"/>
          <w:sz w:val="24"/>
          <w:u w:val="single"/>
          <w:shd w:val="clear" w:color="auto" w:fill="FFFFFF"/>
          <w14:textFill>
            <w14:solidFill>
              <w14:schemeClr w14:val="tx1"/>
            </w14:solidFill>
          </w14:textFill>
        </w:rPr>
        <w:t>7、文明作业。因违章操作、野蛮装卸造成设备及其它损失的全额赔偿。</w:t>
      </w:r>
    </w:p>
    <w:p w14:paraId="629AD046">
      <w:pPr>
        <w:pageBreakBefore w:val="0"/>
        <w:widowControl w:val="0"/>
        <w:kinsoku/>
        <w:wordWrap/>
        <w:overflowPunct/>
        <w:topLinePunct w:val="0"/>
        <w:autoSpaceDE/>
        <w:autoSpaceDN/>
        <w:bidi w:val="0"/>
        <w:adjustRightInd w:val="0"/>
        <w:snapToGrid/>
        <w:spacing w:line="360" w:lineRule="auto"/>
        <w:ind w:left="0" w:leftChars="0" w:firstLine="482" w:firstLineChars="200"/>
        <w:textAlignment w:val="auto"/>
        <w:rPr>
          <w:rFonts w:hint="eastAsia" w:ascii="宋体" w:hAnsi="宋体" w:eastAsia="宋体" w:cs="宋体"/>
          <w:b/>
          <w:color w:val="000000" w:themeColor="text1"/>
          <w:sz w:val="24"/>
          <w:u w:val="single"/>
          <w:shd w:val="clear" w:color="auto" w:fill="FFFFFF"/>
          <w14:textFill>
            <w14:solidFill>
              <w14:schemeClr w14:val="tx1"/>
            </w14:solidFill>
          </w14:textFill>
        </w:rPr>
      </w:pPr>
      <w:r>
        <w:rPr>
          <w:rFonts w:hint="eastAsia" w:ascii="宋体" w:hAnsi="宋体" w:eastAsia="宋体" w:cs="宋体"/>
          <w:b/>
          <w:color w:val="000000" w:themeColor="text1"/>
          <w:sz w:val="24"/>
          <w:u w:val="single"/>
          <w:shd w:val="clear" w:color="auto" w:fill="FFFFFF"/>
          <w14:textFill>
            <w14:solidFill>
              <w14:schemeClr w14:val="tx1"/>
            </w14:solidFill>
          </w14:textFill>
        </w:rPr>
        <w:t>8、招标人不提供食宿，装卸服务人员相关保险费用，高温费、加班费、劳保用品及其它相关等费用均由中投标单位自行承担。</w:t>
      </w:r>
    </w:p>
    <w:p w14:paraId="5F9ED250">
      <w:pPr>
        <w:pageBreakBefore w:val="0"/>
        <w:widowControl w:val="0"/>
        <w:kinsoku/>
        <w:wordWrap/>
        <w:overflowPunct/>
        <w:topLinePunct w:val="0"/>
        <w:autoSpaceDE/>
        <w:autoSpaceDN/>
        <w:bidi w:val="0"/>
        <w:adjustRightInd w:val="0"/>
        <w:snapToGrid/>
        <w:spacing w:line="360" w:lineRule="auto"/>
        <w:ind w:left="0" w:leftChars="0" w:firstLine="482" w:firstLineChars="200"/>
        <w:textAlignment w:val="auto"/>
        <w:rPr>
          <w:rFonts w:hint="eastAsia" w:ascii="宋体" w:hAnsi="宋体" w:eastAsia="宋体" w:cs="宋体"/>
          <w:b/>
          <w:color w:val="000000" w:themeColor="text1"/>
          <w:sz w:val="24"/>
          <w:u w:val="single"/>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9、</w:t>
      </w:r>
      <w:r>
        <w:rPr>
          <w:rFonts w:hint="eastAsia" w:ascii="宋体" w:hAnsi="宋体" w:eastAsia="宋体" w:cs="宋体"/>
          <w:b/>
          <w:color w:val="000000" w:themeColor="text1"/>
          <w:sz w:val="24"/>
          <w:u w:val="single"/>
          <w14:textFill>
            <w14:solidFill>
              <w14:schemeClr w14:val="tx1"/>
            </w14:solidFill>
          </w14:textFill>
        </w:rPr>
        <w:t>凡涉及粮油装卸、运输数量按实结算，合同期内发生粮油装卸运输数量增减、储存形式等变化的不作价格调整。</w:t>
      </w:r>
    </w:p>
    <w:p w14:paraId="5D741661">
      <w:pPr>
        <w:pageBreakBefore w:val="0"/>
        <w:widowControl w:val="0"/>
        <w:kinsoku/>
        <w:wordWrap/>
        <w:overflowPunct/>
        <w:topLinePunct w:val="0"/>
        <w:autoSpaceDE/>
        <w:autoSpaceDN/>
        <w:bidi w:val="0"/>
        <w:adjustRightInd w:val="0"/>
        <w:snapToGrid/>
        <w:spacing w:line="360" w:lineRule="auto"/>
        <w:ind w:left="0" w:leftChars="0" w:firstLine="482" w:firstLineChars="200"/>
        <w:textAlignment w:val="auto"/>
        <w:rPr>
          <w:rFonts w:hint="eastAsia" w:ascii="宋体" w:hAnsi="宋体" w:eastAsia="宋体" w:cs="宋体"/>
          <w:b/>
          <w:color w:val="000000" w:themeColor="text1"/>
          <w:sz w:val="24"/>
          <w:u w:val="single"/>
          <w14:textFill>
            <w14:solidFill>
              <w14:schemeClr w14:val="tx1"/>
            </w14:solidFill>
          </w14:textFill>
        </w:rPr>
      </w:pPr>
      <w:r>
        <w:rPr>
          <w:rFonts w:hint="eastAsia" w:ascii="宋体" w:hAnsi="宋体" w:eastAsia="宋体" w:cs="宋体"/>
          <w:b/>
          <w:color w:val="000000" w:themeColor="text1"/>
          <w:sz w:val="24"/>
          <w:u w:val="single"/>
          <w14:textFill>
            <w14:solidFill>
              <w14:schemeClr w14:val="tx1"/>
            </w14:solidFill>
          </w14:textFill>
        </w:rPr>
        <w:t>10、严格执行粮库禁烟规定，自觉接收粮库工作人员的监督，如发现本单位委派工人在禁烟区吸烟、电瓶车违章充电</w:t>
      </w:r>
      <w:r>
        <w:rPr>
          <w:rFonts w:hint="eastAsia" w:ascii="宋体" w:hAnsi="宋体" w:eastAsia="宋体" w:cs="宋体"/>
          <w:b/>
          <w:color w:val="000000" w:themeColor="text1"/>
          <w:sz w:val="24"/>
          <w:u w:val="single"/>
          <w:lang w:eastAsia="zh-CN"/>
          <w14:textFill>
            <w14:solidFill>
              <w14:schemeClr w14:val="tx1"/>
            </w14:solidFill>
          </w14:textFill>
        </w:rPr>
        <w:t>、</w:t>
      </w:r>
      <w:r>
        <w:rPr>
          <w:rFonts w:hint="eastAsia" w:ascii="宋体" w:hAnsi="宋体" w:eastAsia="宋体" w:cs="宋体"/>
          <w:b/>
          <w:color w:val="000000" w:themeColor="text1"/>
          <w:sz w:val="24"/>
          <w:u w:val="single"/>
          <w:lang w:val="en-US" w:eastAsia="zh-CN"/>
          <w14:textFill>
            <w14:solidFill>
              <w14:schemeClr w14:val="tx1"/>
            </w14:solidFill>
          </w14:textFill>
        </w:rPr>
        <w:t>不服从劝导未佩戴安全帽、在生产作业过程中穿拖鞋或赤脚</w:t>
      </w:r>
      <w:r>
        <w:rPr>
          <w:rFonts w:hint="eastAsia" w:ascii="宋体" w:hAnsi="宋体" w:eastAsia="宋体" w:cs="宋体"/>
          <w:b/>
          <w:color w:val="000000" w:themeColor="text1"/>
          <w:sz w:val="24"/>
          <w:u w:val="single"/>
          <w14:textFill>
            <w14:solidFill>
              <w14:schemeClr w14:val="tx1"/>
            </w14:solidFill>
          </w14:textFill>
        </w:rPr>
        <w:t>等情况，自愿接</w:t>
      </w:r>
      <w:r>
        <w:rPr>
          <w:rFonts w:hint="eastAsia" w:ascii="宋体" w:hAnsi="宋体" w:eastAsia="宋体" w:cs="宋体"/>
          <w:b/>
          <w:color w:val="000000" w:themeColor="text1"/>
          <w:sz w:val="24"/>
          <w:u w:val="single"/>
          <w:lang w:val="en-US" w:eastAsia="zh-CN"/>
          <w14:textFill>
            <w14:solidFill>
              <w14:schemeClr w14:val="tx1"/>
            </w14:solidFill>
          </w14:textFill>
        </w:rPr>
        <w:t>受20</w:t>
      </w:r>
      <w:r>
        <w:rPr>
          <w:rFonts w:hint="eastAsia" w:ascii="宋体" w:hAnsi="宋体" w:eastAsia="宋体" w:cs="宋体"/>
          <w:b/>
          <w:color w:val="000000" w:themeColor="text1"/>
          <w:sz w:val="24"/>
          <w:u w:val="single"/>
          <w14:textFill>
            <w14:solidFill>
              <w14:schemeClr w14:val="tx1"/>
            </w14:solidFill>
          </w14:textFill>
        </w:rPr>
        <w:t>0元/人.次的处罚（费用在装卸运输费中扣除）。</w:t>
      </w:r>
    </w:p>
    <w:p w14:paraId="571809B0">
      <w:pPr>
        <w:spacing w:line="360" w:lineRule="auto"/>
        <w:ind w:firstLine="482" w:firstLineChars="200"/>
        <w:rPr>
          <w:rFonts w:hint="eastAsia" w:ascii="宋体" w:hAnsi="宋体" w:eastAsia="宋体" w:cs="宋体"/>
          <w:b/>
          <w:color w:val="000000" w:themeColor="text1"/>
          <w:sz w:val="24"/>
          <w:u w:val="single"/>
          <w14:textFill>
            <w14:solidFill>
              <w14:schemeClr w14:val="tx1"/>
            </w14:solidFill>
          </w14:textFill>
        </w:rPr>
      </w:pPr>
      <w:r>
        <w:rPr>
          <w:rFonts w:hint="eastAsia" w:ascii="宋体" w:hAnsi="宋体" w:eastAsia="宋体" w:cs="宋体"/>
          <w:b/>
          <w:color w:val="000000" w:themeColor="text1"/>
          <w:sz w:val="24"/>
          <w:u w:val="single"/>
          <w14:textFill>
            <w14:solidFill>
              <w14:schemeClr w14:val="tx1"/>
            </w14:solidFill>
          </w14:textFill>
        </w:rPr>
        <w:t>附：</w:t>
      </w:r>
    </w:p>
    <w:p w14:paraId="5736776F">
      <w:pPr>
        <w:spacing w:line="360" w:lineRule="auto"/>
        <w:jc w:val="center"/>
        <w:rPr>
          <w:rFonts w:hint="eastAsia" w:ascii="宋体" w:hAnsi="宋体" w:eastAsia="宋体" w:cs="宋体"/>
          <w:b/>
          <w:color w:val="000000" w:themeColor="text1"/>
          <w:sz w:val="28"/>
          <w:szCs w:val="28"/>
          <w:u w:val="single"/>
          <w14:textFill>
            <w14:solidFill>
              <w14:schemeClr w14:val="tx1"/>
            </w14:solidFill>
          </w14:textFill>
        </w:rPr>
      </w:pPr>
      <w:r>
        <w:rPr>
          <w:rFonts w:hint="eastAsia" w:ascii="宋体" w:hAnsi="宋体" w:eastAsia="宋体" w:cs="宋体"/>
          <w:b/>
          <w:color w:val="000000" w:themeColor="text1"/>
          <w:sz w:val="28"/>
          <w:szCs w:val="28"/>
          <w:u w:val="single"/>
          <w14:textFill>
            <w14:solidFill>
              <w14:schemeClr w14:val="tx1"/>
            </w14:solidFill>
          </w14:textFill>
        </w:rPr>
        <w:t>处罚单</w:t>
      </w:r>
    </w:p>
    <w:p w14:paraId="0F81EFD1">
      <w:pPr>
        <w:spacing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填报单位（盖章）：                                        年   月    日</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1518"/>
        <w:gridCol w:w="1276"/>
        <w:gridCol w:w="1155"/>
        <w:gridCol w:w="1457"/>
        <w:gridCol w:w="1748"/>
      </w:tblGrid>
      <w:tr w14:paraId="7BAEE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14:paraId="5A30A7E0">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服务单位</w:t>
            </w:r>
          </w:p>
        </w:tc>
        <w:tc>
          <w:tcPr>
            <w:tcW w:w="1701" w:type="dxa"/>
          </w:tcPr>
          <w:p w14:paraId="039A9A32">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违规人员姓名</w:t>
            </w:r>
          </w:p>
        </w:tc>
        <w:tc>
          <w:tcPr>
            <w:tcW w:w="1417" w:type="dxa"/>
          </w:tcPr>
          <w:p w14:paraId="6222A2D9">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违规内容</w:t>
            </w:r>
          </w:p>
        </w:tc>
        <w:tc>
          <w:tcPr>
            <w:tcW w:w="1276" w:type="dxa"/>
          </w:tcPr>
          <w:p w14:paraId="77E2BCC9">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时间</w:t>
            </w:r>
          </w:p>
        </w:tc>
        <w:tc>
          <w:tcPr>
            <w:tcW w:w="1630" w:type="dxa"/>
          </w:tcPr>
          <w:p w14:paraId="0E2F4BCB">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地点</w:t>
            </w:r>
          </w:p>
        </w:tc>
        <w:tc>
          <w:tcPr>
            <w:tcW w:w="1888" w:type="dxa"/>
          </w:tcPr>
          <w:p w14:paraId="184E0285">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处罚金额（元）</w:t>
            </w:r>
          </w:p>
        </w:tc>
      </w:tr>
      <w:tr w14:paraId="63A4F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526" w:type="dxa"/>
          </w:tcPr>
          <w:p w14:paraId="584578AE">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701" w:type="dxa"/>
          </w:tcPr>
          <w:p w14:paraId="2AA74983">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417" w:type="dxa"/>
          </w:tcPr>
          <w:p w14:paraId="0E6F55B6">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276" w:type="dxa"/>
          </w:tcPr>
          <w:p w14:paraId="28C6245B">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630" w:type="dxa"/>
          </w:tcPr>
          <w:p w14:paraId="65402F04">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888" w:type="dxa"/>
          </w:tcPr>
          <w:p w14:paraId="2C81D5F0">
            <w:pPr>
              <w:spacing w:line="360" w:lineRule="auto"/>
              <w:jc w:val="center"/>
              <w:rPr>
                <w:rFonts w:hint="eastAsia" w:ascii="宋体" w:hAnsi="宋体" w:eastAsia="宋体" w:cs="宋体"/>
                <w:color w:val="000000" w:themeColor="text1"/>
                <w:sz w:val="24"/>
                <w14:textFill>
                  <w14:solidFill>
                    <w14:schemeClr w14:val="tx1"/>
                  </w14:solidFill>
                </w14:textFill>
              </w:rPr>
            </w:pPr>
          </w:p>
        </w:tc>
      </w:tr>
    </w:tbl>
    <w:p w14:paraId="64740F85">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备注：此表填写后报费用结算部门。</w:t>
      </w:r>
    </w:p>
    <w:p w14:paraId="2C8D79A9">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违规人（签名）：                                填报人（签名）：</w:t>
      </w:r>
    </w:p>
    <w:p w14:paraId="082044F5">
      <w:pPr>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000000" w:themeColor="text1"/>
          <w:sz w:val="24"/>
          <w:shd w:val="clear" w:color="auto" w:fill="FFFFFF"/>
          <w14:textFill>
            <w14:solidFill>
              <w14:schemeClr w14:val="tx1"/>
            </w14:solidFill>
          </w14:textFill>
        </w:rPr>
      </w:pPr>
      <w:r>
        <w:rPr>
          <w:rFonts w:hint="eastAsia" w:ascii="宋体" w:hAnsi="宋体" w:eastAsia="宋体" w:cs="宋体"/>
          <w:b/>
          <w:color w:val="000000" w:themeColor="text1"/>
          <w:sz w:val="24"/>
          <w:shd w:val="clear" w:color="auto" w:fill="FFFFFF"/>
          <w14:textFill>
            <w14:solidFill>
              <w14:schemeClr w14:val="tx1"/>
            </w14:solidFill>
          </w14:textFill>
        </w:rPr>
        <w:t>（三）报价价格要求：</w:t>
      </w:r>
    </w:p>
    <w:p w14:paraId="7D137906">
      <w:pPr>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000000" w:themeColor="text1"/>
          <w:sz w:val="24"/>
          <w:u w:val="single"/>
          <w:shd w:val="clear" w:color="auto" w:fill="FFFFFF"/>
          <w14:textFill>
            <w14:solidFill>
              <w14:schemeClr w14:val="tx1"/>
            </w14:solidFill>
          </w14:textFill>
        </w:rPr>
      </w:pPr>
      <w:r>
        <w:rPr>
          <w:rFonts w:hint="eastAsia" w:ascii="宋体" w:hAnsi="宋体" w:eastAsia="宋体" w:cs="宋体"/>
          <w:b/>
          <w:color w:val="000000" w:themeColor="text1"/>
          <w:sz w:val="24"/>
          <w:u w:val="single"/>
          <w:shd w:val="clear" w:color="auto" w:fill="FFFFFF"/>
          <w14:textFill>
            <w14:solidFill>
              <w14:schemeClr w14:val="tx1"/>
            </w14:solidFill>
          </w14:textFill>
        </w:rPr>
        <w:t>1、粮油装卸运输费</w:t>
      </w:r>
    </w:p>
    <w:p w14:paraId="3426F578">
      <w:pPr>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000000" w:themeColor="text1"/>
          <w:sz w:val="24"/>
          <w:u w:val="single"/>
          <w:shd w:val="clear" w:color="auto" w:fill="FFFFFF"/>
          <w14:textFill>
            <w14:solidFill>
              <w14:schemeClr w14:val="tx1"/>
            </w14:solidFill>
          </w14:textFill>
        </w:rPr>
      </w:pPr>
      <w:r>
        <w:rPr>
          <w:rFonts w:hint="eastAsia" w:ascii="宋体" w:hAnsi="宋体" w:eastAsia="宋体" w:cs="宋体"/>
          <w:b/>
          <w:color w:val="000000" w:themeColor="text1"/>
          <w:sz w:val="24"/>
          <w:u w:val="single"/>
          <w:shd w:val="clear" w:color="auto" w:fill="FFFFFF"/>
          <w14:textFill>
            <w14:solidFill>
              <w14:schemeClr w14:val="tx1"/>
            </w14:solidFill>
          </w14:textFill>
        </w:rPr>
        <w:t>各项费用详见《粮油装卸运输费用招标限价表》，该价格为最高限价，高于或低于浮率区间的均为无效。</w:t>
      </w:r>
    </w:p>
    <w:p w14:paraId="79A7C70E">
      <w:pPr>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000000" w:themeColor="text1"/>
          <w:sz w:val="24"/>
          <w:u w:val="single"/>
          <w:shd w:val="clear" w:color="auto" w:fill="FFFFFF"/>
          <w14:textFill>
            <w14:solidFill>
              <w14:schemeClr w14:val="tx1"/>
            </w14:solidFill>
          </w14:textFill>
        </w:rPr>
      </w:pPr>
      <w:r>
        <w:rPr>
          <w:rFonts w:hint="eastAsia" w:ascii="宋体" w:hAnsi="宋体" w:eastAsia="宋体" w:cs="宋体"/>
          <w:b/>
          <w:color w:val="000000" w:themeColor="text1"/>
          <w:sz w:val="24"/>
          <w:u w:val="single"/>
          <w:shd w:val="clear" w:color="auto" w:fill="FFFFFF"/>
          <w14:textFill>
            <w14:solidFill>
              <w14:schemeClr w14:val="tx1"/>
            </w14:solidFill>
          </w14:textFill>
        </w:rPr>
        <w:t>参与投标的服务单位要仔细阅读相关价格标准，确定粮油装卸、运输价的统一下浮率。</w:t>
      </w:r>
    </w:p>
    <w:p w14:paraId="01485AD7">
      <w:pPr>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（四）分项作业要求</w:t>
      </w:r>
    </w:p>
    <w:p w14:paraId="40F8308B">
      <w:pPr>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000000" w:themeColor="text1"/>
          <w:sz w:val="24"/>
          <w:u w:val="single"/>
          <w14:textFill>
            <w14:solidFill>
              <w14:schemeClr w14:val="tx1"/>
            </w14:solidFill>
          </w14:textFill>
        </w:rPr>
      </w:pPr>
      <w:r>
        <w:rPr>
          <w:rFonts w:hint="eastAsia" w:ascii="宋体" w:hAnsi="宋体" w:eastAsia="宋体" w:cs="宋体"/>
          <w:b/>
          <w:color w:val="000000" w:themeColor="text1"/>
          <w:sz w:val="24"/>
          <w:u w:val="single"/>
          <w14:textFill>
            <w14:solidFill>
              <w14:schemeClr w14:val="tx1"/>
            </w14:solidFill>
          </w14:textFill>
        </w:rPr>
        <w:t>高大平房仓：一般是指堆粮高度＞4米的仓库，其它仓堆高达到本标准参照实行；</w:t>
      </w:r>
    </w:p>
    <w:p w14:paraId="64FBC11A">
      <w:pPr>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000000" w:themeColor="text1"/>
          <w:sz w:val="24"/>
          <w:u w:val="single"/>
          <w14:textFill>
            <w14:solidFill>
              <w14:schemeClr w14:val="tx1"/>
            </w14:solidFill>
          </w14:textFill>
        </w:rPr>
      </w:pPr>
      <w:r>
        <w:rPr>
          <w:rFonts w:hint="eastAsia" w:ascii="宋体" w:hAnsi="宋体" w:eastAsia="宋体" w:cs="宋体"/>
          <w:b/>
          <w:color w:val="000000" w:themeColor="text1"/>
          <w:sz w:val="24"/>
          <w:u w:val="single"/>
          <w14:textFill>
            <w14:solidFill>
              <w14:schemeClr w14:val="tx1"/>
            </w14:solidFill>
          </w14:textFill>
        </w:rPr>
        <w:t>一般平房仓：是指堆粮高度≤4米仓库的房式仓；</w:t>
      </w:r>
    </w:p>
    <w:p w14:paraId="163A5E6D">
      <w:pPr>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000000" w:themeColor="text1"/>
          <w:sz w:val="24"/>
          <w:u w:val="single"/>
          <w14:textFill>
            <w14:solidFill>
              <w14:schemeClr w14:val="tx1"/>
            </w14:solidFill>
          </w14:textFill>
        </w:rPr>
      </w:pPr>
      <w:r>
        <w:rPr>
          <w:rFonts w:hint="eastAsia" w:ascii="宋体" w:hAnsi="宋体" w:eastAsia="宋体" w:cs="宋体"/>
          <w:b/>
          <w:color w:val="000000" w:themeColor="text1"/>
          <w:sz w:val="24"/>
          <w:u w:val="single"/>
          <w14:textFill>
            <w14:solidFill>
              <w14:schemeClr w14:val="tx1"/>
            </w14:solidFill>
          </w14:textFill>
        </w:rPr>
        <w:t>包装粮油入库必须规范堆桩，入库过程中与入库结束能准确清点数量，不能准确清点的必须重新免费整理，直到能准确清点为止。</w:t>
      </w:r>
    </w:p>
    <w:p w14:paraId="72B86BC2">
      <w:pPr>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1、散装粮入库</w:t>
      </w:r>
    </w:p>
    <w:p w14:paraId="73A3B9C5">
      <w:pPr>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1.1移动并准确布置机械设备；</w:t>
      </w:r>
    </w:p>
    <w:p w14:paraId="14431B68">
      <w:pPr>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1.2车载散粮卸车、输送进仓、粮面平整、仓外散落粮清理入库，包括安装挡粮板、门口围包、风道布置等整个过程；</w:t>
      </w:r>
    </w:p>
    <w:p w14:paraId="7900EBD7">
      <w:pPr>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1.3当日入库结束后防鼠雀设施必须及时归位，并做好入库场地散落粮整理入库、场地卫生工作；</w:t>
      </w:r>
    </w:p>
    <w:p w14:paraId="4DF0A199">
      <w:pPr>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1.4入库结束：场地清理、机械设备清洁后进指定场所；</w:t>
      </w:r>
    </w:p>
    <w:p w14:paraId="369DF6A0">
      <w:pPr>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1.5对入库结束的仓库进行粮面平整，平整后的粮面高低误差≤10cm。</w:t>
      </w:r>
    </w:p>
    <w:p w14:paraId="16CBF26E">
      <w:pPr>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2、散装粮出库</w:t>
      </w:r>
    </w:p>
    <w:p w14:paraId="553D41A2">
      <w:pPr>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2.1移动准确布置机械设备，通过扒谷机、输送机装车等；</w:t>
      </w:r>
    </w:p>
    <w:p w14:paraId="5A914E54">
      <w:pPr>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2.2当日作业结束后防鼠雀设施必须及时归位，并做好入库场地散落粮整理入库、场地卫生工作；</w:t>
      </w:r>
    </w:p>
    <w:p w14:paraId="6599F546">
      <w:pPr>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2.3出仓结束对仓内器材包装物整理、基本清洁卫生，如有压盖物、铺垫砻糠需移库的根据要求移库（移库费用另计）。浅圆仓、筒仓包括仓内清理。</w:t>
      </w:r>
    </w:p>
    <w:p w14:paraId="7DA93E38">
      <w:pPr>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2.4机械设备清洁后进指定场所。</w:t>
      </w:r>
    </w:p>
    <w:p w14:paraId="027BD9DC">
      <w:pPr>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3、散粮除杂入库</w:t>
      </w:r>
    </w:p>
    <w:p w14:paraId="7842BC0F">
      <w:pPr>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3.1根据粮食除杂要求，移动并准确布置输送设备与除杂设备；</w:t>
      </w:r>
    </w:p>
    <w:p w14:paraId="23208000">
      <w:pPr>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3.2车载粮卸车除杂、输送进仓、粮面平整、仓外散落粮清理入库，包括安装挡粮板、门口围包、风道布置、杂质灌包堆桩等整个过程；</w:t>
      </w:r>
    </w:p>
    <w:p w14:paraId="2F98D776">
      <w:pPr>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3.3当日作业入库结束后防鼠雀设施及时归位，并做好入库场地散落粮整理入库、场地卫生工作；</w:t>
      </w:r>
    </w:p>
    <w:p w14:paraId="1C46CE72">
      <w:pPr>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3.4入库结束：场地清理、机械设备清洁后进指定场所;</w:t>
      </w:r>
    </w:p>
    <w:p w14:paraId="5929F583">
      <w:pPr>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3.5对入库结束的仓库进行粮面平整，平整后的粮面高低误差≤10cm。</w:t>
      </w:r>
    </w:p>
    <w:p w14:paraId="2C5D737E">
      <w:pPr>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4、散粮打包装车</w:t>
      </w:r>
    </w:p>
    <w:p w14:paraId="4BCA1803">
      <w:pPr>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根据粮库具体要求确定打包数量，非定量包的稻谷一般包重在70公斤左右、小麦在90公斤左右；定量包允许误差在包重±0.5%以内，否则免费重新定量，如招标方同意不再重新定量的则按非定量包结算，由于定量不准造成招标方经济损失的全额由服务单位承担。</w:t>
      </w:r>
    </w:p>
    <w:p w14:paraId="525772B8">
      <w:pPr>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4.1移动准确布置机械设备；</w:t>
      </w:r>
    </w:p>
    <w:p w14:paraId="72BC4CB8">
      <w:pPr>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4.2将散装的粮食根据要求进行打包，打包后的包装粮食采用人工进行缝合的，稻谷缝口不少于7针、小麦不少于9针，采用机械缝口、人工缝口的设备、材料由所在粮库提供；</w:t>
      </w:r>
    </w:p>
    <w:p w14:paraId="4E74318D">
      <w:pPr>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4.3通过输送设备将包粮装运上车；</w:t>
      </w:r>
    </w:p>
    <w:p w14:paraId="5E2680C2">
      <w:pPr>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4.4上车的包装粮其缝口部位不得向外，做到整齐稳固、能清点数量；</w:t>
      </w:r>
    </w:p>
    <w:p w14:paraId="33CE58F1">
      <w:pPr>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4.5当日作业结束散落粮整理入库，防鼠雀设施及时归位，并做好入库场地散落粮整理入库、场地卫生工作；</w:t>
      </w:r>
    </w:p>
    <w:p w14:paraId="24AC71F8">
      <w:pPr>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4.6出仓结束对仓内器材、包装物整理、基本清洁卫生，如有压盖物、铺垫砻糠需移库的根据要求移库（移库费用另计），机械设备清洁后进指定场所。</w:t>
      </w:r>
    </w:p>
    <w:p w14:paraId="5F17D79F">
      <w:pPr>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5、散装粮库区内倒仓</w:t>
      </w:r>
    </w:p>
    <w:p w14:paraId="4D8C2B6F">
      <w:pPr>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散装粮库区内倒仓是指在同一库区内从某一仓库移至另一仓的整个过程，运载工具一般为汽车，其出入库要求与散装粮出入库相同。</w:t>
      </w:r>
    </w:p>
    <w:p w14:paraId="0264958F">
      <w:pPr>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6、散装粮库区内拨付加工</w:t>
      </w:r>
    </w:p>
    <w:p w14:paraId="079FDEBA">
      <w:pPr>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散装粮库区内拨付加工是指在同一库区内从某一仓库粮食移至加工车间卸粮坑的整个过程，运载工具一般为汽车，其出入库仓的管理要求与散装粮出入库相同。</w:t>
      </w:r>
    </w:p>
    <w:p w14:paraId="73223708">
      <w:pPr>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7、包装粮油进仓</w:t>
      </w:r>
    </w:p>
    <w:p w14:paraId="3DCDE168">
      <w:pPr>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包装粮一般包重：稻谷70公斤、小麦90公斤、大米25-50公斤左右，箱装食用油一般在20公斤/箱左右，但不仅限上述品种；堆粮高度一般在3-6米不等，箱装食用油堆高≤2.5米，禁止踩踏。</w:t>
      </w:r>
    </w:p>
    <w:p w14:paraId="45F3EF5B">
      <w:pPr>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7.1移动准确布置机械设备，通过输送设备将包装粮送入仓库或货位；</w:t>
      </w:r>
    </w:p>
    <w:p w14:paraId="2C4B203F">
      <w:pPr>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7.2入库的包（箱）装粮其缝口部位不得向外，堆桩做到整齐稳固、各条边线平直、高度垂直、粮面基本平整，堆桩规范；箱装食用油严禁倒置。</w:t>
      </w:r>
    </w:p>
    <w:p w14:paraId="68985A1F">
      <w:pPr>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7.3入库时必须安排力量进行整桩，出现货位明显倾斜、存在安全隐患或不能正确清点包（箱）数的必须免费重新堆桩。</w:t>
      </w:r>
    </w:p>
    <w:p w14:paraId="196D5D69">
      <w:pPr>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7.4当日作业入库结束前散落粮灌包入库，防鼠雀设施及时归位；散落粮灌包数超过当时运载包数5%的超出部分费用另计；</w:t>
      </w:r>
    </w:p>
    <w:p w14:paraId="7251B0E6">
      <w:pPr>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7.5入库结束对仓内器材包装物整理、基本清洁卫生、粮面压盖（根据要求定，费用另计），机械设备清洁后进指定场所。</w:t>
      </w:r>
    </w:p>
    <w:p w14:paraId="60DE1BDB">
      <w:pPr>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8、包装粮油出仓</w:t>
      </w:r>
    </w:p>
    <w:p w14:paraId="00A2F193">
      <w:pPr>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8.1移动准确布置机械设备；</w:t>
      </w:r>
    </w:p>
    <w:p w14:paraId="6D888C47">
      <w:pPr>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8.2通过输送设备将包装粮送上车，包括少于5%以下的破包整理、缝包、装车，超过部分按灌包计算费用；</w:t>
      </w:r>
    </w:p>
    <w:p w14:paraId="3F8811BA">
      <w:pPr>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8.3上车的包装粮其缝口部位不得向外，做到整齐稳固、能清点数量；</w:t>
      </w:r>
    </w:p>
    <w:p w14:paraId="3E05FD3E">
      <w:pPr>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8.4当日作业入库结束后防鼠雀设施及时归位，场地清洁；</w:t>
      </w:r>
    </w:p>
    <w:p w14:paraId="3F76A80F">
      <w:pPr>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8.5出仓结束对仓内器材包装物整理、基本清洁卫生，如有压盖物、铺垫砻糠需移库的根据要求移库（移库费用另计），机械设备清洁后进指定场所。</w:t>
      </w:r>
    </w:p>
    <w:p w14:paraId="58282CD7">
      <w:pPr>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9、包装粮库区内移库</w:t>
      </w:r>
    </w:p>
    <w:p w14:paraId="73565F16">
      <w:pPr>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包装粮库区内移库是指在同一库区内从某一仓库移至另一仓的整个过程，运载工具一般为汽车或其它运载工具，其出入库要求同包装粮出入库相同。</w:t>
      </w:r>
    </w:p>
    <w:p w14:paraId="19F612DF">
      <w:pPr>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10、包装粮解包进仓</w:t>
      </w:r>
    </w:p>
    <w:p w14:paraId="1481D0F5">
      <w:pPr>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将到库的包装粮食解包通过输送设备进入仓库的整个过程，作业要求参照散装粮入库，及时对包装物打件整理，整理后的包装就地存放的不另计费用，移送至其它仓库的按库内短驳计算费用。</w:t>
      </w:r>
    </w:p>
    <w:p w14:paraId="335D5E7C">
      <w:pPr>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11、包装粮解包出仓</w:t>
      </w:r>
    </w:p>
    <w:p w14:paraId="6337A844">
      <w:pPr>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包装粮食解包后的散粮通过输送设备装入运输车辆的整个过程，包括包装物打件整理，整理后的包装物就地存放的不另计费用，移送至其它仓库的按库内短驳计算费用。</w:t>
      </w:r>
    </w:p>
    <w:p w14:paraId="7FB9B1B8">
      <w:pPr>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12、包装粮库区内拨付加工</w:t>
      </w:r>
    </w:p>
    <w:p w14:paraId="15C045AE">
      <w:pPr>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包装粮库区内拨付加工是指在同一库区内从某一仓库移至加工车间解包进原粮仓的整个过程，包括解包、包装物整理，运载工具一般为汽车或其它运载工具。</w:t>
      </w:r>
    </w:p>
    <w:p w14:paraId="717D0DFE">
      <w:pPr>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13、粮食烘干入库</w:t>
      </w:r>
    </w:p>
    <w:p w14:paraId="5A7670CD">
      <w:pPr>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指潮粮卸车、进烘干机、烘干后粮食装车、汽车短驳、入库全过程，包括出烘干机粮食的除杂与垃圾清理、回料箱内粮食重新入机、散落粮整理入机、场地清理等，入库要求同时散装粮入库。</w:t>
      </w:r>
    </w:p>
    <w:p w14:paraId="23714F31">
      <w:pPr>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14、烘干房集尘间垃圾清运</w:t>
      </w:r>
    </w:p>
    <w:p w14:paraId="2AA09BEF">
      <w:pPr>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指集尘间内垃圾灌包、装车、运输、倾倒全过程。</w:t>
      </w:r>
    </w:p>
    <w:p w14:paraId="009BC230">
      <w:pPr>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15、粮面砻糠压盖或揭除</w:t>
      </w:r>
    </w:p>
    <w:p w14:paraId="184274F8">
      <w:pPr>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指包装砻糠从储存仓库移至指定仓库的粮面进行压盖，压盖要求经线、纬线平直、包与包间连接紧密；揭除的砻糠移至指定仓库堆放。</w:t>
      </w:r>
    </w:p>
    <w:p w14:paraId="60A7054E">
      <w:pPr>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16、砻糠灌包</w:t>
      </w:r>
    </w:p>
    <w:p w14:paraId="424EB7C6">
      <w:pPr>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指包装物提取、灌包、缝口等全过程，用于粮面压盖的缝口不少于7针，其它根据粮库要求确定（包含剩余包装物整理、归位）。</w:t>
      </w:r>
    </w:p>
    <w:p w14:paraId="5961B289">
      <w:pPr>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17、仓内砻糠铺垫</w:t>
      </w:r>
    </w:p>
    <w:p w14:paraId="6A0C46B0">
      <w:pPr>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指包装砻糠从储存仓库移至指定仓库解包、散铺砻糠面层分隔物铺高、包装物整理打件、移库的全过程，铺垫须达到平整均匀。</w:t>
      </w:r>
    </w:p>
    <w:p w14:paraId="16F06DE9">
      <w:pPr>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18、平房仓地槽、筒仓、浅圆仓锥底清理</w:t>
      </w:r>
    </w:p>
    <w:p w14:paraId="3128FC58">
      <w:pPr>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指完成粮食出库后对散落对平房仓地槽内的粮粒、杂物，筒仓、浅圆仓内锥底的粮食、杂物进行清理的全过程。</w:t>
      </w:r>
    </w:p>
    <w:p w14:paraId="6E588444">
      <w:pPr>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19、杂工</w:t>
      </w:r>
    </w:p>
    <w:p w14:paraId="7C2131F7">
      <w:pPr>
        <w:pageBreakBefore w:val="0"/>
        <w:widowControl w:val="0"/>
        <w:kinsoku/>
        <w:wordWrap/>
        <w:overflowPunct/>
        <w:topLinePunct w:val="0"/>
        <w:autoSpaceDE/>
        <w:autoSpaceDN/>
        <w:bidi w:val="0"/>
        <w:adjustRightInd w:val="0"/>
        <w:snapToGrid/>
        <w:spacing w:line="360" w:lineRule="auto"/>
        <w:ind w:firstLine="456" w:firstLineChars="200"/>
        <w:textAlignment w:val="auto"/>
        <w:rPr>
          <w:rFonts w:hint="eastAsia" w:ascii="宋体" w:hAnsi="宋体" w:eastAsia="宋体" w:cs="宋体"/>
          <w:color w:val="000000" w:themeColor="text1"/>
          <w:spacing w:val="-6"/>
          <w:sz w:val="24"/>
          <w14:textFill>
            <w14:solidFill>
              <w14:schemeClr w14:val="tx1"/>
            </w14:solidFill>
          </w14:textFill>
        </w:rPr>
      </w:pPr>
      <w:r>
        <w:rPr>
          <w:rFonts w:hint="eastAsia" w:ascii="宋体" w:hAnsi="宋体" w:eastAsia="宋体" w:cs="宋体"/>
          <w:color w:val="000000" w:themeColor="text1"/>
          <w:spacing w:val="-6"/>
          <w:sz w:val="24"/>
          <w14:textFill>
            <w14:solidFill>
              <w14:schemeClr w14:val="tx1"/>
            </w14:solidFill>
          </w14:textFill>
        </w:rPr>
        <w:t>指不能计量结算的零星工作，八小时工作制，由所需工作部门出具力资证明按实结算。</w:t>
      </w:r>
    </w:p>
    <w:p w14:paraId="72E59D73">
      <w:pPr>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20、麻袋整理打件</w:t>
      </w:r>
    </w:p>
    <w:p w14:paraId="46028207">
      <w:pPr>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指零散麻袋整理后以50只为单位打成方件或圆件，同时根据要求将破损或废袋整理后另行打件。</w:t>
      </w:r>
    </w:p>
    <w:p w14:paraId="1E9974AE">
      <w:pPr>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000000" w:themeColor="text1"/>
          <w:sz w:val="24"/>
          <w:shd w:val="clear" w:color="auto" w:fill="FFFFFF"/>
          <w14:textFill>
            <w14:solidFill>
              <w14:schemeClr w14:val="tx1"/>
            </w14:solidFill>
          </w14:textFill>
        </w:rPr>
      </w:pPr>
      <w:r>
        <w:rPr>
          <w:rFonts w:hint="eastAsia" w:ascii="宋体" w:hAnsi="宋体" w:eastAsia="宋体" w:cs="宋体"/>
          <w:b/>
          <w:color w:val="000000" w:themeColor="text1"/>
          <w:sz w:val="24"/>
          <w:u w:val="single"/>
          <w:shd w:val="clear" w:color="auto" w:fill="FFFFFF"/>
          <w14:textFill>
            <w14:solidFill>
              <w14:schemeClr w14:val="tx1"/>
            </w14:solidFill>
          </w14:textFill>
        </w:rPr>
        <w:t>本作业要求仅指一般性作业要求，遇特殊情况或特殊要求的，服务单位必须服从所在粮库的安排。</w:t>
      </w:r>
    </w:p>
    <w:p w14:paraId="1B3FC96F">
      <w:pPr>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000000" w:themeColor="text1"/>
          <w:sz w:val="24"/>
          <w:shd w:val="clear" w:color="auto" w:fill="FFFFFF"/>
          <w14:textFill>
            <w14:solidFill>
              <w14:schemeClr w14:val="tx1"/>
            </w14:solidFill>
          </w14:textFill>
        </w:rPr>
      </w:pPr>
      <w:r>
        <w:rPr>
          <w:rFonts w:hint="eastAsia" w:ascii="宋体" w:hAnsi="宋体" w:eastAsia="宋体" w:cs="宋体"/>
          <w:b/>
          <w:color w:val="000000" w:themeColor="text1"/>
          <w:sz w:val="24"/>
          <w:shd w:val="clear" w:color="auto" w:fill="FFFFFF"/>
          <w14:textFill>
            <w14:solidFill>
              <w14:schemeClr w14:val="tx1"/>
            </w14:solidFill>
          </w14:textFill>
        </w:rPr>
        <w:t>（五）费用结算：</w:t>
      </w:r>
    </w:p>
    <w:p w14:paraId="0341B44F">
      <w:pPr>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000000" w:themeColor="text1"/>
          <w:sz w:val="24"/>
          <w:u w:val="single"/>
          <w:shd w:val="clear" w:color="auto" w:fill="FFFFFF"/>
          <w14:textFill>
            <w14:solidFill>
              <w14:schemeClr w14:val="tx1"/>
            </w14:solidFill>
          </w14:textFill>
        </w:rPr>
      </w:pPr>
      <w:r>
        <w:rPr>
          <w:rFonts w:hint="eastAsia" w:ascii="宋体" w:hAnsi="宋体" w:eastAsia="宋体" w:cs="宋体"/>
          <w:b/>
          <w:color w:val="000000" w:themeColor="text1"/>
          <w:sz w:val="24"/>
          <w:u w:val="single"/>
          <w:shd w:val="clear" w:color="auto" w:fill="FFFFFF"/>
          <w14:textFill>
            <w14:solidFill>
              <w14:schemeClr w14:val="tx1"/>
            </w14:solidFill>
          </w14:textFill>
        </w:rPr>
        <w:t>以完成一批次粮食装卸服务或运输服务为单位，由公司下属粮库出具相关凭证后进行结算，预审通过后中标单位开具“增值税专用发票”，一般在15个工作日内支付。</w:t>
      </w:r>
    </w:p>
    <w:p w14:paraId="0FC69D4D">
      <w:pPr>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（六）履约</w:t>
      </w:r>
    </w:p>
    <w:p w14:paraId="27CFE2DC">
      <w:pPr>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000000" w:themeColor="text1"/>
          <w:sz w:val="24"/>
          <w:u w:val="single"/>
          <w14:textFill>
            <w14:solidFill>
              <w14:schemeClr w14:val="tx1"/>
            </w14:solidFill>
          </w14:textFill>
        </w:rPr>
      </w:pPr>
      <w:r>
        <w:rPr>
          <w:rFonts w:hint="eastAsia" w:ascii="宋体" w:hAnsi="宋体" w:eastAsia="宋体" w:cs="宋体"/>
          <w:b/>
          <w:color w:val="000000" w:themeColor="text1"/>
          <w:sz w:val="24"/>
          <w:u w:val="single"/>
          <w14:textFill>
            <w14:solidFill>
              <w14:schemeClr w14:val="tx1"/>
            </w14:solidFill>
          </w14:textFill>
        </w:rPr>
        <w:t>为确保合同的充分履行，中标单位需向本单位交纳柒万元的履约保证金，合同到期无违约行为的无息返还。存在下列情形之一的视为违约并扣除全额履约保证金，合同终止。</w:t>
      </w:r>
    </w:p>
    <w:p w14:paraId="1B6F2A84">
      <w:pPr>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000000" w:themeColor="text1"/>
          <w:sz w:val="24"/>
          <w:u w:val="single"/>
          <w14:textFill>
            <w14:solidFill>
              <w14:schemeClr w14:val="tx1"/>
            </w14:solidFill>
          </w14:textFill>
        </w:rPr>
      </w:pPr>
      <w:r>
        <w:rPr>
          <w:rFonts w:hint="eastAsia" w:ascii="宋体" w:hAnsi="宋体" w:eastAsia="宋体" w:cs="宋体"/>
          <w:b/>
          <w:color w:val="000000" w:themeColor="text1"/>
          <w:sz w:val="24"/>
          <w:u w:val="single"/>
          <w14:textFill>
            <w14:solidFill>
              <w14:schemeClr w14:val="tx1"/>
            </w14:solidFill>
          </w14:textFill>
        </w:rPr>
        <w:t>（1）一年内累计出现三次在规定时间内不能完成的额定任务，第一次警告；第二次严重警告；第三次视为违约。</w:t>
      </w:r>
    </w:p>
    <w:p w14:paraId="5FEE6433">
      <w:pPr>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000000" w:themeColor="text1"/>
          <w:sz w:val="24"/>
          <w:u w:val="single"/>
          <w14:textFill>
            <w14:solidFill>
              <w14:schemeClr w14:val="tx1"/>
            </w14:solidFill>
          </w14:textFill>
        </w:rPr>
      </w:pPr>
      <w:r>
        <w:rPr>
          <w:rFonts w:hint="eastAsia" w:ascii="宋体" w:hAnsi="宋体" w:eastAsia="宋体" w:cs="宋体"/>
          <w:b/>
          <w:color w:val="000000" w:themeColor="text1"/>
          <w:sz w:val="24"/>
          <w:u w:val="single"/>
          <w14:textFill>
            <w14:solidFill>
              <w14:schemeClr w14:val="tx1"/>
            </w14:solidFill>
          </w14:textFill>
        </w:rPr>
        <w:t>（2）在合同履行和粮食收购集运期间，不按甲方规定的调度要求，未能完成装卸运输任务，影响粮食收购的。</w:t>
      </w:r>
    </w:p>
    <w:p w14:paraId="3B972F53">
      <w:pPr>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000000" w:themeColor="text1"/>
          <w:sz w:val="24"/>
          <w:u w:val="single"/>
          <w14:textFill>
            <w14:solidFill>
              <w14:schemeClr w14:val="tx1"/>
            </w14:solidFill>
          </w14:textFill>
        </w:rPr>
      </w:pPr>
      <w:r>
        <w:rPr>
          <w:rFonts w:hint="eastAsia" w:ascii="宋体" w:hAnsi="宋体" w:eastAsia="宋体" w:cs="宋体"/>
          <w:b/>
          <w:color w:val="000000" w:themeColor="text1"/>
          <w:sz w:val="24"/>
          <w:u w:val="single"/>
          <w14:textFill>
            <w14:solidFill>
              <w14:schemeClr w14:val="tx1"/>
            </w14:solidFill>
          </w14:textFill>
        </w:rPr>
        <w:t>（3）粮食运输过程中，因安全防护不到位给运输物资造成直接经济损失的，且一次损失金额在5万以上的，同时全额赔偿甲方损失并扣除全额履约保证金</w:t>
      </w:r>
      <w:r>
        <w:rPr>
          <w:rFonts w:hint="eastAsia" w:ascii="宋体" w:hAnsi="宋体" w:eastAsia="宋体" w:cs="宋体"/>
          <w:b/>
          <w:color w:val="000000" w:themeColor="text1"/>
          <w:sz w:val="24"/>
          <w14:textFill>
            <w14:solidFill>
              <w14:schemeClr w14:val="tx1"/>
            </w14:solidFill>
          </w14:textFill>
        </w:rPr>
        <w:t>。</w:t>
      </w:r>
    </w:p>
    <w:p w14:paraId="26C6546C">
      <w:pPr>
        <w:pStyle w:val="2"/>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u w:val="single"/>
          <w14:textFill>
            <w14:solidFill>
              <w14:schemeClr w14:val="tx1"/>
            </w14:solidFill>
          </w14:textFill>
        </w:rPr>
        <w:t>不服从安全管理、违章作业、违反国有粮库有关管理制度和法规的，给甲方造成经济损失或对甲方企业声誉产生严重不利影响的，扣除全额履约保证金并赔偿甲方损失。</w:t>
      </w:r>
    </w:p>
    <w:p w14:paraId="52AEC0E4">
      <w:pPr>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000000" w:themeColor="text1"/>
          <w:sz w:val="24"/>
          <w:u w:val="single"/>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（5）</w:t>
      </w:r>
      <w:r>
        <w:rPr>
          <w:rFonts w:hint="eastAsia" w:ascii="宋体" w:hAnsi="宋体" w:eastAsia="宋体" w:cs="宋体"/>
          <w:b/>
          <w:color w:val="000000" w:themeColor="text1"/>
          <w:sz w:val="24"/>
          <w:u w:val="single"/>
          <w14:textFill>
            <w14:solidFill>
              <w14:schemeClr w14:val="tx1"/>
            </w14:solidFill>
          </w14:textFill>
        </w:rPr>
        <w:t>履约期间投保人数低于投标服务人数80%的。</w:t>
      </w:r>
    </w:p>
    <w:p w14:paraId="4B69F4FB">
      <w:pPr>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000000" w:themeColor="text1"/>
          <w:sz w:val="24"/>
          <w:u w:val="single"/>
          <w14:textFill>
            <w14:solidFill>
              <w14:schemeClr w14:val="tx1"/>
            </w14:solidFill>
          </w14:textFill>
        </w:rPr>
      </w:pPr>
      <w:r>
        <w:rPr>
          <w:rFonts w:hint="eastAsia" w:ascii="宋体" w:hAnsi="宋体" w:eastAsia="宋体" w:cs="宋体"/>
          <w:b/>
          <w:color w:val="000000" w:themeColor="text1"/>
          <w:sz w:val="24"/>
          <w:u w:val="single"/>
          <w14:textFill>
            <w14:solidFill>
              <w14:schemeClr w14:val="tx1"/>
            </w14:solidFill>
          </w14:textFill>
        </w:rPr>
        <w:t>（6）提前一天通知的服务人员必须准时到达工作地点，临时通知的一般要求在2小时内到达工作地点，无正当理由五次以上不及时开展工作的。</w:t>
      </w:r>
    </w:p>
    <w:p w14:paraId="1EBEDD4D">
      <w:pPr>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（七）其它事项</w:t>
      </w:r>
    </w:p>
    <w:p w14:paraId="774CBD61">
      <w:pPr>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1、粮库作业设备由所在粮库提供，各类运输工具由中标单位自行负责。</w:t>
      </w:r>
    </w:p>
    <w:p w14:paraId="52A868C8">
      <w:pPr>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000000" w:themeColor="text1"/>
          <w:sz w:val="24"/>
          <w:u w:val="single"/>
          <w14:textFill>
            <w14:solidFill>
              <w14:schemeClr w14:val="tx1"/>
            </w14:solidFill>
          </w14:textFill>
        </w:rPr>
      </w:pPr>
      <w:r>
        <w:rPr>
          <w:rFonts w:hint="eastAsia" w:ascii="宋体" w:hAnsi="宋体" w:eastAsia="宋体" w:cs="宋体"/>
          <w:b/>
          <w:color w:val="000000" w:themeColor="text1"/>
          <w:sz w:val="24"/>
          <w:u w:val="single"/>
          <w14:textFill>
            <w14:solidFill>
              <w14:schemeClr w14:val="tx1"/>
            </w14:solidFill>
          </w14:textFill>
        </w:rPr>
        <w:t>2、任何时间、任何作业不得以任何名义向承运人或客户收取任何费用，一经发现除全额退还承运人或客户外再在装卸费用中双倍罚扣。</w:t>
      </w:r>
    </w:p>
    <w:p w14:paraId="58B1EF39">
      <w:pPr>
        <w:spacing w:line="360" w:lineRule="auto"/>
        <w:jc w:val="left"/>
        <w:rPr>
          <w:rFonts w:hint="eastAsia" w:ascii="宋体" w:hAnsi="宋体" w:eastAsia="宋体" w:cs="宋体"/>
          <w:b/>
          <w:color w:val="000000" w:themeColor="text1"/>
          <w:sz w:val="24"/>
          <w14:textFill>
            <w14:solidFill>
              <w14:schemeClr w14:val="tx1"/>
            </w14:solidFill>
          </w14:textFill>
        </w:rPr>
      </w:pPr>
    </w:p>
    <w:p w14:paraId="28F0E786">
      <w:pPr>
        <w:spacing w:line="360" w:lineRule="auto"/>
        <w:jc w:val="left"/>
        <w:rPr>
          <w:rFonts w:hint="eastAsia" w:ascii="宋体" w:hAnsi="宋体" w:eastAsia="宋体" w:cs="宋体"/>
          <w:b/>
          <w:color w:val="000000" w:themeColor="text1"/>
          <w:sz w:val="24"/>
          <w14:textFill>
            <w14:solidFill>
              <w14:schemeClr w14:val="tx1"/>
            </w14:solidFill>
          </w14:textFill>
        </w:rPr>
      </w:pPr>
    </w:p>
    <w:p w14:paraId="1F1DC59C">
      <w:pPr>
        <w:spacing w:line="360" w:lineRule="auto"/>
        <w:jc w:val="left"/>
        <w:rPr>
          <w:rFonts w:hint="eastAsia" w:ascii="宋体" w:hAnsi="宋体" w:eastAsia="宋体" w:cs="宋体"/>
          <w:b/>
          <w:color w:val="000000" w:themeColor="text1"/>
          <w:sz w:val="32"/>
          <w:szCs w:val="32"/>
          <w:u w:val="single"/>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 xml:space="preserve">附：                    </w:t>
      </w:r>
      <w:r>
        <w:rPr>
          <w:rFonts w:hint="eastAsia" w:ascii="宋体" w:hAnsi="宋体" w:eastAsia="宋体" w:cs="宋体"/>
          <w:b/>
          <w:color w:val="000000" w:themeColor="text1"/>
          <w:sz w:val="28"/>
          <w:szCs w:val="28"/>
          <w:u w:val="single"/>
          <w14:textFill>
            <w14:solidFill>
              <w14:schemeClr w14:val="tx1"/>
            </w14:solidFill>
          </w14:textFill>
        </w:rPr>
        <w:t>违规收取费用处罚单</w:t>
      </w:r>
    </w:p>
    <w:p w14:paraId="04B2521C">
      <w:pPr>
        <w:spacing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填报单位（盖章）：                                         年   月    日</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5"/>
        <w:gridCol w:w="1502"/>
        <w:gridCol w:w="1264"/>
        <w:gridCol w:w="1222"/>
        <w:gridCol w:w="1443"/>
        <w:gridCol w:w="1736"/>
      </w:tblGrid>
      <w:tr w14:paraId="3CB6C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78177D63">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服务单位</w:t>
            </w:r>
          </w:p>
        </w:tc>
        <w:tc>
          <w:tcPr>
            <w:tcW w:w="1701" w:type="dxa"/>
            <w:vAlign w:val="center"/>
          </w:tcPr>
          <w:p w14:paraId="41D08471">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被服务单位或提货单位</w:t>
            </w:r>
          </w:p>
        </w:tc>
        <w:tc>
          <w:tcPr>
            <w:tcW w:w="1417" w:type="dxa"/>
            <w:vAlign w:val="center"/>
          </w:tcPr>
          <w:p w14:paraId="2BCFECAE">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工作内容</w:t>
            </w:r>
          </w:p>
        </w:tc>
        <w:tc>
          <w:tcPr>
            <w:tcW w:w="1276" w:type="dxa"/>
            <w:vAlign w:val="center"/>
          </w:tcPr>
          <w:p w14:paraId="63265478">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违规收取  费用（元）</w:t>
            </w:r>
          </w:p>
        </w:tc>
        <w:tc>
          <w:tcPr>
            <w:tcW w:w="1630" w:type="dxa"/>
            <w:vAlign w:val="center"/>
          </w:tcPr>
          <w:p w14:paraId="2A7946E2">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违规收取   时间</w:t>
            </w:r>
          </w:p>
        </w:tc>
        <w:tc>
          <w:tcPr>
            <w:tcW w:w="1888" w:type="dxa"/>
            <w:vAlign w:val="center"/>
          </w:tcPr>
          <w:p w14:paraId="6F0E28CF">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处罚金额（元）</w:t>
            </w:r>
          </w:p>
        </w:tc>
      </w:tr>
      <w:tr w14:paraId="78293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1526" w:type="dxa"/>
          </w:tcPr>
          <w:p w14:paraId="372A6EB0">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701" w:type="dxa"/>
          </w:tcPr>
          <w:p w14:paraId="214A931F">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417" w:type="dxa"/>
          </w:tcPr>
          <w:p w14:paraId="3D55E309">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276" w:type="dxa"/>
          </w:tcPr>
          <w:p w14:paraId="7AA4E959">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630" w:type="dxa"/>
          </w:tcPr>
          <w:p w14:paraId="53EC8AC3">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888" w:type="dxa"/>
          </w:tcPr>
          <w:p w14:paraId="4E5EE5C4">
            <w:pPr>
              <w:spacing w:line="360" w:lineRule="auto"/>
              <w:jc w:val="center"/>
              <w:rPr>
                <w:rFonts w:hint="eastAsia" w:ascii="宋体" w:hAnsi="宋体" w:eastAsia="宋体" w:cs="宋体"/>
                <w:color w:val="000000" w:themeColor="text1"/>
                <w:sz w:val="24"/>
                <w14:textFill>
                  <w14:solidFill>
                    <w14:schemeClr w14:val="tx1"/>
                  </w14:solidFill>
                </w14:textFill>
              </w:rPr>
            </w:pPr>
          </w:p>
        </w:tc>
      </w:tr>
    </w:tbl>
    <w:p w14:paraId="7E29E9F8">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备注：此表填写后报费用结算部门。</w:t>
      </w:r>
    </w:p>
    <w:p w14:paraId="3069E8AF">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费用支付人（签名）            收取人（签名）：            填报人（签名）：</w:t>
      </w:r>
    </w:p>
    <w:p w14:paraId="3A3F7DA7">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p>
    <w:p w14:paraId="2D1C6C30">
      <w:pPr>
        <w:pStyle w:val="2"/>
        <w:numPr>
          <w:ilvl w:val="0"/>
          <w:numId w:val="0"/>
        </w:numPr>
        <w:rPr>
          <w:rFonts w:hint="eastAsia" w:ascii="宋体" w:hAnsi="宋体" w:eastAsia="宋体" w:cs="宋体"/>
          <w:color w:val="000000" w:themeColor="text1"/>
          <w14:textFill>
            <w14:solidFill>
              <w14:schemeClr w14:val="tx1"/>
            </w14:solidFill>
          </w14:textFill>
        </w:rPr>
      </w:pPr>
    </w:p>
    <w:p w14:paraId="4744BCCB">
      <w:pPr>
        <w:pStyle w:val="2"/>
        <w:numPr>
          <w:ilvl w:val="0"/>
          <w:numId w:val="0"/>
        </w:numPr>
        <w:rPr>
          <w:rFonts w:hint="eastAsia" w:ascii="宋体" w:hAnsi="宋体" w:eastAsia="宋体" w:cs="宋体"/>
          <w:color w:val="000000" w:themeColor="text1"/>
          <w14:textFill>
            <w14:solidFill>
              <w14:schemeClr w14:val="tx1"/>
            </w14:solidFill>
          </w14:textFill>
        </w:rPr>
      </w:pPr>
    </w:p>
    <w:p w14:paraId="68F1990A">
      <w:pPr>
        <w:pStyle w:val="2"/>
        <w:numPr>
          <w:ilvl w:val="0"/>
          <w:numId w:val="0"/>
        </w:numPr>
        <w:ind w:left="720" w:hanging="720"/>
        <w:rPr>
          <w:rFonts w:hint="eastAsia" w:ascii="宋体" w:hAnsi="宋体" w:eastAsia="宋体" w:cs="宋体"/>
          <w:color w:val="000000" w:themeColor="text1"/>
          <w14:textFill>
            <w14:solidFill>
              <w14:schemeClr w14:val="tx1"/>
            </w14:solidFill>
          </w14:textFill>
        </w:rPr>
      </w:pPr>
    </w:p>
    <w:p w14:paraId="3CF8EC3C">
      <w:pPr>
        <w:rPr>
          <w:rFonts w:hint="eastAsia" w:ascii="宋体" w:hAnsi="宋体" w:eastAsia="宋体" w:cs="宋体"/>
          <w:color w:val="000000" w:themeColor="text1"/>
          <w14:textFill>
            <w14:solidFill>
              <w14:schemeClr w14:val="tx1"/>
            </w14:solidFill>
          </w14:textFill>
        </w:rPr>
      </w:pPr>
    </w:p>
    <w:p w14:paraId="66F7CE8C">
      <w:pPr>
        <w:pStyle w:val="2"/>
        <w:numPr>
          <w:ilvl w:val="2"/>
          <w:numId w:val="0"/>
        </w:numPr>
        <w:rPr>
          <w:rFonts w:hint="eastAsia" w:ascii="宋体" w:hAnsi="宋体" w:eastAsia="宋体" w:cs="宋体"/>
          <w:color w:val="000000" w:themeColor="text1"/>
          <w14:textFill>
            <w14:solidFill>
              <w14:schemeClr w14:val="tx1"/>
            </w14:solidFill>
          </w14:textFill>
        </w:rPr>
      </w:pPr>
    </w:p>
    <w:p w14:paraId="7B98B114">
      <w:pPr>
        <w:rPr>
          <w:rFonts w:hint="eastAsia" w:ascii="宋体" w:hAnsi="宋体" w:eastAsia="宋体" w:cs="宋体"/>
          <w:color w:val="000000" w:themeColor="text1"/>
          <w14:textFill>
            <w14:solidFill>
              <w14:schemeClr w14:val="tx1"/>
            </w14:solidFill>
          </w14:textFill>
        </w:rPr>
      </w:pPr>
    </w:p>
    <w:p w14:paraId="3718831A">
      <w:pPr>
        <w:pStyle w:val="2"/>
        <w:numPr>
          <w:ilvl w:val="2"/>
          <w:numId w:val="0"/>
        </w:numPr>
        <w:ind w:left="180" w:leftChars="0"/>
        <w:rPr>
          <w:rFonts w:hint="eastAsia" w:ascii="宋体" w:hAnsi="宋体" w:eastAsia="宋体" w:cs="宋体"/>
        </w:rPr>
      </w:pPr>
    </w:p>
    <w:p w14:paraId="723416B9">
      <w:pPr>
        <w:rPr>
          <w:rFonts w:hint="eastAsia" w:ascii="宋体" w:hAnsi="宋体" w:eastAsia="宋体" w:cs="宋体"/>
          <w:color w:val="000000" w:themeColor="text1"/>
          <w14:textFill>
            <w14:solidFill>
              <w14:schemeClr w14:val="tx1"/>
            </w14:solidFill>
          </w14:textFill>
        </w:rPr>
      </w:pPr>
    </w:p>
    <w:p w14:paraId="546DDBA0">
      <w:pPr>
        <w:pStyle w:val="2"/>
        <w:numPr>
          <w:ilvl w:val="0"/>
          <w:numId w:val="0"/>
        </w:numPr>
        <w:ind w:left="900"/>
        <w:rPr>
          <w:rFonts w:hint="eastAsia" w:ascii="宋体" w:hAnsi="宋体" w:eastAsia="宋体" w:cs="宋体"/>
          <w:color w:val="000000" w:themeColor="text1"/>
          <w14:textFill>
            <w14:solidFill>
              <w14:schemeClr w14:val="tx1"/>
            </w14:solidFill>
          </w14:textFill>
        </w:rPr>
      </w:pPr>
    </w:p>
    <w:p w14:paraId="4C2F585C">
      <w:pPr>
        <w:rPr>
          <w:rFonts w:hint="eastAsia" w:ascii="宋体" w:hAnsi="宋体" w:eastAsia="宋体" w:cs="宋体"/>
          <w:color w:val="000000" w:themeColor="text1"/>
          <w14:textFill>
            <w14:solidFill>
              <w14:schemeClr w14:val="tx1"/>
            </w14:solidFill>
          </w14:textFill>
        </w:rPr>
      </w:pPr>
    </w:p>
    <w:p w14:paraId="22E42178">
      <w:pPr>
        <w:pStyle w:val="2"/>
        <w:keepNext w:val="0"/>
        <w:keepLines w:val="0"/>
        <w:numPr>
          <w:ilvl w:val="2"/>
          <w:numId w:val="0"/>
        </w:numPr>
        <w:adjustRightInd/>
        <w:spacing w:line="240" w:lineRule="auto"/>
        <w:rPr>
          <w:rFonts w:hint="eastAsia" w:ascii="宋体" w:hAnsi="宋体" w:eastAsia="宋体" w:cs="宋体"/>
          <w:color w:val="000000" w:themeColor="text1"/>
          <w:sz w:val="24"/>
          <w:szCs w:val="24"/>
          <w14:textFill>
            <w14:solidFill>
              <w14:schemeClr w14:val="tx1"/>
            </w14:solidFill>
          </w14:textFill>
        </w:rPr>
      </w:pPr>
    </w:p>
    <w:p w14:paraId="53ACD94D">
      <w:pPr>
        <w:pStyle w:val="2"/>
        <w:keepNext w:val="0"/>
        <w:keepLines w:val="0"/>
        <w:numPr>
          <w:ilvl w:val="2"/>
          <w:numId w:val="0"/>
        </w:numPr>
        <w:adjustRightInd/>
        <w:spacing w:line="240" w:lineRule="auto"/>
        <w:rPr>
          <w:rFonts w:hint="eastAsia" w:ascii="宋体" w:hAnsi="宋体" w:eastAsia="宋体" w:cs="宋体"/>
          <w:color w:val="000000" w:themeColor="text1"/>
          <w:sz w:val="24"/>
          <w:szCs w:val="24"/>
          <w14:textFill>
            <w14:solidFill>
              <w14:schemeClr w14:val="tx1"/>
            </w14:solidFill>
          </w14:textFill>
        </w:rPr>
      </w:pPr>
    </w:p>
    <w:p w14:paraId="645CB8FA">
      <w:pPr>
        <w:pStyle w:val="2"/>
        <w:keepNext w:val="0"/>
        <w:keepLines w:val="0"/>
        <w:numPr>
          <w:ilvl w:val="2"/>
          <w:numId w:val="0"/>
        </w:numPr>
        <w:adjustRightInd/>
        <w:spacing w:line="24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（八）附件清单</w:t>
      </w:r>
    </w:p>
    <w:p w14:paraId="0C15C807">
      <w:pPr>
        <w:adjustRightInd/>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附件1：粮食装卸运输费用招标限价表</w:t>
      </w:r>
    </w:p>
    <w:tbl>
      <w:tblPr>
        <w:tblStyle w:val="61"/>
        <w:tblW w:w="10334" w:type="dxa"/>
        <w:jc w:val="center"/>
        <w:tblLayout w:type="autofit"/>
        <w:tblCellMar>
          <w:top w:w="0" w:type="dxa"/>
          <w:left w:w="108" w:type="dxa"/>
          <w:bottom w:w="0" w:type="dxa"/>
          <w:right w:w="108" w:type="dxa"/>
        </w:tblCellMar>
      </w:tblPr>
      <w:tblGrid>
        <w:gridCol w:w="876"/>
        <w:gridCol w:w="3718"/>
        <w:gridCol w:w="1536"/>
        <w:gridCol w:w="986"/>
        <w:gridCol w:w="3218"/>
      </w:tblGrid>
      <w:tr w14:paraId="04622C22">
        <w:tblPrEx>
          <w:tblCellMar>
            <w:top w:w="0" w:type="dxa"/>
            <w:left w:w="108" w:type="dxa"/>
            <w:bottom w:w="0" w:type="dxa"/>
            <w:right w:w="108" w:type="dxa"/>
          </w:tblCellMar>
        </w:tblPrEx>
        <w:trPr>
          <w:trHeight w:val="387" w:hRule="atLeast"/>
          <w:jc w:val="center"/>
        </w:trPr>
        <w:tc>
          <w:tcPr>
            <w:tcW w:w="87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06D20732">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类别</w:t>
            </w:r>
          </w:p>
        </w:tc>
        <w:tc>
          <w:tcPr>
            <w:tcW w:w="3718"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4AE5C45C">
            <w:pPr>
              <w:widowControl/>
              <w:adjustRightInd/>
              <w:jc w:val="center"/>
              <w:rPr>
                <w:rFonts w:hint="eastAsia" w:ascii="宋体" w:hAnsi="宋体" w:eastAsia="宋体" w:cs="宋体"/>
                <w:color w:val="000000"/>
                <w:kern w:val="0"/>
                <w:sz w:val="24"/>
              </w:rPr>
            </w:pPr>
          </w:p>
        </w:tc>
        <w:tc>
          <w:tcPr>
            <w:tcW w:w="2522" w:type="dxa"/>
            <w:gridSpan w:val="2"/>
            <w:tcBorders>
              <w:top w:val="single" w:color="auto" w:sz="4" w:space="0"/>
              <w:left w:val="nil"/>
              <w:bottom w:val="single" w:color="auto" w:sz="4" w:space="0"/>
              <w:right w:val="single" w:color="auto" w:sz="4" w:space="0"/>
            </w:tcBorders>
            <w:shd w:val="clear" w:color="auto" w:fill="auto"/>
            <w:vAlign w:val="center"/>
          </w:tcPr>
          <w:p w14:paraId="3D5F5990">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3218" w:type="dxa"/>
            <w:tcBorders>
              <w:top w:val="single" w:color="auto" w:sz="4" w:space="0"/>
              <w:left w:val="single" w:color="auto" w:sz="4" w:space="0"/>
              <w:bottom w:val="single" w:color="auto" w:sz="4" w:space="0"/>
              <w:right w:val="single" w:color="auto" w:sz="4" w:space="0"/>
            </w:tcBorders>
            <w:shd w:val="clear" w:color="auto" w:fill="auto"/>
            <w:vAlign w:val="center"/>
          </w:tcPr>
          <w:p w14:paraId="10DB55D6">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备    注</w:t>
            </w:r>
          </w:p>
        </w:tc>
      </w:tr>
      <w:tr w14:paraId="0FB4F36E">
        <w:tblPrEx>
          <w:tblCellMar>
            <w:top w:w="0" w:type="dxa"/>
            <w:left w:w="108" w:type="dxa"/>
            <w:bottom w:w="0" w:type="dxa"/>
            <w:right w:w="108" w:type="dxa"/>
          </w:tblCellMar>
        </w:tblPrEx>
        <w:trPr>
          <w:trHeight w:val="467" w:hRule="atLeast"/>
          <w:jc w:val="center"/>
        </w:trPr>
        <w:tc>
          <w:tcPr>
            <w:tcW w:w="876" w:type="dxa"/>
            <w:vMerge w:val="continue"/>
            <w:tcBorders>
              <w:top w:val="single" w:color="auto" w:sz="4" w:space="0"/>
              <w:left w:val="single" w:color="auto" w:sz="4" w:space="0"/>
              <w:bottom w:val="single" w:color="000000" w:sz="4" w:space="0"/>
              <w:right w:val="single" w:color="auto" w:sz="4" w:space="0"/>
            </w:tcBorders>
            <w:vAlign w:val="center"/>
          </w:tcPr>
          <w:p w14:paraId="4FD4B295">
            <w:pPr>
              <w:widowControl/>
              <w:adjustRightInd/>
              <w:jc w:val="left"/>
              <w:rPr>
                <w:rFonts w:hint="eastAsia" w:ascii="宋体" w:hAnsi="宋体" w:eastAsia="宋体" w:cs="宋体"/>
                <w:color w:val="000000"/>
                <w:kern w:val="0"/>
                <w:sz w:val="24"/>
              </w:rPr>
            </w:pPr>
          </w:p>
        </w:tc>
        <w:tc>
          <w:tcPr>
            <w:tcW w:w="3718" w:type="dxa"/>
            <w:vMerge w:val="continue"/>
            <w:tcBorders>
              <w:top w:val="single" w:color="auto" w:sz="4" w:space="0"/>
              <w:left w:val="single" w:color="auto" w:sz="4" w:space="0"/>
              <w:bottom w:val="single" w:color="000000" w:sz="4" w:space="0"/>
              <w:right w:val="single" w:color="000000" w:sz="4" w:space="0"/>
            </w:tcBorders>
            <w:vAlign w:val="center"/>
          </w:tcPr>
          <w:p w14:paraId="26652172">
            <w:pPr>
              <w:widowControl/>
              <w:adjustRightInd/>
              <w:jc w:val="left"/>
              <w:rPr>
                <w:rFonts w:hint="eastAsia" w:ascii="宋体" w:hAnsi="宋体" w:eastAsia="宋体" w:cs="宋体"/>
                <w:color w:val="000000"/>
                <w:kern w:val="0"/>
                <w:sz w:val="24"/>
              </w:rPr>
            </w:pPr>
          </w:p>
        </w:tc>
        <w:tc>
          <w:tcPr>
            <w:tcW w:w="2522" w:type="dxa"/>
            <w:gridSpan w:val="2"/>
            <w:tcBorders>
              <w:top w:val="nil"/>
              <w:left w:val="nil"/>
              <w:bottom w:val="single" w:color="auto" w:sz="4" w:space="0"/>
              <w:right w:val="single" w:color="auto" w:sz="4" w:space="0"/>
            </w:tcBorders>
            <w:shd w:val="clear" w:color="auto" w:fill="auto"/>
            <w:vAlign w:val="center"/>
          </w:tcPr>
          <w:p w14:paraId="158B75CD">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　（元/吨）</w:t>
            </w:r>
          </w:p>
        </w:tc>
        <w:tc>
          <w:tcPr>
            <w:tcW w:w="3218" w:type="dxa"/>
            <w:tcBorders>
              <w:top w:val="nil"/>
              <w:left w:val="nil"/>
              <w:bottom w:val="single" w:color="auto" w:sz="4" w:space="0"/>
              <w:right w:val="single" w:color="auto" w:sz="4" w:space="0"/>
            </w:tcBorders>
            <w:shd w:val="clear" w:color="auto" w:fill="auto"/>
            <w:vAlign w:val="center"/>
          </w:tcPr>
          <w:p w14:paraId="69BB45EC">
            <w:pPr>
              <w:widowControl/>
              <w:adjustRightInd/>
              <w:jc w:val="center"/>
              <w:rPr>
                <w:rFonts w:hint="eastAsia" w:ascii="宋体" w:hAnsi="宋体" w:eastAsia="宋体" w:cs="宋体"/>
                <w:color w:val="000000"/>
                <w:kern w:val="0"/>
                <w:sz w:val="24"/>
              </w:rPr>
            </w:pPr>
          </w:p>
        </w:tc>
      </w:tr>
      <w:tr w14:paraId="0BC47364">
        <w:tblPrEx>
          <w:tblCellMar>
            <w:top w:w="0" w:type="dxa"/>
            <w:left w:w="108" w:type="dxa"/>
            <w:bottom w:w="0" w:type="dxa"/>
            <w:right w:w="108" w:type="dxa"/>
          </w:tblCellMar>
        </w:tblPrEx>
        <w:trPr>
          <w:trHeight w:val="883" w:hRule="atLeast"/>
          <w:jc w:val="center"/>
        </w:trPr>
        <w:tc>
          <w:tcPr>
            <w:tcW w:w="876" w:type="dxa"/>
            <w:tcBorders>
              <w:top w:val="nil"/>
              <w:left w:val="single" w:color="auto" w:sz="4" w:space="0"/>
              <w:bottom w:val="single" w:color="auto" w:sz="4" w:space="0"/>
              <w:right w:val="single" w:color="auto" w:sz="4" w:space="0"/>
            </w:tcBorders>
            <w:shd w:val="clear" w:color="auto" w:fill="auto"/>
            <w:vAlign w:val="center"/>
          </w:tcPr>
          <w:p w14:paraId="3FC5D4C1">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3718" w:type="dxa"/>
            <w:tcBorders>
              <w:top w:val="single" w:color="auto" w:sz="4" w:space="0"/>
              <w:left w:val="nil"/>
              <w:bottom w:val="single" w:color="auto" w:sz="4" w:space="0"/>
              <w:right w:val="single" w:color="auto" w:sz="4" w:space="0"/>
            </w:tcBorders>
            <w:shd w:val="clear" w:color="auto" w:fill="auto"/>
            <w:vAlign w:val="center"/>
          </w:tcPr>
          <w:p w14:paraId="5811EB2B">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作业过程</w:t>
            </w:r>
          </w:p>
        </w:tc>
        <w:tc>
          <w:tcPr>
            <w:tcW w:w="1536" w:type="dxa"/>
            <w:tcBorders>
              <w:top w:val="nil"/>
              <w:left w:val="nil"/>
              <w:bottom w:val="single" w:color="auto" w:sz="4" w:space="0"/>
              <w:right w:val="single" w:color="auto" w:sz="4" w:space="0"/>
            </w:tcBorders>
            <w:shd w:val="clear" w:color="auto" w:fill="auto"/>
            <w:vAlign w:val="center"/>
          </w:tcPr>
          <w:p w14:paraId="22738256">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招标价　</w:t>
            </w:r>
          </w:p>
        </w:tc>
        <w:tc>
          <w:tcPr>
            <w:tcW w:w="986" w:type="dxa"/>
            <w:tcBorders>
              <w:top w:val="nil"/>
              <w:left w:val="nil"/>
              <w:bottom w:val="single" w:color="auto" w:sz="4" w:space="0"/>
              <w:right w:val="single" w:color="auto" w:sz="4" w:space="0"/>
            </w:tcBorders>
            <w:shd w:val="clear" w:color="auto" w:fill="auto"/>
            <w:vAlign w:val="center"/>
          </w:tcPr>
          <w:p w14:paraId="5BADD465">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合同价</w:t>
            </w:r>
          </w:p>
        </w:tc>
        <w:tc>
          <w:tcPr>
            <w:tcW w:w="3218" w:type="dxa"/>
            <w:tcBorders>
              <w:top w:val="nil"/>
              <w:left w:val="nil"/>
              <w:bottom w:val="single" w:color="auto" w:sz="4" w:space="0"/>
              <w:right w:val="single" w:color="auto" w:sz="4" w:space="0"/>
            </w:tcBorders>
            <w:shd w:val="clear" w:color="auto" w:fill="auto"/>
            <w:vAlign w:val="center"/>
          </w:tcPr>
          <w:p w14:paraId="22DF89AF">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　</w:t>
            </w:r>
          </w:p>
        </w:tc>
      </w:tr>
      <w:tr w14:paraId="03BB9DCC">
        <w:tblPrEx>
          <w:tblCellMar>
            <w:top w:w="0" w:type="dxa"/>
            <w:left w:w="108" w:type="dxa"/>
            <w:bottom w:w="0" w:type="dxa"/>
            <w:right w:w="108" w:type="dxa"/>
          </w:tblCellMar>
        </w:tblPrEx>
        <w:trPr>
          <w:trHeight w:val="883" w:hRule="atLeast"/>
          <w:jc w:val="center"/>
        </w:trPr>
        <w:tc>
          <w:tcPr>
            <w:tcW w:w="8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68BC72F">
            <w:pPr>
              <w:widowControl/>
              <w:adjustRightInd/>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包装粮出入库</w:t>
            </w:r>
          </w:p>
        </w:tc>
        <w:tc>
          <w:tcPr>
            <w:tcW w:w="3718" w:type="dxa"/>
            <w:tcBorders>
              <w:top w:val="single" w:color="auto" w:sz="4" w:space="0"/>
              <w:left w:val="single" w:color="auto" w:sz="4" w:space="0"/>
              <w:bottom w:val="single" w:color="auto" w:sz="4" w:space="0"/>
              <w:right w:val="single" w:color="auto" w:sz="4" w:space="0"/>
            </w:tcBorders>
            <w:shd w:val="clear" w:color="auto" w:fill="auto"/>
            <w:vAlign w:val="center"/>
          </w:tcPr>
          <w:p w14:paraId="20968353">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堆高4-6米包装粮卸车进仓</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14:paraId="0679A9DD">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 xml:space="preserve">16.20 </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1C43A5F1">
            <w:pPr>
              <w:jc w:val="right"/>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w:t>
            </w:r>
          </w:p>
        </w:tc>
        <w:tc>
          <w:tcPr>
            <w:tcW w:w="3218" w:type="dxa"/>
            <w:tcBorders>
              <w:top w:val="single" w:color="auto" w:sz="4" w:space="0"/>
              <w:left w:val="single" w:color="auto" w:sz="4" w:space="0"/>
              <w:bottom w:val="single" w:color="auto" w:sz="4" w:space="0"/>
              <w:right w:val="single" w:color="auto" w:sz="4" w:space="0"/>
            </w:tcBorders>
            <w:shd w:val="clear" w:color="auto" w:fill="auto"/>
            <w:vAlign w:val="center"/>
          </w:tcPr>
          <w:p w14:paraId="403CA67B">
            <w:pPr>
              <w:widowControl/>
              <w:adjustRightInd/>
              <w:jc w:val="left"/>
              <w:rPr>
                <w:rFonts w:hint="eastAsia" w:ascii="宋体" w:hAnsi="宋体" w:eastAsia="宋体" w:cs="宋体"/>
                <w:color w:val="000000"/>
                <w:kern w:val="0"/>
                <w:sz w:val="24"/>
              </w:rPr>
            </w:pPr>
            <w:r>
              <w:rPr>
                <w:rFonts w:hint="eastAsia" w:ascii="宋体" w:hAnsi="宋体" w:eastAsia="宋体" w:cs="宋体"/>
                <w:color w:val="000000"/>
                <w:kern w:val="0"/>
                <w:sz w:val="24"/>
              </w:rPr>
              <w:t>含整桩费</w:t>
            </w:r>
          </w:p>
        </w:tc>
      </w:tr>
      <w:tr w14:paraId="16CD6ABD">
        <w:tblPrEx>
          <w:tblCellMar>
            <w:top w:w="0" w:type="dxa"/>
            <w:left w:w="108" w:type="dxa"/>
            <w:bottom w:w="0" w:type="dxa"/>
            <w:right w:w="108" w:type="dxa"/>
          </w:tblCellMar>
        </w:tblPrEx>
        <w:trPr>
          <w:trHeight w:val="883"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14:paraId="7A686D4C">
            <w:pPr>
              <w:widowControl/>
              <w:adjustRightInd/>
              <w:jc w:val="left"/>
              <w:rPr>
                <w:rFonts w:hint="eastAsia" w:ascii="宋体" w:hAnsi="宋体" w:eastAsia="宋体" w:cs="宋体"/>
                <w:b/>
                <w:bCs/>
                <w:color w:val="000000"/>
                <w:kern w:val="0"/>
                <w:sz w:val="24"/>
              </w:rPr>
            </w:pPr>
          </w:p>
        </w:tc>
        <w:tc>
          <w:tcPr>
            <w:tcW w:w="3718" w:type="dxa"/>
            <w:tcBorders>
              <w:top w:val="single" w:color="auto" w:sz="4" w:space="0"/>
              <w:left w:val="single" w:color="auto" w:sz="4" w:space="0"/>
              <w:bottom w:val="single" w:color="auto" w:sz="4" w:space="0"/>
              <w:right w:val="single" w:color="auto" w:sz="4" w:space="0"/>
            </w:tcBorders>
            <w:shd w:val="clear" w:color="auto" w:fill="auto"/>
            <w:vAlign w:val="center"/>
          </w:tcPr>
          <w:p w14:paraId="53159700">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堆高4米及以下包装粮卸车进仓</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14:paraId="47142FD9">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 xml:space="preserve">13.80 </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20086615">
            <w:pPr>
              <w:jc w:val="right"/>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w:t>
            </w:r>
          </w:p>
        </w:tc>
        <w:tc>
          <w:tcPr>
            <w:tcW w:w="3218" w:type="dxa"/>
            <w:tcBorders>
              <w:top w:val="single" w:color="auto" w:sz="4" w:space="0"/>
              <w:left w:val="single" w:color="auto" w:sz="4" w:space="0"/>
              <w:bottom w:val="single" w:color="auto" w:sz="4" w:space="0"/>
              <w:right w:val="single" w:color="auto" w:sz="4" w:space="0"/>
            </w:tcBorders>
            <w:shd w:val="clear" w:color="auto" w:fill="auto"/>
            <w:vAlign w:val="center"/>
          </w:tcPr>
          <w:p w14:paraId="44025201">
            <w:pPr>
              <w:widowControl/>
              <w:adjustRightInd/>
              <w:jc w:val="left"/>
              <w:rPr>
                <w:rFonts w:hint="eastAsia" w:ascii="宋体" w:hAnsi="宋体" w:eastAsia="宋体" w:cs="宋体"/>
                <w:color w:val="000000"/>
                <w:kern w:val="0"/>
                <w:sz w:val="24"/>
              </w:rPr>
            </w:pPr>
            <w:r>
              <w:rPr>
                <w:rFonts w:hint="eastAsia" w:ascii="宋体" w:hAnsi="宋体" w:eastAsia="宋体" w:cs="宋体"/>
                <w:color w:val="000000"/>
                <w:kern w:val="0"/>
                <w:sz w:val="24"/>
              </w:rPr>
              <w:t>含整桩费</w:t>
            </w:r>
          </w:p>
        </w:tc>
      </w:tr>
      <w:tr w14:paraId="65D7E35E">
        <w:tblPrEx>
          <w:tblCellMar>
            <w:top w:w="0" w:type="dxa"/>
            <w:left w:w="108" w:type="dxa"/>
            <w:bottom w:w="0" w:type="dxa"/>
            <w:right w:w="108" w:type="dxa"/>
          </w:tblCellMar>
        </w:tblPrEx>
        <w:trPr>
          <w:trHeight w:val="883"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14:paraId="7707A038">
            <w:pPr>
              <w:widowControl/>
              <w:adjustRightInd/>
              <w:jc w:val="left"/>
              <w:rPr>
                <w:rFonts w:hint="eastAsia" w:ascii="宋体" w:hAnsi="宋体" w:eastAsia="宋体" w:cs="宋体"/>
                <w:b/>
                <w:bCs/>
                <w:color w:val="000000"/>
                <w:kern w:val="0"/>
                <w:sz w:val="24"/>
              </w:rPr>
            </w:pPr>
          </w:p>
        </w:tc>
        <w:tc>
          <w:tcPr>
            <w:tcW w:w="3718" w:type="dxa"/>
            <w:tcBorders>
              <w:top w:val="single" w:color="auto" w:sz="4" w:space="0"/>
              <w:left w:val="single" w:color="auto" w:sz="4" w:space="0"/>
              <w:bottom w:val="single" w:color="auto" w:sz="4" w:space="0"/>
              <w:right w:val="single" w:color="auto" w:sz="4" w:space="0"/>
            </w:tcBorders>
            <w:shd w:val="clear" w:color="auto" w:fill="auto"/>
            <w:vAlign w:val="center"/>
          </w:tcPr>
          <w:p w14:paraId="227A31BF">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所有房式仓包装粮出仓装车</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14:paraId="29C3BBEA">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 xml:space="preserve">18.00 </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6227BE53">
            <w:pPr>
              <w:jc w:val="right"/>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w:t>
            </w:r>
          </w:p>
        </w:tc>
        <w:tc>
          <w:tcPr>
            <w:tcW w:w="3218" w:type="dxa"/>
            <w:tcBorders>
              <w:top w:val="single" w:color="auto" w:sz="4" w:space="0"/>
              <w:left w:val="single" w:color="auto" w:sz="4" w:space="0"/>
              <w:bottom w:val="single" w:color="auto" w:sz="4" w:space="0"/>
              <w:right w:val="single" w:color="auto" w:sz="4" w:space="0"/>
            </w:tcBorders>
            <w:shd w:val="clear" w:color="auto" w:fill="auto"/>
            <w:vAlign w:val="center"/>
          </w:tcPr>
          <w:p w14:paraId="6E8DF9F1">
            <w:pPr>
              <w:widowControl/>
              <w:adjustRightInd/>
              <w:jc w:val="left"/>
              <w:rPr>
                <w:rFonts w:hint="eastAsia" w:ascii="宋体" w:hAnsi="宋体" w:eastAsia="宋体" w:cs="宋体"/>
                <w:color w:val="000000"/>
                <w:kern w:val="0"/>
                <w:sz w:val="24"/>
              </w:rPr>
            </w:pPr>
            <w:r>
              <w:rPr>
                <w:rFonts w:hint="eastAsia" w:ascii="宋体" w:hAnsi="宋体" w:eastAsia="宋体" w:cs="宋体"/>
                <w:color w:val="000000"/>
                <w:kern w:val="0"/>
                <w:sz w:val="24"/>
              </w:rPr>
              <w:t>含超高费</w:t>
            </w:r>
          </w:p>
        </w:tc>
      </w:tr>
      <w:tr w14:paraId="2D2FEAAE">
        <w:tblPrEx>
          <w:tblCellMar>
            <w:top w:w="0" w:type="dxa"/>
            <w:left w:w="108" w:type="dxa"/>
            <w:bottom w:w="0" w:type="dxa"/>
            <w:right w:w="108" w:type="dxa"/>
          </w:tblCellMar>
        </w:tblPrEx>
        <w:trPr>
          <w:trHeight w:val="883"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14:paraId="32D89777">
            <w:pPr>
              <w:widowControl/>
              <w:adjustRightInd/>
              <w:jc w:val="left"/>
              <w:rPr>
                <w:rFonts w:hint="eastAsia" w:ascii="宋体" w:hAnsi="宋体" w:eastAsia="宋体" w:cs="宋体"/>
                <w:b/>
                <w:bCs/>
                <w:color w:val="000000"/>
                <w:kern w:val="0"/>
                <w:sz w:val="24"/>
              </w:rPr>
            </w:pPr>
          </w:p>
        </w:tc>
        <w:tc>
          <w:tcPr>
            <w:tcW w:w="3718" w:type="dxa"/>
            <w:tcBorders>
              <w:top w:val="single" w:color="auto" w:sz="4" w:space="0"/>
              <w:left w:val="single" w:color="auto" w:sz="4" w:space="0"/>
              <w:bottom w:val="single" w:color="auto" w:sz="4" w:space="0"/>
              <w:right w:val="single" w:color="auto" w:sz="4" w:space="0"/>
            </w:tcBorders>
            <w:shd w:val="clear" w:color="auto" w:fill="auto"/>
            <w:vAlign w:val="center"/>
          </w:tcPr>
          <w:p w14:paraId="401CCE77">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所有房式仓包装粮解包进仓</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14:paraId="6509E501">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 xml:space="preserve">16.00 </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56DAFC10">
            <w:pPr>
              <w:jc w:val="right"/>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w:t>
            </w:r>
          </w:p>
        </w:tc>
        <w:tc>
          <w:tcPr>
            <w:tcW w:w="3218" w:type="dxa"/>
            <w:tcBorders>
              <w:top w:val="single" w:color="auto" w:sz="4" w:space="0"/>
              <w:left w:val="single" w:color="auto" w:sz="4" w:space="0"/>
              <w:bottom w:val="single" w:color="auto" w:sz="4" w:space="0"/>
              <w:right w:val="single" w:color="auto" w:sz="4" w:space="0"/>
            </w:tcBorders>
            <w:shd w:val="clear" w:color="auto" w:fill="auto"/>
            <w:vAlign w:val="center"/>
          </w:tcPr>
          <w:p w14:paraId="64BE6567">
            <w:pPr>
              <w:widowControl/>
              <w:adjustRightInd/>
              <w:jc w:val="left"/>
              <w:rPr>
                <w:rFonts w:hint="eastAsia" w:ascii="宋体" w:hAnsi="宋体" w:eastAsia="宋体" w:cs="宋体"/>
                <w:color w:val="000000"/>
                <w:kern w:val="0"/>
                <w:sz w:val="24"/>
              </w:rPr>
            </w:pPr>
            <w:r>
              <w:rPr>
                <w:rFonts w:hint="eastAsia" w:ascii="宋体" w:hAnsi="宋体" w:eastAsia="宋体" w:cs="宋体"/>
                <w:color w:val="000000"/>
                <w:kern w:val="0"/>
                <w:sz w:val="24"/>
              </w:rPr>
              <w:t>含包装物整理打件进仓、粮面平整</w:t>
            </w:r>
          </w:p>
        </w:tc>
      </w:tr>
      <w:tr w14:paraId="04589793">
        <w:tblPrEx>
          <w:tblCellMar>
            <w:top w:w="0" w:type="dxa"/>
            <w:left w:w="108" w:type="dxa"/>
            <w:bottom w:w="0" w:type="dxa"/>
            <w:right w:w="108" w:type="dxa"/>
          </w:tblCellMar>
        </w:tblPrEx>
        <w:trPr>
          <w:trHeight w:val="883"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14:paraId="68D7B8EE">
            <w:pPr>
              <w:widowControl/>
              <w:adjustRightInd/>
              <w:jc w:val="left"/>
              <w:rPr>
                <w:rFonts w:hint="eastAsia" w:ascii="宋体" w:hAnsi="宋体" w:eastAsia="宋体" w:cs="宋体"/>
                <w:b/>
                <w:bCs/>
                <w:color w:val="000000"/>
                <w:kern w:val="0"/>
                <w:sz w:val="24"/>
              </w:rPr>
            </w:pPr>
          </w:p>
        </w:tc>
        <w:tc>
          <w:tcPr>
            <w:tcW w:w="3718" w:type="dxa"/>
            <w:tcBorders>
              <w:top w:val="single" w:color="auto" w:sz="4" w:space="0"/>
              <w:left w:val="single" w:color="auto" w:sz="4" w:space="0"/>
              <w:bottom w:val="single" w:color="auto" w:sz="4" w:space="0"/>
              <w:right w:val="single" w:color="auto" w:sz="4" w:space="0"/>
            </w:tcBorders>
            <w:shd w:val="clear" w:color="auto" w:fill="auto"/>
            <w:vAlign w:val="center"/>
          </w:tcPr>
          <w:p w14:paraId="36C3D546">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所有房式仓包装粮解包出仓装车</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14:paraId="503CCADD">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 xml:space="preserve">16.00 </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02B9A702">
            <w:pPr>
              <w:jc w:val="right"/>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w:t>
            </w:r>
          </w:p>
        </w:tc>
        <w:tc>
          <w:tcPr>
            <w:tcW w:w="3218" w:type="dxa"/>
            <w:tcBorders>
              <w:top w:val="single" w:color="auto" w:sz="4" w:space="0"/>
              <w:left w:val="single" w:color="auto" w:sz="4" w:space="0"/>
              <w:bottom w:val="single" w:color="auto" w:sz="4" w:space="0"/>
              <w:right w:val="single" w:color="auto" w:sz="4" w:space="0"/>
            </w:tcBorders>
            <w:shd w:val="clear" w:color="auto" w:fill="auto"/>
            <w:vAlign w:val="center"/>
          </w:tcPr>
          <w:p w14:paraId="6625BFFC">
            <w:pPr>
              <w:widowControl/>
              <w:adjustRightInd/>
              <w:jc w:val="left"/>
              <w:rPr>
                <w:rFonts w:hint="eastAsia" w:ascii="宋体" w:hAnsi="宋体" w:eastAsia="宋体" w:cs="宋体"/>
                <w:color w:val="000000"/>
                <w:kern w:val="0"/>
                <w:sz w:val="24"/>
              </w:rPr>
            </w:pPr>
            <w:r>
              <w:rPr>
                <w:rFonts w:hint="eastAsia" w:ascii="宋体" w:hAnsi="宋体" w:eastAsia="宋体" w:cs="宋体"/>
                <w:color w:val="000000"/>
                <w:kern w:val="0"/>
                <w:sz w:val="24"/>
              </w:rPr>
              <w:t>含包装物整理打件进仓</w:t>
            </w:r>
          </w:p>
        </w:tc>
      </w:tr>
      <w:tr w14:paraId="500F7B32">
        <w:tblPrEx>
          <w:tblCellMar>
            <w:top w:w="0" w:type="dxa"/>
            <w:left w:w="108" w:type="dxa"/>
            <w:bottom w:w="0" w:type="dxa"/>
            <w:right w:w="108" w:type="dxa"/>
          </w:tblCellMar>
        </w:tblPrEx>
        <w:trPr>
          <w:trHeight w:val="883"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14:paraId="1FC3B8C5">
            <w:pPr>
              <w:widowControl/>
              <w:adjustRightInd/>
              <w:jc w:val="left"/>
              <w:rPr>
                <w:rFonts w:hint="eastAsia" w:ascii="宋体" w:hAnsi="宋体" w:eastAsia="宋体" w:cs="宋体"/>
                <w:b/>
                <w:bCs/>
                <w:color w:val="000000"/>
                <w:kern w:val="0"/>
                <w:sz w:val="24"/>
              </w:rPr>
            </w:pPr>
          </w:p>
        </w:tc>
        <w:tc>
          <w:tcPr>
            <w:tcW w:w="3718" w:type="dxa"/>
            <w:tcBorders>
              <w:top w:val="single" w:color="auto" w:sz="4" w:space="0"/>
              <w:left w:val="single" w:color="auto" w:sz="4" w:space="0"/>
              <w:bottom w:val="single" w:color="auto" w:sz="4" w:space="0"/>
              <w:right w:val="single" w:color="auto" w:sz="4" w:space="0"/>
            </w:tcBorders>
            <w:shd w:val="clear" w:color="auto" w:fill="auto"/>
            <w:vAlign w:val="center"/>
          </w:tcPr>
          <w:p w14:paraId="49807EFD">
            <w:pPr>
              <w:widowControl/>
              <w:adjustRightInd/>
              <w:jc w:val="center"/>
              <w:rPr>
                <w:rFonts w:hint="eastAsia" w:ascii="宋体" w:hAnsi="宋体" w:eastAsia="宋体" w:cs="宋体"/>
                <w:color w:val="000000"/>
                <w:kern w:val="0"/>
                <w:sz w:val="24"/>
                <w:highlight w:val="none"/>
                <w:u w:val="none"/>
                <w:lang w:val="en-US" w:eastAsia="zh-CN"/>
              </w:rPr>
            </w:pPr>
            <w:r>
              <w:rPr>
                <w:rFonts w:hint="eastAsia" w:ascii="宋体" w:hAnsi="宋体" w:eastAsia="宋体" w:cs="宋体"/>
                <w:color w:val="000000"/>
                <w:kern w:val="0"/>
                <w:sz w:val="24"/>
                <w:highlight w:val="none"/>
                <w:u w:val="none"/>
                <w:lang w:val="en-US" w:eastAsia="zh-CN"/>
              </w:rPr>
              <w:t>围包散装仓包装粮解包出仓装车</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14:paraId="219A37A1">
            <w:pPr>
              <w:widowControl/>
              <w:adjustRightInd/>
              <w:jc w:val="center"/>
              <w:rPr>
                <w:rFonts w:hint="eastAsia" w:ascii="宋体" w:hAnsi="宋体" w:eastAsia="宋体" w:cs="宋体"/>
                <w:color w:val="000000"/>
                <w:kern w:val="0"/>
                <w:sz w:val="24"/>
                <w:highlight w:val="none"/>
                <w:u w:val="none"/>
                <w:lang w:val="en-US" w:eastAsia="zh-CN"/>
              </w:rPr>
            </w:pPr>
            <w:r>
              <w:rPr>
                <w:rFonts w:hint="eastAsia" w:ascii="宋体" w:hAnsi="宋体" w:eastAsia="宋体" w:cs="宋体"/>
                <w:color w:val="000000"/>
                <w:kern w:val="0"/>
                <w:sz w:val="24"/>
                <w:highlight w:val="none"/>
                <w:u w:val="none"/>
                <w:lang w:val="en-US" w:eastAsia="zh-CN"/>
              </w:rPr>
              <w:t>16.00</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37C3C8B6">
            <w:pPr>
              <w:jc w:val="right"/>
              <w:rPr>
                <w:rFonts w:hint="eastAsia" w:ascii="宋体" w:hAnsi="宋体" w:eastAsia="宋体" w:cs="宋体"/>
                <w:color w:val="000000"/>
                <w:sz w:val="22"/>
                <w:szCs w:val="22"/>
                <w:highlight w:val="none"/>
                <w:u w:val="none"/>
              </w:rPr>
            </w:pPr>
          </w:p>
        </w:tc>
        <w:tc>
          <w:tcPr>
            <w:tcW w:w="3218" w:type="dxa"/>
            <w:tcBorders>
              <w:top w:val="single" w:color="auto" w:sz="4" w:space="0"/>
              <w:left w:val="single" w:color="auto" w:sz="4" w:space="0"/>
              <w:bottom w:val="single" w:color="auto" w:sz="4" w:space="0"/>
              <w:right w:val="single" w:color="auto" w:sz="4" w:space="0"/>
            </w:tcBorders>
            <w:shd w:val="clear" w:color="auto" w:fill="auto"/>
            <w:vAlign w:val="center"/>
          </w:tcPr>
          <w:p w14:paraId="04C34903">
            <w:pPr>
              <w:widowControl/>
              <w:adjustRightInd/>
              <w:jc w:val="left"/>
              <w:rPr>
                <w:rFonts w:hint="eastAsia" w:ascii="宋体" w:hAnsi="宋体" w:eastAsia="宋体" w:cs="宋体"/>
                <w:color w:val="000000"/>
                <w:kern w:val="0"/>
                <w:sz w:val="24"/>
                <w:highlight w:val="none"/>
                <w:u w:val="none"/>
              </w:rPr>
            </w:pPr>
            <w:r>
              <w:rPr>
                <w:rFonts w:hint="eastAsia" w:ascii="宋体" w:hAnsi="宋体" w:eastAsia="宋体" w:cs="宋体"/>
                <w:color w:val="000000"/>
                <w:kern w:val="0"/>
                <w:sz w:val="24"/>
                <w:highlight w:val="none"/>
                <w:u w:val="none"/>
              </w:rPr>
              <w:t>含包装物整理打件进仓</w:t>
            </w:r>
          </w:p>
        </w:tc>
      </w:tr>
      <w:tr w14:paraId="045207A4">
        <w:tblPrEx>
          <w:tblCellMar>
            <w:top w:w="0" w:type="dxa"/>
            <w:left w:w="108" w:type="dxa"/>
            <w:bottom w:w="0" w:type="dxa"/>
            <w:right w:w="108" w:type="dxa"/>
          </w:tblCellMar>
        </w:tblPrEx>
        <w:trPr>
          <w:trHeight w:val="883"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14:paraId="2544276C">
            <w:pPr>
              <w:widowControl/>
              <w:adjustRightInd/>
              <w:jc w:val="left"/>
              <w:rPr>
                <w:rFonts w:hint="eastAsia" w:ascii="宋体" w:hAnsi="宋体" w:eastAsia="宋体" w:cs="宋体"/>
                <w:b/>
                <w:bCs/>
                <w:color w:val="000000"/>
                <w:kern w:val="0"/>
                <w:sz w:val="24"/>
              </w:rPr>
            </w:pPr>
          </w:p>
        </w:tc>
        <w:tc>
          <w:tcPr>
            <w:tcW w:w="3718" w:type="dxa"/>
            <w:tcBorders>
              <w:top w:val="single" w:color="auto" w:sz="4" w:space="0"/>
              <w:left w:val="single" w:color="auto" w:sz="4" w:space="0"/>
              <w:bottom w:val="single" w:color="auto" w:sz="4" w:space="0"/>
              <w:right w:val="single" w:color="auto" w:sz="4" w:space="0"/>
            </w:tcBorders>
            <w:shd w:val="clear" w:color="auto" w:fill="auto"/>
            <w:vAlign w:val="center"/>
          </w:tcPr>
          <w:p w14:paraId="2923DA8B">
            <w:pPr>
              <w:widowControl/>
              <w:adjustRightInd/>
              <w:jc w:val="center"/>
              <w:rPr>
                <w:rFonts w:hint="eastAsia" w:ascii="宋体" w:hAnsi="宋体" w:eastAsia="宋体" w:cs="宋体"/>
                <w:color w:val="000000"/>
                <w:kern w:val="0"/>
                <w:sz w:val="24"/>
                <w:u w:val="none"/>
              </w:rPr>
            </w:pPr>
            <w:r>
              <w:rPr>
                <w:rFonts w:hint="eastAsia" w:ascii="宋体" w:hAnsi="宋体" w:eastAsia="宋体" w:cs="宋体"/>
                <w:color w:val="000000"/>
                <w:kern w:val="0"/>
                <w:sz w:val="24"/>
                <w:u w:val="none"/>
              </w:rPr>
              <w:t>所有房式仓包装粮解包装集装箱</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14:paraId="6A36896F">
            <w:pPr>
              <w:widowControl/>
              <w:adjustRightInd/>
              <w:jc w:val="center"/>
              <w:rPr>
                <w:rFonts w:hint="eastAsia" w:ascii="宋体" w:hAnsi="宋体" w:eastAsia="宋体" w:cs="宋体"/>
                <w:color w:val="000000"/>
                <w:kern w:val="0"/>
                <w:sz w:val="24"/>
                <w:u w:val="none"/>
              </w:rPr>
            </w:pPr>
            <w:r>
              <w:rPr>
                <w:rFonts w:hint="eastAsia" w:ascii="宋体" w:hAnsi="宋体" w:eastAsia="宋体" w:cs="宋体"/>
                <w:color w:val="000000"/>
                <w:kern w:val="0"/>
                <w:sz w:val="24"/>
                <w:u w:val="none"/>
              </w:rPr>
              <w:t>18.00</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44BC3049">
            <w:pPr>
              <w:jc w:val="right"/>
              <w:rPr>
                <w:rFonts w:hint="eastAsia" w:ascii="宋体" w:hAnsi="宋体" w:eastAsia="宋体" w:cs="宋体"/>
                <w:color w:val="000000"/>
                <w:sz w:val="22"/>
                <w:szCs w:val="22"/>
                <w:u w:val="none"/>
              </w:rPr>
            </w:pPr>
            <w:r>
              <w:rPr>
                <w:rFonts w:hint="eastAsia" w:ascii="宋体" w:hAnsi="宋体" w:eastAsia="宋体" w:cs="宋体"/>
                <w:color w:val="000000"/>
                <w:sz w:val="22"/>
                <w:szCs w:val="22"/>
                <w:u w:val="none"/>
              </w:rPr>
              <w:t xml:space="preserve"> </w:t>
            </w:r>
          </w:p>
        </w:tc>
        <w:tc>
          <w:tcPr>
            <w:tcW w:w="3218" w:type="dxa"/>
            <w:tcBorders>
              <w:top w:val="single" w:color="auto" w:sz="4" w:space="0"/>
              <w:left w:val="single" w:color="auto" w:sz="4" w:space="0"/>
              <w:bottom w:val="single" w:color="auto" w:sz="4" w:space="0"/>
              <w:right w:val="single" w:color="auto" w:sz="4" w:space="0"/>
            </w:tcBorders>
            <w:shd w:val="clear" w:color="auto" w:fill="auto"/>
            <w:vAlign w:val="center"/>
          </w:tcPr>
          <w:p w14:paraId="25531B79">
            <w:pPr>
              <w:widowControl/>
              <w:adjustRightInd/>
              <w:jc w:val="left"/>
              <w:rPr>
                <w:rFonts w:hint="eastAsia" w:ascii="宋体" w:hAnsi="宋体" w:eastAsia="宋体" w:cs="宋体"/>
                <w:color w:val="000000"/>
                <w:kern w:val="0"/>
                <w:sz w:val="24"/>
                <w:u w:val="none"/>
              </w:rPr>
            </w:pPr>
            <w:r>
              <w:rPr>
                <w:rFonts w:hint="eastAsia" w:ascii="宋体" w:hAnsi="宋体" w:eastAsia="宋体" w:cs="宋体"/>
                <w:color w:val="000000"/>
                <w:kern w:val="0"/>
                <w:sz w:val="24"/>
                <w:u w:val="none"/>
              </w:rPr>
              <w:t>含包装物整理打件进仓</w:t>
            </w:r>
          </w:p>
        </w:tc>
      </w:tr>
      <w:tr w14:paraId="44AAF721">
        <w:tblPrEx>
          <w:tblCellMar>
            <w:top w:w="0" w:type="dxa"/>
            <w:left w:w="108" w:type="dxa"/>
            <w:bottom w:w="0" w:type="dxa"/>
            <w:right w:w="108" w:type="dxa"/>
          </w:tblCellMar>
        </w:tblPrEx>
        <w:trPr>
          <w:trHeight w:val="883"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14:paraId="6E82A7E5">
            <w:pPr>
              <w:widowControl/>
              <w:adjustRightInd/>
              <w:jc w:val="left"/>
              <w:rPr>
                <w:rFonts w:hint="eastAsia" w:ascii="宋体" w:hAnsi="宋体" w:eastAsia="宋体" w:cs="宋体"/>
                <w:b/>
                <w:bCs/>
                <w:color w:val="000000"/>
                <w:kern w:val="0"/>
                <w:sz w:val="24"/>
              </w:rPr>
            </w:pPr>
          </w:p>
        </w:tc>
        <w:tc>
          <w:tcPr>
            <w:tcW w:w="3718" w:type="dxa"/>
            <w:tcBorders>
              <w:top w:val="single" w:color="auto" w:sz="4" w:space="0"/>
              <w:left w:val="single" w:color="auto" w:sz="4" w:space="0"/>
              <w:bottom w:val="single" w:color="auto" w:sz="4" w:space="0"/>
              <w:right w:val="single" w:color="auto" w:sz="4" w:space="0"/>
            </w:tcBorders>
            <w:shd w:val="clear" w:color="auto" w:fill="auto"/>
            <w:vAlign w:val="center"/>
          </w:tcPr>
          <w:p w14:paraId="17AE6AF4">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各类包装粮仓内倒仓堆桩</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14:paraId="4C6792BA">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16.80</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30A859EF">
            <w:pPr>
              <w:jc w:val="right"/>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w:t>
            </w:r>
          </w:p>
        </w:tc>
        <w:tc>
          <w:tcPr>
            <w:tcW w:w="3218" w:type="dxa"/>
            <w:tcBorders>
              <w:top w:val="single" w:color="auto" w:sz="4" w:space="0"/>
              <w:left w:val="single" w:color="auto" w:sz="4" w:space="0"/>
              <w:bottom w:val="single" w:color="auto" w:sz="4" w:space="0"/>
              <w:right w:val="single" w:color="auto" w:sz="4" w:space="0"/>
            </w:tcBorders>
            <w:shd w:val="clear" w:color="auto" w:fill="auto"/>
            <w:vAlign w:val="center"/>
          </w:tcPr>
          <w:p w14:paraId="25F2E38D">
            <w:pPr>
              <w:widowControl/>
              <w:adjustRightInd/>
              <w:jc w:val="left"/>
              <w:rPr>
                <w:rFonts w:hint="eastAsia" w:ascii="宋体" w:hAnsi="宋体" w:eastAsia="宋体" w:cs="宋体"/>
                <w:color w:val="000000"/>
                <w:kern w:val="0"/>
                <w:sz w:val="24"/>
              </w:rPr>
            </w:pPr>
            <w:r>
              <w:rPr>
                <w:rFonts w:hint="eastAsia" w:ascii="宋体" w:hAnsi="宋体" w:eastAsia="宋体" w:cs="宋体"/>
                <w:color w:val="000000"/>
                <w:kern w:val="0"/>
                <w:sz w:val="24"/>
              </w:rPr>
              <w:t>含整桩费</w:t>
            </w:r>
          </w:p>
        </w:tc>
      </w:tr>
      <w:tr w14:paraId="458D6839">
        <w:tblPrEx>
          <w:tblCellMar>
            <w:top w:w="0" w:type="dxa"/>
            <w:left w:w="108" w:type="dxa"/>
            <w:bottom w:w="0" w:type="dxa"/>
            <w:right w:w="108" w:type="dxa"/>
          </w:tblCellMar>
        </w:tblPrEx>
        <w:trPr>
          <w:trHeight w:val="883"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14:paraId="6AB956B9">
            <w:pPr>
              <w:widowControl/>
              <w:adjustRightInd/>
              <w:jc w:val="left"/>
              <w:rPr>
                <w:rFonts w:hint="eastAsia" w:ascii="宋体" w:hAnsi="宋体" w:eastAsia="宋体" w:cs="宋体"/>
                <w:b/>
                <w:bCs/>
                <w:color w:val="000000"/>
                <w:kern w:val="0"/>
                <w:sz w:val="24"/>
              </w:rPr>
            </w:pPr>
          </w:p>
        </w:tc>
        <w:tc>
          <w:tcPr>
            <w:tcW w:w="3718" w:type="dxa"/>
            <w:tcBorders>
              <w:top w:val="single" w:color="auto" w:sz="4" w:space="0"/>
              <w:left w:val="single" w:color="auto" w:sz="4" w:space="0"/>
              <w:bottom w:val="single" w:color="auto" w:sz="4" w:space="0"/>
              <w:right w:val="single" w:color="auto" w:sz="4" w:space="0"/>
            </w:tcBorders>
            <w:shd w:val="clear" w:color="auto" w:fill="auto"/>
            <w:vAlign w:val="center"/>
          </w:tcPr>
          <w:p w14:paraId="4685EA5B">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25公斤及以下小包装装、卸车</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14:paraId="4FDDA5D5">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 xml:space="preserve">20.40 </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6620F3F7">
            <w:pPr>
              <w:jc w:val="right"/>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w:t>
            </w:r>
          </w:p>
        </w:tc>
        <w:tc>
          <w:tcPr>
            <w:tcW w:w="3218" w:type="dxa"/>
            <w:tcBorders>
              <w:top w:val="single" w:color="auto" w:sz="4" w:space="0"/>
              <w:left w:val="single" w:color="auto" w:sz="4" w:space="0"/>
              <w:bottom w:val="single" w:color="auto" w:sz="4" w:space="0"/>
              <w:right w:val="single" w:color="auto" w:sz="4" w:space="0"/>
            </w:tcBorders>
            <w:shd w:val="clear" w:color="auto" w:fill="auto"/>
            <w:vAlign w:val="center"/>
          </w:tcPr>
          <w:p w14:paraId="4CFCBB5B">
            <w:pPr>
              <w:widowControl/>
              <w:adjustRightInd/>
              <w:jc w:val="left"/>
              <w:rPr>
                <w:rFonts w:hint="eastAsia" w:ascii="宋体" w:hAnsi="宋体" w:eastAsia="宋体" w:cs="宋体"/>
                <w:color w:val="000000"/>
                <w:kern w:val="0"/>
                <w:sz w:val="24"/>
              </w:rPr>
            </w:pPr>
            <w:r>
              <w:rPr>
                <w:rFonts w:hint="eastAsia" w:ascii="宋体" w:hAnsi="宋体" w:eastAsia="宋体" w:cs="宋体"/>
                <w:color w:val="000000"/>
                <w:kern w:val="0"/>
                <w:sz w:val="24"/>
              </w:rPr>
              <w:t>含整桩费、超高费</w:t>
            </w:r>
          </w:p>
        </w:tc>
      </w:tr>
      <w:tr w14:paraId="01D083FB">
        <w:tblPrEx>
          <w:tblCellMar>
            <w:top w:w="0" w:type="dxa"/>
            <w:left w:w="108" w:type="dxa"/>
            <w:bottom w:w="0" w:type="dxa"/>
            <w:right w:w="108" w:type="dxa"/>
          </w:tblCellMar>
        </w:tblPrEx>
        <w:trPr>
          <w:trHeight w:val="883"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14:paraId="0ECB76DA">
            <w:pPr>
              <w:widowControl/>
              <w:adjustRightInd/>
              <w:jc w:val="left"/>
              <w:rPr>
                <w:rFonts w:hint="eastAsia" w:ascii="宋体" w:hAnsi="宋体" w:eastAsia="宋体" w:cs="宋体"/>
                <w:b/>
                <w:bCs/>
                <w:color w:val="000000"/>
                <w:kern w:val="0"/>
                <w:sz w:val="24"/>
              </w:rPr>
            </w:pPr>
          </w:p>
        </w:tc>
        <w:tc>
          <w:tcPr>
            <w:tcW w:w="3718" w:type="dxa"/>
            <w:tcBorders>
              <w:top w:val="single" w:color="auto" w:sz="4" w:space="0"/>
              <w:left w:val="single" w:color="auto" w:sz="4" w:space="0"/>
              <w:bottom w:val="single" w:color="auto" w:sz="4" w:space="0"/>
              <w:right w:val="single" w:color="auto" w:sz="4" w:space="0"/>
            </w:tcBorders>
            <w:shd w:val="clear" w:color="auto" w:fill="auto"/>
            <w:vAlign w:val="center"/>
          </w:tcPr>
          <w:p w14:paraId="2444A317">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20公斤及以下箱装油脂装、卸车</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14:paraId="3649EEB5">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 xml:space="preserve">45.00 </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648C3AF7">
            <w:pPr>
              <w:jc w:val="right"/>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w:t>
            </w:r>
          </w:p>
        </w:tc>
        <w:tc>
          <w:tcPr>
            <w:tcW w:w="3218" w:type="dxa"/>
            <w:tcBorders>
              <w:top w:val="single" w:color="auto" w:sz="4" w:space="0"/>
              <w:left w:val="single" w:color="auto" w:sz="4" w:space="0"/>
              <w:bottom w:val="single" w:color="auto" w:sz="4" w:space="0"/>
              <w:right w:val="single" w:color="auto" w:sz="4" w:space="0"/>
            </w:tcBorders>
            <w:shd w:val="clear" w:color="auto" w:fill="auto"/>
            <w:vAlign w:val="center"/>
          </w:tcPr>
          <w:p w14:paraId="389D5595">
            <w:pPr>
              <w:widowControl/>
              <w:adjustRightInd/>
              <w:jc w:val="left"/>
              <w:rPr>
                <w:rFonts w:hint="eastAsia" w:ascii="宋体" w:hAnsi="宋体" w:eastAsia="宋体" w:cs="宋体"/>
                <w:color w:val="000000"/>
                <w:kern w:val="0"/>
                <w:sz w:val="24"/>
              </w:rPr>
            </w:pPr>
            <w:r>
              <w:rPr>
                <w:rFonts w:hint="eastAsia" w:ascii="宋体" w:hAnsi="宋体" w:eastAsia="宋体" w:cs="宋体"/>
                <w:color w:val="000000"/>
                <w:kern w:val="0"/>
                <w:sz w:val="24"/>
              </w:rPr>
              <w:t>含整桩费、超高费</w:t>
            </w:r>
          </w:p>
        </w:tc>
      </w:tr>
      <w:tr w14:paraId="690FA3AE">
        <w:tblPrEx>
          <w:tblCellMar>
            <w:top w:w="0" w:type="dxa"/>
            <w:left w:w="108" w:type="dxa"/>
            <w:bottom w:w="0" w:type="dxa"/>
            <w:right w:w="108" w:type="dxa"/>
          </w:tblCellMar>
        </w:tblPrEx>
        <w:trPr>
          <w:trHeight w:val="883"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14:paraId="30509CF4">
            <w:pPr>
              <w:widowControl/>
              <w:adjustRightInd/>
              <w:jc w:val="left"/>
              <w:rPr>
                <w:rFonts w:hint="eastAsia" w:ascii="宋体" w:hAnsi="宋体" w:eastAsia="宋体" w:cs="宋体"/>
                <w:b/>
                <w:bCs/>
                <w:color w:val="000000"/>
                <w:kern w:val="0"/>
                <w:sz w:val="24"/>
              </w:rPr>
            </w:pPr>
          </w:p>
        </w:tc>
        <w:tc>
          <w:tcPr>
            <w:tcW w:w="3718" w:type="dxa"/>
            <w:tcBorders>
              <w:top w:val="single" w:color="auto" w:sz="4" w:space="0"/>
              <w:left w:val="single" w:color="auto" w:sz="4" w:space="0"/>
              <w:bottom w:val="single" w:color="auto" w:sz="4" w:space="0"/>
              <w:right w:val="single" w:color="auto" w:sz="4" w:space="0"/>
            </w:tcBorders>
            <w:shd w:val="clear" w:color="auto" w:fill="auto"/>
            <w:vAlign w:val="center"/>
          </w:tcPr>
          <w:p w14:paraId="4A99D5D8">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常规包装粮库区内短驳进仓</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14:paraId="30DAE0DF">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 xml:space="preserve">29.00 </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3F55507E">
            <w:pPr>
              <w:jc w:val="right"/>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w:t>
            </w:r>
          </w:p>
        </w:tc>
        <w:tc>
          <w:tcPr>
            <w:tcW w:w="3218" w:type="dxa"/>
            <w:tcBorders>
              <w:top w:val="single" w:color="auto" w:sz="4" w:space="0"/>
              <w:left w:val="single" w:color="auto" w:sz="4" w:space="0"/>
              <w:bottom w:val="single" w:color="auto" w:sz="4" w:space="0"/>
              <w:right w:val="single" w:color="auto" w:sz="4" w:space="0"/>
            </w:tcBorders>
            <w:shd w:val="clear" w:color="auto" w:fill="auto"/>
            <w:vAlign w:val="center"/>
          </w:tcPr>
          <w:p w14:paraId="78437AE6">
            <w:pPr>
              <w:widowControl/>
              <w:adjustRightInd/>
              <w:jc w:val="left"/>
              <w:rPr>
                <w:rFonts w:hint="eastAsia" w:ascii="宋体" w:hAnsi="宋体" w:eastAsia="宋体" w:cs="宋体"/>
                <w:color w:val="000000"/>
                <w:kern w:val="0"/>
                <w:sz w:val="24"/>
              </w:rPr>
            </w:pPr>
            <w:r>
              <w:rPr>
                <w:rFonts w:hint="eastAsia" w:ascii="宋体" w:hAnsi="宋体" w:eastAsia="宋体" w:cs="宋体"/>
                <w:color w:val="000000"/>
                <w:kern w:val="0"/>
                <w:sz w:val="24"/>
              </w:rPr>
              <w:t>含整桩费</w:t>
            </w:r>
          </w:p>
        </w:tc>
      </w:tr>
      <w:tr w14:paraId="27B7ED97">
        <w:tblPrEx>
          <w:tblCellMar>
            <w:top w:w="0" w:type="dxa"/>
            <w:left w:w="108" w:type="dxa"/>
            <w:bottom w:w="0" w:type="dxa"/>
            <w:right w:w="108" w:type="dxa"/>
          </w:tblCellMar>
        </w:tblPrEx>
        <w:trPr>
          <w:trHeight w:val="883"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14:paraId="75C9B4E2">
            <w:pPr>
              <w:widowControl/>
              <w:adjustRightInd/>
              <w:jc w:val="left"/>
              <w:rPr>
                <w:rFonts w:hint="eastAsia" w:ascii="宋体" w:hAnsi="宋体" w:eastAsia="宋体" w:cs="宋体"/>
                <w:b/>
                <w:bCs/>
                <w:color w:val="000000"/>
                <w:kern w:val="0"/>
                <w:sz w:val="24"/>
              </w:rPr>
            </w:pPr>
          </w:p>
        </w:tc>
        <w:tc>
          <w:tcPr>
            <w:tcW w:w="3718" w:type="dxa"/>
            <w:tcBorders>
              <w:top w:val="single" w:color="auto" w:sz="4" w:space="0"/>
              <w:left w:val="single" w:color="auto" w:sz="4" w:space="0"/>
              <w:bottom w:val="single" w:color="auto" w:sz="4" w:space="0"/>
              <w:right w:val="single" w:color="auto" w:sz="4" w:space="0"/>
            </w:tcBorders>
            <w:shd w:val="clear" w:color="auto" w:fill="auto"/>
            <w:vAlign w:val="center"/>
          </w:tcPr>
          <w:p w14:paraId="2672B71B">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50公斤及以上所有房式仓包装粮倒仓</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14:paraId="1D9AD36C">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 xml:space="preserve">32.00 </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595523A4">
            <w:pPr>
              <w:jc w:val="right"/>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w:t>
            </w:r>
          </w:p>
        </w:tc>
        <w:tc>
          <w:tcPr>
            <w:tcW w:w="3218" w:type="dxa"/>
            <w:tcBorders>
              <w:top w:val="single" w:color="auto" w:sz="4" w:space="0"/>
              <w:left w:val="single" w:color="auto" w:sz="4" w:space="0"/>
              <w:bottom w:val="single" w:color="auto" w:sz="4" w:space="0"/>
              <w:right w:val="single" w:color="auto" w:sz="4" w:space="0"/>
            </w:tcBorders>
            <w:shd w:val="clear" w:color="auto" w:fill="auto"/>
            <w:vAlign w:val="center"/>
          </w:tcPr>
          <w:p w14:paraId="4C8A5776">
            <w:pPr>
              <w:widowControl/>
              <w:adjustRightInd/>
              <w:jc w:val="left"/>
              <w:rPr>
                <w:rFonts w:hint="eastAsia" w:ascii="宋体" w:hAnsi="宋体" w:eastAsia="宋体" w:cs="宋体"/>
                <w:color w:val="000000"/>
                <w:kern w:val="0"/>
                <w:sz w:val="24"/>
              </w:rPr>
            </w:pPr>
            <w:r>
              <w:rPr>
                <w:rFonts w:hint="eastAsia" w:ascii="宋体" w:hAnsi="宋体" w:eastAsia="宋体" w:cs="宋体"/>
                <w:color w:val="000000"/>
                <w:kern w:val="0"/>
                <w:sz w:val="24"/>
              </w:rPr>
              <w:t>含整桩费</w:t>
            </w:r>
          </w:p>
        </w:tc>
      </w:tr>
      <w:tr w14:paraId="2D33CCFC">
        <w:tblPrEx>
          <w:tblCellMar>
            <w:top w:w="0" w:type="dxa"/>
            <w:left w:w="108" w:type="dxa"/>
            <w:bottom w:w="0" w:type="dxa"/>
            <w:right w:w="108" w:type="dxa"/>
          </w:tblCellMar>
        </w:tblPrEx>
        <w:trPr>
          <w:trHeight w:val="883"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14:paraId="6CAE1325">
            <w:pPr>
              <w:widowControl/>
              <w:adjustRightInd/>
              <w:jc w:val="left"/>
              <w:rPr>
                <w:rFonts w:hint="eastAsia" w:ascii="宋体" w:hAnsi="宋体" w:eastAsia="宋体" w:cs="宋体"/>
                <w:b/>
                <w:bCs/>
                <w:color w:val="000000"/>
                <w:kern w:val="0"/>
                <w:sz w:val="24"/>
              </w:rPr>
            </w:pPr>
          </w:p>
        </w:tc>
        <w:tc>
          <w:tcPr>
            <w:tcW w:w="3718" w:type="dxa"/>
            <w:tcBorders>
              <w:top w:val="single" w:color="auto" w:sz="4" w:space="0"/>
              <w:left w:val="single" w:color="auto" w:sz="4" w:space="0"/>
              <w:bottom w:val="single" w:color="auto" w:sz="4" w:space="0"/>
              <w:right w:val="single" w:color="auto" w:sz="4" w:space="0"/>
            </w:tcBorders>
            <w:shd w:val="clear" w:color="auto" w:fill="auto"/>
            <w:vAlign w:val="center"/>
          </w:tcPr>
          <w:p w14:paraId="4C14CAFD">
            <w:pPr>
              <w:widowControl/>
              <w:adjustRightInd/>
              <w:jc w:val="center"/>
              <w:rPr>
                <w:rFonts w:hint="eastAsia" w:ascii="宋体" w:hAnsi="宋体" w:eastAsia="宋体" w:cs="宋体"/>
                <w:color w:val="000000"/>
                <w:kern w:val="0"/>
                <w:sz w:val="24"/>
                <w:highlight w:val="none"/>
                <w:u w:val="none"/>
              </w:rPr>
            </w:pPr>
            <w:r>
              <w:rPr>
                <w:rFonts w:hint="eastAsia" w:ascii="宋体" w:hAnsi="宋体" w:eastAsia="宋体" w:cs="宋体"/>
                <w:color w:val="000000"/>
                <w:kern w:val="0"/>
                <w:sz w:val="24"/>
                <w:highlight w:val="none"/>
                <w:u w:val="none"/>
              </w:rPr>
              <w:t>25公斤及以下小包装粮倒仓</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14:paraId="7C8AC2BA">
            <w:pPr>
              <w:widowControl/>
              <w:adjustRightInd/>
              <w:jc w:val="center"/>
              <w:rPr>
                <w:rFonts w:hint="eastAsia" w:ascii="宋体" w:hAnsi="宋体" w:eastAsia="宋体" w:cs="宋体"/>
                <w:color w:val="000000"/>
                <w:kern w:val="0"/>
                <w:sz w:val="24"/>
                <w:highlight w:val="none"/>
                <w:u w:val="none"/>
              </w:rPr>
            </w:pPr>
            <w:r>
              <w:rPr>
                <w:rFonts w:hint="eastAsia" w:ascii="宋体" w:hAnsi="宋体" w:eastAsia="宋体" w:cs="宋体"/>
                <w:color w:val="000000"/>
                <w:kern w:val="0"/>
                <w:sz w:val="24"/>
                <w:highlight w:val="none"/>
                <w:u w:val="none"/>
              </w:rPr>
              <w:t xml:space="preserve">38.50 </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6CB19BEF">
            <w:pPr>
              <w:jc w:val="right"/>
              <w:rPr>
                <w:rFonts w:hint="eastAsia" w:ascii="宋体" w:hAnsi="宋体" w:eastAsia="宋体" w:cs="宋体"/>
                <w:color w:val="000000"/>
                <w:sz w:val="22"/>
                <w:szCs w:val="22"/>
                <w:highlight w:val="none"/>
                <w:u w:val="none"/>
              </w:rPr>
            </w:pPr>
            <w:r>
              <w:rPr>
                <w:rFonts w:hint="eastAsia" w:ascii="宋体" w:hAnsi="宋体" w:eastAsia="宋体" w:cs="宋体"/>
                <w:color w:val="000000"/>
                <w:sz w:val="22"/>
                <w:szCs w:val="22"/>
                <w:highlight w:val="none"/>
                <w:u w:val="none"/>
              </w:rPr>
              <w:t xml:space="preserve"> </w:t>
            </w:r>
          </w:p>
        </w:tc>
        <w:tc>
          <w:tcPr>
            <w:tcW w:w="3218" w:type="dxa"/>
            <w:tcBorders>
              <w:top w:val="single" w:color="auto" w:sz="4" w:space="0"/>
              <w:left w:val="single" w:color="auto" w:sz="4" w:space="0"/>
              <w:bottom w:val="single" w:color="auto" w:sz="4" w:space="0"/>
              <w:right w:val="single" w:color="auto" w:sz="4" w:space="0"/>
            </w:tcBorders>
            <w:shd w:val="clear" w:color="auto" w:fill="auto"/>
            <w:vAlign w:val="center"/>
          </w:tcPr>
          <w:p w14:paraId="5A531ABB">
            <w:pPr>
              <w:widowControl/>
              <w:adjustRightInd/>
              <w:jc w:val="left"/>
              <w:rPr>
                <w:rFonts w:hint="eastAsia" w:ascii="宋体" w:hAnsi="宋体" w:eastAsia="宋体" w:cs="宋体"/>
                <w:color w:val="000000"/>
                <w:kern w:val="0"/>
                <w:sz w:val="24"/>
                <w:highlight w:val="none"/>
                <w:u w:val="none"/>
                <w:lang w:val="en-US" w:eastAsia="zh-CN"/>
              </w:rPr>
            </w:pPr>
            <w:r>
              <w:rPr>
                <w:rFonts w:hint="eastAsia" w:ascii="宋体" w:hAnsi="宋体" w:eastAsia="宋体" w:cs="宋体"/>
                <w:color w:val="000000"/>
                <w:kern w:val="0"/>
                <w:sz w:val="24"/>
                <w:highlight w:val="none"/>
                <w:u w:val="none"/>
              </w:rPr>
              <w:t>含装车</w:t>
            </w:r>
            <w:r>
              <w:rPr>
                <w:rFonts w:hint="eastAsia" w:ascii="宋体" w:hAnsi="宋体" w:eastAsia="宋体" w:cs="宋体"/>
                <w:color w:val="000000"/>
                <w:kern w:val="0"/>
                <w:sz w:val="24"/>
                <w:highlight w:val="none"/>
                <w:u w:val="none"/>
                <w:lang w:eastAsia="zh-CN"/>
              </w:rPr>
              <w:t>、</w:t>
            </w:r>
            <w:r>
              <w:rPr>
                <w:rFonts w:hint="eastAsia" w:ascii="宋体" w:hAnsi="宋体" w:eastAsia="宋体" w:cs="宋体"/>
                <w:color w:val="000000"/>
                <w:kern w:val="0"/>
                <w:sz w:val="24"/>
                <w:highlight w:val="none"/>
                <w:u w:val="none"/>
              </w:rPr>
              <w:t>卸车</w:t>
            </w:r>
            <w:r>
              <w:rPr>
                <w:rFonts w:hint="eastAsia" w:ascii="宋体" w:hAnsi="宋体" w:eastAsia="宋体" w:cs="宋体"/>
                <w:color w:val="000000"/>
                <w:kern w:val="0"/>
                <w:sz w:val="24"/>
                <w:highlight w:val="none"/>
                <w:u w:val="none"/>
                <w:lang w:eastAsia="zh-CN"/>
              </w:rPr>
              <w:t>、</w:t>
            </w:r>
            <w:r>
              <w:rPr>
                <w:rFonts w:hint="eastAsia" w:ascii="宋体" w:hAnsi="宋体" w:eastAsia="宋体" w:cs="宋体"/>
                <w:color w:val="000000"/>
                <w:kern w:val="0"/>
                <w:sz w:val="24"/>
                <w:highlight w:val="none"/>
                <w:u w:val="none"/>
              </w:rPr>
              <w:t>过磅</w:t>
            </w:r>
            <w:r>
              <w:rPr>
                <w:rFonts w:hint="eastAsia" w:ascii="宋体" w:hAnsi="宋体" w:eastAsia="宋体" w:cs="宋体"/>
                <w:color w:val="000000"/>
                <w:kern w:val="0"/>
                <w:sz w:val="24"/>
                <w:highlight w:val="none"/>
                <w:u w:val="none"/>
                <w:lang w:eastAsia="zh-CN"/>
              </w:rPr>
              <w:t>、</w:t>
            </w:r>
            <w:r>
              <w:rPr>
                <w:rFonts w:hint="eastAsia" w:ascii="宋体" w:hAnsi="宋体" w:eastAsia="宋体" w:cs="宋体"/>
                <w:color w:val="000000"/>
                <w:kern w:val="0"/>
                <w:sz w:val="24"/>
                <w:highlight w:val="none"/>
                <w:u w:val="none"/>
                <w:lang w:val="en-US" w:eastAsia="zh-CN"/>
              </w:rPr>
              <w:t>整装费</w:t>
            </w:r>
            <w:r>
              <w:rPr>
                <w:rFonts w:hint="eastAsia" w:ascii="宋体" w:hAnsi="宋体" w:eastAsia="宋体" w:cs="宋体"/>
                <w:color w:val="000000"/>
                <w:kern w:val="0"/>
                <w:sz w:val="24"/>
                <w:highlight w:val="none"/>
                <w:u w:val="none"/>
              </w:rPr>
              <w:t>。</w:t>
            </w:r>
            <w:r>
              <w:rPr>
                <w:rFonts w:hint="eastAsia" w:ascii="宋体" w:hAnsi="宋体" w:eastAsia="宋体" w:cs="宋体"/>
                <w:color w:val="000000"/>
                <w:kern w:val="0"/>
                <w:sz w:val="24"/>
                <w:highlight w:val="none"/>
                <w:u w:val="none"/>
                <w:lang w:val="en-US" w:eastAsia="zh-CN"/>
              </w:rPr>
              <w:t>汽运另计。</w:t>
            </w:r>
          </w:p>
        </w:tc>
      </w:tr>
      <w:tr w14:paraId="754C35A3">
        <w:tblPrEx>
          <w:tblCellMar>
            <w:top w:w="0" w:type="dxa"/>
            <w:left w:w="108" w:type="dxa"/>
            <w:bottom w:w="0" w:type="dxa"/>
            <w:right w:w="108" w:type="dxa"/>
          </w:tblCellMar>
        </w:tblPrEx>
        <w:trPr>
          <w:trHeight w:val="883" w:hRule="atLeast"/>
          <w:jc w:val="center"/>
        </w:trPr>
        <w:tc>
          <w:tcPr>
            <w:tcW w:w="8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319A67E">
            <w:pPr>
              <w:widowControl/>
              <w:adjustRightInd/>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散装粮出入库</w:t>
            </w:r>
          </w:p>
        </w:tc>
        <w:tc>
          <w:tcPr>
            <w:tcW w:w="3718" w:type="dxa"/>
            <w:tcBorders>
              <w:top w:val="single" w:color="auto" w:sz="4" w:space="0"/>
              <w:left w:val="single" w:color="auto" w:sz="4" w:space="0"/>
              <w:bottom w:val="single" w:color="auto" w:sz="4" w:space="0"/>
              <w:right w:val="single" w:color="auto" w:sz="4" w:space="0"/>
            </w:tcBorders>
            <w:shd w:val="clear" w:color="auto" w:fill="auto"/>
            <w:vAlign w:val="center"/>
          </w:tcPr>
          <w:p w14:paraId="4C24700D">
            <w:pPr>
              <w:widowControl/>
              <w:adjustRightInd/>
              <w:jc w:val="center"/>
              <w:rPr>
                <w:rFonts w:hint="eastAsia" w:ascii="宋体" w:hAnsi="宋体" w:eastAsia="宋体" w:cs="宋体"/>
                <w:color w:val="000000"/>
                <w:kern w:val="0"/>
                <w:sz w:val="24"/>
                <w:u w:val="none"/>
              </w:rPr>
            </w:pPr>
            <w:r>
              <w:rPr>
                <w:rFonts w:hint="eastAsia" w:ascii="宋体" w:hAnsi="宋体" w:eastAsia="宋体" w:cs="宋体"/>
                <w:color w:val="000000"/>
                <w:kern w:val="0"/>
                <w:sz w:val="24"/>
                <w:u w:val="none"/>
              </w:rPr>
              <w:t>高大平房仓（含钢仓）散装粮进仓</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14:paraId="1013AB4E">
            <w:pPr>
              <w:widowControl/>
              <w:adjustRightInd/>
              <w:jc w:val="center"/>
              <w:rPr>
                <w:rFonts w:hint="eastAsia" w:ascii="宋体" w:hAnsi="宋体" w:eastAsia="宋体" w:cs="宋体"/>
                <w:color w:val="000000"/>
                <w:kern w:val="0"/>
                <w:sz w:val="24"/>
                <w:u w:val="none"/>
              </w:rPr>
            </w:pPr>
            <w:r>
              <w:rPr>
                <w:rFonts w:hint="eastAsia" w:ascii="宋体" w:hAnsi="宋体" w:eastAsia="宋体" w:cs="宋体"/>
                <w:color w:val="000000"/>
                <w:kern w:val="0"/>
                <w:sz w:val="24"/>
                <w:u w:val="none"/>
              </w:rPr>
              <w:t xml:space="preserve">10.00 </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0392EA53">
            <w:pPr>
              <w:jc w:val="right"/>
              <w:rPr>
                <w:rFonts w:hint="eastAsia" w:ascii="宋体" w:hAnsi="宋体" w:eastAsia="宋体" w:cs="宋体"/>
                <w:color w:val="000000"/>
                <w:sz w:val="22"/>
                <w:szCs w:val="22"/>
                <w:u w:val="none"/>
              </w:rPr>
            </w:pPr>
            <w:r>
              <w:rPr>
                <w:rFonts w:hint="eastAsia" w:ascii="宋体" w:hAnsi="宋体" w:eastAsia="宋体" w:cs="宋体"/>
                <w:color w:val="000000"/>
                <w:sz w:val="22"/>
                <w:szCs w:val="22"/>
                <w:u w:val="none"/>
              </w:rPr>
              <w:t xml:space="preserve"> </w:t>
            </w:r>
          </w:p>
        </w:tc>
        <w:tc>
          <w:tcPr>
            <w:tcW w:w="3218" w:type="dxa"/>
            <w:tcBorders>
              <w:top w:val="single" w:color="auto" w:sz="4" w:space="0"/>
              <w:left w:val="single" w:color="auto" w:sz="4" w:space="0"/>
              <w:bottom w:val="single" w:color="auto" w:sz="4" w:space="0"/>
              <w:right w:val="single" w:color="auto" w:sz="4" w:space="0"/>
            </w:tcBorders>
            <w:shd w:val="clear" w:color="auto" w:fill="auto"/>
            <w:vAlign w:val="center"/>
          </w:tcPr>
          <w:p w14:paraId="751DA028">
            <w:pPr>
              <w:widowControl/>
              <w:adjustRightInd/>
              <w:jc w:val="left"/>
              <w:rPr>
                <w:rFonts w:hint="eastAsia" w:ascii="宋体" w:hAnsi="宋体" w:eastAsia="宋体" w:cs="宋体"/>
                <w:color w:val="000000"/>
                <w:kern w:val="0"/>
                <w:sz w:val="24"/>
                <w:u w:val="none"/>
              </w:rPr>
            </w:pPr>
            <w:r>
              <w:rPr>
                <w:rFonts w:hint="eastAsia" w:ascii="宋体" w:hAnsi="宋体" w:eastAsia="宋体" w:cs="宋体"/>
                <w:color w:val="000000"/>
                <w:kern w:val="0"/>
                <w:sz w:val="24"/>
                <w:u w:val="none"/>
              </w:rPr>
              <w:t>含粮面平整，灌包另计</w:t>
            </w:r>
          </w:p>
        </w:tc>
      </w:tr>
      <w:tr w14:paraId="537C6D42">
        <w:tblPrEx>
          <w:tblCellMar>
            <w:top w:w="0" w:type="dxa"/>
            <w:left w:w="108" w:type="dxa"/>
            <w:bottom w:w="0" w:type="dxa"/>
            <w:right w:w="108" w:type="dxa"/>
          </w:tblCellMar>
        </w:tblPrEx>
        <w:trPr>
          <w:trHeight w:val="883"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14:paraId="6AF3C6DA">
            <w:pPr>
              <w:widowControl/>
              <w:adjustRightInd/>
              <w:jc w:val="left"/>
              <w:rPr>
                <w:rFonts w:hint="eastAsia" w:ascii="宋体" w:hAnsi="宋体" w:eastAsia="宋体" w:cs="宋体"/>
                <w:b/>
                <w:bCs/>
                <w:color w:val="000000"/>
                <w:kern w:val="0"/>
                <w:sz w:val="24"/>
              </w:rPr>
            </w:pPr>
          </w:p>
        </w:tc>
        <w:tc>
          <w:tcPr>
            <w:tcW w:w="3718" w:type="dxa"/>
            <w:tcBorders>
              <w:top w:val="single" w:color="auto" w:sz="4" w:space="0"/>
              <w:left w:val="single" w:color="auto" w:sz="4" w:space="0"/>
              <w:bottom w:val="single" w:color="auto" w:sz="4" w:space="0"/>
              <w:right w:val="single" w:color="auto" w:sz="4" w:space="0"/>
            </w:tcBorders>
            <w:shd w:val="clear" w:color="auto" w:fill="auto"/>
            <w:vAlign w:val="center"/>
          </w:tcPr>
          <w:p w14:paraId="2BD3695E">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高大平房仓散装粮出仓装车</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14:paraId="29B52D43">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 xml:space="preserve">10.00 </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225452EE">
            <w:pPr>
              <w:jc w:val="right"/>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w:t>
            </w:r>
          </w:p>
        </w:tc>
        <w:tc>
          <w:tcPr>
            <w:tcW w:w="3218" w:type="dxa"/>
            <w:tcBorders>
              <w:top w:val="single" w:color="auto" w:sz="4" w:space="0"/>
              <w:left w:val="single" w:color="auto" w:sz="4" w:space="0"/>
              <w:bottom w:val="single" w:color="auto" w:sz="4" w:space="0"/>
              <w:right w:val="single" w:color="auto" w:sz="4" w:space="0"/>
            </w:tcBorders>
            <w:shd w:val="clear" w:color="auto" w:fill="auto"/>
            <w:vAlign w:val="center"/>
          </w:tcPr>
          <w:p w14:paraId="18C7C85D">
            <w:pPr>
              <w:widowControl/>
              <w:adjustRightInd/>
              <w:jc w:val="left"/>
              <w:rPr>
                <w:rFonts w:hint="eastAsia" w:ascii="宋体" w:hAnsi="宋体" w:eastAsia="宋体" w:cs="宋体"/>
                <w:color w:val="000000"/>
                <w:kern w:val="0"/>
                <w:sz w:val="24"/>
              </w:rPr>
            </w:pPr>
            <w:r>
              <w:rPr>
                <w:rFonts w:hint="eastAsia" w:ascii="宋体" w:hAnsi="宋体" w:eastAsia="宋体" w:cs="宋体"/>
                <w:color w:val="000000"/>
                <w:kern w:val="0"/>
                <w:sz w:val="24"/>
              </w:rPr>
              <w:t>含所有包装解包、包装物整理打件</w:t>
            </w:r>
          </w:p>
        </w:tc>
      </w:tr>
      <w:tr w14:paraId="240D7C55">
        <w:tblPrEx>
          <w:tblCellMar>
            <w:top w:w="0" w:type="dxa"/>
            <w:left w:w="108" w:type="dxa"/>
            <w:bottom w:w="0" w:type="dxa"/>
            <w:right w:w="108" w:type="dxa"/>
          </w:tblCellMar>
        </w:tblPrEx>
        <w:trPr>
          <w:trHeight w:val="883"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14:paraId="375F1259">
            <w:pPr>
              <w:widowControl/>
              <w:adjustRightInd/>
              <w:jc w:val="left"/>
              <w:rPr>
                <w:rFonts w:hint="eastAsia" w:ascii="宋体" w:hAnsi="宋体" w:eastAsia="宋体" w:cs="宋体"/>
                <w:b/>
                <w:bCs/>
                <w:color w:val="000000"/>
                <w:kern w:val="0"/>
                <w:sz w:val="24"/>
              </w:rPr>
            </w:pPr>
          </w:p>
        </w:tc>
        <w:tc>
          <w:tcPr>
            <w:tcW w:w="3718" w:type="dxa"/>
            <w:tcBorders>
              <w:top w:val="single" w:color="auto" w:sz="4" w:space="0"/>
              <w:left w:val="single" w:color="auto" w:sz="4" w:space="0"/>
              <w:bottom w:val="single" w:color="auto" w:sz="4" w:space="0"/>
              <w:right w:val="single" w:color="auto" w:sz="4" w:space="0"/>
            </w:tcBorders>
            <w:shd w:val="clear" w:color="auto" w:fill="auto"/>
            <w:vAlign w:val="center"/>
          </w:tcPr>
          <w:p w14:paraId="21A96FBF">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一般平房仓散</w:t>
            </w:r>
            <w:r>
              <w:rPr>
                <w:rFonts w:hint="eastAsia" w:ascii="宋体" w:hAnsi="宋体" w:eastAsia="宋体" w:cs="宋体"/>
                <w:color w:val="000000"/>
                <w:kern w:val="0"/>
                <w:sz w:val="24"/>
                <w:lang w:val="en-US" w:eastAsia="zh-CN"/>
              </w:rPr>
              <w:t>装</w:t>
            </w:r>
            <w:r>
              <w:rPr>
                <w:rFonts w:hint="eastAsia" w:ascii="宋体" w:hAnsi="宋体" w:eastAsia="宋体" w:cs="宋体"/>
                <w:color w:val="000000"/>
                <w:kern w:val="0"/>
                <w:sz w:val="24"/>
              </w:rPr>
              <w:t>粮进仓</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14:paraId="303386CB">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 xml:space="preserve">10.00 </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439C7941">
            <w:pPr>
              <w:jc w:val="right"/>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w:t>
            </w:r>
          </w:p>
        </w:tc>
        <w:tc>
          <w:tcPr>
            <w:tcW w:w="3218" w:type="dxa"/>
            <w:tcBorders>
              <w:top w:val="single" w:color="auto" w:sz="4" w:space="0"/>
              <w:left w:val="single" w:color="auto" w:sz="4" w:space="0"/>
              <w:bottom w:val="single" w:color="auto" w:sz="4" w:space="0"/>
              <w:right w:val="single" w:color="auto" w:sz="4" w:space="0"/>
            </w:tcBorders>
            <w:shd w:val="clear" w:color="auto" w:fill="auto"/>
            <w:vAlign w:val="center"/>
          </w:tcPr>
          <w:p w14:paraId="3544024F">
            <w:pPr>
              <w:widowControl/>
              <w:adjustRightInd/>
              <w:jc w:val="left"/>
              <w:rPr>
                <w:rFonts w:hint="eastAsia" w:ascii="宋体" w:hAnsi="宋体" w:eastAsia="宋体" w:cs="宋体"/>
                <w:color w:val="000000"/>
                <w:kern w:val="0"/>
                <w:sz w:val="24"/>
              </w:rPr>
            </w:pPr>
            <w:r>
              <w:rPr>
                <w:rFonts w:hint="eastAsia" w:ascii="宋体" w:hAnsi="宋体" w:eastAsia="宋体" w:cs="宋体"/>
                <w:color w:val="000000"/>
                <w:kern w:val="0"/>
                <w:sz w:val="24"/>
              </w:rPr>
              <w:t>含粮面平整，灌包另计</w:t>
            </w:r>
          </w:p>
        </w:tc>
      </w:tr>
      <w:tr w14:paraId="465474E1">
        <w:tblPrEx>
          <w:tblCellMar>
            <w:top w:w="0" w:type="dxa"/>
            <w:left w:w="108" w:type="dxa"/>
            <w:bottom w:w="0" w:type="dxa"/>
            <w:right w:w="108" w:type="dxa"/>
          </w:tblCellMar>
        </w:tblPrEx>
        <w:trPr>
          <w:trHeight w:val="883"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14:paraId="6EAC62DC">
            <w:pPr>
              <w:widowControl/>
              <w:adjustRightInd/>
              <w:jc w:val="left"/>
              <w:rPr>
                <w:rFonts w:hint="eastAsia" w:ascii="宋体" w:hAnsi="宋体" w:eastAsia="宋体" w:cs="宋体"/>
                <w:b/>
                <w:bCs/>
                <w:color w:val="000000"/>
                <w:kern w:val="0"/>
                <w:sz w:val="24"/>
              </w:rPr>
            </w:pPr>
          </w:p>
        </w:tc>
        <w:tc>
          <w:tcPr>
            <w:tcW w:w="3718" w:type="dxa"/>
            <w:tcBorders>
              <w:top w:val="single" w:color="auto" w:sz="4" w:space="0"/>
              <w:left w:val="single" w:color="auto" w:sz="4" w:space="0"/>
              <w:bottom w:val="single" w:color="auto" w:sz="4" w:space="0"/>
              <w:right w:val="single" w:color="auto" w:sz="4" w:space="0"/>
            </w:tcBorders>
            <w:shd w:val="clear" w:color="auto" w:fill="auto"/>
            <w:vAlign w:val="center"/>
          </w:tcPr>
          <w:p w14:paraId="3F5A3CF7">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一般平房仓散装粮出仓</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14:paraId="06623CD3">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 xml:space="preserve">10.00 </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196875B8">
            <w:pPr>
              <w:jc w:val="right"/>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w:t>
            </w:r>
          </w:p>
        </w:tc>
        <w:tc>
          <w:tcPr>
            <w:tcW w:w="3218" w:type="dxa"/>
            <w:tcBorders>
              <w:top w:val="single" w:color="auto" w:sz="4" w:space="0"/>
              <w:left w:val="single" w:color="auto" w:sz="4" w:space="0"/>
              <w:bottom w:val="single" w:color="auto" w:sz="4" w:space="0"/>
              <w:right w:val="single" w:color="auto" w:sz="4" w:space="0"/>
            </w:tcBorders>
            <w:shd w:val="clear" w:color="auto" w:fill="auto"/>
            <w:vAlign w:val="center"/>
          </w:tcPr>
          <w:p w14:paraId="1D315162">
            <w:pPr>
              <w:widowControl/>
              <w:adjustRightInd/>
              <w:jc w:val="left"/>
              <w:rPr>
                <w:rFonts w:hint="eastAsia" w:ascii="宋体" w:hAnsi="宋体" w:eastAsia="宋体" w:cs="宋体"/>
                <w:color w:val="000000"/>
                <w:kern w:val="0"/>
                <w:sz w:val="24"/>
              </w:rPr>
            </w:pPr>
            <w:r>
              <w:rPr>
                <w:rFonts w:hint="eastAsia" w:ascii="宋体" w:hAnsi="宋体" w:eastAsia="宋体" w:cs="宋体"/>
                <w:color w:val="000000"/>
                <w:kern w:val="0"/>
                <w:sz w:val="24"/>
              </w:rPr>
              <w:t>含所有包装解包、包装物整理</w:t>
            </w:r>
          </w:p>
        </w:tc>
      </w:tr>
      <w:tr w14:paraId="5BB88A4F">
        <w:tblPrEx>
          <w:tblCellMar>
            <w:top w:w="0" w:type="dxa"/>
            <w:left w:w="108" w:type="dxa"/>
            <w:bottom w:w="0" w:type="dxa"/>
            <w:right w:w="108" w:type="dxa"/>
          </w:tblCellMar>
        </w:tblPrEx>
        <w:trPr>
          <w:trHeight w:val="883"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14:paraId="71DCC29D">
            <w:pPr>
              <w:widowControl/>
              <w:adjustRightInd/>
              <w:jc w:val="left"/>
              <w:rPr>
                <w:rFonts w:hint="eastAsia" w:ascii="宋体" w:hAnsi="宋体" w:eastAsia="宋体" w:cs="宋体"/>
                <w:b/>
                <w:bCs/>
                <w:color w:val="000000"/>
                <w:kern w:val="0"/>
                <w:sz w:val="24"/>
              </w:rPr>
            </w:pPr>
          </w:p>
        </w:tc>
        <w:tc>
          <w:tcPr>
            <w:tcW w:w="3718" w:type="dxa"/>
            <w:tcBorders>
              <w:top w:val="single" w:color="auto" w:sz="4" w:space="0"/>
              <w:left w:val="nil"/>
              <w:bottom w:val="single" w:color="auto" w:sz="4" w:space="0"/>
              <w:right w:val="single" w:color="auto" w:sz="4" w:space="0"/>
            </w:tcBorders>
            <w:shd w:val="clear" w:color="auto" w:fill="auto"/>
            <w:vAlign w:val="center"/>
          </w:tcPr>
          <w:p w14:paraId="606BE6C6">
            <w:pPr>
              <w:widowControl/>
              <w:adjustRightInd/>
              <w:jc w:val="center"/>
              <w:rPr>
                <w:rFonts w:hint="eastAsia" w:ascii="宋体" w:hAnsi="宋体" w:eastAsia="宋体" w:cs="宋体"/>
                <w:color w:val="000000"/>
                <w:kern w:val="0"/>
                <w:sz w:val="24"/>
                <w:highlight w:val="none"/>
                <w:u w:val="none"/>
                <w:lang w:val="en-US" w:eastAsia="zh-CN"/>
              </w:rPr>
            </w:pPr>
            <w:r>
              <w:rPr>
                <w:rFonts w:hint="eastAsia" w:ascii="宋体" w:hAnsi="宋体" w:eastAsia="宋体" w:cs="宋体"/>
                <w:color w:val="000000"/>
                <w:kern w:val="0"/>
                <w:sz w:val="24"/>
                <w:highlight w:val="none"/>
                <w:u w:val="none"/>
                <w:lang w:val="en-US" w:eastAsia="zh-CN"/>
              </w:rPr>
              <w:t>围包散装仓散装粮进、出仓</w:t>
            </w:r>
          </w:p>
        </w:tc>
        <w:tc>
          <w:tcPr>
            <w:tcW w:w="1536" w:type="dxa"/>
            <w:tcBorders>
              <w:top w:val="single" w:color="auto" w:sz="4" w:space="0"/>
              <w:left w:val="nil"/>
              <w:bottom w:val="single" w:color="auto" w:sz="4" w:space="0"/>
              <w:right w:val="single" w:color="auto" w:sz="4" w:space="0"/>
            </w:tcBorders>
            <w:shd w:val="clear" w:color="auto" w:fill="auto"/>
            <w:vAlign w:val="center"/>
          </w:tcPr>
          <w:p w14:paraId="18728CBA">
            <w:pPr>
              <w:widowControl/>
              <w:adjustRightInd/>
              <w:jc w:val="center"/>
              <w:rPr>
                <w:rFonts w:hint="eastAsia" w:ascii="宋体" w:hAnsi="宋体" w:eastAsia="宋体" w:cs="宋体"/>
                <w:color w:val="000000"/>
                <w:kern w:val="0"/>
                <w:sz w:val="24"/>
                <w:highlight w:val="none"/>
                <w:u w:val="none"/>
                <w:lang w:val="en-US" w:eastAsia="zh-CN"/>
              </w:rPr>
            </w:pPr>
            <w:r>
              <w:rPr>
                <w:rFonts w:hint="eastAsia" w:ascii="宋体" w:hAnsi="宋体" w:eastAsia="宋体" w:cs="宋体"/>
                <w:color w:val="000000"/>
                <w:kern w:val="0"/>
                <w:sz w:val="24"/>
                <w:highlight w:val="none"/>
                <w:u w:val="none"/>
                <w:lang w:val="en-US" w:eastAsia="zh-CN"/>
              </w:rPr>
              <w:t>10.00</w:t>
            </w:r>
          </w:p>
        </w:tc>
        <w:tc>
          <w:tcPr>
            <w:tcW w:w="986" w:type="dxa"/>
            <w:tcBorders>
              <w:top w:val="single" w:color="auto" w:sz="4" w:space="0"/>
              <w:left w:val="nil"/>
              <w:bottom w:val="single" w:color="auto" w:sz="4" w:space="0"/>
              <w:right w:val="single" w:color="auto" w:sz="4" w:space="0"/>
            </w:tcBorders>
            <w:shd w:val="clear" w:color="auto" w:fill="auto"/>
            <w:vAlign w:val="center"/>
          </w:tcPr>
          <w:p w14:paraId="2FFAA63F">
            <w:pPr>
              <w:jc w:val="right"/>
              <w:rPr>
                <w:rFonts w:hint="eastAsia" w:ascii="宋体" w:hAnsi="宋体" w:eastAsia="宋体" w:cs="宋体"/>
                <w:color w:val="000000"/>
                <w:sz w:val="22"/>
                <w:szCs w:val="22"/>
                <w:highlight w:val="none"/>
                <w:u w:val="none"/>
              </w:rPr>
            </w:pPr>
          </w:p>
        </w:tc>
        <w:tc>
          <w:tcPr>
            <w:tcW w:w="3218" w:type="dxa"/>
            <w:tcBorders>
              <w:top w:val="single" w:color="auto" w:sz="4" w:space="0"/>
              <w:left w:val="nil"/>
              <w:bottom w:val="single" w:color="auto" w:sz="4" w:space="0"/>
              <w:right w:val="single" w:color="auto" w:sz="4" w:space="0"/>
            </w:tcBorders>
            <w:shd w:val="clear" w:color="auto" w:fill="auto"/>
            <w:vAlign w:val="center"/>
          </w:tcPr>
          <w:p w14:paraId="1678EA19">
            <w:pPr>
              <w:widowControl/>
              <w:adjustRightInd/>
              <w:jc w:val="left"/>
              <w:rPr>
                <w:rFonts w:hint="eastAsia" w:ascii="宋体" w:hAnsi="宋体" w:eastAsia="宋体" w:cs="宋体"/>
                <w:color w:val="000000"/>
                <w:kern w:val="0"/>
                <w:sz w:val="24"/>
                <w:highlight w:val="none"/>
                <w:u w:val="none"/>
              </w:rPr>
            </w:pPr>
            <w:r>
              <w:rPr>
                <w:rFonts w:hint="eastAsia" w:ascii="宋体" w:hAnsi="宋体" w:eastAsia="宋体" w:cs="宋体"/>
                <w:color w:val="000000"/>
                <w:kern w:val="0"/>
                <w:sz w:val="24"/>
                <w:highlight w:val="none"/>
                <w:u w:val="none"/>
              </w:rPr>
              <w:t>含粮面平整，灌包另计</w:t>
            </w:r>
          </w:p>
        </w:tc>
      </w:tr>
      <w:tr w14:paraId="68E83FF2">
        <w:tblPrEx>
          <w:tblCellMar>
            <w:top w:w="0" w:type="dxa"/>
            <w:left w:w="108" w:type="dxa"/>
            <w:bottom w:w="0" w:type="dxa"/>
            <w:right w:w="108" w:type="dxa"/>
          </w:tblCellMar>
        </w:tblPrEx>
        <w:trPr>
          <w:trHeight w:val="883" w:hRule="atLeast"/>
          <w:jc w:val="center"/>
        </w:trPr>
        <w:tc>
          <w:tcPr>
            <w:tcW w:w="876" w:type="dxa"/>
            <w:vMerge w:val="continue"/>
            <w:tcBorders>
              <w:top w:val="nil"/>
              <w:left w:val="single" w:color="auto" w:sz="4" w:space="0"/>
              <w:bottom w:val="single" w:color="auto" w:sz="4" w:space="0"/>
              <w:right w:val="single" w:color="auto" w:sz="4" w:space="0"/>
            </w:tcBorders>
            <w:vAlign w:val="center"/>
          </w:tcPr>
          <w:p w14:paraId="2E71C9A6">
            <w:pPr>
              <w:widowControl/>
              <w:adjustRightInd/>
              <w:jc w:val="left"/>
              <w:rPr>
                <w:rFonts w:hint="eastAsia" w:ascii="宋体" w:hAnsi="宋体" w:eastAsia="宋体" w:cs="宋体"/>
                <w:b/>
                <w:bCs/>
                <w:color w:val="000000"/>
                <w:kern w:val="0"/>
                <w:sz w:val="24"/>
              </w:rPr>
            </w:pPr>
          </w:p>
        </w:tc>
        <w:tc>
          <w:tcPr>
            <w:tcW w:w="3718" w:type="dxa"/>
            <w:tcBorders>
              <w:top w:val="single" w:color="auto" w:sz="4" w:space="0"/>
              <w:left w:val="nil"/>
              <w:bottom w:val="single" w:color="auto" w:sz="4" w:space="0"/>
              <w:right w:val="single" w:color="auto" w:sz="4" w:space="0"/>
            </w:tcBorders>
            <w:shd w:val="clear" w:color="auto" w:fill="auto"/>
            <w:vAlign w:val="center"/>
          </w:tcPr>
          <w:p w14:paraId="4CE66389">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所有房式仓散装粮除杂进仓</w:t>
            </w:r>
          </w:p>
        </w:tc>
        <w:tc>
          <w:tcPr>
            <w:tcW w:w="1536" w:type="dxa"/>
            <w:tcBorders>
              <w:top w:val="nil"/>
              <w:left w:val="nil"/>
              <w:bottom w:val="single" w:color="auto" w:sz="4" w:space="0"/>
              <w:right w:val="single" w:color="auto" w:sz="4" w:space="0"/>
            </w:tcBorders>
            <w:shd w:val="clear" w:color="auto" w:fill="auto"/>
            <w:vAlign w:val="center"/>
          </w:tcPr>
          <w:p w14:paraId="73454880">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 xml:space="preserve">13.00 </w:t>
            </w:r>
          </w:p>
        </w:tc>
        <w:tc>
          <w:tcPr>
            <w:tcW w:w="986" w:type="dxa"/>
            <w:tcBorders>
              <w:top w:val="nil"/>
              <w:left w:val="nil"/>
              <w:bottom w:val="single" w:color="auto" w:sz="4" w:space="0"/>
              <w:right w:val="single" w:color="auto" w:sz="4" w:space="0"/>
            </w:tcBorders>
            <w:shd w:val="clear" w:color="auto" w:fill="auto"/>
            <w:vAlign w:val="center"/>
          </w:tcPr>
          <w:p w14:paraId="13D75CBE">
            <w:pPr>
              <w:jc w:val="right"/>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w:t>
            </w:r>
          </w:p>
        </w:tc>
        <w:tc>
          <w:tcPr>
            <w:tcW w:w="3218" w:type="dxa"/>
            <w:tcBorders>
              <w:top w:val="nil"/>
              <w:left w:val="nil"/>
              <w:bottom w:val="single" w:color="auto" w:sz="4" w:space="0"/>
              <w:right w:val="single" w:color="auto" w:sz="4" w:space="0"/>
            </w:tcBorders>
            <w:shd w:val="clear" w:color="auto" w:fill="auto"/>
            <w:vAlign w:val="center"/>
          </w:tcPr>
          <w:p w14:paraId="59F137D9">
            <w:pPr>
              <w:widowControl/>
              <w:adjustRightInd/>
              <w:jc w:val="left"/>
              <w:rPr>
                <w:rFonts w:hint="eastAsia" w:ascii="宋体" w:hAnsi="宋体" w:eastAsia="宋体" w:cs="宋体"/>
                <w:color w:val="000000"/>
                <w:kern w:val="0"/>
                <w:sz w:val="24"/>
              </w:rPr>
            </w:pPr>
            <w:r>
              <w:rPr>
                <w:rFonts w:hint="eastAsia" w:ascii="宋体" w:hAnsi="宋体" w:eastAsia="宋体" w:cs="宋体"/>
                <w:color w:val="000000"/>
                <w:kern w:val="0"/>
                <w:sz w:val="24"/>
              </w:rPr>
              <w:t>含粮面平整，灌包另计</w:t>
            </w:r>
          </w:p>
        </w:tc>
      </w:tr>
      <w:tr w14:paraId="09F04EDC">
        <w:tblPrEx>
          <w:tblCellMar>
            <w:top w:w="0" w:type="dxa"/>
            <w:left w:w="108" w:type="dxa"/>
            <w:bottom w:w="0" w:type="dxa"/>
            <w:right w:w="108" w:type="dxa"/>
          </w:tblCellMar>
        </w:tblPrEx>
        <w:trPr>
          <w:trHeight w:val="883" w:hRule="atLeast"/>
          <w:jc w:val="center"/>
        </w:trPr>
        <w:tc>
          <w:tcPr>
            <w:tcW w:w="876" w:type="dxa"/>
            <w:vMerge w:val="continue"/>
            <w:tcBorders>
              <w:top w:val="nil"/>
              <w:left w:val="single" w:color="auto" w:sz="4" w:space="0"/>
              <w:bottom w:val="single" w:color="auto" w:sz="4" w:space="0"/>
              <w:right w:val="single" w:color="auto" w:sz="4" w:space="0"/>
            </w:tcBorders>
            <w:vAlign w:val="center"/>
          </w:tcPr>
          <w:p w14:paraId="1FC22C93">
            <w:pPr>
              <w:widowControl/>
              <w:adjustRightInd/>
              <w:jc w:val="left"/>
              <w:rPr>
                <w:rFonts w:hint="eastAsia" w:ascii="宋体" w:hAnsi="宋体" w:eastAsia="宋体" w:cs="宋体"/>
                <w:b/>
                <w:bCs/>
                <w:color w:val="000000"/>
                <w:kern w:val="0"/>
                <w:sz w:val="24"/>
              </w:rPr>
            </w:pPr>
          </w:p>
        </w:tc>
        <w:tc>
          <w:tcPr>
            <w:tcW w:w="3718" w:type="dxa"/>
            <w:tcBorders>
              <w:top w:val="single" w:color="auto" w:sz="4" w:space="0"/>
              <w:left w:val="nil"/>
              <w:bottom w:val="single" w:color="auto" w:sz="4" w:space="0"/>
              <w:right w:val="single" w:color="auto" w:sz="4" w:space="0"/>
            </w:tcBorders>
            <w:shd w:val="clear" w:color="auto" w:fill="auto"/>
            <w:vAlign w:val="center"/>
          </w:tcPr>
          <w:p w14:paraId="40A10608">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一般平房仓散装粮仓间倒仓</w:t>
            </w:r>
          </w:p>
        </w:tc>
        <w:tc>
          <w:tcPr>
            <w:tcW w:w="1536" w:type="dxa"/>
            <w:tcBorders>
              <w:top w:val="nil"/>
              <w:left w:val="nil"/>
              <w:bottom w:val="single" w:color="auto" w:sz="4" w:space="0"/>
              <w:right w:val="single" w:color="auto" w:sz="4" w:space="0"/>
            </w:tcBorders>
            <w:shd w:val="clear" w:color="auto" w:fill="auto"/>
            <w:vAlign w:val="center"/>
          </w:tcPr>
          <w:p w14:paraId="2492A66F">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 xml:space="preserve">12.75 </w:t>
            </w:r>
          </w:p>
        </w:tc>
        <w:tc>
          <w:tcPr>
            <w:tcW w:w="986" w:type="dxa"/>
            <w:tcBorders>
              <w:top w:val="nil"/>
              <w:left w:val="nil"/>
              <w:bottom w:val="single" w:color="auto" w:sz="4" w:space="0"/>
              <w:right w:val="single" w:color="auto" w:sz="4" w:space="0"/>
            </w:tcBorders>
            <w:shd w:val="clear" w:color="auto" w:fill="auto"/>
            <w:vAlign w:val="center"/>
          </w:tcPr>
          <w:p w14:paraId="673F6FEA">
            <w:pPr>
              <w:jc w:val="right"/>
              <w:rPr>
                <w:rFonts w:hint="eastAsia" w:ascii="宋体" w:hAnsi="宋体" w:eastAsia="宋体" w:cs="宋体"/>
                <w:color w:val="000000"/>
                <w:sz w:val="22"/>
                <w:szCs w:val="22"/>
              </w:rPr>
            </w:pPr>
          </w:p>
        </w:tc>
        <w:tc>
          <w:tcPr>
            <w:tcW w:w="3218" w:type="dxa"/>
            <w:tcBorders>
              <w:top w:val="nil"/>
              <w:left w:val="nil"/>
              <w:bottom w:val="single" w:color="auto" w:sz="4" w:space="0"/>
              <w:right w:val="single" w:color="auto" w:sz="4" w:space="0"/>
            </w:tcBorders>
            <w:shd w:val="clear" w:color="auto" w:fill="auto"/>
            <w:vAlign w:val="center"/>
          </w:tcPr>
          <w:p w14:paraId="1E80C64A">
            <w:pPr>
              <w:widowControl/>
              <w:adjustRightInd/>
              <w:jc w:val="left"/>
              <w:rPr>
                <w:rFonts w:hint="eastAsia" w:ascii="宋体" w:hAnsi="宋体" w:eastAsia="宋体" w:cs="宋体"/>
                <w:color w:val="000000"/>
                <w:kern w:val="0"/>
                <w:sz w:val="24"/>
              </w:rPr>
            </w:pPr>
            <w:r>
              <w:rPr>
                <w:rFonts w:hint="eastAsia" w:ascii="宋体" w:hAnsi="宋体" w:eastAsia="宋体" w:cs="宋体"/>
                <w:color w:val="000000"/>
                <w:kern w:val="0"/>
                <w:sz w:val="24"/>
              </w:rPr>
              <w:t>进仓含粮面平整，使用输送设备</w:t>
            </w:r>
          </w:p>
        </w:tc>
      </w:tr>
      <w:tr w14:paraId="6CA6707B">
        <w:tblPrEx>
          <w:tblCellMar>
            <w:top w:w="0" w:type="dxa"/>
            <w:left w:w="108" w:type="dxa"/>
            <w:bottom w:w="0" w:type="dxa"/>
            <w:right w:w="108" w:type="dxa"/>
          </w:tblCellMar>
        </w:tblPrEx>
        <w:trPr>
          <w:trHeight w:val="883" w:hRule="atLeast"/>
          <w:jc w:val="center"/>
        </w:trPr>
        <w:tc>
          <w:tcPr>
            <w:tcW w:w="876" w:type="dxa"/>
            <w:vMerge w:val="continue"/>
            <w:tcBorders>
              <w:top w:val="nil"/>
              <w:left w:val="single" w:color="auto" w:sz="4" w:space="0"/>
              <w:bottom w:val="single" w:color="auto" w:sz="4" w:space="0"/>
              <w:right w:val="single" w:color="auto" w:sz="4" w:space="0"/>
            </w:tcBorders>
            <w:vAlign w:val="center"/>
          </w:tcPr>
          <w:p w14:paraId="392172DF">
            <w:pPr>
              <w:widowControl/>
              <w:adjustRightInd/>
              <w:jc w:val="left"/>
              <w:rPr>
                <w:rFonts w:hint="eastAsia" w:ascii="宋体" w:hAnsi="宋体" w:eastAsia="宋体" w:cs="宋体"/>
                <w:b/>
                <w:bCs/>
                <w:color w:val="000000"/>
                <w:kern w:val="0"/>
                <w:sz w:val="24"/>
              </w:rPr>
            </w:pPr>
          </w:p>
        </w:tc>
        <w:tc>
          <w:tcPr>
            <w:tcW w:w="3718" w:type="dxa"/>
            <w:tcBorders>
              <w:top w:val="single" w:color="auto" w:sz="4" w:space="0"/>
              <w:left w:val="nil"/>
              <w:bottom w:val="single" w:color="auto" w:sz="4" w:space="0"/>
              <w:right w:val="single" w:color="auto" w:sz="4" w:space="0"/>
            </w:tcBorders>
            <w:shd w:val="clear" w:color="auto" w:fill="auto"/>
            <w:vAlign w:val="center"/>
          </w:tcPr>
          <w:p w14:paraId="11F82C7B">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高大平房仓散装粮仓间倒仓</w:t>
            </w:r>
          </w:p>
        </w:tc>
        <w:tc>
          <w:tcPr>
            <w:tcW w:w="1536" w:type="dxa"/>
            <w:tcBorders>
              <w:top w:val="nil"/>
              <w:left w:val="nil"/>
              <w:bottom w:val="single" w:color="auto" w:sz="4" w:space="0"/>
              <w:right w:val="single" w:color="auto" w:sz="4" w:space="0"/>
            </w:tcBorders>
            <w:shd w:val="clear" w:color="auto" w:fill="auto"/>
            <w:vAlign w:val="center"/>
          </w:tcPr>
          <w:p w14:paraId="4E4B5517">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 xml:space="preserve">10.80 </w:t>
            </w:r>
          </w:p>
        </w:tc>
        <w:tc>
          <w:tcPr>
            <w:tcW w:w="986" w:type="dxa"/>
            <w:tcBorders>
              <w:top w:val="nil"/>
              <w:left w:val="nil"/>
              <w:bottom w:val="single" w:color="auto" w:sz="4" w:space="0"/>
              <w:right w:val="single" w:color="auto" w:sz="4" w:space="0"/>
            </w:tcBorders>
            <w:shd w:val="clear" w:color="auto" w:fill="auto"/>
            <w:vAlign w:val="center"/>
          </w:tcPr>
          <w:p w14:paraId="67C274FE">
            <w:pPr>
              <w:jc w:val="right"/>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w:t>
            </w:r>
          </w:p>
        </w:tc>
        <w:tc>
          <w:tcPr>
            <w:tcW w:w="3218" w:type="dxa"/>
            <w:tcBorders>
              <w:top w:val="nil"/>
              <w:left w:val="nil"/>
              <w:bottom w:val="single" w:color="auto" w:sz="4" w:space="0"/>
              <w:right w:val="single" w:color="auto" w:sz="4" w:space="0"/>
            </w:tcBorders>
            <w:shd w:val="clear" w:color="auto" w:fill="auto"/>
            <w:vAlign w:val="center"/>
          </w:tcPr>
          <w:p w14:paraId="284D4821">
            <w:pPr>
              <w:widowControl/>
              <w:adjustRightInd/>
              <w:jc w:val="left"/>
              <w:rPr>
                <w:rFonts w:hint="eastAsia" w:ascii="宋体" w:hAnsi="宋体" w:eastAsia="宋体" w:cs="宋体"/>
                <w:color w:val="000000"/>
                <w:kern w:val="0"/>
                <w:sz w:val="24"/>
              </w:rPr>
            </w:pPr>
            <w:r>
              <w:rPr>
                <w:rFonts w:hint="eastAsia" w:ascii="宋体" w:hAnsi="宋体" w:eastAsia="宋体" w:cs="宋体"/>
                <w:color w:val="000000"/>
                <w:kern w:val="0"/>
                <w:sz w:val="24"/>
              </w:rPr>
              <w:t>进仓含粮面平整，使用输送设备</w:t>
            </w:r>
          </w:p>
        </w:tc>
      </w:tr>
      <w:tr w14:paraId="20948C8E">
        <w:tblPrEx>
          <w:tblCellMar>
            <w:top w:w="0" w:type="dxa"/>
            <w:left w:w="108" w:type="dxa"/>
            <w:bottom w:w="0" w:type="dxa"/>
            <w:right w:w="108" w:type="dxa"/>
          </w:tblCellMar>
        </w:tblPrEx>
        <w:trPr>
          <w:trHeight w:val="883" w:hRule="atLeast"/>
          <w:jc w:val="center"/>
        </w:trPr>
        <w:tc>
          <w:tcPr>
            <w:tcW w:w="876" w:type="dxa"/>
            <w:vMerge w:val="continue"/>
            <w:tcBorders>
              <w:top w:val="nil"/>
              <w:left w:val="single" w:color="auto" w:sz="4" w:space="0"/>
              <w:bottom w:val="single" w:color="auto" w:sz="4" w:space="0"/>
              <w:right w:val="single" w:color="auto" w:sz="4" w:space="0"/>
            </w:tcBorders>
            <w:vAlign w:val="center"/>
          </w:tcPr>
          <w:p w14:paraId="30CF5B4D">
            <w:pPr>
              <w:widowControl/>
              <w:adjustRightInd/>
              <w:jc w:val="left"/>
              <w:rPr>
                <w:rFonts w:hint="eastAsia" w:ascii="宋体" w:hAnsi="宋体" w:eastAsia="宋体" w:cs="宋体"/>
                <w:b/>
                <w:bCs/>
                <w:color w:val="000000"/>
                <w:kern w:val="0"/>
                <w:sz w:val="24"/>
              </w:rPr>
            </w:pPr>
          </w:p>
        </w:tc>
        <w:tc>
          <w:tcPr>
            <w:tcW w:w="3718" w:type="dxa"/>
            <w:tcBorders>
              <w:top w:val="single" w:color="auto" w:sz="4" w:space="0"/>
              <w:left w:val="nil"/>
              <w:bottom w:val="single" w:color="auto" w:sz="4" w:space="0"/>
              <w:right w:val="single" w:color="auto" w:sz="4" w:space="0"/>
            </w:tcBorders>
            <w:shd w:val="clear" w:color="auto" w:fill="auto"/>
            <w:vAlign w:val="center"/>
          </w:tcPr>
          <w:p w14:paraId="6DC77F21">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一般平房仓散装粮仓间汽运倒仓</w:t>
            </w:r>
          </w:p>
        </w:tc>
        <w:tc>
          <w:tcPr>
            <w:tcW w:w="1536" w:type="dxa"/>
            <w:tcBorders>
              <w:top w:val="nil"/>
              <w:left w:val="nil"/>
              <w:bottom w:val="single" w:color="auto" w:sz="4" w:space="0"/>
              <w:right w:val="single" w:color="auto" w:sz="4" w:space="0"/>
            </w:tcBorders>
            <w:shd w:val="clear" w:color="auto" w:fill="auto"/>
            <w:vAlign w:val="center"/>
          </w:tcPr>
          <w:p w14:paraId="2D04E856">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 xml:space="preserve">30.00 </w:t>
            </w:r>
          </w:p>
        </w:tc>
        <w:tc>
          <w:tcPr>
            <w:tcW w:w="986" w:type="dxa"/>
            <w:tcBorders>
              <w:top w:val="nil"/>
              <w:left w:val="nil"/>
              <w:bottom w:val="single" w:color="auto" w:sz="4" w:space="0"/>
              <w:right w:val="single" w:color="auto" w:sz="4" w:space="0"/>
            </w:tcBorders>
            <w:shd w:val="clear" w:color="auto" w:fill="auto"/>
            <w:vAlign w:val="center"/>
          </w:tcPr>
          <w:p w14:paraId="50625DB6">
            <w:pPr>
              <w:jc w:val="right"/>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w:t>
            </w:r>
          </w:p>
        </w:tc>
        <w:tc>
          <w:tcPr>
            <w:tcW w:w="3218" w:type="dxa"/>
            <w:tcBorders>
              <w:top w:val="nil"/>
              <w:left w:val="nil"/>
              <w:bottom w:val="single" w:color="auto" w:sz="4" w:space="0"/>
              <w:right w:val="single" w:color="auto" w:sz="4" w:space="0"/>
            </w:tcBorders>
            <w:shd w:val="clear" w:color="auto" w:fill="auto"/>
            <w:vAlign w:val="center"/>
          </w:tcPr>
          <w:p w14:paraId="7C862265">
            <w:pPr>
              <w:widowControl/>
              <w:adjustRightInd/>
              <w:jc w:val="left"/>
              <w:rPr>
                <w:rFonts w:hint="eastAsia" w:ascii="宋体" w:hAnsi="宋体" w:eastAsia="宋体" w:cs="宋体"/>
                <w:color w:val="000000"/>
                <w:kern w:val="0"/>
                <w:sz w:val="24"/>
              </w:rPr>
            </w:pPr>
            <w:r>
              <w:rPr>
                <w:rFonts w:hint="eastAsia" w:ascii="宋体" w:hAnsi="宋体" w:eastAsia="宋体" w:cs="宋体"/>
                <w:color w:val="000000"/>
                <w:kern w:val="0"/>
                <w:sz w:val="24"/>
              </w:rPr>
              <w:t>进仓含粮面平整</w:t>
            </w:r>
          </w:p>
        </w:tc>
      </w:tr>
      <w:tr w14:paraId="730E2172">
        <w:tblPrEx>
          <w:tblCellMar>
            <w:top w:w="0" w:type="dxa"/>
            <w:left w:w="108" w:type="dxa"/>
            <w:bottom w:w="0" w:type="dxa"/>
            <w:right w:w="108" w:type="dxa"/>
          </w:tblCellMar>
        </w:tblPrEx>
        <w:trPr>
          <w:trHeight w:val="883" w:hRule="atLeast"/>
          <w:jc w:val="center"/>
        </w:trPr>
        <w:tc>
          <w:tcPr>
            <w:tcW w:w="876" w:type="dxa"/>
            <w:vMerge w:val="continue"/>
            <w:tcBorders>
              <w:top w:val="nil"/>
              <w:left w:val="single" w:color="auto" w:sz="4" w:space="0"/>
              <w:bottom w:val="single" w:color="auto" w:sz="4" w:space="0"/>
              <w:right w:val="single" w:color="auto" w:sz="4" w:space="0"/>
            </w:tcBorders>
            <w:vAlign w:val="center"/>
          </w:tcPr>
          <w:p w14:paraId="53C818FB">
            <w:pPr>
              <w:widowControl/>
              <w:adjustRightInd/>
              <w:jc w:val="left"/>
              <w:rPr>
                <w:rFonts w:hint="eastAsia" w:ascii="宋体" w:hAnsi="宋体" w:eastAsia="宋体" w:cs="宋体"/>
                <w:b/>
                <w:bCs/>
                <w:color w:val="000000"/>
                <w:kern w:val="0"/>
                <w:sz w:val="24"/>
              </w:rPr>
            </w:pPr>
          </w:p>
        </w:tc>
        <w:tc>
          <w:tcPr>
            <w:tcW w:w="3718" w:type="dxa"/>
            <w:tcBorders>
              <w:top w:val="single" w:color="auto" w:sz="4" w:space="0"/>
              <w:left w:val="nil"/>
              <w:bottom w:val="single" w:color="auto" w:sz="4" w:space="0"/>
              <w:right w:val="single" w:color="auto" w:sz="4" w:space="0"/>
            </w:tcBorders>
            <w:shd w:val="clear" w:color="auto" w:fill="auto"/>
            <w:vAlign w:val="center"/>
          </w:tcPr>
          <w:p w14:paraId="26E016B6">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高大平房仓散装粮仓间汽运倒仓</w:t>
            </w:r>
          </w:p>
        </w:tc>
        <w:tc>
          <w:tcPr>
            <w:tcW w:w="1536" w:type="dxa"/>
            <w:tcBorders>
              <w:top w:val="nil"/>
              <w:left w:val="nil"/>
              <w:bottom w:val="single" w:color="auto" w:sz="4" w:space="0"/>
              <w:right w:val="single" w:color="auto" w:sz="4" w:space="0"/>
            </w:tcBorders>
            <w:shd w:val="clear" w:color="auto" w:fill="auto"/>
            <w:vAlign w:val="center"/>
          </w:tcPr>
          <w:p w14:paraId="29C8815E">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 xml:space="preserve">30.00 </w:t>
            </w:r>
          </w:p>
        </w:tc>
        <w:tc>
          <w:tcPr>
            <w:tcW w:w="986" w:type="dxa"/>
            <w:tcBorders>
              <w:top w:val="nil"/>
              <w:left w:val="nil"/>
              <w:bottom w:val="single" w:color="auto" w:sz="4" w:space="0"/>
              <w:right w:val="single" w:color="auto" w:sz="4" w:space="0"/>
            </w:tcBorders>
            <w:shd w:val="clear" w:color="auto" w:fill="auto"/>
            <w:vAlign w:val="center"/>
          </w:tcPr>
          <w:p w14:paraId="5E9C97CA">
            <w:pPr>
              <w:jc w:val="right"/>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w:t>
            </w:r>
          </w:p>
        </w:tc>
        <w:tc>
          <w:tcPr>
            <w:tcW w:w="3218" w:type="dxa"/>
            <w:tcBorders>
              <w:top w:val="nil"/>
              <w:left w:val="nil"/>
              <w:bottom w:val="single" w:color="auto" w:sz="4" w:space="0"/>
              <w:right w:val="single" w:color="auto" w:sz="4" w:space="0"/>
            </w:tcBorders>
            <w:shd w:val="clear" w:color="auto" w:fill="auto"/>
            <w:vAlign w:val="center"/>
          </w:tcPr>
          <w:p w14:paraId="14E7E7F8">
            <w:pPr>
              <w:widowControl/>
              <w:adjustRightInd/>
              <w:jc w:val="left"/>
              <w:rPr>
                <w:rFonts w:hint="eastAsia" w:ascii="宋体" w:hAnsi="宋体" w:eastAsia="宋体" w:cs="宋体"/>
                <w:color w:val="000000"/>
                <w:kern w:val="0"/>
                <w:sz w:val="24"/>
              </w:rPr>
            </w:pPr>
            <w:r>
              <w:rPr>
                <w:rFonts w:hint="eastAsia" w:ascii="宋体" w:hAnsi="宋体" w:eastAsia="宋体" w:cs="宋体"/>
                <w:color w:val="000000"/>
                <w:kern w:val="0"/>
                <w:sz w:val="24"/>
              </w:rPr>
              <w:t>进仓含粮面平整</w:t>
            </w:r>
          </w:p>
        </w:tc>
      </w:tr>
      <w:tr w14:paraId="683F73B2">
        <w:tblPrEx>
          <w:tblCellMar>
            <w:top w:w="0" w:type="dxa"/>
            <w:left w:w="108" w:type="dxa"/>
            <w:bottom w:w="0" w:type="dxa"/>
            <w:right w:w="108" w:type="dxa"/>
          </w:tblCellMar>
        </w:tblPrEx>
        <w:trPr>
          <w:trHeight w:val="883" w:hRule="atLeast"/>
          <w:jc w:val="center"/>
        </w:trPr>
        <w:tc>
          <w:tcPr>
            <w:tcW w:w="876" w:type="dxa"/>
            <w:vMerge w:val="continue"/>
            <w:tcBorders>
              <w:top w:val="nil"/>
              <w:left w:val="single" w:color="auto" w:sz="4" w:space="0"/>
              <w:bottom w:val="single" w:color="auto" w:sz="4" w:space="0"/>
              <w:right w:val="single" w:color="auto" w:sz="4" w:space="0"/>
            </w:tcBorders>
            <w:vAlign w:val="center"/>
          </w:tcPr>
          <w:p w14:paraId="60F695D3">
            <w:pPr>
              <w:widowControl/>
              <w:adjustRightInd/>
              <w:jc w:val="left"/>
              <w:rPr>
                <w:rFonts w:hint="eastAsia" w:ascii="宋体" w:hAnsi="宋体" w:eastAsia="宋体" w:cs="宋体"/>
                <w:b/>
                <w:bCs/>
                <w:color w:val="000000"/>
                <w:kern w:val="0"/>
                <w:sz w:val="24"/>
              </w:rPr>
            </w:pPr>
          </w:p>
        </w:tc>
        <w:tc>
          <w:tcPr>
            <w:tcW w:w="3718" w:type="dxa"/>
            <w:tcBorders>
              <w:top w:val="single" w:color="auto" w:sz="4" w:space="0"/>
              <w:left w:val="nil"/>
              <w:bottom w:val="single" w:color="auto" w:sz="4" w:space="0"/>
              <w:right w:val="single" w:color="auto" w:sz="4" w:space="0"/>
            </w:tcBorders>
            <w:shd w:val="clear" w:color="auto" w:fill="auto"/>
            <w:vAlign w:val="center"/>
          </w:tcPr>
          <w:p w14:paraId="252578A4">
            <w:pPr>
              <w:widowControl/>
              <w:adjustRightInd/>
              <w:jc w:val="center"/>
              <w:rPr>
                <w:rFonts w:hint="eastAsia" w:ascii="宋体" w:hAnsi="宋体" w:eastAsia="宋体" w:cs="宋体"/>
                <w:color w:val="000000"/>
                <w:kern w:val="0"/>
                <w:sz w:val="24"/>
                <w:highlight w:val="none"/>
                <w:u w:val="none"/>
              </w:rPr>
            </w:pPr>
            <w:r>
              <w:rPr>
                <w:rFonts w:hint="eastAsia" w:ascii="宋体" w:hAnsi="宋体" w:eastAsia="宋体" w:cs="宋体"/>
                <w:color w:val="000000"/>
                <w:kern w:val="0"/>
                <w:sz w:val="24"/>
                <w:highlight w:val="none"/>
                <w:u w:val="none"/>
              </w:rPr>
              <w:t>散装粮灌包非定量</w:t>
            </w:r>
          </w:p>
        </w:tc>
        <w:tc>
          <w:tcPr>
            <w:tcW w:w="1536" w:type="dxa"/>
            <w:tcBorders>
              <w:top w:val="nil"/>
              <w:left w:val="nil"/>
              <w:bottom w:val="single" w:color="auto" w:sz="4" w:space="0"/>
              <w:right w:val="single" w:color="auto" w:sz="4" w:space="0"/>
            </w:tcBorders>
            <w:shd w:val="clear" w:color="auto" w:fill="auto"/>
            <w:vAlign w:val="center"/>
          </w:tcPr>
          <w:p w14:paraId="35A0BF68">
            <w:pPr>
              <w:widowControl/>
              <w:adjustRightInd/>
              <w:jc w:val="center"/>
              <w:rPr>
                <w:rFonts w:hint="eastAsia" w:ascii="宋体" w:hAnsi="宋体" w:eastAsia="宋体" w:cs="宋体"/>
                <w:color w:val="000000"/>
                <w:kern w:val="0"/>
                <w:sz w:val="24"/>
                <w:highlight w:val="none"/>
                <w:u w:val="none"/>
              </w:rPr>
            </w:pPr>
            <w:r>
              <w:rPr>
                <w:rFonts w:hint="eastAsia" w:ascii="宋体" w:hAnsi="宋体" w:eastAsia="宋体" w:cs="宋体"/>
                <w:color w:val="000000"/>
                <w:kern w:val="0"/>
                <w:sz w:val="24"/>
                <w:highlight w:val="none"/>
                <w:u w:val="none"/>
              </w:rPr>
              <w:t xml:space="preserve">17.00 </w:t>
            </w:r>
          </w:p>
        </w:tc>
        <w:tc>
          <w:tcPr>
            <w:tcW w:w="986" w:type="dxa"/>
            <w:tcBorders>
              <w:top w:val="nil"/>
              <w:left w:val="nil"/>
              <w:bottom w:val="single" w:color="auto" w:sz="4" w:space="0"/>
              <w:right w:val="single" w:color="auto" w:sz="4" w:space="0"/>
            </w:tcBorders>
            <w:shd w:val="clear" w:color="auto" w:fill="auto"/>
            <w:vAlign w:val="center"/>
          </w:tcPr>
          <w:p w14:paraId="3B9C1908">
            <w:pPr>
              <w:jc w:val="right"/>
              <w:rPr>
                <w:rFonts w:hint="eastAsia" w:ascii="宋体" w:hAnsi="宋体" w:eastAsia="宋体" w:cs="宋体"/>
                <w:color w:val="000000"/>
                <w:sz w:val="22"/>
                <w:szCs w:val="22"/>
                <w:highlight w:val="none"/>
                <w:u w:val="none"/>
              </w:rPr>
            </w:pPr>
            <w:r>
              <w:rPr>
                <w:rFonts w:hint="eastAsia" w:ascii="宋体" w:hAnsi="宋体" w:eastAsia="宋体" w:cs="宋体"/>
                <w:color w:val="000000"/>
                <w:sz w:val="22"/>
                <w:szCs w:val="22"/>
                <w:highlight w:val="none"/>
                <w:u w:val="none"/>
              </w:rPr>
              <w:t xml:space="preserve"> </w:t>
            </w:r>
          </w:p>
        </w:tc>
        <w:tc>
          <w:tcPr>
            <w:tcW w:w="3218" w:type="dxa"/>
            <w:tcBorders>
              <w:top w:val="nil"/>
              <w:left w:val="nil"/>
              <w:bottom w:val="single" w:color="auto" w:sz="4" w:space="0"/>
              <w:right w:val="single" w:color="auto" w:sz="4" w:space="0"/>
            </w:tcBorders>
            <w:shd w:val="clear" w:color="auto" w:fill="auto"/>
            <w:vAlign w:val="center"/>
          </w:tcPr>
          <w:p w14:paraId="31724A62">
            <w:pPr>
              <w:widowControl/>
              <w:adjustRightInd/>
              <w:jc w:val="left"/>
              <w:rPr>
                <w:rFonts w:hint="eastAsia" w:ascii="宋体" w:hAnsi="宋体" w:eastAsia="宋体" w:cs="宋体"/>
                <w:color w:val="000000"/>
                <w:kern w:val="0"/>
                <w:sz w:val="24"/>
                <w:highlight w:val="none"/>
                <w:u w:val="none"/>
              </w:rPr>
            </w:pPr>
            <w:r>
              <w:rPr>
                <w:rFonts w:hint="eastAsia" w:ascii="宋体" w:hAnsi="宋体" w:eastAsia="宋体" w:cs="宋体"/>
                <w:color w:val="000000"/>
                <w:kern w:val="0"/>
                <w:sz w:val="24"/>
                <w:highlight w:val="none"/>
                <w:u w:val="none"/>
              </w:rPr>
              <w:t>含缝包</w:t>
            </w:r>
            <w:r>
              <w:rPr>
                <w:rFonts w:hint="eastAsia" w:ascii="宋体" w:hAnsi="宋体" w:eastAsia="宋体" w:cs="宋体"/>
                <w:color w:val="000000"/>
                <w:kern w:val="0"/>
                <w:sz w:val="24"/>
                <w:highlight w:val="none"/>
                <w:u w:val="none"/>
                <w:lang w:eastAsia="zh-CN"/>
              </w:rPr>
              <w:t>、</w:t>
            </w:r>
            <w:r>
              <w:rPr>
                <w:rFonts w:hint="eastAsia" w:ascii="宋体" w:hAnsi="宋体" w:eastAsia="宋体" w:cs="宋体"/>
                <w:color w:val="000000"/>
                <w:kern w:val="0"/>
                <w:sz w:val="24"/>
                <w:highlight w:val="none"/>
                <w:u w:val="none"/>
              </w:rPr>
              <w:t>堆桩</w:t>
            </w:r>
          </w:p>
        </w:tc>
      </w:tr>
      <w:tr w14:paraId="4B1B849C">
        <w:tblPrEx>
          <w:tblCellMar>
            <w:top w:w="0" w:type="dxa"/>
            <w:left w:w="108" w:type="dxa"/>
            <w:bottom w:w="0" w:type="dxa"/>
            <w:right w:w="108" w:type="dxa"/>
          </w:tblCellMar>
        </w:tblPrEx>
        <w:trPr>
          <w:trHeight w:val="883" w:hRule="atLeast"/>
          <w:jc w:val="center"/>
        </w:trPr>
        <w:tc>
          <w:tcPr>
            <w:tcW w:w="876" w:type="dxa"/>
            <w:vMerge w:val="continue"/>
            <w:tcBorders>
              <w:top w:val="nil"/>
              <w:left w:val="single" w:color="auto" w:sz="4" w:space="0"/>
              <w:bottom w:val="single" w:color="auto" w:sz="4" w:space="0"/>
              <w:right w:val="single" w:color="auto" w:sz="4" w:space="0"/>
            </w:tcBorders>
            <w:vAlign w:val="center"/>
          </w:tcPr>
          <w:p w14:paraId="0B19AA9A">
            <w:pPr>
              <w:widowControl/>
              <w:adjustRightInd/>
              <w:jc w:val="left"/>
              <w:rPr>
                <w:rFonts w:hint="eastAsia" w:ascii="宋体" w:hAnsi="宋体" w:eastAsia="宋体" w:cs="宋体"/>
                <w:b/>
                <w:bCs/>
                <w:color w:val="000000"/>
                <w:kern w:val="0"/>
                <w:sz w:val="24"/>
              </w:rPr>
            </w:pPr>
          </w:p>
        </w:tc>
        <w:tc>
          <w:tcPr>
            <w:tcW w:w="3718" w:type="dxa"/>
            <w:tcBorders>
              <w:top w:val="single" w:color="auto" w:sz="4" w:space="0"/>
              <w:left w:val="nil"/>
              <w:bottom w:val="single" w:color="auto" w:sz="4" w:space="0"/>
              <w:right w:val="single" w:color="auto" w:sz="4" w:space="0"/>
            </w:tcBorders>
            <w:shd w:val="clear" w:color="auto" w:fill="auto"/>
            <w:vAlign w:val="center"/>
          </w:tcPr>
          <w:p w14:paraId="09885F21">
            <w:pPr>
              <w:widowControl/>
              <w:adjustRightInd/>
              <w:jc w:val="center"/>
              <w:rPr>
                <w:rFonts w:hint="eastAsia" w:ascii="宋体" w:hAnsi="宋体" w:eastAsia="宋体" w:cs="宋体"/>
                <w:color w:val="000000"/>
                <w:kern w:val="0"/>
                <w:sz w:val="24"/>
                <w:highlight w:val="none"/>
                <w:u w:val="none"/>
              </w:rPr>
            </w:pPr>
            <w:r>
              <w:rPr>
                <w:rFonts w:hint="eastAsia" w:ascii="宋体" w:hAnsi="宋体" w:eastAsia="宋体" w:cs="宋体"/>
                <w:color w:val="000000"/>
                <w:kern w:val="0"/>
                <w:sz w:val="24"/>
                <w:highlight w:val="none"/>
                <w:u w:val="none"/>
              </w:rPr>
              <w:t>散装粮灌包定量</w:t>
            </w:r>
          </w:p>
        </w:tc>
        <w:tc>
          <w:tcPr>
            <w:tcW w:w="1536" w:type="dxa"/>
            <w:tcBorders>
              <w:top w:val="nil"/>
              <w:left w:val="nil"/>
              <w:bottom w:val="single" w:color="auto" w:sz="4" w:space="0"/>
              <w:right w:val="single" w:color="auto" w:sz="4" w:space="0"/>
            </w:tcBorders>
            <w:shd w:val="clear" w:color="auto" w:fill="auto"/>
            <w:vAlign w:val="center"/>
          </w:tcPr>
          <w:p w14:paraId="6D744C4C">
            <w:pPr>
              <w:widowControl/>
              <w:adjustRightInd/>
              <w:jc w:val="center"/>
              <w:rPr>
                <w:rFonts w:hint="eastAsia" w:ascii="宋体" w:hAnsi="宋体" w:eastAsia="宋体" w:cs="宋体"/>
                <w:color w:val="000000"/>
                <w:kern w:val="0"/>
                <w:sz w:val="24"/>
                <w:highlight w:val="none"/>
                <w:u w:val="none"/>
              </w:rPr>
            </w:pPr>
            <w:r>
              <w:rPr>
                <w:rFonts w:hint="eastAsia" w:ascii="宋体" w:hAnsi="宋体" w:eastAsia="宋体" w:cs="宋体"/>
                <w:color w:val="000000"/>
                <w:kern w:val="0"/>
                <w:sz w:val="24"/>
                <w:highlight w:val="none"/>
                <w:u w:val="none"/>
              </w:rPr>
              <w:t xml:space="preserve">20.00 </w:t>
            </w:r>
          </w:p>
        </w:tc>
        <w:tc>
          <w:tcPr>
            <w:tcW w:w="986" w:type="dxa"/>
            <w:tcBorders>
              <w:top w:val="nil"/>
              <w:left w:val="nil"/>
              <w:bottom w:val="single" w:color="auto" w:sz="4" w:space="0"/>
              <w:right w:val="single" w:color="auto" w:sz="4" w:space="0"/>
            </w:tcBorders>
            <w:shd w:val="clear" w:color="auto" w:fill="auto"/>
            <w:vAlign w:val="center"/>
          </w:tcPr>
          <w:p w14:paraId="344F5648">
            <w:pPr>
              <w:jc w:val="right"/>
              <w:rPr>
                <w:rFonts w:hint="eastAsia" w:ascii="宋体" w:hAnsi="宋体" w:eastAsia="宋体" w:cs="宋体"/>
                <w:color w:val="000000"/>
                <w:sz w:val="22"/>
                <w:szCs w:val="22"/>
                <w:highlight w:val="none"/>
                <w:u w:val="none"/>
              </w:rPr>
            </w:pPr>
            <w:r>
              <w:rPr>
                <w:rFonts w:hint="eastAsia" w:ascii="宋体" w:hAnsi="宋体" w:eastAsia="宋体" w:cs="宋体"/>
                <w:color w:val="000000"/>
                <w:sz w:val="22"/>
                <w:szCs w:val="22"/>
                <w:highlight w:val="none"/>
                <w:u w:val="none"/>
              </w:rPr>
              <w:t xml:space="preserve"> </w:t>
            </w:r>
          </w:p>
        </w:tc>
        <w:tc>
          <w:tcPr>
            <w:tcW w:w="3218" w:type="dxa"/>
            <w:tcBorders>
              <w:top w:val="nil"/>
              <w:left w:val="nil"/>
              <w:bottom w:val="single" w:color="auto" w:sz="4" w:space="0"/>
              <w:right w:val="single" w:color="auto" w:sz="4" w:space="0"/>
            </w:tcBorders>
            <w:shd w:val="clear" w:color="auto" w:fill="auto"/>
            <w:vAlign w:val="center"/>
          </w:tcPr>
          <w:p w14:paraId="176A396C">
            <w:pPr>
              <w:widowControl/>
              <w:adjustRightInd/>
              <w:jc w:val="left"/>
              <w:rPr>
                <w:rFonts w:hint="eastAsia" w:ascii="宋体" w:hAnsi="宋体" w:eastAsia="宋体" w:cs="宋体"/>
                <w:color w:val="000000"/>
                <w:kern w:val="0"/>
                <w:sz w:val="24"/>
                <w:highlight w:val="none"/>
                <w:u w:val="none"/>
              </w:rPr>
            </w:pPr>
            <w:r>
              <w:rPr>
                <w:rFonts w:hint="eastAsia" w:ascii="宋体" w:hAnsi="宋体" w:eastAsia="宋体" w:cs="宋体"/>
                <w:color w:val="000000"/>
                <w:kern w:val="0"/>
                <w:sz w:val="24"/>
                <w:highlight w:val="none"/>
                <w:u w:val="none"/>
              </w:rPr>
              <w:t>含缝包</w:t>
            </w:r>
            <w:r>
              <w:rPr>
                <w:rFonts w:hint="eastAsia" w:ascii="宋体" w:hAnsi="宋体" w:eastAsia="宋体" w:cs="宋体"/>
                <w:color w:val="000000"/>
                <w:kern w:val="0"/>
                <w:sz w:val="24"/>
                <w:highlight w:val="none"/>
                <w:u w:val="none"/>
                <w:lang w:eastAsia="zh-CN"/>
              </w:rPr>
              <w:t>、</w:t>
            </w:r>
            <w:r>
              <w:rPr>
                <w:rFonts w:hint="eastAsia" w:ascii="宋体" w:hAnsi="宋体" w:eastAsia="宋体" w:cs="宋体"/>
                <w:color w:val="000000"/>
                <w:kern w:val="0"/>
                <w:sz w:val="24"/>
                <w:highlight w:val="none"/>
                <w:u w:val="none"/>
              </w:rPr>
              <w:t>堆桩</w:t>
            </w:r>
          </w:p>
        </w:tc>
      </w:tr>
      <w:tr w14:paraId="02AB5BD0">
        <w:tblPrEx>
          <w:tblCellMar>
            <w:top w:w="0" w:type="dxa"/>
            <w:left w:w="108" w:type="dxa"/>
            <w:bottom w:w="0" w:type="dxa"/>
            <w:right w:w="108" w:type="dxa"/>
          </w:tblCellMar>
        </w:tblPrEx>
        <w:trPr>
          <w:trHeight w:val="883" w:hRule="atLeast"/>
          <w:jc w:val="center"/>
        </w:trPr>
        <w:tc>
          <w:tcPr>
            <w:tcW w:w="8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ADA27CD">
            <w:pPr>
              <w:widowControl/>
              <w:adjustRightInd/>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拨付加工</w:t>
            </w:r>
          </w:p>
        </w:tc>
        <w:tc>
          <w:tcPr>
            <w:tcW w:w="3718" w:type="dxa"/>
            <w:tcBorders>
              <w:top w:val="single" w:color="auto" w:sz="4" w:space="0"/>
              <w:left w:val="single" w:color="auto" w:sz="4" w:space="0"/>
              <w:bottom w:val="single" w:color="auto" w:sz="4" w:space="0"/>
              <w:right w:val="single" w:color="auto" w:sz="4" w:space="0"/>
            </w:tcBorders>
            <w:shd w:val="clear" w:color="auto" w:fill="auto"/>
            <w:vAlign w:val="center"/>
          </w:tcPr>
          <w:p w14:paraId="3892222A">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仓库散装原粮拨付加工</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14:paraId="309691DA">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 xml:space="preserve">32.00 </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5538C2FC">
            <w:pPr>
              <w:jc w:val="right"/>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w:t>
            </w:r>
          </w:p>
        </w:tc>
        <w:tc>
          <w:tcPr>
            <w:tcW w:w="3218" w:type="dxa"/>
            <w:tcBorders>
              <w:top w:val="single" w:color="auto" w:sz="4" w:space="0"/>
              <w:left w:val="single" w:color="auto" w:sz="4" w:space="0"/>
              <w:bottom w:val="single" w:color="auto" w:sz="4" w:space="0"/>
              <w:right w:val="single" w:color="auto" w:sz="4" w:space="0"/>
            </w:tcBorders>
            <w:shd w:val="clear" w:color="auto" w:fill="auto"/>
            <w:vAlign w:val="center"/>
          </w:tcPr>
          <w:p w14:paraId="4B4A5B6E">
            <w:pPr>
              <w:widowControl/>
              <w:adjustRightInd/>
              <w:jc w:val="left"/>
              <w:rPr>
                <w:rFonts w:hint="eastAsia" w:ascii="宋体" w:hAnsi="宋体" w:eastAsia="宋体" w:cs="宋体"/>
                <w:color w:val="000000"/>
                <w:kern w:val="0"/>
                <w:sz w:val="24"/>
              </w:rPr>
            </w:pPr>
            <w:r>
              <w:rPr>
                <w:rFonts w:hint="eastAsia" w:ascii="宋体" w:hAnsi="宋体" w:eastAsia="宋体" w:cs="宋体"/>
                <w:color w:val="000000"/>
                <w:kern w:val="0"/>
                <w:sz w:val="24"/>
              </w:rPr>
              <w:t>出仓装车、驳运、过磅、卸车全过程</w:t>
            </w:r>
          </w:p>
        </w:tc>
      </w:tr>
      <w:tr w14:paraId="61EA7D1A">
        <w:tblPrEx>
          <w:tblCellMar>
            <w:top w:w="0" w:type="dxa"/>
            <w:left w:w="108" w:type="dxa"/>
            <w:bottom w:w="0" w:type="dxa"/>
            <w:right w:w="108" w:type="dxa"/>
          </w:tblCellMar>
        </w:tblPrEx>
        <w:trPr>
          <w:trHeight w:val="883"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14:paraId="1C026BDB">
            <w:pPr>
              <w:widowControl/>
              <w:adjustRightInd/>
              <w:jc w:val="left"/>
              <w:rPr>
                <w:rFonts w:hint="eastAsia" w:ascii="宋体" w:hAnsi="宋体" w:eastAsia="宋体" w:cs="宋体"/>
                <w:b/>
                <w:bCs/>
                <w:color w:val="000000"/>
                <w:kern w:val="0"/>
                <w:sz w:val="24"/>
              </w:rPr>
            </w:pPr>
          </w:p>
        </w:tc>
        <w:tc>
          <w:tcPr>
            <w:tcW w:w="3718" w:type="dxa"/>
            <w:tcBorders>
              <w:top w:val="single" w:color="auto" w:sz="4" w:space="0"/>
              <w:left w:val="single" w:color="auto" w:sz="4" w:space="0"/>
              <w:bottom w:val="single" w:color="auto" w:sz="4" w:space="0"/>
              <w:right w:val="single" w:color="auto" w:sz="4" w:space="0"/>
            </w:tcBorders>
            <w:shd w:val="clear" w:color="auto" w:fill="auto"/>
            <w:vAlign w:val="center"/>
          </w:tcPr>
          <w:p w14:paraId="39F5C5B2">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包装粮解包进仓</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14:paraId="476C29B0">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 xml:space="preserve">16.00 </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2AEF0BC0">
            <w:pPr>
              <w:jc w:val="right"/>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w:t>
            </w:r>
          </w:p>
        </w:tc>
        <w:tc>
          <w:tcPr>
            <w:tcW w:w="3218" w:type="dxa"/>
            <w:tcBorders>
              <w:top w:val="single" w:color="auto" w:sz="4" w:space="0"/>
              <w:left w:val="single" w:color="auto" w:sz="4" w:space="0"/>
              <w:bottom w:val="single" w:color="auto" w:sz="4" w:space="0"/>
              <w:right w:val="single" w:color="auto" w:sz="4" w:space="0"/>
            </w:tcBorders>
            <w:shd w:val="clear" w:color="auto" w:fill="auto"/>
            <w:vAlign w:val="center"/>
          </w:tcPr>
          <w:p w14:paraId="7687C24C">
            <w:pPr>
              <w:widowControl/>
              <w:adjustRightInd/>
              <w:jc w:val="left"/>
              <w:rPr>
                <w:rFonts w:hint="eastAsia" w:ascii="宋体" w:hAnsi="宋体" w:eastAsia="宋体" w:cs="宋体"/>
                <w:color w:val="000000"/>
                <w:kern w:val="0"/>
                <w:szCs w:val="21"/>
              </w:rPr>
            </w:pPr>
            <w:r>
              <w:rPr>
                <w:rFonts w:hint="eastAsia" w:ascii="宋体" w:hAnsi="宋体" w:eastAsia="宋体" w:cs="宋体"/>
                <w:color w:val="000000"/>
                <w:kern w:val="0"/>
                <w:szCs w:val="21"/>
              </w:rPr>
              <w:t>含包装物整理打件，移库费用另计</w:t>
            </w:r>
          </w:p>
        </w:tc>
      </w:tr>
      <w:tr w14:paraId="32C21AC3">
        <w:tblPrEx>
          <w:tblCellMar>
            <w:top w:w="0" w:type="dxa"/>
            <w:left w:w="108" w:type="dxa"/>
            <w:bottom w:w="0" w:type="dxa"/>
            <w:right w:w="108" w:type="dxa"/>
          </w:tblCellMar>
        </w:tblPrEx>
        <w:trPr>
          <w:trHeight w:val="883"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14:paraId="5691B755">
            <w:pPr>
              <w:widowControl/>
              <w:adjustRightInd/>
              <w:jc w:val="left"/>
              <w:rPr>
                <w:rFonts w:hint="eastAsia" w:ascii="宋体" w:hAnsi="宋体" w:eastAsia="宋体" w:cs="宋体"/>
                <w:b/>
                <w:bCs/>
                <w:color w:val="000000"/>
                <w:kern w:val="0"/>
                <w:sz w:val="24"/>
              </w:rPr>
            </w:pPr>
          </w:p>
        </w:tc>
        <w:tc>
          <w:tcPr>
            <w:tcW w:w="3718" w:type="dxa"/>
            <w:tcBorders>
              <w:top w:val="single" w:color="auto" w:sz="4" w:space="0"/>
              <w:left w:val="single" w:color="auto" w:sz="4" w:space="0"/>
              <w:bottom w:val="single" w:color="auto" w:sz="4" w:space="0"/>
              <w:right w:val="single" w:color="auto" w:sz="4" w:space="0"/>
            </w:tcBorders>
            <w:shd w:val="clear" w:color="auto" w:fill="auto"/>
            <w:vAlign w:val="center"/>
          </w:tcPr>
          <w:p w14:paraId="46C79218">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副产品出仓装车、堆桩</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14:paraId="7A1B6A55">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 xml:space="preserve">16.00 </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5746EEB1">
            <w:pPr>
              <w:jc w:val="right"/>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w:t>
            </w:r>
          </w:p>
        </w:tc>
        <w:tc>
          <w:tcPr>
            <w:tcW w:w="3218" w:type="dxa"/>
            <w:tcBorders>
              <w:top w:val="single" w:color="auto" w:sz="4" w:space="0"/>
              <w:left w:val="single" w:color="auto" w:sz="4" w:space="0"/>
              <w:bottom w:val="single" w:color="auto" w:sz="4" w:space="0"/>
              <w:right w:val="single" w:color="auto" w:sz="4" w:space="0"/>
            </w:tcBorders>
            <w:shd w:val="clear" w:color="auto" w:fill="auto"/>
            <w:vAlign w:val="center"/>
          </w:tcPr>
          <w:p w14:paraId="51A4D4C6">
            <w:pPr>
              <w:widowControl/>
              <w:adjustRightInd/>
              <w:jc w:val="left"/>
              <w:rPr>
                <w:rFonts w:hint="eastAsia" w:ascii="宋体" w:hAnsi="宋体" w:eastAsia="宋体" w:cs="宋体"/>
                <w:color w:val="000000"/>
                <w:kern w:val="0"/>
                <w:sz w:val="24"/>
              </w:rPr>
            </w:pPr>
            <w:r>
              <w:rPr>
                <w:rFonts w:hint="eastAsia" w:ascii="宋体" w:hAnsi="宋体" w:eastAsia="宋体" w:cs="宋体"/>
                <w:color w:val="000000"/>
                <w:kern w:val="0"/>
                <w:sz w:val="24"/>
              </w:rPr>
              <w:t>含超高费</w:t>
            </w:r>
          </w:p>
        </w:tc>
      </w:tr>
      <w:tr w14:paraId="6E57EEF3">
        <w:tblPrEx>
          <w:tblCellMar>
            <w:top w:w="0" w:type="dxa"/>
            <w:left w:w="108" w:type="dxa"/>
            <w:bottom w:w="0" w:type="dxa"/>
            <w:right w:w="108" w:type="dxa"/>
          </w:tblCellMar>
        </w:tblPrEx>
        <w:trPr>
          <w:trHeight w:val="883"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14:paraId="446C84EF">
            <w:pPr>
              <w:widowControl/>
              <w:adjustRightInd/>
              <w:jc w:val="left"/>
              <w:rPr>
                <w:rFonts w:hint="eastAsia" w:ascii="宋体" w:hAnsi="宋体" w:eastAsia="宋体" w:cs="宋体"/>
                <w:b/>
                <w:bCs/>
                <w:color w:val="000000"/>
                <w:kern w:val="0"/>
                <w:sz w:val="24"/>
              </w:rPr>
            </w:pPr>
          </w:p>
        </w:tc>
        <w:tc>
          <w:tcPr>
            <w:tcW w:w="3718" w:type="dxa"/>
            <w:tcBorders>
              <w:top w:val="single" w:color="auto" w:sz="4" w:space="0"/>
              <w:left w:val="single" w:color="auto" w:sz="4" w:space="0"/>
              <w:bottom w:val="single" w:color="auto" w:sz="4" w:space="0"/>
              <w:right w:val="single" w:color="auto" w:sz="4" w:space="0"/>
            </w:tcBorders>
            <w:shd w:val="clear" w:color="auto" w:fill="auto"/>
            <w:vAlign w:val="center"/>
          </w:tcPr>
          <w:p w14:paraId="4E03E77D">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散装粮自卸车进仓</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14:paraId="694FF35D">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 xml:space="preserve">8.00 </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5BC496FE">
            <w:pPr>
              <w:jc w:val="right"/>
              <w:rPr>
                <w:rFonts w:hint="eastAsia" w:ascii="宋体" w:hAnsi="宋体" w:eastAsia="宋体" w:cs="宋体"/>
                <w:color w:val="000000"/>
                <w:sz w:val="22"/>
                <w:szCs w:val="22"/>
              </w:rPr>
            </w:pPr>
          </w:p>
        </w:tc>
        <w:tc>
          <w:tcPr>
            <w:tcW w:w="3218" w:type="dxa"/>
            <w:tcBorders>
              <w:top w:val="single" w:color="auto" w:sz="4" w:space="0"/>
              <w:left w:val="single" w:color="auto" w:sz="4" w:space="0"/>
              <w:bottom w:val="single" w:color="auto" w:sz="4" w:space="0"/>
              <w:right w:val="single" w:color="auto" w:sz="4" w:space="0"/>
            </w:tcBorders>
            <w:shd w:val="clear" w:color="auto" w:fill="auto"/>
            <w:vAlign w:val="center"/>
          </w:tcPr>
          <w:p w14:paraId="412FFCB9">
            <w:pPr>
              <w:widowControl/>
              <w:adjustRightInd/>
              <w:jc w:val="left"/>
              <w:rPr>
                <w:rFonts w:hint="eastAsia" w:ascii="宋体" w:hAnsi="宋体" w:eastAsia="宋体" w:cs="宋体"/>
                <w:color w:val="000000"/>
                <w:kern w:val="0"/>
                <w:sz w:val="24"/>
              </w:rPr>
            </w:pPr>
            <w:r>
              <w:rPr>
                <w:rFonts w:hint="eastAsia" w:ascii="宋体" w:hAnsi="宋体" w:eastAsia="宋体" w:cs="宋体"/>
                <w:color w:val="000000"/>
                <w:kern w:val="0"/>
                <w:sz w:val="24"/>
              </w:rPr>
              <w:t>含散落粮整理进仓</w:t>
            </w:r>
          </w:p>
        </w:tc>
      </w:tr>
      <w:tr w14:paraId="5F71E6C8">
        <w:tblPrEx>
          <w:tblCellMar>
            <w:top w:w="0" w:type="dxa"/>
            <w:left w:w="108" w:type="dxa"/>
            <w:bottom w:w="0" w:type="dxa"/>
            <w:right w:w="108" w:type="dxa"/>
          </w:tblCellMar>
        </w:tblPrEx>
        <w:trPr>
          <w:trHeight w:val="883"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14:paraId="0CE8172D">
            <w:pPr>
              <w:widowControl/>
              <w:adjustRightInd/>
              <w:jc w:val="left"/>
              <w:rPr>
                <w:rFonts w:hint="eastAsia" w:ascii="宋体" w:hAnsi="宋体" w:eastAsia="宋体" w:cs="宋体"/>
                <w:b/>
                <w:bCs/>
                <w:color w:val="000000"/>
                <w:kern w:val="0"/>
                <w:sz w:val="24"/>
              </w:rPr>
            </w:pPr>
          </w:p>
        </w:tc>
        <w:tc>
          <w:tcPr>
            <w:tcW w:w="3718" w:type="dxa"/>
            <w:tcBorders>
              <w:top w:val="single" w:color="auto" w:sz="4" w:space="0"/>
              <w:left w:val="single" w:color="auto" w:sz="4" w:space="0"/>
              <w:bottom w:val="single" w:color="auto" w:sz="4" w:space="0"/>
              <w:right w:val="single" w:color="auto" w:sz="4" w:space="0"/>
            </w:tcBorders>
            <w:shd w:val="clear" w:color="auto" w:fill="auto"/>
            <w:vAlign w:val="center"/>
          </w:tcPr>
          <w:p w14:paraId="75A84450">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散装粮非自卸车进仓</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14:paraId="18A195B9">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 xml:space="preserve">12.00 </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468D921B">
            <w:pPr>
              <w:jc w:val="right"/>
              <w:rPr>
                <w:rFonts w:hint="eastAsia" w:ascii="宋体" w:hAnsi="宋体" w:eastAsia="宋体" w:cs="宋体"/>
                <w:color w:val="000000"/>
                <w:sz w:val="22"/>
                <w:szCs w:val="22"/>
              </w:rPr>
            </w:pPr>
          </w:p>
        </w:tc>
        <w:tc>
          <w:tcPr>
            <w:tcW w:w="3218" w:type="dxa"/>
            <w:tcBorders>
              <w:top w:val="single" w:color="auto" w:sz="4" w:space="0"/>
              <w:left w:val="single" w:color="auto" w:sz="4" w:space="0"/>
              <w:bottom w:val="single" w:color="auto" w:sz="4" w:space="0"/>
              <w:right w:val="single" w:color="auto" w:sz="4" w:space="0"/>
            </w:tcBorders>
            <w:shd w:val="clear" w:color="auto" w:fill="auto"/>
            <w:vAlign w:val="center"/>
          </w:tcPr>
          <w:p w14:paraId="181606C4">
            <w:pPr>
              <w:widowControl/>
              <w:adjustRightInd/>
              <w:jc w:val="left"/>
              <w:rPr>
                <w:rFonts w:hint="eastAsia" w:ascii="宋体" w:hAnsi="宋体" w:eastAsia="宋体" w:cs="宋体"/>
                <w:color w:val="000000"/>
                <w:kern w:val="0"/>
                <w:sz w:val="24"/>
              </w:rPr>
            </w:pPr>
            <w:r>
              <w:rPr>
                <w:rFonts w:hint="eastAsia" w:ascii="宋体" w:hAnsi="宋体" w:eastAsia="宋体" w:cs="宋体"/>
                <w:color w:val="000000"/>
                <w:kern w:val="0"/>
                <w:sz w:val="24"/>
              </w:rPr>
              <w:t>含散落粮整理进仓</w:t>
            </w:r>
          </w:p>
        </w:tc>
      </w:tr>
      <w:tr w14:paraId="698F90C1">
        <w:tblPrEx>
          <w:tblCellMar>
            <w:top w:w="0" w:type="dxa"/>
            <w:left w:w="108" w:type="dxa"/>
            <w:bottom w:w="0" w:type="dxa"/>
            <w:right w:w="108" w:type="dxa"/>
          </w:tblCellMar>
        </w:tblPrEx>
        <w:trPr>
          <w:trHeight w:val="883" w:hRule="atLeast"/>
          <w:jc w:val="center"/>
        </w:trPr>
        <w:tc>
          <w:tcPr>
            <w:tcW w:w="8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DCE1C27">
            <w:pPr>
              <w:widowControl/>
              <w:adjustRightInd/>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粮食烘干</w:t>
            </w:r>
          </w:p>
        </w:tc>
        <w:tc>
          <w:tcPr>
            <w:tcW w:w="3718" w:type="dxa"/>
            <w:tcBorders>
              <w:top w:val="single" w:color="auto" w:sz="4" w:space="0"/>
              <w:left w:val="single" w:color="auto" w:sz="4" w:space="0"/>
              <w:bottom w:val="single" w:color="auto" w:sz="4" w:space="0"/>
              <w:right w:val="single" w:color="auto" w:sz="4" w:space="0"/>
            </w:tcBorders>
            <w:shd w:val="clear" w:color="auto" w:fill="auto"/>
            <w:vAlign w:val="center"/>
          </w:tcPr>
          <w:p w14:paraId="360C84A7">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自卸车粮食烘干除杂入库</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14:paraId="1B70BAF0">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3</w:t>
            </w:r>
            <w:r>
              <w:rPr>
                <w:rFonts w:hint="eastAsia" w:ascii="宋体" w:hAnsi="宋体" w:eastAsia="宋体" w:cs="宋体"/>
                <w:color w:val="000000"/>
                <w:kern w:val="0"/>
                <w:sz w:val="24"/>
                <w:lang w:val="en-US" w:eastAsia="zh-CN"/>
              </w:rPr>
              <w:t>5</w:t>
            </w:r>
            <w:r>
              <w:rPr>
                <w:rFonts w:hint="eastAsia" w:ascii="宋体" w:hAnsi="宋体" w:eastAsia="宋体" w:cs="宋体"/>
                <w:color w:val="000000"/>
                <w:kern w:val="0"/>
                <w:sz w:val="24"/>
              </w:rPr>
              <w:t xml:space="preserve">.00 </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32145C93">
            <w:pPr>
              <w:jc w:val="right"/>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w:t>
            </w:r>
          </w:p>
        </w:tc>
        <w:tc>
          <w:tcPr>
            <w:tcW w:w="3218" w:type="dxa"/>
            <w:tcBorders>
              <w:top w:val="single" w:color="auto" w:sz="4" w:space="0"/>
              <w:left w:val="single" w:color="auto" w:sz="4" w:space="0"/>
              <w:bottom w:val="single" w:color="auto" w:sz="4" w:space="0"/>
              <w:right w:val="single" w:color="auto" w:sz="4" w:space="0"/>
            </w:tcBorders>
            <w:shd w:val="clear" w:color="auto" w:fill="auto"/>
            <w:vAlign w:val="center"/>
          </w:tcPr>
          <w:p w14:paraId="6EDC45A5">
            <w:pPr>
              <w:widowControl/>
              <w:adjustRightInd/>
              <w:jc w:val="left"/>
              <w:rPr>
                <w:rFonts w:hint="eastAsia" w:ascii="宋体" w:hAnsi="宋体" w:eastAsia="宋体" w:cs="宋体"/>
                <w:color w:val="000000"/>
                <w:kern w:val="0"/>
                <w:szCs w:val="21"/>
              </w:rPr>
            </w:pPr>
            <w:r>
              <w:rPr>
                <w:rFonts w:hint="eastAsia" w:ascii="宋体" w:hAnsi="宋体" w:eastAsia="宋体" w:cs="宋体"/>
                <w:color w:val="000000"/>
                <w:kern w:val="0"/>
                <w:szCs w:val="21"/>
              </w:rPr>
              <w:t>卸车、进烘干机</w:t>
            </w:r>
            <w:r>
              <w:rPr>
                <w:rFonts w:hint="eastAsia" w:ascii="宋体" w:hAnsi="宋体" w:eastAsia="宋体" w:cs="宋体"/>
                <w:color w:val="000000"/>
                <w:kern w:val="0"/>
                <w:szCs w:val="21"/>
                <w:lang w:val="en-US" w:eastAsia="zh-CN"/>
              </w:rPr>
              <w:t>7.00</w:t>
            </w:r>
            <w:r>
              <w:rPr>
                <w:rFonts w:hint="eastAsia" w:ascii="宋体" w:hAnsi="宋体" w:eastAsia="宋体" w:cs="宋体"/>
                <w:color w:val="000000"/>
                <w:kern w:val="0"/>
                <w:szCs w:val="21"/>
              </w:rPr>
              <w:t>元，出烘干机除杂</w:t>
            </w:r>
            <w:r>
              <w:rPr>
                <w:rFonts w:hint="eastAsia" w:ascii="宋体" w:hAnsi="宋体" w:eastAsia="宋体" w:cs="宋体"/>
                <w:color w:val="000000"/>
                <w:kern w:val="0"/>
                <w:szCs w:val="21"/>
                <w:lang w:val="en-US" w:eastAsia="zh-CN"/>
              </w:rPr>
              <w:t>3.</w:t>
            </w:r>
            <w:r>
              <w:rPr>
                <w:rFonts w:hint="eastAsia" w:ascii="宋体" w:hAnsi="宋体" w:eastAsia="宋体" w:cs="宋体"/>
                <w:color w:val="000000"/>
                <w:kern w:val="0"/>
                <w:szCs w:val="21"/>
              </w:rPr>
              <w:t>00元、装车、进仓（含粮面平整、余粮杂质整理）</w:t>
            </w:r>
            <w:r>
              <w:rPr>
                <w:rFonts w:hint="eastAsia" w:ascii="宋体" w:hAnsi="宋体" w:eastAsia="宋体" w:cs="宋体"/>
                <w:color w:val="000000"/>
                <w:kern w:val="0"/>
                <w:szCs w:val="21"/>
                <w:lang w:val="en-US" w:eastAsia="zh-CN"/>
              </w:rPr>
              <w:t>10</w:t>
            </w:r>
            <w:r>
              <w:rPr>
                <w:rFonts w:hint="eastAsia" w:ascii="宋体" w:hAnsi="宋体" w:eastAsia="宋体" w:cs="宋体"/>
                <w:color w:val="000000"/>
                <w:kern w:val="0"/>
                <w:szCs w:val="21"/>
              </w:rPr>
              <w:t>.00元，汽车短驳15</w:t>
            </w:r>
            <w:r>
              <w:rPr>
                <w:rFonts w:hint="eastAsia" w:ascii="宋体" w:hAnsi="宋体" w:eastAsia="宋体" w:cs="宋体"/>
                <w:color w:val="000000"/>
                <w:kern w:val="0"/>
                <w:szCs w:val="21"/>
                <w:lang w:val="en-US" w:eastAsia="zh-CN"/>
              </w:rPr>
              <w:t>.0</w:t>
            </w:r>
            <w:r>
              <w:rPr>
                <w:rFonts w:hint="eastAsia" w:ascii="宋体" w:hAnsi="宋体" w:eastAsia="宋体" w:cs="宋体"/>
                <w:color w:val="000000"/>
                <w:kern w:val="0"/>
                <w:szCs w:val="21"/>
              </w:rPr>
              <w:t>0元，合计</w:t>
            </w:r>
            <w:r>
              <w:rPr>
                <w:rFonts w:hint="eastAsia" w:ascii="宋体" w:hAnsi="宋体" w:eastAsia="宋体" w:cs="宋体"/>
                <w:color w:val="000000"/>
                <w:kern w:val="0"/>
                <w:szCs w:val="21"/>
                <w:lang w:val="en-US" w:eastAsia="zh-CN"/>
              </w:rPr>
              <w:t>35.00</w:t>
            </w:r>
            <w:r>
              <w:rPr>
                <w:rFonts w:hint="eastAsia" w:ascii="宋体" w:hAnsi="宋体" w:eastAsia="宋体" w:cs="宋体"/>
                <w:color w:val="000000"/>
                <w:kern w:val="0"/>
                <w:szCs w:val="21"/>
              </w:rPr>
              <w:t>元。</w:t>
            </w:r>
          </w:p>
        </w:tc>
      </w:tr>
      <w:tr w14:paraId="6FDCB740">
        <w:tblPrEx>
          <w:tblCellMar>
            <w:top w:w="0" w:type="dxa"/>
            <w:left w:w="108" w:type="dxa"/>
            <w:bottom w:w="0" w:type="dxa"/>
            <w:right w:w="108" w:type="dxa"/>
          </w:tblCellMar>
        </w:tblPrEx>
        <w:trPr>
          <w:trHeight w:val="883" w:hRule="atLeast"/>
          <w:jc w:val="center"/>
        </w:trPr>
        <w:tc>
          <w:tcPr>
            <w:tcW w:w="876" w:type="dxa"/>
            <w:vMerge w:val="continue"/>
            <w:tcBorders>
              <w:top w:val="single" w:color="auto" w:sz="4" w:space="0"/>
              <w:left w:val="single" w:color="auto" w:sz="4" w:space="0"/>
              <w:bottom w:val="nil"/>
              <w:right w:val="single" w:color="auto" w:sz="4" w:space="0"/>
            </w:tcBorders>
            <w:vAlign w:val="center"/>
          </w:tcPr>
          <w:p w14:paraId="12D9E5FE">
            <w:pPr>
              <w:widowControl/>
              <w:adjustRightInd/>
              <w:jc w:val="left"/>
              <w:rPr>
                <w:rFonts w:hint="eastAsia" w:ascii="宋体" w:hAnsi="宋体" w:eastAsia="宋体" w:cs="宋体"/>
                <w:b/>
                <w:bCs/>
                <w:color w:val="000000"/>
                <w:kern w:val="0"/>
                <w:sz w:val="24"/>
              </w:rPr>
            </w:pPr>
          </w:p>
        </w:tc>
        <w:tc>
          <w:tcPr>
            <w:tcW w:w="3718" w:type="dxa"/>
            <w:tcBorders>
              <w:top w:val="single" w:color="auto" w:sz="4" w:space="0"/>
              <w:left w:val="nil"/>
              <w:bottom w:val="single" w:color="auto" w:sz="4" w:space="0"/>
              <w:right w:val="single" w:color="auto" w:sz="4" w:space="0"/>
            </w:tcBorders>
            <w:shd w:val="clear" w:color="auto" w:fill="auto"/>
            <w:vAlign w:val="center"/>
          </w:tcPr>
          <w:p w14:paraId="727EDCAE">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非自卸车粮食烘干除杂入库</w:t>
            </w:r>
          </w:p>
        </w:tc>
        <w:tc>
          <w:tcPr>
            <w:tcW w:w="1536" w:type="dxa"/>
            <w:tcBorders>
              <w:top w:val="single" w:color="auto" w:sz="4" w:space="0"/>
              <w:left w:val="nil"/>
              <w:bottom w:val="single" w:color="auto" w:sz="4" w:space="0"/>
              <w:right w:val="single" w:color="auto" w:sz="4" w:space="0"/>
            </w:tcBorders>
            <w:shd w:val="clear" w:color="auto" w:fill="auto"/>
            <w:vAlign w:val="center"/>
          </w:tcPr>
          <w:p w14:paraId="19F2E806">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lang w:val="en-US" w:eastAsia="zh-CN"/>
              </w:rPr>
              <w:t>38</w:t>
            </w:r>
            <w:r>
              <w:rPr>
                <w:rFonts w:hint="eastAsia" w:ascii="宋体" w:hAnsi="宋体" w:eastAsia="宋体" w:cs="宋体"/>
                <w:color w:val="000000"/>
                <w:kern w:val="0"/>
                <w:sz w:val="24"/>
              </w:rPr>
              <w:t xml:space="preserve">.00 </w:t>
            </w:r>
          </w:p>
        </w:tc>
        <w:tc>
          <w:tcPr>
            <w:tcW w:w="986" w:type="dxa"/>
            <w:tcBorders>
              <w:top w:val="single" w:color="auto" w:sz="4" w:space="0"/>
              <w:left w:val="nil"/>
              <w:bottom w:val="single" w:color="auto" w:sz="4" w:space="0"/>
              <w:right w:val="single" w:color="auto" w:sz="4" w:space="0"/>
            </w:tcBorders>
            <w:shd w:val="clear" w:color="auto" w:fill="auto"/>
            <w:vAlign w:val="center"/>
          </w:tcPr>
          <w:p w14:paraId="30004871">
            <w:pPr>
              <w:jc w:val="right"/>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w:t>
            </w:r>
          </w:p>
        </w:tc>
        <w:tc>
          <w:tcPr>
            <w:tcW w:w="3218" w:type="dxa"/>
            <w:tcBorders>
              <w:top w:val="single" w:color="auto" w:sz="4" w:space="0"/>
              <w:left w:val="nil"/>
              <w:bottom w:val="single" w:color="auto" w:sz="4" w:space="0"/>
              <w:right w:val="single" w:color="auto" w:sz="4" w:space="0"/>
            </w:tcBorders>
            <w:shd w:val="clear" w:color="auto" w:fill="auto"/>
            <w:vAlign w:val="center"/>
          </w:tcPr>
          <w:p w14:paraId="6BCE37DB">
            <w:pPr>
              <w:widowControl/>
              <w:adjustRightInd/>
              <w:jc w:val="left"/>
              <w:rPr>
                <w:rFonts w:hint="eastAsia" w:ascii="宋体" w:hAnsi="宋体" w:eastAsia="宋体" w:cs="宋体"/>
                <w:color w:val="000000"/>
                <w:kern w:val="0"/>
                <w:szCs w:val="21"/>
              </w:rPr>
            </w:pPr>
            <w:r>
              <w:rPr>
                <w:rFonts w:hint="eastAsia" w:ascii="宋体" w:hAnsi="宋体" w:eastAsia="宋体" w:cs="宋体"/>
                <w:color w:val="000000"/>
                <w:kern w:val="0"/>
                <w:szCs w:val="21"/>
              </w:rPr>
              <w:t>卸车、进烘干机</w:t>
            </w:r>
            <w:r>
              <w:rPr>
                <w:rFonts w:hint="eastAsia" w:ascii="宋体" w:hAnsi="宋体" w:eastAsia="宋体" w:cs="宋体"/>
                <w:color w:val="000000"/>
                <w:kern w:val="0"/>
                <w:szCs w:val="21"/>
                <w:lang w:val="en-US" w:eastAsia="zh-CN"/>
              </w:rPr>
              <w:t>10.00</w:t>
            </w:r>
            <w:r>
              <w:rPr>
                <w:rFonts w:hint="eastAsia" w:ascii="宋体" w:hAnsi="宋体" w:eastAsia="宋体" w:cs="宋体"/>
                <w:color w:val="000000"/>
                <w:kern w:val="0"/>
                <w:szCs w:val="21"/>
              </w:rPr>
              <w:t>元，出烘干机除杂</w:t>
            </w:r>
            <w:r>
              <w:rPr>
                <w:rFonts w:hint="eastAsia" w:ascii="宋体" w:hAnsi="宋体" w:eastAsia="宋体" w:cs="宋体"/>
                <w:color w:val="000000"/>
                <w:kern w:val="0"/>
                <w:szCs w:val="21"/>
                <w:lang w:val="en-US" w:eastAsia="zh-CN"/>
              </w:rPr>
              <w:t>3.</w:t>
            </w:r>
            <w:r>
              <w:rPr>
                <w:rFonts w:hint="eastAsia" w:ascii="宋体" w:hAnsi="宋体" w:eastAsia="宋体" w:cs="宋体"/>
                <w:color w:val="000000"/>
                <w:kern w:val="0"/>
                <w:szCs w:val="21"/>
              </w:rPr>
              <w:t>00元、装车、进仓（含粮面平整、余粮杂质整理）</w:t>
            </w:r>
            <w:r>
              <w:rPr>
                <w:rFonts w:hint="eastAsia" w:ascii="宋体" w:hAnsi="宋体" w:eastAsia="宋体" w:cs="宋体"/>
                <w:color w:val="000000"/>
                <w:kern w:val="0"/>
                <w:szCs w:val="21"/>
                <w:lang w:val="en-US" w:eastAsia="zh-CN"/>
              </w:rPr>
              <w:t>10</w:t>
            </w:r>
            <w:r>
              <w:rPr>
                <w:rFonts w:hint="eastAsia" w:ascii="宋体" w:hAnsi="宋体" w:eastAsia="宋体" w:cs="宋体"/>
                <w:color w:val="000000"/>
                <w:kern w:val="0"/>
                <w:szCs w:val="21"/>
              </w:rPr>
              <w:t>.00元，汽车短驳1</w:t>
            </w:r>
            <w:r>
              <w:rPr>
                <w:rFonts w:hint="eastAsia" w:ascii="宋体" w:hAnsi="宋体" w:eastAsia="宋体" w:cs="宋体"/>
                <w:color w:val="000000"/>
                <w:kern w:val="0"/>
                <w:szCs w:val="21"/>
                <w:lang w:val="en-US" w:eastAsia="zh-CN"/>
              </w:rPr>
              <w:t>5.0</w:t>
            </w:r>
            <w:r>
              <w:rPr>
                <w:rFonts w:hint="eastAsia" w:ascii="宋体" w:hAnsi="宋体" w:eastAsia="宋体" w:cs="宋体"/>
                <w:color w:val="000000"/>
                <w:kern w:val="0"/>
                <w:szCs w:val="21"/>
              </w:rPr>
              <w:t>0元，合计</w:t>
            </w:r>
            <w:r>
              <w:rPr>
                <w:rFonts w:hint="eastAsia" w:ascii="宋体" w:hAnsi="宋体" w:eastAsia="宋体" w:cs="宋体"/>
                <w:color w:val="000000"/>
                <w:kern w:val="0"/>
                <w:szCs w:val="21"/>
                <w:lang w:val="en-US" w:eastAsia="zh-CN"/>
              </w:rPr>
              <w:t>38.00</w:t>
            </w:r>
            <w:r>
              <w:rPr>
                <w:rFonts w:hint="eastAsia" w:ascii="宋体" w:hAnsi="宋体" w:eastAsia="宋体" w:cs="宋体"/>
                <w:color w:val="000000"/>
                <w:kern w:val="0"/>
                <w:szCs w:val="21"/>
              </w:rPr>
              <w:t>元。</w:t>
            </w:r>
          </w:p>
        </w:tc>
      </w:tr>
      <w:tr w14:paraId="72E988DA">
        <w:tblPrEx>
          <w:tblCellMar>
            <w:top w:w="0" w:type="dxa"/>
            <w:left w:w="108" w:type="dxa"/>
            <w:bottom w:w="0" w:type="dxa"/>
            <w:right w:w="108" w:type="dxa"/>
          </w:tblCellMar>
        </w:tblPrEx>
        <w:trPr>
          <w:trHeight w:val="883" w:hRule="atLeast"/>
          <w:jc w:val="center"/>
        </w:trPr>
        <w:tc>
          <w:tcPr>
            <w:tcW w:w="8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9359B27">
            <w:pPr>
              <w:widowControl/>
              <w:adjustRightInd/>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其它</w:t>
            </w:r>
          </w:p>
        </w:tc>
        <w:tc>
          <w:tcPr>
            <w:tcW w:w="3718" w:type="dxa"/>
            <w:tcBorders>
              <w:top w:val="single" w:color="auto" w:sz="4" w:space="0"/>
              <w:left w:val="nil"/>
              <w:bottom w:val="single" w:color="auto" w:sz="4" w:space="0"/>
              <w:right w:val="single" w:color="auto" w:sz="4" w:space="0"/>
            </w:tcBorders>
            <w:shd w:val="clear" w:color="auto" w:fill="auto"/>
            <w:vAlign w:val="center"/>
          </w:tcPr>
          <w:p w14:paraId="7CD7176E">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麻袋就仓整理打件</w:t>
            </w:r>
          </w:p>
        </w:tc>
        <w:tc>
          <w:tcPr>
            <w:tcW w:w="1536" w:type="dxa"/>
            <w:tcBorders>
              <w:top w:val="nil"/>
              <w:left w:val="nil"/>
              <w:bottom w:val="single" w:color="auto" w:sz="4" w:space="0"/>
              <w:right w:val="single" w:color="auto" w:sz="4" w:space="0"/>
            </w:tcBorders>
            <w:shd w:val="clear" w:color="auto" w:fill="auto"/>
            <w:vAlign w:val="center"/>
          </w:tcPr>
          <w:p w14:paraId="4F9B0101">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 xml:space="preserve">5.00 </w:t>
            </w:r>
          </w:p>
        </w:tc>
        <w:tc>
          <w:tcPr>
            <w:tcW w:w="986" w:type="dxa"/>
            <w:tcBorders>
              <w:top w:val="nil"/>
              <w:left w:val="nil"/>
              <w:bottom w:val="single" w:color="auto" w:sz="4" w:space="0"/>
              <w:right w:val="single" w:color="auto" w:sz="4" w:space="0"/>
            </w:tcBorders>
            <w:shd w:val="clear" w:color="auto" w:fill="auto"/>
            <w:vAlign w:val="center"/>
          </w:tcPr>
          <w:p w14:paraId="40C26720">
            <w:pPr>
              <w:jc w:val="right"/>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w:t>
            </w:r>
          </w:p>
        </w:tc>
        <w:tc>
          <w:tcPr>
            <w:tcW w:w="3218" w:type="dxa"/>
            <w:tcBorders>
              <w:top w:val="nil"/>
              <w:left w:val="nil"/>
              <w:bottom w:val="single" w:color="auto" w:sz="4" w:space="0"/>
              <w:right w:val="single" w:color="auto" w:sz="4" w:space="0"/>
            </w:tcBorders>
            <w:shd w:val="clear" w:color="auto" w:fill="auto"/>
            <w:vAlign w:val="center"/>
          </w:tcPr>
          <w:p w14:paraId="2C10588D">
            <w:pPr>
              <w:widowControl/>
              <w:adjustRightInd/>
              <w:jc w:val="left"/>
              <w:rPr>
                <w:rFonts w:hint="eastAsia" w:ascii="宋体" w:hAnsi="宋体" w:eastAsia="宋体" w:cs="宋体"/>
                <w:color w:val="000000"/>
                <w:kern w:val="0"/>
                <w:sz w:val="24"/>
              </w:rPr>
            </w:pPr>
            <w:r>
              <w:rPr>
                <w:rFonts w:hint="eastAsia" w:ascii="宋体" w:hAnsi="宋体" w:eastAsia="宋体" w:cs="宋体"/>
                <w:color w:val="000000"/>
                <w:kern w:val="0"/>
                <w:sz w:val="24"/>
              </w:rPr>
              <w:t>元/件，含堆桩</w:t>
            </w:r>
          </w:p>
        </w:tc>
      </w:tr>
      <w:tr w14:paraId="3253A4E7">
        <w:tblPrEx>
          <w:tblCellMar>
            <w:top w:w="0" w:type="dxa"/>
            <w:left w:w="108" w:type="dxa"/>
            <w:bottom w:w="0" w:type="dxa"/>
            <w:right w:w="108" w:type="dxa"/>
          </w:tblCellMar>
        </w:tblPrEx>
        <w:trPr>
          <w:trHeight w:val="883"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14:paraId="44B6E790">
            <w:pPr>
              <w:widowControl/>
              <w:adjustRightInd/>
              <w:jc w:val="left"/>
              <w:rPr>
                <w:rFonts w:hint="eastAsia" w:ascii="宋体" w:hAnsi="宋体" w:eastAsia="宋体" w:cs="宋体"/>
                <w:b/>
                <w:bCs/>
                <w:color w:val="000000"/>
                <w:kern w:val="0"/>
                <w:sz w:val="24"/>
              </w:rPr>
            </w:pPr>
          </w:p>
        </w:tc>
        <w:tc>
          <w:tcPr>
            <w:tcW w:w="3718" w:type="dxa"/>
            <w:tcBorders>
              <w:top w:val="single" w:color="auto" w:sz="4" w:space="0"/>
              <w:left w:val="nil"/>
              <w:bottom w:val="single" w:color="auto" w:sz="4" w:space="0"/>
              <w:right w:val="single" w:color="auto" w:sz="4" w:space="0"/>
            </w:tcBorders>
            <w:shd w:val="clear" w:color="auto" w:fill="auto"/>
            <w:vAlign w:val="center"/>
          </w:tcPr>
          <w:p w14:paraId="0C246F2B">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麻袋整理打件</w:t>
            </w:r>
          </w:p>
        </w:tc>
        <w:tc>
          <w:tcPr>
            <w:tcW w:w="1536" w:type="dxa"/>
            <w:tcBorders>
              <w:top w:val="nil"/>
              <w:left w:val="nil"/>
              <w:bottom w:val="single" w:color="auto" w:sz="4" w:space="0"/>
              <w:right w:val="single" w:color="auto" w:sz="4" w:space="0"/>
            </w:tcBorders>
            <w:shd w:val="clear" w:color="auto" w:fill="auto"/>
            <w:vAlign w:val="center"/>
          </w:tcPr>
          <w:p w14:paraId="40054142">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 xml:space="preserve">10.00 </w:t>
            </w:r>
          </w:p>
        </w:tc>
        <w:tc>
          <w:tcPr>
            <w:tcW w:w="986" w:type="dxa"/>
            <w:tcBorders>
              <w:top w:val="nil"/>
              <w:left w:val="nil"/>
              <w:bottom w:val="single" w:color="auto" w:sz="4" w:space="0"/>
              <w:right w:val="single" w:color="auto" w:sz="4" w:space="0"/>
            </w:tcBorders>
            <w:shd w:val="clear" w:color="auto" w:fill="auto"/>
            <w:vAlign w:val="center"/>
          </w:tcPr>
          <w:p w14:paraId="162C25AA">
            <w:pPr>
              <w:jc w:val="right"/>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w:t>
            </w:r>
          </w:p>
        </w:tc>
        <w:tc>
          <w:tcPr>
            <w:tcW w:w="3218" w:type="dxa"/>
            <w:tcBorders>
              <w:top w:val="nil"/>
              <w:left w:val="nil"/>
              <w:bottom w:val="single" w:color="auto" w:sz="4" w:space="0"/>
              <w:right w:val="single" w:color="auto" w:sz="4" w:space="0"/>
            </w:tcBorders>
            <w:shd w:val="clear" w:color="auto" w:fill="auto"/>
            <w:vAlign w:val="center"/>
          </w:tcPr>
          <w:p w14:paraId="3A2482E6">
            <w:pPr>
              <w:widowControl/>
              <w:adjustRightInd/>
              <w:jc w:val="left"/>
              <w:rPr>
                <w:rFonts w:hint="eastAsia" w:ascii="宋体" w:hAnsi="宋体" w:eastAsia="宋体" w:cs="宋体"/>
                <w:color w:val="000000"/>
                <w:kern w:val="0"/>
                <w:sz w:val="24"/>
              </w:rPr>
            </w:pPr>
            <w:r>
              <w:rPr>
                <w:rFonts w:hint="eastAsia" w:ascii="宋体" w:hAnsi="宋体" w:eastAsia="宋体" w:cs="宋体"/>
                <w:color w:val="000000"/>
                <w:kern w:val="0"/>
                <w:sz w:val="24"/>
              </w:rPr>
              <w:t>元/件，含堆桩、驳运</w:t>
            </w:r>
          </w:p>
        </w:tc>
      </w:tr>
      <w:tr w14:paraId="1F5824EB">
        <w:tblPrEx>
          <w:tblCellMar>
            <w:top w:w="0" w:type="dxa"/>
            <w:left w:w="108" w:type="dxa"/>
            <w:bottom w:w="0" w:type="dxa"/>
            <w:right w:w="108" w:type="dxa"/>
          </w:tblCellMar>
        </w:tblPrEx>
        <w:trPr>
          <w:trHeight w:val="883"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14:paraId="2E57C700">
            <w:pPr>
              <w:widowControl/>
              <w:adjustRightInd/>
              <w:jc w:val="left"/>
              <w:rPr>
                <w:rFonts w:hint="eastAsia" w:ascii="宋体" w:hAnsi="宋体" w:eastAsia="宋体" w:cs="宋体"/>
                <w:b/>
                <w:bCs/>
                <w:color w:val="000000"/>
                <w:kern w:val="0"/>
                <w:sz w:val="24"/>
              </w:rPr>
            </w:pPr>
          </w:p>
        </w:tc>
        <w:tc>
          <w:tcPr>
            <w:tcW w:w="3718" w:type="dxa"/>
            <w:tcBorders>
              <w:top w:val="single" w:color="auto" w:sz="4" w:space="0"/>
              <w:left w:val="nil"/>
              <w:bottom w:val="single" w:color="auto" w:sz="4" w:space="0"/>
              <w:right w:val="single" w:color="auto" w:sz="4" w:space="0"/>
            </w:tcBorders>
            <w:shd w:val="clear" w:color="auto" w:fill="auto"/>
            <w:vAlign w:val="center"/>
          </w:tcPr>
          <w:p w14:paraId="1D9420AC">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砻糠等泡货装、卸车</w:t>
            </w:r>
          </w:p>
        </w:tc>
        <w:tc>
          <w:tcPr>
            <w:tcW w:w="1536" w:type="dxa"/>
            <w:tcBorders>
              <w:top w:val="nil"/>
              <w:left w:val="nil"/>
              <w:bottom w:val="single" w:color="auto" w:sz="4" w:space="0"/>
              <w:right w:val="single" w:color="auto" w:sz="4" w:space="0"/>
            </w:tcBorders>
            <w:shd w:val="clear" w:color="auto" w:fill="auto"/>
            <w:vAlign w:val="center"/>
          </w:tcPr>
          <w:p w14:paraId="0CD260FF">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0.5元/包</w:t>
            </w:r>
          </w:p>
        </w:tc>
        <w:tc>
          <w:tcPr>
            <w:tcW w:w="986" w:type="dxa"/>
            <w:tcBorders>
              <w:top w:val="nil"/>
              <w:left w:val="nil"/>
              <w:bottom w:val="single" w:color="auto" w:sz="4" w:space="0"/>
              <w:right w:val="single" w:color="auto" w:sz="4" w:space="0"/>
            </w:tcBorders>
            <w:shd w:val="clear" w:color="auto" w:fill="auto"/>
            <w:vAlign w:val="center"/>
          </w:tcPr>
          <w:p w14:paraId="75888A96">
            <w:pPr>
              <w:jc w:val="center"/>
              <w:rPr>
                <w:rFonts w:hint="eastAsia" w:ascii="宋体" w:hAnsi="宋体" w:eastAsia="宋体" w:cs="宋体"/>
                <w:color w:val="000000"/>
                <w:sz w:val="24"/>
              </w:rPr>
            </w:pPr>
          </w:p>
        </w:tc>
        <w:tc>
          <w:tcPr>
            <w:tcW w:w="3218" w:type="dxa"/>
            <w:tcBorders>
              <w:top w:val="nil"/>
              <w:left w:val="nil"/>
              <w:bottom w:val="single" w:color="auto" w:sz="4" w:space="0"/>
              <w:right w:val="single" w:color="auto" w:sz="4" w:space="0"/>
            </w:tcBorders>
            <w:shd w:val="clear" w:color="auto" w:fill="auto"/>
            <w:vAlign w:val="center"/>
          </w:tcPr>
          <w:p w14:paraId="644999A6">
            <w:pPr>
              <w:widowControl/>
              <w:adjustRightInd/>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r>
      <w:tr w14:paraId="42B10526">
        <w:tblPrEx>
          <w:tblCellMar>
            <w:top w:w="0" w:type="dxa"/>
            <w:left w:w="108" w:type="dxa"/>
            <w:bottom w:w="0" w:type="dxa"/>
            <w:right w:w="108" w:type="dxa"/>
          </w:tblCellMar>
        </w:tblPrEx>
        <w:trPr>
          <w:trHeight w:val="883"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14:paraId="3BF5D2EF">
            <w:pPr>
              <w:widowControl/>
              <w:adjustRightInd/>
              <w:jc w:val="left"/>
              <w:rPr>
                <w:rFonts w:hint="eastAsia" w:ascii="宋体" w:hAnsi="宋体" w:eastAsia="宋体" w:cs="宋体"/>
                <w:b/>
                <w:bCs/>
                <w:color w:val="000000"/>
                <w:kern w:val="0"/>
                <w:sz w:val="24"/>
              </w:rPr>
            </w:pPr>
          </w:p>
        </w:tc>
        <w:tc>
          <w:tcPr>
            <w:tcW w:w="3718" w:type="dxa"/>
            <w:tcBorders>
              <w:top w:val="single" w:color="auto" w:sz="4" w:space="0"/>
              <w:left w:val="nil"/>
              <w:bottom w:val="single" w:color="auto" w:sz="4" w:space="0"/>
              <w:right w:val="single" w:color="auto" w:sz="4" w:space="0"/>
            </w:tcBorders>
            <w:shd w:val="clear" w:color="auto" w:fill="auto"/>
            <w:vAlign w:val="center"/>
          </w:tcPr>
          <w:p w14:paraId="30602D69">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房式仓粮面砻粮压盖或揭除</w:t>
            </w:r>
          </w:p>
        </w:tc>
        <w:tc>
          <w:tcPr>
            <w:tcW w:w="1536" w:type="dxa"/>
            <w:tcBorders>
              <w:top w:val="nil"/>
              <w:left w:val="nil"/>
              <w:bottom w:val="single" w:color="auto" w:sz="4" w:space="0"/>
              <w:right w:val="single" w:color="auto" w:sz="4" w:space="0"/>
            </w:tcBorders>
            <w:shd w:val="clear" w:color="auto" w:fill="auto"/>
            <w:vAlign w:val="center"/>
          </w:tcPr>
          <w:p w14:paraId="58AE8536">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 xml:space="preserve">1.50 </w:t>
            </w:r>
          </w:p>
        </w:tc>
        <w:tc>
          <w:tcPr>
            <w:tcW w:w="986" w:type="dxa"/>
            <w:tcBorders>
              <w:top w:val="nil"/>
              <w:left w:val="nil"/>
              <w:bottom w:val="single" w:color="auto" w:sz="4" w:space="0"/>
              <w:right w:val="single" w:color="auto" w:sz="4" w:space="0"/>
            </w:tcBorders>
            <w:shd w:val="clear" w:color="auto" w:fill="auto"/>
            <w:vAlign w:val="center"/>
          </w:tcPr>
          <w:p w14:paraId="221344B5">
            <w:pPr>
              <w:jc w:val="right"/>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w:t>
            </w:r>
          </w:p>
        </w:tc>
        <w:tc>
          <w:tcPr>
            <w:tcW w:w="3218" w:type="dxa"/>
            <w:tcBorders>
              <w:top w:val="nil"/>
              <w:left w:val="nil"/>
              <w:bottom w:val="single" w:color="auto" w:sz="4" w:space="0"/>
              <w:right w:val="single" w:color="auto" w:sz="4" w:space="0"/>
            </w:tcBorders>
            <w:shd w:val="clear" w:color="auto" w:fill="auto"/>
            <w:vAlign w:val="center"/>
          </w:tcPr>
          <w:p w14:paraId="749DDBC7">
            <w:pPr>
              <w:widowControl/>
              <w:adjustRightInd/>
              <w:jc w:val="left"/>
              <w:rPr>
                <w:rFonts w:hint="eastAsia" w:ascii="宋体" w:hAnsi="宋体" w:eastAsia="宋体" w:cs="宋体"/>
                <w:color w:val="000000"/>
                <w:kern w:val="0"/>
                <w:sz w:val="24"/>
              </w:rPr>
            </w:pPr>
            <w:r>
              <w:rPr>
                <w:rFonts w:hint="eastAsia" w:ascii="宋体" w:hAnsi="宋体" w:eastAsia="宋体" w:cs="宋体"/>
                <w:color w:val="000000"/>
                <w:kern w:val="0"/>
                <w:sz w:val="24"/>
              </w:rPr>
              <w:t>元/包，含驳运、堆放</w:t>
            </w:r>
          </w:p>
        </w:tc>
      </w:tr>
      <w:tr w14:paraId="614F9628">
        <w:tblPrEx>
          <w:tblCellMar>
            <w:top w:w="0" w:type="dxa"/>
            <w:left w:w="108" w:type="dxa"/>
            <w:bottom w:w="0" w:type="dxa"/>
            <w:right w:w="108" w:type="dxa"/>
          </w:tblCellMar>
        </w:tblPrEx>
        <w:trPr>
          <w:trHeight w:val="883"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14:paraId="76DA81BD">
            <w:pPr>
              <w:widowControl/>
              <w:adjustRightInd/>
              <w:jc w:val="left"/>
              <w:rPr>
                <w:rFonts w:hint="eastAsia" w:ascii="宋体" w:hAnsi="宋体" w:eastAsia="宋体" w:cs="宋体"/>
                <w:b/>
                <w:bCs/>
                <w:color w:val="000000"/>
                <w:kern w:val="0"/>
                <w:sz w:val="24"/>
              </w:rPr>
            </w:pPr>
          </w:p>
        </w:tc>
        <w:tc>
          <w:tcPr>
            <w:tcW w:w="3718" w:type="dxa"/>
            <w:tcBorders>
              <w:top w:val="single" w:color="auto" w:sz="4" w:space="0"/>
              <w:left w:val="nil"/>
              <w:bottom w:val="single" w:color="auto" w:sz="4" w:space="0"/>
              <w:right w:val="single" w:color="auto" w:sz="4" w:space="0"/>
            </w:tcBorders>
            <w:shd w:val="clear" w:color="auto" w:fill="auto"/>
            <w:vAlign w:val="center"/>
          </w:tcPr>
          <w:p w14:paraId="29ED0F7C">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砻糠灌包缝口</w:t>
            </w:r>
          </w:p>
        </w:tc>
        <w:tc>
          <w:tcPr>
            <w:tcW w:w="1536" w:type="dxa"/>
            <w:tcBorders>
              <w:top w:val="nil"/>
              <w:left w:val="nil"/>
              <w:bottom w:val="single" w:color="auto" w:sz="4" w:space="0"/>
              <w:right w:val="single" w:color="auto" w:sz="4" w:space="0"/>
            </w:tcBorders>
            <w:shd w:val="clear" w:color="auto" w:fill="auto"/>
            <w:vAlign w:val="center"/>
          </w:tcPr>
          <w:p w14:paraId="35620C5D">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 xml:space="preserve">2.00 </w:t>
            </w:r>
          </w:p>
        </w:tc>
        <w:tc>
          <w:tcPr>
            <w:tcW w:w="986" w:type="dxa"/>
            <w:tcBorders>
              <w:top w:val="nil"/>
              <w:left w:val="nil"/>
              <w:bottom w:val="single" w:color="auto" w:sz="4" w:space="0"/>
              <w:right w:val="single" w:color="auto" w:sz="4" w:space="0"/>
            </w:tcBorders>
            <w:shd w:val="clear" w:color="auto" w:fill="auto"/>
            <w:vAlign w:val="center"/>
          </w:tcPr>
          <w:p w14:paraId="17B62760">
            <w:pPr>
              <w:jc w:val="right"/>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w:t>
            </w:r>
          </w:p>
        </w:tc>
        <w:tc>
          <w:tcPr>
            <w:tcW w:w="3218" w:type="dxa"/>
            <w:tcBorders>
              <w:top w:val="nil"/>
              <w:left w:val="nil"/>
              <w:bottom w:val="single" w:color="auto" w:sz="4" w:space="0"/>
              <w:right w:val="single" w:color="auto" w:sz="4" w:space="0"/>
            </w:tcBorders>
            <w:shd w:val="clear" w:color="auto" w:fill="auto"/>
            <w:vAlign w:val="center"/>
          </w:tcPr>
          <w:p w14:paraId="11EADFA1">
            <w:pPr>
              <w:widowControl/>
              <w:adjustRightInd/>
              <w:jc w:val="left"/>
              <w:rPr>
                <w:rFonts w:hint="eastAsia" w:ascii="宋体" w:hAnsi="宋体" w:eastAsia="宋体" w:cs="宋体"/>
                <w:color w:val="000000"/>
                <w:kern w:val="0"/>
                <w:sz w:val="24"/>
              </w:rPr>
            </w:pPr>
            <w:r>
              <w:rPr>
                <w:rFonts w:hint="eastAsia" w:ascii="宋体" w:hAnsi="宋体" w:eastAsia="宋体" w:cs="宋体"/>
                <w:color w:val="000000"/>
                <w:kern w:val="0"/>
                <w:sz w:val="24"/>
              </w:rPr>
              <w:t>元/包，含包装物准备等</w:t>
            </w:r>
          </w:p>
        </w:tc>
      </w:tr>
      <w:tr w14:paraId="0547D686">
        <w:tblPrEx>
          <w:tblCellMar>
            <w:top w:w="0" w:type="dxa"/>
            <w:left w:w="108" w:type="dxa"/>
            <w:bottom w:w="0" w:type="dxa"/>
            <w:right w:w="108" w:type="dxa"/>
          </w:tblCellMar>
        </w:tblPrEx>
        <w:trPr>
          <w:trHeight w:val="883"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14:paraId="2512445E">
            <w:pPr>
              <w:widowControl/>
              <w:adjustRightInd/>
              <w:jc w:val="left"/>
              <w:rPr>
                <w:rFonts w:hint="eastAsia" w:ascii="宋体" w:hAnsi="宋体" w:eastAsia="宋体" w:cs="宋体"/>
                <w:b/>
                <w:bCs/>
                <w:color w:val="000000"/>
                <w:kern w:val="0"/>
                <w:sz w:val="24"/>
              </w:rPr>
            </w:pPr>
          </w:p>
        </w:tc>
        <w:tc>
          <w:tcPr>
            <w:tcW w:w="3718" w:type="dxa"/>
            <w:tcBorders>
              <w:top w:val="single" w:color="auto" w:sz="4" w:space="0"/>
              <w:left w:val="nil"/>
              <w:bottom w:val="single" w:color="auto" w:sz="4" w:space="0"/>
              <w:right w:val="single" w:color="auto" w:sz="4" w:space="0"/>
            </w:tcBorders>
            <w:shd w:val="clear" w:color="auto" w:fill="auto"/>
            <w:vAlign w:val="center"/>
          </w:tcPr>
          <w:p w14:paraId="20B573E8">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仓内砻糠铺垫平房仓（钢仓单货位）</w:t>
            </w:r>
          </w:p>
        </w:tc>
        <w:tc>
          <w:tcPr>
            <w:tcW w:w="1536" w:type="dxa"/>
            <w:tcBorders>
              <w:top w:val="nil"/>
              <w:left w:val="nil"/>
              <w:bottom w:val="single" w:color="auto" w:sz="4" w:space="0"/>
              <w:right w:val="single" w:color="auto" w:sz="4" w:space="0"/>
            </w:tcBorders>
            <w:shd w:val="clear" w:color="auto" w:fill="auto"/>
            <w:vAlign w:val="center"/>
          </w:tcPr>
          <w:p w14:paraId="5A885C99">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200</w:t>
            </w:r>
          </w:p>
        </w:tc>
        <w:tc>
          <w:tcPr>
            <w:tcW w:w="986" w:type="dxa"/>
            <w:tcBorders>
              <w:top w:val="nil"/>
              <w:left w:val="nil"/>
              <w:bottom w:val="single" w:color="auto" w:sz="4" w:space="0"/>
              <w:right w:val="single" w:color="auto" w:sz="4" w:space="0"/>
            </w:tcBorders>
            <w:shd w:val="clear" w:color="auto" w:fill="auto"/>
            <w:vAlign w:val="center"/>
          </w:tcPr>
          <w:p w14:paraId="25A48CE8">
            <w:pPr>
              <w:jc w:val="right"/>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w:t>
            </w:r>
          </w:p>
        </w:tc>
        <w:tc>
          <w:tcPr>
            <w:tcW w:w="3218" w:type="dxa"/>
            <w:tcBorders>
              <w:top w:val="nil"/>
              <w:left w:val="nil"/>
              <w:bottom w:val="single" w:color="auto" w:sz="4" w:space="0"/>
              <w:right w:val="single" w:color="auto" w:sz="4" w:space="0"/>
            </w:tcBorders>
            <w:shd w:val="clear" w:color="auto" w:fill="auto"/>
            <w:vAlign w:val="center"/>
          </w:tcPr>
          <w:p w14:paraId="2CBFF9DA">
            <w:pPr>
              <w:widowControl/>
              <w:adjustRightInd/>
              <w:jc w:val="left"/>
              <w:rPr>
                <w:rFonts w:hint="eastAsia" w:ascii="宋体" w:hAnsi="宋体" w:eastAsia="宋体" w:cs="宋体"/>
                <w:color w:val="000000"/>
                <w:kern w:val="0"/>
                <w:sz w:val="24"/>
              </w:rPr>
            </w:pPr>
            <w:r>
              <w:rPr>
                <w:rFonts w:hint="eastAsia" w:ascii="宋体" w:hAnsi="宋体" w:eastAsia="宋体" w:cs="宋体"/>
                <w:color w:val="000000"/>
                <w:kern w:val="0"/>
                <w:sz w:val="24"/>
              </w:rPr>
              <w:t>元/个</w:t>
            </w:r>
          </w:p>
        </w:tc>
      </w:tr>
      <w:tr w14:paraId="0EDA53A3">
        <w:tblPrEx>
          <w:tblCellMar>
            <w:top w:w="0" w:type="dxa"/>
            <w:left w:w="108" w:type="dxa"/>
            <w:bottom w:w="0" w:type="dxa"/>
            <w:right w:w="108" w:type="dxa"/>
          </w:tblCellMar>
        </w:tblPrEx>
        <w:trPr>
          <w:trHeight w:val="883"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14:paraId="02694025">
            <w:pPr>
              <w:widowControl/>
              <w:adjustRightInd/>
              <w:jc w:val="left"/>
              <w:rPr>
                <w:rFonts w:hint="eastAsia" w:ascii="宋体" w:hAnsi="宋体" w:eastAsia="宋体" w:cs="宋体"/>
                <w:b/>
                <w:bCs/>
                <w:color w:val="000000"/>
                <w:kern w:val="0"/>
                <w:sz w:val="24"/>
              </w:rPr>
            </w:pPr>
          </w:p>
        </w:tc>
        <w:tc>
          <w:tcPr>
            <w:tcW w:w="3718" w:type="dxa"/>
            <w:tcBorders>
              <w:top w:val="single" w:color="auto" w:sz="4" w:space="0"/>
              <w:left w:val="nil"/>
              <w:bottom w:val="single" w:color="auto" w:sz="4" w:space="0"/>
              <w:right w:val="single" w:color="auto" w:sz="4" w:space="0"/>
            </w:tcBorders>
            <w:shd w:val="clear" w:color="auto" w:fill="auto"/>
            <w:vAlign w:val="center"/>
          </w:tcPr>
          <w:p w14:paraId="64F42C0D">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仓内砻糠铺垫高大平房仓（钢仓两货位合并）</w:t>
            </w:r>
          </w:p>
        </w:tc>
        <w:tc>
          <w:tcPr>
            <w:tcW w:w="1536" w:type="dxa"/>
            <w:tcBorders>
              <w:top w:val="nil"/>
              <w:left w:val="nil"/>
              <w:bottom w:val="single" w:color="auto" w:sz="4" w:space="0"/>
              <w:right w:val="single" w:color="auto" w:sz="4" w:space="0"/>
            </w:tcBorders>
            <w:shd w:val="clear" w:color="auto" w:fill="auto"/>
            <w:vAlign w:val="center"/>
          </w:tcPr>
          <w:p w14:paraId="1935523D">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300</w:t>
            </w:r>
          </w:p>
        </w:tc>
        <w:tc>
          <w:tcPr>
            <w:tcW w:w="986" w:type="dxa"/>
            <w:tcBorders>
              <w:top w:val="nil"/>
              <w:left w:val="nil"/>
              <w:bottom w:val="single" w:color="auto" w:sz="4" w:space="0"/>
              <w:right w:val="single" w:color="auto" w:sz="4" w:space="0"/>
            </w:tcBorders>
            <w:shd w:val="clear" w:color="auto" w:fill="auto"/>
            <w:vAlign w:val="center"/>
          </w:tcPr>
          <w:p w14:paraId="6B71EAEB">
            <w:pPr>
              <w:jc w:val="right"/>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w:t>
            </w:r>
          </w:p>
        </w:tc>
        <w:tc>
          <w:tcPr>
            <w:tcW w:w="3218" w:type="dxa"/>
            <w:tcBorders>
              <w:top w:val="nil"/>
              <w:left w:val="nil"/>
              <w:bottom w:val="single" w:color="auto" w:sz="4" w:space="0"/>
              <w:right w:val="single" w:color="auto" w:sz="4" w:space="0"/>
            </w:tcBorders>
            <w:shd w:val="clear" w:color="auto" w:fill="auto"/>
            <w:vAlign w:val="center"/>
          </w:tcPr>
          <w:p w14:paraId="2463B6DB">
            <w:pPr>
              <w:widowControl/>
              <w:adjustRightInd/>
              <w:jc w:val="left"/>
              <w:rPr>
                <w:rFonts w:hint="eastAsia" w:ascii="宋体" w:hAnsi="宋体" w:eastAsia="宋体" w:cs="宋体"/>
                <w:color w:val="000000"/>
                <w:kern w:val="0"/>
                <w:sz w:val="24"/>
              </w:rPr>
            </w:pPr>
            <w:r>
              <w:rPr>
                <w:rFonts w:hint="eastAsia" w:ascii="宋体" w:hAnsi="宋体" w:eastAsia="宋体" w:cs="宋体"/>
                <w:color w:val="000000"/>
                <w:kern w:val="0"/>
                <w:sz w:val="24"/>
              </w:rPr>
              <w:t>元/个</w:t>
            </w:r>
          </w:p>
        </w:tc>
      </w:tr>
      <w:tr w14:paraId="30DA0EB4">
        <w:tblPrEx>
          <w:tblCellMar>
            <w:top w:w="0" w:type="dxa"/>
            <w:left w:w="108" w:type="dxa"/>
            <w:bottom w:w="0" w:type="dxa"/>
            <w:right w:w="108" w:type="dxa"/>
          </w:tblCellMar>
        </w:tblPrEx>
        <w:trPr>
          <w:trHeight w:val="780"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14:paraId="7DBA4EF3">
            <w:pPr>
              <w:widowControl/>
              <w:adjustRightInd/>
              <w:jc w:val="left"/>
              <w:rPr>
                <w:rFonts w:hint="eastAsia" w:ascii="宋体" w:hAnsi="宋体" w:eastAsia="宋体" w:cs="宋体"/>
                <w:b/>
                <w:bCs/>
                <w:color w:val="000000"/>
                <w:kern w:val="0"/>
                <w:sz w:val="24"/>
              </w:rPr>
            </w:pPr>
          </w:p>
        </w:tc>
        <w:tc>
          <w:tcPr>
            <w:tcW w:w="3718" w:type="dxa"/>
            <w:tcBorders>
              <w:top w:val="single" w:color="auto" w:sz="4" w:space="0"/>
              <w:left w:val="nil"/>
              <w:bottom w:val="single" w:color="auto" w:sz="4" w:space="0"/>
              <w:right w:val="single" w:color="auto" w:sz="4" w:space="0"/>
            </w:tcBorders>
            <w:shd w:val="clear" w:color="auto" w:fill="auto"/>
            <w:vAlign w:val="center"/>
          </w:tcPr>
          <w:p w14:paraId="204C9D1C">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粮面粮食灌包铺走道（稻谷）</w:t>
            </w:r>
          </w:p>
        </w:tc>
        <w:tc>
          <w:tcPr>
            <w:tcW w:w="1536" w:type="dxa"/>
            <w:tcBorders>
              <w:top w:val="nil"/>
              <w:left w:val="nil"/>
              <w:bottom w:val="single" w:color="auto" w:sz="4" w:space="0"/>
              <w:right w:val="single" w:color="auto" w:sz="4" w:space="0"/>
            </w:tcBorders>
            <w:shd w:val="clear" w:color="auto" w:fill="auto"/>
            <w:vAlign w:val="center"/>
          </w:tcPr>
          <w:p w14:paraId="180AFA90">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稻谷1.60  小麦1.80</w:t>
            </w:r>
          </w:p>
        </w:tc>
        <w:tc>
          <w:tcPr>
            <w:tcW w:w="986" w:type="dxa"/>
            <w:tcBorders>
              <w:top w:val="nil"/>
              <w:left w:val="nil"/>
              <w:bottom w:val="single" w:color="auto" w:sz="4" w:space="0"/>
              <w:right w:val="single" w:color="auto" w:sz="4" w:space="0"/>
            </w:tcBorders>
            <w:shd w:val="clear" w:color="auto" w:fill="auto"/>
            <w:vAlign w:val="center"/>
          </w:tcPr>
          <w:p w14:paraId="398791DE">
            <w:pPr>
              <w:jc w:val="center"/>
              <w:rPr>
                <w:rFonts w:hint="eastAsia" w:ascii="宋体" w:hAnsi="宋体" w:eastAsia="宋体" w:cs="宋体"/>
                <w:color w:val="000000"/>
                <w:sz w:val="24"/>
              </w:rPr>
            </w:pPr>
          </w:p>
        </w:tc>
        <w:tc>
          <w:tcPr>
            <w:tcW w:w="3218" w:type="dxa"/>
            <w:tcBorders>
              <w:top w:val="nil"/>
              <w:left w:val="nil"/>
              <w:bottom w:val="single" w:color="auto" w:sz="4" w:space="0"/>
              <w:right w:val="single" w:color="auto" w:sz="4" w:space="0"/>
            </w:tcBorders>
            <w:shd w:val="clear" w:color="auto" w:fill="auto"/>
            <w:vAlign w:val="center"/>
          </w:tcPr>
          <w:p w14:paraId="39B76ACD">
            <w:pPr>
              <w:widowControl/>
              <w:adjustRightInd/>
              <w:jc w:val="left"/>
              <w:rPr>
                <w:rFonts w:hint="eastAsia" w:ascii="宋体" w:hAnsi="宋体" w:eastAsia="宋体" w:cs="宋体"/>
                <w:color w:val="000000"/>
                <w:kern w:val="0"/>
                <w:sz w:val="24"/>
              </w:rPr>
            </w:pPr>
            <w:r>
              <w:rPr>
                <w:rFonts w:hint="eastAsia" w:ascii="宋体" w:hAnsi="宋体" w:eastAsia="宋体" w:cs="宋体"/>
                <w:color w:val="000000"/>
                <w:kern w:val="0"/>
                <w:sz w:val="24"/>
              </w:rPr>
              <w:t>元/包</w:t>
            </w:r>
          </w:p>
        </w:tc>
      </w:tr>
      <w:tr w14:paraId="53D1701E">
        <w:tblPrEx>
          <w:tblCellMar>
            <w:top w:w="0" w:type="dxa"/>
            <w:left w:w="108" w:type="dxa"/>
            <w:bottom w:w="0" w:type="dxa"/>
            <w:right w:w="108" w:type="dxa"/>
          </w:tblCellMar>
        </w:tblPrEx>
        <w:trPr>
          <w:trHeight w:val="883"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14:paraId="5015FC08">
            <w:pPr>
              <w:widowControl/>
              <w:adjustRightInd/>
              <w:jc w:val="left"/>
              <w:rPr>
                <w:rFonts w:hint="eastAsia" w:ascii="宋体" w:hAnsi="宋体" w:eastAsia="宋体" w:cs="宋体"/>
                <w:b/>
                <w:bCs/>
                <w:color w:val="000000"/>
                <w:kern w:val="0"/>
                <w:sz w:val="24"/>
              </w:rPr>
            </w:pPr>
          </w:p>
        </w:tc>
        <w:tc>
          <w:tcPr>
            <w:tcW w:w="3718" w:type="dxa"/>
            <w:tcBorders>
              <w:top w:val="single" w:color="auto" w:sz="4" w:space="0"/>
              <w:left w:val="nil"/>
              <w:bottom w:val="single" w:color="auto" w:sz="4" w:space="0"/>
              <w:right w:val="single" w:color="auto" w:sz="4" w:space="0"/>
            </w:tcBorders>
            <w:shd w:val="clear" w:color="auto" w:fill="auto"/>
            <w:vAlign w:val="center"/>
          </w:tcPr>
          <w:p w14:paraId="6690DED6">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杂工</w:t>
            </w:r>
          </w:p>
        </w:tc>
        <w:tc>
          <w:tcPr>
            <w:tcW w:w="1536" w:type="dxa"/>
            <w:tcBorders>
              <w:top w:val="nil"/>
              <w:left w:val="nil"/>
              <w:bottom w:val="single" w:color="auto" w:sz="4" w:space="0"/>
              <w:right w:val="single" w:color="auto" w:sz="4" w:space="0"/>
            </w:tcBorders>
            <w:shd w:val="clear" w:color="auto" w:fill="auto"/>
            <w:vAlign w:val="center"/>
          </w:tcPr>
          <w:p w14:paraId="678C67B4">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200</w:t>
            </w:r>
          </w:p>
        </w:tc>
        <w:tc>
          <w:tcPr>
            <w:tcW w:w="986" w:type="dxa"/>
            <w:tcBorders>
              <w:top w:val="nil"/>
              <w:left w:val="nil"/>
              <w:bottom w:val="single" w:color="auto" w:sz="4" w:space="0"/>
              <w:right w:val="single" w:color="auto" w:sz="4" w:space="0"/>
            </w:tcBorders>
            <w:shd w:val="clear" w:color="auto" w:fill="auto"/>
            <w:vAlign w:val="center"/>
          </w:tcPr>
          <w:p w14:paraId="65EFFA37">
            <w:pPr>
              <w:jc w:val="right"/>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w:t>
            </w:r>
          </w:p>
        </w:tc>
        <w:tc>
          <w:tcPr>
            <w:tcW w:w="3218" w:type="dxa"/>
            <w:tcBorders>
              <w:top w:val="nil"/>
              <w:left w:val="nil"/>
              <w:bottom w:val="single" w:color="auto" w:sz="4" w:space="0"/>
              <w:right w:val="single" w:color="auto" w:sz="4" w:space="0"/>
            </w:tcBorders>
            <w:shd w:val="clear" w:color="auto" w:fill="auto"/>
            <w:vAlign w:val="center"/>
          </w:tcPr>
          <w:p w14:paraId="6FE5EFCA">
            <w:pPr>
              <w:widowControl/>
              <w:adjustRightInd/>
              <w:jc w:val="left"/>
              <w:rPr>
                <w:rFonts w:hint="eastAsia" w:ascii="宋体" w:hAnsi="宋体" w:eastAsia="宋体" w:cs="宋体"/>
                <w:color w:val="000000"/>
                <w:kern w:val="0"/>
                <w:sz w:val="24"/>
              </w:rPr>
            </w:pPr>
            <w:r>
              <w:rPr>
                <w:rFonts w:hint="eastAsia" w:ascii="宋体" w:hAnsi="宋体" w:eastAsia="宋体" w:cs="宋体"/>
                <w:color w:val="000000"/>
                <w:kern w:val="0"/>
                <w:sz w:val="24"/>
              </w:rPr>
              <w:t>元/工</w:t>
            </w:r>
          </w:p>
        </w:tc>
      </w:tr>
      <w:tr w14:paraId="1244D178">
        <w:tblPrEx>
          <w:tblCellMar>
            <w:top w:w="0" w:type="dxa"/>
            <w:left w:w="108" w:type="dxa"/>
            <w:bottom w:w="0" w:type="dxa"/>
            <w:right w:w="108" w:type="dxa"/>
          </w:tblCellMar>
        </w:tblPrEx>
        <w:trPr>
          <w:trHeight w:val="883" w:hRule="atLeast"/>
          <w:jc w:val="center"/>
        </w:trPr>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14:paraId="265290A9">
            <w:pPr>
              <w:widowControl/>
              <w:adjustRightInd/>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单一</w:t>
            </w:r>
          </w:p>
        </w:tc>
        <w:tc>
          <w:tcPr>
            <w:tcW w:w="3718" w:type="dxa"/>
            <w:tcBorders>
              <w:top w:val="single" w:color="auto" w:sz="4" w:space="0"/>
              <w:left w:val="nil"/>
              <w:bottom w:val="single" w:color="auto" w:sz="4" w:space="0"/>
              <w:right w:val="single" w:color="auto" w:sz="4" w:space="0"/>
            </w:tcBorders>
            <w:shd w:val="clear" w:color="auto" w:fill="auto"/>
            <w:vAlign w:val="center"/>
          </w:tcPr>
          <w:p w14:paraId="47211FBF">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收购粮除糙机除糙米</w:t>
            </w:r>
          </w:p>
        </w:tc>
        <w:tc>
          <w:tcPr>
            <w:tcW w:w="1536" w:type="dxa"/>
            <w:tcBorders>
              <w:top w:val="single" w:color="auto" w:sz="4" w:space="0"/>
              <w:left w:val="nil"/>
              <w:bottom w:val="single" w:color="auto" w:sz="4" w:space="0"/>
              <w:right w:val="single" w:color="auto" w:sz="4" w:space="0"/>
            </w:tcBorders>
            <w:shd w:val="clear" w:color="auto" w:fill="auto"/>
            <w:vAlign w:val="center"/>
          </w:tcPr>
          <w:p w14:paraId="29C98B33">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 xml:space="preserve">3.00 </w:t>
            </w:r>
          </w:p>
        </w:tc>
        <w:tc>
          <w:tcPr>
            <w:tcW w:w="986" w:type="dxa"/>
            <w:tcBorders>
              <w:top w:val="single" w:color="auto" w:sz="4" w:space="0"/>
              <w:left w:val="nil"/>
              <w:bottom w:val="single" w:color="auto" w:sz="4" w:space="0"/>
              <w:right w:val="single" w:color="auto" w:sz="4" w:space="0"/>
            </w:tcBorders>
            <w:shd w:val="clear" w:color="auto" w:fill="auto"/>
            <w:vAlign w:val="center"/>
          </w:tcPr>
          <w:p w14:paraId="3A12CA57">
            <w:pPr>
              <w:jc w:val="right"/>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w:t>
            </w:r>
          </w:p>
        </w:tc>
        <w:tc>
          <w:tcPr>
            <w:tcW w:w="3218" w:type="dxa"/>
            <w:tcBorders>
              <w:top w:val="single" w:color="auto" w:sz="4" w:space="0"/>
              <w:left w:val="nil"/>
              <w:bottom w:val="single" w:color="auto" w:sz="4" w:space="0"/>
              <w:right w:val="single" w:color="auto" w:sz="4" w:space="0"/>
            </w:tcBorders>
            <w:shd w:val="clear" w:color="auto" w:fill="auto"/>
            <w:vAlign w:val="center"/>
          </w:tcPr>
          <w:p w14:paraId="17B967DE">
            <w:pPr>
              <w:widowControl/>
              <w:adjustRightInd/>
              <w:jc w:val="left"/>
              <w:rPr>
                <w:rFonts w:hint="eastAsia" w:ascii="宋体" w:hAnsi="宋体" w:eastAsia="宋体" w:cs="宋体"/>
                <w:color w:val="000000"/>
                <w:kern w:val="0"/>
                <w:sz w:val="24"/>
              </w:rPr>
            </w:pPr>
            <w:r>
              <w:rPr>
                <w:rFonts w:hint="eastAsia" w:ascii="宋体" w:hAnsi="宋体" w:eastAsia="宋体" w:cs="宋体"/>
                <w:color w:val="000000"/>
                <w:kern w:val="0"/>
                <w:sz w:val="24"/>
              </w:rPr>
              <w:t>元/吨</w:t>
            </w:r>
          </w:p>
        </w:tc>
      </w:tr>
      <w:tr w14:paraId="1F95BE58">
        <w:tblPrEx>
          <w:tblCellMar>
            <w:top w:w="0" w:type="dxa"/>
            <w:left w:w="108" w:type="dxa"/>
            <w:bottom w:w="0" w:type="dxa"/>
            <w:right w:w="108" w:type="dxa"/>
          </w:tblCellMar>
        </w:tblPrEx>
        <w:trPr>
          <w:trHeight w:val="883" w:hRule="atLeast"/>
          <w:jc w:val="center"/>
        </w:trPr>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14:paraId="46BA771C">
            <w:pPr>
              <w:widowControl/>
              <w:adjustRightInd/>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单一</w:t>
            </w:r>
          </w:p>
        </w:tc>
        <w:tc>
          <w:tcPr>
            <w:tcW w:w="3718" w:type="dxa"/>
            <w:tcBorders>
              <w:top w:val="single" w:color="auto" w:sz="4" w:space="0"/>
              <w:left w:val="nil"/>
              <w:bottom w:val="single" w:color="auto" w:sz="4" w:space="0"/>
              <w:right w:val="single" w:color="auto" w:sz="4" w:space="0"/>
            </w:tcBorders>
            <w:shd w:val="clear" w:color="auto" w:fill="auto"/>
            <w:vAlign w:val="center"/>
          </w:tcPr>
          <w:p w14:paraId="03968D8E">
            <w:pPr>
              <w:widowControl/>
              <w:adjustRightInd/>
              <w:jc w:val="center"/>
              <w:rPr>
                <w:rFonts w:hint="eastAsia" w:ascii="宋体" w:hAnsi="宋体" w:eastAsia="宋体" w:cs="宋体"/>
                <w:color w:val="000000"/>
                <w:kern w:val="0"/>
                <w:sz w:val="24"/>
                <w:highlight w:val="none"/>
                <w:u w:val="none"/>
              </w:rPr>
            </w:pPr>
            <w:r>
              <w:rPr>
                <w:rFonts w:hint="eastAsia" w:ascii="宋体" w:hAnsi="宋体" w:eastAsia="宋体" w:cs="宋体"/>
                <w:color w:val="000000"/>
                <w:kern w:val="0"/>
                <w:sz w:val="24"/>
                <w:highlight w:val="none"/>
                <w:u w:val="none"/>
              </w:rPr>
              <w:t>烘干机除尘垃圾清运(</w:t>
            </w:r>
            <w:r>
              <w:rPr>
                <w:rFonts w:hint="eastAsia" w:ascii="宋体" w:hAnsi="宋体" w:eastAsia="宋体" w:cs="宋体"/>
                <w:color w:val="000000"/>
                <w:kern w:val="0"/>
                <w:sz w:val="24"/>
                <w:highlight w:val="none"/>
                <w:u w:val="none"/>
                <w:lang w:val="en-US" w:eastAsia="zh-CN"/>
              </w:rPr>
              <w:t>包含人工、材料、垃圾后续处理</w:t>
            </w:r>
            <w:r>
              <w:rPr>
                <w:rFonts w:hint="eastAsia" w:ascii="宋体" w:hAnsi="宋体" w:eastAsia="宋体" w:cs="宋体"/>
                <w:color w:val="000000"/>
                <w:kern w:val="0"/>
                <w:sz w:val="24"/>
                <w:highlight w:val="none"/>
                <w:u w:val="none"/>
              </w:rPr>
              <w:t>）</w:t>
            </w:r>
          </w:p>
        </w:tc>
        <w:tc>
          <w:tcPr>
            <w:tcW w:w="1536" w:type="dxa"/>
            <w:tcBorders>
              <w:top w:val="single" w:color="auto" w:sz="4" w:space="0"/>
              <w:left w:val="nil"/>
              <w:bottom w:val="single" w:color="auto" w:sz="4" w:space="0"/>
              <w:right w:val="single" w:color="auto" w:sz="4" w:space="0"/>
            </w:tcBorders>
            <w:shd w:val="clear" w:color="auto" w:fill="auto"/>
            <w:vAlign w:val="center"/>
          </w:tcPr>
          <w:p w14:paraId="515DA5E2">
            <w:pPr>
              <w:widowControl/>
              <w:adjustRightInd/>
              <w:jc w:val="center"/>
              <w:rPr>
                <w:rFonts w:hint="eastAsia" w:ascii="宋体" w:hAnsi="宋体" w:eastAsia="宋体" w:cs="宋体"/>
                <w:color w:val="000000"/>
                <w:kern w:val="0"/>
                <w:sz w:val="24"/>
                <w:highlight w:val="none"/>
                <w:u w:val="none"/>
              </w:rPr>
            </w:pPr>
            <w:r>
              <w:rPr>
                <w:rFonts w:hint="eastAsia" w:ascii="宋体" w:hAnsi="宋体" w:eastAsia="宋体" w:cs="宋体"/>
                <w:color w:val="000000"/>
                <w:kern w:val="0"/>
                <w:sz w:val="24"/>
                <w:highlight w:val="none"/>
                <w:u w:val="none"/>
                <w:lang w:val="en-US" w:eastAsia="zh-CN"/>
              </w:rPr>
              <w:t>150</w:t>
            </w:r>
            <w:r>
              <w:rPr>
                <w:rFonts w:hint="eastAsia" w:ascii="宋体" w:hAnsi="宋体" w:eastAsia="宋体" w:cs="宋体"/>
                <w:color w:val="000000"/>
                <w:kern w:val="0"/>
                <w:sz w:val="24"/>
                <w:highlight w:val="none"/>
                <w:u w:val="none"/>
              </w:rPr>
              <w:t xml:space="preserve"> </w:t>
            </w:r>
          </w:p>
        </w:tc>
        <w:tc>
          <w:tcPr>
            <w:tcW w:w="986" w:type="dxa"/>
            <w:tcBorders>
              <w:top w:val="single" w:color="auto" w:sz="4" w:space="0"/>
              <w:left w:val="nil"/>
              <w:bottom w:val="single" w:color="auto" w:sz="4" w:space="0"/>
              <w:right w:val="single" w:color="auto" w:sz="4" w:space="0"/>
            </w:tcBorders>
            <w:shd w:val="clear" w:color="auto" w:fill="auto"/>
            <w:vAlign w:val="center"/>
          </w:tcPr>
          <w:p w14:paraId="2E200C2F">
            <w:pPr>
              <w:jc w:val="right"/>
              <w:rPr>
                <w:rFonts w:hint="eastAsia" w:ascii="宋体" w:hAnsi="宋体" w:eastAsia="宋体" w:cs="宋体"/>
                <w:color w:val="000000"/>
                <w:sz w:val="22"/>
                <w:szCs w:val="22"/>
                <w:highlight w:val="none"/>
                <w:u w:val="none"/>
              </w:rPr>
            </w:pPr>
            <w:r>
              <w:rPr>
                <w:rFonts w:hint="eastAsia" w:ascii="宋体" w:hAnsi="宋体" w:eastAsia="宋体" w:cs="宋体"/>
                <w:color w:val="000000"/>
                <w:sz w:val="22"/>
                <w:szCs w:val="22"/>
                <w:highlight w:val="none"/>
                <w:u w:val="none"/>
              </w:rPr>
              <w:t xml:space="preserve"> </w:t>
            </w:r>
          </w:p>
        </w:tc>
        <w:tc>
          <w:tcPr>
            <w:tcW w:w="3218" w:type="dxa"/>
            <w:tcBorders>
              <w:top w:val="single" w:color="auto" w:sz="4" w:space="0"/>
              <w:left w:val="nil"/>
              <w:bottom w:val="single" w:color="auto" w:sz="4" w:space="0"/>
              <w:right w:val="single" w:color="auto" w:sz="4" w:space="0"/>
            </w:tcBorders>
            <w:shd w:val="clear" w:color="auto" w:fill="auto"/>
            <w:vAlign w:val="center"/>
          </w:tcPr>
          <w:p w14:paraId="311235F2">
            <w:pPr>
              <w:widowControl/>
              <w:adjustRightInd/>
              <w:jc w:val="left"/>
              <w:rPr>
                <w:rFonts w:hint="eastAsia" w:ascii="宋体" w:hAnsi="宋体" w:eastAsia="宋体" w:cs="宋体"/>
                <w:color w:val="000000"/>
                <w:kern w:val="0"/>
                <w:sz w:val="24"/>
                <w:highlight w:val="none"/>
                <w:u w:val="none"/>
                <w:lang w:eastAsia="zh-CN"/>
              </w:rPr>
            </w:pPr>
            <w:r>
              <w:rPr>
                <w:rFonts w:hint="eastAsia" w:ascii="宋体" w:hAnsi="宋体" w:eastAsia="宋体" w:cs="宋体"/>
                <w:color w:val="000000"/>
                <w:kern w:val="0"/>
                <w:sz w:val="24"/>
                <w:highlight w:val="none"/>
                <w:u w:val="none"/>
              </w:rPr>
              <w:t>元/</w:t>
            </w:r>
            <w:r>
              <w:rPr>
                <w:rFonts w:hint="eastAsia" w:ascii="宋体" w:hAnsi="宋体" w:eastAsia="宋体" w:cs="宋体"/>
                <w:color w:val="000000"/>
                <w:kern w:val="0"/>
                <w:sz w:val="24"/>
                <w:highlight w:val="none"/>
                <w:u w:val="none"/>
                <w:lang w:val="en-US" w:eastAsia="zh-CN"/>
              </w:rPr>
              <w:t>吨</w:t>
            </w:r>
          </w:p>
        </w:tc>
      </w:tr>
      <w:tr w14:paraId="76799C02">
        <w:tblPrEx>
          <w:tblCellMar>
            <w:top w:w="0" w:type="dxa"/>
            <w:left w:w="108" w:type="dxa"/>
            <w:bottom w:w="0" w:type="dxa"/>
            <w:right w:w="108" w:type="dxa"/>
          </w:tblCellMar>
        </w:tblPrEx>
        <w:trPr>
          <w:trHeight w:val="883" w:hRule="atLeast"/>
          <w:jc w:val="center"/>
        </w:trPr>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14:paraId="50ED87BD">
            <w:pPr>
              <w:widowControl/>
              <w:adjustRightInd/>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单一</w:t>
            </w:r>
          </w:p>
        </w:tc>
        <w:tc>
          <w:tcPr>
            <w:tcW w:w="3718" w:type="dxa"/>
            <w:tcBorders>
              <w:top w:val="single" w:color="auto" w:sz="4" w:space="0"/>
              <w:left w:val="nil"/>
              <w:bottom w:val="single" w:color="auto" w:sz="4" w:space="0"/>
              <w:right w:val="single" w:color="auto" w:sz="4" w:space="0"/>
            </w:tcBorders>
            <w:shd w:val="clear" w:color="auto" w:fill="auto"/>
            <w:vAlign w:val="center"/>
          </w:tcPr>
          <w:p w14:paraId="0DF2FCCB">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套膜、揭膜套（两货位并）</w:t>
            </w:r>
          </w:p>
        </w:tc>
        <w:tc>
          <w:tcPr>
            <w:tcW w:w="1536" w:type="dxa"/>
            <w:tcBorders>
              <w:top w:val="single" w:color="auto" w:sz="4" w:space="0"/>
              <w:left w:val="nil"/>
              <w:bottom w:val="single" w:color="auto" w:sz="4" w:space="0"/>
              <w:right w:val="single" w:color="auto" w:sz="4" w:space="0"/>
            </w:tcBorders>
            <w:shd w:val="clear" w:color="auto" w:fill="auto"/>
            <w:vAlign w:val="center"/>
          </w:tcPr>
          <w:p w14:paraId="5A2E8AAB">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 xml:space="preserve">150.00 </w:t>
            </w:r>
          </w:p>
        </w:tc>
        <w:tc>
          <w:tcPr>
            <w:tcW w:w="986" w:type="dxa"/>
            <w:tcBorders>
              <w:top w:val="single" w:color="auto" w:sz="4" w:space="0"/>
              <w:left w:val="nil"/>
              <w:bottom w:val="single" w:color="auto" w:sz="4" w:space="0"/>
              <w:right w:val="single" w:color="auto" w:sz="4" w:space="0"/>
            </w:tcBorders>
            <w:shd w:val="clear" w:color="auto" w:fill="auto"/>
            <w:vAlign w:val="center"/>
          </w:tcPr>
          <w:p w14:paraId="15048690">
            <w:pPr>
              <w:jc w:val="right"/>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w:t>
            </w:r>
          </w:p>
        </w:tc>
        <w:tc>
          <w:tcPr>
            <w:tcW w:w="3218" w:type="dxa"/>
            <w:tcBorders>
              <w:top w:val="single" w:color="auto" w:sz="4" w:space="0"/>
              <w:left w:val="nil"/>
              <w:bottom w:val="single" w:color="auto" w:sz="4" w:space="0"/>
              <w:right w:val="single" w:color="auto" w:sz="4" w:space="0"/>
            </w:tcBorders>
            <w:shd w:val="clear" w:color="auto" w:fill="auto"/>
            <w:vAlign w:val="center"/>
          </w:tcPr>
          <w:p w14:paraId="1EFD9725">
            <w:pPr>
              <w:widowControl/>
              <w:adjustRightInd/>
              <w:jc w:val="left"/>
              <w:rPr>
                <w:rFonts w:hint="eastAsia" w:ascii="宋体" w:hAnsi="宋体" w:eastAsia="宋体" w:cs="宋体"/>
                <w:color w:val="000000"/>
                <w:kern w:val="0"/>
                <w:sz w:val="24"/>
              </w:rPr>
            </w:pPr>
            <w:r>
              <w:rPr>
                <w:rFonts w:hint="eastAsia" w:ascii="宋体" w:hAnsi="宋体" w:eastAsia="宋体" w:cs="宋体"/>
                <w:color w:val="000000"/>
                <w:kern w:val="0"/>
                <w:sz w:val="24"/>
              </w:rPr>
              <w:t>元/个</w:t>
            </w:r>
          </w:p>
        </w:tc>
      </w:tr>
      <w:tr w14:paraId="07B75C7D">
        <w:tblPrEx>
          <w:tblCellMar>
            <w:top w:w="0" w:type="dxa"/>
            <w:left w:w="108" w:type="dxa"/>
            <w:bottom w:w="0" w:type="dxa"/>
            <w:right w:w="108" w:type="dxa"/>
          </w:tblCellMar>
        </w:tblPrEx>
        <w:trPr>
          <w:trHeight w:val="883" w:hRule="atLeast"/>
          <w:jc w:val="center"/>
        </w:trPr>
        <w:tc>
          <w:tcPr>
            <w:tcW w:w="876" w:type="dxa"/>
            <w:tcBorders>
              <w:top w:val="nil"/>
              <w:left w:val="single" w:color="auto" w:sz="4" w:space="0"/>
              <w:bottom w:val="single" w:color="auto" w:sz="4" w:space="0"/>
              <w:right w:val="single" w:color="auto" w:sz="4" w:space="0"/>
            </w:tcBorders>
            <w:shd w:val="clear" w:color="auto" w:fill="auto"/>
            <w:vAlign w:val="center"/>
          </w:tcPr>
          <w:p w14:paraId="688FDF01">
            <w:pPr>
              <w:widowControl/>
              <w:adjustRightInd/>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单一</w:t>
            </w:r>
          </w:p>
        </w:tc>
        <w:tc>
          <w:tcPr>
            <w:tcW w:w="3718" w:type="dxa"/>
            <w:tcBorders>
              <w:top w:val="single" w:color="auto" w:sz="4" w:space="0"/>
              <w:left w:val="nil"/>
              <w:bottom w:val="single" w:color="auto" w:sz="4" w:space="0"/>
              <w:right w:val="single" w:color="auto" w:sz="4" w:space="0"/>
            </w:tcBorders>
            <w:shd w:val="clear" w:color="auto" w:fill="auto"/>
            <w:vAlign w:val="center"/>
          </w:tcPr>
          <w:p w14:paraId="6D2B5581">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套膜、揭膜套（单货位）</w:t>
            </w:r>
          </w:p>
        </w:tc>
        <w:tc>
          <w:tcPr>
            <w:tcW w:w="1536" w:type="dxa"/>
            <w:tcBorders>
              <w:top w:val="nil"/>
              <w:left w:val="nil"/>
              <w:bottom w:val="single" w:color="auto" w:sz="4" w:space="0"/>
              <w:right w:val="single" w:color="auto" w:sz="4" w:space="0"/>
            </w:tcBorders>
            <w:shd w:val="clear" w:color="auto" w:fill="auto"/>
            <w:vAlign w:val="center"/>
          </w:tcPr>
          <w:p w14:paraId="4E9C90BC">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 xml:space="preserve">100.00 </w:t>
            </w:r>
          </w:p>
        </w:tc>
        <w:tc>
          <w:tcPr>
            <w:tcW w:w="986" w:type="dxa"/>
            <w:tcBorders>
              <w:top w:val="nil"/>
              <w:left w:val="nil"/>
              <w:bottom w:val="single" w:color="auto" w:sz="4" w:space="0"/>
              <w:right w:val="single" w:color="auto" w:sz="4" w:space="0"/>
            </w:tcBorders>
            <w:shd w:val="clear" w:color="auto" w:fill="auto"/>
            <w:vAlign w:val="center"/>
          </w:tcPr>
          <w:p w14:paraId="37275099">
            <w:pPr>
              <w:jc w:val="right"/>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w:t>
            </w:r>
          </w:p>
        </w:tc>
        <w:tc>
          <w:tcPr>
            <w:tcW w:w="3218" w:type="dxa"/>
            <w:tcBorders>
              <w:top w:val="nil"/>
              <w:left w:val="nil"/>
              <w:bottom w:val="single" w:color="auto" w:sz="4" w:space="0"/>
              <w:right w:val="single" w:color="auto" w:sz="4" w:space="0"/>
            </w:tcBorders>
            <w:shd w:val="clear" w:color="auto" w:fill="auto"/>
            <w:vAlign w:val="center"/>
          </w:tcPr>
          <w:p w14:paraId="0D0C31D7">
            <w:pPr>
              <w:widowControl/>
              <w:adjustRightInd/>
              <w:jc w:val="left"/>
              <w:rPr>
                <w:rFonts w:hint="eastAsia" w:ascii="宋体" w:hAnsi="宋体" w:eastAsia="宋体" w:cs="宋体"/>
                <w:color w:val="000000"/>
                <w:kern w:val="0"/>
                <w:sz w:val="24"/>
              </w:rPr>
            </w:pPr>
            <w:r>
              <w:rPr>
                <w:rFonts w:hint="eastAsia" w:ascii="宋体" w:hAnsi="宋体" w:eastAsia="宋体" w:cs="宋体"/>
                <w:color w:val="000000"/>
                <w:kern w:val="0"/>
                <w:sz w:val="24"/>
              </w:rPr>
              <w:t>元/个</w:t>
            </w:r>
          </w:p>
        </w:tc>
      </w:tr>
      <w:tr w14:paraId="59A84D7A">
        <w:tblPrEx>
          <w:tblCellMar>
            <w:top w:w="0" w:type="dxa"/>
            <w:left w:w="108" w:type="dxa"/>
            <w:bottom w:w="0" w:type="dxa"/>
            <w:right w:w="108" w:type="dxa"/>
          </w:tblCellMar>
        </w:tblPrEx>
        <w:trPr>
          <w:trHeight w:val="883" w:hRule="atLeast"/>
          <w:jc w:val="center"/>
        </w:trPr>
        <w:tc>
          <w:tcPr>
            <w:tcW w:w="876" w:type="dxa"/>
            <w:tcBorders>
              <w:top w:val="nil"/>
              <w:left w:val="single" w:color="auto" w:sz="4" w:space="0"/>
              <w:bottom w:val="single" w:color="auto" w:sz="4" w:space="0"/>
              <w:right w:val="single" w:color="auto" w:sz="4" w:space="0"/>
            </w:tcBorders>
            <w:shd w:val="clear" w:color="auto" w:fill="auto"/>
            <w:vAlign w:val="center"/>
          </w:tcPr>
          <w:p w14:paraId="6AED96C8">
            <w:pPr>
              <w:widowControl/>
              <w:adjustRightInd/>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单一</w:t>
            </w:r>
          </w:p>
        </w:tc>
        <w:tc>
          <w:tcPr>
            <w:tcW w:w="3718" w:type="dxa"/>
            <w:tcBorders>
              <w:top w:val="single" w:color="auto" w:sz="4" w:space="0"/>
              <w:left w:val="nil"/>
              <w:bottom w:val="single" w:color="auto" w:sz="4" w:space="0"/>
              <w:right w:val="single" w:color="auto" w:sz="4" w:space="0"/>
            </w:tcBorders>
            <w:shd w:val="clear" w:color="auto" w:fill="auto"/>
            <w:vAlign w:val="center"/>
          </w:tcPr>
          <w:p w14:paraId="763221BA">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收购散装粮直接驳大车</w:t>
            </w:r>
          </w:p>
        </w:tc>
        <w:tc>
          <w:tcPr>
            <w:tcW w:w="1536" w:type="dxa"/>
            <w:tcBorders>
              <w:top w:val="nil"/>
              <w:left w:val="nil"/>
              <w:bottom w:val="single" w:color="auto" w:sz="4" w:space="0"/>
              <w:right w:val="single" w:color="auto" w:sz="4" w:space="0"/>
            </w:tcBorders>
            <w:shd w:val="clear" w:color="auto" w:fill="auto"/>
            <w:vAlign w:val="center"/>
          </w:tcPr>
          <w:p w14:paraId="1E33EBBE">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 xml:space="preserve">5.00 </w:t>
            </w:r>
          </w:p>
        </w:tc>
        <w:tc>
          <w:tcPr>
            <w:tcW w:w="986" w:type="dxa"/>
            <w:tcBorders>
              <w:top w:val="nil"/>
              <w:left w:val="nil"/>
              <w:bottom w:val="single" w:color="auto" w:sz="4" w:space="0"/>
              <w:right w:val="single" w:color="auto" w:sz="4" w:space="0"/>
            </w:tcBorders>
            <w:shd w:val="clear" w:color="auto" w:fill="auto"/>
            <w:vAlign w:val="center"/>
          </w:tcPr>
          <w:p w14:paraId="50008343">
            <w:pPr>
              <w:jc w:val="right"/>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w:t>
            </w:r>
          </w:p>
        </w:tc>
        <w:tc>
          <w:tcPr>
            <w:tcW w:w="3218" w:type="dxa"/>
            <w:tcBorders>
              <w:top w:val="nil"/>
              <w:left w:val="nil"/>
              <w:bottom w:val="single" w:color="auto" w:sz="4" w:space="0"/>
              <w:right w:val="single" w:color="auto" w:sz="4" w:space="0"/>
            </w:tcBorders>
            <w:shd w:val="clear" w:color="auto" w:fill="auto"/>
            <w:vAlign w:val="center"/>
          </w:tcPr>
          <w:p w14:paraId="5BC1AB26">
            <w:pPr>
              <w:widowControl/>
              <w:adjustRightInd/>
              <w:jc w:val="left"/>
              <w:rPr>
                <w:rFonts w:hint="eastAsia" w:ascii="宋体" w:hAnsi="宋体" w:eastAsia="宋体" w:cs="宋体"/>
                <w:color w:val="000000"/>
                <w:kern w:val="0"/>
                <w:sz w:val="24"/>
              </w:rPr>
            </w:pPr>
            <w:r>
              <w:rPr>
                <w:rFonts w:hint="eastAsia" w:ascii="宋体" w:hAnsi="宋体" w:eastAsia="宋体" w:cs="宋体"/>
                <w:color w:val="000000"/>
                <w:kern w:val="0"/>
                <w:sz w:val="24"/>
              </w:rPr>
              <w:t>元/吨</w:t>
            </w:r>
          </w:p>
        </w:tc>
      </w:tr>
      <w:tr w14:paraId="2C2F5711">
        <w:tblPrEx>
          <w:tblCellMar>
            <w:top w:w="0" w:type="dxa"/>
            <w:left w:w="108" w:type="dxa"/>
            <w:bottom w:w="0" w:type="dxa"/>
            <w:right w:w="108" w:type="dxa"/>
          </w:tblCellMar>
        </w:tblPrEx>
        <w:trPr>
          <w:trHeight w:val="883" w:hRule="atLeast"/>
          <w:jc w:val="center"/>
        </w:trPr>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14:paraId="7F45ABF8">
            <w:pPr>
              <w:widowControl/>
              <w:adjustRightInd/>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单一</w:t>
            </w:r>
          </w:p>
        </w:tc>
        <w:tc>
          <w:tcPr>
            <w:tcW w:w="3718" w:type="dxa"/>
            <w:tcBorders>
              <w:top w:val="single" w:color="auto" w:sz="4" w:space="0"/>
              <w:left w:val="single" w:color="auto" w:sz="4" w:space="0"/>
              <w:bottom w:val="single" w:color="auto" w:sz="4" w:space="0"/>
              <w:right w:val="single" w:color="auto" w:sz="4" w:space="0"/>
            </w:tcBorders>
            <w:shd w:val="clear" w:color="auto" w:fill="auto"/>
            <w:vAlign w:val="center"/>
          </w:tcPr>
          <w:p w14:paraId="6AF50345">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益农↔瓜沥运输费</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14:paraId="70FA4B82">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 xml:space="preserve">35.00 </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29E5F7FD">
            <w:pPr>
              <w:jc w:val="right"/>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w:t>
            </w:r>
          </w:p>
        </w:tc>
        <w:tc>
          <w:tcPr>
            <w:tcW w:w="3218" w:type="dxa"/>
            <w:tcBorders>
              <w:top w:val="single" w:color="auto" w:sz="4" w:space="0"/>
              <w:left w:val="single" w:color="auto" w:sz="4" w:space="0"/>
              <w:bottom w:val="single" w:color="auto" w:sz="4" w:space="0"/>
              <w:right w:val="single" w:color="auto" w:sz="4" w:space="0"/>
            </w:tcBorders>
            <w:shd w:val="clear" w:color="auto" w:fill="auto"/>
            <w:vAlign w:val="center"/>
          </w:tcPr>
          <w:p w14:paraId="594A6D7D">
            <w:pPr>
              <w:widowControl/>
              <w:adjustRightInd/>
              <w:jc w:val="left"/>
              <w:rPr>
                <w:rFonts w:hint="eastAsia" w:ascii="宋体" w:hAnsi="宋体" w:eastAsia="宋体" w:cs="宋体"/>
                <w:color w:val="000000"/>
                <w:kern w:val="0"/>
                <w:sz w:val="24"/>
              </w:rPr>
            </w:pPr>
            <w:r>
              <w:rPr>
                <w:rFonts w:hint="eastAsia" w:ascii="宋体" w:hAnsi="宋体" w:eastAsia="宋体" w:cs="宋体"/>
                <w:color w:val="000000"/>
                <w:kern w:val="0"/>
                <w:sz w:val="24"/>
              </w:rPr>
              <w:t>元/吨</w:t>
            </w:r>
          </w:p>
        </w:tc>
      </w:tr>
      <w:tr w14:paraId="07E72D26">
        <w:tblPrEx>
          <w:tblCellMar>
            <w:top w:w="0" w:type="dxa"/>
            <w:left w:w="108" w:type="dxa"/>
            <w:bottom w:w="0" w:type="dxa"/>
            <w:right w:w="108" w:type="dxa"/>
          </w:tblCellMar>
        </w:tblPrEx>
        <w:trPr>
          <w:trHeight w:val="883" w:hRule="atLeast"/>
          <w:jc w:val="center"/>
        </w:trPr>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14:paraId="5B9D3D22">
            <w:pPr>
              <w:widowControl/>
              <w:adjustRightInd/>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单一</w:t>
            </w:r>
          </w:p>
        </w:tc>
        <w:tc>
          <w:tcPr>
            <w:tcW w:w="3718" w:type="dxa"/>
            <w:tcBorders>
              <w:top w:val="single" w:color="auto" w:sz="4" w:space="0"/>
              <w:left w:val="single" w:color="auto" w:sz="4" w:space="0"/>
              <w:bottom w:val="single" w:color="auto" w:sz="4" w:space="0"/>
              <w:right w:val="single" w:color="auto" w:sz="4" w:space="0"/>
            </w:tcBorders>
            <w:shd w:val="clear" w:color="auto" w:fill="auto"/>
            <w:vAlign w:val="center"/>
          </w:tcPr>
          <w:p w14:paraId="4C778874">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包装物装、卸车</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14:paraId="3D7F4A59">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 xml:space="preserve">2.00 </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1D30E5CB">
            <w:pPr>
              <w:jc w:val="right"/>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w:t>
            </w:r>
          </w:p>
        </w:tc>
        <w:tc>
          <w:tcPr>
            <w:tcW w:w="3218" w:type="dxa"/>
            <w:tcBorders>
              <w:top w:val="single" w:color="auto" w:sz="4" w:space="0"/>
              <w:left w:val="single" w:color="auto" w:sz="4" w:space="0"/>
              <w:bottom w:val="single" w:color="auto" w:sz="4" w:space="0"/>
              <w:right w:val="single" w:color="auto" w:sz="4" w:space="0"/>
            </w:tcBorders>
            <w:shd w:val="clear" w:color="auto" w:fill="auto"/>
            <w:vAlign w:val="center"/>
          </w:tcPr>
          <w:p w14:paraId="1197723B">
            <w:pPr>
              <w:widowControl/>
              <w:adjustRightInd/>
              <w:jc w:val="left"/>
              <w:rPr>
                <w:rFonts w:hint="eastAsia" w:ascii="宋体" w:hAnsi="宋体" w:eastAsia="宋体" w:cs="宋体"/>
                <w:color w:val="000000"/>
                <w:kern w:val="0"/>
                <w:sz w:val="24"/>
              </w:rPr>
            </w:pPr>
            <w:r>
              <w:rPr>
                <w:rFonts w:hint="eastAsia" w:ascii="宋体" w:hAnsi="宋体" w:eastAsia="宋体" w:cs="宋体"/>
                <w:color w:val="000000"/>
                <w:kern w:val="0"/>
                <w:sz w:val="24"/>
              </w:rPr>
              <w:t>元/件</w:t>
            </w:r>
          </w:p>
        </w:tc>
      </w:tr>
      <w:tr w14:paraId="16929A7F">
        <w:tblPrEx>
          <w:tblCellMar>
            <w:top w:w="0" w:type="dxa"/>
            <w:left w:w="108" w:type="dxa"/>
            <w:bottom w:w="0" w:type="dxa"/>
            <w:right w:w="108" w:type="dxa"/>
          </w:tblCellMar>
        </w:tblPrEx>
        <w:trPr>
          <w:trHeight w:val="883" w:hRule="atLeast"/>
          <w:jc w:val="center"/>
        </w:trPr>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14:paraId="23A0B09E">
            <w:pPr>
              <w:widowControl/>
              <w:adjustRightInd/>
              <w:jc w:val="center"/>
              <w:rPr>
                <w:rFonts w:hint="eastAsia" w:ascii="宋体" w:hAnsi="宋体" w:eastAsia="宋体" w:cs="宋体"/>
                <w:b/>
                <w:bCs/>
                <w:color w:val="000000"/>
                <w:kern w:val="0"/>
                <w:sz w:val="24"/>
                <w:highlight w:val="none"/>
                <w:u w:val="none"/>
                <w:lang w:val="en-US" w:eastAsia="zh-CN"/>
              </w:rPr>
            </w:pPr>
            <w:r>
              <w:rPr>
                <w:rFonts w:hint="eastAsia" w:ascii="宋体" w:hAnsi="宋体" w:eastAsia="宋体" w:cs="宋体"/>
                <w:b/>
                <w:bCs/>
                <w:color w:val="000000"/>
                <w:kern w:val="0"/>
                <w:sz w:val="24"/>
                <w:highlight w:val="none"/>
                <w:u w:val="none"/>
                <w:lang w:val="en-US" w:eastAsia="zh-CN"/>
              </w:rPr>
              <w:t>单一</w:t>
            </w:r>
          </w:p>
        </w:tc>
        <w:tc>
          <w:tcPr>
            <w:tcW w:w="3718" w:type="dxa"/>
            <w:tcBorders>
              <w:top w:val="single" w:color="auto" w:sz="4" w:space="0"/>
              <w:left w:val="single" w:color="auto" w:sz="4" w:space="0"/>
              <w:bottom w:val="single" w:color="auto" w:sz="4" w:space="0"/>
              <w:right w:val="single" w:color="auto" w:sz="4" w:space="0"/>
            </w:tcBorders>
            <w:shd w:val="clear" w:color="auto" w:fill="auto"/>
            <w:vAlign w:val="center"/>
          </w:tcPr>
          <w:p w14:paraId="375DA35E">
            <w:pPr>
              <w:widowControl/>
              <w:adjustRightInd/>
              <w:jc w:val="center"/>
              <w:rPr>
                <w:rFonts w:hint="eastAsia" w:ascii="宋体" w:hAnsi="宋体" w:eastAsia="宋体" w:cs="宋体"/>
                <w:color w:val="000000"/>
                <w:kern w:val="0"/>
                <w:sz w:val="24"/>
                <w:highlight w:val="none"/>
                <w:u w:val="none"/>
                <w:lang w:val="en-US" w:eastAsia="zh-CN"/>
              </w:rPr>
            </w:pPr>
            <w:r>
              <w:rPr>
                <w:rFonts w:hint="eastAsia" w:ascii="宋体" w:hAnsi="宋体" w:eastAsia="宋体" w:cs="宋体"/>
                <w:color w:val="000000"/>
                <w:kern w:val="0"/>
                <w:sz w:val="24"/>
                <w:highlight w:val="none"/>
                <w:u w:val="none"/>
                <w:lang w:val="en-US" w:eastAsia="zh-CN"/>
              </w:rPr>
              <w:t>库内汽运短驳</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14:paraId="63E2F6D6">
            <w:pPr>
              <w:widowControl/>
              <w:adjustRightInd/>
              <w:jc w:val="center"/>
              <w:rPr>
                <w:rFonts w:hint="eastAsia" w:ascii="宋体" w:hAnsi="宋体" w:eastAsia="宋体" w:cs="宋体"/>
                <w:color w:val="000000"/>
                <w:kern w:val="0"/>
                <w:sz w:val="24"/>
                <w:highlight w:val="none"/>
                <w:u w:val="none"/>
                <w:lang w:val="en-US" w:eastAsia="zh-CN"/>
              </w:rPr>
            </w:pPr>
            <w:r>
              <w:rPr>
                <w:rFonts w:hint="eastAsia" w:ascii="宋体" w:hAnsi="宋体" w:eastAsia="宋体" w:cs="宋体"/>
                <w:color w:val="000000"/>
                <w:kern w:val="0"/>
                <w:sz w:val="24"/>
                <w:highlight w:val="none"/>
                <w:u w:val="none"/>
                <w:lang w:val="en-US" w:eastAsia="zh-CN"/>
              </w:rPr>
              <w:t>8.00</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1047C196">
            <w:pPr>
              <w:jc w:val="right"/>
              <w:rPr>
                <w:rFonts w:hint="eastAsia" w:ascii="宋体" w:hAnsi="宋体" w:eastAsia="宋体" w:cs="宋体"/>
                <w:color w:val="000000"/>
                <w:sz w:val="22"/>
                <w:szCs w:val="22"/>
                <w:highlight w:val="none"/>
                <w:u w:val="none"/>
              </w:rPr>
            </w:pPr>
          </w:p>
        </w:tc>
        <w:tc>
          <w:tcPr>
            <w:tcW w:w="3218" w:type="dxa"/>
            <w:tcBorders>
              <w:top w:val="single" w:color="auto" w:sz="4" w:space="0"/>
              <w:left w:val="single" w:color="auto" w:sz="4" w:space="0"/>
              <w:bottom w:val="single" w:color="auto" w:sz="4" w:space="0"/>
              <w:right w:val="single" w:color="auto" w:sz="4" w:space="0"/>
            </w:tcBorders>
            <w:shd w:val="clear" w:color="auto" w:fill="auto"/>
            <w:vAlign w:val="center"/>
          </w:tcPr>
          <w:p w14:paraId="2DFD3712">
            <w:pPr>
              <w:widowControl/>
              <w:adjustRightInd/>
              <w:jc w:val="left"/>
              <w:rPr>
                <w:rFonts w:hint="eastAsia" w:ascii="宋体" w:hAnsi="宋体" w:eastAsia="宋体" w:cs="宋体"/>
                <w:color w:val="000000"/>
                <w:kern w:val="0"/>
                <w:sz w:val="24"/>
                <w:highlight w:val="none"/>
                <w:u w:val="none"/>
                <w:lang w:val="en-US" w:eastAsia="zh-CN"/>
              </w:rPr>
            </w:pPr>
            <w:r>
              <w:rPr>
                <w:rFonts w:hint="eastAsia" w:ascii="宋体" w:hAnsi="宋体" w:eastAsia="宋体" w:cs="宋体"/>
                <w:color w:val="000000"/>
                <w:kern w:val="0"/>
                <w:sz w:val="24"/>
                <w:highlight w:val="none"/>
                <w:u w:val="none"/>
                <w:lang w:val="en-US" w:eastAsia="zh-CN"/>
              </w:rPr>
              <w:t>元/吨</w:t>
            </w:r>
          </w:p>
        </w:tc>
      </w:tr>
    </w:tbl>
    <w:p w14:paraId="2C121E5E">
      <w:pPr>
        <w:snapToGrid w:val="0"/>
        <w:spacing w:line="400" w:lineRule="exact"/>
        <w:rPr>
          <w:rFonts w:hint="eastAsia" w:ascii="宋体" w:hAnsi="宋体" w:eastAsia="宋体" w:cs="宋体"/>
          <w:color w:val="000000"/>
          <w:sz w:val="24"/>
        </w:rPr>
      </w:pPr>
      <w:r>
        <w:rPr>
          <w:rFonts w:hint="eastAsia" w:ascii="宋体" w:hAnsi="宋体" w:eastAsia="宋体" w:cs="宋体"/>
          <w:color w:val="000000"/>
          <w:sz w:val="24"/>
        </w:rPr>
        <w:t>注：1、招标文件中打▲内容为实质性要求，不允许有负偏离，否则将以涉及无效投标条款作无效投标。</w:t>
      </w:r>
    </w:p>
    <w:p w14:paraId="107F321F">
      <w:pPr>
        <w:snapToGrid w:val="0"/>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2、合同签订的同时签订《粮油装卸、运输服务安全协议》。</w:t>
      </w:r>
    </w:p>
    <w:p w14:paraId="0F191C0C">
      <w:pPr>
        <w:snapToGrid w:val="0"/>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3、质疑受理电话：0571-82858325</w:t>
      </w:r>
    </w:p>
    <w:p w14:paraId="7C1107EB">
      <w:pPr>
        <w:snapToGrid w:val="0"/>
        <w:spacing w:line="400" w:lineRule="exact"/>
        <w:rPr>
          <w:rFonts w:hint="eastAsia" w:ascii="宋体" w:hAnsi="宋体" w:eastAsia="宋体" w:cs="宋体"/>
          <w:color w:val="000000"/>
          <w:sz w:val="24"/>
        </w:rPr>
      </w:pPr>
    </w:p>
    <w:p w14:paraId="50C08E4D">
      <w:pPr>
        <w:pStyle w:val="3"/>
        <w:rPr>
          <w:rFonts w:hint="eastAsia" w:ascii="宋体" w:hAnsi="宋体" w:eastAsia="宋体" w:cs="宋体"/>
          <w:sz w:val="32"/>
        </w:rPr>
      </w:pPr>
      <w:r>
        <w:rPr>
          <w:rFonts w:hint="eastAsia" w:ascii="宋体" w:hAnsi="宋体" w:eastAsia="宋体" w:cs="宋体"/>
        </w:rPr>
        <w:br w:type="page"/>
      </w:r>
      <w:r>
        <w:rPr>
          <w:rFonts w:hint="eastAsia" w:ascii="宋体" w:hAnsi="宋体" w:eastAsia="宋体" w:cs="宋体"/>
        </w:rPr>
        <w:t xml:space="preserve">第四部分   </w:t>
      </w:r>
      <w:bookmarkStart w:id="63" w:name="_Toc184314482"/>
      <w:bookmarkEnd w:id="63"/>
      <w:bookmarkStart w:id="64" w:name="_Toc184314441"/>
      <w:bookmarkEnd w:id="64"/>
      <w:bookmarkStart w:id="65" w:name="_Toc184310343"/>
      <w:bookmarkEnd w:id="65"/>
      <w:bookmarkStart w:id="66" w:name="_Toc184313308"/>
      <w:bookmarkEnd w:id="66"/>
      <w:bookmarkStart w:id="67" w:name="_Toc184312082"/>
      <w:bookmarkEnd w:id="67"/>
      <w:bookmarkStart w:id="68" w:name="_Toc184312080"/>
      <w:bookmarkEnd w:id="68"/>
      <w:bookmarkStart w:id="69" w:name="_Toc184308048"/>
      <w:bookmarkEnd w:id="69"/>
      <w:bookmarkStart w:id="70" w:name="_Toc184308089"/>
      <w:bookmarkEnd w:id="70"/>
      <w:bookmarkStart w:id="71" w:name="_Toc184312120"/>
      <w:bookmarkEnd w:id="71"/>
      <w:bookmarkStart w:id="72" w:name="_Toc184308078"/>
      <w:bookmarkEnd w:id="72"/>
      <w:bookmarkStart w:id="73" w:name="_Toc184312124"/>
      <w:bookmarkEnd w:id="73"/>
      <w:bookmarkStart w:id="74" w:name="_Toc184314480"/>
      <w:bookmarkEnd w:id="74"/>
      <w:bookmarkStart w:id="75" w:name="_Toc184314465"/>
      <w:bookmarkEnd w:id="75"/>
      <w:bookmarkStart w:id="76" w:name="_Toc184310324"/>
      <w:bookmarkEnd w:id="76"/>
      <w:bookmarkStart w:id="77" w:name="_Toc184308079"/>
      <w:bookmarkEnd w:id="77"/>
      <w:bookmarkStart w:id="78" w:name="_Toc184308096"/>
      <w:bookmarkEnd w:id="78"/>
      <w:bookmarkStart w:id="79" w:name="_Toc184312137"/>
      <w:bookmarkEnd w:id="79"/>
      <w:bookmarkStart w:id="80" w:name="_Toc184310323"/>
      <w:bookmarkEnd w:id="80"/>
      <w:bookmarkStart w:id="81" w:name="_Toc184313239"/>
      <w:bookmarkEnd w:id="81"/>
      <w:bookmarkStart w:id="82" w:name="_Toc184312105"/>
      <w:bookmarkEnd w:id="82"/>
      <w:bookmarkStart w:id="83" w:name="_Toc184312093"/>
      <w:bookmarkEnd w:id="83"/>
      <w:bookmarkStart w:id="84" w:name="_Toc184312099"/>
      <w:bookmarkEnd w:id="84"/>
      <w:bookmarkStart w:id="85" w:name="_Toc184314479"/>
      <w:bookmarkEnd w:id="85"/>
      <w:bookmarkStart w:id="86" w:name="_Toc184310313"/>
      <w:bookmarkEnd w:id="86"/>
      <w:bookmarkStart w:id="87" w:name="_Toc184308087"/>
      <w:bookmarkEnd w:id="87"/>
      <w:bookmarkStart w:id="88" w:name="_Toc184314436"/>
      <w:bookmarkEnd w:id="88"/>
      <w:bookmarkStart w:id="89" w:name="_Toc184312114"/>
      <w:bookmarkEnd w:id="89"/>
      <w:bookmarkStart w:id="90" w:name="_Toc184313310"/>
      <w:bookmarkEnd w:id="90"/>
      <w:bookmarkStart w:id="91" w:name="_Toc184314451"/>
      <w:bookmarkEnd w:id="91"/>
      <w:bookmarkStart w:id="92" w:name="_Toc184308071"/>
      <w:bookmarkEnd w:id="92"/>
      <w:bookmarkStart w:id="93" w:name="_Toc184313250"/>
      <w:bookmarkEnd w:id="93"/>
      <w:bookmarkStart w:id="94" w:name="_Toc184312078"/>
      <w:bookmarkEnd w:id="94"/>
      <w:bookmarkStart w:id="95" w:name="_Toc184313290"/>
      <w:bookmarkEnd w:id="95"/>
      <w:bookmarkStart w:id="96" w:name="_Toc184313264"/>
      <w:bookmarkEnd w:id="96"/>
      <w:bookmarkStart w:id="97" w:name="_Toc184313289"/>
      <w:bookmarkEnd w:id="97"/>
      <w:bookmarkStart w:id="98" w:name="_Toc184312139"/>
      <w:bookmarkEnd w:id="98"/>
      <w:bookmarkStart w:id="99" w:name="_Toc184312081"/>
      <w:bookmarkEnd w:id="99"/>
      <w:bookmarkStart w:id="100" w:name="_Toc184313288"/>
      <w:bookmarkEnd w:id="100"/>
      <w:bookmarkStart w:id="101" w:name="_Toc184314421"/>
      <w:bookmarkEnd w:id="101"/>
      <w:bookmarkStart w:id="102" w:name="_Toc184310309"/>
      <w:bookmarkEnd w:id="102"/>
      <w:bookmarkStart w:id="103" w:name="_Toc184313279"/>
      <w:bookmarkEnd w:id="103"/>
      <w:bookmarkStart w:id="104" w:name="_Toc184308100"/>
      <w:bookmarkEnd w:id="104"/>
      <w:bookmarkStart w:id="105" w:name="_Toc184308107"/>
      <w:bookmarkEnd w:id="105"/>
      <w:bookmarkStart w:id="106" w:name="_Toc184308063"/>
      <w:bookmarkEnd w:id="106"/>
      <w:bookmarkStart w:id="107" w:name="_Toc184308051"/>
      <w:bookmarkEnd w:id="107"/>
      <w:bookmarkStart w:id="108" w:name="_Toc184310305"/>
      <w:bookmarkEnd w:id="108"/>
      <w:bookmarkStart w:id="109" w:name="_Toc184312126"/>
      <w:bookmarkEnd w:id="109"/>
      <w:bookmarkStart w:id="110" w:name="_Toc184314422"/>
      <w:bookmarkEnd w:id="110"/>
      <w:bookmarkStart w:id="111" w:name="_Toc184312138"/>
      <w:bookmarkEnd w:id="111"/>
      <w:bookmarkStart w:id="112" w:name="_Toc184310284"/>
      <w:bookmarkEnd w:id="112"/>
      <w:bookmarkStart w:id="113" w:name="_Toc184312071"/>
      <w:bookmarkEnd w:id="113"/>
      <w:bookmarkStart w:id="114" w:name="_Toc184308086"/>
      <w:bookmarkEnd w:id="114"/>
      <w:bookmarkStart w:id="115" w:name="_Toc184308108"/>
      <w:bookmarkEnd w:id="115"/>
      <w:bookmarkStart w:id="116" w:name="_Toc184312079"/>
      <w:bookmarkEnd w:id="116"/>
      <w:bookmarkStart w:id="117" w:name="_Toc184314456"/>
      <w:bookmarkEnd w:id="117"/>
      <w:bookmarkStart w:id="118" w:name="_Toc184308072"/>
      <w:bookmarkEnd w:id="118"/>
      <w:bookmarkStart w:id="119" w:name="_Toc184314453"/>
      <w:bookmarkEnd w:id="119"/>
      <w:bookmarkStart w:id="120" w:name="_Toc184310319"/>
      <w:bookmarkEnd w:id="120"/>
      <w:bookmarkStart w:id="121" w:name="_Toc184313249"/>
      <w:bookmarkEnd w:id="121"/>
      <w:bookmarkStart w:id="122" w:name="_Toc184313267"/>
      <w:bookmarkEnd w:id="122"/>
      <w:bookmarkStart w:id="123" w:name="_Toc184310302"/>
      <w:bookmarkEnd w:id="123"/>
      <w:bookmarkStart w:id="124" w:name="_Toc184310308"/>
      <w:bookmarkEnd w:id="124"/>
      <w:bookmarkStart w:id="125" w:name="_Toc184313242"/>
      <w:bookmarkEnd w:id="125"/>
      <w:bookmarkStart w:id="126" w:name="_Toc184312104"/>
      <w:bookmarkEnd w:id="126"/>
      <w:bookmarkStart w:id="127" w:name="_Toc184310311"/>
      <w:bookmarkEnd w:id="127"/>
      <w:bookmarkStart w:id="128" w:name="_Toc184312131"/>
      <w:bookmarkEnd w:id="128"/>
      <w:bookmarkStart w:id="129" w:name="_Toc184313271"/>
      <w:bookmarkEnd w:id="129"/>
      <w:bookmarkStart w:id="130" w:name="_Toc184308085"/>
      <w:bookmarkEnd w:id="130"/>
      <w:bookmarkStart w:id="131" w:name="_Toc184308102"/>
      <w:bookmarkEnd w:id="131"/>
      <w:bookmarkStart w:id="132" w:name="_Toc184308083"/>
      <w:bookmarkEnd w:id="132"/>
      <w:bookmarkStart w:id="133" w:name="_Toc184313238"/>
      <w:bookmarkEnd w:id="133"/>
      <w:bookmarkStart w:id="134" w:name="_Toc184313269"/>
      <w:bookmarkEnd w:id="134"/>
      <w:bookmarkStart w:id="135" w:name="_Toc184314440"/>
      <w:bookmarkEnd w:id="135"/>
      <w:bookmarkStart w:id="136" w:name="_Toc184310283"/>
      <w:bookmarkEnd w:id="136"/>
      <w:bookmarkStart w:id="137" w:name="_Toc184313273"/>
      <w:bookmarkEnd w:id="137"/>
      <w:bookmarkStart w:id="138" w:name="_Toc184313247"/>
      <w:bookmarkEnd w:id="138"/>
      <w:bookmarkStart w:id="139" w:name="_Toc184313281"/>
      <w:bookmarkEnd w:id="139"/>
      <w:bookmarkStart w:id="140" w:name="_Toc184314464"/>
      <w:bookmarkEnd w:id="140"/>
      <w:bookmarkStart w:id="141" w:name="_Toc184314445"/>
      <w:bookmarkEnd w:id="141"/>
      <w:bookmarkStart w:id="142" w:name="_Toc184313270"/>
      <w:bookmarkEnd w:id="142"/>
      <w:bookmarkStart w:id="143" w:name="_Toc184308065"/>
      <w:bookmarkEnd w:id="143"/>
      <w:bookmarkStart w:id="144" w:name="_Toc184313252"/>
      <w:bookmarkEnd w:id="144"/>
      <w:bookmarkStart w:id="145" w:name="_Toc184308082"/>
      <w:bookmarkEnd w:id="145"/>
      <w:bookmarkStart w:id="146" w:name="_Toc184314419"/>
      <w:bookmarkEnd w:id="146"/>
      <w:bookmarkStart w:id="147" w:name="_Toc184313268"/>
      <w:bookmarkEnd w:id="147"/>
      <w:bookmarkStart w:id="148" w:name="_Toc184313266"/>
      <w:bookmarkEnd w:id="148"/>
      <w:bookmarkStart w:id="149" w:name="_Toc184314410"/>
      <w:bookmarkEnd w:id="149"/>
      <w:bookmarkStart w:id="150" w:name="_Toc184310303"/>
      <w:bookmarkEnd w:id="150"/>
      <w:bookmarkStart w:id="151" w:name="_Toc184312102"/>
      <w:bookmarkEnd w:id="151"/>
      <w:bookmarkStart w:id="152" w:name="_Toc184313274"/>
      <w:bookmarkEnd w:id="152"/>
      <w:bookmarkStart w:id="153" w:name="_Toc184314438"/>
      <w:bookmarkEnd w:id="153"/>
      <w:bookmarkStart w:id="154" w:name="_Toc184313283"/>
      <w:bookmarkEnd w:id="154"/>
      <w:bookmarkStart w:id="155" w:name="_Toc184314444"/>
      <w:bookmarkEnd w:id="155"/>
      <w:bookmarkStart w:id="156" w:name="_Toc184314428"/>
      <w:bookmarkEnd w:id="156"/>
      <w:bookmarkStart w:id="157" w:name="_Toc184314423"/>
      <w:bookmarkEnd w:id="157"/>
      <w:bookmarkStart w:id="158" w:name="_Toc184312103"/>
      <w:bookmarkEnd w:id="158"/>
      <w:bookmarkStart w:id="159" w:name="_Toc184308066"/>
      <w:bookmarkEnd w:id="159"/>
      <w:bookmarkStart w:id="160" w:name="_Toc184310306"/>
      <w:bookmarkEnd w:id="160"/>
      <w:bookmarkStart w:id="161" w:name="_Toc184312096"/>
      <w:bookmarkEnd w:id="161"/>
      <w:bookmarkStart w:id="162" w:name="_Toc184308084"/>
      <w:bookmarkEnd w:id="162"/>
      <w:bookmarkStart w:id="163" w:name="_Toc184314420"/>
      <w:bookmarkEnd w:id="163"/>
      <w:bookmarkStart w:id="164" w:name="_Toc184312101"/>
      <w:bookmarkEnd w:id="164"/>
      <w:bookmarkStart w:id="165" w:name="_Toc184310301"/>
      <w:bookmarkEnd w:id="165"/>
      <w:bookmarkStart w:id="166" w:name="_Toc184314439"/>
      <w:bookmarkEnd w:id="166"/>
      <w:bookmarkStart w:id="167" w:name="_Toc184310307"/>
      <w:bookmarkEnd w:id="167"/>
      <w:bookmarkStart w:id="168" w:name="_Toc184308047"/>
      <w:bookmarkEnd w:id="168"/>
      <w:bookmarkStart w:id="169" w:name="_Toc184308057"/>
      <w:bookmarkEnd w:id="169"/>
      <w:bookmarkStart w:id="170" w:name="_Toc184313255"/>
      <w:bookmarkEnd w:id="170"/>
      <w:bookmarkStart w:id="171" w:name="_Toc184314454"/>
      <w:bookmarkEnd w:id="171"/>
      <w:bookmarkStart w:id="172" w:name="_Toc184310286"/>
      <w:bookmarkEnd w:id="172"/>
      <w:bookmarkStart w:id="173" w:name="_Toc184310310"/>
      <w:bookmarkEnd w:id="173"/>
      <w:bookmarkStart w:id="174" w:name="_Toc184310282"/>
      <w:bookmarkEnd w:id="174"/>
      <w:bookmarkStart w:id="175" w:name="_Toc184310273"/>
      <w:bookmarkEnd w:id="175"/>
      <w:bookmarkStart w:id="176" w:name="_Toc184308067"/>
      <w:bookmarkEnd w:id="176"/>
      <w:bookmarkStart w:id="177" w:name="_Toc184312087"/>
      <w:bookmarkEnd w:id="177"/>
      <w:bookmarkStart w:id="178" w:name="_Toc184314442"/>
      <w:bookmarkEnd w:id="178"/>
      <w:bookmarkStart w:id="179" w:name="_Toc184314443"/>
      <w:bookmarkEnd w:id="179"/>
      <w:bookmarkStart w:id="180" w:name="_Toc184308069"/>
      <w:bookmarkEnd w:id="180"/>
      <w:bookmarkStart w:id="181" w:name="_Toc184312100"/>
      <w:bookmarkEnd w:id="181"/>
      <w:bookmarkStart w:id="182" w:name="_Toc184314426"/>
      <w:bookmarkEnd w:id="182"/>
      <w:bookmarkStart w:id="183" w:name="_Toc184314430"/>
      <w:bookmarkEnd w:id="183"/>
      <w:bookmarkStart w:id="184" w:name="_Toc184314434"/>
      <w:bookmarkEnd w:id="184"/>
      <w:bookmarkStart w:id="185" w:name="_Toc184313307"/>
      <w:bookmarkEnd w:id="185"/>
      <w:bookmarkStart w:id="186" w:name="_Toc184310315"/>
      <w:bookmarkEnd w:id="186"/>
      <w:bookmarkStart w:id="187" w:name="_Toc184314446"/>
      <w:bookmarkEnd w:id="187"/>
      <w:bookmarkStart w:id="188" w:name="_Toc184308052"/>
      <w:bookmarkEnd w:id="188"/>
      <w:bookmarkStart w:id="189" w:name="_Toc184312136"/>
      <w:bookmarkEnd w:id="189"/>
      <w:bookmarkStart w:id="190" w:name="_Toc184308064"/>
      <w:bookmarkEnd w:id="190"/>
      <w:bookmarkStart w:id="191" w:name="_Toc184312106"/>
      <w:bookmarkEnd w:id="191"/>
      <w:bookmarkStart w:id="192" w:name="_Toc184312095"/>
      <w:bookmarkEnd w:id="192"/>
      <w:bookmarkStart w:id="193" w:name="_Toc184312098"/>
      <w:bookmarkEnd w:id="193"/>
      <w:bookmarkStart w:id="194" w:name="_Toc184313240"/>
      <w:bookmarkEnd w:id="194"/>
      <w:bookmarkStart w:id="195" w:name="_Toc184312097"/>
      <w:bookmarkEnd w:id="195"/>
      <w:bookmarkStart w:id="196" w:name="_Toc184313258"/>
      <w:bookmarkEnd w:id="196"/>
      <w:bookmarkStart w:id="197" w:name="_Toc184313275"/>
      <w:bookmarkEnd w:id="197"/>
      <w:bookmarkStart w:id="198" w:name="_Toc184310293"/>
      <w:bookmarkEnd w:id="198"/>
      <w:bookmarkStart w:id="199" w:name="_Toc184312083"/>
      <w:bookmarkEnd w:id="199"/>
      <w:bookmarkStart w:id="200" w:name="_Toc184310322"/>
      <w:bookmarkEnd w:id="200"/>
      <w:bookmarkStart w:id="201" w:name="_Toc184308053"/>
      <w:bookmarkEnd w:id="201"/>
      <w:bookmarkStart w:id="202" w:name="_Toc184313259"/>
      <w:bookmarkEnd w:id="202"/>
      <w:bookmarkStart w:id="203" w:name="_Toc184308070"/>
      <w:bookmarkEnd w:id="203"/>
      <w:bookmarkStart w:id="204" w:name="_Toc184313303"/>
      <w:bookmarkEnd w:id="204"/>
      <w:bookmarkStart w:id="205" w:name="_Toc184313272"/>
      <w:bookmarkEnd w:id="205"/>
      <w:bookmarkStart w:id="206" w:name="_Toc184313257"/>
      <w:bookmarkEnd w:id="206"/>
      <w:bookmarkStart w:id="207" w:name="_Toc184314475"/>
      <w:bookmarkEnd w:id="207"/>
      <w:bookmarkStart w:id="208" w:name="_Toc184308101"/>
      <w:bookmarkEnd w:id="208"/>
      <w:bookmarkStart w:id="209" w:name="_Toc184313251"/>
      <w:bookmarkEnd w:id="209"/>
      <w:bookmarkStart w:id="210" w:name="_Toc184313256"/>
      <w:bookmarkEnd w:id="210"/>
      <w:bookmarkStart w:id="211" w:name="_Toc184310300"/>
      <w:bookmarkEnd w:id="211"/>
      <w:bookmarkStart w:id="212" w:name="_Toc184312084"/>
      <w:bookmarkEnd w:id="212"/>
      <w:bookmarkStart w:id="213" w:name="_Toc184314447"/>
      <w:bookmarkEnd w:id="213"/>
      <w:bookmarkStart w:id="214" w:name="_Toc184313254"/>
      <w:bookmarkEnd w:id="214"/>
      <w:bookmarkStart w:id="215" w:name="_Toc184313262"/>
      <w:bookmarkEnd w:id="215"/>
      <w:bookmarkStart w:id="216" w:name="_Toc184310341"/>
      <w:bookmarkEnd w:id="216"/>
      <w:bookmarkStart w:id="217" w:name="_Toc184314432"/>
      <w:bookmarkEnd w:id="217"/>
      <w:bookmarkStart w:id="218" w:name="_Toc184312094"/>
      <w:bookmarkEnd w:id="218"/>
      <w:bookmarkStart w:id="219" w:name="_Toc184314429"/>
      <w:bookmarkEnd w:id="219"/>
      <w:bookmarkStart w:id="220" w:name="_Toc184312067"/>
      <w:bookmarkEnd w:id="220"/>
      <w:bookmarkStart w:id="221" w:name="_Toc184313292"/>
      <w:bookmarkEnd w:id="221"/>
      <w:bookmarkStart w:id="222" w:name="_Toc184312113"/>
      <w:bookmarkEnd w:id="222"/>
      <w:bookmarkStart w:id="223" w:name="_Toc184310289"/>
      <w:bookmarkEnd w:id="223"/>
      <w:bookmarkStart w:id="224" w:name="_Toc184312069"/>
      <w:bookmarkEnd w:id="224"/>
      <w:bookmarkStart w:id="225" w:name="_Toc184310291"/>
      <w:bookmarkEnd w:id="225"/>
      <w:bookmarkStart w:id="226" w:name="_Toc184312072"/>
      <w:bookmarkEnd w:id="226"/>
      <w:bookmarkStart w:id="227" w:name="_Toc184310297"/>
      <w:bookmarkEnd w:id="227"/>
      <w:bookmarkStart w:id="228" w:name="_Toc184312086"/>
      <w:bookmarkEnd w:id="228"/>
      <w:bookmarkStart w:id="229" w:name="_Toc184314473"/>
      <w:bookmarkEnd w:id="229"/>
      <w:bookmarkStart w:id="230" w:name="_Toc184313306"/>
      <w:bookmarkEnd w:id="230"/>
      <w:bookmarkStart w:id="231" w:name="_Toc184310336"/>
      <w:bookmarkEnd w:id="231"/>
      <w:bookmarkStart w:id="232" w:name="_Toc184308056"/>
      <w:bookmarkEnd w:id="232"/>
      <w:bookmarkStart w:id="233" w:name="_Toc184314413"/>
      <w:bookmarkEnd w:id="233"/>
      <w:bookmarkStart w:id="234" w:name="_Toc184314458"/>
      <w:bookmarkEnd w:id="234"/>
      <w:bookmarkStart w:id="235" w:name="_Toc184312116"/>
      <w:bookmarkEnd w:id="235"/>
      <w:bookmarkStart w:id="236" w:name="_Toc184310288"/>
      <w:bookmarkEnd w:id="236"/>
      <w:bookmarkStart w:id="237" w:name="_Toc184312068"/>
      <w:bookmarkEnd w:id="237"/>
      <w:bookmarkStart w:id="238" w:name="_Toc184314455"/>
      <w:bookmarkEnd w:id="238"/>
      <w:bookmarkStart w:id="239" w:name="_Toc184308040"/>
      <w:bookmarkEnd w:id="239"/>
      <w:bookmarkStart w:id="240" w:name="_Toc184308061"/>
      <w:bookmarkEnd w:id="240"/>
      <w:bookmarkStart w:id="241" w:name="_Toc184312085"/>
      <w:bookmarkEnd w:id="241"/>
      <w:bookmarkStart w:id="242" w:name="_Toc184312088"/>
      <w:bookmarkEnd w:id="242"/>
      <w:bookmarkStart w:id="243" w:name="_Toc184312070"/>
      <w:bookmarkEnd w:id="243"/>
      <w:bookmarkStart w:id="244" w:name="_Toc184310292"/>
      <w:bookmarkEnd w:id="244"/>
      <w:bookmarkStart w:id="245" w:name="_Toc184308074"/>
      <w:bookmarkEnd w:id="245"/>
      <w:bookmarkStart w:id="246" w:name="_Toc184312075"/>
      <w:bookmarkEnd w:id="246"/>
      <w:bookmarkStart w:id="247" w:name="_Toc184310314"/>
      <w:bookmarkEnd w:id="247"/>
      <w:bookmarkStart w:id="248" w:name="_Toc184308049"/>
      <w:bookmarkEnd w:id="248"/>
      <w:bookmarkStart w:id="249" w:name="_Toc184308054"/>
      <w:bookmarkEnd w:id="249"/>
      <w:bookmarkStart w:id="250" w:name="_Toc184310274"/>
      <w:bookmarkEnd w:id="250"/>
      <w:bookmarkStart w:id="251" w:name="_Toc184313287"/>
      <w:bookmarkEnd w:id="251"/>
      <w:bookmarkStart w:id="252" w:name="_Toc184308055"/>
      <w:bookmarkEnd w:id="252"/>
      <w:bookmarkStart w:id="253" w:name="_Toc184314478"/>
      <w:bookmarkEnd w:id="253"/>
      <w:bookmarkStart w:id="254" w:name="_Toc184310317"/>
      <w:bookmarkEnd w:id="254"/>
      <w:bookmarkStart w:id="255" w:name="_Toc184308039"/>
      <w:bookmarkEnd w:id="255"/>
      <w:bookmarkStart w:id="256" w:name="_Toc184313263"/>
      <w:bookmarkEnd w:id="256"/>
      <w:bookmarkStart w:id="257" w:name="_Toc184312115"/>
      <w:bookmarkEnd w:id="257"/>
      <w:bookmarkStart w:id="258" w:name="_Toc184312135"/>
      <w:bookmarkEnd w:id="258"/>
      <w:bookmarkStart w:id="259" w:name="_Toc184313246"/>
      <w:bookmarkEnd w:id="259"/>
      <w:bookmarkStart w:id="260" w:name="_Toc184310296"/>
      <w:bookmarkEnd w:id="260"/>
      <w:bookmarkStart w:id="261" w:name="_Toc184313260"/>
      <w:bookmarkEnd w:id="261"/>
      <w:bookmarkStart w:id="262" w:name="_Toc184308042"/>
      <w:bookmarkEnd w:id="262"/>
      <w:bookmarkStart w:id="263" w:name="_Toc184312073"/>
      <w:bookmarkEnd w:id="263"/>
      <w:bookmarkStart w:id="264" w:name="_Toc184312117"/>
      <w:bookmarkEnd w:id="264"/>
      <w:bookmarkStart w:id="265" w:name="_Toc184314415"/>
      <w:bookmarkEnd w:id="265"/>
      <w:bookmarkStart w:id="266" w:name="_Toc184312074"/>
      <w:bookmarkEnd w:id="266"/>
      <w:bookmarkStart w:id="267" w:name="_Toc184308044"/>
      <w:bookmarkEnd w:id="267"/>
      <w:bookmarkStart w:id="268" w:name="_Toc184310298"/>
      <w:bookmarkEnd w:id="268"/>
      <w:bookmarkStart w:id="269" w:name="_Toc184313253"/>
      <w:bookmarkEnd w:id="269"/>
      <w:bookmarkStart w:id="270" w:name="_Toc184312112"/>
      <w:bookmarkEnd w:id="270"/>
      <w:bookmarkStart w:id="271" w:name="_Toc184308105"/>
      <w:bookmarkEnd w:id="271"/>
      <w:bookmarkStart w:id="272" w:name="_Toc184310299"/>
      <w:bookmarkEnd w:id="272"/>
      <w:bookmarkStart w:id="273" w:name="_Toc184310280"/>
      <w:bookmarkEnd w:id="273"/>
      <w:bookmarkStart w:id="274" w:name="_Toc184314412"/>
      <w:bookmarkEnd w:id="274"/>
      <w:bookmarkStart w:id="275" w:name="_Toc184313280"/>
      <w:bookmarkEnd w:id="275"/>
      <w:bookmarkStart w:id="276" w:name="_Toc184313243"/>
      <w:bookmarkEnd w:id="276"/>
      <w:bookmarkStart w:id="277" w:name="_Toc184310281"/>
      <w:bookmarkEnd w:id="277"/>
      <w:bookmarkStart w:id="278" w:name="_Toc184314417"/>
      <w:bookmarkEnd w:id="278"/>
      <w:bookmarkStart w:id="279" w:name="_Toc184310277"/>
      <w:bookmarkEnd w:id="279"/>
      <w:bookmarkStart w:id="280" w:name="_Toc184314459"/>
      <w:bookmarkEnd w:id="280"/>
      <w:bookmarkStart w:id="281" w:name="_Toc184313277"/>
      <w:bookmarkEnd w:id="281"/>
      <w:bookmarkStart w:id="282" w:name="_Toc184314431"/>
      <w:bookmarkEnd w:id="282"/>
      <w:bookmarkStart w:id="283" w:name="_Toc184310279"/>
      <w:bookmarkEnd w:id="283"/>
      <w:bookmarkStart w:id="284" w:name="_Toc184314414"/>
      <w:bookmarkEnd w:id="284"/>
      <w:bookmarkStart w:id="285" w:name="_Toc184308037"/>
      <w:bookmarkEnd w:id="285"/>
      <w:bookmarkStart w:id="286" w:name="_Toc184313244"/>
      <w:bookmarkEnd w:id="286"/>
      <w:bookmarkStart w:id="287" w:name="_Toc184308081"/>
      <w:bookmarkEnd w:id="287"/>
      <w:bookmarkStart w:id="288" w:name="_Toc184314450"/>
      <w:bookmarkEnd w:id="288"/>
      <w:bookmarkStart w:id="289" w:name="_Toc184314418"/>
      <w:bookmarkEnd w:id="289"/>
      <w:bookmarkStart w:id="290" w:name="_Toc184308043"/>
      <w:bookmarkEnd w:id="290"/>
      <w:bookmarkStart w:id="291" w:name="_Toc184308058"/>
      <w:bookmarkEnd w:id="291"/>
      <w:bookmarkStart w:id="292" w:name="_Toc184310342"/>
      <w:bookmarkEnd w:id="292"/>
      <w:bookmarkStart w:id="293" w:name="_Toc184314416"/>
      <w:bookmarkEnd w:id="293"/>
      <w:bookmarkStart w:id="294" w:name="_Toc184308041"/>
      <w:bookmarkEnd w:id="294"/>
      <w:bookmarkStart w:id="295" w:name="_Toc184313245"/>
      <w:bookmarkEnd w:id="295"/>
      <w:bookmarkStart w:id="296" w:name="_Toc184314449"/>
      <w:bookmarkEnd w:id="296"/>
      <w:bookmarkStart w:id="297" w:name="_Toc184310278"/>
      <w:bookmarkEnd w:id="297"/>
      <w:bookmarkStart w:id="298" w:name="_Toc184310275"/>
      <w:bookmarkEnd w:id="298"/>
      <w:bookmarkStart w:id="299" w:name="_Toc184314470"/>
      <w:bookmarkEnd w:id="299"/>
      <w:bookmarkStart w:id="300" w:name="_Toc184312091"/>
      <w:bookmarkEnd w:id="300"/>
      <w:bookmarkStart w:id="301" w:name="_Toc184310328"/>
      <w:bookmarkEnd w:id="301"/>
      <w:bookmarkStart w:id="302" w:name="_Toc184308104"/>
      <w:bookmarkEnd w:id="302"/>
      <w:bookmarkStart w:id="303" w:name="_Toc184312130"/>
      <w:bookmarkEnd w:id="303"/>
      <w:bookmarkStart w:id="304" w:name="_Toc184314467"/>
      <w:bookmarkEnd w:id="304"/>
      <w:bookmarkStart w:id="305" w:name="_Toc184314468"/>
      <w:bookmarkEnd w:id="305"/>
      <w:bookmarkStart w:id="306" w:name="_Toc184310330"/>
      <w:bookmarkEnd w:id="306"/>
      <w:bookmarkStart w:id="307" w:name="_Toc184310329"/>
      <w:bookmarkEnd w:id="307"/>
      <w:bookmarkStart w:id="308" w:name="_Toc184312129"/>
      <w:bookmarkEnd w:id="308"/>
      <w:bookmarkStart w:id="309" w:name="_Toc184310316"/>
      <w:bookmarkEnd w:id="309"/>
      <w:bookmarkStart w:id="310" w:name="_Toc184308091"/>
      <w:bookmarkEnd w:id="310"/>
      <w:bookmarkStart w:id="311" w:name="_Toc184314477"/>
      <w:bookmarkEnd w:id="311"/>
      <w:bookmarkStart w:id="312" w:name="_Toc184313241"/>
      <w:bookmarkEnd w:id="312"/>
      <w:bookmarkStart w:id="313" w:name="_Toc184312109"/>
      <w:bookmarkEnd w:id="313"/>
      <w:bookmarkStart w:id="314" w:name="_Toc184312122"/>
      <w:bookmarkEnd w:id="314"/>
      <w:bookmarkStart w:id="315" w:name="_Toc184313293"/>
      <w:bookmarkEnd w:id="315"/>
      <w:bookmarkStart w:id="316" w:name="_Toc184308068"/>
      <w:bookmarkEnd w:id="316"/>
      <w:bookmarkStart w:id="317" w:name="_Toc184313302"/>
      <w:bookmarkEnd w:id="317"/>
      <w:bookmarkStart w:id="318" w:name="_Toc184308090"/>
      <w:bookmarkEnd w:id="318"/>
      <w:bookmarkStart w:id="319" w:name="_Toc184313291"/>
      <w:bookmarkEnd w:id="319"/>
      <w:bookmarkStart w:id="320" w:name="_Toc184313295"/>
      <w:bookmarkEnd w:id="320"/>
      <w:bookmarkStart w:id="321" w:name="_Toc184314463"/>
      <w:bookmarkEnd w:id="321"/>
      <w:bookmarkStart w:id="322" w:name="_Toc184314469"/>
      <w:bookmarkEnd w:id="322"/>
      <w:bookmarkStart w:id="323" w:name="_Toc184313294"/>
      <w:bookmarkEnd w:id="323"/>
      <w:bookmarkStart w:id="324" w:name="_Toc184308092"/>
      <w:bookmarkEnd w:id="324"/>
      <w:bookmarkStart w:id="325" w:name="_Toc184313296"/>
      <w:bookmarkEnd w:id="325"/>
      <w:bookmarkStart w:id="326" w:name="_Toc184314462"/>
      <w:bookmarkEnd w:id="326"/>
      <w:bookmarkStart w:id="327" w:name="_Toc184312118"/>
      <w:bookmarkEnd w:id="327"/>
      <w:bookmarkStart w:id="328" w:name="_Toc184313299"/>
      <w:bookmarkEnd w:id="328"/>
      <w:bookmarkStart w:id="329" w:name="_Toc184313248"/>
      <w:bookmarkEnd w:id="329"/>
      <w:bookmarkStart w:id="330" w:name="_Toc184313300"/>
      <w:bookmarkEnd w:id="330"/>
      <w:bookmarkStart w:id="331" w:name="_Toc184310326"/>
      <w:bookmarkEnd w:id="331"/>
      <w:bookmarkStart w:id="332" w:name="_Toc184308095"/>
      <w:bookmarkEnd w:id="332"/>
      <w:bookmarkStart w:id="333" w:name="_Toc184314481"/>
      <w:bookmarkEnd w:id="333"/>
      <w:bookmarkStart w:id="334" w:name="_Toc184310325"/>
      <w:bookmarkEnd w:id="334"/>
      <w:bookmarkStart w:id="335" w:name="_Toc184308077"/>
      <w:bookmarkEnd w:id="335"/>
      <w:bookmarkStart w:id="336" w:name="_Toc184312121"/>
      <w:bookmarkEnd w:id="336"/>
      <w:bookmarkStart w:id="337" w:name="_Toc184310327"/>
      <w:bookmarkEnd w:id="337"/>
      <w:bookmarkStart w:id="338" w:name="_Toc184313297"/>
      <w:bookmarkEnd w:id="338"/>
      <w:bookmarkStart w:id="339" w:name="_Toc184308088"/>
      <w:bookmarkEnd w:id="339"/>
      <w:bookmarkStart w:id="340" w:name="_Toc184312108"/>
      <w:bookmarkEnd w:id="340"/>
      <w:bookmarkStart w:id="341" w:name="_Toc184312119"/>
      <w:bookmarkEnd w:id="341"/>
      <w:bookmarkStart w:id="342" w:name="_Toc184314460"/>
      <w:bookmarkEnd w:id="342"/>
      <w:bookmarkStart w:id="343" w:name="_Toc184308094"/>
      <w:bookmarkEnd w:id="343"/>
      <w:bookmarkStart w:id="344" w:name="_Toc184312125"/>
      <w:bookmarkEnd w:id="344"/>
      <w:bookmarkStart w:id="345" w:name="_Toc184314461"/>
      <w:bookmarkEnd w:id="345"/>
      <w:bookmarkStart w:id="346" w:name="_Toc184310331"/>
      <w:bookmarkEnd w:id="346"/>
      <w:bookmarkStart w:id="347" w:name="_Toc184314448"/>
      <w:bookmarkEnd w:id="347"/>
      <w:bookmarkStart w:id="348" w:name="_Toc184314425"/>
      <w:bookmarkEnd w:id="348"/>
      <w:bookmarkStart w:id="349" w:name="_Toc184314424"/>
      <w:bookmarkEnd w:id="349"/>
      <w:bookmarkStart w:id="350" w:name="_Toc184314474"/>
      <w:bookmarkEnd w:id="350"/>
      <w:bookmarkStart w:id="351" w:name="_Toc184308036"/>
      <w:bookmarkEnd w:id="351"/>
      <w:bookmarkStart w:id="352" w:name="_Toc184310294"/>
      <w:bookmarkEnd w:id="352"/>
      <w:bookmarkStart w:id="353" w:name="_Toc184314411"/>
      <w:bookmarkEnd w:id="353"/>
      <w:bookmarkStart w:id="354" w:name="_Toc184310295"/>
      <w:bookmarkEnd w:id="354"/>
      <w:bookmarkStart w:id="355" w:name="_Toc184308076"/>
      <w:bookmarkEnd w:id="355"/>
      <w:bookmarkStart w:id="356" w:name="_Toc184308060"/>
      <w:bookmarkEnd w:id="356"/>
      <w:bookmarkStart w:id="357" w:name="_Toc184314437"/>
      <w:bookmarkEnd w:id="357"/>
      <w:bookmarkStart w:id="358" w:name="_Toc184313265"/>
      <w:bookmarkEnd w:id="358"/>
      <w:bookmarkStart w:id="359" w:name="_Toc184313261"/>
      <w:bookmarkEnd w:id="359"/>
      <w:bookmarkStart w:id="360" w:name="_Toc184312090"/>
      <w:bookmarkEnd w:id="360"/>
      <w:bookmarkStart w:id="361" w:name="_Toc184310285"/>
      <w:bookmarkEnd w:id="361"/>
      <w:bookmarkStart w:id="362" w:name="_Toc184310312"/>
      <w:bookmarkEnd w:id="362"/>
      <w:bookmarkStart w:id="363" w:name="_Toc184310337"/>
      <w:bookmarkEnd w:id="363"/>
      <w:bookmarkStart w:id="364" w:name="_Toc184314435"/>
      <w:bookmarkEnd w:id="364"/>
      <w:bookmarkStart w:id="365" w:name="_Toc184308106"/>
      <w:bookmarkEnd w:id="365"/>
      <w:bookmarkStart w:id="366" w:name="_Toc184313286"/>
      <w:bookmarkEnd w:id="366"/>
      <w:bookmarkStart w:id="367" w:name="_Toc184310276"/>
      <w:bookmarkEnd w:id="367"/>
      <w:bookmarkStart w:id="368" w:name="_Toc184310272"/>
      <w:bookmarkEnd w:id="368"/>
      <w:bookmarkStart w:id="369" w:name="_Toc184314433"/>
      <w:bookmarkEnd w:id="369"/>
      <w:bookmarkStart w:id="370" w:name="_Toc184308046"/>
      <w:bookmarkEnd w:id="370"/>
      <w:bookmarkStart w:id="371" w:name="_Toc184313309"/>
      <w:bookmarkEnd w:id="371"/>
      <w:bookmarkStart w:id="372" w:name="_Toc184313282"/>
      <w:bookmarkEnd w:id="372"/>
      <w:bookmarkStart w:id="373" w:name="_Toc184312076"/>
      <w:bookmarkEnd w:id="373"/>
      <w:bookmarkStart w:id="374" w:name="_Toc184312132"/>
      <w:bookmarkEnd w:id="374"/>
      <w:bookmarkStart w:id="375" w:name="_Toc184308059"/>
      <w:bookmarkEnd w:id="375"/>
      <w:bookmarkStart w:id="376" w:name="_Toc184313284"/>
      <w:bookmarkEnd w:id="376"/>
      <w:bookmarkStart w:id="377" w:name="_Toc184308038"/>
      <w:bookmarkEnd w:id="377"/>
      <w:bookmarkStart w:id="378" w:name="_Toc184310321"/>
      <w:bookmarkEnd w:id="378"/>
      <w:bookmarkStart w:id="379" w:name="_Toc184310304"/>
      <w:bookmarkEnd w:id="379"/>
      <w:bookmarkStart w:id="380" w:name="_Toc184308050"/>
      <w:bookmarkEnd w:id="380"/>
      <w:bookmarkStart w:id="381" w:name="_Toc184308062"/>
      <w:bookmarkEnd w:id="381"/>
      <w:bookmarkStart w:id="382" w:name="_Toc184313285"/>
      <w:bookmarkEnd w:id="382"/>
      <w:bookmarkStart w:id="383" w:name="_Toc184310287"/>
      <w:bookmarkEnd w:id="383"/>
      <w:bookmarkStart w:id="384" w:name="_Toc184314457"/>
      <w:bookmarkEnd w:id="384"/>
      <w:bookmarkStart w:id="385" w:name="_Toc184308045"/>
      <w:bookmarkEnd w:id="385"/>
      <w:bookmarkStart w:id="386" w:name="_Toc184312089"/>
      <w:bookmarkEnd w:id="386"/>
      <w:bookmarkStart w:id="387" w:name="_Toc184310332"/>
      <w:bookmarkEnd w:id="387"/>
      <w:bookmarkStart w:id="388" w:name="_Toc184310340"/>
      <w:bookmarkEnd w:id="388"/>
      <w:bookmarkStart w:id="389" w:name="_Toc184313278"/>
      <w:bookmarkEnd w:id="389"/>
      <w:bookmarkStart w:id="390" w:name="_Toc184310320"/>
      <w:bookmarkEnd w:id="390"/>
      <w:bookmarkStart w:id="391" w:name="_Toc184310333"/>
      <w:bookmarkEnd w:id="391"/>
      <w:bookmarkStart w:id="392" w:name="_Toc184312107"/>
      <w:bookmarkEnd w:id="392"/>
      <w:bookmarkStart w:id="393" w:name="_Toc184313304"/>
      <w:bookmarkEnd w:id="393"/>
      <w:bookmarkStart w:id="394" w:name="_Toc184312133"/>
      <w:bookmarkEnd w:id="394"/>
      <w:bookmarkStart w:id="395" w:name="_Toc184312077"/>
      <w:bookmarkEnd w:id="395"/>
      <w:bookmarkStart w:id="396" w:name="_Toc184310290"/>
      <w:bookmarkEnd w:id="396"/>
      <w:bookmarkStart w:id="397" w:name="_Toc184308075"/>
      <w:bookmarkEnd w:id="397"/>
      <w:bookmarkStart w:id="398" w:name="_Toc184312110"/>
      <w:bookmarkEnd w:id="398"/>
      <w:bookmarkStart w:id="399" w:name="_Toc184312111"/>
      <w:bookmarkEnd w:id="399"/>
      <w:bookmarkStart w:id="400" w:name="_Toc184312127"/>
      <w:bookmarkEnd w:id="400"/>
      <w:bookmarkStart w:id="401" w:name="_Toc184308073"/>
      <w:bookmarkEnd w:id="401"/>
      <w:bookmarkStart w:id="402" w:name="_Toc184314427"/>
      <w:bookmarkEnd w:id="402"/>
      <w:bookmarkStart w:id="403" w:name="_Toc184314452"/>
      <w:bookmarkEnd w:id="403"/>
      <w:bookmarkStart w:id="404" w:name="_Toc184313301"/>
      <w:bookmarkEnd w:id="404"/>
      <w:bookmarkStart w:id="405" w:name="_Toc184308080"/>
      <w:bookmarkEnd w:id="405"/>
      <w:bookmarkStart w:id="406" w:name="_Toc184310339"/>
      <w:bookmarkEnd w:id="406"/>
      <w:bookmarkStart w:id="407" w:name="_Toc184308098"/>
      <w:bookmarkEnd w:id="407"/>
      <w:bookmarkStart w:id="408" w:name="_Toc184312123"/>
      <w:bookmarkEnd w:id="408"/>
      <w:bookmarkStart w:id="409" w:name="_Toc184310344"/>
      <w:bookmarkEnd w:id="409"/>
      <w:bookmarkStart w:id="410" w:name="_Toc184308103"/>
      <w:bookmarkEnd w:id="410"/>
      <w:bookmarkStart w:id="411" w:name="_Toc184310318"/>
      <w:bookmarkEnd w:id="411"/>
      <w:bookmarkStart w:id="412" w:name="_Toc184313305"/>
      <w:bookmarkEnd w:id="412"/>
      <w:bookmarkStart w:id="413" w:name="_Toc184314471"/>
      <w:bookmarkEnd w:id="413"/>
      <w:bookmarkStart w:id="414" w:name="_Toc184308097"/>
      <w:bookmarkEnd w:id="414"/>
      <w:bookmarkStart w:id="415" w:name="_Toc184310335"/>
      <w:bookmarkEnd w:id="415"/>
      <w:bookmarkStart w:id="416" w:name="_Toc184312128"/>
      <w:bookmarkEnd w:id="416"/>
      <w:bookmarkStart w:id="417" w:name="_Toc184312134"/>
      <w:bookmarkEnd w:id="417"/>
      <w:bookmarkStart w:id="418" w:name="_Toc184313298"/>
      <w:bookmarkEnd w:id="418"/>
      <w:bookmarkStart w:id="419" w:name="_Toc184308093"/>
      <w:bookmarkEnd w:id="419"/>
      <w:bookmarkStart w:id="420" w:name="_Toc184310334"/>
      <w:bookmarkEnd w:id="420"/>
      <w:bookmarkStart w:id="421" w:name="_Toc184312092"/>
      <w:bookmarkEnd w:id="421"/>
      <w:bookmarkStart w:id="422" w:name="_Toc184313276"/>
      <w:bookmarkEnd w:id="422"/>
      <w:bookmarkStart w:id="423" w:name="_Toc184314466"/>
      <w:bookmarkEnd w:id="423"/>
      <w:bookmarkStart w:id="424" w:name="_Toc184310338"/>
      <w:bookmarkEnd w:id="424"/>
      <w:bookmarkStart w:id="425" w:name="_Toc184314472"/>
      <w:bookmarkEnd w:id="425"/>
      <w:bookmarkStart w:id="426" w:name="_Toc184314476"/>
      <w:bookmarkEnd w:id="426"/>
      <w:bookmarkStart w:id="427" w:name="_Toc184308099"/>
      <w:bookmarkEnd w:id="427"/>
      <w:r>
        <w:rPr>
          <w:rFonts w:hint="eastAsia" w:ascii="宋体" w:hAnsi="宋体" w:eastAsia="宋体" w:cs="宋体"/>
        </w:rPr>
        <w:t>评标方法及评分标准</w:t>
      </w:r>
    </w:p>
    <w:p w14:paraId="2C8F9A02">
      <w:pPr>
        <w:snapToGrid w:val="0"/>
        <w:spacing w:line="360" w:lineRule="auto"/>
        <w:jc w:val="center"/>
        <w:rPr>
          <w:rFonts w:hint="eastAsia" w:ascii="宋体" w:hAnsi="宋体" w:eastAsia="宋体" w:cs="宋体"/>
          <w:b/>
          <w:color w:val="000000" w:themeColor="text1"/>
          <w:sz w:val="32"/>
          <w:szCs w:val="20"/>
          <w14:textFill>
            <w14:solidFill>
              <w14:schemeClr w14:val="tx1"/>
            </w14:solidFill>
          </w14:textFill>
        </w:rPr>
      </w:pPr>
      <w:r>
        <w:rPr>
          <w:rFonts w:hint="eastAsia" w:ascii="宋体" w:hAnsi="宋体" w:eastAsia="宋体" w:cs="宋体"/>
          <w:b/>
          <w:color w:val="000000" w:themeColor="text1"/>
          <w:sz w:val="32"/>
          <w:szCs w:val="20"/>
          <w14:textFill>
            <w14:solidFill>
              <w14:schemeClr w14:val="tx1"/>
            </w14:solidFill>
          </w14:textFill>
        </w:rPr>
        <w:t>评标办法前附表</w:t>
      </w:r>
    </w:p>
    <w:p w14:paraId="3FF7407F">
      <w:pPr>
        <w:pStyle w:val="60"/>
        <w:ind w:left="0" w:leftChars="0" w:firstLine="0" w:firstLineChars="0"/>
        <w:rPr>
          <w:rFonts w:hint="eastAsia" w:ascii="宋体" w:hAnsi="宋体" w:eastAsia="宋体" w:cs="宋体"/>
          <w:sz w:val="24"/>
        </w:rPr>
      </w:pPr>
      <w:r>
        <w:rPr>
          <w:rFonts w:hint="eastAsia" w:ascii="宋体" w:hAnsi="宋体" w:eastAsia="宋体" w:cs="宋体"/>
          <w:sz w:val="24"/>
        </w:rPr>
        <w:t>1、商务技术评分表（60分）</w:t>
      </w:r>
    </w:p>
    <w:tbl>
      <w:tblPr>
        <w:tblStyle w:val="61"/>
        <w:tblW w:w="9081"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709"/>
        <w:gridCol w:w="6234"/>
        <w:gridCol w:w="1440"/>
      </w:tblGrid>
      <w:tr w14:paraId="18B48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698" w:type="dxa"/>
            <w:vAlign w:val="center"/>
          </w:tcPr>
          <w:p w14:paraId="6D993C97">
            <w:pPr>
              <w:jc w:val="center"/>
              <w:rPr>
                <w:rFonts w:hint="eastAsia" w:ascii="宋体" w:hAnsi="宋体" w:eastAsia="宋体" w:cs="宋体"/>
                <w:sz w:val="24"/>
              </w:rPr>
            </w:pPr>
            <w:r>
              <w:rPr>
                <w:rFonts w:hint="eastAsia" w:ascii="宋体" w:hAnsi="宋体" w:eastAsia="宋体" w:cs="宋体"/>
                <w:sz w:val="24"/>
              </w:rPr>
              <w:t>类别</w:t>
            </w:r>
          </w:p>
        </w:tc>
        <w:tc>
          <w:tcPr>
            <w:tcW w:w="709" w:type="dxa"/>
            <w:vAlign w:val="center"/>
          </w:tcPr>
          <w:p w14:paraId="5403510F">
            <w:pPr>
              <w:jc w:val="center"/>
              <w:rPr>
                <w:rFonts w:hint="eastAsia" w:ascii="宋体" w:hAnsi="宋体" w:eastAsia="宋体" w:cs="宋体"/>
                <w:sz w:val="24"/>
              </w:rPr>
            </w:pPr>
            <w:r>
              <w:rPr>
                <w:rFonts w:hint="eastAsia" w:ascii="宋体" w:hAnsi="宋体" w:eastAsia="宋体" w:cs="宋体"/>
                <w:sz w:val="24"/>
              </w:rPr>
              <w:t>序号</w:t>
            </w:r>
          </w:p>
        </w:tc>
        <w:tc>
          <w:tcPr>
            <w:tcW w:w="6234" w:type="dxa"/>
            <w:vAlign w:val="center"/>
          </w:tcPr>
          <w:p w14:paraId="62526141">
            <w:pPr>
              <w:jc w:val="center"/>
              <w:rPr>
                <w:rFonts w:hint="eastAsia" w:ascii="宋体" w:hAnsi="宋体" w:eastAsia="宋体" w:cs="宋体"/>
                <w:sz w:val="24"/>
              </w:rPr>
            </w:pPr>
            <w:r>
              <w:rPr>
                <w:rFonts w:hint="eastAsia" w:ascii="宋体" w:hAnsi="宋体" w:eastAsia="宋体" w:cs="宋体"/>
                <w:sz w:val="24"/>
              </w:rPr>
              <w:t>评分内容和标准</w:t>
            </w:r>
          </w:p>
        </w:tc>
        <w:tc>
          <w:tcPr>
            <w:tcW w:w="1440" w:type="dxa"/>
            <w:vAlign w:val="center"/>
          </w:tcPr>
          <w:p w14:paraId="2ED0C583">
            <w:pPr>
              <w:widowControl/>
              <w:jc w:val="center"/>
              <w:rPr>
                <w:rFonts w:hint="eastAsia" w:ascii="宋体" w:hAnsi="宋体" w:eastAsia="宋体" w:cs="宋体"/>
                <w:kern w:val="0"/>
                <w:sz w:val="24"/>
              </w:rPr>
            </w:pPr>
            <w:r>
              <w:rPr>
                <w:rFonts w:hint="eastAsia" w:ascii="宋体" w:hAnsi="宋体" w:eastAsia="宋体" w:cs="宋体"/>
                <w:kern w:val="0"/>
                <w:sz w:val="24"/>
              </w:rPr>
              <w:t>分值区间</w:t>
            </w:r>
          </w:p>
        </w:tc>
      </w:tr>
      <w:tr w14:paraId="5D05F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98" w:type="dxa"/>
            <w:vMerge w:val="restart"/>
            <w:vAlign w:val="center"/>
          </w:tcPr>
          <w:p w14:paraId="1061F2C0">
            <w:pPr>
              <w:widowControl/>
              <w:spacing w:line="360" w:lineRule="auto"/>
              <w:jc w:val="center"/>
              <w:rPr>
                <w:rFonts w:hint="eastAsia" w:ascii="宋体" w:hAnsi="宋体" w:eastAsia="宋体" w:cs="宋体"/>
                <w:kern w:val="0"/>
                <w:sz w:val="24"/>
              </w:rPr>
            </w:pPr>
            <w:r>
              <w:rPr>
                <w:rFonts w:hint="eastAsia" w:ascii="宋体" w:hAnsi="宋体" w:eastAsia="宋体" w:cs="宋体"/>
                <w:kern w:val="0"/>
                <w:sz w:val="24"/>
              </w:rPr>
              <w:t>商</w:t>
            </w:r>
          </w:p>
          <w:p w14:paraId="7A507CED">
            <w:pPr>
              <w:widowControl/>
              <w:spacing w:line="360" w:lineRule="auto"/>
              <w:jc w:val="center"/>
              <w:rPr>
                <w:rFonts w:hint="eastAsia" w:ascii="宋体" w:hAnsi="宋体" w:eastAsia="宋体" w:cs="宋体"/>
                <w:kern w:val="0"/>
                <w:sz w:val="24"/>
              </w:rPr>
            </w:pPr>
            <w:r>
              <w:rPr>
                <w:rFonts w:hint="eastAsia" w:ascii="宋体" w:hAnsi="宋体" w:eastAsia="宋体" w:cs="宋体"/>
                <w:kern w:val="0"/>
                <w:sz w:val="24"/>
              </w:rPr>
              <w:t>务</w:t>
            </w:r>
          </w:p>
          <w:p w14:paraId="4FFA8976">
            <w:pPr>
              <w:widowControl/>
              <w:spacing w:line="360" w:lineRule="auto"/>
              <w:jc w:val="center"/>
              <w:rPr>
                <w:rFonts w:hint="eastAsia" w:ascii="宋体" w:hAnsi="宋体" w:eastAsia="宋体" w:cs="宋体"/>
                <w:kern w:val="0"/>
                <w:sz w:val="24"/>
              </w:rPr>
            </w:pPr>
            <w:r>
              <w:rPr>
                <w:rFonts w:hint="eastAsia" w:ascii="宋体" w:hAnsi="宋体" w:eastAsia="宋体" w:cs="宋体"/>
                <w:kern w:val="0"/>
                <w:sz w:val="24"/>
              </w:rPr>
              <w:t>分(30分)</w:t>
            </w:r>
          </w:p>
        </w:tc>
        <w:tc>
          <w:tcPr>
            <w:tcW w:w="709" w:type="dxa"/>
            <w:vAlign w:val="center"/>
          </w:tcPr>
          <w:p w14:paraId="16E86B06">
            <w:pPr>
              <w:widowControl/>
              <w:jc w:val="center"/>
              <w:rPr>
                <w:rFonts w:hint="eastAsia" w:ascii="宋体" w:hAnsi="宋体" w:eastAsia="宋体" w:cs="宋体"/>
                <w:kern w:val="0"/>
                <w:sz w:val="24"/>
              </w:rPr>
            </w:pPr>
            <w:r>
              <w:rPr>
                <w:rFonts w:hint="eastAsia" w:ascii="宋体" w:hAnsi="宋体" w:eastAsia="宋体" w:cs="宋体"/>
                <w:kern w:val="0"/>
                <w:sz w:val="24"/>
              </w:rPr>
              <w:t>1</w:t>
            </w:r>
          </w:p>
        </w:tc>
        <w:tc>
          <w:tcPr>
            <w:tcW w:w="6234" w:type="dxa"/>
            <w:shd w:val="clear" w:color="auto" w:fill="auto"/>
            <w:vAlign w:val="center"/>
          </w:tcPr>
          <w:p w14:paraId="6449D77A">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rPr>
              <w:t>供应商综合实力：根据服务项目、财务状况、履约能力等情况综合评定</w:t>
            </w:r>
            <w:r>
              <w:rPr>
                <w:rFonts w:hint="eastAsia" w:ascii="宋体" w:hAnsi="宋体" w:cs="宋体"/>
                <w:kern w:val="0"/>
                <w:sz w:val="24"/>
                <w:lang w:eastAsia="zh-CN"/>
              </w:rPr>
              <w:t>。</w:t>
            </w:r>
          </w:p>
        </w:tc>
        <w:tc>
          <w:tcPr>
            <w:tcW w:w="1440" w:type="dxa"/>
            <w:vAlign w:val="center"/>
          </w:tcPr>
          <w:p w14:paraId="73EDBD00">
            <w:pPr>
              <w:widowControl/>
              <w:jc w:val="center"/>
              <w:rPr>
                <w:rFonts w:hint="eastAsia" w:ascii="宋体" w:hAnsi="宋体" w:eastAsia="宋体" w:cs="宋体"/>
                <w:kern w:val="0"/>
                <w:sz w:val="24"/>
              </w:rPr>
            </w:pPr>
            <w:r>
              <w:rPr>
                <w:rFonts w:hint="eastAsia" w:ascii="宋体" w:hAnsi="宋体" w:eastAsia="宋体" w:cs="宋体"/>
                <w:kern w:val="0"/>
                <w:sz w:val="24"/>
              </w:rPr>
              <w:t>1-3分</w:t>
            </w:r>
          </w:p>
        </w:tc>
      </w:tr>
      <w:tr w14:paraId="0A609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698" w:type="dxa"/>
            <w:vMerge w:val="continue"/>
            <w:vAlign w:val="center"/>
          </w:tcPr>
          <w:p w14:paraId="1EA903CE">
            <w:pPr>
              <w:widowControl/>
              <w:spacing w:line="360" w:lineRule="auto"/>
              <w:jc w:val="center"/>
              <w:rPr>
                <w:rFonts w:hint="eastAsia" w:ascii="宋体" w:hAnsi="宋体" w:eastAsia="宋体" w:cs="宋体"/>
                <w:kern w:val="0"/>
                <w:sz w:val="24"/>
              </w:rPr>
            </w:pPr>
          </w:p>
        </w:tc>
        <w:tc>
          <w:tcPr>
            <w:tcW w:w="709" w:type="dxa"/>
            <w:vAlign w:val="center"/>
          </w:tcPr>
          <w:p w14:paraId="53D423D8">
            <w:pPr>
              <w:widowControl/>
              <w:jc w:val="center"/>
              <w:rPr>
                <w:rFonts w:hint="eastAsia" w:ascii="宋体" w:hAnsi="宋体" w:eastAsia="宋体" w:cs="宋体"/>
                <w:kern w:val="0"/>
                <w:sz w:val="24"/>
              </w:rPr>
            </w:pPr>
            <w:r>
              <w:rPr>
                <w:rFonts w:hint="eastAsia" w:ascii="宋体" w:hAnsi="宋体" w:eastAsia="宋体" w:cs="宋体"/>
                <w:kern w:val="0"/>
                <w:sz w:val="24"/>
              </w:rPr>
              <w:t>2</w:t>
            </w:r>
          </w:p>
        </w:tc>
        <w:tc>
          <w:tcPr>
            <w:tcW w:w="6234" w:type="dxa"/>
            <w:shd w:val="clear" w:color="auto" w:fill="auto"/>
            <w:vAlign w:val="center"/>
          </w:tcPr>
          <w:p w14:paraId="49A55E67">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rPr>
              <w:t>供应商状况：注册时间且经营时间</w:t>
            </w:r>
            <w:r>
              <w:rPr>
                <w:rFonts w:hint="eastAsia" w:ascii="宋体" w:hAnsi="宋体" w:cs="宋体"/>
                <w:kern w:val="0"/>
                <w:sz w:val="24"/>
                <w:lang w:eastAsia="zh-CN"/>
              </w:rPr>
              <w:t>在</w:t>
            </w:r>
            <w:r>
              <w:rPr>
                <w:rFonts w:hint="eastAsia" w:ascii="宋体" w:hAnsi="宋体" w:eastAsia="宋体" w:cs="宋体"/>
                <w:kern w:val="0"/>
                <w:sz w:val="24"/>
              </w:rPr>
              <w:t>3年及以上</w:t>
            </w:r>
            <w:r>
              <w:rPr>
                <w:rFonts w:hint="eastAsia" w:ascii="宋体" w:hAnsi="宋体" w:cs="宋体"/>
                <w:kern w:val="0"/>
                <w:sz w:val="24"/>
                <w:lang w:eastAsia="zh-CN"/>
              </w:rPr>
              <w:t>的</w:t>
            </w:r>
            <w:r>
              <w:rPr>
                <w:rFonts w:hint="eastAsia" w:ascii="宋体" w:hAnsi="宋体" w:eastAsia="宋体" w:cs="宋体"/>
                <w:kern w:val="0"/>
                <w:sz w:val="24"/>
              </w:rPr>
              <w:t>得2分，不足3年</w:t>
            </w:r>
            <w:r>
              <w:rPr>
                <w:rFonts w:hint="eastAsia" w:ascii="宋体" w:hAnsi="宋体" w:cs="宋体"/>
                <w:kern w:val="0"/>
                <w:sz w:val="24"/>
                <w:lang w:eastAsia="zh-CN"/>
              </w:rPr>
              <w:t>的</w:t>
            </w:r>
            <w:r>
              <w:rPr>
                <w:rFonts w:hint="eastAsia" w:ascii="宋体" w:hAnsi="宋体" w:eastAsia="宋体" w:cs="宋体"/>
                <w:kern w:val="0"/>
                <w:sz w:val="24"/>
              </w:rPr>
              <w:t>得1分</w:t>
            </w:r>
            <w:r>
              <w:rPr>
                <w:rFonts w:hint="eastAsia" w:ascii="宋体" w:hAnsi="宋体" w:cs="宋体"/>
                <w:kern w:val="0"/>
                <w:sz w:val="24"/>
                <w:lang w:eastAsia="zh-CN"/>
              </w:rPr>
              <w:t>。</w:t>
            </w:r>
            <w:r>
              <w:rPr>
                <w:rFonts w:hint="eastAsia" w:ascii="宋体" w:hAnsi="宋体" w:eastAsia="宋体" w:cs="宋体"/>
                <w:kern w:val="0"/>
                <w:sz w:val="24"/>
              </w:rPr>
              <w:t>具有货物运输资格</w:t>
            </w:r>
            <w:r>
              <w:rPr>
                <w:rFonts w:hint="eastAsia" w:ascii="宋体" w:hAnsi="宋体" w:cs="宋体"/>
                <w:kern w:val="0"/>
                <w:sz w:val="24"/>
                <w:lang w:eastAsia="zh-CN"/>
              </w:rPr>
              <w:t>的</w:t>
            </w:r>
            <w:r>
              <w:rPr>
                <w:rFonts w:hint="eastAsia" w:ascii="宋体" w:hAnsi="宋体" w:cs="宋体"/>
                <w:kern w:val="0"/>
                <w:sz w:val="24"/>
                <w:lang w:val="en-US" w:eastAsia="zh-CN"/>
              </w:rPr>
              <w:t>得</w:t>
            </w:r>
            <w:r>
              <w:rPr>
                <w:rFonts w:hint="eastAsia" w:ascii="宋体" w:hAnsi="宋体" w:eastAsia="宋体" w:cs="宋体"/>
                <w:kern w:val="0"/>
                <w:sz w:val="24"/>
              </w:rPr>
              <w:t>2分</w:t>
            </w:r>
            <w:r>
              <w:rPr>
                <w:rFonts w:hint="eastAsia" w:ascii="宋体" w:hAnsi="宋体" w:cs="宋体"/>
                <w:kern w:val="0"/>
                <w:sz w:val="24"/>
                <w:lang w:eastAsia="zh-CN"/>
              </w:rPr>
              <w:t>，</w:t>
            </w:r>
            <w:r>
              <w:rPr>
                <w:rFonts w:hint="eastAsia" w:ascii="宋体" w:hAnsi="宋体" w:cs="宋体"/>
                <w:kern w:val="0"/>
                <w:sz w:val="24"/>
                <w:lang w:val="en-US" w:eastAsia="zh-CN"/>
              </w:rPr>
              <w:t>具有</w:t>
            </w:r>
            <w:r>
              <w:rPr>
                <w:rFonts w:hint="eastAsia" w:ascii="宋体" w:hAnsi="宋体" w:eastAsia="宋体" w:cs="宋体"/>
                <w:kern w:val="0"/>
                <w:sz w:val="24"/>
              </w:rPr>
              <w:t>货物运输代办</w:t>
            </w:r>
            <w:r>
              <w:rPr>
                <w:rFonts w:hint="eastAsia" w:ascii="宋体" w:hAnsi="宋体" w:cs="宋体"/>
                <w:kern w:val="0"/>
                <w:sz w:val="24"/>
                <w:lang w:val="en-US" w:eastAsia="zh-CN"/>
              </w:rPr>
              <w:t>资格的</w:t>
            </w:r>
            <w:r>
              <w:rPr>
                <w:rFonts w:hint="eastAsia" w:ascii="宋体" w:hAnsi="宋体" w:eastAsia="宋体" w:cs="宋体"/>
                <w:kern w:val="0"/>
                <w:sz w:val="24"/>
              </w:rPr>
              <w:t>得1分。（投标文件中需提供营业执照、运输、代办资格证书复印件加盖公章</w:t>
            </w:r>
            <w:r>
              <w:rPr>
                <w:rFonts w:hint="eastAsia" w:ascii="宋体" w:hAnsi="宋体" w:cs="宋体"/>
                <w:kern w:val="0"/>
                <w:sz w:val="24"/>
                <w:lang w:eastAsia="zh-CN"/>
              </w:rPr>
              <w:t>。</w:t>
            </w:r>
            <w:r>
              <w:rPr>
                <w:rFonts w:hint="eastAsia" w:ascii="宋体" w:hAnsi="宋体" w:eastAsia="宋体" w:cs="宋体"/>
                <w:kern w:val="0"/>
                <w:sz w:val="24"/>
              </w:rPr>
              <w:t>）</w:t>
            </w:r>
          </w:p>
        </w:tc>
        <w:tc>
          <w:tcPr>
            <w:tcW w:w="1440" w:type="dxa"/>
            <w:vAlign w:val="center"/>
          </w:tcPr>
          <w:p w14:paraId="55308E09">
            <w:pPr>
              <w:widowControl/>
              <w:jc w:val="center"/>
              <w:rPr>
                <w:rFonts w:hint="eastAsia" w:ascii="宋体" w:hAnsi="宋体" w:eastAsia="宋体" w:cs="宋体"/>
                <w:kern w:val="0"/>
                <w:sz w:val="24"/>
              </w:rPr>
            </w:pPr>
            <w:r>
              <w:rPr>
                <w:rFonts w:hint="eastAsia" w:ascii="宋体" w:hAnsi="宋体" w:eastAsia="宋体" w:cs="宋体"/>
                <w:kern w:val="0"/>
                <w:sz w:val="24"/>
              </w:rPr>
              <w:t>1-4分</w:t>
            </w:r>
          </w:p>
        </w:tc>
      </w:tr>
      <w:tr w14:paraId="30D50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698" w:type="dxa"/>
            <w:vMerge w:val="continue"/>
            <w:vAlign w:val="center"/>
          </w:tcPr>
          <w:p w14:paraId="1F774E1D">
            <w:pPr>
              <w:widowControl/>
              <w:spacing w:line="360" w:lineRule="auto"/>
              <w:jc w:val="center"/>
              <w:rPr>
                <w:rFonts w:hint="eastAsia" w:ascii="宋体" w:hAnsi="宋体" w:eastAsia="宋体" w:cs="宋体"/>
                <w:kern w:val="0"/>
                <w:sz w:val="24"/>
              </w:rPr>
            </w:pPr>
          </w:p>
        </w:tc>
        <w:tc>
          <w:tcPr>
            <w:tcW w:w="709" w:type="dxa"/>
            <w:vAlign w:val="center"/>
          </w:tcPr>
          <w:p w14:paraId="27368D44">
            <w:pPr>
              <w:widowControl/>
              <w:jc w:val="center"/>
              <w:rPr>
                <w:rFonts w:hint="eastAsia" w:ascii="宋体" w:hAnsi="宋体" w:eastAsia="宋体" w:cs="宋体"/>
                <w:kern w:val="0"/>
                <w:sz w:val="24"/>
              </w:rPr>
            </w:pPr>
            <w:r>
              <w:rPr>
                <w:rFonts w:hint="eastAsia" w:ascii="宋体" w:hAnsi="宋体" w:eastAsia="宋体" w:cs="宋体"/>
                <w:kern w:val="0"/>
                <w:sz w:val="24"/>
              </w:rPr>
              <w:t>3</w:t>
            </w:r>
          </w:p>
        </w:tc>
        <w:tc>
          <w:tcPr>
            <w:tcW w:w="6234" w:type="dxa"/>
            <w:shd w:val="clear" w:color="auto" w:fill="auto"/>
            <w:vAlign w:val="center"/>
          </w:tcPr>
          <w:p w14:paraId="433FB70F">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rPr>
              <w:t>供应商服务状况：</w:t>
            </w:r>
            <w:r>
              <w:rPr>
                <w:rFonts w:hint="eastAsia" w:ascii="宋体" w:hAnsi="宋体" w:cs="宋体"/>
                <w:kern w:val="0"/>
                <w:sz w:val="24"/>
                <w:lang w:val="en-US" w:eastAsia="zh-CN"/>
              </w:rPr>
              <w:t>自</w:t>
            </w:r>
            <w:r>
              <w:rPr>
                <w:rFonts w:hint="eastAsia" w:ascii="宋体" w:hAnsi="宋体" w:eastAsia="宋体" w:cs="宋体"/>
                <w:kern w:val="0"/>
                <w:sz w:val="24"/>
              </w:rPr>
              <w:t>2019年1月1日以来</w:t>
            </w:r>
            <w:r>
              <w:rPr>
                <w:rFonts w:hint="eastAsia" w:ascii="宋体" w:hAnsi="宋体" w:cs="宋体"/>
                <w:kern w:val="0"/>
                <w:sz w:val="24"/>
                <w:lang w:val="en-US" w:eastAsia="zh-CN"/>
              </w:rPr>
              <w:t>具有</w:t>
            </w:r>
            <w:r>
              <w:rPr>
                <w:rFonts w:hint="eastAsia" w:ascii="宋体" w:hAnsi="宋体" w:eastAsia="宋体" w:cs="宋体"/>
                <w:kern w:val="0"/>
                <w:sz w:val="24"/>
              </w:rPr>
              <w:t>粮油装卸合同</w:t>
            </w:r>
            <w:r>
              <w:rPr>
                <w:rFonts w:hint="eastAsia" w:ascii="宋体" w:hAnsi="宋体" w:cs="宋体"/>
                <w:kern w:val="0"/>
                <w:sz w:val="24"/>
                <w:lang w:eastAsia="zh-CN"/>
              </w:rPr>
              <w:t>的</w:t>
            </w:r>
            <w:r>
              <w:rPr>
                <w:rFonts w:hint="eastAsia" w:ascii="宋体" w:hAnsi="宋体" w:eastAsia="宋体" w:cs="宋体"/>
                <w:kern w:val="0"/>
                <w:sz w:val="24"/>
              </w:rPr>
              <w:t>每个得2分，最高</w:t>
            </w:r>
            <w:r>
              <w:rPr>
                <w:rFonts w:hint="eastAsia" w:ascii="宋体" w:hAnsi="宋体" w:cs="宋体"/>
                <w:kern w:val="0"/>
                <w:sz w:val="24"/>
                <w:lang w:val="en-US" w:eastAsia="zh-CN"/>
              </w:rPr>
              <w:t>得</w:t>
            </w:r>
            <w:r>
              <w:rPr>
                <w:rFonts w:hint="eastAsia" w:ascii="宋体" w:hAnsi="宋体" w:eastAsia="宋体" w:cs="宋体"/>
                <w:kern w:val="0"/>
                <w:sz w:val="24"/>
              </w:rPr>
              <w:t>6分</w:t>
            </w:r>
            <w:r>
              <w:rPr>
                <w:rFonts w:hint="eastAsia" w:ascii="宋体" w:hAnsi="宋体" w:cs="宋体"/>
                <w:kern w:val="0"/>
                <w:sz w:val="24"/>
                <w:lang w:eastAsia="zh-CN"/>
              </w:rPr>
              <w:t>。</w:t>
            </w:r>
            <w:r>
              <w:rPr>
                <w:rFonts w:hint="eastAsia" w:ascii="宋体" w:hAnsi="宋体" w:eastAsia="宋体" w:cs="宋体"/>
                <w:kern w:val="0"/>
                <w:sz w:val="24"/>
              </w:rPr>
              <w:t>（响应文件中需提供相应合同或中标通知书复印件加盖公章，同时提供业主电话</w:t>
            </w:r>
            <w:r>
              <w:rPr>
                <w:rFonts w:hint="eastAsia" w:ascii="宋体" w:hAnsi="宋体" w:cs="宋体"/>
                <w:kern w:val="0"/>
                <w:sz w:val="24"/>
                <w:lang w:eastAsia="zh-CN"/>
              </w:rPr>
              <w:t>。</w:t>
            </w:r>
            <w:r>
              <w:rPr>
                <w:rFonts w:hint="eastAsia" w:ascii="宋体" w:hAnsi="宋体" w:eastAsia="宋体" w:cs="宋体"/>
                <w:kern w:val="0"/>
                <w:sz w:val="24"/>
              </w:rPr>
              <w:t>）</w:t>
            </w:r>
          </w:p>
        </w:tc>
        <w:tc>
          <w:tcPr>
            <w:tcW w:w="1440" w:type="dxa"/>
            <w:vAlign w:val="center"/>
          </w:tcPr>
          <w:p w14:paraId="687F1A9F">
            <w:pPr>
              <w:widowControl/>
              <w:jc w:val="center"/>
              <w:rPr>
                <w:rFonts w:hint="eastAsia" w:ascii="宋体" w:hAnsi="宋体" w:eastAsia="宋体" w:cs="宋体"/>
                <w:kern w:val="0"/>
                <w:sz w:val="24"/>
              </w:rPr>
            </w:pPr>
            <w:r>
              <w:rPr>
                <w:rFonts w:hint="eastAsia" w:ascii="宋体" w:hAnsi="宋体" w:eastAsia="宋体" w:cs="宋体"/>
                <w:kern w:val="0"/>
                <w:sz w:val="24"/>
              </w:rPr>
              <w:t>0-6分</w:t>
            </w:r>
          </w:p>
        </w:tc>
      </w:tr>
      <w:tr w14:paraId="3BB4D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698" w:type="dxa"/>
            <w:vMerge w:val="continue"/>
            <w:vAlign w:val="center"/>
          </w:tcPr>
          <w:p w14:paraId="1F8ABC1C">
            <w:pPr>
              <w:widowControl/>
              <w:spacing w:line="360" w:lineRule="auto"/>
              <w:jc w:val="center"/>
              <w:rPr>
                <w:rFonts w:hint="eastAsia" w:ascii="宋体" w:hAnsi="宋体" w:eastAsia="宋体" w:cs="宋体"/>
                <w:kern w:val="0"/>
                <w:sz w:val="24"/>
              </w:rPr>
            </w:pPr>
          </w:p>
        </w:tc>
        <w:tc>
          <w:tcPr>
            <w:tcW w:w="709" w:type="dxa"/>
            <w:vAlign w:val="center"/>
          </w:tcPr>
          <w:p w14:paraId="227F75A7">
            <w:pPr>
              <w:widowControl/>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w:t>
            </w:r>
          </w:p>
        </w:tc>
        <w:tc>
          <w:tcPr>
            <w:tcW w:w="6234" w:type="dxa"/>
            <w:shd w:val="clear" w:color="auto" w:fill="auto"/>
            <w:vAlign w:val="center"/>
          </w:tcPr>
          <w:p w14:paraId="09398CD0">
            <w:pPr>
              <w:widowControl/>
              <w:jc w:val="left"/>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供应商具有粮油装卸能力且粮油装卸运输业绩达到要求：供应商2019-2021年服务金额累计100万元及以下</w:t>
            </w:r>
            <w:r>
              <w:rPr>
                <w:rFonts w:hint="eastAsia" w:ascii="宋体" w:hAnsi="宋体" w:cs="宋体"/>
                <w:color w:val="000000" w:themeColor="text1"/>
                <w:kern w:val="0"/>
                <w:sz w:val="24"/>
                <w:lang w:eastAsia="zh-CN"/>
                <w14:textFill>
                  <w14:solidFill>
                    <w14:schemeClr w14:val="tx1"/>
                  </w14:solidFill>
                </w14:textFill>
              </w:rPr>
              <w:t>的</w:t>
            </w:r>
            <w:r>
              <w:rPr>
                <w:rFonts w:hint="eastAsia" w:ascii="宋体" w:hAnsi="宋体" w:eastAsia="宋体" w:cs="宋体"/>
                <w:color w:val="000000" w:themeColor="text1"/>
                <w:kern w:val="0"/>
                <w:sz w:val="24"/>
                <w14:textFill>
                  <w14:solidFill>
                    <w14:schemeClr w14:val="tx1"/>
                  </w14:solidFill>
                </w14:textFill>
              </w:rPr>
              <w:t>不得分，100-150万元</w:t>
            </w:r>
            <w:r>
              <w:rPr>
                <w:rFonts w:hint="eastAsia" w:ascii="宋体" w:hAnsi="宋体" w:cs="宋体"/>
                <w:color w:val="000000" w:themeColor="text1"/>
                <w:kern w:val="0"/>
                <w:sz w:val="24"/>
                <w:lang w:eastAsia="zh-CN"/>
                <w14:textFill>
                  <w14:solidFill>
                    <w14:schemeClr w14:val="tx1"/>
                  </w14:solidFill>
                </w14:textFill>
              </w:rPr>
              <w:t>的</w:t>
            </w:r>
            <w:r>
              <w:rPr>
                <w:rFonts w:hint="eastAsia" w:ascii="宋体" w:hAnsi="宋体" w:eastAsia="宋体" w:cs="宋体"/>
                <w:color w:val="000000" w:themeColor="text1"/>
                <w:kern w:val="0"/>
                <w:sz w:val="24"/>
                <w14:textFill>
                  <w14:solidFill>
                    <w14:schemeClr w14:val="tx1"/>
                  </w14:solidFill>
                </w14:textFill>
              </w:rPr>
              <w:t>得1分，150-200万元</w:t>
            </w:r>
            <w:r>
              <w:rPr>
                <w:rFonts w:hint="eastAsia" w:ascii="宋体" w:hAnsi="宋体" w:cs="宋体"/>
                <w:color w:val="000000" w:themeColor="text1"/>
                <w:kern w:val="0"/>
                <w:sz w:val="24"/>
                <w:lang w:eastAsia="zh-CN"/>
                <w14:textFill>
                  <w14:solidFill>
                    <w14:schemeClr w14:val="tx1"/>
                  </w14:solidFill>
                </w14:textFill>
              </w:rPr>
              <w:t>的</w:t>
            </w:r>
            <w:r>
              <w:rPr>
                <w:rFonts w:hint="eastAsia" w:ascii="宋体" w:hAnsi="宋体" w:cs="宋体"/>
                <w:color w:val="000000" w:themeColor="text1"/>
                <w:kern w:val="0"/>
                <w:sz w:val="24"/>
                <w:lang w:val="en-US" w:eastAsia="zh-CN"/>
                <w14:textFill>
                  <w14:solidFill>
                    <w14:schemeClr w14:val="tx1"/>
                  </w14:solidFill>
                </w14:textFill>
              </w:rPr>
              <w:t>得</w:t>
            </w:r>
            <w:r>
              <w:rPr>
                <w:rFonts w:hint="eastAsia" w:ascii="宋体" w:hAnsi="宋体" w:eastAsia="宋体" w:cs="宋体"/>
                <w:color w:val="000000" w:themeColor="text1"/>
                <w:kern w:val="0"/>
                <w:sz w:val="24"/>
                <w14:textFill>
                  <w14:solidFill>
                    <w14:schemeClr w14:val="tx1"/>
                  </w14:solidFill>
                </w14:textFill>
              </w:rPr>
              <w:t>2分，201-250元</w:t>
            </w:r>
            <w:r>
              <w:rPr>
                <w:rFonts w:hint="eastAsia" w:ascii="宋体" w:hAnsi="宋体" w:cs="宋体"/>
                <w:color w:val="000000" w:themeColor="text1"/>
                <w:kern w:val="0"/>
                <w:sz w:val="24"/>
                <w:lang w:eastAsia="zh-CN"/>
                <w14:textFill>
                  <w14:solidFill>
                    <w14:schemeClr w14:val="tx1"/>
                  </w14:solidFill>
                </w14:textFill>
              </w:rPr>
              <w:t>的</w:t>
            </w:r>
            <w:r>
              <w:rPr>
                <w:rFonts w:hint="eastAsia" w:ascii="宋体" w:hAnsi="宋体" w:eastAsia="宋体" w:cs="宋体"/>
                <w:color w:val="000000" w:themeColor="text1"/>
                <w:kern w:val="0"/>
                <w:sz w:val="24"/>
                <w14:textFill>
                  <w14:solidFill>
                    <w14:schemeClr w14:val="tx1"/>
                  </w14:solidFill>
                </w14:textFill>
              </w:rPr>
              <w:t>得3分，250万元以上</w:t>
            </w:r>
            <w:r>
              <w:rPr>
                <w:rFonts w:hint="eastAsia" w:ascii="宋体" w:hAnsi="宋体" w:cs="宋体"/>
                <w:color w:val="000000" w:themeColor="text1"/>
                <w:kern w:val="0"/>
                <w:sz w:val="24"/>
                <w:lang w:eastAsia="zh-CN"/>
                <w14:textFill>
                  <w14:solidFill>
                    <w14:schemeClr w14:val="tx1"/>
                  </w14:solidFill>
                </w14:textFill>
              </w:rPr>
              <w:t>的</w:t>
            </w:r>
            <w:r>
              <w:rPr>
                <w:rFonts w:hint="eastAsia" w:ascii="宋体" w:hAnsi="宋体" w:cs="宋体"/>
                <w:color w:val="000000" w:themeColor="text1"/>
                <w:kern w:val="0"/>
                <w:sz w:val="24"/>
                <w:lang w:val="en-US" w:eastAsia="zh-CN"/>
                <w14:textFill>
                  <w14:solidFill>
                    <w14:schemeClr w14:val="tx1"/>
                  </w14:solidFill>
                </w14:textFill>
              </w:rPr>
              <w:t>得</w:t>
            </w:r>
            <w:r>
              <w:rPr>
                <w:rFonts w:hint="eastAsia" w:ascii="宋体" w:hAnsi="宋体" w:eastAsia="宋体" w:cs="宋体"/>
                <w:color w:val="000000" w:themeColor="text1"/>
                <w:kern w:val="0"/>
                <w:sz w:val="24"/>
                <w14:textFill>
                  <w14:solidFill>
                    <w14:schemeClr w14:val="tx1"/>
                  </w14:solidFill>
                </w14:textFill>
              </w:rPr>
              <w:t>4分（响应文件中需提供相应发票复印件加盖公章、被服务方联系电话）</w:t>
            </w:r>
          </w:p>
        </w:tc>
        <w:tc>
          <w:tcPr>
            <w:tcW w:w="1440" w:type="dxa"/>
            <w:vAlign w:val="center"/>
          </w:tcPr>
          <w:p w14:paraId="7FB561BC">
            <w:pPr>
              <w:widowControl/>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0-4分</w:t>
            </w:r>
          </w:p>
        </w:tc>
      </w:tr>
      <w:tr w14:paraId="2A488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698" w:type="dxa"/>
            <w:vMerge w:val="continue"/>
            <w:vAlign w:val="center"/>
          </w:tcPr>
          <w:p w14:paraId="13658EBF">
            <w:pPr>
              <w:widowControl/>
              <w:spacing w:line="360" w:lineRule="auto"/>
              <w:jc w:val="center"/>
              <w:rPr>
                <w:rFonts w:hint="eastAsia" w:ascii="宋体" w:hAnsi="宋体" w:eastAsia="宋体" w:cs="宋体"/>
                <w:kern w:val="0"/>
                <w:sz w:val="24"/>
              </w:rPr>
            </w:pPr>
          </w:p>
        </w:tc>
        <w:tc>
          <w:tcPr>
            <w:tcW w:w="709" w:type="dxa"/>
            <w:vAlign w:val="center"/>
          </w:tcPr>
          <w:p w14:paraId="21DFAC58">
            <w:pPr>
              <w:widowControl/>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5</w:t>
            </w:r>
          </w:p>
        </w:tc>
        <w:tc>
          <w:tcPr>
            <w:tcW w:w="6234" w:type="dxa"/>
            <w:shd w:val="clear" w:color="auto" w:fill="auto"/>
            <w:vAlign w:val="center"/>
          </w:tcPr>
          <w:p w14:paraId="7D101463">
            <w:pPr>
              <w:widowControl/>
              <w:jc w:val="left"/>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供应商服务力量：装卸服务人员满足作业要求且男性60周岁以下、女性50周岁以下，其中5人以下不得分，6-10人</w:t>
            </w:r>
            <w:r>
              <w:rPr>
                <w:rFonts w:hint="eastAsia" w:ascii="宋体" w:hAnsi="宋体" w:cs="宋体"/>
                <w:color w:val="000000" w:themeColor="text1"/>
                <w:kern w:val="0"/>
                <w:sz w:val="24"/>
                <w:lang w:val="en-US" w:eastAsia="zh-CN"/>
                <w14:textFill>
                  <w14:solidFill>
                    <w14:schemeClr w14:val="tx1"/>
                  </w14:solidFill>
                </w14:textFill>
              </w:rPr>
              <w:t>得</w:t>
            </w:r>
            <w:r>
              <w:rPr>
                <w:rFonts w:hint="eastAsia" w:ascii="宋体" w:hAnsi="宋体" w:eastAsia="宋体" w:cs="宋体"/>
                <w:color w:val="000000" w:themeColor="text1"/>
                <w:kern w:val="0"/>
                <w:sz w:val="24"/>
                <w14:textFill>
                  <w14:solidFill>
                    <w14:schemeClr w14:val="tx1"/>
                  </w14:solidFill>
                </w14:textFill>
              </w:rPr>
              <w:t>1分，11-15人</w:t>
            </w:r>
            <w:r>
              <w:rPr>
                <w:rFonts w:hint="eastAsia" w:ascii="宋体" w:hAnsi="宋体" w:cs="宋体"/>
                <w:color w:val="000000" w:themeColor="text1"/>
                <w:kern w:val="0"/>
                <w:sz w:val="24"/>
                <w:lang w:val="en-US" w:eastAsia="zh-CN"/>
                <w14:textFill>
                  <w14:solidFill>
                    <w14:schemeClr w14:val="tx1"/>
                  </w14:solidFill>
                </w14:textFill>
              </w:rPr>
              <w:t>得</w:t>
            </w:r>
            <w:r>
              <w:rPr>
                <w:rFonts w:hint="eastAsia" w:ascii="宋体" w:hAnsi="宋体" w:eastAsia="宋体" w:cs="宋体"/>
                <w:color w:val="000000" w:themeColor="text1"/>
                <w:kern w:val="0"/>
                <w:sz w:val="24"/>
                <w14:textFill>
                  <w14:solidFill>
                    <w14:schemeClr w14:val="tx1"/>
                  </w14:solidFill>
                </w14:textFill>
              </w:rPr>
              <w:t>3分，16人以上</w:t>
            </w:r>
            <w:r>
              <w:rPr>
                <w:rFonts w:hint="eastAsia" w:ascii="宋体" w:hAnsi="宋体" w:cs="宋体"/>
                <w:color w:val="000000" w:themeColor="text1"/>
                <w:kern w:val="0"/>
                <w:sz w:val="24"/>
                <w:lang w:val="en-US" w:eastAsia="zh-CN"/>
                <w14:textFill>
                  <w14:solidFill>
                    <w14:schemeClr w14:val="tx1"/>
                  </w14:solidFill>
                </w14:textFill>
              </w:rPr>
              <w:t>得</w:t>
            </w:r>
            <w:r>
              <w:rPr>
                <w:rFonts w:hint="eastAsia" w:ascii="宋体" w:hAnsi="宋体" w:eastAsia="宋体" w:cs="宋体"/>
                <w:color w:val="000000" w:themeColor="text1"/>
                <w:kern w:val="0"/>
                <w:sz w:val="24"/>
                <w14:textFill>
                  <w14:solidFill>
                    <w14:schemeClr w14:val="tx1"/>
                  </w14:solidFill>
                </w14:textFill>
              </w:rPr>
              <w:t>5分（提供从业人员身份证复印件加盖公章，</w:t>
            </w:r>
            <w:r>
              <w:rPr>
                <w:rFonts w:hint="eastAsia" w:ascii="宋体" w:hAnsi="宋体" w:eastAsia="宋体" w:cs="宋体"/>
                <w:bCs/>
                <w:color w:val="000000" w:themeColor="text1"/>
                <w:kern w:val="0"/>
                <w:sz w:val="24"/>
                <w14:textFill>
                  <w14:solidFill>
                    <w14:schemeClr w14:val="tx1"/>
                  </w14:solidFill>
                </w14:textFill>
              </w:rPr>
              <w:t>不同单位人员交叉的不计入总人数</w:t>
            </w:r>
            <w:r>
              <w:rPr>
                <w:rFonts w:hint="eastAsia" w:ascii="宋体" w:hAnsi="宋体" w:eastAsia="宋体" w:cs="宋体"/>
                <w:color w:val="000000" w:themeColor="text1"/>
                <w:kern w:val="0"/>
                <w:sz w:val="24"/>
                <w14:textFill>
                  <w14:solidFill>
                    <w14:schemeClr w14:val="tx1"/>
                  </w14:solidFill>
                </w14:textFill>
              </w:rPr>
              <w:t>）</w:t>
            </w:r>
          </w:p>
        </w:tc>
        <w:tc>
          <w:tcPr>
            <w:tcW w:w="1440" w:type="dxa"/>
            <w:vAlign w:val="center"/>
          </w:tcPr>
          <w:p w14:paraId="228F9749">
            <w:pPr>
              <w:widowControl/>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0-5分</w:t>
            </w:r>
          </w:p>
        </w:tc>
      </w:tr>
      <w:tr w14:paraId="5BA9F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698" w:type="dxa"/>
            <w:vMerge w:val="continue"/>
            <w:vAlign w:val="center"/>
          </w:tcPr>
          <w:p w14:paraId="658495EE">
            <w:pPr>
              <w:widowControl/>
              <w:spacing w:line="360" w:lineRule="auto"/>
              <w:jc w:val="center"/>
              <w:rPr>
                <w:rFonts w:hint="eastAsia" w:ascii="宋体" w:hAnsi="宋体" w:eastAsia="宋体" w:cs="宋体"/>
                <w:kern w:val="0"/>
                <w:sz w:val="24"/>
              </w:rPr>
            </w:pPr>
          </w:p>
        </w:tc>
        <w:tc>
          <w:tcPr>
            <w:tcW w:w="709" w:type="dxa"/>
            <w:vAlign w:val="center"/>
          </w:tcPr>
          <w:p w14:paraId="4A0441EF">
            <w:pPr>
              <w:widowControl/>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6</w:t>
            </w:r>
          </w:p>
        </w:tc>
        <w:tc>
          <w:tcPr>
            <w:tcW w:w="6234" w:type="dxa"/>
            <w:shd w:val="clear" w:color="auto" w:fill="auto"/>
            <w:vAlign w:val="center"/>
          </w:tcPr>
          <w:p w14:paraId="0F9AF9CA">
            <w:pPr>
              <w:jc w:val="left"/>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本地化服务能力：注册地在被服务粮库周边30公里内的得8分，注册地在粮库周边30公里外且不超过50公里（含）的得6分，粮库周边区域以外且在50公里以上的得3分</w:t>
            </w:r>
            <w:r>
              <w:rPr>
                <w:rFonts w:hint="eastAsia" w:ascii="宋体" w:hAnsi="宋体" w:cs="宋体"/>
                <w:color w:val="000000" w:themeColor="text1"/>
                <w:sz w:val="24"/>
                <w:lang w:eastAsia="zh-CN"/>
                <w14:textFill>
                  <w14:solidFill>
                    <w14:schemeClr w14:val="tx1"/>
                  </w14:solidFill>
                </w14:textFill>
              </w:rPr>
              <w:t>。</w:t>
            </w:r>
          </w:p>
        </w:tc>
        <w:tc>
          <w:tcPr>
            <w:tcW w:w="1440" w:type="dxa"/>
            <w:vAlign w:val="center"/>
          </w:tcPr>
          <w:p w14:paraId="257C4F8C">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3-8分</w:t>
            </w:r>
          </w:p>
        </w:tc>
      </w:tr>
      <w:tr w14:paraId="297E2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98" w:type="dxa"/>
            <w:vMerge w:val="restart"/>
            <w:vAlign w:val="center"/>
          </w:tcPr>
          <w:p w14:paraId="2A590307">
            <w:pPr>
              <w:widowControl/>
              <w:spacing w:line="360" w:lineRule="auto"/>
              <w:jc w:val="center"/>
              <w:rPr>
                <w:rFonts w:hint="eastAsia" w:ascii="宋体" w:hAnsi="宋体" w:eastAsia="宋体" w:cs="宋体"/>
                <w:kern w:val="0"/>
                <w:sz w:val="24"/>
              </w:rPr>
            </w:pPr>
            <w:r>
              <w:rPr>
                <w:rFonts w:hint="eastAsia" w:ascii="宋体" w:hAnsi="宋体" w:eastAsia="宋体" w:cs="宋体"/>
                <w:kern w:val="0"/>
                <w:sz w:val="24"/>
              </w:rPr>
              <w:t>技</w:t>
            </w:r>
          </w:p>
          <w:p w14:paraId="5812D3DB">
            <w:pPr>
              <w:widowControl/>
              <w:spacing w:line="360" w:lineRule="auto"/>
              <w:jc w:val="center"/>
              <w:rPr>
                <w:rFonts w:hint="eastAsia" w:ascii="宋体" w:hAnsi="宋体" w:eastAsia="宋体" w:cs="宋体"/>
                <w:kern w:val="0"/>
                <w:sz w:val="24"/>
              </w:rPr>
            </w:pPr>
            <w:r>
              <w:rPr>
                <w:rFonts w:hint="eastAsia" w:ascii="宋体" w:hAnsi="宋体" w:eastAsia="宋体" w:cs="宋体"/>
                <w:kern w:val="0"/>
                <w:sz w:val="24"/>
              </w:rPr>
              <w:t>术</w:t>
            </w:r>
          </w:p>
          <w:p w14:paraId="47AC16A1">
            <w:pPr>
              <w:widowControl/>
              <w:spacing w:line="360" w:lineRule="auto"/>
              <w:jc w:val="center"/>
              <w:rPr>
                <w:rFonts w:hint="eastAsia" w:ascii="宋体" w:hAnsi="宋体" w:eastAsia="宋体" w:cs="宋体"/>
                <w:kern w:val="0"/>
                <w:sz w:val="24"/>
              </w:rPr>
            </w:pPr>
            <w:r>
              <w:rPr>
                <w:rFonts w:hint="eastAsia" w:ascii="宋体" w:hAnsi="宋体" w:eastAsia="宋体" w:cs="宋体"/>
                <w:kern w:val="0"/>
                <w:sz w:val="24"/>
              </w:rPr>
              <w:t>分(30分)</w:t>
            </w:r>
          </w:p>
        </w:tc>
        <w:tc>
          <w:tcPr>
            <w:tcW w:w="709" w:type="dxa"/>
            <w:vAlign w:val="center"/>
          </w:tcPr>
          <w:p w14:paraId="4F5F6C1D">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w:t>
            </w:r>
          </w:p>
        </w:tc>
        <w:tc>
          <w:tcPr>
            <w:tcW w:w="6234" w:type="dxa"/>
            <w:shd w:val="clear" w:color="auto" w:fill="auto"/>
            <w:vAlign w:val="center"/>
          </w:tcPr>
          <w:p w14:paraId="217D36DC">
            <w:pPr>
              <w:jc w:val="left"/>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管理与服务方案3分：根据方案的完整性、可靠性综合评</w:t>
            </w:r>
            <w:r>
              <w:rPr>
                <w:rFonts w:hint="eastAsia" w:ascii="宋体" w:hAnsi="宋体" w:cs="宋体"/>
                <w:color w:val="000000" w:themeColor="text1"/>
                <w:sz w:val="24"/>
                <w:lang w:val="en-US" w:eastAsia="zh-CN"/>
                <w14:textFill>
                  <w14:solidFill>
                    <w14:schemeClr w14:val="tx1"/>
                  </w14:solidFill>
                </w14:textFill>
              </w:rPr>
              <w:t>定。</w:t>
            </w:r>
          </w:p>
        </w:tc>
        <w:tc>
          <w:tcPr>
            <w:tcW w:w="1440" w:type="dxa"/>
            <w:vAlign w:val="center"/>
          </w:tcPr>
          <w:p w14:paraId="7B3C42F9">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1-3分</w:t>
            </w:r>
          </w:p>
        </w:tc>
      </w:tr>
      <w:tr w14:paraId="70B46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98" w:type="dxa"/>
            <w:vMerge w:val="continue"/>
            <w:vAlign w:val="center"/>
          </w:tcPr>
          <w:p w14:paraId="606070BA">
            <w:pPr>
              <w:widowControl/>
              <w:jc w:val="center"/>
              <w:rPr>
                <w:rFonts w:hint="eastAsia" w:ascii="宋体" w:hAnsi="宋体" w:eastAsia="宋体" w:cs="宋体"/>
                <w:kern w:val="0"/>
                <w:sz w:val="24"/>
              </w:rPr>
            </w:pPr>
          </w:p>
        </w:tc>
        <w:tc>
          <w:tcPr>
            <w:tcW w:w="709" w:type="dxa"/>
            <w:vAlign w:val="center"/>
          </w:tcPr>
          <w:p w14:paraId="2B326F13">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w:t>
            </w:r>
          </w:p>
        </w:tc>
        <w:tc>
          <w:tcPr>
            <w:tcW w:w="6234" w:type="dxa"/>
            <w:shd w:val="clear" w:color="auto" w:fill="auto"/>
            <w:vAlign w:val="top"/>
          </w:tcPr>
          <w:p w14:paraId="70FE12EB">
            <w:pPr>
              <w:jc w:val="left"/>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参加人身意外伤害保险，承诺人身意外伤害保险人均保险金100万元及以上</w:t>
            </w:r>
            <w:r>
              <w:rPr>
                <w:rFonts w:hint="eastAsia" w:ascii="宋体" w:hAnsi="宋体" w:cs="宋体"/>
                <w:color w:val="000000" w:themeColor="text1"/>
                <w:sz w:val="24"/>
                <w:lang w:eastAsia="zh-CN"/>
                <w14:textFill>
                  <w14:solidFill>
                    <w14:schemeClr w14:val="tx1"/>
                  </w14:solidFill>
                </w14:textFill>
              </w:rPr>
              <w:t>的</w:t>
            </w:r>
            <w:r>
              <w:rPr>
                <w:rFonts w:hint="eastAsia" w:ascii="宋体" w:hAnsi="宋体" w:eastAsia="宋体" w:cs="宋体"/>
                <w:color w:val="000000" w:themeColor="text1"/>
                <w:sz w:val="24"/>
                <w14:textFill>
                  <w14:solidFill>
                    <w14:schemeClr w14:val="tx1"/>
                  </w14:solidFill>
                </w14:textFill>
              </w:rPr>
              <w:t>得10分，50－100万元</w:t>
            </w:r>
            <w:r>
              <w:rPr>
                <w:rFonts w:hint="eastAsia" w:ascii="宋体" w:hAnsi="宋体" w:cs="宋体"/>
                <w:color w:val="000000" w:themeColor="text1"/>
                <w:sz w:val="24"/>
                <w:lang w:eastAsia="zh-CN"/>
                <w14:textFill>
                  <w14:solidFill>
                    <w14:schemeClr w14:val="tx1"/>
                  </w14:solidFill>
                </w14:textFill>
              </w:rPr>
              <w:t>的</w:t>
            </w:r>
            <w:r>
              <w:rPr>
                <w:rFonts w:hint="eastAsia" w:ascii="宋体" w:hAnsi="宋体" w:eastAsia="宋体" w:cs="宋体"/>
                <w:color w:val="000000" w:themeColor="text1"/>
                <w:sz w:val="24"/>
                <w14:textFill>
                  <w14:solidFill>
                    <w14:schemeClr w14:val="tx1"/>
                  </w14:solidFill>
                </w14:textFill>
              </w:rPr>
              <w:t>得8分，20-50万元（含50万元）</w:t>
            </w:r>
            <w:r>
              <w:rPr>
                <w:rFonts w:hint="eastAsia" w:ascii="宋体" w:hAnsi="宋体" w:cs="宋体"/>
                <w:color w:val="000000" w:themeColor="text1"/>
                <w:sz w:val="24"/>
                <w:lang w:eastAsia="zh-CN"/>
                <w14:textFill>
                  <w14:solidFill>
                    <w14:schemeClr w14:val="tx1"/>
                  </w14:solidFill>
                </w14:textFill>
              </w:rPr>
              <w:t>的</w:t>
            </w:r>
            <w:r>
              <w:rPr>
                <w:rFonts w:hint="eastAsia" w:ascii="宋体" w:hAnsi="宋体" w:eastAsia="宋体" w:cs="宋体"/>
                <w:color w:val="000000" w:themeColor="text1"/>
                <w:sz w:val="24"/>
                <w14:textFill>
                  <w14:solidFill>
                    <w14:schemeClr w14:val="tx1"/>
                  </w14:solidFill>
                </w14:textFill>
              </w:rPr>
              <w:t>得4分，20万及以下</w:t>
            </w:r>
            <w:bookmarkStart w:id="459" w:name="_GoBack"/>
            <w:bookmarkEnd w:id="459"/>
            <w:r>
              <w:rPr>
                <w:rFonts w:hint="eastAsia" w:ascii="宋体" w:hAnsi="宋体" w:eastAsia="宋体" w:cs="宋体"/>
                <w:color w:val="000000" w:themeColor="text1"/>
                <w:sz w:val="24"/>
                <w14:textFill>
                  <w14:solidFill>
                    <w14:schemeClr w14:val="tx1"/>
                  </w14:solidFill>
                </w14:textFill>
              </w:rPr>
              <w:t>或不承诺</w:t>
            </w:r>
            <w:r>
              <w:rPr>
                <w:rFonts w:hint="eastAsia" w:ascii="宋体" w:hAnsi="宋体" w:cs="宋体"/>
                <w:color w:val="000000" w:themeColor="text1"/>
                <w:sz w:val="24"/>
                <w:lang w:eastAsia="zh-CN"/>
                <w14:textFill>
                  <w14:solidFill>
                    <w14:schemeClr w14:val="tx1"/>
                  </w14:solidFill>
                </w14:textFill>
              </w:rPr>
              <w:t>的</w:t>
            </w:r>
            <w:r>
              <w:rPr>
                <w:rFonts w:hint="eastAsia" w:ascii="宋体" w:hAnsi="宋体" w:eastAsia="宋体" w:cs="宋体"/>
                <w:color w:val="000000" w:themeColor="text1"/>
                <w:sz w:val="24"/>
                <w14:textFill>
                  <w14:solidFill>
                    <w14:schemeClr w14:val="tx1"/>
                  </w14:solidFill>
                </w14:textFill>
              </w:rPr>
              <w:t>不得分。成交人不按承诺参保的最终视为自动放弃</w:t>
            </w:r>
            <w:r>
              <w:rPr>
                <w:rFonts w:hint="eastAsia" w:ascii="宋体" w:hAnsi="宋体" w:cs="宋体"/>
                <w:color w:val="000000" w:themeColor="text1"/>
                <w:sz w:val="24"/>
                <w:lang w:eastAsia="zh-CN"/>
                <w14:textFill>
                  <w14:solidFill>
                    <w14:schemeClr w14:val="tx1"/>
                  </w14:solidFill>
                </w14:textFill>
              </w:rPr>
              <w:t>。</w:t>
            </w:r>
          </w:p>
        </w:tc>
        <w:tc>
          <w:tcPr>
            <w:tcW w:w="1440" w:type="dxa"/>
            <w:vAlign w:val="center"/>
          </w:tcPr>
          <w:p w14:paraId="2EF0C479">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0-10分</w:t>
            </w:r>
          </w:p>
        </w:tc>
      </w:tr>
      <w:tr w14:paraId="44687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698" w:type="dxa"/>
            <w:vMerge w:val="continue"/>
            <w:vAlign w:val="center"/>
          </w:tcPr>
          <w:p w14:paraId="7BB0C6C9">
            <w:pPr>
              <w:jc w:val="center"/>
              <w:rPr>
                <w:rFonts w:hint="eastAsia" w:ascii="宋体" w:hAnsi="宋体" w:eastAsia="宋体" w:cs="宋体"/>
                <w:kern w:val="0"/>
                <w:sz w:val="24"/>
              </w:rPr>
            </w:pPr>
          </w:p>
        </w:tc>
        <w:tc>
          <w:tcPr>
            <w:tcW w:w="709" w:type="dxa"/>
            <w:vAlign w:val="center"/>
          </w:tcPr>
          <w:p w14:paraId="326EDAE5">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w:t>
            </w:r>
          </w:p>
        </w:tc>
        <w:tc>
          <w:tcPr>
            <w:tcW w:w="6234" w:type="dxa"/>
            <w:shd w:val="clear" w:color="auto" w:fill="auto"/>
            <w:vAlign w:val="center"/>
          </w:tcPr>
          <w:p w14:paraId="22767A30">
            <w:pPr>
              <w:jc w:val="left"/>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突发事件应急措施：对服务区域内安全防范措施、队伍组织安排、人员调度、落实监管等紧急预案</w:t>
            </w:r>
            <w:r>
              <w:rPr>
                <w:rFonts w:hint="eastAsia" w:ascii="宋体" w:hAnsi="宋体" w:cs="宋体"/>
                <w:color w:val="000000" w:themeColor="text1"/>
                <w:sz w:val="24"/>
                <w:lang w:eastAsia="zh-CN"/>
                <w14:textFill>
                  <w14:solidFill>
                    <w14:schemeClr w14:val="tx1"/>
                  </w14:solidFill>
                </w14:textFill>
              </w:rPr>
              <w:t>。</w:t>
            </w:r>
          </w:p>
        </w:tc>
        <w:tc>
          <w:tcPr>
            <w:tcW w:w="1440" w:type="dxa"/>
            <w:vAlign w:val="center"/>
          </w:tcPr>
          <w:p w14:paraId="132A0E63">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2-5分</w:t>
            </w:r>
          </w:p>
        </w:tc>
      </w:tr>
      <w:tr w14:paraId="4E9C8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698" w:type="dxa"/>
            <w:vMerge w:val="continue"/>
            <w:vAlign w:val="center"/>
          </w:tcPr>
          <w:p w14:paraId="7ABD0F12">
            <w:pPr>
              <w:jc w:val="center"/>
              <w:rPr>
                <w:rFonts w:hint="eastAsia" w:ascii="宋体" w:hAnsi="宋体" w:eastAsia="宋体" w:cs="宋体"/>
                <w:kern w:val="0"/>
                <w:sz w:val="24"/>
              </w:rPr>
            </w:pPr>
          </w:p>
        </w:tc>
        <w:tc>
          <w:tcPr>
            <w:tcW w:w="709" w:type="dxa"/>
            <w:vAlign w:val="center"/>
          </w:tcPr>
          <w:p w14:paraId="278DD727">
            <w:pPr>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10</w:t>
            </w:r>
          </w:p>
        </w:tc>
        <w:tc>
          <w:tcPr>
            <w:tcW w:w="6234" w:type="dxa"/>
            <w:shd w:val="clear" w:color="auto" w:fill="auto"/>
            <w:vAlign w:val="center"/>
          </w:tcPr>
          <w:p w14:paraId="7737F97A">
            <w:pP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服务质量保证：根据服务承诺、可实现程度等情况综合评定</w:t>
            </w:r>
            <w:r>
              <w:rPr>
                <w:rFonts w:hint="eastAsia" w:ascii="宋体" w:hAnsi="宋体" w:cs="宋体"/>
                <w:color w:val="000000" w:themeColor="text1"/>
                <w:kern w:val="0"/>
                <w:sz w:val="24"/>
                <w:lang w:eastAsia="zh-CN"/>
                <w14:textFill>
                  <w14:solidFill>
                    <w14:schemeClr w14:val="tx1"/>
                  </w14:solidFill>
                </w14:textFill>
              </w:rPr>
              <w:t>。</w:t>
            </w:r>
          </w:p>
        </w:tc>
        <w:tc>
          <w:tcPr>
            <w:tcW w:w="1440" w:type="dxa"/>
            <w:vAlign w:val="center"/>
          </w:tcPr>
          <w:p w14:paraId="3F3A6797">
            <w:pPr>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2-5分</w:t>
            </w:r>
          </w:p>
        </w:tc>
      </w:tr>
      <w:tr w14:paraId="1364C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698" w:type="dxa"/>
            <w:vMerge w:val="continue"/>
            <w:vAlign w:val="center"/>
          </w:tcPr>
          <w:p w14:paraId="2915CA32">
            <w:pPr>
              <w:widowControl/>
              <w:jc w:val="center"/>
              <w:rPr>
                <w:rFonts w:hint="eastAsia" w:ascii="宋体" w:hAnsi="宋体" w:eastAsia="宋体" w:cs="宋体"/>
                <w:kern w:val="0"/>
                <w:sz w:val="24"/>
              </w:rPr>
            </w:pPr>
          </w:p>
        </w:tc>
        <w:tc>
          <w:tcPr>
            <w:tcW w:w="709" w:type="dxa"/>
            <w:vAlign w:val="center"/>
          </w:tcPr>
          <w:p w14:paraId="0A7A1E61">
            <w:pPr>
              <w:widowControl/>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11</w:t>
            </w:r>
          </w:p>
        </w:tc>
        <w:tc>
          <w:tcPr>
            <w:tcW w:w="6234" w:type="dxa"/>
            <w:shd w:val="clear" w:color="auto" w:fill="auto"/>
            <w:vAlign w:val="center"/>
          </w:tcPr>
          <w:p w14:paraId="3B1BE610">
            <w:pPr>
              <w:spacing w:line="300" w:lineRule="exact"/>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服务承诺（根据服务方案、措施等情况综合评定</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w:t>
            </w:r>
          </w:p>
        </w:tc>
        <w:tc>
          <w:tcPr>
            <w:tcW w:w="1440" w:type="dxa"/>
            <w:vAlign w:val="center"/>
          </w:tcPr>
          <w:p w14:paraId="20A865AD">
            <w:pPr>
              <w:widowControl/>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2-5分</w:t>
            </w:r>
          </w:p>
        </w:tc>
      </w:tr>
      <w:tr w14:paraId="4BB19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98" w:type="dxa"/>
            <w:vMerge w:val="continue"/>
            <w:vAlign w:val="center"/>
          </w:tcPr>
          <w:p w14:paraId="41882BCC">
            <w:pPr>
              <w:widowControl/>
              <w:jc w:val="center"/>
              <w:rPr>
                <w:rFonts w:hint="eastAsia" w:ascii="宋体" w:hAnsi="宋体" w:eastAsia="宋体" w:cs="宋体"/>
                <w:kern w:val="0"/>
                <w:sz w:val="24"/>
              </w:rPr>
            </w:pPr>
          </w:p>
        </w:tc>
        <w:tc>
          <w:tcPr>
            <w:tcW w:w="709" w:type="dxa"/>
            <w:vAlign w:val="center"/>
          </w:tcPr>
          <w:p w14:paraId="0C396BCF">
            <w:pPr>
              <w:widowControl/>
              <w:jc w:val="center"/>
              <w:rPr>
                <w:rFonts w:hint="eastAsia" w:ascii="宋体" w:hAnsi="宋体" w:eastAsia="宋体" w:cs="宋体"/>
                <w:kern w:val="0"/>
                <w:sz w:val="24"/>
              </w:rPr>
            </w:pPr>
            <w:r>
              <w:rPr>
                <w:rFonts w:hint="eastAsia" w:ascii="宋体" w:hAnsi="宋体" w:eastAsia="宋体" w:cs="宋体"/>
                <w:kern w:val="0"/>
                <w:sz w:val="24"/>
              </w:rPr>
              <w:t>12</w:t>
            </w:r>
          </w:p>
        </w:tc>
        <w:tc>
          <w:tcPr>
            <w:tcW w:w="6234" w:type="dxa"/>
            <w:shd w:val="clear" w:color="auto" w:fill="auto"/>
            <w:vAlign w:val="center"/>
          </w:tcPr>
          <w:p w14:paraId="2BBA8E00">
            <w:pPr>
              <w:spacing w:line="300" w:lineRule="exact"/>
              <w:rPr>
                <w:rFonts w:hint="eastAsia" w:ascii="宋体" w:hAnsi="宋体" w:eastAsia="宋体" w:cs="宋体"/>
                <w:kern w:val="0"/>
                <w:sz w:val="24"/>
                <w:szCs w:val="24"/>
                <w:lang w:val="en-US" w:eastAsia="zh-CN" w:bidi="ar-SA"/>
              </w:rPr>
            </w:pPr>
            <w:r>
              <w:rPr>
                <w:rFonts w:hint="eastAsia" w:ascii="宋体" w:hAnsi="宋体" w:eastAsia="宋体" w:cs="宋体"/>
                <w:sz w:val="24"/>
              </w:rPr>
              <w:t>响应文件制作质量（根据响应文件编制有序、内容规范、字句清晰、表述完整等情况综合评定</w:t>
            </w:r>
            <w:r>
              <w:rPr>
                <w:rFonts w:hint="eastAsia" w:ascii="宋体" w:hAnsi="宋体" w:cs="宋体"/>
                <w:sz w:val="24"/>
                <w:lang w:eastAsia="zh-CN"/>
              </w:rPr>
              <w:t>。</w:t>
            </w:r>
            <w:r>
              <w:rPr>
                <w:rFonts w:hint="eastAsia" w:ascii="宋体" w:hAnsi="宋体" w:eastAsia="宋体" w:cs="宋体"/>
                <w:sz w:val="24"/>
              </w:rPr>
              <w:t>）</w:t>
            </w:r>
          </w:p>
        </w:tc>
        <w:tc>
          <w:tcPr>
            <w:tcW w:w="1440" w:type="dxa"/>
            <w:vAlign w:val="center"/>
          </w:tcPr>
          <w:p w14:paraId="4BB051F2">
            <w:pPr>
              <w:widowControl/>
              <w:jc w:val="center"/>
              <w:rPr>
                <w:rFonts w:hint="eastAsia" w:ascii="宋体" w:hAnsi="宋体" w:eastAsia="宋体" w:cs="宋体"/>
                <w:kern w:val="0"/>
                <w:sz w:val="24"/>
              </w:rPr>
            </w:pPr>
            <w:r>
              <w:rPr>
                <w:rFonts w:hint="eastAsia" w:ascii="宋体" w:hAnsi="宋体" w:eastAsia="宋体" w:cs="宋体"/>
                <w:kern w:val="0"/>
                <w:sz w:val="24"/>
              </w:rPr>
              <w:t>1-2分</w:t>
            </w:r>
          </w:p>
        </w:tc>
      </w:tr>
    </w:tbl>
    <w:p w14:paraId="00F56AA5">
      <w:pPr>
        <w:pStyle w:val="637"/>
        <w:snapToGrid w:val="0"/>
        <w:ind w:firstLine="0" w:firstLineChars="0"/>
        <w:rPr>
          <w:rFonts w:hint="eastAsia" w:ascii="宋体" w:hAnsi="宋体" w:eastAsia="宋体" w:cs="宋体"/>
          <w:sz w:val="24"/>
          <w:szCs w:val="24"/>
        </w:rPr>
      </w:pPr>
      <w:r>
        <w:rPr>
          <w:rFonts w:hint="eastAsia" w:ascii="宋体" w:hAnsi="宋体" w:eastAsia="宋体" w:cs="宋体"/>
          <w:b/>
          <w:kern w:val="0"/>
          <w:sz w:val="24"/>
          <w:szCs w:val="20"/>
          <w:lang w:val="en-GB"/>
        </w:rPr>
        <w:t>（1）</w:t>
      </w:r>
      <w:r>
        <w:rPr>
          <w:rFonts w:hint="eastAsia" w:ascii="宋体" w:hAnsi="宋体" w:eastAsia="宋体" w:cs="宋体"/>
          <w:sz w:val="24"/>
          <w:szCs w:val="24"/>
        </w:rPr>
        <w:t>投标文件中如附有外文资料，必须逐一对应翻译成中文并加盖投标人公章后附在相关外文资料后面，否则外文资料不予认可。翻译的中文资料与外文资料不符的，均不予认可。翻译严重错误的，将视同提供虚假资料。</w:t>
      </w:r>
    </w:p>
    <w:p w14:paraId="53A71F16">
      <w:pPr>
        <w:pStyle w:val="637"/>
        <w:snapToGrid w:val="0"/>
        <w:ind w:firstLine="0" w:firstLineChars="0"/>
        <w:outlineLvl w:val="1"/>
        <w:rPr>
          <w:rFonts w:hint="eastAsia" w:ascii="宋体" w:hAnsi="宋体" w:eastAsia="宋体" w:cs="宋体"/>
          <w:sz w:val="24"/>
          <w:szCs w:val="24"/>
        </w:rPr>
      </w:pPr>
      <w:r>
        <w:rPr>
          <w:rFonts w:hint="eastAsia" w:ascii="宋体" w:hAnsi="宋体" w:eastAsia="宋体" w:cs="宋体"/>
          <w:b/>
          <w:bCs/>
          <w:sz w:val="24"/>
          <w:szCs w:val="28"/>
        </w:rPr>
        <w:t>2、价格分（40分）</w:t>
      </w:r>
    </w:p>
    <w:tbl>
      <w:tblPr>
        <w:tblStyle w:val="61"/>
        <w:tblW w:w="8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6984"/>
      </w:tblGrid>
      <w:tr w14:paraId="57519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825" w:type="dxa"/>
            <w:tcBorders>
              <w:top w:val="single" w:color="auto" w:sz="4" w:space="0"/>
              <w:left w:val="single" w:color="auto" w:sz="4" w:space="0"/>
              <w:bottom w:val="single" w:color="auto" w:sz="4" w:space="0"/>
              <w:right w:val="single" w:color="auto" w:sz="4" w:space="0"/>
            </w:tcBorders>
            <w:noWrap/>
            <w:vAlign w:val="center"/>
          </w:tcPr>
          <w:p w14:paraId="30A31774">
            <w:pPr>
              <w:widowControl/>
              <w:snapToGrid w:val="0"/>
              <w:spacing w:line="360" w:lineRule="auto"/>
              <w:jc w:val="center"/>
              <w:rPr>
                <w:rFonts w:hint="eastAsia" w:ascii="宋体" w:hAnsi="宋体" w:eastAsia="宋体" w:cs="宋体"/>
                <w:sz w:val="24"/>
              </w:rPr>
            </w:pPr>
            <w:r>
              <w:rPr>
                <w:rFonts w:hint="eastAsia" w:ascii="宋体" w:hAnsi="宋体" w:eastAsia="宋体" w:cs="宋体"/>
                <w:sz w:val="24"/>
              </w:rPr>
              <w:t>价格权值</w:t>
            </w:r>
          </w:p>
        </w:tc>
        <w:tc>
          <w:tcPr>
            <w:tcW w:w="6984" w:type="dxa"/>
            <w:tcBorders>
              <w:top w:val="single" w:color="auto" w:sz="4" w:space="0"/>
              <w:left w:val="single" w:color="auto" w:sz="4" w:space="0"/>
              <w:bottom w:val="single" w:color="auto" w:sz="4" w:space="0"/>
              <w:right w:val="single" w:color="auto" w:sz="4" w:space="0"/>
            </w:tcBorders>
            <w:noWrap/>
            <w:vAlign w:val="center"/>
          </w:tcPr>
          <w:p w14:paraId="7233962B">
            <w:pPr>
              <w:widowControl/>
              <w:snapToGrid w:val="0"/>
              <w:spacing w:line="360" w:lineRule="auto"/>
              <w:ind w:firstLine="480" w:firstLineChars="200"/>
              <w:jc w:val="center"/>
              <w:rPr>
                <w:rFonts w:hint="eastAsia" w:ascii="宋体" w:hAnsi="宋体" w:eastAsia="宋体" w:cs="宋体"/>
                <w:sz w:val="24"/>
              </w:rPr>
            </w:pPr>
            <w:r>
              <w:rPr>
                <w:rFonts w:hint="eastAsia" w:ascii="宋体" w:hAnsi="宋体" w:eastAsia="宋体" w:cs="宋体"/>
                <w:sz w:val="24"/>
              </w:rPr>
              <w:t>计算方法</w:t>
            </w:r>
          </w:p>
        </w:tc>
      </w:tr>
      <w:tr w14:paraId="7150D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1825" w:type="dxa"/>
            <w:tcBorders>
              <w:top w:val="single" w:color="auto" w:sz="4" w:space="0"/>
              <w:left w:val="single" w:color="auto" w:sz="4" w:space="0"/>
              <w:bottom w:val="single" w:color="auto" w:sz="4" w:space="0"/>
              <w:right w:val="single" w:color="auto" w:sz="4" w:space="0"/>
            </w:tcBorders>
            <w:noWrap/>
            <w:vAlign w:val="center"/>
          </w:tcPr>
          <w:p w14:paraId="3AE820C2">
            <w:pPr>
              <w:widowControl/>
              <w:snapToGrid w:val="0"/>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价格权值=0.4</w:t>
            </w:r>
          </w:p>
        </w:tc>
        <w:tc>
          <w:tcPr>
            <w:tcW w:w="6984" w:type="dxa"/>
            <w:tcBorders>
              <w:top w:val="single" w:color="auto" w:sz="4" w:space="0"/>
              <w:left w:val="single" w:color="auto" w:sz="4" w:space="0"/>
              <w:bottom w:val="single" w:color="auto" w:sz="4" w:space="0"/>
              <w:right w:val="single" w:color="auto" w:sz="4" w:space="0"/>
            </w:tcBorders>
            <w:noWrap/>
            <w:vAlign w:val="center"/>
          </w:tcPr>
          <w:p w14:paraId="011AD78C">
            <w:pPr>
              <w:widowControl/>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最大优惠率为评标基准价（按所报下浮率结合预算金额</w:t>
            </w: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00</w:t>
            </w:r>
            <w:r>
              <w:rPr>
                <w:rFonts w:hint="eastAsia" w:ascii="宋体" w:hAnsi="宋体" w:eastAsia="宋体" w:cs="宋体"/>
                <w:color w:val="000000" w:themeColor="text1"/>
                <w:sz w:val="24"/>
                <w14:textFill>
                  <w14:solidFill>
                    <w14:schemeClr w14:val="tx1"/>
                  </w14:solidFill>
                </w14:textFill>
              </w:rPr>
              <w:t>万元折算成投标报价作为评标基准价）</w:t>
            </w:r>
          </w:p>
          <w:p w14:paraId="50E09ED0">
            <w:pPr>
              <w:widowControl/>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投标报价得分=(评标基准价／投标报价)×价格权值×100 </w:t>
            </w:r>
          </w:p>
          <w:p w14:paraId="18AE7A9E">
            <w:pPr>
              <w:widowControl/>
              <w:snapToGrid w:val="0"/>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（计算得分保留小数点后2位）</w:t>
            </w:r>
          </w:p>
        </w:tc>
      </w:tr>
    </w:tbl>
    <w:p w14:paraId="2849DE5C">
      <w:pPr>
        <w:pStyle w:val="637"/>
        <w:snapToGrid w:val="0"/>
        <w:ind w:firstLine="0" w:firstLineChars="0"/>
        <w:outlineLvl w:val="1"/>
        <w:rPr>
          <w:rFonts w:hint="eastAsia" w:ascii="宋体" w:hAnsi="宋体" w:eastAsia="宋体" w:cs="宋体"/>
          <w:szCs w:val="28"/>
        </w:rPr>
        <w:sectPr>
          <w:headerReference r:id="rId8" w:type="default"/>
          <w:footerReference r:id="rId9" w:type="default"/>
          <w:pgSz w:w="11906" w:h="16838"/>
          <w:pgMar w:top="1440" w:right="1800" w:bottom="1440" w:left="1800" w:header="851" w:footer="992" w:gutter="0"/>
          <w:cols w:space="425" w:num="1"/>
          <w:docGrid w:type="lines" w:linePitch="312" w:charSpace="0"/>
        </w:sectPr>
      </w:pPr>
    </w:p>
    <w:p w14:paraId="244EFEC9">
      <w:pPr>
        <w:pageBreakBefore w:val="0"/>
        <w:widowControl/>
        <w:kinsoku/>
        <w:wordWrap/>
        <w:overflowPunct/>
        <w:topLinePunct w:val="0"/>
        <w:autoSpaceDE/>
        <w:autoSpaceDN/>
        <w:bidi w:val="0"/>
        <w:adjustRightInd/>
        <w:spacing w:beforeAutospacing="0" w:afterAutospacing="0" w:line="360" w:lineRule="auto"/>
        <w:ind w:left="0" w:leftChars="0" w:firstLine="643" w:firstLineChars="200"/>
        <w:textAlignment w:val="auto"/>
        <w:rPr>
          <w:rFonts w:hint="eastAsia" w:ascii="宋体" w:hAnsi="宋体" w:eastAsia="宋体" w:cs="宋体"/>
          <w:b/>
          <w:sz w:val="28"/>
          <w:szCs w:val="28"/>
        </w:rPr>
      </w:pPr>
      <w:r>
        <w:rPr>
          <w:rFonts w:hint="eastAsia" w:ascii="宋体" w:hAnsi="宋体" w:eastAsia="宋体" w:cs="宋体"/>
          <w:b/>
          <w:sz w:val="32"/>
        </w:rPr>
        <w:t>一、评标方法</w:t>
      </w:r>
    </w:p>
    <w:p w14:paraId="0D8488DB">
      <w:pPr>
        <w:pageBreakBefore w:val="0"/>
        <w:kinsoku/>
        <w:wordWrap/>
        <w:overflowPunct/>
        <w:topLinePunct w:val="0"/>
        <w:autoSpaceDE/>
        <w:autoSpaceDN/>
        <w:bidi w:val="0"/>
        <w:adjustRightInd/>
        <w:spacing w:beforeAutospacing="0" w:afterAutospacing="0" w:line="360" w:lineRule="auto"/>
        <w:ind w:left="0" w:leftChars="0" w:firstLine="482" w:firstLineChars="200"/>
        <w:textAlignment w:val="auto"/>
        <w:rPr>
          <w:rFonts w:hint="eastAsia" w:ascii="宋体" w:hAnsi="宋体" w:eastAsia="宋体" w:cs="宋体"/>
          <w:kern w:val="0"/>
          <w:sz w:val="24"/>
        </w:rPr>
      </w:pPr>
      <w:r>
        <w:rPr>
          <w:rFonts w:hint="eastAsia" w:ascii="宋体" w:hAnsi="宋体" w:eastAsia="宋体" w:cs="宋体"/>
          <w:b/>
          <w:kern w:val="0"/>
          <w:sz w:val="24"/>
        </w:rPr>
        <w:t>1.本项目采用综合评估法。在最大限度地满足招标文件实质性要求前提下，按照招标文件中规定的各项因素进行综合评审后，以评审总得分最高的供应商作为中标候选人。</w:t>
      </w:r>
      <w:r>
        <w:rPr>
          <w:rFonts w:hint="eastAsia" w:ascii="宋体" w:hAnsi="宋体" w:eastAsia="宋体" w:cs="宋体"/>
          <w:b/>
          <w:sz w:val="32"/>
        </w:rPr>
        <w:t>二、评标标准</w:t>
      </w:r>
    </w:p>
    <w:p w14:paraId="351C2D6D">
      <w:pPr>
        <w:pageBreakBefore w:val="0"/>
        <w:kinsoku/>
        <w:wordWrap/>
        <w:overflowPunct/>
        <w:topLinePunct w:val="0"/>
        <w:autoSpaceDE/>
        <w:autoSpaceDN/>
        <w:bidi w:val="0"/>
        <w:spacing w:beforeAutospacing="0" w:afterAutospacing="0" w:line="360" w:lineRule="auto"/>
        <w:ind w:left="0" w:leftChars="0" w:firstLine="482" w:firstLineChars="200"/>
        <w:textAlignment w:val="auto"/>
        <w:rPr>
          <w:rFonts w:hint="eastAsia" w:ascii="宋体" w:hAnsi="宋体" w:eastAsia="宋体" w:cs="宋体"/>
          <w:b/>
          <w:sz w:val="24"/>
        </w:rPr>
      </w:pPr>
      <w:r>
        <w:rPr>
          <w:rFonts w:hint="eastAsia" w:ascii="宋体" w:hAnsi="宋体" w:eastAsia="宋体" w:cs="宋体"/>
          <w:b/>
          <w:sz w:val="24"/>
        </w:rPr>
        <w:t>2.评标标准：</w:t>
      </w:r>
      <w:r>
        <w:rPr>
          <w:rFonts w:hint="eastAsia" w:ascii="宋体" w:hAnsi="宋体" w:eastAsia="宋体" w:cs="宋体"/>
          <w:kern w:val="0"/>
          <w:sz w:val="24"/>
        </w:rPr>
        <w:t>见评标办法前附表。</w:t>
      </w:r>
    </w:p>
    <w:p w14:paraId="12789885">
      <w:pPr>
        <w:pageBreakBefore w:val="0"/>
        <w:kinsoku/>
        <w:wordWrap/>
        <w:overflowPunct/>
        <w:topLinePunct w:val="0"/>
        <w:autoSpaceDE/>
        <w:autoSpaceDN/>
        <w:bidi w:val="0"/>
        <w:adjustRightInd/>
        <w:spacing w:beforeAutospacing="0" w:afterAutospacing="0" w:line="360" w:lineRule="auto"/>
        <w:ind w:left="0" w:leftChars="0" w:firstLine="643" w:firstLineChars="200"/>
        <w:textAlignment w:val="auto"/>
        <w:rPr>
          <w:rFonts w:hint="eastAsia" w:ascii="宋体" w:hAnsi="宋体" w:eastAsia="宋体" w:cs="宋体"/>
          <w:b/>
          <w:sz w:val="32"/>
        </w:rPr>
      </w:pPr>
      <w:r>
        <w:rPr>
          <w:rFonts w:hint="eastAsia" w:ascii="宋体" w:hAnsi="宋体" w:eastAsia="宋体" w:cs="宋体"/>
          <w:b/>
          <w:sz w:val="32"/>
        </w:rPr>
        <w:t>三、评标程序</w:t>
      </w:r>
    </w:p>
    <w:p w14:paraId="5F227F73">
      <w:pPr>
        <w:pageBreakBefore w:val="0"/>
        <w:kinsoku/>
        <w:wordWrap/>
        <w:overflowPunct/>
        <w:topLinePunct w:val="0"/>
        <w:autoSpaceDE/>
        <w:autoSpaceDN/>
        <w:bidi w:val="0"/>
        <w:spacing w:beforeAutospacing="0" w:afterAutospacing="0" w:line="360" w:lineRule="auto"/>
        <w:ind w:left="0" w:leftChars="0" w:firstLine="482" w:firstLineChars="200"/>
        <w:textAlignment w:val="auto"/>
        <w:rPr>
          <w:rFonts w:hint="eastAsia" w:ascii="宋体" w:hAnsi="宋体" w:eastAsia="宋体" w:cs="宋体"/>
          <w:kern w:val="0"/>
          <w:sz w:val="24"/>
        </w:rPr>
      </w:pPr>
      <w:r>
        <w:rPr>
          <w:rFonts w:hint="eastAsia" w:ascii="宋体" w:hAnsi="宋体" w:eastAsia="宋体" w:cs="宋体"/>
          <w:b/>
          <w:kern w:val="0"/>
          <w:sz w:val="24"/>
        </w:rPr>
        <w:t>3.1符合性审查。</w:t>
      </w:r>
      <w:r>
        <w:rPr>
          <w:rFonts w:hint="eastAsia" w:ascii="宋体" w:hAnsi="宋体" w:eastAsia="宋体" w:cs="宋体"/>
          <w:kern w:val="0"/>
          <w:sz w:val="24"/>
        </w:rPr>
        <w:t>评标委员会应当对符合资格的投标人的投标文件进行符合性审查，以确定其是否满足招标文件的实质性要求。不满足招标文件的实质性要求的，投标无效。</w:t>
      </w:r>
    </w:p>
    <w:p w14:paraId="200D8110">
      <w:pPr>
        <w:pageBreakBefore w:val="0"/>
        <w:kinsoku/>
        <w:wordWrap/>
        <w:overflowPunct/>
        <w:topLinePunct w:val="0"/>
        <w:autoSpaceDE/>
        <w:autoSpaceDN/>
        <w:bidi w:val="0"/>
        <w:spacing w:beforeAutospacing="0" w:afterAutospacing="0" w:line="360" w:lineRule="auto"/>
        <w:ind w:left="0" w:leftChars="0" w:firstLine="482" w:firstLineChars="200"/>
        <w:textAlignment w:val="auto"/>
        <w:rPr>
          <w:rFonts w:hint="eastAsia" w:ascii="宋体" w:hAnsi="宋体" w:eastAsia="宋体" w:cs="宋体"/>
          <w:kern w:val="0"/>
          <w:sz w:val="24"/>
        </w:rPr>
      </w:pPr>
      <w:r>
        <w:rPr>
          <w:rFonts w:hint="eastAsia" w:ascii="宋体" w:hAnsi="宋体" w:eastAsia="宋体" w:cs="宋体"/>
          <w:b/>
          <w:kern w:val="0"/>
          <w:sz w:val="24"/>
        </w:rPr>
        <w:t>3.2比较与评价。</w:t>
      </w:r>
      <w:r>
        <w:rPr>
          <w:rFonts w:hint="eastAsia" w:ascii="宋体" w:hAnsi="宋体" w:eastAsia="宋体" w:cs="宋体"/>
          <w:kern w:val="0"/>
          <w:sz w:val="24"/>
        </w:rPr>
        <w:t>评标委员会应当按照招标文件中规定的评标方法和标准，对符合性审查合格的投标文件进行商务和技术评估，综合比较与评价。</w:t>
      </w:r>
    </w:p>
    <w:p w14:paraId="08D85333">
      <w:pPr>
        <w:pageBreakBefore w:val="0"/>
        <w:kinsoku/>
        <w:wordWrap/>
        <w:overflowPunct/>
        <w:topLinePunct w:val="0"/>
        <w:autoSpaceDE/>
        <w:autoSpaceDN/>
        <w:bidi w:val="0"/>
        <w:spacing w:beforeAutospacing="0" w:afterAutospacing="0" w:line="360" w:lineRule="auto"/>
        <w:ind w:left="0" w:leftChars="0" w:firstLine="482" w:firstLineChars="200"/>
        <w:textAlignment w:val="auto"/>
        <w:rPr>
          <w:rFonts w:hint="eastAsia" w:ascii="宋体" w:hAnsi="宋体" w:eastAsia="宋体" w:cs="宋体"/>
          <w:kern w:val="0"/>
          <w:sz w:val="24"/>
        </w:rPr>
      </w:pPr>
      <w:r>
        <w:rPr>
          <w:rFonts w:hint="eastAsia" w:ascii="宋体" w:hAnsi="宋体" w:eastAsia="宋体" w:cs="宋体"/>
          <w:b/>
          <w:kern w:val="0"/>
          <w:sz w:val="24"/>
        </w:rPr>
        <w:t>3.3汇总商务技术得分。</w:t>
      </w:r>
      <w:r>
        <w:rPr>
          <w:rFonts w:hint="eastAsia" w:ascii="宋体" w:hAnsi="宋体" w:eastAsia="宋体" w:cs="宋体"/>
          <w:kern w:val="0"/>
          <w:sz w:val="24"/>
        </w:rPr>
        <w:t>评标委员会各成员应当独立对每个投标人的商务和技术文件进行评价，并汇总商务技术得分情况。</w:t>
      </w:r>
    </w:p>
    <w:p w14:paraId="01FB9BC7">
      <w:pPr>
        <w:pageBreakBefore w:val="0"/>
        <w:kinsoku/>
        <w:wordWrap/>
        <w:overflowPunct/>
        <w:topLinePunct w:val="0"/>
        <w:autoSpaceDE/>
        <w:autoSpaceDN/>
        <w:bidi w:val="0"/>
        <w:spacing w:beforeAutospacing="0" w:afterAutospacing="0" w:line="360" w:lineRule="auto"/>
        <w:ind w:left="0" w:leftChars="0" w:firstLine="482" w:firstLineChars="200"/>
        <w:textAlignment w:val="auto"/>
        <w:rPr>
          <w:rFonts w:hint="eastAsia" w:ascii="宋体" w:hAnsi="宋体" w:eastAsia="宋体" w:cs="宋体"/>
          <w:b/>
          <w:kern w:val="0"/>
          <w:sz w:val="24"/>
        </w:rPr>
      </w:pPr>
      <w:r>
        <w:rPr>
          <w:rFonts w:hint="eastAsia" w:ascii="宋体" w:hAnsi="宋体" w:eastAsia="宋体" w:cs="宋体"/>
          <w:b/>
          <w:kern w:val="0"/>
          <w:sz w:val="24"/>
        </w:rPr>
        <w:t>3.4报价评审。</w:t>
      </w:r>
    </w:p>
    <w:p w14:paraId="7A20DBD5">
      <w:pPr>
        <w:pStyle w:val="217"/>
        <w:pageBreakBefore w:val="0"/>
        <w:kinsoku/>
        <w:wordWrap/>
        <w:overflowPunct/>
        <w:topLinePunct w:val="0"/>
        <w:autoSpaceDE/>
        <w:autoSpaceDN/>
        <w:bidi w:val="0"/>
        <w:spacing w:before="0" w:beforeAutospacing="0" w:afterAutospacing="0" w:line="360" w:lineRule="auto"/>
        <w:ind w:left="0" w:leftChars="0" w:firstLine="482" w:firstLineChars="200"/>
        <w:textAlignment w:val="auto"/>
        <w:rPr>
          <w:rFonts w:hint="eastAsia" w:ascii="宋体" w:hAnsi="宋体" w:eastAsia="宋体" w:cs="宋体"/>
          <w:b/>
          <w:kern w:val="0"/>
        </w:rPr>
      </w:pPr>
      <w:r>
        <w:rPr>
          <w:rFonts w:hint="eastAsia" w:ascii="宋体" w:hAnsi="宋体" w:eastAsia="宋体" w:cs="宋体"/>
          <w:b/>
          <w:kern w:val="0"/>
        </w:rPr>
        <w:t>3.4.1投标文件报价出现前后不一致的，按照下列规定修正：</w:t>
      </w:r>
    </w:p>
    <w:p w14:paraId="682BD1F0">
      <w:pPr>
        <w:pStyle w:val="217"/>
        <w:pageBreakBefore w:val="0"/>
        <w:kinsoku/>
        <w:wordWrap/>
        <w:overflowPunct/>
        <w:topLinePunct w:val="0"/>
        <w:autoSpaceDE/>
        <w:autoSpaceDN/>
        <w:bidi w:val="0"/>
        <w:spacing w:before="0" w:beforeAutospacing="0" w:afterAutospacing="0" w:line="360" w:lineRule="auto"/>
        <w:ind w:left="0" w:leftChars="0" w:firstLine="480" w:firstLineChars="200"/>
        <w:textAlignment w:val="auto"/>
        <w:rPr>
          <w:rFonts w:hint="eastAsia" w:ascii="宋体" w:hAnsi="宋体" w:eastAsia="宋体" w:cs="宋体"/>
          <w:kern w:val="0"/>
          <w:szCs w:val="24"/>
        </w:rPr>
      </w:pPr>
      <w:r>
        <w:rPr>
          <w:rFonts w:hint="eastAsia" w:ascii="宋体" w:hAnsi="宋体" w:eastAsia="宋体" w:cs="宋体"/>
          <w:kern w:val="0"/>
          <w:szCs w:val="24"/>
        </w:rPr>
        <w:t>3.4.1.1投标文件中开标一览表(报价表)内容与投标文件中相应内容不一致的，以开标一览表(报价表)为准;</w:t>
      </w:r>
    </w:p>
    <w:p w14:paraId="07336B33">
      <w:pPr>
        <w:pStyle w:val="217"/>
        <w:pageBreakBefore w:val="0"/>
        <w:kinsoku/>
        <w:wordWrap/>
        <w:overflowPunct/>
        <w:topLinePunct w:val="0"/>
        <w:autoSpaceDE/>
        <w:autoSpaceDN/>
        <w:bidi w:val="0"/>
        <w:spacing w:before="0" w:beforeAutospacing="0" w:afterAutospacing="0" w:line="360" w:lineRule="auto"/>
        <w:ind w:left="0" w:leftChars="0" w:firstLine="480" w:firstLineChars="200"/>
        <w:textAlignment w:val="auto"/>
        <w:rPr>
          <w:rFonts w:hint="eastAsia" w:ascii="宋体" w:hAnsi="宋体" w:eastAsia="宋体" w:cs="宋体"/>
          <w:kern w:val="0"/>
          <w:szCs w:val="24"/>
        </w:rPr>
      </w:pPr>
      <w:r>
        <w:rPr>
          <w:rFonts w:hint="eastAsia" w:ascii="宋体" w:hAnsi="宋体" w:eastAsia="宋体" w:cs="宋体"/>
          <w:kern w:val="0"/>
          <w:szCs w:val="24"/>
        </w:rPr>
        <w:t>3.4.1.2大写金额和小写金额不一致的，以大写金额为准;</w:t>
      </w:r>
    </w:p>
    <w:p w14:paraId="5940C6F0">
      <w:pPr>
        <w:pStyle w:val="217"/>
        <w:pageBreakBefore w:val="0"/>
        <w:kinsoku/>
        <w:wordWrap/>
        <w:overflowPunct/>
        <w:topLinePunct w:val="0"/>
        <w:autoSpaceDE/>
        <w:autoSpaceDN/>
        <w:bidi w:val="0"/>
        <w:spacing w:before="0" w:beforeAutospacing="0" w:afterAutospacing="0" w:line="360" w:lineRule="auto"/>
        <w:ind w:left="0" w:leftChars="0" w:firstLine="480" w:firstLineChars="200"/>
        <w:textAlignment w:val="auto"/>
        <w:rPr>
          <w:rFonts w:hint="eastAsia" w:ascii="宋体" w:hAnsi="宋体" w:eastAsia="宋体" w:cs="宋体"/>
          <w:kern w:val="0"/>
          <w:szCs w:val="24"/>
        </w:rPr>
      </w:pPr>
      <w:r>
        <w:rPr>
          <w:rFonts w:hint="eastAsia" w:ascii="宋体" w:hAnsi="宋体" w:eastAsia="宋体" w:cs="宋体"/>
          <w:kern w:val="0"/>
          <w:szCs w:val="24"/>
        </w:rPr>
        <w:t>3.4.1.3单价金额小数点或者百分比有明显错位的，以开标一览表的总价为准，并修改单价;</w:t>
      </w:r>
    </w:p>
    <w:p w14:paraId="34033288">
      <w:pPr>
        <w:pStyle w:val="217"/>
        <w:pageBreakBefore w:val="0"/>
        <w:kinsoku/>
        <w:wordWrap/>
        <w:overflowPunct/>
        <w:topLinePunct w:val="0"/>
        <w:autoSpaceDE/>
        <w:autoSpaceDN/>
        <w:bidi w:val="0"/>
        <w:spacing w:before="0" w:beforeAutospacing="0" w:afterAutospacing="0" w:line="360" w:lineRule="auto"/>
        <w:ind w:left="0" w:leftChars="0" w:firstLine="480" w:firstLineChars="200"/>
        <w:textAlignment w:val="auto"/>
        <w:rPr>
          <w:rFonts w:hint="eastAsia" w:ascii="宋体" w:hAnsi="宋体" w:eastAsia="宋体" w:cs="宋体"/>
          <w:kern w:val="0"/>
          <w:szCs w:val="24"/>
        </w:rPr>
      </w:pPr>
      <w:r>
        <w:rPr>
          <w:rFonts w:hint="eastAsia" w:ascii="宋体" w:hAnsi="宋体" w:eastAsia="宋体" w:cs="宋体"/>
          <w:kern w:val="0"/>
          <w:szCs w:val="24"/>
        </w:rPr>
        <w:t>3.4.1.4总价金额与按单价汇总金额不一致的，以单价金额计算结果为准。</w:t>
      </w:r>
    </w:p>
    <w:p w14:paraId="3C707A97">
      <w:pPr>
        <w:pageBreakBefore w:val="0"/>
        <w:kinsoku/>
        <w:wordWrap/>
        <w:overflowPunct/>
        <w:topLinePunct w:val="0"/>
        <w:autoSpaceDE/>
        <w:autoSpaceDN/>
        <w:bidi w:val="0"/>
        <w:snapToGrid w:val="0"/>
        <w:spacing w:beforeAutospacing="0" w:afterAutospacing="0" w:line="360" w:lineRule="auto"/>
        <w:ind w:left="0" w:leftChars="0" w:firstLine="482" w:firstLineChars="200"/>
        <w:jc w:val="left"/>
        <w:textAlignment w:val="auto"/>
        <w:rPr>
          <w:rFonts w:hint="eastAsia" w:ascii="宋体" w:hAnsi="宋体" w:eastAsia="宋体" w:cs="宋体"/>
          <w:kern w:val="0"/>
          <w:sz w:val="24"/>
        </w:rPr>
      </w:pPr>
      <w:r>
        <w:rPr>
          <w:rFonts w:hint="eastAsia" w:ascii="宋体" w:hAnsi="宋体" w:eastAsia="宋体" w:cs="宋体"/>
          <w:b/>
          <w:kern w:val="0"/>
          <w:sz w:val="24"/>
        </w:rPr>
        <w:t>3.4.2</w:t>
      </w:r>
      <w:r>
        <w:rPr>
          <w:rFonts w:hint="eastAsia" w:ascii="宋体" w:hAnsi="宋体" w:eastAsia="宋体" w:cs="宋体"/>
          <w:kern w:val="0"/>
          <w:sz w:val="24"/>
        </w:rPr>
        <w:t>投标文件出现不是唯一的、有选择性响应报价的，投标无效。</w:t>
      </w:r>
    </w:p>
    <w:p w14:paraId="5AE3B951">
      <w:pPr>
        <w:pageBreakBefore w:val="0"/>
        <w:kinsoku/>
        <w:wordWrap/>
        <w:overflowPunct/>
        <w:topLinePunct w:val="0"/>
        <w:autoSpaceDE/>
        <w:autoSpaceDN/>
        <w:bidi w:val="0"/>
        <w:snapToGrid w:val="0"/>
        <w:spacing w:beforeAutospacing="0" w:afterAutospacing="0" w:line="360" w:lineRule="auto"/>
        <w:ind w:left="0" w:leftChars="0" w:firstLine="482" w:firstLineChars="200"/>
        <w:jc w:val="left"/>
        <w:textAlignment w:val="auto"/>
        <w:rPr>
          <w:rFonts w:hint="eastAsia" w:ascii="宋体" w:hAnsi="宋体" w:eastAsia="宋体" w:cs="宋体"/>
          <w:kern w:val="0"/>
          <w:sz w:val="24"/>
        </w:rPr>
      </w:pPr>
      <w:r>
        <w:rPr>
          <w:rFonts w:hint="eastAsia" w:ascii="宋体" w:hAnsi="宋体" w:eastAsia="宋体" w:cs="宋体"/>
          <w:b/>
          <w:kern w:val="0"/>
          <w:sz w:val="24"/>
        </w:rPr>
        <w:t>3.4.3</w:t>
      </w:r>
      <w:r>
        <w:rPr>
          <w:rFonts w:hint="eastAsia" w:ascii="宋体" w:hAnsi="宋体" w:eastAsia="宋体" w:cs="宋体"/>
          <w:kern w:val="0"/>
          <w:sz w:val="24"/>
        </w:rPr>
        <w:t>投标报价超过招标文件中规定的预算金额或者最高限价的，投标无效。</w:t>
      </w:r>
    </w:p>
    <w:p w14:paraId="06223119">
      <w:pPr>
        <w:pStyle w:val="217"/>
        <w:pageBreakBefore w:val="0"/>
        <w:kinsoku/>
        <w:wordWrap/>
        <w:overflowPunct/>
        <w:topLinePunct w:val="0"/>
        <w:autoSpaceDE/>
        <w:autoSpaceDN/>
        <w:bidi w:val="0"/>
        <w:spacing w:before="0" w:beforeAutospacing="0" w:afterAutospacing="0" w:line="360" w:lineRule="auto"/>
        <w:ind w:left="0" w:leftChars="0" w:firstLine="482" w:firstLineChars="200"/>
        <w:textAlignment w:val="auto"/>
        <w:rPr>
          <w:rFonts w:hint="eastAsia" w:ascii="宋体" w:hAnsi="宋体" w:eastAsia="宋体" w:cs="宋体"/>
          <w:kern w:val="0"/>
          <w:szCs w:val="24"/>
        </w:rPr>
      </w:pPr>
      <w:r>
        <w:rPr>
          <w:rFonts w:hint="eastAsia" w:ascii="宋体" w:hAnsi="宋体" w:eastAsia="宋体" w:cs="宋体"/>
          <w:b/>
          <w:kern w:val="0"/>
          <w:szCs w:val="24"/>
        </w:rPr>
        <w:t>3.4.4</w:t>
      </w:r>
      <w:r>
        <w:rPr>
          <w:rFonts w:hint="eastAsia" w:ascii="宋体" w:hAnsi="宋体" w:eastAsia="宋体" w:cs="宋体"/>
          <w:kern w:val="0"/>
          <w:szCs w:val="24"/>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w:t>
      </w:r>
      <w:r>
        <w:rPr>
          <w:rFonts w:hint="eastAsia" w:ascii="宋体" w:hAnsi="宋体" w:eastAsia="宋体" w:cs="宋体"/>
          <w:kern w:val="0"/>
        </w:rPr>
        <w:t>投标</w:t>
      </w:r>
      <w:r>
        <w:rPr>
          <w:rFonts w:hint="eastAsia" w:ascii="宋体" w:hAnsi="宋体" w:eastAsia="宋体" w:cs="宋体"/>
          <w:kern w:val="0"/>
          <w:szCs w:val="24"/>
        </w:rPr>
        <w:t>处理。</w:t>
      </w:r>
    </w:p>
    <w:p w14:paraId="14C968D9">
      <w:pPr>
        <w:pageBreakBefore w:val="0"/>
        <w:kinsoku/>
        <w:wordWrap/>
        <w:overflowPunct/>
        <w:topLinePunct w:val="0"/>
        <w:autoSpaceDE/>
        <w:autoSpaceDN/>
        <w:bidi w:val="0"/>
        <w:spacing w:beforeAutospacing="0" w:afterAutospacing="0" w:line="360" w:lineRule="auto"/>
        <w:ind w:left="0" w:leftChars="0"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3.5</w:t>
      </w:r>
      <w:r>
        <w:rPr>
          <w:rFonts w:hint="eastAsia" w:ascii="宋体" w:hAnsi="宋体" w:eastAsia="宋体" w:cs="宋体"/>
          <w:b/>
          <w:kern w:val="0"/>
          <w:sz w:val="24"/>
        </w:rPr>
        <w:t>排序与推荐。</w:t>
      </w:r>
      <w:r>
        <w:rPr>
          <w:rFonts w:hint="eastAsia" w:ascii="宋体" w:hAnsi="宋体" w:eastAsia="宋体" w:cs="宋体"/>
          <w:kern w:val="0"/>
          <w:sz w:val="24"/>
        </w:rPr>
        <w:t>采用综合评估法的，评标结果按评审后得分由高到低顺序排列。得分相同的，按投标报价由低到高顺序排列。得分且响应报价相同的并列。投标文件满足招标文件全部实质性要求，且评审得分最高的投标人为排名第一的中标候选人。</w:t>
      </w:r>
    </w:p>
    <w:p w14:paraId="476D9846">
      <w:pPr>
        <w:pageBreakBefore w:val="0"/>
        <w:kinsoku/>
        <w:wordWrap/>
        <w:overflowPunct/>
        <w:topLinePunct w:val="0"/>
        <w:autoSpaceDE/>
        <w:autoSpaceDN/>
        <w:bidi w:val="0"/>
        <w:spacing w:beforeAutospacing="0" w:afterAutospacing="0" w:line="360" w:lineRule="auto"/>
        <w:ind w:left="0" w:leftChars="0"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成交候选人。</w:t>
      </w:r>
    </w:p>
    <w:p w14:paraId="097ED2BE">
      <w:pPr>
        <w:pageBreakBefore w:val="0"/>
        <w:widowControl/>
        <w:kinsoku/>
        <w:wordWrap/>
        <w:overflowPunct/>
        <w:topLinePunct w:val="0"/>
        <w:autoSpaceDE/>
        <w:autoSpaceDN/>
        <w:bidi w:val="0"/>
        <w:adjustRightInd/>
        <w:spacing w:beforeAutospacing="0" w:afterAutospacing="0" w:line="360" w:lineRule="auto"/>
        <w:ind w:left="0" w:leftChars="0" w:firstLine="482" w:firstLineChars="200"/>
        <w:jc w:val="left"/>
        <w:textAlignment w:val="auto"/>
        <w:rPr>
          <w:rFonts w:hint="eastAsia" w:ascii="宋体" w:hAnsi="宋体" w:eastAsia="宋体" w:cs="宋体"/>
          <w:kern w:val="0"/>
          <w:sz w:val="24"/>
        </w:rPr>
      </w:pPr>
      <w:r>
        <w:rPr>
          <w:rFonts w:hint="eastAsia" w:ascii="宋体" w:hAnsi="宋体" w:eastAsia="宋体" w:cs="宋体"/>
          <w:b/>
          <w:kern w:val="0"/>
          <w:sz w:val="24"/>
        </w:rPr>
        <w:t>3.6编写评标报告。</w:t>
      </w:r>
      <w:r>
        <w:rPr>
          <w:rFonts w:hint="eastAsia" w:ascii="宋体" w:hAnsi="宋体" w:eastAsia="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ACE8ACE">
      <w:pPr>
        <w:pageBreakBefore w:val="0"/>
        <w:widowControl/>
        <w:shd w:val="clear" w:color="auto" w:fill="FFFFFF"/>
        <w:kinsoku/>
        <w:wordWrap/>
        <w:overflowPunct/>
        <w:topLinePunct w:val="0"/>
        <w:autoSpaceDE/>
        <w:autoSpaceDN/>
        <w:bidi w:val="0"/>
        <w:adjustRightInd/>
        <w:spacing w:beforeAutospacing="0" w:afterAutospacing="0" w:line="360" w:lineRule="auto"/>
        <w:ind w:left="0" w:leftChars="0" w:firstLine="643" w:firstLineChars="200"/>
        <w:jc w:val="left"/>
        <w:textAlignment w:val="auto"/>
        <w:rPr>
          <w:rFonts w:hint="eastAsia" w:ascii="宋体" w:hAnsi="宋体" w:eastAsia="宋体" w:cs="宋体"/>
          <w:b/>
          <w:sz w:val="32"/>
        </w:rPr>
      </w:pPr>
      <w:r>
        <w:rPr>
          <w:rFonts w:hint="eastAsia" w:ascii="宋体" w:hAnsi="宋体" w:eastAsia="宋体" w:cs="宋体"/>
          <w:b/>
          <w:sz w:val="32"/>
        </w:rPr>
        <w:t>四、评标中的其他事项</w:t>
      </w:r>
    </w:p>
    <w:p w14:paraId="70104AFC">
      <w:pPr>
        <w:pStyle w:val="217"/>
        <w:pageBreakBefore w:val="0"/>
        <w:kinsoku/>
        <w:wordWrap/>
        <w:overflowPunct/>
        <w:topLinePunct w:val="0"/>
        <w:autoSpaceDE/>
        <w:autoSpaceDN/>
        <w:bidi w:val="0"/>
        <w:spacing w:before="0" w:beforeAutospacing="0" w:afterAutospacing="0" w:line="360" w:lineRule="auto"/>
        <w:ind w:left="0" w:leftChars="0" w:firstLine="480" w:firstLineChars="200"/>
        <w:textAlignment w:val="auto"/>
        <w:rPr>
          <w:rFonts w:hint="eastAsia" w:ascii="宋体" w:hAnsi="宋体" w:eastAsia="宋体" w:cs="宋体"/>
          <w:kern w:val="0"/>
          <w:szCs w:val="24"/>
        </w:rPr>
      </w:pPr>
      <w:r>
        <w:rPr>
          <w:rFonts w:hint="eastAsia" w:ascii="宋体" w:hAnsi="宋体" w:eastAsia="宋体" w:cs="宋体"/>
          <w:color w:val="000000"/>
          <w:kern w:val="0"/>
          <w:szCs w:val="21"/>
        </w:rPr>
        <w:t>4.1</w:t>
      </w:r>
      <w:r>
        <w:rPr>
          <w:rFonts w:hint="eastAsia" w:ascii="宋体" w:hAnsi="宋体" w:eastAsia="宋体" w:cs="宋体"/>
          <w:b/>
          <w:kern w:val="0"/>
          <w:szCs w:val="24"/>
        </w:rPr>
        <w:t>投标人澄清、说明或者补正。</w:t>
      </w:r>
      <w:r>
        <w:rPr>
          <w:rFonts w:hint="eastAsia" w:ascii="宋体" w:hAnsi="宋体" w:eastAsia="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公章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9BD8261">
      <w:pPr>
        <w:pStyle w:val="24"/>
        <w:pageBreakBefore w:val="0"/>
        <w:kinsoku/>
        <w:wordWrap/>
        <w:overflowPunct/>
        <w:topLinePunct w:val="0"/>
        <w:autoSpaceDE/>
        <w:autoSpaceDN/>
        <w:bidi w:val="0"/>
        <w:spacing w:beforeAutospacing="0" w:afterAutospacing="0" w:line="360" w:lineRule="auto"/>
        <w:ind w:left="0" w:leftChars="0" w:firstLine="562" w:firstLineChars="200"/>
        <w:textAlignment w:val="auto"/>
        <w:rPr>
          <w:rFonts w:hint="eastAsia" w:ascii="宋体" w:hAnsi="宋体" w:eastAsia="宋体" w:cs="宋体"/>
          <w:szCs w:val="21"/>
        </w:rPr>
      </w:pPr>
      <w:r>
        <w:rPr>
          <w:rFonts w:hint="eastAsia" w:ascii="宋体" w:hAnsi="宋体" w:eastAsia="宋体" w:cs="宋体"/>
          <w:b/>
          <w:spacing w:val="20"/>
        </w:rPr>
        <w:t>4.2投标无效。</w:t>
      </w:r>
      <w:r>
        <w:rPr>
          <w:rFonts w:hint="eastAsia" w:ascii="宋体" w:hAnsi="宋体" w:eastAsia="宋体" w:cs="宋体"/>
          <w:szCs w:val="21"/>
        </w:rPr>
        <w:t>有下列情况之一的，投标无效：</w:t>
      </w:r>
    </w:p>
    <w:p w14:paraId="7153A748">
      <w:pPr>
        <w:pageBreakBefore w:val="0"/>
        <w:kinsoku/>
        <w:wordWrap/>
        <w:overflowPunct/>
        <w:topLinePunct w:val="0"/>
        <w:autoSpaceDE/>
        <w:autoSpaceDN/>
        <w:bidi w:val="0"/>
        <w:spacing w:beforeAutospacing="0" w:afterAutospacing="0" w:line="360" w:lineRule="auto"/>
        <w:ind w:left="0" w:leftChars="0"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4.2.1投标人不具备招标文件中规定的资格要求的（投标人未提供有效的资格文件的，视为投标人不具备招标文件中规定的资格要求）；</w:t>
      </w:r>
    </w:p>
    <w:p w14:paraId="53E500EE">
      <w:pPr>
        <w:pageBreakBefore w:val="0"/>
        <w:kinsoku/>
        <w:wordWrap/>
        <w:overflowPunct/>
        <w:topLinePunct w:val="0"/>
        <w:autoSpaceDE/>
        <w:autoSpaceDN/>
        <w:bidi w:val="0"/>
        <w:spacing w:beforeAutospacing="0" w:afterAutospacing="0" w:line="360" w:lineRule="auto"/>
        <w:ind w:left="0" w:leftChars="0"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4.2.2投标文件未按照招标文件要求签署、盖章的；</w:t>
      </w:r>
    </w:p>
    <w:p w14:paraId="08666775">
      <w:pPr>
        <w:pageBreakBefore w:val="0"/>
        <w:kinsoku/>
        <w:wordWrap/>
        <w:overflowPunct/>
        <w:topLinePunct w:val="0"/>
        <w:autoSpaceDE/>
        <w:autoSpaceDN/>
        <w:bidi w:val="0"/>
        <w:spacing w:beforeAutospacing="0" w:afterAutospacing="0" w:line="360" w:lineRule="auto"/>
        <w:ind w:left="0" w:leftChars="0"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宋体" w:hAnsi="宋体" w:eastAsia="宋体" w:cs="宋体"/>
          <w:sz w:val="24"/>
        </w:rPr>
        <w:t>、环境标志产品认证证书</w:t>
      </w:r>
      <w:r>
        <w:rPr>
          <w:rFonts w:hint="eastAsia" w:ascii="宋体" w:hAnsi="宋体" w:eastAsia="宋体" w:cs="宋体"/>
          <w:kern w:val="0"/>
          <w:sz w:val="24"/>
        </w:rPr>
        <w:t>的；</w:t>
      </w:r>
    </w:p>
    <w:p w14:paraId="7F2F481D">
      <w:pPr>
        <w:pageBreakBefore w:val="0"/>
        <w:kinsoku/>
        <w:wordWrap/>
        <w:overflowPunct/>
        <w:topLinePunct w:val="0"/>
        <w:autoSpaceDE/>
        <w:autoSpaceDN/>
        <w:bidi w:val="0"/>
        <w:spacing w:beforeAutospacing="0" w:afterAutospacing="0" w:line="360" w:lineRule="auto"/>
        <w:ind w:left="0" w:leftChars="0"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4.2.4投标文件含有采购人不能接受的附加条件的；</w:t>
      </w:r>
    </w:p>
    <w:p w14:paraId="03BD21F2">
      <w:pPr>
        <w:pageBreakBefore w:val="0"/>
        <w:kinsoku/>
        <w:wordWrap/>
        <w:overflowPunct/>
        <w:topLinePunct w:val="0"/>
        <w:autoSpaceDE/>
        <w:autoSpaceDN/>
        <w:bidi w:val="0"/>
        <w:spacing w:beforeAutospacing="0" w:afterAutospacing="0" w:line="360" w:lineRule="auto"/>
        <w:ind w:left="0" w:leftChars="0"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4.2.5投标文件中承诺的投标有效期少于招标文件中载明的投标有效期的；</w:t>
      </w:r>
    </w:p>
    <w:p w14:paraId="40A1715C">
      <w:pPr>
        <w:pageBreakBefore w:val="0"/>
        <w:kinsoku/>
        <w:wordWrap/>
        <w:overflowPunct/>
        <w:topLinePunct w:val="0"/>
        <w:autoSpaceDE/>
        <w:autoSpaceDN/>
        <w:bidi w:val="0"/>
        <w:snapToGrid w:val="0"/>
        <w:spacing w:beforeAutospacing="0" w:afterAutospacing="0" w:line="360" w:lineRule="auto"/>
        <w:ind w:left="0" w:leftChars="0"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 xml:space="preserve">   4.2.6投标文件出现不是唯一的、有选择性投标报价的;</w:t>
      </w:r>
    </w:p>
    <w:p w14:paraId="27872AD2">
      <w:pPr>
        <w:pageBreakBefore w:val="0"/>
        <w:kinsoku/>
        <w:wordWrap/>
        <w:overflowPunct/>
        <w:topLinePunct w:val="0"/>
        <w:autoSpaceDE/>
        <w:autoSpaceDN/>
        <w:bidi w:val="0"/>
        <w:spacing w:beforeAutospacing="0" w:afterAutospacing="0" w:line="360" w:lineRule="auto"/>
        <w:ind w:left="0" w:leftChars="0"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4.2.7投标报价超过招标文件中规定的预算金额或者最高限价的;</w:t>
      </w:r>
    </w:p>
    <w:p w14:paraId="71A24845">
      <w:pPr>
        <w:pageBreakBefore w:val="0"/>
        <w:kinsoku/>
        <w:wordWrap/>
        <w:overflowPunct/>
        <w:topLinePunct w:val="0"/>
        <w:autoSpaceDE/>
        <w:autoSpaceDN/>
        <w:bidi w:val="0"/>
        <w:spacing w:beforeAutospacing="0" w:afterAutospacing="0" w:line="360" w:lineRule="auto"/>
        <w:ind w:left="0" w:leftChars="0"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4D3F3B25">
      <w:pPr>
        <w:pageBreakBefore w:val="0"/>
        <w:kinsoku/>
        <w:wordWrap/>
        <w:overflowPunct/>
        <w:topLinePunct w:val="0"/>
        <w:autoSpaceDE/>
        <w:autoSpaceDN/>
        <w:bidi w:val="0"/>
        <w:spacing w:beforeAutospacing="0" w:afterAutospacing="0" w:line="360" w:lineRule="auto"/>
        <w:ind w:left="0" w:leftChars="0"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4.2.9投标人对根据修正原则修正后的报价不确认的；</w:t>
      </w:r>
    </w:p>
    <w:p w14:paraId="5951B571">
      <w:pPr>
        <w:pageBreakBefore w:val="0"/>
        <w:kinsoku/>
        <w:wordWrap/>
        <w:overflowPunct/>
        <w:topLinePunct w:val="0"/>
        <w:autoSpaceDE/>
        <w:autoSpaceDN/>
        <w:bidi w:val="0"/>
        <w:spacing w:beforeAutospacing="0" w:afterAutospacing="0" w:line="360" w:lineRule="auto"/>
        <w:ind w:left="0" w:leftChars="0"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4.2.10投标人提供虚假材料投标的；</w:t>
      </w:r>
    </w:p>
    <w:p w14:paraId="5499B1DD">
      <w:pPr>
        <w:pageBreakBefore w:val="0"/>
        <w:kinsoku/>
        <w:wordWrap/>
        <w:overflowPunct/>
        <w:topLinePunct w:val="0"/>
        <w:autoSpaceDE/>
        <w:autoSpaceDN/>
        <w:bidi w:val="0"/>
        <w:spacing w:beforeAutospacing="0" w:afterAutospacing="0" w:line="360" w:lineRule="auto"/>
        <w:ind w:left="0" w:leftChars="0"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 xml:space="preserve">  4.2.11投标人有恶意串通、妨碍其他投标人的竞争行为、损害采购人或者其他投标人的合法权益情形的；</w:t>
      </w:r>
    </w:p>
    <w:p w14:paraId="68068AC3">
      <w:pPr>
        <w:pageBreakBefore w:val="0"/>
        <w:kinsoku/>
        <w:wordWrap/>
        <w:overflowPunct/>
        <w:topLinePunct w:val="0"/>
        <w:autoSpaceDE/>
        <w:autoSpaceDN/>
        <w:bidi w:val="0"/>
        <w:spacing w:beforeAutospacing="0" w:afterAutospacing="0" w:line="360" w:lineRule="auto"/>
        <w:ind w:left="0" w:leftChars="0"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4.2.12投标人仅提交备份投标文件，没有在电子交易平台传输递交投标文件的，投标无效；</w:t>
      </w:r>
    </w:p>
    <w:p w14:paraId="332EA5B4">
      <w:pPr>
        <w:pStyle w:val="4"/>
        <w:pageBreakBefore w:val="0"/>
        <w:kinsoku/>
        <w:wordWrap/>
        <w:overflowPunct/>
        <w:topLinePunct w:val="0"/>
        <w:autoSpaceDE/>
        <w:autoSpaceDN/>
        <w:bidi w:val="0"/>
        <w:spacing w:beforeAutospacing="0" w:afterAutospacing="0" w:line="360" w:lineRule="auto"/>
        <w:ind w:left="0" w:leftChars="0" w:firstLine="480" w:firstLineChars="200"/>
        <w:textAlignment w:val="auto"/>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5CDF4D0A">
      <w:pPr>
        <w:pageBreakBefore w:val="0"/>
        <w:kinsoku/>
        <w:wordWrap/>
        <w:overflowPunct/>
        <w:topLinePunct w:val="0"/>
        <w:autoSpaceDE/>
        <w:autoSpaceDN/>
        <w:bidi w:val="0"/>
        <w:spacing w:beforeAutospacing="0" w:afterAutospacing="0" w:line="360" w:lineRule="auto"/>
        <w:ind w:left="0" w:leftChars="0"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4.2.14法律、法规、规章（适用本市的）及省级以上规范性文件（适用本市的）规定的其他无效情形。</w:t>
      </w:r>
    </w:p>
    <w:p w14:paraId="06945F1A">
      <w:pPr>
        <w:pStyle w:val="24"/>
        <w:pageBreakBefore w:val="0"/>
        <w:kinsoku/>
        <w:wordWrap/>
        <w:overflowPunct/>
        <w:topLinePunct w:val="0"/>
        <w:autoSpaceDE/>
        <w:autoSpaceDN/>
        <w:bidi w:val="0"/>
        <w:snapToGrid w:val="0"/>
        <w:spacing w:beforeAutospacing="0" w:afterAutospacing="0" w:line="360" w:lineRule="auto"/>
        <w:ind w:left="0" w:leftChars="0" w:firstLine="482" w:firstLineChars="200"/>
        <w:textAlignment w:val="auto"/>
        <w:rPr>
          <w:rFonts w:hint="eastAsia" w:ascii="宋体" w:hAnsi="宋体" w:eastAsia="宋体" w:cs="宋体"/>
        </w:rPr>
      </w:pPr>
      <w:r>
        <w:rPr>
          <w:rFonts w:hint="eastAsia" w:ascii="宋体" w:hAnsi="宋体" w:eastAsia="宋体" w:cs="宋体"/>
          <w:b/>
        </w:rPr>
        <w:t>5.废标。</w:t>
      </w:r>
      <w:r>
        <w:rPr>
          <w:rFonts w:hint="eastAsia" w:ascii="宋体" w:hAnsi="宋体" w:eastAsia="宋体" w:cs="宋体"/>
        </w:rPr>
        <w:t>根据《中华人民共和国政府采购法》第三十六条之规定，在采购中，出现下列情形之一的，应予废标：</w:t>
      </w:r>
    </w:p>
    <w:p w14:paraId="65A777AE">
      <w:pPr>
        <w:pStyle w:val="24"/>
        <w:pageBreakBefore w:val="0"/>
        <w:kinsoku/>
        <w:wordWrap/>
        <w:overflowPunct/>
        <w:topLinePunct w:val="0"/>
        <w:autoSpaceDE/>
        <w:autoSpaceDN/>
        <w:bidi w:val="0"/>
        <w:snapToGrid w:val="0"/>
        <w:spacing w:beforeAutospacing="0" w:afterAutospacing="0" w:line="360" w:lineRule="auto"/>
        <w:ind w:left="0" w:leftChars="0" w:firstLine="480" w:firstLineChars="200"/>
        <w:textAlignment w:val="auto"/>
        <w:rPr>
          <w:rFonts w:hint="eastAsia" w:ascii="宋体" w:hAnsi="宋体" w:eastAsia="宋体" w:cs="宋体"/>
        </w:rPr>
      </w:pPr>
      <w:r>
        <w:rPr>
          <w:rFonts w:hint="eastAsia" w:ascii="宋体" w:hAnsi="宋体" w:eastAsia="宋体" w:cs="宋体"/>
        </w:rPr>
        <w:t>5.1符合专业条件的供应商或者对招标文件作实质响应的供应商不足3家的；</w:t>
      </w:r>
    </w:p>
    <w:p w14:paraId="5A4461E8">
      <w:pPr>
        <w:pStyle w:val="24"/>
        <w:pageBreakBefore w:val="0"/>
        <w:kinsoku/>
        <w:wordWrap/>
        <w:overflowPunct/>
        <w:topLinePunct w:val="0"/>
        <w:autoSpaceDE/>
        <w:autoSpaceDN/>
        <w:bidi w:val="0"/>
        <w:snapToGrid w:val="0"/>
        <w:spacing w:beforeAutospacing="0" w:afterAutospacing="0" w:line="360" w:lineRule="auto"/>
        <w:ind w:left="0" w:leftChars="0" w:firstLine="480" w:firstLineChars="200"/>
        <w:textAlignment w:val="auto"/>
        <w:rPr>
          <w:rFonts w:hint="eastAsia" w:ascii="宋体" w:hAnsi="宋体" w:eastAsia="宋体" w:cs="宋体"/>
        </w:rPr>
      </w:pPr>
      <w:r>
        <w:rPr>
          <w:rFonts w:hint="eastAsia" w:ascii="宋体" w:hAnsi="宋体" w:eastAsia="宋体" w:cs="宋体"/>
        </w:rPr>
        <w:t>5.2出现影响采购公正的违法、违规行为的；</w:t>
      </w:r>
    </w:p>
    <w:p w14:paraId="517CD6A4">
      <w:pPr>
        <w:pStyle w:val="24"/>
        <w:pageBreakBefore w:val="0"/>
        <w:kinsoku/>
        <w:wordWrap/>
        <w:overflowPunct/>
        <w:topLinePunct w:val="0"/>
        <w:autoSpaceDE/>
        <w:autoSpaceDN/>
        <w:bidi w:val="0"/>
        <w:snapToGrid w:val="0"/>
        <w:spacing w:beforeAutospacing="0" w:afterAutospacing="0" w:line="360" w:lineRule="auto"/>
        <w:ind w:left="0" w:leftChars="0" w:firstLine="480" w:firstLineChars="200"/>
        <w:textAlignment w:val="auto"/>
        <w:rPr>
          <w:rFonts w:hint="eastAsia" w:ascii="宋体" w:hAnsi="宋体" w:eastAsia="宋体" w:cs="宋体"/>
        </w:rPr>
      </w:pPr>
      <w:r>
        <w:rPr>
          <w:rFonts w:hint="eastAsia" w:ascii="宋体" w:hAnsi="宋体" w:eastAsia="宋体" w:cs="宋体"/>
        </w:rPr>
        <w:t>5.3投标人的报价均超过了采购预算，采购人不能支付的；</w:t>
      </w:r>
    </w:p>
    <w:p w14:paraId="3DE7AB8F">
      <w:pPr>
        <w:pStyle w:val="24"/>
        <w:pageBreakBefore w:val="0"/>
        <w:kinsoku/>
        <w:wordWrap/>
        <w:overflowPunct/>
        <w:topLinePunct w:val="0"/>
        <w:autoSpaceDE/>
        <w:autoSpaceDN/>
        <w:bidi w:val="0"/>
        <w:snapToGrid w:val="0"/>
        <w:spacing w:beforeAutospacing="0" w:afterAutospacing="0" w:line="360" w:lineRule="auto"/>
        <w:ind w:left="0" w:leftChars="0" w:firstLine="480" w:firstLineChars="200"/>
        <w:textAlignment w:val="auto"/>
        <w:rPr>
          <w:rFonts w:hint="eastAsia" w:ascii="宋体" w:hAnsi="宋体" w:eastAsia="宋体" w:cs="宋体"/>
        </w:rPr>
      </w:pPr>
      <w:r>
        <w:rPr>
          <w:rFonts w:hint="eastAsia" w:ascii="宋体" w:hAnsi="宋体" w:eastAsia="宋体" w:cs="宋体"/>
        </w:rPr>
        <w:t>5.4因重大变故，采购任务取消的。</w:t>
      </w:r>
    </w:p>
    <w:p w14:paraId="0F22A67F">
      <w:pPr>
        <w:pStyle w:val="24"/>
        <w:pageBreakBefore w:val="0"/>
        <w:kinsoku/>
        <w:wordWrap/>
        <w:overflowPunct/>
        <w:topLinePunct w:val="0"/>
        <w:autoSpaceDE/>
        <w:autoSpaceDN/>
        <w:bidi w:val="0"/>
        <w:snapToGrid w:val="0"/>
        <w:spacing w:beforeAutospacing="0" w:afterAutospacing="0" w:line="360" w:lineRule="auto"/>
        <w:ind w:left="0" w:leftChars="0" w:firstLine="480" w:firstLineChars="200"/>
        <w:textAlignment w:val="auto"/>
        <w:rPr>
          <w:rFonts w:hint="eastAsia" w:ascii="宋体" w:hAnsi="宋体" w:eastAsia="宋体" w:cs="宋体"/>
        </w:rPr>
      </w:pPr>
      <w:r>
        <w:rPr>
          <w:rFonts w:hint="eastAsia" w:ascii="宋体" w:hAnsi="宋体" w:eastAsia="宋体" w:cs="宋体"/>
        </w:rPr>
        <w:t>废标后，采购机构应当将废标理由通知所有投标人。</w:t>
      </w:r>
    </w:p>
    <w:p w14:paraId="6BE593CB">
      <w:pPr>
        <w:pStyle w:val="24"/>
        <w:pageBreakBefore w:val="0"/>
        <w:kinsoku/>
        <w:wordWrap/>
        <w:overflowPunct/>
        <w:topLinePunct w:val="0"/>
        <w:autoSpaceDE/>
        <w:autoSpaceDN/>
        <w:bidi w:val="0"/>
        <w:snapToGrid w:val="0"/>
        <w:spacing w:beforeAutospacing="0" w:afterAutospacing="0" w:line="360" w:lineRule="auto"/>
        <w:ind w:left="0" w:leftChars="0" w:firstLine="482" w:firstLineChars="200"/>
        <w:textAlignment w:val="auto"/>
        <w:rPr>
          <w:rFonts w:hint="eastAsia" w:ascii="宋体" w:hAnsi="宋体" w:eastAsia="宋体" w:cs="宋体"/>
        </w:rPr>
      </w:pPr>
      <w:r>
        <w:rPr>
          <w:rFonts w:hint="eastAsia" w:ascii="宋体" w:hAnsi="宋体" w:eastAsia="宋体" w:cs="宋体"/>
          <w:b/>
        </w:rPr>
        <w:t>6.修改招标文件，重新组织采购活动。</w:t>
      </w:r>
      <w:r>
        <w:rPr>
          <w:rFonts w:hint="eastAsia" w:ascii="宋体" w:hAnsi="宋体" w:eastAsia="宋体"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273FA09A">
      <w:pPr>
        <w:pStyle w:val="24"/>
        <w:pageBreakBefore w:val="0"/>
        <w:kinsoku/>
        <w:wordWrap/>
        <w:overflowPunct/>
        <w:topLinePunct w:val="0"/>
        <w:autoSpaceDE/>
        <w:autoSpaceDN/>
        <w:bidi w:val="0"/>
        <w:snapToGrid w:val="0"/>
        <w:spacing w:beforeAutospacing="0" w:afterAutospacing="0" w:line="360" w:lineRule="auto"/>
        <w:ind w:left="0" w:leftChars="0" w:firstLine="482" w:firstLineChars="200"/>
        <w:textAlignment w:val="auto"/>
        <w:rPr>
          <w:rFonts w:hint="eastAsia" w:ascii="宋体" w:hAnsi="宋体" w:eastAsia="宋体" w:cs="宋体"/>
        </w:rPr>
      </w:pPr>
      <w:r>
        <w:rPr>
          <w:rFonts w:hint="eastAsia" w:ascii="宋体" w:hAnsi="宋体" w:eastAsia="宋体" w:cs="宋体"/>
          <w:b/>
          <w:kern w:val="0"/>
        </w:rPr>
        <w:t>7.重新开展采购。</w:t>
      </w:r>
      <w:r>
        <w:rPr>
          <w:rFonts w:hint="eastAsia" w:ascii="宋体" w:hAnsi="宋体" w:eastAsia="宋体" w:cs="宋体"/>
        </w:rPr>
        <w:t>有政府采购法第七十一条、第七十二条规定的违法行为之一，影响或者可能影响中标、成交结果的，依照下列规定处理</w:t>
      </w:r>
    </w:p>
    <w:p w14:paraId="640067A2">
      <w:pPr>
        <w:pStyle w:val="24"/>
        <w:pageBreakBefore w:val="0"/>
        <w:kinsoku/>
        <w:wordWrap/>
        <w:overflowPunct/>
        <w:topLinePunct w:val="0"/>
        <w:autoSpaceDE/>
        <w:autoSpaceDN/>
        <w:bidi w:val="0"/>
        <w:snapToGrid w:val="0"/>
        <w:spacing w:beforeAutospacing="0" w:afterAutospacing="0" w:line="360" w:lineRule="auto"/>
        <w:ind w:left="0" w:leftChars="0" w:firstLine="480" w:firstLineChars="200"/>
        <w:textAlignment w:val="auto"/>
        <w:rPr>
          <w:rFonts w:hint="eastAsia" w:ascii="宋体" w:hAnsi="宋体" w:eastAsia="宋体" w:cs="宋体"/>
        </w:rPr>
      </w:pPr>
      <w:r>
        <w:rPr>
          <w:rFonts w:hint="eastAsia" w:ascii="宋体" w:hAnsi="宋体" w:eastAsia="宋体" w:cs="宋体"/>
        </w:rPr>
        <w:t>7.1未确定中标或者中标人的，终止本次采购活动，重新开展采购活动。</w:t>
      </w:r>
    </w:p>
    <w:p w14:paraId="27221C2B">
      <w:pPr>
        <w:pStyle w:val="24"/>
        <w:pageBreakBefore w:val="0"/>
        <w:kinsoku/>
        <w:wordWrap/>
        <w:overflowPunct/>
        <w:topLinePunct w:val="0"/>
        <w:autoSpaceDE/>
        <w:autoSpaceDN/>
        <w:bidi w:val="0"/>
        <w:snapToGrid w:val="0"/>
        <w:spacing w:beforeAutospacing="0" w:afterAutospacing="0" w:line="360" w:lineRule="auto"/>
        <w:ind w:left="0" w:leftChars="0" w:firstLine="480" w:firstLineChars="200"/>
        <w:textAlignment w:val="auto"/>
        <w:rPr>
          <w:rFonts w:hint="eastAsia" w:ascii="宋体" w:hAnsi="宋体" w:eastAsia="宋体" w:cs="宋体"/>
        </w:rPr>
      </w:pPr>
      <w:r>
        <w:rPr>
          <w:rFonts w:hint="eastAsia" w:ascii="宋体" w:hAnsi="宋体" w:eastAsia="宋体" w:cs="宋体"/>
        </w:rPr>
        <w:t>7.2已确定中标或者中标人但尚未签订采购合同的，中标或者中标结果无效，从合格的中标或者中标候选人中另行确定中标或者中标人；没有合格的中标或者中标候选人的，重新开展采购活动。</w:t>
      </w:r>
    </w:p>
    <w:p w14:paraId="469E2C0D">
      <w:pPr>
        <w:pStyle w:val="24"/>
        <w:pageBreakBefore w:val="0"/>
        <w:kinsoku/>
        <w:wordWrap/>
        <w:overflowPunct/>
        <w:topLinePunct w:val="0"/>
        <w:autoSpaceDE/>
        <w:autoSpaceDN/>
        <w:bidi w:val="0"/>
        <w:snapToGrid w:val="0"/>
        <w:spacing w:beforeAutospacing="0" w:afterAutospacing="0" w:line="360" w:lineRule="auto"/>
        <w:ind w:left="0" w:leftChars="0" w:firstLine="480" w:firstLineChars="200"/>
        <w:textAlignment w:val="auto"/>
        <w:rPr>
          <w:rFonts w:hint="eastAsia" w:ascii="宋体" w:hAnsi="宋体" w:eastAsia="宋体" w:cs="宋体"/>
        </w:rPr>
      </w:pPr>
      <w:r>
        <w:rPr>
          <w:rFonts w:hint="eastAsia" w:ascii="宋体" w:hAnsi="宋体" w:eastAsia="宋体" w:cs="宋体"/>
        </w:rPr>
        <w:t>7.3采购合同已签订但尚未履行的，撤销合同，从合格的中标或者中标候选人中另行确定中标或者中标人；没有合格的中标或者中标候选人的，重新开展采购活动。</w:t>
      </w:r>
    </w:p>
    <w:p w14:paraId="17B230C3">
      <w:pPr>
        <w:pStyle w:val="24"/>
        <w:pageBreakBefore w:val="0"/>
        <w:kinsoku/>
        <w:wordWrap/>
        <w:overflowPunct/>
        <w:topLinePunct w:val="0"/>
        <w:autoSpaceDE/>
        <w:autoSpaceDN/>
        <w:bidi w:val="0"/>
        <w:snapToGrid w:val="0"/>
        <w:spacing w:beforeAutospacing="0" w:afterAutospacing="0" w:line="360" w:lineRule="auto"/>
        <w:ind w:left="0" w:leftChars="0" w:firstLine="480" w:firstLineChars="200"/>
        <w:textAlignment w:val="auto"/>
        <w:rPr>
          <w:rFonts w:hint="eastAsia" w:ascii="宋体" w:hAnsi="宋体" w:eastAsia="宋体" w:cs="宋体"/>
        </w:rPr>
      </w:pPr>
      <w:r>
        <w:rPr>
          <w:rFonts w:hint="eastAsia" w:ascii="宋体" w:hAnsi="宋体" w:eastAsia="宋体" w:cs="宋体"/>
        </w:rPr>
        <w:t>7.4采购合同已经履行，给采购人、供应商造成损失的，由责任人承担赔偿责任。</w:t>
      </w:r>
    </w:p>
    <w:bookmarkEnd w:id="55"/>
    <w:p w14:paraId="008B32D6">
      <w:pPr>
        <w:pStyle w:val="3"/>
        <w:rPr>
          <w:rFonts w:hint="eastAsia" w:ascii="宋体" w:hAnsi="宋体" w:eastAsia="宋体" w:cs="宋体"/>
        </w:rPr>
      </w:pPr>
      <w:bookmarkStart w:id="428" w:name="第五部分"/>
      <w:bookmarkStart w:id="429" w:name="_Toc86217003"/>
    </w:p>
    <w:p w14:paraId="44CFDFCA">
      <w:pPr>
        <w:pStyle w:val="3"/>
        <w:rPr>
          <w:rFonts w:hint="eastAsia" w:ascii="宋体" w:hAnsi="宋体" w:eastAsia="宋体" w:cs="宋体"/>
        </w:rPr>
      </w:pPr>
      <w:r>
        <w:rPr>
          <w:rFonts w:hint="eastAsia" w:ascii="宋体" w:hAnsi="宋体" w:eastAsia="宋体" w:cs="宋体"/>
        </w:rPr>
        <w:t>第五部分</w:t>
      </w:r>
      <w:bookmarkEnd w:id="428"/>
      <w:bookmarkEnd w:id="429"/>
      <w:r>
        <w:rPr>
          <w:rFonts w:hint="eastAsia" w:ascii="宋体" w:hAnsi="宋体" w:eastAsia="宋体" w:cs="宋体"/>
        </w:rPr>
        <w:t>应提交的有关格式范例</w:t>
      </w:r>
    </w:p>
    <w:p w14:paraId="13BF7C24">
      <w:pPr>
        <w:spacing w:line="360" w:lineRule="auto"/>
        <w:ind w:firstLine="480" w:firstLineChars="200"/>
        <w:outlineLvl w:val="0"/>
        <w:rPr>
          <w:rFonts w:hint="eastAsia" w:ascii="宋体" w:hAnsi="宋体" w:eastAsia="宋体" w:cs="宋体"/>
          <w:color w:val="000000"/>
          <w:sz w:val="24"/>
        </w:rPr>
      </w:pPr>
      <w:r>
        <w:rPr>
          <w:rFonts w:hint="eastAsia" w:ascii="宋体" w:hAnsi="宋体" w:eastAsia="宋体" w:cs="宋体"/>
          <w:color w:val="000000"/>
          <w:sz w:val="24"/>
        </w:rPr>
        <w:t>投标人按照以下格式编制投标文件，并将资格文件、报价文件、商务技术文件分别装订成册。</w:t>
      </w:r>
    </w:p>
    <w:p w14:paraId="1A3E64E8">
      <w:pPr>
        <w:spacing w:line="360" w:lineRule="auto"/>
        <w:jc w:val="center"/>
        <w:outlineLvl w:val="0"/>
        <w:rPr>
          <w:rFonts w:hint="eastAsia" w:ascii="宋体" w:hAnsi="宋体" w:eastAsia="宋体" w:cs="宋体"/>
          <w:b/>
          <w:kern w:val="0"/>
          <w:sz w:val="36"/>
          <w:szCs w:val="36"/>
        </w:rPr>
      </w:pPr>
    </w:p>
    <w:p w14:paraId="1F8F8B8C">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资格文件部分</w:t>
      </w:r>
    </w:p>
    <w:p w14:paraId="13F97082">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04D921EA">
      <w:pPr>
        <w:rPr>
          <w:rFonts w:hint="eastAsia" w:ascii="宋体" w:hAnsi="宋体" w:eastAsia="宋体" w:cs="宋体"/>
          <w:b/>
          <w:kern w:val="0"/>
          <w:sz w:val="36"/>
          <w:szCs w:val="36"/>
        </w:rPr>
      </w:pPr>
    </w:p>
    <w:p w14:paraId="366100D4">
      <w:pPr>
        <w:snapToGrid w:val="0"/>
        <w:spacing w:line="360" w:lineRule="auto"/>
        <w:rPr>
          <w:rFonts w:hint="eastAsia" w:ascii="宋体" w:hAnsi="宋体" w:eastAsia="宋体" w:cs="宋体"/>
          <w:sz w:val="24"/>
        </w:rPr>
      </w:pPr>
      <w:r>
        <w:rPr>
          <w:rFonts w:hint="eastAsia" w:ascii="宋体" w:hAnsi="宋体" w:eastAsia="宋体" w:cs="宋体"/>
          <w:sz w:val="24"/>
        </w:rPr>
        <w:t>（1）符合参加采购活动应当具备的一般条件的承诺函……………（页码）</w:t>
      </w:r>
    </w:p>
    <w:p w14:paraId="5F298BAC">
      <w:pPr>
        <w:snapToGrid w:val="0"/>
        <w:spacing w:line="360" w:lineRule="auto"/>
        <w:rPr>
          <w:rFonts w:hint="eastAsia" w:ascii="宋体" w:hAnsi="宋体" w:eastAsia="宋体" w:cs="宋体"/>
          <w:sz w:val="24"/>
        </w:rPr>
      </w:pPr>
      <w:r>
        <w:rPr>
          <w:rFonts w:hint="eastAsia" w:ascii="宋体" w:hAnsi="宋体" w:eastAsia="宋体" w:cs="宋体"/>
          <w:sz w:val="24"/>
        </w:rPr>
        <w:t>（2）本项目的特定资格要求…………………………………………（页码）</w:t>
      </w:r>
    </w:p>
    <w:p w14:paraId="30F9AD57">
      <w:pPr>
        <w:snapToGrid w:val="0"/>
        <w:spacing w:line="360" w:lineRule="auto"/>
        <w:rPr>
          <w:rFonts w:hint="eastAsia" w:ascii="宋体" w:hAnsi="宋体" w:eastAsia="宋体" w:cs="宋体"/>
          <w:color w:val="000000"/>
          <w:sz w:val="36"/>
          <w:szCs w:val="36"/>
        </w:rPr>
      </w:pPr>
    </w:p>
    <w:p w14:paraId="4633616A">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b/>
          <w:color w:val="000000"/>
          <w:kern w:val="0"/>
          <w:sz w:val="32"/>
          <w:szCs w:val="32"/>
          <w:lang w:val="zh-CN"/>
        </w:rPr>
        <w:br w:type="page"/>
      </w:r>
      <w:r>
        <w:rPr>
          <w:rFonts w:hint="eastAsia" w:ascii="宋体" w:hAnsi="宋体" w:eastAsia="宋体" w:cs="宋体"/>
          <w:b/>
          <w:kern w:val="0"/>
          <w:sz w:val="32"/>
          <w:szCs w:val="32"/>
        </w:rPr>
        <w:t>一、 符合参加采购活动应当具备的一般条件的承诺函</w:t>
      </w:r>
    </w:p>
    <w:p w14:paraId="38A9EF6F">
      <w:pPr>
        <w:snapToGrid w:val="0"/>
        <w:spacing w:line="360" w:lineRule="auto"/>
        <w:rPr>
          <w:rFonts w:hint="eastAsia" w:ascii="宋体" w:hAnsi="宋体" w:eastAsia="宋体" w:cs="宋体"/>
          <w:sz w:val="24"/>
        </w:rPr>
      </w:pPr>
      <w:r>
        <w:rPr>
          <w:rFonts w:hint="eastAsia" w:ascii="宋体" w:hAnsi="宋体" w:eastAsia="宋体" w:cs="宋体"/>
          <w:sz w:val="24"/>
        </w:rPr>
        <w:t>（采购人）、（采购代理机构）：</w:t>
      </w:r>
    </w:p>
    <w:p w14:paraId="77470BD4">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我方参与XXX采购项目【项目编号：XXX】采购活动，郑重承诺：</w:t>
      </w:r>
    </w:p>
    <w:p w14:paraId="037D188F">
      <w:pPr>
        <w:snapToGrid w:val="0"/>
        <w:spacing w:line="360" w:lineRule="auto"/>
        <w:rPr>
          <w:rFonts w:hint="eastAsia" w:ascii="宋体" w:hAnsi="宋体" w:eastAsia="宋体" w:cs="宋体"/>
          <w:sz w:val="24"/>
        </w:rPr>
      </w:pPr>
      <w:r>
        <w:rPr>
          <w:rFonts w:hint="eastAsia" w:ascii="宋体" w:hAnsi="宋体" w:eastAsia="宋体" w:cs="宋体"/>
          <w:sz w:val="24"/>
        </w:rPr>
        <w:t>（一）具备《中华人民共和国政府采购法》第二十二条第一款规定的条件：</w:t>
      </w:r>
    </w:p>
    <w:p w14:paraId="0B860F65">
      <w:pPr>
        <w:snapToGrid w:val="0"/>
        <w:spacing w:line="360" w:lineRule="auto"/>
        <w:rPr>
          <w:rFonts w:hint="eastAsia" w:ascii="宋体" w:hAnsi="宋体" w:eastAsia="宋体" w:cs="宋体"/>
          <w:sz w:val="24"/>
        </w:rPr>
      </w:pPr>
      <w:r>
        <w:rPr>
          <w:rFonts w:hint="eastAsia" w:ascii="宋体" w:hAnsi="宋体" w:eastAsia="宋体" w:cs="宋体"/>
          <w:sz w:val="24"/>
        </w:rPr>
        <w:t>（1）具有独立承担民事责任的能力；</w:t>
      </w:r>
    </w:p>
    <w:p w14:paraId="13B8E430">
      <w:pPr>
        <w:snapToGrid w:val="0"/>
        <w:spacing w:line="360" w:lineRule="auto"/>
        <w:rPr>
          <w:rFonts w:hint="eastAsia" w:ascii="宋体" w:hAnsi="宋体" w:eastAsia="宋体" w:cs="宋体"/>
          <w:sz w:val="24"/>
        </w:rPr>
      </w:pPr>
      <w:r>
        <w:rPr>
          <w:rFonts w:hint="eastAsia" w:ascii="宋体" w:hAnsi="宋体" w:eastAsia="宋体" w:cs="宋体"/>
          <w:sz w:val="24"/>
        </w:rPr>
        <w:t xml:space="preserve">（2）具有良好的商业信誉和健全的财务会计制度； </w:t>
      </w:r>
    </w:p>
    <w:p w14:paraId="5F686776">
      <w:pPr>
        <w:snapToGrid w:val="0"/>
        <w:spacing w:line="360" w:lineRule="auto"/>
        <w:rPr>
          <w:rFonts w:hint="eastAsia" w:ascii="宋体" w:hAnsi="宋体" w:eastAsia="宋体" w:cs="宋体"/>
          <w:sz w:val="24"/>
        </w:rPr>
      </w:pPr>
      <w:r>
        <w:rPr>
          <w:rFonts w:hint="eastAsia" w:ascii="宋体" w:hAnsi="宋体" w:eastAsia="宋体" w:cs="宋体"/>
          <w:sz w:val="24"/>
        </w:rPr>
        <w:t>（3）具有履行合同所必需的设备和专业技术能力；</w:t>
      </w:r>
    </w:p>
    <w:p w14:paraId="0357735E">
      <w:pPr>
        <w:snapToGrid w:val="0"/>
        <w:spacing w:line="360" w:lineRule="auto"/>
        <w:rPr>
          <w:rFonts w:hint="eastAsia" w:ascii="宋体" w:hAnsi="宋体" w:eastAsia="宋体" w:cs="宋体"/>
          <w:sz w:val="24"/>
        </w:rPr>
      </w:pPr>
      <w:r>
        <w:rPr>
          <w:rFonts w:hint="eastAsia" w:ascii="宋体" w:hAnsi="宋体" w:eastAsia="宋体" w:cs="宋体"/>
          <w:sz w:val="24"/>
        </w:rPr>
        <w:t>（4）有依法缴纳税收和社会保障资金的良好记录；</w:t>
      </w:r>
    </w:p>
    <w:p w14:paraId="17EECDA4">
      <w:pPr>
        <w:snapToGrid w:val="0"/>
        <w:spacing w:line="360" w:lineRule="auto"/>
        <w:rPr>
          <w:rFonts w:hint="eastAsia" w:ascii="宋体" w:hAnsi="宋体" w:eastAsia="宋体" w:cs="宋体"/>
          <w:sz w:val="24"/>
        </w:rPr>
      </w:pPr>
      <w:r>
        <w:rPr>
          <w:rFonts w:hint="eastAsia" w:ascii="宋体" w:hAnsi="宋体" w:eastAsia="宋体" w:cs="宋体"/>
          <w:sz w:val="24"/>
        </w:rPr>
        <w:t>（5）参加采购活动前三年内，在经营活动中没有重大违法记录；</w:t>
      </w:r>
    </w:p>
    <w:p w14:paraId="79FEF7D6">
      <w:pPr>
        <w:snapToGrid w:val="0"/>
        <w:spacing w:line="360" w:lineRule="auto"/>
        <w:rPr>
          <w:rFonts w:hint="eastAsia" w:ascii="宋体" w:hAnsi="宋体" w:eastAsia="宋体" w:cs="宋体"/>
          <w:sz w:val="24"/>
        </w:rPr>
      </w:pPr>
      <w:r>
        <w:rPr>
          <w:rFonts w:hint="eastAsia" w:ascii="宋体" w:hAnsi="宋体" w:eastAsia="宋体" w:cs="宋体"/>
          <w:sz w:val="24"/>
        </w:rPr>
        <w:t>（6）具有法律、行政法规规定的其他条件。</w:t>
      </w:r>
    </w:p>
    <w:p w14:paraId="329610D1">
      <w:pPr>
        <w:snapToGrid w:val="0"/>
        <w:spacing w:line="360" w:lineRule="auto"/>
        <w:rPr>
          <w:rFonts w:hint="eastAsia" w:ascii="宋体" w:hAnsi="宋体" w:eastAsia="宋体" w:cs="宋体"/>
          <w:sz w:val="24"/>
        </w:rPr>
      </w:pPr>
      <w:r>
        <w:rPr>
          <w:rFonts w:hint="eastAsia" w:ascii="宋体" w:hAnsi="宋体" w:eastAsia="宋体" w:cs="宋体"/>
          <w:sz w:val="24"/>
        </w:rPr>
        <w:t>（二）未被信用中国（www.creditchina.gov.cn)、中国政府采购网（www.ccgp.gov.cn）列入失信被执行人、重大税收违法案件当事人名单、政府采购严重违法失信行为记录名单。</w:t>
      </w:r>
    </w:p>
    <w:p w14:paraId="667C63C7">
      <w:pPr>
        <w:snapToGrid w:val="0"/>
        <w:spacing w:line="360" w:lineRule="auto"/>
        <w:rPr>
          <w:rFonts w:hint="eastAsia" w:ascii="宋体" w:hAnsi="宋体" w:eastAsia="宋体" w:cs="宋体"/>
          <w:sz w:val="24"/>
        </w:rPr>
      </w:pPr>
      <w:r>
        <w:rPr>
          <w:rFonts w:hint="eastAsia" w:ascii="宋体" w:hAnsi="宋体" w:eastAsia="宋体" w:cs="宋体"/>
          <w:sz w:val="24"/>
        </w:rPr>
        <w:t>（三）我方不存在以下情况：</w:t>
      </w:r>
    </w:p>
    <w:p w14:paraId="677FA548">
      <w:pPr>
        <w:snapToGrid w:val="0"/>
        <w:spacing w:line="360" w:lineRule="auto"/>
        <w:rPr>
          <w:rFonts w:hint="eastAsia" w:ascii="宋体" w:hAnsi="宋体" w:eastAsia="宋体" w:cs="宋体"/>
          <w:sz w:val="24"/>
        </w:rPr>
      </w:pPr>
      <w:r>
        <w:rPr>
          <w:rFonts w:hint="eastAsia" w:ascii="宋体" w:hAnsi="宋体" w:eastAsia="宋体" w:cs="宋体"/>
          <w:sz w:val="24"/>
        </w:rPr>
        <w:t>（1）单位负责人为同一人或者存在直接控股、管理关系的不同供应商参加同一合同项下的采购活动的；</w:t>
      </w:r>
    </w:p>
    <w:p w14:paraId="216FA70F">
      <w:pPr>
        <w:snapToGrid w:val="0"/>
        <w:spacing w:line="360" w:lineRule="auto"/>
        <w:rPr>
          <w:rFonts w:hint="eastAsia" w:ascii="宋体" w:hAnsi="宋体" w:eastAsia="宋体" w:cs="宋体"/>
          <w:sz w:val="24"/>
        </w:rPr>
      </w:pPr>
      <w:r>
        <w:rPr>
          <w:rFonts w:hint="eastAsia" w:ascii="宋体" w:hAnsi="宋体" w:eastAsia="宋体" w:cs="宋体"/>
          <w:sz w:val="24"/>
        </w:rPr>
        <w:t>（2）为采购项目提供整体设计、规范编制或者项目管理、监理、检测等服务后再参加该采购项目的其他采购活动的。</w:t>
      </w:r>
    </w:p>
    <w:p w14:paraId="02B6D3C2">
      <w:pPr>
        <w:snapToGrid w:val="0"/>
        <w:spacing w:line="360" w:lineRule="auto"/>
        <w:ind w:firstLine="5520" w:firstLineChars="2300"/>
        <w:rPr>
          <w:rFonts w:hint="eastAsia" w:ascii="宋体" w:hAnsi="宋体" w:eastAsia="宋体" w:cs="宋体"/>
          <w:kern w:val="0"/>
          <w:sz w:val="24"/>
        </w:rPr>
      </w:pPr>
      <w:r>
        <w:rPr>
          <w:rFonts w:hint="eastAsia" w:ascii="宋体" w:hAnsi="宋体" w:eastAsia="宋体" w:cs="宋体"/>
          <w:kern w:val="0"/>
          <w:sz w:val="24"/>
          <w:lang w:val="zh-CN"/>
        </w:rPr>
        <w:t>投标人名称(公章)：</w:t>
      </w:r>
    </w:p>
    <w:p w14:paraId="446DC61A">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月日</w:t>
      </w:r>
    </w:p>
    <w:p w14:paraId="3EE626E6">
      <w:pPr>
        <w:spacing w:line="360" w:lineRule="auto"/>
        <w:jc w:val="center"/>
        <w:rPr>
          <w:rFonts w:hint="eastAsia" w:ascii="宋体" w:hAnsi="宋体" w:eastAsia="宋体" w:cs="宋体"/>
          <w:b/>
          <w:color w:val="000000"/>
          <w:sz w:val="30"/>
          <w:szCs w:val="30"/>
        </w:rPr>
      </w:pPr>
    </w:p>
    <w:p w14:paraId="76F999FE">
      <w:pPr>
        <w:spacing w:line="360" w:lineRule="auto"/>
        <w:jc w:val="center"/>
        <w:rPr>
          <w:rFonts w:hint="eastAsia" w:ascii="宋体" w:hAnsi="宋体" w:eastAsia="宋体" w:cs="宋体"/>
          <w:b/>
          <w:color w:val="000000"/>
          <w:sz w:val="30"/>
          <w:szCs w:val="30"/>
        </w:rPr>
      </w:pPr>
    </w:p>
    <w:p w14:paraId="28D068DE">
      <w:pPr>
        <w:widowControl/>
        <w:adjustRightInd/>
        <w:jc w:val="left"/>
        <w:rPr>
          <w:rFonts w:hint="eastAsia" w:ascii="宋体" w:hAnsi="宋体" w:eastAsia="宋体" w:cs="宋体"/>
          <w:b/>
          <w:kern w:val="0"/>
          <w:sz w:val="32"/>
          <w:szCs w:val="32"/>
        </w:rPr>
      </w:pPr>
      <w:r>
        <w:rPr>
          <w:rFonts w:hint="eastAsia" w:ascii="宋体" w:hAnsi="宋体" w:eastAsia="宋体" w:cs="宋体"/>
          <w:b/>
          <w:kern w:val="0"/>
          <w:sz w:val="32"/>
          <w:szCs w:val="32"/>
        </w:rPr>
        <w:br w:type="page"/>
      </w:r>
    </w:p>
    <w:p w14:paraId="4895E811">
      <w:pPr>
        <w:snapToGrid w:val="0"/>
        <w:spacing w:before="50" w:after="50" w:line="360" w:lineRule="auto"/>
        <w:jc w:val="center"/>
        <w:rPr>
          <w:rFonts w:hint="eastAsia" w:ascii="宋体" w:hAnsi="宋体" w:eastAsia="宋体" w:cs="宋体"/>
          <w:b/>
          <w:kern w:val="0"/>
          <w:sz w:val="32"/>
          <w:szCs w:val="32"/>
        </w:rPr>
      </w:pPr>
      <w:r>
        <w:rPr>
          <w:rFonts w:hint="eastAsia" w:ascii="宋体" w:hAnsi="宋体" w:eastAsia="宋体" w:cs="宋体"/>
          <w:b/>
          <w:kern w:val="0"/>
          <w:sz w:val="32"/>
          <w:szCs w:val="32"/>
        </w:rPr>
        <w:t>三、本项目的特定资格要求</w:t>
      </w:r>
    </w:p>
    <w:p w14:paraId="60277694">
      <w:pPr>
        <w:spacing w:line="360" w:lineRule="auto"/>
        <w:jc w:val="center"/>
        <w:rPr>
          <w:rFonts w:hint="eastAsia" w:ascii="宋体" w:hAnsi="宋体" w:eastAsia="宋体" w:cs="宋体"/>
          <w:sz w:val="24"/>
          <w:highlight w:val="yellow"/>
        </w:rPr>
      </w:pPr>
      <w:r>
        <w:rPr>
          <w:rFonts w:hint="eastAsia" w:ascii="宋体" w:hAnsi="宋体" w:eastAsia="宋体" w:cs="宋体"/>
          <w:sz w:val="24"/>
        </w:rPr>
        <w:t>（根据招标公告本项目的特定资格要求提供相应的材料；未要求的，无需提供）</w:t>
      </w:r>
    </w:p>
    <w:p w14:paraId="670AA98E">
      <w:pPr>
        <w:pStyle w:val="504"/>
        <w:snapToGrid w:val="0"/>
        <w:spacing w:before="50" w:after="50"/>
        <w:ind w:left="360" w:firstLine="0" w:firstLineChars="0"/>
        <w:rPr>
          <w:rFonts w:hint="eastAsia" w:ascii="宋体" w:hAnsi="宋体" w:eastAsia="宋体" w:cs="宋体"/>
          <w:b/>
        </w:rPr>
      </w:pPr>
    </w:p>
    <w:p w14:paraId="65CB5DE5">
      <w:pPr>
        <w:spacing w:line="360" w:lineRule="auto"/>
        <w:jc w:val="center"/>
        <w:rPr>
          <w:rFonts w:hint="eastAsia" w:ascii="宋体" w:hAnsi="宋体" w:eastAsia="宋体" w:cs="宋体"/>
          <w:b/>
          <w:color w:val="000000"/>
          <w:sz w:val="28"/>
          <w:szCs w:val="32"/>
        </w:rPr>
      </w:pPr>
    </w:p>
    <w:p w14:paraId="11230078">
      <w:pPr>
        <w:snapToGrid w:val="0"/>
        <w:spacing w:line="360" w:lineRule="auto"/>
        <w:ind w:firstLine="2891" w:firstLineChars="900"/>
        <w:rPr>
          <w:rFonts w:hint="eastAsia" w:ascii="宋体" w:hAnsi="宋体" w:eastAsia="宋体" w:cs="宋体"/>
          <w:b/>
          <w:color w:val="000000"/>
          <w:kern w:val="0"/>
          <w:sz w:val="36"/>
          <w:szCs w:val="36"/>
        </w:rPr>
      </w:pPr>
      <w:r>
        <w:rPr>
          <w:rFonts w:hint="eastAsia" w:ascii="宋体" w:hAnsi="宋体" w:eastAsia="宋体" w:cs="宋体"/>
          <w:b/>
          <w:bCs/>
          <w:color w:val="000000"/>
          <w:sz w:val="32"/>
          <w:szCs w:val="32"/>
        </w:rPr>
        <w:br w:type="page"/>
      </w:r>
      <w:r>
        <w:rPr>
          <w:rFonts w:hint="eastAsia" w:ascii="宋体" w:hAnsi="宋体" w:eastAsia="宋体" w:cs="宋体"/>
          <w:color w:val="000000"/>
          <w:sz w:val="36"/>
          <w:szCs w:val="36"/>
          <w:lang w:val="zh-CN"/>
        </w:rPr>
        <w:t>▲</w:t>
      </w:r>
      <w:r>
        <w:rPr>
          <w:rFonts w:hint="eastAsia" w:ascii="宋体" w:hAnsi="宋体" w:eastAsia="宋体" w:cs="宋体"/>
          <w:b/>
          <w:color w:val="000000"/>
          <w:kern w:val="0"/>
          <w:sz w:val="36"/>
          <w:szCs w:val="36"/>
        </w:rPr>
        <w:t>报价文件部分</w:t>
      </w:r>
    </w:p>
    <w:p w14:paraId="5FABB3C4">
      <w:pPr>
        <w:spacing w:line="360" w:lineRule="auto"/>
        <w:jc w:val="center"/>
        <w:outlineLvl w:val="0"/>
        <w:rPr>
          <w:rFonts w:hint="eastAsia" w:ascii="宋体" w:hAnsi="宋体" w:eastAsia="宋体" w:cs="宋体"/>
          <w:b/>
          <w:color w:val="000000"/>
          <w:kern w:val="0"/>
          <w:sz w:val="24"/>
        </w:rPr>
      </w:pPr>
    </w:p>
    <w:p w14:paraId="3FC6010A">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2863177F">
      <w:pPr>
        <w:snapToGrid w:val="0"/>
        <w:spacing w:line="360" w:lineRule="auto"/>
        <w:rPr>
          <w:rFonts w:hint="eastAsia" w:ascii="宋体" w:hAnsi="宋体" w:eastAsia="宋体" w:cs="宋体"/>
          <w:sz w:val="24"/>
        </w:rPr>
      </w:pPr>
      <w:r>
        <w:rPr>
          <w:rFonts w:hint="eastAsia" w:ascii="宋体" w:hAnsi="宋体" w:eastAsia="宋体" w:cs="宋体"/>
          <w:sz w:val="24"/>
        </w:rPr>
        <w:t>（1）开标一览表（报价表）………………………………………………………（页码）</w:t>
      </w:r>
    </w:p>
    <w:p w14:paraId="74BEEEF8">
      <w:pPr>
        <w:spacing w:line="360" w:lineRule="auto"/>
        <w:ind w:left="2" w:firstLine="480" w:firstLineChars="200"/>
        <w:rPr>
          <w:rFonts w:hint="eastAsia" w:ascii="宋体" w:hAnsi="宋体" w:eastAsia="宋体" w:cs="宋体"/>
          <w:color w:val="000000"/>
          <w:sz w:val="24"/>
        </w:rPr>
      </w:pPr>
    </w:p>
    <w:p w14:paraId="20C54113">
      <w:pPr>
        <w:spacing w:line="360" w:lineRule="auto"/>
        <w:ind w:left="2" w:firstLine="480" w:firstLineChars="200"/>
        <w:rPr>
          <w:rFonts w:hint="eastAsia" w:ascii="宋体" w:hAnsi="宋体" w:eastAsia="宋体" w:cs="宋体"/>
          <w:color w:val="000000"/>
          <w:sz w:val="24"/>
        </w:rPr>
      </w:pPr>
    </w:p>
    <w:p w14:paraId="2D5F6BEB">
      <w:pPr>
        <w:spacing w:line="360" w:lineRule="auto"/>
        <w:ind w:left="2" w:firstLine="480" w:firstLineChars="200"/>
        <w:rPr>
          <w:rFonts w:hint="eastAsia" w:ascii="宋体" w:hAnsi="宋体" w:eastAsia="宋体" w:cs="宋体"/>
          <w:color w:val="000000"/>
          <w:sz w:val="24"/>
        </w:rPr>
      </w:pPr>
    </w:p>
    <w:p w14:paraId="0A1F6DDE">
      <w:pPr>
        <w:spacing w:line="360" w:lineRule="auto"/>
        <w:ind w:left="2" w:firstLine="480" w:firstLineChars="200"/>
        <w:rPr>
          <w:rFonts w:hint="eastAsia" w:ascii="宋体" w:hAnsi="宋体" w:eastAsia="宋体" w:cs="宋体"/>
          <w:color w:val="000000"/>
          <w:sz w:val="24"/>
        </w:rPr>
      </w:pPr>
    </w:p>
    <w:p w14:paraId="4593D9DF">
      <w:pPr>
        <w:spacing w:line="360" w:lineRule="auto"/>
        <w:ind w:left="2" w:firstLine="480" w:firstLineChars="200"/>
        <w:rPr>
          <w:rFonts w:hint="eastAsia" w:ascii="宋体" w:hAnsi="宋体" w:eastAsia="宋体" w:cs="宋体"/>
          <w:color w:val="000000"/>
          <w:sz w:val="24"/>
        </w:rPr>
      </w:pPr>
    </w:p>
    <w:p w14:paraId="0E3B42B7">
      <w:pPr>
        <w:snapToGrid w:val="0"/>
        <w:spacing w:line="360" w:lineRule="auto"/>
        <w:jc w:val="center"/>
        <w:outlineLvl w:val="0"/>
        <w:rPr>
          <w:rFonts w:hint="eastAsia" w:ascii="宋体" w:hAnsi="宋体" w:eastAsia="宋体" w:cs="宋体"/>
          <w:b/>
          <w:color w:val="000000"/>
          <w:kern w:val="0"/>
          <w:sz w:val="32"/>
          <w:szCs w:val="32"/>
        </w:rPr>
      </w:pPr>
    </w:p>
    <w:p w14:paraId="72926BBD">
      <w:pPr>
        <w:snapToGrid w:val="0"/>
        <w:spacing w:line="360" w:lineRule="auto"/>
        <w:jc w:val="center"/>
        <w:outlineLvl w:val="0"/>
        <w:rPr>
          <w:rFonts w:hint="eastAsia" w:ascii="宋体" w:hAnsi="宋体" w:eastAsia="宋体" w:cs="宋体"/>
          <w:b/>
          <w:color w:val="000000"/>
          <w:kern w:val="0"/>
          <w:sz w:val="32"/>
          <w:szCs w:val="32"/>
        </w:rPr>
      </w:pPr>
    </w:p>
    <w:p w14:paraId="359B996B">
      <w:pPr>
        <w:snapToGrid w:val="0"/>
        <w:spacing w:line="360" w:lineRule="auto"/>
        <w:jc w:val="center"/>
        <w:outlineLvl w:val="0"/>
        <w:rPr>
          <w:rFonts w:hint="eastAsia" w:ascii="宋体" w:hAnsi="宋体" w:eastAsia="宋体" w:cs="宋体"/>
          <w:b/>
          <w:color w:val="000000"/>
          <w:kern w:val="0"/>
          <w:sz w:val="32"/>
          <w:szCs w:val="32"/>
        </w:rPr>
      </w:pPr>
    </w:p>
    <w:p w14:paraId="061C9B41">
      <w:pPr>
        <w:snapToGrid w:val="0"/>
        <w:spacing w:line="360" w:lineRule="auto"/>
        <w:jc w:val="center"/>
        <w:outlineLvl w:val="0"/>
        <w:rPr>
          <w:rFonts w:hint="eastAsia" w:ascii="宋体" w:hAnsi="宋体" w:eastAsia="宋体" w:cs="宋体"/>
          <w:b/>
          <w:color w:val="000000"/>
          <w:kern w:val="0"/>
          <w:sz w:val="32"/>
          <w:szCs w:val="32"/>
        </w:rPr>
      </w:pPr>
    </w:p>
    <w:p w14:paraId="5B2CB33C">
      <w:pPr>
        <w:snapToGrid w:val="0"/>
        <w:spacing w:line="360" w:lineRule="auto"/>
        <w:jc w:val="center"/>
        <w:outlineLvl w:val="0"/>
        <w:rPr>
          <w:rFonts w:hint="eastAsia" w:ascii="宋体" w:hAnsi="宋体" w:eastAsia="宋体" w:cs="宋体"/>
          <w:b/>
          <w:color w:val="000000"/>
          <w:kern w:val="0"/>
          <w:sz w:val="32"/>
          <w:szCs w:val="32"/>
        </w:rPr>
      </w:pPr>
    </w:p>
    <w:p w14:paraId="29CAA998">
      <w:pPr>
        <w:snapToGrid w:val="0"/>
        <w:spacing w:line="360" w:lineRule="auto"/>
        <w:jc w:val="center"/>
        <w:outlineLvl w:val="0"/>
        <w:rPr>
          <w:rFonts w:hint="eastAsia" w:ascii="宋体" w:hAnsi="宋体" w:eastAsia="宋体" w:cs="宋体"/>
          <w:b/>
          <w:color w:val="000000"/>
          <w:kern w:val="0"/>
          <w:sz w:val="32"/>
          <w:szCs w:val="32"/>
        </w:rPr>
      </w:pPr>
    </w:p>
    <w:p w14:paraId="1180BCEB">
      <w:pPr>
        <w:snapToGrid w:val="0"/>
        <w:spacing w:line="360" w:lineRule="auto"/>
        <w:jc w:val="center"/>
        <w:outlineLvl w:val="0"/>
        <w:rPr>
          <w:rFonts w:hint="eastAsia" w:ascii="宋体" w:hAnsi="宋体" w:eastAsia="宋体" w:cs="宋体"/>
          <w:b/>
          <w:color w:val="000000"/>
          <w:kern w:val="0"/>
          <w:sz w:val="32"/>
          <w:szCs w:val="32"/>
        </w:rPr>
      </w:pPr>
    </w:p>
    <w:p w14:paraId="0D105CC0">
      <w:pPr>
        <w:snapToGrid w:val="0"/>
        <w:spacing w:line="360" w:lineRule="auto"/>
        <w:jc w:val="center"/>
        <w:outlineLvl w:val="0"/>
        <w:rPr>
          <w:rFonts w:hint="eastAsia" w:ascii="宋体" w:hAnsi="宋体" w:eastAsia="宋体" w:cs="宋体"/>
          <w:b/>
          <w:color w:val="000000"/>
          <w:kern w:val="0"/>
          <w:sz w:val="32"/>
          <w:szCs w:val="32"/>
        </w:rPr>
      </w:pPr>
    </w:p>
    <w:p w14:paraId="2F73E723">
      <w:pPr>
        <w:snapToGrid w:val="0"/>
        <w:spacing w:line="360" w:lineRule="auto"/>
        <w:jc w:val="center"/>
        <w:outlineLvl w:val="0"/>
        <w:rPr>
          <w:rFonts w:hint="eastAsia" w:ascii="宋体" w:hAnsi="宋体" w:eastAsia="宋体" w:cs="宋体"/>
          <w:b/>
          <w:color w:val="000000"/>
          <w:kern w:val="0"/>
          <w:sz w:val="32"/>
          <w:szCs w:val="32"/>
        </w:rPr>
      </w:pPr>
    </w:p>
    <w:p w14:paraId="68D222C9">
      <w:pPr>
        <w:snapToGrid w:val="0"/>
        <w:spacing w:line="360" w:lineRule="auto"/>
        <w:jc w:val="center"/>
        <w:outlineLvl w:val="0"/>
        <w:rPr>
          <w:rFonts w:hint="eastAsia" w:ascii="宋体" w:hAnsi="宋体" w:eastAsia="宋体" w:cs="宋体"/>
          <w:b/>
          <w:color w:val="000000"/>
          <w:kern w:val="0"/>
          <w:sz w:val="32"/>
          <w:szCs w:val="32"/>
        </w:rPr>
      </w:pPr>
    </w:p>
    <w:p w14:paraId="6B0A5306">
      <w:pPr>
        <w:snapToGrid w:val="0"/>
        <w:spacing w:line="360" w:lineRule="auto"/>
        <w:jc w:val="center"/>
        <w:outlineLvl w:val="0"/>
        <w:rPr>
          <w:rFonts w:hint="eastAsia" w:ascii="宋体" w:hAnsi="宋体" w:eastAsia="宋体" w:cs="宋体"/>
          <w:b/>
          <w:color w:val="000000"/>
          <w:kern w:val="0"/>
          <w:sz w:val="32"/>
          <w:szCs w:val="32"/>
        </w:rPr>
      </w:pPr>
    </w:p>
    <w:p w14:paraId="1E3CCC95">
      <w:pPr>
        <w:snapToGrid w:val="0"/>
        <w:spacing w:line="360" w:lineRule="auto"/>
        <w:jc w:val="center"/>
        <w:outlineLvl w:val="0"/>
        <w:rPr>
          <w:rFonts w:hint="eastAsia" w:ascii="宋体" w:hAnsi="宋体" w:eastAsia="宋体" w:cs="宋体"/>
          <w:b/>
          <w:color w:val="000000"/>
          <w:kern w:val="0"/>
          <w:sz w:val="32"/>
          <w:szCs w:val="32"/>
        </w:rPr>
      </w:pPr>
    </w:p>
    <w:p w14:paraId="339BA714">
      <w:pPr>
        <w:snapToGrid w:val="0"/>
        <w:spacing w:line="360" w:lineRule="auto"/>
        <w:jc w:val="center"/>
        <w:outlineLvl w:val="0"/>
        <w:rPr>
          <w:rFonts w:hint="eastAsia" w:ascii="宋体" w:hAnsi="宋体" w:eastAsia="宋体" w:cs="宋体"/>
          <w:b/>
          <w:color w:val="000000"/>
          <w:kern w:val="0"/>
          <w:sz w:val="32"/>
          <w:szCs w:val="32"/>
        </w:rPr>
      </w:pPr>
    </w:p>
    <w:p w14:paraId="74C1CEA2">
      <w:pPr>
        <w:pStyle w:val="598"/>
        <w:keepNext w:val="0"/>
        <w:pageBreakBefore w:val="0"/>
        <w:tabs>
          <w:tab w:val="clear" w:pos="720"/>
        </w:tabs>
        <w:snapToGrid w:val="0"/>
        <w:ind w:firstLine="640"/>
        <w:outlineLvl w:val="9"/>
        <w:rPr>
          <w:rFonts w:hint="eastAsia" w:ascii="宋体" w:hAnsi="宋体" w:eastAsia="宋体" w:cs="宋体"/>
          <w:color w:val="000000"/>
          <w:kern w:val="2"/>
          <w:sz w:val="32"/>
          <w:szCs w:val="32"/>
        </w:rPr>
        <w:sectPr>
          <w:headerReference r:id="rId12" w:type="first"/>
          <w:footerReference r:id="rId15" w:type="first"/>
          <w:headerReference r:id="rId10" w:type="default"/>
          <w:footerReference r:id="rId13" w:type="default"/>
          <w:headerReference r:id="rId11" w:type="even"/>
          <w:footerReference r:id="rId14" w:type="even"/>
          <w:pgSz w:w="11906" w:h="16838"/>
          <w:pgMar w:top="1247" w:right="1418" w:bottom="1276" w:left="1418" w:header="851" w:footer="992" w:gutter="0"/>
          <w:cols w:space="720" w:num="1"/>
          <w:titlePg/>
          <w:docGrid w:linePitch="312" w:charSpace="0"/>
        </w:sectPr>
      </w:pPr>
    </w:p>
    <w:p w14:paraId="5F202FC9">
      <w:pPr>
        <w:pStyle w:val="598"/>
        <w:keepNext w:val="0"/>
        <w:pageBreakBefore w:val="0"/>
        <w:tabs>
          <w:tab w:val="clear" w:pos="720"/>
        </w:tabs>
        <w:snapToGrid w:val="0"/>
        <w:ind w:firstLine="640"/>
        <w:outlineLvl w:val="9"/>
        <w:rPr>
          <w:rFonts w:hint="eastAsia" w:ascii="宋体" w:hAnsi="宋体" w:eastAsia="宋体" w:cs="宋体"/>
          <w:color w:val="000000"/>
          <w:kern w:val="2"/>
          <w:sz w:val="32"/>
          <w:szCs w:val="32"/>
        </w:rPr>
      </w:pPr>
      <w:r>
        <w:rPr>
          <w:rFonts w:hint="eastAsia" w:ascii="宋体" w:hAnsi="宋体" w:eastAsia="宋体" w:cs="宋体"/>
          <w:color w:val="000000"/>
          <w:kern w:val="2"/>
          <w:sz w:val="32"/>
          <w:szCs w:val="32"/>
        </w:rPr>
        <w:t>二、投标(开标)一览表</w:t>
      </w:r>
    </w:p>
    <w:p w14:paraId="16A7843F">
      <w:pPr>
        <w:snapToGrid w:val="0"/>
        <w:spacing w:line="360" w:lineRule="auto"/>
        <w:rPr>
          <w:rFonts w:hint="eastAsia" w:ascii="宋体" w:hAnsi="宋体" w:eastAsia="宋体" w:cs="宋体"/>
          <w:color w:val="000000"/>
          <w:kern w:val="0"/>
          <w:sz w:val="24"/>
        </w:rPr>
      </w:pPr>
      <w:bookmarkStart w:id="430" w:name="_Toc86217005"/>
      <w:r>
        <w:rPr>
          <w:rFonts w:hint="eastAsia" w:ascii="宋体" w:hAnsi="宋体" w:eastAsia="宋体" w:cs="宋体"/>
          <w:color w:val="000000"/>
          <w:sz w:val="24"/>
        </w:rPr>
        <w:t>XXX（单位名称或采购机构名称）</w:t>
      </w:r>
      <w:r>
        <w:rPr>
          <w:rFonts w:hint="eastAsia" w:ascii="宋体" w:hAnsi="宋体" w:eastAsia="宋体" w:cs="宋体"/>
          <w:color w:val="000000"/>
          <w:kern w:val="0"/>
          <w:sz w:val="24"/>
          <w:lang w:val="zh-CN"/>
        </w:rPr>
        <w:t>：</w:t>
      </w:r>
    </w:p>
    <w:p w14:paraId="0B6C7FFD">
      <w:pPr>
        <w:snapToGrid w:val="0"/>
        <w:spacing w:line="360" w:lineRule="auto"/>
        <w:ind w:firstLine="482"/>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按你方招标文件要求，我们，本投标文件签字方，谨此向你方发出要约如下：如你方接受本投标，我方承诺按照如下投标(开标)一览表的价格完成</w:t>
      </w:r>
      <w:r>
        <w:rPr>
          <w:rFonts w:hint="eastAsia" w:ascii="宋体" w:hAnsi="宋体" w:eastAsia="宋体" w:cs="宋体"/>
          <w:color w:val="000000"/>
          <w:sz w:val="24"/>
        </w:rPr>
        <w:t>XXXXXX项目</w:t>
      </w:r>
      <w:r>
        <w:rPr>
          <w:rFonts w:hint="eastAsia" w:ascii="宋体" w:hAnsi="宋体" w:eastAsia="宋体" w:cs="宋体"/>
          <w:color w:val="000000"/>
          <w:kern w:val="0"/>
          <w:sz w:val="24"/>
          <w:lang w:val="zh-CN"/>
        </w:rPr>
        <w:t>【招标文件编号：</w:t>
      </w:r>
      <w:r>
        <w:rPr>
          <w:rFonts w:hint="eastAsia" w:ascii="宋体" w:hAnsi="宋体" w:eastAsia="宋体" w:cs="宋体"/>
          <w:color w:val="000000"/>
          <w:sz w:val="24"/>
        </w:rPr>
        <w:t>】的实施</w:t>
      </w:r>
      <w:r>
        <w:rPr>
          <w:rFonts w:hint="eastAsia" w:ascii="宋体" w:hAnsi="宋体" w:eastAsia="宋体" w:cs="宋体"/>
          <w:color w:val="000000"/>
          <w:kern w:val="0"/>
          <w:sz w:val="24"/>
          <w:lang w:val="zh-CN"/>
        </w:rPr>
        <w:t>。</w:t>
      </w:r>
    </w:p>
    <w:bookmarkEnd w:id="430"/>
    <w:p w14:paraId="72765D06">
      <w:pPr>
        <w:spacing w:line="360" w:lineRule="auto"/>
        <w:jc w:val="center"/>
        <w:rPr>
          <w:rFonts w:hint="eastAsia" w:ascii="宋体" w:hAnsi="宋体" w:eastAsia="宋体" w:cs="宋体"/>
          <w:b/>
          <w:kern w:val="0"/>
          <w:sz w:val="24"/>
          <w:lang w:val="zh-CN"/>
        </w:rPr>
      </w:pPr>
      <w:r>
        <w:rPr>
          <w:rFonts w:hint="eastAsia" w:ascii="宋体" w:hAnsi="宋体" w:eastAsia="宋体" w:cs="宋体"/>
          <w:b/>
          <w:kern w:val="0"/>
          <w:sz w:val="24"/>
          <w:lang w:val="zh-CN"/>
        </w:rPr>
        <w:t>投标(开标)一览表</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804"/>
        <w:gridCol w:w="3629"/>
        <w:gridCol w:w="1681"/>
        <w:gridCol w:w="3592"/>
      </w:tblGrid>
      <w:tr w14:paraId="1D7F02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34" w:hRule="atLeast"/>
          <w:tblHeader/>
          <w:jc w:val="center"/>
        </w:trPr>
        <w:tc>
          <w:tcPr>
            <w:tcW w:w="2804" w:type="dxa"/>
            <w:tcBorders>
              <w:right w:val="single" w:color="auto" w:sz="4" w:space="0"/>
            </w:tcBorders>
            <w:vAlign w:val="center"/>
          </w:tcPr>
          <w:p w14:paraId="10F87A7F">
            <w:pPr>
              <w:pStyle w:val="622"/>
              <w:spacing w:line="400" w:lineRule="exact"/>
              <w:jc w:val="center"/>
              <w:rPr>
                <w:rFonts w:hint="eastAsia" w:ascii="宋体" w:hAnsi="宋体" w:eastAsia="宋体" w:cs="宋体"/>
                <w:sz w:val="24"/>
                <w:szCs w:val="24"/>
                <w:lang w:val="en-GB"/>
              </w:rPr>
            </w:pPr>
            <w:r>
              <w:rPr>
                <w:rFonts w:hint="eastAsia" w:ascii="宋体" w:hAnsi="宋体" w:eastAsia="宋体" w:cs="宋体"/>
                <w:sz w:val="24"/>
                <w:szCs w:val="24"/>
                <w:lang w:val="en-GB"/>
              </w:rPr>
              <w:t>标项</w:t>
            </w:r>
          </w:p>
        </w:tc>
        <w:tc>
          <w:tcPr>
            <w:tcW w:w="3629" w:type="dxa"/>
            <w:tcBorders>
              <w:left w:val="single" w:color="auto" w:sz="4" w:space="0"/>
              <w:right w:val="single" w:color="auto" w:sz="4" w:space="0"/>
            </w:tcBorders>
            <w:vAlign w:val="center"/>
          </w:tcPr>
          <w:p w14:paraId="67725558">
            <w:pPr>
              <w:pStyle w:val="622"/>
              <w:spacing w:line="400" w:lineRule="exact"/>
              <w:jc w:val="center"/>
              <w:rPr>
                <w:rFonts w:hint="eastAsia" w:ascii="宋体" w:hAnsi="宋体" w:eastAsia="宋体" w:cs="宋体"/>
                <w:sz w:val="24"/>
                <w:szCs w:val="24"/>
                <w:lang w:val="en-GB"/>
              </w:rPr>
            </w:pPr>
            <w:r>
              <w:rPr>
                <w:rFonts w:hint="eastAsia" w:ascii="宋体" w:hAnsi="宋体" w:eastAsia="宋体" w:cs="宋体"/>
                <w:sz w:val="24"/>
                <w:szCs w:val="24"/>
                <w:lang w:val="en-GB"/>
              </w:rPr>
              <w:t>项目名称</w:t>
            </w:r>
          </w:p>
        </w:tc>
        <w:tc>
          <w:tcPr>
            <w:tcW w:w="1681" w:type="dxa"/>
            <w:tcBorders>
              <w:left w:val="single" w:color="auto" w:sz="4" w:space="0"/>
              <w:right w:val="single" w:color="auto" w:sz="4" w:space="0"/>
            </w:tcBorders>
            <w:vAlign w:val="center"/>
          </w:tcPr>
          <w:p w14:paraId="64FF98BB">
            <w:pPr>
              <w:pStyle w:val="622"/>
              <w:spacing w:line="400" w:lineRule="exact"/>
              <w:jc w:val="center"/>
              <w:rPr>
                <w:rFonts w:hint="eastAsia" w:ascii="宋体" w:hAnsi="宋体" w:eastAsia="宋体" w:cs="宋体"/>
                <w:color w:val="000000"/>
                <w:sz w:val="24"/>
                <w:szCs w:val="24"/>
                <w:lang w:val="en-GB"/>
              </w:rPr>
            </w:pPr>
            <w:r>
              <w:rPr>
                <w:rFonts w:hint="eastAsia" w:ascii="宋体" w:hAnsi="宋体" w:eastAsia="宋体" w:cs="宋体"/>
                <w:color w:val="000000"/>
                <w:sz w:val="24"/>
                <w:szCs w:val="24"/>
                <w:lang w:val="en-GB"/>
              </w:rPr>
              <w:t>服务期</w:t>
            </w:r>
          </w:p>
        </w:tc>
        <w:tc>
          <w:tcPr>
            <w:tcW w:w="3592" w:type="dxa"/>
            <w:tcBorders>
              <w:left w:val="single" w:color="auto" w:sz="4" w:space="0"/>
              <w:right w:val="single" w:color="auto" w:sz="4" w:space="0"/>
            </w:tcBorders>
            <w:vAlign w:val="center"/>
          </w:tcPr>
          <w:p w14:paraId="25DE3F0A">
            <w:pPr>
              <w:pStyle w:val="622"/>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GB"/>
              </w:rPr>
              <w:t>投标报价统一下浮率</w:t>
            </w:r>
          </w:p>
        </w:tc>
      </w:tr>
      <w:tr w14:paraId="7C8468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6" w:hRule="atLeast"/>
          <w:jc w:val="center"/>
        </w:trPr>
        <w:tc>
          <w:tcPr>
            <w:tcW w:w="2804" w:type="dxa"/>
            <w:tcBorders>
              <w:right w:val="single" w:color="auto" w:sz="4" w:space="0"/>
            </w:tcBorders>
            <w:vAlign w:val="center"/>
          </w:tcPr>
          <w:p w14:paraId="67ADCCD4">
            <w:pPr>
              <w:spacing w:line="360" w:lineRule="auto"/>
              <w:jc w:val="center"/>
              <w:rPr>
                <w:rFonts w:hint="eastAsia" w:ascii="宋体" w:hAnsi="宋体" w:eastAsia="宋体" w:cs="宋体"/>
                <w:sz w:val="24"/>
              </w:rPr>
            </w:pPr>
            <w:r>
              <w:rPr>
                <w:rFonts w:hint="eastAsia" w:ascii="宋体" w:hAnsi="宋体" w:eastAsia="宋体" w:cs="宋体"/>
                <w:sz w:val="24"/>
              </w:rPr>
              <w:t>1</w:t>
            </w:r>
          </w:p>
        </w:tc>
        <w:tc>
          <w:tcPr>
            <w:tcW w:w="3629" w:type="dxa"/>
            <w:tcBorders>
              <w:left w:val="single" w:color="auto" w:sz="4" w:space="0"/>
              <w:right w:val="single" w:color="auto" w:sz="4" w:space="0"/>
            </w:tcBorders>
            <w:vAlign w:val="center"/>
          </w:tcPr>
          <w:p w14:paraId="2A81A9AB">
            <w:pPr>
              <w:spacing w:line="360" w:lineRule="exact"/>
              <w:jc w:val="center"/>
              <w:rPr>
                <w:rFonts w:hint="eastAsia" w:ascii="宋体" w:hAnsi="宋体" w:eastAsia="宋体" w:cs="宋体"/>
                <w:sz w:val="24"/>
              </w:rPr>
            </w:pPr>
            <w:r>
              <w:rPr>
                <w:rFonts w:hint="eastAsia" w:ascii="宋体" w:hAnsi="宋体" w:eastAsia="宋体" w:cs="宋体"/>
                <w:sz w:val="24"/>
              </w:rPr>
              <w:t>粮油装卸、运输服务采购项目</w:t>
            </w:r>
          </w:p>
        </w:tc>
        <w:tc>
          <w:tcPr>
            <w:tcW w:w="1681" w:type="dxa"/>
            <w:tcBorders>
              <w:left w:val="single" w:color="auto" w:sz="4" w:space="0"/>
              <w:right w:val="single" w:color="auto" w:sz="4" w:space="0"/>
            </w:tcBorders>
            <w:vAlign w:val="center"/>
          </w:tcPr>
          <w:p w14:paraId="281DE08B">
            <w:pPr>
              <w:pStyle w:val="622"/>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rPr>
              <w:t>2年</w:t>
            </w:r>
          </w:p>
        </w:tc>
        <w:tc>
          <w:tcPr>
            <w:tcW w:w="3592" w:type="dxa"/>
            <w:tcBorders>
              <w:left w:val="single" w:color="auto" w:sz="4" w:space="0"/>
              <w:right w:val="single" w:color="auto" w:sz="4" w:space="0"/>
            </w:tcBorders>
            <w:vAlign w:val="center"/>
          </w:tcPr>
          <w:p w14:paraId="454FC705">
            <w:pPr>
              <w:pStyle w:val="622"/>
              <w:spacing w:line="400" w:lineRule="exact"/>
              <w:jc w:val="center"/>
              <w:rPr>
                <w:rFonts w:hint="eastAsia" w:ascii="宋体" w:hAnsi="宋体" w:eastAsia="宋体" w:cs="宋体"/>
                <w:sz w:val="24"/>
                <w:szCs w:val="24"/>
              </w:rPr>
            </w:pPr>
            <w:r>
              <w:rPr>
                <w:rFonts w:hint="eastAsia" w:ascii="宋体" w:hAnsi="宋体" w:eastAsia="宋体" w:cs="宋体"/>
                <w:sz w:val="24"/>
                <w:szCs w:val="24"/>
                <w:u w:val="single"/>
              </w:rPr>
              <w:t xml:space="preserve">     %（保留一位小数）</w:t>
            </w:r>
          </w:p>
        </w:tc>
      </w:tr>
    </w:tbl>
    <w:p w14:paraId="4C749399">
      <w:pPr>
        <w:snapToGrid w:val="0"/>
        <w:spacing w:line="360" w:lineRule="auto"/>
        <w:ind w:left="480"/>
        <w:rPr>
          <w:rFonts w:hint="eastAsia" w:ascii="宋体" w:hAnsi="宋体" w:eastAsia="宋体" w:cs="宋体"/>
          <w:b/>
          <w:kern w:val="0"/>
          <w:sz w:val="24"/>
          <w:lang w:val="zh-CN"/>
        </w:rPr>
      </w:pPr>
      <w:r>
        <w:rPr>
          <w:rFonts w:hint="eastAsia" w:ascii="宋体" w:hAnsi="宋体" w:eastAsia="宋体" w:cs="宋体"/>
          <w:b/>
          <w:kern w:val="0"/>
          <w:sz w:val="24"/>
          <w:lang w:val="zh-CN"/>
        </w:rPr>
        <w:t>注：</w:t>
      </w:r>
    </w:p>
    <w:p w14:paraId="6B792D4A">
      <w:pPr>
        <w:spacing w:line="360" w:lineRule="auto"/>
        <w:ind w:left="-2" w:leftChars="-1"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1、投标人需按本表格式填写，不得自行更改。</w:t>
      </w:r>
    </w:p>
    <w:p w14:paraId="49699ED3">
      <w:pPr>
        <w:snapToGrid w:val="0"/>
        <w:spacing w:line="360" w:lineRule="auto"/>
        <w:ind w:left="480"/>
        <w:rPr>
          <w:rFonts w:hint="eastAsia" w:ascii="宋体" w:hAnsi="宋体" w:eastAsia="宋体" w:cs="宋体"/>
          <w:kern w:val="0"/>
          <w:sz w:val="24"/>
          <w:lang w:val="zh-CN"/>
        </w:rPr>
      </w:pPr>
      <w:r>
        <w:rPr>
          <w:rFonts w:hint="eastAsia" w:ascii="宋体" w:hAnsi="宋体" w:eastAsia="宋体" w:cs="宋体"/>
          <w:kern w:val="0"/>
          <w:sz w:val="24"/>
          <w:lang w:val="zh-CN"/>
        </w:rPr>
        <w:t>2、有关本项目实施所涉及的一切费用均计入报价。</w:t>
      </w:r>
    </w:p>
    <w:p w14:paraId="68341D48">
      <w:pPr>
        <w:spacing w:line="360" w:lineRule="auto"/>
        <w:ind w:firstLine="482" w:firstLineChars="200"/>
        <w:rPr>
          <w:rFonts w:hint="eastAsia" w:ascii="宋体" w:hAnsi="宋体" w:eastAsia="宋体" w:cs="宋体"/>
          <w:b/>
          <w:kern w:val="0"/>
          <w:sz w:val="24"/>
        </w:rPr>
      </w:pPr>
    </w:p>
    <w:p w14:paraId="47D68154">
      <w:pPr>
        <w:snapToGrid w:val="0"/>
        <w:spacing w:line="360" w:lineRule="auto"/>
        <w:ind w:firstLine="482" w:firstLineChars="200"/>
        <w:jc w:val="right"/>
        <w:rPr>
          <w:rFonts w:hint="eastAsia" w:ascii="宋体" w:hAnsi="宋体" w:eastAsia="宋体" w:cs="宋体"/>
          <w:b/>
          <w:kern w:val="0"/>
          <w:sz w:val="24"/>
        </w:rPr>
      </w:pPr>
    </w:p>
    <w:p w14:paraId="70F421A6">
      <w:pPr>
        <w:spacing w:line="360" w:lineRule="auto"/>
        <w:ind w:right="960" w:firstLine="10440" w:firstLineChars="4350"/>
        <w:rPr>
          <w:rFonts w:hint="eastAsia" w:ascii="宋体" w:hAnsi="宋体" w:eastAsia="宋体" w:cs="宋体"/>
          <w:sz w:val="24"/>
        </w:rPr>
      </w:pPr>
      <w:r>
        <w:rPr>
          <w:rFonts w:hint="eastAsia" w:ascii="宋体" w:hAnsi="宋体" w:eastAsia="宋体" w:cs="宋体"/>
          <w:sz w:val="24"/>
        </w:rPr>
        <w:t>投标人名称（公章）：</w:t>
      </w:r>
    </w:p>
    <w:p w14:paraId="14CA3627">
      <w:pPr>
        <w:spacing w:line="360" w:lineRule="auto"/>
        <w:ind w:right="480"/>
        <w:jc w:val="center"/>
        <w:rPr>
          <w:rFonts w:hint="eastAsia" w:ascii="宋体" w:hAnsi="宋体" w:eastAsia="宋体" w:cs="宋体"/>
          <w:sz w:val="24"/>
        </w:rPr>
      </w:pPr>
      <w:r>
        <w:rPr>
          <w:rFonts w:hint="eastAsia" w:ascii="宋体" w:hAnsi="宋体" w:eastAsia="宋体" w:cs="宋体"/>
          <w:sz w:val="24"/>
        </w:rPr>
        <w:t xml:space="preserve">                                                                               日期：  年   月   日</w:t>
      </w:r>
    </w:p>
    <w:p w14:paraId="24EE3A11">
      <w:pPr>
        <w:widowControl/>
        <w:adjustRightInd/>
        <w:spacing w:line="360" w:lineRule="auto"/>
        <w:jc w:val="left"/>
        <w:rPr>
          <w:rFonts w:hint="eastAsia" w:ascii="宋体" w:hAnsi="宋体" w:eastAsia="宋体" w:cs="宋体"/>
          <w:kern w:val="0"/>
          <w:sz w:val="36"/>
          <w:szCs w:val="36"/>
          <w:lang w:val="zh-CN"/>
        </w:rPr>
        <w:sectPr>
          <w:pgSz w:w="16838" w:h="11906" w:orient="landscape"/>
          <w:pgMar w:top="1418" w:right="1276" w:bottom="1418" w:left="1247" w:header="851" w:footer="992" w:gutter="0"/>
          <w:cols w:space="720" w:num="1"/>
        </w:sectPr>
      </w:pPr>
    </w:p>
    <w:p w14:paraId="756C63A3">
      <w:pPr>
        <w:spacing w:line="360" w:lineRule="auto"/>
        <w:ind w:right="420" w:firstLine="3614" w:firstLineChars="1000"/>
        <w:rPr>
          <w:rFonts w:hint="eastAsia" w:ascii="宋体" w:hAnsi="宋体" w:eastAsia="宋体" w:cs="宋体"/>
          <w:b/>
          <w:kern w:val="0"/>
          <w:sz w:val="36"/>
          <w:szCs w:val="36"/>
        </w:rPr>
      </w:pPr>
      <w:r>
        <w:rPr>
          <w:rFonts w:hint="eastAsia" w:ascii="宋体" w:hAnsi="宋体" w:eastAsia="宋体" w:cs="宋体"/>
          <w:b/>
          <w:kern w:val="0"/>
          <w:sz w:val="36"/>
          <w:szCs w:val="36"/>
        </w:rPr>
        <w:t>商务技术文件部分</w:t>
      </w:r>
    </w:p>
    <w:p w14:paraId="18993890">
      <w:pPr>
        <w:spacing w:line="360" w:lineRule="auto"/>
        <w:jc w:val="center"/>
        <w:outlineLvl w:val="0"/>
        <w:rPr>
          <w:rFonts w:hint="eastAsia" w:ascii="宋体" w:hAnsi="宋体" w:eastAsia="宋体" w:cs="宋体"/>
          <w:b/>
          <w:kern w:val="0"/>
          <w:sz w:val="24"/>
        </w:rPr>
      </w:pPr>
    </w:p>
    <w:p w14:paraId="27E8BF5B">
      <w:pPr>
        <w:spacing w:line="360" w:lineRule="auto"/>
        <w:jc w:val="center"/>
        <w:outlineLvl w:val="0"/>
        <w:rPr>
          <w:rFonts w:hint="eastAsia" w:ascii="宋体" w:hAnsi="宋体" w:eastAsia="宋体" w:cs="宋体"/>
          <w:b/>
          <w:kern w:val="0"/>
          <w:sz w:val="28"/>
          <w:szCs w:val="28"/>
        </w:rPr>
      </w:pPr>
      <w:r>
        <w:rPr>
          <w:rFonts w:hint="eastAsia" w:ascii="宋体" w:hAnsi="宋体" w:eastAsia="宋体" w:cs="宋体"/>
          <w:b/>
          <w:kern w:val="0"/>
          <w:sz w:val="28"/>
          <w:szCs w:val="28"/>
        </w:rPr>
        <w:t>目录</w:t>
      </w:r>
    </w:p>
    <w:p w14:paraId="0EE4C7A4">
      <w:pPr>
        <w:snapToGrid w:val="0"/>
        <w:spacing w:line="360" w:lineRule="auto"/>
        <w:ind w:left="479" w:leftChars="228"/>
        <w:rPr>
          <w:rFonts w:hint="eastAsia" w:ascii="宋体" w:hAnsi="宋体" w:eastAsia="宋体" w:cs="宋体"/>
        </w:rPr>
      </w:pPr>
      <w:r>
        <w:rPr>
          <w:rFonts w:hint="eastAsia" w:ascii="宋体" w:hAnsi="宋体" w:eastAsia="宋体" w:cs="宋体"/>
          <w:sz w:val="24"/>
        </w:rPr>
        <w:t>（1）投标函</w:t>
      </w:r>
      <w:r>
        <w:rPr>
          <w:rFonts w:hint="eastAsia" w:ascii="宋体" w:hAnsi="宋体" w:eastAsia="宋体" w:cs="宋体"/>
        </w:rPr>
        <w:t>…………………………………………………………………………………（页码）</w:t>
      </w:r>
      <w:r>
        <w:rPr>
          <w:rFonts w:hint="eastAsia" w:ascii="宋体" w:hAnsi="宋体" w:eastAsia="宋体" w:cs="宋体"/>
          <w:sz w:val="24"/>
        </w:rPr>
        <w:t>（2）授权委托书或法定代表人（单位负责人、自然人本人）身份证明</w:t>
      </w:r>
      <w:r>
        <w:rPr>
          <w:rFonts w:hint="eastAsia" w:ascii="宋体" w:hAnsi="宋体" w:eastAsia="宋体" w:cs="宋体"/>
        </w:rPr>
        <w:t>………（页码）</w:t>
      </w:r>
    </w:p>
    <w:p w14:paraId="16E56B81">
      <w:pPr>
        <w:snapToGrid w:val="0"/>
        <w:spacing w:line="360" w:lineRule="auto"/>
        <w:ind w:firstLine="480" w:firstLineChars="200"/>
        <w:rPr>
          <w:rFonts w:hint="eastAsia" w:ascii="宋体" w:hAnsi="宋体" w:eastAsia="宋体" w:cs="宋体"/>
        </w:rPr>
      </w:pPr>
      <w:r>
        <w:rPr>
          <w:rFonts w:hint="eastAsia" w:ascii="宋体" w:hAnsi="宋体" w:eastAsia="宋体" w:cs="宋体"/>
          <w:sz w:val="24"/>
        </w:rPr>
        <w:t>（3）符合性审查资料</w:t>
      </w:r>
      <w:r>
        <w:rPr>
          <w:rFonts w:hint="eastAsia" w:ascii="宋体" w:hAnsi="宋体" w:eastAsia="宋体" w:cs="宋体"/>
        </w:rPr>
        <w:t>………………………………………………………………………（页码）</w:t>
      </w:r>
    </w:p>
    <w:p w14:paraId="3D7C80D4">
      <w:pPr>
        <w:snapToGrid w:val="0"/>
        <w:spacing w:line="360" w:lineRule="auto"/>
        <w:ind w:left="479" w:leftChars="228"/>
        <w:rPr>
          <w:rFonts w:hint="eastAsia" w:ascii="宋体" w:hAnsi="宋体" w:eastAsia="宋体" w:cs="宋体"/>
        </w:rPr>
      </w:pPr>
      <w:r>
        <w:rPr>
          <w:rFonts w:hint="eastAsia" w:ascii="宋体" w:hAnsi="宋体" w:eastAsia="宋体" w:cs="宋体"/>
          <w:sz w:val="24"/>
        </w:rPr>
        <w:t>（4）评标标准相应的商务技术资料</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……………（页码）</w:t>
      </w:r>
    </w:p>
    <w:p w14:paraId="6C438946">
      <w:pPr>
        <w:snapToGrid w:val="0"/>
        <w:spacing w:line="360" w:lineRule="auto"/>
        <w:ind w:left="479" w:leftChars="228"/>
        <w:rPr>
          <w:rFonts w:hint="eastAsia" w:ascii="宋体" w:hAnsi="宋体" w:eastAsia="宋体" w:cs="宋体"/>
        </w:rPr>
      </w:pPr>
      <w:r>
        <w:rPr>
          <w:rFonts w:hint="eastAsia" w:ascii="宋体" w:hAnsi="宋体" w:eastAsia="宋体" w:cs="宋体"/>
          <w:sz w:val="24"/>
        </w:rPr>
        <w:t>（5）商务技术偏离表</w:t>
      </w:r>
      <w:r>
        <w:rPr>
          <w:rFonts w:hint="eastAsia" w:ascii="宋体" w:hAnsi="宋体" w:eastAsia="宋体" w:cs="宋体"/>
        </w:rPr>
        <w:t>………………………………………………………………………（页码）</w:t>
      </w:r>
    </w:p>
    <w:p w14:paraId="67F80870">
      <w:pPr>
        <w:snapToGrid w:val="0"/>
        <w:spacing w:line="360" w:lineRule="auto"/>
        <w:ind w:left="479" w:leftChars="228"/>
        <w:rPr>
          <w:rFonts w:hint="eastAsia" w:ascii="宋体" w:hAnsi="宋体" w:eastAsia="宋体" w:cs="宋体"/>
        </w:rPr>
      </w:pPr>
      <w:r>
        <w:rPr>
          <w:rFonts w:hint="eastAsia" w:ascii="宋体" w:hAnsi="宋体" w:eastAsia="宋体" w:cs="宋体"/>
          <w:sz w:val="24"/>
          <w:lang w:val="zh-CN"/>
        </w:rPr>
        <w:t>（</w:t>
      </w:r>
      <w:r>
        <w:rPr>
          <w:rFonts w:hint="eastAsia" w:ascii="宋体" w:hAnsi="宋体" w:eastAsia="宋体" w:cs="宋体"/>
          <w:sz w:val="24"/>
        </w:rPr>
        <w:t>6</w:t>
      </w:r>
      <w:r>
        <w:rPr>
          <w:rFonts w:hint="eastAsia" w:ascii="宋体" w:hAnsi="宋体" w:eastAsia="宋体" w:cs="宋体"/>
          <w:sz w:val="24"/>
          <w:lang w:val="zh-CN"/>
        </w:rPr>
        <w:t>）采购供应商廉洁自律承诺书</w:t>
      </w:r>
      <w:r>
        <w:rPr>
          <w:rFonts w:hint="eastAsia" w:ascii="宋体" w:hAnsi="宋体" w:eastAsia="宋体" w:cs="宋体"/>
        </w:rPr>
        <w:t>………………………………………………………（页码）</w:t>
      </w:r>
    </w:p>
    <w:p w14:paraId="1B8A6DEF">
      <w:pPr>
        <w:spacing w:line="360" w:lineRule="auto"/>
        <w:ind w:firstLine="480" w:firstLineChars="200"/>
        <w:rPr>
          <w:rFonts w:hint="eastAsia" w:ascii="宋体" w:hAnsi="宋体" w:eastAsia="宋体" w:cs="宋体"/>
          <w:b/>
          <w:bCs/>
          <w:color w:val="000000"/>
          <w:sz w:val="24"/>
        </w:rPr>
      </w:pPr>
      <w:r>
        <w:rPr>
          <w:rFonts w:hint="eastAsia" w:ascii="宋体" w:hAnsi="宋体" w:eastAsia="宋体" w:cs="宋体"/>
          <w:sz w:val="24"/>
        </w:rPr>
        <w:t>（7）其他所需资料</w:t>
      </w:r>
    </w:p>
    <w:p w14:paraId="4B509BA2">
      <w:pPr>
        <w:snapToGrid w:val="0"/>
        <w:spacing w:line="360" w:lineRule="auto"/>
        <w:jc w:val="center"/>
        <w:rPr>
          <w:rFonts w:hint="eastAsia" w:ascii="宋体" w:hAnsi="宋体" w:eastAsia="宋体" w:cs="宋体"/>
          <w:b/>
          <w:color w:val="000000"/>
          <w:kern w:val="0"/>
          <w:sz w:val="32"/>
          <w:szCs w:val="32"/>
          <w:lang w:val="zh-CN"/>
        </w:rPr>
      </w:pPr>
    </w:p>
    <w:p w14:paraId="77D09494">
      <w:pPr>
        <w:snapToGrid w:val="0"/>
        <w:spacing w:line="360" w:lineRule="auto"/>
        <w:jc w:val="center"/>
        <w:rPr>
          <w:rFonts w:hint="eastAsia" w:ascii="宋体" w:hAnsi="宋体" w:eastAsia="宋体" w:cs="宋体"/>
          <w:b/>
          <w:color w:val="000000"/>
          <w:kern w:val="0"/>
          <w:sz w:val="32"/>
          <w:szCs w:val="32"/>
          <w:lang w:val="zh-CN"/>
        </w:rPr>
      </w:pPr>
    </w:p>
    <w:p w14:paraId="6FF609CA">
      <w:pPr>
        <w:snapToGrid w:val="0"/>
        <w:spacing w:line="360" w:lineRule="auto"/>
        <w:jc w:val="center"/>
        <w:rPr>
          <w:rFonts w:hint="eastAsia" w:ascii="宋体" w:hAnsi="宋体" w:eastAsia="宋体" w:cs="宋体"/>
          <w:b/>
          <w:color w:val="000000"/>
          <w:kern w:val="0"/>
          <w:sz w:val="32"/>
          <w:szCs w:val="32"/>
          <w:lang w:val="zh-CN"/>
        </w:rPr>
      </w:pPr>
    </w:p>
    <w:p w14:paraId="23DBE428">
      <w:pPr>
        <w:snapToGrid w:val="0"/>
        <w:spacing w:line="360" w:lineRule="auto"/>
        <w:jc w:val="center"/>
        <w:rPr>
          <w:rFonts w:hint="eastAsia" w:ascii="宋体" w:hAnsi="宋体" w:eastAsia="宋体" w:cs="宋体"/>
          <w:b/>
          <w:color w:val="000000"/>
          <w:kern w:val="0"/>
          <w:sz w:val="32"/>
          <w:szCs w:val="32"/>
          <w:lang w:val="zh-CN"/>
        </w:rPr>
      </w:pPr>
    </w:p>
    <w:p w14:paraId="7BF7AE53">
      <w:pPr>
        <w:snapToGrid w:val="0"/>
        <w:spacing w:line="360" w:lineRule="auto"/>
        <w:jc w:val="center"/>
        <w:rPr>
          <w:rFonts w:hint="eastAsia" w:ascii="宋体" w:hAnsi="宋体" w:eastAsia="宋体" w:cs="宋体"/>
          <w:b/>
          <w:color w:val="000000"/>
          <w:kern w:val="0"/>
          <w:sz w:val="32"/>
          <w:szCs w:val="32"/>
          <w:lang w:val="zh-CN"/>
        </w:rPr>
      </w:pPr>
    </w:p>
    <w:p w14:paraId="0F9503A9">
      <w:pPr>
        <w:snapToGrid w:val="0"/>
        <w:spacing w:line="360" w:lineRule="auto"/>
        <w:jc w:val="center"/>
        <w:outlineLvl w:val="0"/>
        <w:rPr>
          <w:rFonts w:hint="eastAsia" w:ascii="宋体" w:hAnsi="宋体" w:eastAsia="宋体" w:cs="宋体"/>
          <w:b/>
          <w:sz w:val="32"/>
          <w:szCs w:val="32"/>
        </w:rPr>
      </w:pPr>
      <w:r>
        <w:rPr>
          <w:rFonts w:hint="eastAsia" w:ascii="宋体" w:hAnsi="宋体" w:eastAsia="宋体" w:cs="宋体"/>
          <w:b/>
          <w:color w:val="000000"/>
          <w:kern w:val="0"/>
          <w:sz w:val="32"/>
          <w:szCs w:val="32"/>
          <w:lang w:val="zh-CN"/>
        </w:rPr>
        <w:br w:type="page"/>
      </w:r>
      <w:r>
        <w:rPr>
          <w:rFonts w:hint="eastAsia" w:ascii="宋体" w:hAnsi="宋体" w:eastAsia="宋体" w:cs="宋体"/>
          <w:b/>
          <w:kern w:val="0"/>
          <w:sz w:val="32"/>
          <w:szCs w:val="32"/>
        </w:rPr>
        <w:t>一、投标</w:t>
      </w:r>
      <w:r>
        <w:rPr>
          <w:rFonts w:hint="eastAsia" w:ascii="宋体" w:hAnsi="宋体" w:eastAsia="宋体" w:cs="宋体"/>
          <w:b/>
          <w:sz w:val="32"/>
          <w:szCs w:val="32"/>
        </w:rPr>
        <w:t>函</w:t>
      </w:r>
    </w:p>
    <w:p w14:paraId="53306192">
      <w:pPr>
        <w:snapToGrid w:val="0"/>
        <w:spacing w:line="360" w:lineRule="auto"/>
        <w:rPr>
          <w:rFonts w:hint="eastAsia" w:ascii="宋体" w:hAnsi="宋体" w:eastAsia="宋体" w:cs="宋体"/>
          <w:sz w:val="24"/>
        </w:rPr>
      </w:pPr>
      <w:r>
        <w:rPr>
          <w:rFonts w:hint="eastAsia" w:ascii="宋体" w:hAnsi="宋体" w:eastAsia="宋体" w:cs="宋体"/>
          <w:sz w:val="24"/>
        </w:rPr>
        <w:t>（采购人名称）、（采购代理机构名称）：</w:t>
      </w:r>
    </w:p>
    <w:p w14:paraId="11FE210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我方参加你方组织的XXX采购项目【项目编号：XXXXXX】招标的有关活动，并对此项目进行投标。为此：</w:t>
      </w:r>
    </w:p>
    <w:p w14:paraId="0EDD0690">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1、我方承诺投标有效期从提交投标文件的截止之日起天（不少于90天）</w:t>
      </w:r>
      <w:r>
        <w:rPr>
          <w:rFonts w:hint="eastAsia" w:ascii="宋体" w:hAnsi="宋体" w:eastAsia="宋体" w:cs="宋体"/>
        </w:rPr>
        <w:t>，</w:t>
      </w:r>
      <w:r>
        <w:rPr>
          <w:rFonts w:hint="eastAsia" w:ascii="宋体" w:hAnsi="宋体" w:eastAsia="宋体" w:cs="宋体"/>
          <w:sz w:val="24"/>
        </w:rPr>
        <w:t>本投标文件在投标有效期满之前均具有约束力。</w:t>
      </w:r>
    </w:p>
    <w:p w14:paraId="79A1C63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2、我方的投标文件包括以下内容：</w:t>
      </w:r>
    </w:p>
    <w:p w14:paraId="26DCE80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2.1资格文件：</w:t>
      </w:r>
    </w:p>
    <w:p w14:paraId="12E30FB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2.1.1承诺函；</w:t>
      </w:r>
    </w:p>
    <w:p w14:paraId="6C594AF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2.1.2本项目的特定资格要求。</w:t>
      </w:r>
    </w:p>
    <w:p w14:paraId="77B64BB7">
      <w:pPr>
        <w:snapToGrid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2商务技术</w:t>
      </w:r>
      <w:r>
        <w:rPr>
          <w:rFonts w:hint="eastAsia" w:ascii="宋体" w:hAnsi="宋体" w:eastAsia="宋体" w:cs="宋体"/>
          <w:sz w:val="24"/>
          <w:lang w:val="zh-CN"/>
        </w:rPr>
        <w:t>文件：</w:t>
      </w:r>
    </w:p>
    <w:p w14:paraId="3B098D2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2.2.1投标函；</w:t>
      </w:r>
    </w:p>
    <w:p w14:paraId="1EBC962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2.2.2授权委托书或法定代表人（单位负责人）身份证明；</w:t>
      </w:r>
    </w:p>
    <w:p w14:paraId="18A1497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2.2.4符合性审查资料；</w:t>
      </w:r>
    </w:p>
    <w:p w14:paraId="4801DF7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2.2.5评标标准相应的商务技术资料；</w:t>
      </w:r>
    </w:p>
    <w:p w14:paraId="20EF12E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2.2.6商务技术偏离表；</w:t>
      </w:r>
    </w:p>
    <w:p w14:paraId="753562D9">
      <w:pPr>
        <w:snapToGrid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7</w:t>
      </w:r>
      <w:r>
        <w:rPr>
          <w:rFonts w:hint="eastAsia" w:ascii="宋体" w:hAnsi="宋体" w:eastAsia="宋体" w:cs="宋体"/>
          <w:sz w:val="24"/>
          <w:lang w:val="zh-CN"/>
        </w:rPr>
        <w:t>采购供应商廉洁自律承诺书；</w:t>
      </w:r>
    </w:p>
    <w:p w14:paraId="715B3F4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3报价文件</w:t>
      </w:r>
    </w:p>
    <w:p w14:paraId="6E948C7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2.3.1开标一览表（报价表）；</w:t>
      </w:r>
    </w:p>
    <w:p w14:paraId="59778344">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3、我方承诺除商务技术偏离表列出的偏离外，我方响应招标文件的全部要求。</w:t>
      </w:r>
    </w:p>
    <w:p w14:paraId="57D1446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4、如我方成交，我方承诺：</w:t>
      </w:r>
    </w:p>
    <w:p w14:paraId="54185D90">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4.1在收到中标通知书后，在中标通知书规定的期限内与你方签订合同； </w:t>
      </w:r>
    </w:p>
    <w:p w14:paraId="7CC2BFC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4.2在签订合同时不向你方提出附加条件； </w:t>
      </w:r>
    </w:p>
    <w:p w14:paraId="025985C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4.3按照招标文件要求提交履约保证金； </w:t>
      </w:r>
    </w:p>
    <w:p w14:paraId="27EC9AB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4.4在合同约定的期限内完成合同规定的全部义务。 </w:t>
      </w:r>
    </w:p>
    <w:p w14:paraId="4B85D75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5、其他补充说明:。</w:t>
      </w:r>
    </w:p>
    <w:p w14:paraId="24A1F2BE">
      <w:pPr>
        <w:spacing w:line="360" w:lineRule="auto"/>
        <w:ind w:firstLine="3600" w:firstLineChars="1500"/>
        <w:rPr>
          <w:rFonts w:hint="eastAsia" w:ascii="宋体" w:hAnsi="宋体" w:eastAsia="宋体" w:cs="宋体"/>
          <w:sz w:val="24"/>
        </w:rPr>
      </w:pPr>
      <w:r>
        <w:rPr>
          <w:rFonts w:hint="eastAsia" w:ascii="宋体" w:hAnsi="宋体" w:eastAsia="宋体" w:cs="宋体"/>
          <w:sz w:val="24"/>
        </w:rPr>
        <w:t xml:space="preserve">投标人名称（公章）：                          </w:t>
      </w:r>
    </w:p>
    <w:p w14:paraId="0C60143C">
      <w:pPr>
        <w:spacing w:line="360" w:lineRule="auto"/>
        <w:jc w:val="center"/>
        <w:rPr>
          <w:rFonts w:hint="eastAsia" w:ascii="宋体" w:hAnsi="宋体" w:eastAsia="宋体" w:cs="宋体"/>
          <w:sz w:val="24"/>
        </w:rPr>
      </w:pPr>
      <w:r>
        <w:rPr>
          <w:rFonts w:hint="eastAsia" w:ascii="宋体" w:hAnsi="宋体" w:eastAsia="宋体" w:cs="宋体"/>
          <w:sz w:val="24"/>
        </w:rPr>
        <w:t xml:space="preserve">     日期：  年   月   日</w:t>
      </w:r>
    </w:p>
    <w:p w14:paraId="3866C099">
      <w:pPr>
        <w:widowControl/>
        <w:adjustRightInd/>
        <w:jc w:val="left"/>
        <w:rPr>
          <w:rFonts w:hint="eastAsia" w:ascii="宋体" w:hAnsi="宋体" w:eastAsia="宋体" w:cs="宋体"/>
          <w:kern w:val="0"/>
          <w:sz w:val="24"/>
          <w:u w:val="single"/>
          <w:lang w:val="zh-CN"/>
        </w:rPr>
      </w:pPr>
      <w:r>
        <w:rPr>
          <w:rFonts w:hint="eastAsia" w:ascii="宋体" w:hAnsi="宋体" w:eastAsia="宋体" w:cs="宋体"/>
          <w:kern w:val="0"/>
          <w:sz w:val="24"/>
          <w:u w:val="single"/>
          <w:lang w:val="zh-CN"/>
        </w:rPr>
        <w:br w:type="page"/>
      </w:r>
    </w:p>
    <w:p w14:paraId="78C423CC">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t>二、授权委托书或法定代表人（单位负责人、自然人本人）</w:t>
      </w:r>
    </w:p>
    <w:p w14:paraId="4C71AB71">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t>身份证明</w:t>
      </w:r>
    </w:p>
    <w:p w14:paraId="019C6CD7">
      <w:pPr>
        <w:snapToGrid w:val="0"/>
        <w:spacing w:line="360" w:lineRule="auto"/>
        <w:rPr>
          <w:rFonts w:hint="eastAsia" w:ascii="宋体" w:hAnsi="宋体" w:eastAsia="宋体" w:cs="宋体"/>
          <w:sz w:val="24"/>
        </w:rPr>
      </w:pPr>
    </w:p>
    <w:p w14:paraId="7894F3FB">
      <w:pPr>
        <w:snapToGrid w:val="0"/>
        <w:spacing w:line="360" w:lineRule="auto"/>
        <w:rPr>
          <w:rFonts w:hint="eastAsia" w:ascii="宋体" w:hAnsi="宋体" w:eastAsia="宋体" w:cs="宋体"/>
          <w:sz w:val="24"/>
        </w:rPr>
      </w:pPr>
    </w:p>
    <w:p w14:paraId="6D5E7AED">
      <w:pPr>
        <w:snapToGrid w:val="0"/>
        <w:spacing w:line="360" w:lineRule="auto"/>
        <w:ind w:firstLine="2872" w:firstLineChars="894"/>
        <w:rPr>
          <w:rFonts w:hint="eastAsia" w:ascii="宋体" w:hAnsi="宋体" w:eastAsia="宋体" w:cs="宋体"/>
        </w:rPr>
      </w:pPr>
      <w:r>
        <w:rPr>
          <w:rFonts w:hint="eastAsia" w:ascii="宋体" w:hAnsi="宋体" w:eastAsia="宋体" w:cs="宋体"/>
          <w:b/>
          <w:kern w:val="0"/>
          <w:sz w:val="32"/>
          <w:szCs w:val="32"/>
          <w:lang w:val="zh-CN"/>
        </w:rPr>
        <w:t>授权委托书（适用于非联合体投标）</w:t>
      </w:r>
    </w:p>
    <w:p w14:paraId="2EA5E02E">
      <w:pPr>
        <w:snapToGrid w:val="0"/>
        <w:spacing w:line="360" w:lineRule="auto"/>
        <w:rPr>
          <w:rFonts w:hint="eastAsia" w:ascii="宋体" w:hAnsi="宋体" w:eastAsia="宋体" w:cs="宋体"/>
          <w:kern w:val="0"/>
          <w:sz w:val="24"/>
        </w:rPr>
      </w:pPr>
      <w:r>
        <w:rPr>
          <w:rFonts w:hint="eastAsia" w:ascii="宋体" w:hAnsi="宋体" w:eastAsia="宋体" w:cs="宋体"/>
          <w:sz w:val="24"/>
        </w:rPr>
        <w:t>（采购人名称）、（采购代理机构名称）</w:t>
      </w:r>
      <w:r>
        <w:rPr>
          <w:rFonts w:hint="eastAsia" w:ascii="宋体" w:hAnsi="宋体" w:eastAsia="宋体" w:cs="宋体"/>
          <w:kern w:val="0"/>
          <w:sz w:val="24"/>
          <w:lang w:val="zh-CN"/>
        </w:rPr>
        <w:t>：</w:t>
      </w:r>
    </w:p>
    <w:p w14:paraId="51F42205">
      <w:pPr>
        <w:snapToGrid w:val="0"/>
        <w:spacing w:line="360" w:lineRule="auto"/>
        <w:ind w:firstLine="576"/>
        <w:rPr>
          <w:rFonts w:hint="eastAsia" w:ascii="宋体" w:hAnsi="宋体" w:eastAsia="宋体" w:cs="宋体"/>
          <w:kern w:val="0"/>
          <w:sz w:val="24"/>
        </w:rPr>
      </w:pPr>
      <w:r>
        <w:rPr>
          <w:rFonts w:hint="eastAsia" w:ascii="宋体" w:hAnsi="宋体" w:eastAsia="宋体" w:cs="宋体"/>
          <w:kern w:val="0"/>
          <w:sz w:val="24"/>
        </w:rPr>
        <w:t>现</w:t>
      </w:r>
      <w:r>
        <w:rPr>
          <w:rFonts w:hint="eastAsia" w:ascii="宋体" w:hAnsi="宋体" w:eastAsia="宋体" w:cs="宋体"/>
          <w:kern w:val="0"/>
          <w:sz w:val="24"/>
          <w:lang w:val="zh-CN"/>
        </w:rPr>
        <w:t>委托（姓名）为我方代理人（身份证号码：，手机：），以我方名义处理</w:t>
      </w:r>
      <w:r>
        <w:rPr>
          <w:rFonts w:hint="eastAsia" w:ascii="宋体" w:hAnsi="宋体" w:eastAsia="宋体" w:cs="宋体"/>
          <w:sz w:val="24"/>
        </w:rPr>
        <w:t>XXX采购项目【项目编号：XXXXXX】</w:t>
      </w:r>
      <w:r>
        <w:rPr>
          <w:rFonts w:hint="eastAsia" w:ascii="宋体" w:hAnsi="宋体" w:eastAsia="宋体" w:cs="宋体"/>
          <w:kern w:val="0"/>
          <w:sz w:val="24"/>
          <w:lang w:val="zh-CN"/>
        </w:rPr>
        <w:t>采购投标的一切事项，其法律后果由我方承担。</w:t>
      </w:r>
    </w:p>
    <w:p w14:paraId="659ED066">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自年月日起至年月日止。</w:t>
      </w:r>
    </w:p>
    <w:p w14:paraId="0402D56D">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特此告知。</w:t>
      </w:r>
    </w:p>
    <w:p w14:paraId="18A984E4">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投标人名称(公章)：</w:t>
      </w:r>
    </w:p>
    <w:p w14:paraId="3D664B71">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签发日期：  年  月   日</w:t>
      </w:r>
    </w:p>
    <w:p w14:paraId="06168373">
      <w:pPr>
        <w:snapToGrid w:val="0"/>
        <w:spacing w:line="360" w:lineRule="auto"/>
        <w:rPr>
          <w:rFonts w:hint="eastAsia" w:ascii="宋体" w:hAnsi="宋体" w:eastAsia="宋体" w:cs="宋体"/>
          <w:sz w:val="24"/>
        </w:rPr>
      </w:pPr>
    </w:p>
    <w:p w14:paraId="7E452FBE">
      <w:pPr>
        <w:snapToGrid w:val="0"/>
        <w:spacing w:line="360" w:lineRule="auto"/>
        <w:rPr>
          <w:rFonts w:hint="eastAsia" w:ascii="宋体" w:hAnsi="宋体" w:eastAsia="宋体" w:cs="宋体"/>
          <w:sz w:val="24"/>
        </w:rPr>
      </w:pPr>
    </w:p>
    <w:p w14:paraId="650873BF">
      <w:pPr>
        <w:jc w:val="center"/>
        <w:rPr>
          <w:rFonts w:hint="eastAsia" w:ascii="宋体" w:hAnsi="宋体" w:eastAsia="宋体" w:cs="宋体"/>
          <w:b/>
          <w:kern w:val="0"/>
          <w:sz w:val="32"/>
          <w:szCs w:val="32"/>
          <w:lang w:val="zh-CN"/>
        </w:rPr>
      </w:pPr>
    </w:p>
    <w:p w14:paraId="61DCED09">
      <w:pPr>
        <w:jc w:val="center"/>
        <w:rPr>
          <w:rFonts w:hint="eastAsia" w:ascii="宋体" w:hAnsi="宋体" w:eastAsia="宋体" w:cs="宋体"/>
          <w:b/>
          <w:kern w:val="0"/>
          <w:sz w:val="32"/>
          <w:szCs w:val="32"/>
          <w:lang w:val="zh-CN"/>
        </w:rPr>
      </w:pPr>
    </w:p>
    <w:p w14:paraId="7F1094CE">
      <w:pPr>
        <w:jc w:val="center"/>
        <w:rPr>
          <w:rFonts w:hint="eastAsia" w:ascii="宋体" w:hAnsi="宋体" w:eastAsia="宋体" w:cs="宋体"/>
          <w:b/>
          <w:kern w:val="0"/>
          <w:sz w:val="32"/>
          <w:szCs w:val="32"/>
          <w:lang w:val="zh-CN"/>
        </w:rPr>
      </w:pPr>
    </w:p>
    <w:p w14:paraId="7138188A">
      <w:pPr>
        <w:jc w:val="center"/>
        <w:rPr>
          <w:rFonts w:hint="eastAsia" w:ascii="宋体" w:hAnsi="宋体" w:eastAsia="宋体" w:cs="宋体"/>
          <w:b/>
          <w:kern w:val="0"/>
          <w:sz w:val="32"/>
          <w:szCs w:val="32"/>
          <w:lang w:val="zh-CN"/>
        </w:rPr>
      </w:pPr>
    </w:p>
    <w:p w14:paraId="22C526A3">
      <w:pPr>
        <w:jc w:val="center"/>
        <w:rPr>
          <w:rFonts w:hint="eastAsia" w:ascii="宋体" w:hAnsi="宋体" w:eastAsia="宋体" w:cs="宋体"/>
          <w:b/>
          <w:kern w:val="0"/>
          <w:sz w:val="32"/>
          <w:szCs w:val="32"/>
          <w:lang w:val="zh-CN"/>
        </w:rPr>
      </w:pPr>
    </w:p>
    <w:p w14:paraId="7F9839F9">
      <w:pPr>
        <w:jc w:val="center"/>
        <w:rPr>
          <w:rFonts w:hint="eastAsia" w:ascii="宋体" w:hAnsi="宋体" w:eastAsia="宋体" w:cs="宋体"/>
          <w:b/>
          <w:kern w:val="0"/>
          <w:sz w:val="32"/>
          <w:szCs w:val="32"/>
          <w:lang w:val="zh-CN"/>
        </w:rPr>
      </w:pPr>
    </w:p>
    <w:p w14:paraId="4875FF1B">
      <w:pPr>
        <w:jc w:val="center"/>
        <w:rPr>
          <w:rFonts w:hint="eastAsia" w:ascii="宋体" w:hAnsi="宋体" w:eastAsia="宋体" w:cs="宋体"/>
          <w:b/>
          <w:kern w:val="0"/>
          <w:sz w:val="32"/>
          <w:szCs w:val="32"/>
          <w:lang w:val="zh-CN"/>
        </w:rPr>
      </w:pPr>
    </w:p>
    <w:p w14:paraId="4E64DF6C">
      <w:pPr>
        <w:jc w:val="center"/>
        <w:rPr>
          <w:rFonts w:hint="eastAsia" w:ascii="宋体" w:hAnsi="宋体" w:eastAsia="宋体" w:cs="宋体"/>
          <w:b/>
          <w:kern w:val="0"/>
          <w:sz w:val="32"/>
          <w:szCs w:val="32"/>
          <w:lang w:val="zh-CN"/>
        </w:rPr>
      </w:pPr>
    </w:p>
    <w:p w14:paraId="52F1BFD4">
      <w:pPr>
        <w:jc w:val="center"/>
        <w:rPr>
          <w:rFonts w:hint="eastAsia" w:ascii="宋体" w:hAnsi="宋体" w:eastAsia="宋体" w:cs="宋体"/>
          <w:b/>
          <w:kern w:val="0"/>
          <w:sz w:val="32"/>
          <w:szCs w:val="32"/>
          <w:lang w:val="zh-CN"/>
        </w:rPr>
      </w:pPr>
    </w:p>
    <w:p w14:paraId="7120D5DC">
      <w:pPr>
        <w:jc w:val="center"/>
        <w:rPr>
          <w:rFonts w:hint="eastAsia" w:ascii="宋体" w:hAnsi="宋体" w:eastAsia="宋体" w:cs="宋体"/>
          <w:b/>
          <w:kern w:val="0"/>
          <w:sz w:val="32"/>
          <w:szCs w:val="32"/>
          <w:lang w:val="zh-CN"/>
        </w:rPr>
      </w:pPr>
    </w:p>
    <w:p w14:paraId="239EA355">
      <w:pPr>
        <w:jc w:val="center"/>
        <w:rPr>
          <w:rFonts w:hint="eastAsia" w:ascii="宋体" w:hAnsi="宋体" w:eastAsia="宋体" w:cs="宋体"/>
          <w:b/>
          <w:kern w:val="0"/>
          <w:sz w:val="32"/>
          <w:szCs w:val="32"/>
          <w:lang w:val="zh-CN"/>
        </w:rPr>
      </w:pPr>
    </w:p>
    <w:p w14:paraId="4368C51C">
      <w:pPr>
        <w:jc w:val="center"/>
        <w:rPr>
          <w:rFonts w:hint="eastAsia" w:ascii="宋体" w:hAnsi="宋体" w:eastAsia="宋体" w:cs="宋体"/>
          <w:b/>
          <w:kern w:val="0"/>
          <w:sz w:val="32"/>
          <w:szCs w:val="32"/>
          <w:lang w:val="zh-CN"/>
        </w:rPr>
      </w:pPr>
    </w:p>
    <w:p w14:paraId="14D44B38">
      <w:pPr>
        <w:jc w:val="center"/>
        <w:rPr>
          <w:rFonts w:hint="eastAsia" w:ascii="宋体" w:hAnsi="宋体" w:eastAsia="宋体" w:cs="宋体"/>
          <w:b/>
          <w:kern w:val="0"/>
          <w:sz w:val="32"/>
          <w:szCs w:val="32"/>
          <w:lang w:val="zh-CN"/>
        </w:rPr>
      </w:pPr>
    </w:p>
    <w:p w14:paraId="17D1C305">
      <w:pPr>
        <w:jc w:val="center"/>
        <w:rPr>
          <w:rFonts w:hint="eastAsia" w:ascii="宋体" w:hAnsi="宋体" w:eastAsia="宋体" w:cs="宋体"/>
          <w:kern w:val="0"/>
          <w:sz w:val="24"/>
          <w:lang w:val="zh-CN"/>
        </w:rPr>
      </w:pPr>
    </w:p>
    <w:p w14:paraId="7C5E4FAD">
      <w:pPr>
        <w:autoSpaceDE w:val="0"/>
        <w:autoSpaceDN w:val="0"/>
        <w:spacing w:line="360" w:lineRule="auto"/>
        <w:jc w:val="center"/>
        <w:rPr>
          <w:rFonts w:hint="eastAsia" w:ascii="宋体" w:hAnsi="宋体" w:eastAsia="宋体" w:cs="宋体"/>
          <w:b/>
          <w:kern w:val="0"/>
          <w:sz w:val="32"/>
          <w:szCs w:val="32"/>
          <w:lang w:val="zh-CN"/>
        </w:rPr>
      </w:pPr>
    </w:p>
    <w:p w14:paraId="0621710B">
      <w:pPr>
        <w:autoSpaceDE w:val="0"/>
        <w:autoSpaceDN w:val="0"/>
        <w:spacing w:line="360" w:lineRule="auto"/>
        <w:jc w:val="center"/>
        <w:rPr>
          <w:rFonts w:hint="eastAsia" w:ascii="宋体" w:hAnsi="宋体" w:eastAsia="宋体" w:cs="宋体"/>
          <w:b/>
          <w:kern w:val="0"/>
          <w:sz w:val="32"/>
          <w:szCs w:val="32"/>
          <w:lang w:val="zh-CN"/>
        </w:rPr>
      </w:pPr>
    </w:p>
    <w:p w14:paraId="3E08C62B">
      <w:pPr>
        <w:autoSpaceDE w:val="0"/>
        <w:autoSpaceDN w:val="0"/>
        <w:spacing w:line="360" w:lineRule="auto"/>
        <w:jc w:val="center"/>
        <w:rPr>
          <w:rFonts w:hint="eastAsia" w:ascii="宋体" w:hAnsi="宋体" w:eastAsia="宋体" w:cs="宋体"/>
          <w:b/>
          <w:sz w:val="24"/>
        </w:rPr>
      </w:pPr>
      <w:r>
        <w:rPr>
          <w:rFonts w:hint="eastAsia" w:ascii="宋体" w:hAnsi="宋体" w:eastAsia="宋体" w:cs="宋体"/>
          <w:b/>
          <w:kern w:val="0"/>
          <w:sz w:val="32"/>
          <w:szCs w:val="32"/>
          <w:lang w:val="zh-CN"/>
        </w:rPr>
        <w:t>法定代表人、单位负责人或自然人本人</w:t>
      </w:r>
      <w:r>
        <w:rPr>
          <w:rFonts w:hint="eastAsia" w:ascii="宋体" w:hAnsi="宋体" w:eastAsia="宋体" w:cs="宋体"/>
          <w:b/>
          <w:sz w:val="30"/>
          <w:szCs w:val="30"/>
        </w:rPr>
        <w:t>的身份证明（适用于法定代表人、单位负责人或者自然人本人代表投标人参加投标）</w:t>
      </w:r>
    </w:p>
    <w:p w14:paraId="650EF303">
      <w:pPr>
        <w:pStyle w:val="619"/>
        <w:spacing w:line="360" w:lineRule="auto"/>
        <w:rPr>
          <w:rFonts w:hint="eastAsia" w:ascii="宋体" w:hAnsi="宋体" w:eastAsia="宋体" w:cs="宋体"/>
          <w:bCs/>
          <w:sz w:val="24"/>
        </w:rPr>
      </w:pPr>
      <w:r>
        <w:rPr>
          <w:rFonts w:hint="eastAsia" w:ascii="宋体" w:hAnsi="宋体" w:eastAsia="宋体" w:cs="宋体"/>
          <w:bCs/>
          <w:sz w:val="24"/>
        </w:rPr>
        <w:t>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FCB2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D1E9EA1">
            <w:pPr>
              <w:pStyle w:val="619"/>
              <w:spacing w:line="360" w:lineRule="auto"/>
              <w:rPr>
                <w:rFonts w:hint="eastAsia" w:ascii="宋体" w:hAnsi="宋体" w:eastAsia="宋体" w:cs="宋体"/>
                <w:bCs/>
                <w:sz w:val="24"/>
              </w:rPr>
            </w:pPr>
            <w:r>
              <w:rPr>
                <w:rFonts w:hint="eastAsia" w:ascii="宋体" w:hAnsi="宋体" w:eastAsia="宋体" w:cs="宋体"/>
                <w:bCs/>
                <w:sz w:val="24"/>
              </w:rPr>
              <w:t>正面：                                 反面：</w:t>
            </w:r>
          </w:p>
          <w:p w14:paraId="7D46D457">
            <w:pPr>
              <w:pStyle w:val="619"/>
              <w:spacing w:line="360" w:lineRule="auto"/>
              <w:rPr>
                <w:rFonts w:hint="eastAsia" w:ascii="宋体" w:hAnsi="宋体" w:eastAsia="宋体" w:cs="宋体"/>
                <w:bCs/>
                <w:sz w:val="24"/>
              </w:rPr>
            </w:pPr>
          </w:p>
        </w:tc>
      </w:tr>
    </w:tbl>
    <w:p w14:paraId="478CCE5A">
      <w:pPr>
        <w:snapToGrid w:val="0"/>
        <w:spacing w:line="360" w:lineRule="auto"/>
        <w:ind w:firstLine="576"/>
        <w:jc w:val="center"/>
        <w:rPr>
          <w:rFonts w:hint="eastAsia" w:ascii="宋体" w:hAnsi="宋体" w:eastAsia="宋体" w:cs="宋体"/>
          <w:kern w:val="0"/>
          <w:sz w:val="24"/>
          <w:lang w:val="zh-CN"/>
        </w:rPr>
      </w:pPr>
    </w:p>
    <w:p w14:paraId="63F3FB54">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营业执照复印件：</w:t>
      </w:r>
    </w:p>
    <w:p w14:paraId="6873014C">
      <w:pPr>
        <w:snapToGrid w:val="0"/>
        <w:spacing w:line="360" w:lineRule="auto"/>
        <w:rPr>
          <w:rFonts w:hint="eastAsia" w:ascii="宋体" w:hAnsi="宋体" w:eastAsia="宋体" w:cs="宋体"/>
          <w:kern w:val="0"/>
          <w:sz w:val="24"/>
          <w:lang w:val="zh-CN"/>
        </w:rPr>
      </w:pPr>
    </w:p>
    <w:p w14:paraId="76B141ED">
      <w:pPr>
        <w:snapToGrid w:val="0"/>
        <w:spacing w:line="360" w:lineRule="auto"/>
        <w:rPr>
          <w:rFonts w:hint="eastAsia" w:ascii="宋体" w:hAnsi="宋体" w:eastAsia="宋体" w:cs="宋体"/>
          <w:kern w:val="0"/>
          <w:sz w:val="24"/>
          <w:lang w:val="zh-CN"/>
        </w:rPr>
      </w:pPr>
    </w:p>
    <w:p w14:paraId="63C85D21">
      <w:pPr>
        <w:snapToGrid w:val="0"/>
        <w:spacing w:line="360" w:lineRule="auto"/>
        <w:rPr>
          <w:rFonts w:hint="eastAsia" w:ascii="宋体" w:hAnsi="宋体" w:eastAsia="宋体" w:cs="宋体"/>
          <w:kern w:val="0"/>
          <w:sz w:val="24"/>
          <w:lang w:val="zh-CN"/>
        </w:rPr>
      </w:pPr>
    </w:p>
    <w:p w14:paraId="5A197EAB">
      <w:pPr>
        <w:snapToGrid w:val="0"/>
        <w:spacing w:line="360" w:lineRule="auto"/>
        <w:rPr>
          <w:rFonts w:hint="eastAsia" w:ascii="宋体" w:hAnsi="宋体" w:eastAsia="宋体" w:cs="宋体"/>
          <w:kern w:val="0"/>
          <w:sz w:val="24"/>
          <w:lang w:val="zh-CN"/>
        </w:rPr>
      </w:pPr>
    </w:p>
    <w:p w14:paraId="70F50F70">
      <w:pPr>
        <w:snapToGrid w:val="0"/>
        <w:spacing w:line="360" w:lineRule="auto"/>
        <w:rPr>
          <w:rFonts w:hint="eastAsia" w:ascii="宋体" w:hAnsi="宋体" w:eastAsia="宋体" w:cs="宋体"/>
          <w:kern w:val="0"/>
          <w:sz w:val="24"/>
          <w:lang w:val="zh-CN"/>
        </w:rPr>
      </w:pPr>
    </w:p>
    <w:p w14:paraId="3E805E5F">
      <w:pPr>
        <w:snapToGrid w:val="0"/>
        <w:spacing w:line="360" w:lineRule="auto"/>
        <w:rPr>
          <w:rFonts w:hint="eastAsia" w:ascii="宋体" w:hAnsi="宋体" w:eastAsia="宋体" w:cs="宋体"/>
          <w:kern w:val="0"/>
          <w:sz w:val="24"/>
          <w:lang w:val="zh-CN"/>
        </w:rPr>
      </w:pPr>
    </w:p>
    <w:p w14:paraId="530435CD">
      <w:pPr>
        <w:snapToGrid w:val="0"/>
        <w:spacing w:line="360" w:lineRule="auto"/>
        <w:rPr>
          <w:rFonts w:hint="eastAsia" w:ascii="宋体" w:hAnsi="宋体" w:eastAsia="宋体" w:cs="宋体"/>
          <w:kern w:val="0"/>
          <w:sz w:val="24"/>
          <w:lang w:val="zh-CN"/>
        </w:rPr>
      </w:pPr>
    </w:p>
    <w:p w14:paraId="30F87B43">
      <w:pPr>
        <w:snapToGrid w:val="0"/>
        <w:spacing w:line="360" w:lineRule="auto"/>
        <w:rPr>
          <w:rFonts w:hint="eastAsia" w:ascii="宋体" w:hAnsi="宋体" w:eastAsia="宋体" w:cs="宋体"/>
          <w:kern w:val="0"/>
          <w:sz w:val="24"/>
          <w:lang w:val="zh-CN"/>
        </w:rPr>
      </w:pPr>
    </w:p>
    <w:p w14:paraId="0DB8F003">
      <w:pPr>
        <w:snapToGrid w:val="0"/>
        <w:spacing w:line="360" w:lineRule="auto"/>
        <w:rPr>
          <w:rFonts w:hint="eastAsia" w:ascii="宋体" w:hAnsi="宋体" w:eastAsia="宋体" w:cs="宋体"/>
          <w:kern w:val="0"/>
          <w:sz w:val="24"/>
          <w:lang w:val="zh-CN"/>
        </w:rPr>
      </w:pPr>
    </w:p>
    <w:p w14:paraId="34976EC5">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投标人名称(公章)：                              </w:t>
      </w:r>
    </w:p>
    <w:p w14:paraId="59BFCC5C">
      <w:pPr>
        <w:spacing w:line="360" w:lineRule="auto"/>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w:t>
      </w:r>
    </w:p>
    <w:p w14:paraId="73122790">
      <w:pPr>
        <w:widowControl/>
        <w:adjustRightInd/>
        <w:jc w:val="left"/>
        <w:rPr>
          <w:rFonts w:hint="eastAsia" w:ascii="宋体" w:hAnsi="宋体" w:eastAsia="宋体" w:cs="宋体"/>
          <w:b/>
          <w:kern w:val="0"/>
          <w:sz w:val="32"/>
          <w:szCs w:val="32"/>
        </w:rPr>
      </w:pPr>
      <w:r>
        <w:rPr>
          <w:rFonts w:hint="eastAsia" w:ascii="宋体" w:hAnsi="宋体" w:eastAsia="宋体" w:cs="宋体"/>
          <w:b/>
          <w:kern w:val="0"/>
          <w:sz w:val="32"/>
          <w:szCs w:val="32"/>
        </w:rPr>
        <w:br w:type="page"/>
      </w:r>
    </w:p>
    <w:p w14:paraId="611BF6AD">
      <w:pPr>
        <w:snapToGrid w:val="0"/>
        <w:spacing w:line="360" w:lineRule="auto"/>
        <w:ind w:right="480"/>
        <w:rPr>
          <w:rFonts w:hint="eastAsia" w:ascii="宋体" w:hAnsi="宋体" w:eastAsia="宋体" w:cs="宋体"/>
          <w:b/>
          <w:kern w:val="0"/>
          <w:sz w:val="32"/>
          <w:szCs w:val="32"/>
          <w:lang w:val="zh-CN"/>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64DC2B47">
      <w:pPr>
        <w:jc w:val="center"/>
        <w:rPr>
          <w:rFonts w:hint="eastAsia" w:ascii="宋体" w:hAnsi="宋体" w:eastAsia="宋体" w:cs="宋体"/>
          <w:b/>
          <w:kern w:val="0"/>
          <w:sz w:val="32"/>
          <w:szCs w:val="32"/>
        </w:rPr>
      </w:pPr>
      <w:r>
        <w:rPr>
          <w:rFonts w:hint="eastAsia" w:ascii="宋体" w:hAnsi="宋体" w:eastAsia="宋体" w:cs="宋体"/>
          <w:b/>
          <w:kern w:val="0"/>
          <w:sz w:val="32"/>
          <w:szCs w:val="32"/>
        </w:rPr>
        <w:t>五、符合性审查资料索引表及具体内容</w:t>
      </w:r>
    </w:p>
    <w:p w14:paraId="70AE57FD">
      <w:pPr>
        <w:jc w:val="center"/>
        <w:rPr>
          <w:rFonts w:hint="eastAsia" w:ascii="宋体" w:hAnsi="宋体" w:eastAsia="宋体" w:cs="宋体"/>
          <w:b/>
          <w:kern w:val="0"/>
          <w:sz w:val="32"/>
          <w:szCs w:val="32"/>
        </w:rPr>
      </w:pPr>
      <w:r>
        <w:rPr>
          <w:rFonts w:hint="eastAsia" w:ascii="宋体" w:hAnsi="宋体" w:eastAsia="宋体" w:cs="宋体"/>
          <w:b/>
          <w:kern w:val="0"/>
          <w:sz w:val="32"/>
          <w:szCs w:val="32"/>
        </w:rPr>
        <w:t>（一）符合性审查资料索引表</w:t>
      </w:r>
    </w:p>
    <w:tbl>
      <w:tblPr>
        <w:tblStyle w:val="61"/>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841"/>
        <w:gridCol w:w="1701"/>
        <w:gridCol w:w="1418"/>
      </w:tblGrid>
      <w:tr w14:paraId="17B06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31A6E4FE">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序号</w:t>
            </w:r>
          </w:p>
        </w:tc>
        <w:tc>
          <w:tcPr>
            <w:tcW w:w="5841" w:type="dxa"/>
            <w:vAlign w:val="center"/>
          </w:tcPr>
          <w:p w14:paraId="3BA1A2CB">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实质性要求</w:t>
            </w:r>
          </w:p>
        </w:tc>
        <w:tc>
          <w:tcPr>
            <w:tcW w:w="1701" w:type="dxa"/>
            <w:vAlign w:val="center"/>
          </w:tcPr>
          <w:p w14:paraId="242947C7">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需要提供的符合性审查资料</w:t>
            </w:r>
          </w:p>
        </w:tc>
        <w:tc>
          <w:tcPr>
            <w:tcW w:w="1418" w:type="dxa"/>
            <w:vAlign w:val="center"/>
          </w:tcPr>
          <w:p w14:paraId="0183048D">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投标文件中的</w:t>
            </w:r>
          </w:p>
          <w:p w14:paraId="6B577E73">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页码位置</w:t>
            </w:r>
          </w:p>
        </w:tc>
      </w:tr>
      <w:tr w14:paraId="6EBF5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0F40273">
            <w:pPr>
              <w:rPr>
                <w:rFonts w:hint="eastAsia" w:ascii="宋体" w:hAnsi="宋体" w:eastAsia="宋体" w:cs="宋体"/>
                <w:sz w:val="24"/>
              </w:rPr>
            </w:pPr>
            <w:r>
              <w:rPr>
                <w:rFonts w:hint="eastAsia" w:ascii="宋体" w:hAnsi="宋体" w:eastAsia="宋体" w:cs="宋体"/>
                <w:sz w:val="24"/>
              </w:rPr>
              <w:t>1</w:t>
            </w:r>
          </w:p>
        </w:tc>
        <w:tc>
          <w:tcPr>
            <w:tcW w:w="5841" w:type="dxa"/>
          </w:tcPr>
          <w:p w14:paraId="3EFAEE13">
            <w:pPr>
              <w:spacing w:line="360" w:lineRule="auto"/>
              <w:rPr>
                <w:rFonts w:hint="eastAsia" w:ascii="宋体" w:hAnsi="宋体" w:eastAsia="宋体" w:cs="宋体"/>
                <w:sz w:val="24"/>
              </w:rPr>
            </w:pPr>
            <w:r>
              <w:rPr>
                <w:rFonts w:hint="eastAsia" w:ascii="宋体" w:hAnsi="宋体" w:eastAsia="宋体" w:cs="宋体"/>
                <w:sz w:val="24"/>
              </w:rPr>
              <w:t>不存在如下情形：投标文件未按照招标文件要求签署、盖章。</w:t>
            </w:r>
          </w:p>
        </w:tc>
        <w:tc>
          <w:tcPr>
            <w:tcW w:w="1701" w:type="dxa"/>
            <w:vAlign w:val="center"/>
          </w:tcPr>
          <w:p w14:paraId="4CBA7951">
            <w:pPr>
              <w:rPr>
                <w:rFonts w:hint="eastAsia" w:ascii="宋体" w:hAnsi="宋体" w:eastAsia="宋体" w:cs="宋体"/>
                <w:sz w:val="24"/>
              </w:rPr>
            </w:pPr>
            <w:r>
              <w:rPr>
                <w:rFonts w:hint="eastAsia" w:ascii="宋体" w:hAnsi="宋体" w:eastAsia="宋体" w:cs="宋体"/>
                <w:sz w:val="24"/>
              </w:rPr>
              <w:t xml:space="preserve">投标文件的组成部分中需要使用公章或者签字盖章处 </w:t>
            </w:r>
          </w:p>
        </w:tc>
        <w:tc>
          <w:tcPr>
            <w:tcW w:w="1418" w:type="dxa"/>
          </w:tcPr>
          <w:p w14:paraId="12D5C077">
            <w:pPr>
              <w:rPr>
                <w:rFonts w:hint="eastAsia" w:ascii="宋体" w:hAnsi="宋体" w:eastAsia="宋体" w:cs="宋体"/>
                <w:sz w:val="24"/>
              </w:rPr>
            </w:pPr>
          </w:p>
          <w:p w14:paraId="7353A207">
            <w:pPr>
              <w:rPr>
                <w:rFonts w:hint="eastAsia" w:ascii="宋体" w:hAnsi="宋体" w:eastAsia="宋体" w:cs="宋体"/>
                <w:sz w:val="24"/>
              </w:rPr>
            </w:pPr>
            <w:r>
              <w:rPr>
                <w:rFonts w:hint="eastAsia" w:ascii="宋体" w:hAnsi="宋体" w:eastAsia="宋体" w:cs="宋体"/>
                <w:sz w:val="24"/>
              </w:rPr>
              <w:t>见投标文件</w:t>
            </w:r>
          </w:p>
          <w:p w14:paraId="209D74D2">
            <w:pPr>
              <w:rPr>
                <w:rFonts w:hint="eastAsia" w:ascii="宋体" w:hAnsi="宋体" w:eastAsia="宋体" w:cs="宋体"/>
              </w:rPr>
            </w:pPr>
            <w:r>
              <w:rPr>
                <w:rFonts w:hint="eastAsia" w:ascii="宋体" w:hAnsi="宋体" w:eastAsia="宋体" w:cs="宋体"/>
                <w:sz w:val="24"/>
              </w:rPr>
              <w:t>第页</w:t>
            </w:r>
          </w:p>
        </w:tc>
      </w:tr>
      <w:tr w14:paraId="1AB08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65F8D4C4">
            <w:pPr>
              <w:spacing w:line="360" w:lineRule="auto"/>
              <w:rPr>
                <w:rFonts w:hint="eastAsia" w:ascii="宋体" w:hAnsi="宋体" w:eastAsia="宋体" w:cs="宋体"/>
                <w:sz w:val="24"/>
              </w:rPr>
            </w:pPr>
            <w:r>
              <w:rPr>
                <w:rFonts w:hint="eastAsia" w:ascii="宋体" w:hAnsi="宋体" w:eastAsia="宋体" w:cs="宋体"/>
                <w:sz w:val="24"/>
              </w:rPr>
              <w:t>2</w:t>
            </w:r>
          </w:p>
        </w:tc>
        <w:tc>
          <w:tcPr>
            <w:tcW w:w="5841" w:type="dxa"/>
          </w:tcPr>
          <w:p w14:paraId="5486D9D6">
            <w:pPr>
              <w:spacing w:line="360" w:lineRule="auto"/>
              <w:rPr>
                <w:rFonts w:hint="eastAsia" w:ascii="宋体" w:hAnsi="宋体" w:eastAsia="宋体" w:cs="宋体"/>
                <w:sz w:val="24"/>
              </w:rPr>
            </w:pPr>
            <w:r>
              <w:rPr>
                <w:rFonts w:hint="eastAsia" w:ascii="宋体" w:hAnsi="宋体" w:eastAsia="宋体" w:cs="宋体"/>
                <w:sz w:val="24"/>
              </w:rPr>
              <w:t>不存在如下情形：采购人拟采购的产品属于政府强制采购的节能产品品目清单范围的，投标人未按招标文件要求提供国家确定的认证机构出具的、处于有效期之内的节能产品认证证书、环境标志产品认证证书。</w:t>
            </w:r>
          </w:p>
        </w:tc>
        <w:tc>
          <w:tcPr>
            <w:tcW w:w="1701" w:type="dxa"/>
            <w:vAlign w:val="center"/>
          </w:tcPr>
          <w:p w14:paraId="3533CD6A">
            <w:pPr>
              <w:rPr>
                <w:rFonts w:hint="eastAsia" w:ascii="宋体" w:hAnsi="宋体" w:eastAsia="宋体" w:cs="宋体"/>
                <w:sz w:val="24"/>
              </w:rPr>
            </w:pPr>
            <w:r>
              <w:rPr>
                <w:rFonts w:hint="eastAsia" w:ascii="宋体" w:hAnsi="宋体" w:eastAsia="宋体" w:cs="宋体"/>
                <w:sz w:val="24"/>
              </w:rPr>
              <w:t>节能产品认证证书、环境标志产品认证证书（招标文件未要求的，无需提供）</w:t>
            </w:r>
          </w:p>
        </w:tc>
        <w:tc>
          <w:tcPr>
            <w:tcW w:w="1418" w:type="dxa"/>
          </w:tcPr>
          <w:p w14:paraId="798C9587">
            <w:pPr>
              <w:rPr>
                <w:rFonts w:hint="eastAsia" w:ascii="宋体" w:hAnsi="宋体" w:eastAsia="宋体" w:cs="宋体"/>
                <w:sz w:val="24"/>
              </w:rPr>
            </w:pPr>
          </w:p>
          <w:p w14:paraId="2A3D981A">
            <w:pPr>
              <w:rPr>
                <w:rFonts w:hint="eastAsia" w:ascii="宋体" w:hAnsi="宋体" w:eastAsia="宋体" w:cs="宋体"/>
                <w:sz w:val="24"/>
              </w:rPr>
            </w:pPr>
          </w:p>
          <w:p w14:paraId="4AEFF2DD">
            <w:pPr>
              <w:rPr>
                <w:rFonts w:hint="eastAsia" w:ascii="宋体" w:hAnsi="宋体" w:eastAsia="宋体" w:cs="宋体"/>
                <w:sz w:val="24"/>
              </w:rPr>
            </w:pPr>
            <w:r>
              <w:rPr>
                <w:rFonts w:hint="eastAsia" w:ascii="宋体" w:hAnsi="宋体" w:eastAsia="宋体" w:cs="宋体"/>
                <w:sz w:val="24"/>
              </w:rPr>
              <w:t>见投标文件</w:t>
            </w:r>
          </w:p>
          <w:p w14:paraId="11820605">
            <w:pPr>
              <w:pStyle w:val="4"/>
              <w:numPr>
                <w:ilvl w:val="0"/>
                <w:numId w:val="0"/>
              </w:numPr>
              <w:ind w:left="432"/>
              <w:rPr>
                <w:rFonts w:hint="eastAsia" w:ascii="宋体" w:hAnsi="宋体" w:eastAsia="宋体" w:cs="宋体"/>
                <w:lang w:val="en-US"/>
              </w:rPr>
            </w:pPr>
            <w:r>
              <w:rPr>
                <w:rFonts w:hint="eastAsia" w:ascii="宋体" w:hAnsi="宋体" w:eastAsia="宋体" w:cs="宋体"/>
                <w:b w:val="0"/>
                <w:bCs w:val="0"/>
                <w:sz w:val="24"/>
                <w:szCs w:val="24"/>
                <w:lang w:val="en-US"/>
              </w:rPr>
              <w:t>第  页</w:t>
            </w:r>
          </w:p>
        </w:tc>
      </w:tr>
      <w:tr w14:paraId="22973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5304623">
            <w:pPr>
              <w:rPr>
                <w:rFonts w:hint="eastAsia" w:ascii="宋体" w:hAnsi="宋体" w:eastAsia="宋体" w:cs="宋体"/>
                <w:sz w:val="24"/>
              </w:rPr>
            </w:pPr>
            <w:r>
              <w:rPr>
                <w:rFonts w:hint="eastAsia" w:ascii="宋体" w:hAnsi="宋体" w:eastAsia="宋体" w:cs="宋体"/>
                <w:sz w:val="24"/>
              </w:rPr>
              <w:t>3</w:t>
            </w:r>
          </w:p>
        </w:tc>
        <w:tc>
          <w:tcPr>
            <w:tcW w:w="5841" w:type="dxa"/>
          </w:tcPr>
          <w:p w14:paraId="72645AC8">
            <w:pPr>
              <w:spacing w:line="360" w:lineRule="auto"/>
              <w:rPr>
                <w:rFonts w:hint="eastAsia" w:ascii="宋体" w:hAnsi="宋体" w:eastAsia="宋体" w:cs="宋体"/>
                <w:sz w:val="24"/>
              </w:rPr>
            </w:pPr>
            <w:r>
              <w:rPr>
                <w:rFonts w:hint="eastAsia" w:ascii="宋体" w:hAnsi="宋体" w:eastAsia="宋体" w:cs="宋体"/>
                <w:sz w:val="24"/>
              </w:rPr>
              <w:t>不存在如下情形：投标文件中承诺的投标有效期少于招标文件中载明的投标有效期。</w:t>
            </w:r>
          </w:p>
        </w:tc>
        <w:tc>
          <w:tcPr>
            <w:tcW w:w="1701" w:type="dxa"/>
            <w:vAlign w:val="center"/>
          </w:tcPr>
          <w:p w14:paraId="43304212">
            <w:pPr>
              <w:rPr>
                <w:rFonts w:hint="eastAsia" w:ascii="宋体" w:hAnsi="宋体" w:eastAsia="宋体" w:cs="宋体"/>
                <w:sz w:val="24"/>
              </w:rPr>
            </w:pPr>
            <w:r>
              <w:rPr>
                <w:rFonts w:hint="eastAsia" w:ascii="宋体" w:hAnsi="宋体" w:eastAsia="宋体" w:cs="宋体"/>
                <w:sz w:val="24"/>
              </w:rPr>
              <w:t>响应函</w:t>
            </w:r>
          </w:p>
        </w:tc>
        <w:tc>
          <w:tcPr>
            <w:tcW w:w="1418" w:type="dxa"/>
          </w:tcPr>
          <w:p w14:paraId="6A6F6C3D">
            <w:pPr>
              <w:rPr>
                <w:rFonts w:hint="eastAsia" w:ascii="宋体" w:hAnsi="宋体" w:eastAsia="宋体" w:cs="宋体"/>
              </w:rPr>
            </w:pPr>
            <w:r>
              <w:rPr>
                <w:rFonts w:hint="eastAsia" w:ascii="宋体" w:hAnsi="宋体" w:eastAsia="宋体" w:cs="宋体"/>
                <w:sz w:val="24"/>
              </w:rPr>
              <w:t>见投标文件第页</w:t>
            </w:r>
          </w:p>
        </w:tc>
      </w:tr>
      <w:tr w14:paraId="1086D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6FC43F33">
            <w:pPr>
              <w:rPr>
                <w:rFonts w:hint="eastAsia" w:ascii="宋体" w:hAnsi="宋体" w:eastAsia="宋体" w:cs="宋体"/>
                <w:sz w:val="24"/>
              </w:rPr>
            </w:pPr>
            <w:r>
              <w:rPr>
                <w:rFonts w:hint="eastAsia" w:ascii="宋体" w:hAnsi="宋体" w:eastAsia="宋体" w:cs="宋体"/>
                <w:sz w:val="24"/>
              </w:rPr>
              <w:t>4</w:t>
            </w:r>
          </w:p>
        </w:tc>
        <w:tc>
          <w:tcPr>
            <w:tcW w:w="5841" w:type="dxa"/>
          </w:tcPr>
          <w:p w14:paraId="033A4D86">
            <w:pPr>
              <w:spacing w:line="360" w:lineRule="auto"/>
              <w:rPr>
                <w:rFonts w:hint="eastAsia" w:ascii="宋体" w:hAnsi="宋体" w:eastAsia="宋体" w:cs="宋体"/>
                <w:sz w:val="24"/>
              </w:rPr>
            </w:pPr>
            <w:r>
              <w:rPr>
                <w:rFonts w:hint="eastAsia" w:ascii="宋体" w:hAnsi="宋体" w:eastAsia="宋体" w:cs="宋体"/>
                <w:sz w:val="24"/>
              </w:rPr>
              <w:t>不存在如下情形：投标文件不满足招标文件的其它实质性要求。</w:t>
            </w:r>
          </w:p>
        </w:tc>
        <w:tc>
          <w:tcPr>
            <w:tcW w:w="1701" w:type="dxa"/>
            <w:vAlign w:val="center"/>
          </w:tcPr>
          <w:p w14:paraId="21B303EC">
            <w:pPr>
              <w:rPr>
                <w:rFonts w:hint="eastAsia" w:ascii="宋体" w:hAnsi="宋体" w:eastAsia="宋体" w:cs="宋体"/>
                <w:sz w:val="24"/>
              </w:rPr>
            </w:pPr>
            <w:r>
              <w:rPr>
                <w:rFonts w:hint="eastAsia" w:ascii="宋体" w:hAnsi="宋体" w:eastAsia="宋体" w:cs="宋体"/>
                <w:kern w:val="0"/>
                <w:sz w:val="24"/>
              </w:rPr>
              <w:t>招标文件其它实质性要求相应的材料（招标文件未要求的，无需提供）</w:t>
            </w:r>
          </w:p>
        </w:tc>
        <w:tc>
          <w:tcPr>
            <w:tcW w:w="1418" w:type="dxa"/>
          </w:tcPr>
          <w:p w14:paraId="75FF2902">
            <w:pPr>
              <w:rPr>
                <w:rFonts w:hint="eastAsia" w:ascii="宋体" w:hAnsi="宋体" w:eastAsia="宋体" w:cs="宋体"/>
              </w:rPr>
            </w:pPr>
            <w:r>
              <w:rPr>
                <w:rFonts w:hint="eastAsia" w:ascii="宋体" w:hAnsi="宋体" w:eastAsia="宋体" w:cs="宋体"/>
                <w:sz w:val="24"/>
              </w:rPr>
              <w:t>见投标文件第页</w:t>
            </w:r>
          </w:p>
        </w:tc>
      </w:tr>
    </w:tbl>
    <w:p w14:paraId="7EB87F23">
      <w:pPr>
        <w:jc w:val="center"/>
        <w:rPr>
          <w:rFonts w:hint="eastAsia" w:ascii="宋体" w:hAnsi="宋体" w:eastAsia="宋体" w:cs="宋体"/>
          <w:b/>
          <w:kern w:val="0"/>
          <w:sz w:val="32"/>
          <w:szCs w:val="32"/>
        </w:rPr>
      </w:pPr>
    </w:p>
    <w:p w14:paraId="329C4E60">
      <w:pPr>
        <w:jc w:val="center"/>
        <w:rPr>
          <w:rFonts w:hint="eastAsia" w:ascii="宋体" w:hAnsi="宋体" w:eastAsia="宋体" w:cs="宋体"/>
          <w:b/>
          <w:kern w:val="0"/>
          <w:sz w:val="32"/>
          <w:szCs w:val="32"/>
        </w:rPr>
      </w:pPr>
    </w:p>
    <w:p w14:paraId="3236BB98">
      <w:pPr>
        <w:jc w:val="center"/>
        <w:rPr>
          <w:rFonts w:hint="eastAsia" w:ascii="宋体" w:hAnsi="宋体" w:eastAsia="宋体" w:cs="宋体"/>
          <w:b/>
          <w:kern w:val="0"/>
          <w:sz w:val="32"/>
          <w:szCs w:val="32"/>
        </w:rPr>
      </w:pPr>
    </w:p>
    <w:p w14:paraId="41CF52AE">
      <w:pPr>
        <w:jc w:val="center"/>
        <w:rPr>
          <w:rFonts w:hint="eastAsia" w:ascii="宋体" w:hAnsi="宋体" w:eastAsia="宋体" w:cs="宋体"/>
          <w:b/>
          <w:kern w:val="0"/>
          <w:sz w:val="32"/>
          <w:szCs w:val="32"/>
        </w:rPr>
      </w:pPr>
      <w:r>
        <w:rPr>
          <w:rFonts w:hint="eastAsia" w:ascii="宋体" w:hAnsi="宋体" w:eastAsia="宋体" w:cs="宋体"/>
          <w:b/>
          <w:kern w:val="0"/>
          <w:sz w:val="32"/>
          <w:szCs w:val="32"/>
        </w:rPr>
        <w:t>（二）符合性审查资料具体内容</w:t>
      </w:r>
    </w:p>
    <w:p w14:paraId="5E2B5630">
      <w:pPr>
        <w:rPr>
          <w:rFonts w:hint="eastAsia" w:ascii="宋体" w:hAnsi="宋体" w:eastAsia="宋体" w:cs="宋体"/>
          <w:b/>
          <w:kern w:val="0"/>
          <w:sz w:val="32"/>
          <w:szCs w:val="32"/>
        </w:rPr>
      </w:pPr>
      <w:r>
        <w:rPr>
          <w:rFonts w:hint="eastAsia" w:ascii="宋体" w:hAnsi="宋体" w:eastAsia="宋体" w:cs="宋体"/>
          <w:sz w:val="24"/>
        </w:rPr>
        <w:t xml:space="preserve">1、投标文件的组成部分中需要使用公章或者签字盖章处（详见投标文件第页） </w:t>
      </w:r>
    </w:p>
    <w:p w14:paraId="286E7C37">
      <w:pPr>
        <w:rPr>
          <w:rFonts w:hint="eastAsia" w:ascii="宋体" w:hAnsi="宋体" w:eastAsia="宋体" w:cs="宋体"/>
          <w:kern w:val="0"/>
          <w:sz w:val="24"/>
        </w:rPr>
      </w:pPr>
      <w:r>
        <w:rPr>
          <w:rFonts w:hint="eastAsia" w:ascii="宋体" w:hAnsi="宋体" w:eastAsia="宋体" w:cs="宋体"/>
          <w:kern w:val="0"/>
          <w:sz w:val="24"/>
        </w:rPr>
        <w:t>2、节能产品认证证书</w:t>
      </w:r>
      <w:r>
        <w:rPr>
          <w:rFonts w:hint="eastAsia" w:ascii="宋体" w:hAnsi="宋体" w:eastAsia="宋体" w:cs="宋体"/>
          <w:sz w:val="24"/>
        </w:rPr>
        <w:t>、环境标志产品认证证书</w:t>
      </w:r>
      <w:r>
        <w:rPr>
          <w:rFonts w:hint="eastAsia" w:ascii="宋体" w:hAnsi="宋体" w:eastAsia="宋体" w:cs="宋体"/>
          <w:kern w:val="0"/>
          <w:sz w:val="24"/>
        </w:rPr>
        <w:t>（招标文件未要求的，无需提供）</w:t>
      </w:r>
    </w:p>
    <w:p w14:paraId="274D8350">
      <w:pPr>
        <w:rPr>
          <w:rFonts w:hint="eastAsia" w:ascii="宋体" w:hAnsi="宋体" w:eastAsia="宋体" w:cs="宋体"/>
          <w:kern w:val="0"/>
          <w:sz w:val="24"/>
        </w:rPr>
      </w:pPr>
      <w:r>
        <w:rPr>
          <w:rFonts w:hint="eastAsia" w:ascii="宋体" w:hAnsi="宋体" w:eastAsia="宋体" w:cs="宋体"/>
          <w:kern w:val="0"/>
          <w:sz w:val="24"/>
        </w:rPr>
        <w:t>3、</w:t>
      </w:r>
      <w:r>
        <w:rPr>
          <w:rFonts w:hint="eastAsia" w:ascii="宋体" w:hAnsi="宋体" w:eastAsia="宋体" w:cs="宋体"/>
          <w:sz w:val="24"/>
        </w:rPr>
        <w:t>投标函（详见投标文件第页）</w:t>
      </w:r>
    </w:p>
    <w:p w14:paraId="6C4C1BE9">
      <w:pPr>
        <w:rPr>
          <w:rFonts w:hint="eastAsia" w:ascii="宋体" w:hAnsi="宋体" w:eastAsia="宋体" w:cs="宋体"/>
          <w:kern w:val="0"/>
          <w:sz w:val="24"/>
        </w:rPr>
      </w:pPr>
      <w:r>
        <w:rPr>
          <w:rFonts w:hint="eastAsia" w:ascii="宋体" w:hAnsi="宋体" w:eastAsia="宋体" w:cs="宋体"/>
          <w:kern w:val="0"/>
          <w:sz w:val="24"/>
        </w:rPr>
        <w:t>4、招标文件其它实质性要求相应的材料（招标文件未要求的，无需提供）</w:t>
      </w:r>
    </w:p>
    <w:p w14:paraId="0817BE8A">
      <w:pPr>
        <w:rPr>
          <w:rFonts w:hint="eastAsia" w:ascii="宋体" w:hAnsi="宋体" w:eastAsia="宋体" w:cs="宋体"/>
        </w:rPr>
      </w:pPr>
    </w:p>
    <w:p w14:paraId="41E41402">
      <w:pPr>
        <w:jc w:val="center"/>
        <w:rPr>
          <w:rFonts w:hint="eastAsia" w:ascii="宋体" w:hAnsi="宋体" w:eastAsia="宋体" w:cs="宋体"/>
          <w:b/>
          <w:kern w:val="0"/>
          <w:sz w:val="32"/>
          <w:szCs w:val="32"/>
        </w:rPr>
      </w:pPr>
    </w:p>
    <w:p w14:paraId="1C811280">
      <w:pPr>
        <w:widowControl/>
        <w:adjustRightInd/>
        <w:jc w:val="left"/>
        <w:rPr>
          <w:rFonts w:hint="eastAsia" w:ascii="宋体" w:hAnsi="宋体" w:eastAsia="宋体" w:cs="宋体"/>
          <w:b/>
          <w:kern w:val="0"/>
          <w:sz w:val="32"/>
          <w:szCs w:val="32"/>
        </w:rPr>
      </w:pPr>
      <w:r>
        <w:rPr>
          <w:rFonts w:hint="eastAsia" w:ascii="宋体" w:hAnsi="宋体" w:eastAsia="宋体" w:cs="宋体"/>
          <w:b/>
          <w:kern w:val="0"/>
          <w:sz w:val="32"/>
          <w:szCs w:val="32"/>
        </w:rPr>
        <w:br w:type="page"/>
      </w:r>
    </w:p>
    <w:p w14:paraId="7593897E">
      <w:pPr>
        <w:jc w:val="center"/>
        <w:rPr>
          <w:rFonts w:hint="eastAsia" w:ascii="宋体" w:hAnsi="宋体" w:eastAsia="宋体" w:cs="宋体"/>
        </w:rPr>
      </w:pPr>
      <w:r>
        <w:rPr>
          <w:rFonts w:hint="eastAsia" w:ascii="宋体" w:hAnsi="宋体" w:eastAsia="宋体" w:cs="宋体"/>
          <w:b/>
          <w:kern w:val="0"/>
          <w:sz w:val="32"/>
          <w:szCs w:val="32"/>
        </w:rPr>
        <w:t>六、评标标准相应的商务技术资料</w:t>
      </w:r>
    </w:p>
    <w:p w14:paraId="6D1F0DB1">
      <w:pPr>
        <w:snapToGrid w:val="0"/>
        <w:spacing w:line="360" w:lineRule="auto"/>
        <w:jc w:val="left"/>
        <w:rPr>
          <w:rFonts w:hint="eastAsia" w:ascii="宋体" w:hAnsi="宋体" w:eastAsia="宋体" w:cs="宋体"/>
          <w:b/>
          <w:sz w:val="24"/>
        </w:rPr>
      </w:pPr>
      <w:r>
        <w:rPr>
          <w:rFonts w:hint="eastAsia" w:ascii="宋体" w:hAnsi="宋体" w:eastAsia="宋体" w:cs="宋体"/>
          <w:b/>
          <w:sz w:val="24"/>
        </w:rPr>
        <w:t>（按招标文件第四部分评标办法前附表中“投标文件中评标标准相应的商务技术资料目录”提供资料）</w:t>
      </w:r>
    </w:p>
    <w:p w14:paraId="4581441A">
      <w:pPr>
        <w:jc w:val="center"/>
        <w:rPr>
          <w:rFonts w:hint="eastAsia" w:ascii="宋体" w:hAnsi="宋体" w:eastAsia="宋体" w:cs="宋体"/>
          <w:b/>
          <w:kern w:val="0"/>
          <w:sz w:val="32"/>
          <w:szCs w:val="32"/>
        </w:rPr>
      </w:pPr>
    </w:p>
    <w:p w14:paraId="592C06C2">
      <w:pPr>
        <w:jc w:val="center"/>
        <w:rPr>
          <w:rFonts w:hint="eastAsia" w:ascii="宋体" w:hAnsi="宋体" w:eastAsia="宋体" w:cs="宋体"/>
          <w:b/>
          <w:kern w:val="0"/>
          <w:sz w:val="32"/>
          <w:szCs w:val="32"/>
        </w:rPr>
      </w:pPr>
    </w:p>
    <w:p w14:paraId="36FFDBE7">
      <w:pPr>
        <w:jc w:val="center"/>
        <w:rPr>
          <w:rFonts w:hint="eastAsia" w:ascii="宋体" w:hAnsi="宋体" w:eastAsia="宋体" w:cs="宋体"/>
          <w:b/>
          <w:kern w:val="0"/>
          <w:sz w:val="32"/>
          <w:szCs w:val="32"/>
        </w:rPr>
      </w:pPr>
    </w:p>
    <w:p w14:paraId="0BC57A7E">
      <w:pPr>
        <w:jc w:val="center"/>
        <w:rPr>
          <w:rFonts w:hint="eastAsia" w:ascii="宋体" w:hAnsi="宋体" w:eastAsia="宋体" w:cs="宋体"/>
          <w:b/>
          <w:kern w:val="0"/>
          <w:sz w:val="32"/>
          <w:szCs w:val="32"/>
        </w:rPr>
      </w:pPr>
    </w:p>
    <w:p w14:paraId="316D877C">
      <w:pPr>
        <w:jc w:val="center"/>
        <w:rPr>
          <w:rFonts w:hint="eastAsia" w:ascii="宋体" w:hAnsi="宋体" w:eastAsia="宋体" w:cs="宋体"/>
          <w:b/>
          <w:kern w:val="0"/>
          <w:sz w:val="32"/>
          <w:szCs w:val="32"/>
        </w:rPr>
      </w:pPr>
    </w:p>
    <w:p w14:paraId="5D3AC111">
      <w:pPr>
        <w:jc w:val="center"/>
        <w:rPr>
          <w:rFonts w:hint="eastAsia" w:ascii="宋体" w:hAnsi="宋体" w:eastAsia="宋体" w:cs="宋体"/>
          <w:b/>
          <w:kern w:val="0"/>
          <w:sz w:val="32"/>
          <w:szCs w:val="32"/>
        </w:rPr>
      </w:pPr>
    </w:p>
    <w:p w14:paraId="73988103">
      <w:pPr>
        <w:jc w:val="center"/>
        <w:rPr>
          <w:rFonts w:hint="eastAsia" w:ascii="宋体" w:hAnsi="宋体" w:eastAsia="宋体" w:cs="宋体"/>
          <w:b/>
          <w:kern w:val="0"/>
          <w:sz w:val="32"/>
          <w:szCs w:val="32"/>
        </w:rPr>
      </w:pPr>
    </w:p>
    <w:p w14:paraId="3BDA8F7D">
      <w:pPr>
        <w:widowControl/>
        <w:adjustRightInd/>
        <w:jc w:val="left"/>
        <w:rPr>
          <w:rFonts w:hint="eastAsia" w:ascii="宋体" w:hAnsi="宋体" w:eastAsia="宋体" w:cs="宋体"/>
          <w:b/>
          <w:kern w:val="0"/>
          <w:sz w:val="32"/>
          <w:szCs w:val="32"/>
        </w:rPr>
      </w:pPr>
      <w:r>
        <w:rPr>
          <w:rFonts w:hint="eastAsia" w:ascii="宋体" w:hAnsi="宋体" w:eastAsia="宋体" w:cs="宋体"/>
          <w:b/>
          <w:kern w:val="0"/>
          <w:sz w:val="32"/>
          <w:szCs w:val="32"/>
        </w:rPr>
        <w:br w:type="page"/>
      </w:r>
    </w:p>
    <w:p w14:paraId="590EA40E">
      <w:pPr>
        <w:jc w:val="center"/>
        <w:rPr>
          <w:rFonts w:hint="eastAsia" w:ascii="宋体" w:hAnsi="宋体" w:eastAsia="宋体" w:cs="宋体"/>
          <w:b/>
          <w:kern w:val="0"/>
          <w:sz w:val="32"/>
          <w:szCs w:val="32"/>
        </w:rPr>
      </w:pPr>
      <w:r>
        <w:rPr>
          <w:rFonts w:hint="eastAsia" w:ascii="宋体" w:hAnsi="宋体" w:eastAsia="宋体" w:cs="宋体"/>
          <w:b/>
          <w:kern w:val="0"/>
          <w:sz w:val="32"/>
          <w:szCs w:val="32"/>
        </w:rPr>
        <w:t>七、商务技术偏离表</w:t>
      </w:r>
    </w:p>
    <w:tbl>
      <w:tblPr>
        <w:tblStyle w:val="62"/>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50C80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670B3D91">
            <w:pPr>
              <w:jc w:val="center"/>
              <w:rPr>
                <w:rFonts w:hint="eastAsia" w:ascii="宋体" w:hAnsi="宋体" w:eastAsia="宋体" w:cs="宋体"/>
                <w:b/>
                <w:bCs/>
                <w:sz w:val="24"/>
              </w:rPr>
            </w:pPr>
            <w:r>
              <w:rPr>
                <w:rFonts w:hint="eastAsia" w:ascii="宋体" w:hAnsi="宋体" w:eastAsia="宋体" w:cs="宋体"/>
                <w:b/>
                <w:bCs/>
                <w:sz w:val="24"/>
              </w:rPr>
              <w:t>序号</w:t>
            </w:r>
          </w:p>
        </w:tc>
        <w:tc>
          <w:tcPr>
            <w:tcW w:w="3683" w:type="dxa"/>
          </w:tcPr>
          <w:p w14:paraId="08B960B6">
            <w:pPr>
              <w:jc w:val="center"/>
              <w:rPr>
                <w:rFonts w:hint="eastAsia" w:ascii="宋体" w:hAnsi="宋体" w:eastAsia="宋体" w:cs="宋体"/>
                <w:b/>
                <w:bCs/>
                <w:sz w:val="24"/>
              </w:rPr>
            </w:pPr>
            <w:r>
              <w:rPr>
                <w:rFonts w:hint="eastAsia" w:ascii="宋体" w:hAnsi="宋体" w:eastAsia="宋体" w:cs="宋体"/>
                <w:b/>
                <w:bCs/>
                <w:sz w:val="24"/>
              </w:rPr>
              <w:t>招标文件章节及具体内容</w:t>
            </w:r>
          </w:p>
        </w:tc>
        <w:tc>
          <w:tcPr>
            <w:tcW w:w="3546" w:type="dxa"/>
          </w:tcPr>
          <w:p w14:paraId="53C5F84A">
            <w:pPr>
              <w:jc w:val="center"/>
              <w:rPr>
                <w:rFonts w:hint="eastAsia" w:ascii="宋体" w:hAnsi="宋体" w:eastAsia="宋体" w:cs="宋体"/>
                <w:b/>
                <w:bCs/>
                <w:sz w:val="24"/>
              </w:rPr>
            </w:pPr>
            <w:r>
              <w:rPr>
                <w:rFonts w:hint="eastAsia" w:ascii="宋体" w:hAnsi="宋体" w:eastAsia="宋体" w:cs="宋体"/>
                <w:b/>
                <w:bCs/>
                <w:sz w:val="24"/>
              </w:rPr>
              <w:t>投标文件章节及具体内容</w:t>
            </w:r>
          </w:p>
        </w:tc>
        <w:tc>
          <w:tcPr>
            <w:tcW w:w="1276" w:type="dxa"/>
          </w:tcPr>
          <w:p w14:paraId="412673F3">
            <w:pPr>
              <w:jc w:val="center"/>
              <w:rPr>
                <w:rFonts w:hint="eastAsia" w:ascii="宋体" w:hAnsi="宋体" w:eastAsia="宋体" w:cs="宋体"/>
                <w:b/>
                <w:bCs/>
                <w:sz w:val="24"/>
              </w:rPr>
            </w:pPr>
            <w:r>
              <w:rPr>
                <w:rFonts w:hint="eastAsia" w:ascii="宋体" w:hAnsi="宋体" w:eastAsia="宋体" w:cs="宋体"/>
                <w:b/>
                <w:bCs/>
                <w:sz w:val="24"/>
              </w:rPr>
              <w:t>偏差说明</w:t>
            </w:r>
          </w:p>
        </w:tc>
      </w:tr>
      <w:tr w14:paraId="3F6E6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5F7CE0B4">
            <w:pPr>
              <w:jc w:val="center"/>
              <w:rPr>
                <w:rFonts w:hint="eastAsia" w:ascii="宋体" w:hAnsi="宋体" w:eastAsia="宋体" w:cs="宋体"/>
                <w:b/>
                <w:kern w:val="0"/>
                <w:sz w:val="32"/>
                <w:szCs w:val="32"/>
              </w:rPr>
            </w:pPr>
            <w:r>
              <w:rPr>
                <w:rFonts w:hint="eastAsia" w:ascii="宋体" w:hAnsi="宋体" w:eastAsia="宋体" w:cs="宋体"/>
                <w:b/>
                <w:kern w:val="0"/>
                <w:sz w:val="32"/>
                <w:szCs w:val="32"/>
              </w:rPr>
              <w:t>1</w:t>
            </w:r>
          </w:p>
        </w:tc>
        <w:tc>
          <w:tcPr>
            <w:tcW w:w="3683" w:type="dxa"/>
          </w:tcPr>
          <w:p w14:paraId="5317BC62">
            <w:pPr>
              <w:jc w:val="center"/>
              <w:rPr>
                <w:rFonts w:hint="eastAsia" w:ascii="宋体" w:hAnsi="宋体" w:eastAsia="宋体" w:cs="宋体"/>
                <w:b/>
                <w:kern w:val="0"/>
                <w:sz w:val="32"/>
                <w:szCs w:val="32"/>
              </w:rPr>
            </w:pPr>
          </w:p>
        </w:tc>
        <w:tc>
          <w:tcPr>
            <w:tcW w:w="3546" w:type="dxa"/>
          </w:tcPr>
          <w:p w14:paraId="63FC64E2">
            <w:pPr>
              <w:jc w:val="center"/>
              <w:rPr>
                <w:rFonts w:hint="eastAsia" w:ascii="宋体" w:hAnsi="宋体" w:eastAsia="宋体" w:cs="宋体"/>
                <w:b/>
                <w:kern w:val="0"/>
                <w:sz w:val="32"/>
                <w:szCs w:val="32"/>
              </w:rPr>
            </w:pPr>
          </w:p>
        </w:tc>
        <w:tc>
          <w:tcPr>
            <w:tcW w:w="1276" w:type="dxa"/>
          </w:tcPr>
          <w:p w14:paraId="43C86ACC">
            <w:pPr>
              <w:jc w:val="center"/>
              <w:rPr>
                <w:rFonts w:hint="eastAsia" w:ascii="宋体" w:hAnsi="宋体" w:eastAsia="宋体" w:cs="宋体"/>
                <w:b/>
                <w:kern w:val="0"/>
                <w:sz w:val="32"/>
                <w:szCs w:val="32"/>
              </w:rPr>
            </w:pPr>
          </w:p>
        </w:tc>
      </w:tr>
      <w:tr w14:paraId="12B60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3F3FF639">
            <w:pPr>
              <w:jc w:val="center"/>
              <w:rPr>
                <w:rFonts w:hint="eastAsia" w:ascii="宋体" w:hAnsi="宋体" w:eastAsia="宋体" w:cs="宋体"/>
                <w:b/>
                <w:kern w:val="0"/>
                <w:sz w:val="32"/>
                <w:szCs w:val="32"/>
              </w:rPr>
            </w:pPr>
            <w:r>
              <w:rPr>
                <w:rFonts w:hint="eastAsia" w:ascii="宋体" w:hAnsi="宋体" w:eastAsia="宋体" w:cs="宋体"/>
                <w:b/>
                <w:kern w:val="0"/>
                <w:sz w:val="32"/>
                <w:szCs w:val="32"/>
              </w:rPr>
              <w:t>2</w:t>
            </w:r>
          </w:p>
        </w:tc>
        <w:tc>
          <w:tcPr>
            <w:tcW w:w="3683" w:type="dxa"/>
          </w:tcPr>
          <w:p w14:paraId="6F1D42A2">
            <w:pPr>
              <w:jc w:val="center"/>
              <w:rPr>
                <w:rFonts w:hint="eastAsia" w:ascii="宋体" w:hAnsi="宋体" w:eastAsia="宋体" w:cs="宋体"/>
                <w:b/>
                <w:kern w:val="0"/>
                <w:sz w:val="32"/>
                <w:szCs w:val="32"/>
              </w:rPr>
            </w:pPr>
          </w:p>
        </w:tc>
        <w:tc>
          <w:tcPr>
            <w:tcW w:w="3546" w:type="dxa"/>
          </w:tcPr>
          <w:p w14:paraId="1A1FD1A0">
            <w:pPr>
              <w:jc w:val="center"/>
              <w:rPr>
                <w:rFonts w:hint="eastAsia" w:ascii="宋体" w:hAnsi="宋体" w:eastAsia="宋体" w:cs="宋体"/>
                <w:b/>
                <w:kern w:val="0"/>
                <w:sz w:val="32"/>
                <w:szCs w:val="32"/>
              </w:rPr>
            </w:pPr>
          </w:p>
        </w:tc>
        <w:tc>
          <w:tcPr>
            <w:tcW w:w="1276" w:type="dxa"/>
          </w:tcPr>
          <w:p w14:paraId="6F2D08EE">
            <w:pPr>
              <w:jc w:val="center"/>
              <w:rPr>
                <w:rFonts w:hint="eastAsia" w:ascii="宋体" w:hAnsi="宋体" w:eastAsia="宋体" w:cs="宋体"/>
                <w:b/>
                <w:kern w:val="0"/>
                <w:sz w:val="32"/>
                <w:szCs w:val="32"/>
              </w:rPr>
            </w:pPr>
          </w:p>
        </w:tc>
      </w:tr>
      <w:tr w14:paraId="187EE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22EBFC94">
            <w:pPr>
              <w:jc w:val="center"/>
              <w:rPr>
                <w:rFonts w:hint="eastAsia" w:ascii="宋体" w:hAnsi="宋体" w:eastAsia="宋体" w:cs="宋体"/>
                <w:b/>
                <w:kern w:val="0"/>
                <w:sz w:val="32"/>
                <w:szCs w:val="32"/>
              </w:rPr>
            </w:pPr>
            <w:r>
              <w:rPr>
                <w:rFonts w:hint="eastAsia" w:ascii="宋体" w:hAnsi="宋体" w:eastAsia="宋体" w:cs="宋体"/>
                <w:b/>
                <w:kern w:val="0"/>
                <w:sz w:val="32"/>
                <w:szCs w:val="32"/>
              </w:rPr>
              <w:t>……</w:t>
            </w:r>
          </w:p>
        </w:tc>
        <w:tc>
          <w:tcPr>
            <w:tcW w:w="3683" w:type="dxa"/>
          </w:tcPr>
          <w:p w14:paraId="5E0FC002">
            <w:pPr>
              <w:jc w:val="center"/>
              <w:rPr>
                <w:rFonts w:hint="eastAsia" w:ascii="宋体" w:hAnsi="宋体" w:eastAsia="宋体" w:cs="宋体"/>
                <w:b/>
                <w:kern w:val="0"/>
                <w:sz w:val="32"/>
                <w:szCs w:val="32"/>
              </w:rPr>
            </w:pPr>
          </w:p>
        </w:tc>
        <w:tc>
          <w:tcPr>
            <w:tcW w:w="3546" w:type="dxa"/>
          </w:tcPr>
          <w:p w14:paraId="4400F7CE">
            <w:pPr>
              <w:jc w:val="center"/>
              <w:rPr>
                <w:rFonts w:hint="eastAsia" w:ascii="宋体" w:hAnsi="宋体" w:eastAsia="宋体" w:cs="宋体"/>
                <w:b/>
                <w:kern w:val="0"/>
                <w:sz w:val="32"/>
                <w:szCs w:val="32"/>
              </w:rPr>
            </w:pPr>
          </w:p>
        </w:tc>
        <w:tc>
          <w:tcPr>
            <w:tcW w:w="1276" w:type="dxa"/>
          </w:tcPr>
          <w:p w14:paraId="7990DB11">
            <w:pPr>
              <w:jc w:val="center"/>
              <w:rPr>
                <w:rFonts w:hint="eastAsia" w:ascii="宋体" w:hAnsi="宋体" w:eastAsia="宋体" w:cs="宋体"/>
                <w:b/>
                <w:kern w:val="0"/>
                <w:sz w:val="32"/>
                <w:szCs w:val="32"/>
              </w:rPr>
            </w:pPr>
          </w:p>
        </w:tc>
      </w:tr>
    </w:tbl>
    <w:p w14:paraId="76454CA9">
      <w:pPr>
        <w:jc w:val="left"/>
        <w:rPr>
          <w:rFonts w:hint="eastAsia" w:ascii="宋体" w:hAnsi="宋体" w:eastAsia="宋体" w:cs="宋体"/>
          <w:kern w:val="0"/>
          <w:sz w:val="24"/>
        </w:rPr>
      </w:pPr>
      <w:r>
        <w:rPr>
          <w:rFonts w:hint="eastAsia" w:ascii="宋体" w:hAnsi="宋体" w:eastAsia="宋体" w:cs="宋体"/>
          <w:kern w:val="0"/>
          <w:sz w:val="24"/>
        </w:rPr>
        <w:t>投标人保证：除商务技术偏离表列出的偏离外，投标人响应招标文件的全部要求</w:t>
      </w:r>
    </w:p>
    <w:p w14:paraId="78500359">
      <w:pPr>
        <w:jc w:val="center"/>
        <w:rPr>
          <w:rFonts w:hint="eastAsia" w:ascii="宋体" w:hAnsi="宋体" w:eastAsia="宋体" w:cs="宋体"/>
          <w:b/>
          <w:kern w:val="0"/>
          <w:sz w:val="32"/>
          <w:szCs w:val="32"/>
        </w:rPr>
      </w:pPr>
    </w:p>
    <w:p w14:paraId="76274BA3">
      <w:pPr>
        <w:jc w:val="center"/>
        <w:rPr>
          <w:rFonts w:hint="eastAsia" w:ascii="宋体" w:hAnsi="宋体" w:eastAsia="宋体" w:cs="宋体"/>
          <w:b/>
          <w:kern w:val="0"/>
          <w:sz w:val="32"/>
          <w:szCs w:val="32"/>
        </w:rPr>
      </w:pPr>
    </w:p>
    <w:p w14:paraId="3A7E2AC1">
      <w:pPr>
        <w:jc w:val="center"/>
        <w:rPr>
          <w:rFonts w:hint="eastAsia" w:ascii="宋体" w:hAnsi="宋体" w:eastAsia="宋体" w:cs="宋体"/>
          <w:b/>
          <w:kern w:val="0"/>
          <w:sz w:val="32"/>
          <w:szCs w:val="32"/>
        </w:rPr>
      </w:pPr>
    </w:p>
    <w:p w14:paraId="7B339A87">
      <w:pPr>
        <w:jc w:val="center"/>
        <w:rPr>
          <w:rFonts w:hint="eastAsia" w:ascii="宋体" w:hAnsi="宋体" w:eastAsia="宋体" w:cs="宋体"/>
          <w:b/>
          <w:kern w:val="0"/>
          <w:sz w:val="32"/>
          <w:szCs w:val="32"/>
        </w:rPr>
      </w:pPr>
    </w:p>
    <w:p w14:paraId="46738D40">
      <w:pPr>
        <w:jc w:val="center"/>
        <w:rPr>
          <w:rFonts w:hint="eastAsia" w:ascii="宋体" w:hAnsi="宋体" w:eastAsia="宋体" w:cs="宋体"/>
          <w:b/>
          <w:kern w:val="0"/>
          <w:sz w:val="32"/>
          <w:szCs w:val="32"/>
        </w:rPr>
      </w:pPr>
    </w:p>
    <w:p w14:paraId="6D42D810">
      <w:pPr>
        <w:jc w:val="center"/>
        <w:rPr>
          <w:rFonts w:hint="eastAsia" w:ascii="宋体" w:hAnsi="宋体" w:eastAsia="宋体" w:cs="宋体"/>
          <w:b/>
          <w:kern w:val="0"/>
          <w:sz w:val="32"/>
          <w:szCs w:val="32"/>
        </w:rPr>
      </w:pPr>
    </w:p>
    <w:p w14:paraId="4910EEDD">
      <w:pPr>
        <w:jc w:val="center"/>
        <w:rPr>
          <w:rFonts w:hint="eastAsia" w:ascii="宋体" w:hAnsi="宋体" w:eastAsia="宋体" w:cs="宋体"/>
          <w:b/>
          <w:kern w:val="0"/>
          <w:sz w:val="32"/>
          <w:szCs w:val="32"/>
        </w:rPr>
      </w:pPr>
    </w:p>
    <w:p w14:paraId="230E6A5F">
      <w:pPr>
        <w:jc w:val="center"/>
        <w:rPr>
          <w:rFonts w:hint="eastAsia" w:ascii="宋体" w:hAnsi="宋体" w:eastAsia="宋体" w:cs="宋体"/>
          <w:b/>
          <w:kern w:val="0"/>
          <w:sz w:val="32"/>
          <w:szCs w:val="32"/>
        </w:rPr>
      </w:pPr>
    </w:p>
    <w:p w14:paraId="756E7468">
      <w:pPr>
        <w:jc w:val="center"/>
        <w:rPr>
          <w:rFonts w:hint="eastAsia" w:ascii="宋体" w:hAnsi="宋体" w:eastAsia="宋体" w:cs="宋体"/>
          <w:b/>
          <w:kern w:val="0"/>
          <w:sz w:val="32"/>
          <w:szCs w:val="32"/>
        </w:rPr>
      </w:pPr>
    </w:p>
    <w:p w14:paraId="5A80794B">
      <w:pPr>
        <w:jc w:val="center"/>
        <w:rPr>
          <w:rFonts w:hint="eastAsia" w:ascii="宋体" w:hAnsi="宋体" w:eastAsia="宋体" w:cs="宋体"/>
          <w:b/>
          <w:kern w:val="0"/>
          <w:sz w:val="32"/>
          <w:szCs w:val="32"/>
        </w:rPr>
      </w:pPr>
    </w:p>
    <w:p w14:paraId="7E1D11A4">
      <w:pPr>
        <w:jc w:val="center"/>
        <w:rPr>
          <w:rFonts w:hint="eastAsia" w:ascii="宋体" w:hAnsi="宋体" w:eastAsia="宋体" w:cs="宋体"/>
          <w:b/>
          <w:kern w:val="0"/>
          <w:sz w:val="32"/>
          <w:szCs w:val="32"/>
        </w:rPr>
      </w:pPr>
    </w:p>
    <w:p w14:paraId="4887C21D">
      <w:pPr>
        <w:jc w:val="center"/>
        <w:rPr>
          <w:rFonts w:hint="eastAsia" w:ascii="宋体" w:hAnsi="宋体" w:eastAsia="宋体" w:cs="宋体"/>
          <w:b/>
          <w:kern w:val="0"/>
          <w:sz w:val="32"/>
          <w:szCs w:val="32"/>
        </w:rPr>
      </w:pPr>
    </w:p>
    <w:p w14:paraId="6D9D82CD">
      <w:pPr>
        <w:ind w:firstLine="2891" w:firstLineChars="900"/>
        <w:rPr>
          <w:rFonts w:hint="eastAsia" w:ascii="宋体" w:hAnsi="宋体" w:eastAsia="宋体" w:cs="宋体"/>
          <w:b/>
          <w:bCs/>
          <w:sz w:val="32"/>
          <w:szCs w:val="32"/>
        </w:rPr>
      </w:pPr>
    </w:p>
    <w:p w14:paraId="03A789C0">
      <w:pPr>
        <w:ind w:firstLine="2891" w:firstLineChars="900"/>
        <w:rPr>
          <w:rFonts w:hint="eastAsia" w:ascii="宋体" w:hAnsi="宋体" w:eastAsia="宋体" w:cs="宋体"/>
          <w:b/>
          <w:bCs/>
          <w:sz w:val="32"/>
          <w:szCs w:val="32"/>
        </w:rPr>
      </w:pPr>
    </w:p>
    <w:p w14:paraId="43B30B86">
      <w:pPr>
        <w:ind w:firstLine="2891" w:firstLineChars="900"/>
        <w:rPr>
          <w:rFonts w:hint="eastAsia" w:ascii="宋体" w:hAnsi="宋体" w:eastAsia="宋体" w:cs="宋体"/>
          <w:b/>
          <w:bCs/>
          <w:sz w:val="32"/>
          <w:szCs w:val="32"/>
        </w:rPr>
      </w:pPr>
    </w:p>
    <w:p w14:paraId="151E6BD0">
      <w:pPr>
        <w:ind w:firstLine="2891" w:firstLineChars="900"/>
        <w:rPr>
          <w:rFonts w:hint="eastAsia" w:ascii="宋体" w:hAnsi="宋体" w:eastAsia="宋体" w:cs="宋体"/>
          <w:b/>
          <w:bCs/>
          <w:sz w:val="32"/>
          <w:szCs w:val="32"/>
        </w:rPr>
      </w:pPr>
    </w:p>
    <w:p w14:paraId="0F33EF7F">
      <w:pPr>
        <w:ind w:firstLine="2891" w:firstLineChars="900"/>
        <w:rPr>
          <w:rFonts w:hint="eastAsia" w:ascii="宋体" w:hAnsi="宋体" w:eastAsia="宋体" w:cs="宋体"/>
          <w:b/>
          <w:bCs/>
          <w:sz w:val="32"/>
          <w:szCs w:val="32"/>
        </w:rPr>
      </w:pPr>
    </w:p>
    <w:p w14:paraId="7C5B4DE1">
      <w:pPr>
        <w:ind w:firstLine="2891" w:firstLineChars="900"/>
        <w:rPr>
          <w:rFonts w:hint="eastAsia" w:ascii="宋体" w:hAnsi="宋体" w:eastAsia="宋体" w:cs="宋体"/>
          <w:b/>
          <w:bCs/>
          <w:sz w:val="32"/>
          <w:szCs w:val="32"/>
        </w:rPr>
      </w:pPr>
    </w:p>
    <w:p w14:paraId="3CA5D289">
      <w:pPr>
        <w:widowControl/>
        <w:adjustRightInd/>
        <w:jc w:val="left"/>
        <w:rPr>
          <w:rFonts w:hint="eastAsia" w:ascii="宋体" w:hAnsi="宋体" w:eastAsia="宋体" w:cs="宋体"/>
          <w:b/>
          <w:kern w:val="0"/>
          <w:sz w:val="32"/>
          <w:szCs w:val="32"/>
        </w:rPr>
      </w:pPr>
      <w:r>
        <w:rPr>
          <w:rFonts w:hint="eastAsia" w:ascii="宋体" w:hAnsi="宋体" w:eastAsia="宋体" w:cs="宋体"/>
          <w:b/>
          <w:kern w:val="0"/>
          <w:sz w:val="32"/>
          <w:szCs w:val="32"/>
        </w:rPr>
        <w:br w:type="page"/>
      </w:r>
    </w:p>
    <w:p w14:paraId="5E5139E8">
      <w:pPr>
        <w:jc w:val="center"/>
        <w:rPr>
          <w:rFonts w:hint="eastAsia" w:ascii="宋体" w:hAnsi="宋体" w:eastAsia="宋体" w:cs="宋体"/>
          <w:b/>
          <w:kern w:val="0"/>
          <w:sz w:val="32"/>
          <w:szCs w:val="32"/>
        </w:rPr>
      </w:pPr>
      <w:r>
        <w:rPr>
          <w:rFonts w:hint="eastAsia" w:ascii="宋体" w:hAnsi="宋体" w:eastAsia="宋体" w:cs="宋体"/>
          <w:b/>
          <w:kern w:val="0"/>
          <w:sz w:val="32"/>
          <w:szCs w:val="32"/>
        </w:rPr>
        <w:t>八、</w:t>
      </w:r>
      <w:r>
        <w:rPr>
          <w:rFonts w:hint="eastAsia" w:ascii="宋体" w:hAnsi="宋体" w:eastAsia="宋体" w:cs="宋体"/>
          <w:b/>
          <w:kern w:val="0"/>
          <w:sz w:val="32"/>
          <w:szCs w:val="32"/>
          <w:lang w:val="zh-CN"/>
        </w:rPr>
        <w:t>采购供应商廉洁自律承诺书</w:t>
      </w:r>
    </w:p>
    <w:p w14:paraId="76E35BF8">
      <w:pPr>
        <w:snapToGrid w:val="0"/>
        <w:spacing w:line="360" w:lineRule="auto"/>
        <w:rPr>
          <w:rFonts w:hint="eastAsia" w:ascii="宋体" w:hAnsi="宋体" w:eastAsia="宋体" w:cs="宋体"/>
          <w:sz w:val="24"/>
        </w:rPr>
      </w:pPr>
    </w:p>
    <w:p w14:paraId="0F1AEC5B">
      <w:pPr>
        <w:snapToGrid w:val="0"/>
        <w:spacing w:line="360" w:lineRule="auto"/>
        <w:rPr>
          <w:rFonts w:hint="eastAsia" w:ascii="宋体" w:hAnsi="宋体" w:eastAsia="宋体" w:cs="宋体"/>
          <w:kern w:val="0"/>
          <w:sz w:val="24"/>
        </w:rPr>
      </w:pPr>
      <w:r>
        <w:rPr>
          <w:rFonts w:hint="eastAsia" w:ascii="宋体" w:hAnsi="宋体" w:eastAsia="宋体" w:cs="宋体"/>
          <w:sz w:val="24"/>
        </w:rPr>
        <w:t>（采购人名称）、（采购代理机构名称）</w:t>
      </w:r>
      <w:r>
        <w:rPr>
          <w:rFonts w:hint="eastAsia" w:ascii="宋体" w:hAnsi="宋体" w:eastAsia="宋体" w:cs="宋体"/>
          <w:kern w:val="0"/>
          <w:sz w:val="24"/>
          <w:lang w:val="zh-CN"/>
        </w:rPr>
        <w:t>：</w:t>
      </w:r>
    </w:p>
    <w:p w14:paraId="0256AC56">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我单位响应你</w:t>
      </w:r>
      <w:r>
        <w:rPr>
          <w:rFonts w:hint="eastAsia" w:ascii="宋体" w:hAnsi="宋体" w:eastAsia="宋体" w:cs="宋体"/>
          <w:sz w:val="24"/>
        </w:rPr>
        <w:t>单位</w:t>
      </w:r>
      <w:r>
        <w:rPr>
          <w:rFonts w:hint="eastAsia" w:ascii="宋体" w:hAnsi="宋体" w:eastAsia="宋体" w:cs="宋体"/>
          <w:kern w:val="0"/>
          <w:sz w:val="24"/>
          <w:lang w:val="zh-CN"/>
        </w:rPr>
        <w:t>项目招标要求参加投标。在这次投标过程中和中标后，我们将严格遵守国家法律法规要求，并郑重承诺：</w:t>
      </w:r>
    </w:p>
    <w:p w14:paraId="14735094">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一、不向项目有关人员及部门赠送礼金礼物、有价证券、回扣以及中介费、介绍费、咨询费等好处费； </w:t>
      </w:r>
    </w:p>
    <w:p w14:paraId="3ACDC8D6">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二、不为项目有关人员及部门报销应由你方单位或个人支付的费用； </w:t>
      </w:r>
    </w:p>
    <w:p w14:paraId="68FBA698">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三、不向项目有关人员及部门提供有可能影响公正的宴请和健身娱乐等活动； </w:t>
      </w:r>
    </w:p>
    <w:p w14:paraId="09D341B1">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四、不为项目有关人员及部门出国（境）、旅游等提供方便；</w:t>
      </w:r>
    </w:p>
    <w:p w14:paraId="78DE9635">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五、不为项目有关人员个人装修住房、婚丧嫁娶、配偶子女工作安排等提供</w:t>
      </w:r>
    </w:p>
    <w:p w14:paraId="164B5ABF">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好处；</w:t>
      </w:r>
    </w:p>
    <w:p w14:paraId="13722D79">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六、严格遵守《</w:t>
      </w:r>
      <w:r>
        <w:rPr>
          <w:rFonts w:hint="eastAsia" w:ascii="宋体" w:hAnsi="宋体" w:eastAsia="宋体" w:cs="宋体"/>
          <w:sz w:val="24"/>
          <w:lang w:val="zh-CN"/>
        </w:rPr>
        <w:t>中华人民共和国</w:t>
      </w:r>
      <w:r>
        <w:rPr>
          <w:rFonts w:hint="eastAsia" w:ascii="宋体" w:hAnsi="宋体" w:eastAsia="宋体" w:cs="宋体"/>
          <w:kern w:val="0"/>
          <w:sz w:val="24"/>
          <w:lang w:val="zh-CN"/>
        </w:rPr>
        <w:t>政府采购法》《</w:t>
      </w:r>
      <w:r>
        <w:rPr>
          <w:rFonts w:hint="eastAsia" w:ascii="宋体" w:hAnsi="宋体" w:eastAsia="宋体" w:cs="宋体"/>
          <w:sz w:val="24"/>
          <w:lang w:val="zh-CN"/>
        </w:rPr>
        <w:t>中华人民共和国</w:t>
      </w:r>
      <w:r>
        <w:rPr>
          <w:rFonts w:hint="eastAsia" w:ascii="宋体" w:hAnsi="宋体" w:eastAsia="宋体" w:cs="宋体"/>
          <w:kern w:val="0"/>
          <w:sz w:val="24"/>
          <w:lang w:val="zh-CN"/>
        </w:rPr>
        <w:t>招标投标</w:t>
      </w:r>
    </w:p>
    <w:p w14:paraId="2DDD3719">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法》</w:t>
      </w:r>
      <w:r>
        <w:rPr>
          <w:rFonts w:hint="eastAsia" w:ascii="宋体" w:hAnsi="宋体" w:eastAsia="宋体" w:cs="宋体"/>
          <w:sz w:val="24"/>
          <w:lang w:val="zh-CN"/>
        </w:rPr>
        <w:t>《中华人民共和国民法典》</w:t>
      </w:r>
      <w:r>
        <w:rPr>
          <w:rFonts w:hint="eastAsia" w:ascii="宋体" w:hAnsi="宋体" w:eastAsia="宋体" w:cs="宋体"/>
          <w:kern w:val="0"/>
          <w:sz w:val="24"/>
          <w:lang w:val="zh-CN"/>
        </w:rPr>
        <w:t xml:space="preserve">等法律法规，诚实守信，合法经营，坚决抵制各种违法违纪行为。 </w:t>
      </w:r>
    </w:p>
    <w:p w14:paraId="5C22D085">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如违反上述承诺，你</w:t>
      </w:r>
      <w:r>
        <w:rPr>
          <w:rFonts w:hint="eastAsia" w:ascii="宋体" w:hAnsi="宋体" w:eastAsia="宋体" w:cs="宋体"/>
          <w:sz w:val="24"/>
        </w:rPr>
        <w:t>单位</w:t>
      </w:r>
      <w:r>
        <w:rPr>
          <w:rFonts w:hint="eastAsia" w:ascii="宋体" w:hAnsi="宋体" w:eastAsia="宋体" w:cs="宋体"/>
          <w:kern w:val="0"/>
          <w:sz w:val="24"/>
          <w:lang w:val="zh-CN"/>
        </w:rPr>
        <w:t>有权立即取消我单位投标、中标或在建项目的建设资格，有权拒绝我单位在一定时期内进入你</w:t>
      </w:r>
      <w:r>
        <w:rPr>
          <w:rFonts w:hint="eastAsia" w:ascii="宋体" w:hAnsi="宋体" w:eastAsia="宋体" w:cs="宋体"/>
          <w:sz w:val="24"/>
        </w:rPr>
        <w:t>单位</w:t>
      </w:r>
      <w:r>
        <w:rPr>
          <w:rFonts w:hint="eastAsia" w:ascii="宋体" w:hAnsi="宋体" w:eastAsia="宋体" w:cs="宋体"/>
          <w:kern w:val="0"/>
          <w:sz w:val="24"/>
          <w:lang w:val="zh-CN"/>
        </w:rPr>
        <w:t>进行项目建设或其他经营活动，并通报市财政局。由此引起的相应损失均由我单位承担。</w:t>
      </w:r>
    </w:p>
    <w:p w14:paraId="7DFEF612">
      <w:pPr>
        <w:autoSpaceDE w:val="0"/>
        <w:autoSpaceDN w:val="0"/>
        <w:spacing w:line="360" w:lineRule="auto"/>
        <w:ind w:left="2"/>
        <w:jc w:val="left"/>
        <w:rPr>
          <w:rFonts w:hint="eastAsia" w:ascii="宋体" w:hAnsi="宋体" w:eastAsia="宋体" w:cs="宋体"/>
          <w:kern w:val="0"/>
          <w:sz w:val="24"/>
          <w:lang w:val="zh-CN"/>
        </w:rPr>
      </w:pPr>
    </w:p>
    <w:p w14:paraId="447DC8CB">
      <w:pPr>
        <w:autoSpaceDE w:val="0"/>
        <w:autoSpaceDN w:val="0"/>
        <w:spacing w:line="360" w:lineRule="auto"/>
        <w:ind w:left="2"/>
        <w:jc w:val="left"/>
        <w:rPr>
          <w:rFonts w:hint="eastAsia" w:ascii="宋体" w:hAnsi="宋体" w:eastAsia="宋体" w:cs="宋体"/>
          <w:kern w:val="0"/>
          <w:sz w:val="24"/>
          <w:lang w:val="zh-CN"/>
        </w:rPr>
      </w:pPr>
    </w:p>
    <w:p w14:paraId="2ABA98F4">
      <w:pPr>
        <w:autoSpaceDE w:val="0"/>
        <w:autoSpaceDN w:val="0"/>
        <w:spacing w:line="360" w:lineRule="auto"/>
        <w:ind w:left="2"/>
        <w:jc w:val="left"/>
        <w:rPr>
          <w:rFonts w:hint="eastAsia" w:ascii="宋体" w:hAnsi="宋体" w:eastAsia="宋体" w:cs="宋体"/>
          <w:kern w:val="0"/>
          <w:sz w:val="24"/>
          <w:lang w:val="zh-CN"/>
        </w:rPr>
      </w:pPr>
    </w:p>
    <w:p w14:paraId="728C8C3A">
      <w:pPr>
        <w:autoSpaceDE w:val="0"/>
        <w:autoSpaceDN w:val="0"/>
        <w:spacing w:line="360" w:lineRule="auto"/>
        <w:ind w:left="2" w:leftChars="1" w:right="1120" w:firstLine="4560" w:firstLineChars="1900"/>
        <w:jc w:val="left"/>
        <w:rPr>
          <w:rFonts w:hint="eastAsia" w:ascii="宋体" w:hAnsi="宋体" w:eastAsia="宋体" w:cs="宋体"/>
          <w:kern w:val="0"/>
          <w:sz w:val="24"/>
          <w:lang w:val="zh-CN"/>
        </w:rPr>
      </w:pPr>
      <w:r>
        <w:rPr>
          <w:rFonts w:hint="eastAsia" w:ascii="宋体" w:hAnsi="宋体" w:eastAsia="宋体" w:cs="宋体"/>
          <w:kern w:val="0"/>
          <w:sz w:val="24"/>
          <w:lang w:val="zh-CN"/>
        </w:rPr>
        <w:t>投标人名称（</w:t>
      </w:r>
      <w:r>
        <w:rPr>
          <w:rFonts w:hint="eastAsia" w:ascii="宋体" w:hAnsi="宋体" w:eastAsia="宋体" w:cs="宋体"/>
          <w:sz w:val="24"/>
        </w:rPr>
        <w:t>公章</w:t>
      </w:r>
      <w:r>
        <w:rPr>
          <w:rFonts w:hint="eastAsia" w:ascii="宋体" w:hAnsi="宋体" w:eastAsia="宋体" w:cs="宋体"/>
          <w:kern w:val="0"/>
          <w:sz w:val="24"/>
          <w:lang w:val="zh-CN"/>
        </w:rPr>
        <w:t xml:space="preserve">）：                                                                                                                                                                                                               </w:t>
      </w:r>
    </w:p>
    <w:p w14:paraId="73629DC3">
      <w:pPr>
        <w:spacing w:line="360" w:lineRule="auto"/>
        <w:ind w:left="4620" w:leftChars="2200"/>
        <w:rPr>
          <w:rFonts w:hint="eastAsia" w:ascii="宋体" w:hAnsi="宋体" w:eastAsia="宋体" w:cs="宋体"/>
          <w:kern w:val="0"/>
          <w:sz w:val="24"/>
          <w:lang w:val="zh-CN"/>
        </w:rPr>
      </w:pPr>
      <w:r>
        <w:rPr>
          <w:rFonts w:hint="eastAsia" w:ascii="宋体" w:hAnsi="宋体" w:eastAsia="宋体" w:cs="宋体"/>
          <w:kern w:val="0"/>
          <w:sz w:val="24"/>
          <w:lang w:val="zh-CN"/>
        </w:rPr>
        <w:t>日期</w:t>
      </w:r>
      <w:r>
        <w:rPr>
          <w:rFonts w:hint="eastAsia" w:ascii="宋体" w:hAnsi="宋体" w:eastAsia="宋体" w:cs="宋体"/>
          <w:kern w:val="0"/>
          <w:sz w:val="24"/>
        </w:rPr>
        <w:t>：</w:t>
      </w:r>
      <w:r>
        <w:rPr>
          <w:rFonts w:hint="eastAsia" w:ascii="宋体" w:hAnsi="宋体" w:eastAsia="宋体" w:cs="宋体"/>
          <w:kern w:val="0"/>
          <w:sz w:val="24"/>
          <w:lang w:val="zh-CN"/>
        </w:rPr>
        <w:t xml:space="preserve">   年   月   日</w:t>
      </w:r>
    </w:p>
    <w:p w14:paraId="40364E96">
      <w:pPr>
        <w:pStyle w:val="23"/>
        <w:rPr>
          <w:rFonts w:hint="eastAsia" w:ascii="宋体" w:hAnsi="宋体" w:eastAsia="宋体" w:cs="宋体"/>
          <w:kern w:val="0"/>
        </w:rPr>
      </w:pPr>
    </w:p>
    <w:p w14:paraId="6F9516A4">
      <w:pPr>
        <w:pStyle w:val="23"/>
        <w:rPr>
          <w:rFonts w:hint="eastAsia" w:ascii="宋体" w:hAnsi="宋体" w:eastAsia="宋体" w:cs="宋体"/>
          <w:kern w:val="0"/>
        </w:rPr>
      </w:pPr>
    </w:p>
    <w:p w14:paraId="0D1D8EE2">
      <w:pPr>
        <w:pStyle w:val="23"/>
        <w:rPr>
          <w:rFonts w:hint="eastAsia" w:ascii="宋体" w:hAnsi="宋体" w:eastAsia="宋体" w:cs="宋体"/>
          <w:kern w:val="0"/>
        </w:rPr>
      </w:pPr>
    </w:p>
    <w:p w14:paraId="12FF5F2B">
      <w:pPr>
        <w:pStyle w:val="23"/>
        <w:rPr>
          <w:rFonts w:hint="eastAsia" w:ascii="宋体" w:hAnsi="宋体" w:eastAsia="宋体" w:cs="宋体"/>
          <w:kern w:val="0"/>
        </w:rPr>
      </w:pPr>
    </w:p>
    <w:p w14:paraId="1030F60A">
      <w:pPr>
        <w:pStyle w:val="23"/>
        <w:rPr>
          <w:rFonts w:hint="eastAsia" w:ascii="宋体" w:hAnsi="宋体" w:eastAsia="宋体" w:cs="宋体"/>
          <w:kern w:val="0"/>
        </w:rPr>
      </w:pPr>
    </w:p>
    <w:p w14:paraId="2970FE8F">
      <w:pPr>
        <w:pStyle w:val="23"/>
        <w:rPr>
          <w:rFonts w:hint="eastAsia" w:ascii="宋体" w:hAnsi="宋体" w:eastAsia="宋体" w:cs="宋体"/>
          <w:kern w:val="0"/>
        </w:rPr>
      </w:pPr>
    </w:p>
    <w:p w14:paraId="4D0235FE">
      <w:pPr>
        <w:pStyle w:val="23"/>
        <w:rPr>
          <w:rFonts w:hint="eastAsia" w:ascii="宋体" w:hAnsi="宋体" w:eastAsia="宋体" w:cs="宋体"/>
          <w:kern w:val="0"/>
        </w:rPr>
      </w:pPr>
    </w:p>
    <w:p w14:paraId="7452B11C">
      <w:pPr>
        <w:pStyle w:val="23"/>
        <w:rPr>
          <w:rFonts w:hint="eastAsia" w:ascii="宋体" w:hAnsi="宋体" w:eastAsia="宋体" w:cs="宋体"/>
          <w:kern w:val="0"/>
        </w:rPr>
      </w:pPr>
    </w:p>
    <w:p w14:paraId="2F3D67B8">
      <w:pPr>
        <w:snapToGrid w:val="0"/>
        <w:spacing w:line="360" w:lineRule="auto"/>
        <w:ind w:right="480"/>
        <w:jc w:val="center"/>
        <w:outlineLvl w:val="2"/>
        <w:rPr>
          <w:rFonts w:hint="eastAsia" w:ascii="宋体" w:hAnsi="宋体" w:eastAsia="宋体" w:cs="宋体"/>
          <w:b/>
          <w:kern w:val="0"/>
          <w:sz w:val="32"/>
          <w:szCs w:val="32"/>
        </w:rPr>
      </w:pPr>
      <w:r>
        <w:rPr>
          <w:rFonts w:hint="eastAsia" w:ascii="宋体" w:hAnsi="宋体" w:eastAsia="宋体" w:cs="宋体"/>
          <w:b/>
          <w:kern w:val="0"/>
          <w:sz w:val="32"/>
          <w:szCs w:val="32"/>
          <w:lang w:val="zh-CN"/>
        </w:rPr>
        <w:t>九、声明书</w:t>
      </w:r>
    </w:p>
    <w:p w14:paraId="45D946AC">
      <w:pPr>
        <w:spacing w:line="360" w:lineRule="auto"/>
        <w:rPr>
          <w:rFonts w:hint="eastAsia" w:ascii="宋体" w:hAnsi="宋体" w:eastAsia="宋体" w:cs="宋体"/>
          <w:sz w:val="24"/>
        </w:rPr>
      </w:pPr>
      <w:r>
        <w:rPr>
          <w:rFonts w:hint="eastAsia" w:ascii="宋体" w:hAnsi="宋体" w:eastAsia="宋体" w:cs="宋体"/>
          <w:sz w:val="24"/>
          <w:u w:val="single"/>
        </w:rPr>
        <w:t>（招标人名称）</w:t>
      </w:r>
      <w:r>
        <w:rPr>
          <w:rFonts w:hint="eastAsia" w:ascii="宋体" w:hAnsi="宋体" w:eastAsia="宋体" w:cs="宋体"/>
          <w:kern w:val="0"/>
          <w:sz w:val="24"/>
          <w:lang w:val="zh-CN"/>
        </w:rPr>
        <w:t>：</w:t>
      </w:r>
    </w:p>
    <w:p w14:paraId="554A85A4">
      <w:pPr>
        <w:widowControl/>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我方</w:t>
      </w:r>
      <w:r>
        <w:rPr>
          <w:rFonts w:hint="eastAsia" w:ascii="宋体" w:hAnsi="宋体" w:eastAsia="宋体" w:cs="宋体"/>
          <w:kern w:val="0"/>
          <w:sz w:val="24"/>
          <w:u w:val="single"/>
        </w:rPr>
        <w:t xml:space="preserve"> （供应商） </w:t>
      </w:r>
      <w:r>
        <w:rPr>
          <w:rFonts w:hint="eastAsia" w:ascii="宋体" w:hAnsi="宋体" w:eastAsia="宋体" w:cs="宋体"/>
          <w:kern w:val="0"/>
          <w:sz w:val="24"/>
        </w:rPr>
        <w:t>在参加本次招标活动前三年内，具有良好的商业信誉，依法缴纳税收和社会保障资金，未被列入失信被执行人名单、重大税收违法案件当事人名单、政府招标严重违法失信行为记录名单，在经营活动中没有重大违法记录（没有因违法经营受到刑事处罚，没有被责令停产停业、被吊销许可证或者执照、被处以较大数额罚款等行政处罚，没有因违法经营被禁止参加招标活动的期限未满情形）。如有虚假，交易发起人可取消我方任何资格（交易/成交/签订合同），我方对此无任何异议。</w:t>
      </w:r>
    </w:p>
    <w:p w14:paraId="4D58049C">
      <w:pPr>
        <w:widowControl/>
        <w:snapToGrid w:val="0"/>
        <w:spacing w:line="360" w:lineRule="auto"/>
        <w:ind w:firstLine="480" w:firstLineChars="200"/>
        <w:jc w:val="left"/>
        <w:rPr>
          <w:rFonts w:hint="eastAsia" w:ascii="宋体" w:hAnsi="宋体" w:eastAsia="宋体" w:cs="宋体"/>
          <w:kern w:val="0"/>
          <w:sz w:val="24"/>
        </w:rPr>
      </w:pPr>
    </w:p>
    <w:p w14:paraId="45A9F808">
      <w:pPr>
        <w:widowControl/>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特此声明！</w:t>
      </w:r>
    </w:p>
    <w:p w14:paraId="0B37FD74">
      <w:pPr>
        <w:snapToGrid w:val="0"/>
        <w:spacing w:line="360" w:lineRule="auto"/>
        <w:rPr>
          <w:rFonts w:hint="eastAsia" w:ascii="宋体" w:hAnsi="宋体" w:eastAsia="宋体" w:cs="宋体"/>
          <w:kern w:val="0"/>
          <w:sz w:val="24"/>
        </w:rPr>
      </w:pPr>
    </w:p>
    <w:p w14:paraId="19823FB7">
      <w:pPr>
        <w:snapToGrid w:val="0"/>
        <w:spacing w:line="360" w:lineRule="auto"/>
        <w:rPr>
          <w:rFonts w:hint="eastAsia" w:ascii="宋体" w:hAnsi="宋体" w:eastAsia="宋体" w:cs="宋体"/>
          <w:kern w:val="0"/>
          <w:sz w:val="24"/>
        </w:rPr>
      </w:pPr>
    </w:p>
    <w:p w14:paraId="35BB4124">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供应商</w:t>
      </w:r>
      <w:r>
        <w:rPr>
          <w:rFonts w:hint="eastAsia" w:ascii="宋体" w:hAnsi="宋体" w:eastAsia="宋体" w:cs="宋体"/>
          <w:kern w:val="0"/>
          <w:sz w:val="24"/>
          <w:lang w:val="zh-CN"/>
        </w:rPr>
        <w:t>名称（公章）：</w:t>
      </w:r>
    </w:p>
    <w:p w14:paraId="77232F64">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授权代表人（签字）：</w:t>
      </w:r>
    </w:p>
    <w:p w14:paraId="5272E6F8">
      <w:pPr>
        <w:snapToGrid w:val="0"/>
        <w:spacing w:line="360" w:lineRule="auto"/>
        <w:ind w:firstLine="5160" w:firstLineChars="2150"/>
        <w:rPr>
          <w:rFonts w:hint="eastAsia" w:ascii="宋体" w:hAnsi="宋体" w:eastAsia="宋体" w:cs="宋体"/>
          <w:kern w:val="0"/>
          <w:sz w:val="24"/>
          <w:lang w:val="zh-CN"/>
        </w:rPr>
      </w:pPr>
      <w:r>
        <w:rPr>
          <w:rFonts w:hint="eastAsia" w:ascii="宋体" w:hAnsi="宋体" w:eastAsia="宋体" w:cs="宋体"/>
          <w:kern w:val="0"/>
          <w:sz w:val="24"/>
          <w:lang w:val="zh-CN"/>
        </w:rPr>
        <w:t>日期</w:t>
      </w:r>
      <w:r>
        <w:rPr>
          <w:rFonts w:hint="eastAsia" w:ascii="宋体" w:hAnsi="宋体" w:eastAsia="宋体" w:cs="宋体"/>
          <w:kern w:val="0"/>
          <w:sz w:val="24"/>
        </w:rPr>
        <w:t>：</w:t>
      </w:r>
      <w:r>
        <w:rPr>
          <w:rFonts w:hint="eastAsia" w:ascii="宋体" w:hAnsi="宋体" w:eastAsia="宋体" w:cs="宋体"/>
          <w:kern w:val="0"/>
          <w:sz w:val="24"/>
          <w:lang w:val="zh-CN"/>
        </w:rPr>
        <w:t>年月日</w:t>
      </w:r>
    </w:p>
    <w:p w14:paraId="094A8D6C">
      <w:pPr>
        <w:autoSpaceDE w:val="0"/>
        <w:autoSpaceDN w:val="0"/>
        <w:spacing w:line="360" w:lineRule="auto"/>
        <w:rPr>
          <w:rFonts w:hint="eastAsia" w:ascii="宋体" w:hAnsi="宋体" w:eastAsia="宋体" w:cs="宋体"/>
          <w:kern w:val="0"/>
          <w:sz w:val="24"/>
          <w:lang w:val="zh-CN"/>
        </w:rPr>
      </w:pPr>
    </w:p>
    <w:p w14:paraId="07FBA08A">
      <w:pPr>
        <w:spacing w:line="360" w:lineRule="auto"/>
        <w:jc w:val="center"/>
        <w:outlineLvl w:val="2"/>
        <w:rPr>
          <w:rFonts w:hint="eastAsia" w:ascii="宋体" w:hAnsi="宋体" w:eastAsia="宋体" w:cs="宋体"/>
          <w:b/>
          <w:bCs/>
          <w:sz w:val="30"/>
          <w:szCs w:val="30"/>
          <w:lang w:val="zh-CN"/>
        </w:rPr>
      </w:pPr>
    </w:p>
    <w:p w14:paraId="7CADFCF1">
      <w:pPr>
        <w:spacing w:line="360" w:lineRule="auto"/>
        <w:jc w:val="center"/>
        <w:outlineLvl w:val="2"/>
        <w:rPr>
          <w:rFonts w:hint="eastAsia" w:ascii="宋体" w:hAnsi="宋体" w:eastAsia="宋体" w:cs="宋体"/>
          <w:b/>
          <w:bCs/>
          <w:sz w:val="30"/>
          <w:szCs w:val="30"/>
          <w:lang w:val="zh-CN"/>
        </w:rPr>
      </w:pPr>
    </w:p>
    <w:p w14:paraId="4CECCD83">
      <w:pPr>
        <w:spacing w:line="360" w:lineRule="auto"/>
        <w:jc w:val="center"/>
        <w:outlineLvl w:val="2"/>
        <w:rPr>
          <w:rFonts w:hint="eastAsia" w:ascii="宋体" w:hAnsi="宋体" w:eastAsia="宋体" w:cs="宋体"/>
          <w:b/>
          <w:bCs/>
          <w:sz w:val="30"/>
          <w:szCs w:val="30"/>
          <w:lang w:val="zh-CN"/>
        </w:rPr>
      </w:pPr>
    </w:p>
    <w:p w14:paraId="527630F3">
      <w:pPr>
        <w:spacing w:line="360" w:lineRule="auto"/>
        <w:jc w:val="center"/>
        <w:outlineLvl w:val="2"/>
        <w:rPr>
          <w:rFonts w:hint="eastAsia" w:ascii="宋体" w:hAnsi="宋体" w:eastAsia="宋体" w:cs="宋体"/>
          <w:b/>
          <w:bCs/>
          <w:sz w:val="30"/>
          <w:szCs w:val="30"/>
          <w:lang w:val="zh-CN"/>
        </w:rPr>
      </w:pPr>
    </w:p>
    <w:p w14:paraId="5824F473">
      <w:pPr>
        <w:spacing w:line="360" w:lineRule="auto"/>
        <w:jc w:val="center"/>
        <w:outlineLvl w:val="2"/>
        <w:rPr>
          <w:rFonts w:hint="eastAsia" w:ascii="宋体" w:hAnsi="宋体" w:eastAsia="宋体" w:cs="宋体"/>
          <w:b/>
          <w:bCs/>
          <w:sz w:val="30"/>
          <w:szCs w:val="30"/>
          <w:lang w:val="zh-CN"/>
        </w:rPr>
      </w:pPr>
    </w:p>
    <w:p w14:paraId="4AD76C3D">
      <w:pPr>
        <w:spacing w:line="360" w:lineRule="auto"/>
        <w:jc w:val="center"/>
        <w:outlineLvl w:val="2"/>
        <w:rPr>
          <w:rFonts w:hint="eastAsia" w:ascii="宋体" w:hAnsi="宋体" w:eastAsia="宋体" w:cs="宋体"/>
          <w:b/>
          <w:bCs/>
          <w:sz w:val="30"/>
          <w:szCs w:val="30"/>
          <w:lang w:val="zh-CN"/>
        </w:rPr>
      </w:pPr>
    </w:p>
    <w:p w14:paraId="15D180FC">
      <w:pPr>
        <w:pStyle w:val="2"/>
        <w:numPr>
          <w:ilvl w:val="0"/>
          <w:numId w:val="0"/>
        </w:numPr>
        <w:rPr>
          <w:rFonts w:hint="eastAsia" w:ascii="宋体" w:hAnsi="宋体" w:eastAsia="宋体" w:cs="宋体"/>
          <w:lang w:val="zh-CN"/>
        </w:rPr>
      </w:pPr>
    </w:p>
    <w:p w14:paraId="7FA260A2">
      <w:pPr>
        <w:spacing w:line="360" w:lineRule="auto"/>
        <w:outlineLvl w:val="2"/>
        <w:rPr>
          <w:rFonts w:hint="eastAsia" w:ascii="宋体" w:hAnsi="宋体" w:eastAsia="宋体" w:cs="宋体"/>
          <w:b/>
          <w:bCs/>
          <w:sz w:val="30"/>
          <w:szCs w:val="30"/>
          <w:lang w:val="zh-CN"/>
        </w:rPr>
      </w:pPr>
    </w:p>
    <w:p w14:paraId="052C675B">
      <w:pPr>
        <w:spacing w:line="360" w:lineRule="auto"/>
        <w:jc w:val="center"/>
        <w:outlineLvl w:val="2"/>
        <w:rPr>
          <w:rFonts w:hint="eastAsia" w:ascii="宋体" w:hAnsi="宋体" w:eastAsia="宋体" w:cs="宋体"/>
          <w:b/>
          <w:bCs/>
          <w:sz w:val="30"/>
          <w:szCs w:val="30"/>
          <w:lang w:val="zh-CN"/>
        </w:rPr>
      </w:pPr>
    </w:p>
    <w:p w14:paraId="58F4AA14">
      <w:pPr>
        <w:spacing w:line="360" w:lineRule="auto"/>
        <w:outlineLvl w:val="2"/>
        <w:rPr>
          <w:rFonts w:hint="eastAsia" w:ascii="宋体" w:hAnsi="宋体" w:eastAsia="宋体" w:cs="宋体"/>
          <w:b/>
          <w:bCs/>
          <w:sz w:val="30"/>
          <w:szCs w:val="30"/>
          <w:lang w:val="zh-CN"/>
        </w:rPr>
      </w:pPr>
    </w:p>
    <w:p w14:paraId="38990ECD">
      <w:pPr>
        <w:spacing w:line="360" w:lineRule="auto"/>
        <w:jc w:val="center"/>
        <w:outlineLvl w:val="2"/>
        <w:rPr>
          <w:rFonts w:hint="eastAsia" w:ascii="宋体" w:hAnsi="宋体" w:eastAsia="宋体" w:cs="宋体"/>
          <w:sz w:val="24"/>
          <w:lang w:val="zh-CN"/>
        </w:rPr>
      </w:pPr>
      <w:r>
        <w:rPr>
          <w:rFonts w:hint="eastAsia" w:ascii="宋体" w:hAnsi="宋体" w:eastAsia="宋体" w:cs="宋体"/>
          <w:b/>
          <w:bCs/>
          <w:sz w:val="30"/>
          <w:szCs w:val="30"/>
          <w:lang w:val="zh-CN"/>
        </w:rPr>
        <w:t>十、承诺书</w:t>
      </w:r>
    </w:p>
    <w:p w14:paraId="7A9A1981">
      <w:pPr>
        <w:pStyle w:val="2"/>
        <w:numPr>
          <w:ilvl w:val="0"/>
          <w:numId w:val="0"/>
        </w:numPr>
        <w:spacing w:before="0" w:after="0" w:line="420" w:lineRule="exact"/>
        <w:rPr>
          <w:rFonts w:hint="eastAsia" w:ascii="宋体" w:hAnsi="宋体" w:eastAsia="宋体" w:cs="宋体"/>
          <w:b w:val="0"/>
          <w:sz w:val="24"/>
          <w:szCs w:val="24"/>
          <w:lang w:val="zh-CN"/>
        </w:rPr>
      </w:pPr>
      <w:r>
        <w:rPr>
          <w:rFonts w:hint="eastAsia" w:ascii="宋体" w:hAnsi="宋体" w:eastAsia="宋体" w:cs="宋体"/>
          <w:b w:val="0"/>
          <w:sz w:val="24"/>
          <w:szCs w:val="24"/>
          <w:lang w:val="zh-CN"/>
        </w:rPr>
        <w:t>致杭州萧山粮食购销有限责任公司：</w:t>
      </w:r>
    </w:p>
    <w:p w14:paraId="0F344D7E">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sz w:val="24"/>
        </w:rPr>
      </w:pPr>
      <w:r>
        <w:rPr>
          <w:rFonts w:hint="eastAsia" w:ascii="宋体" w:hAnsi="宋体" w:eastAsia="宋体" w:cs="宋体"/>
          <w:sz w:val="24"/>
        </w:rPr>
        <w:t>若我公司中标《粮油装卸、运输服务采购项目》，为更好的为贵企业提供优质服务，严格履行服务职能，本公司作出如下诚信承诺：</w:t>
      </w:r>
    </w:p>
    <w:p w14:paraId="65552CBF">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sz w:val="24"/>
        </w:rPr>
      </w:pPr>
      <w:r>
        <w:rPr>
          <w:rFonts w:hint="eastAsia" w:ascii="宋体" w:hAnsi="宋体" w:eastAsia="宋体" w:cs="宋体"/>
          <w:sz w:val="24"/>
        </w:rPr>
        <w:t>一、严格执行粮库各项管理制度，认真执行粮油出入过程中的各项分项操作要求，服从粮库管理与工作安排。</w:t>
      </w:r>
    </w:p>
    <w:p w14:paraId="512741F1">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sz w:val="24"/>
        </w:rPr>
      </w:pPr>
      <w:r>
        <w:rPr>
          <w:rFonts w:hint="eastAsia" w:ascii="宋体" w:hAnsi="宋体" w:eastAsia="宋体" w:cs="宋体"/>
          <w:sz w:val="24"/>
        </w:rPr>
        <w:t>二、严格执行粮库禁烟规定，自觉接收粮库工作人员的监督，如发现本单位委派工人在禁烟区吸烟、电瓶车违章充电</w:t>
      </w:r>
      <w:r>
        <w:rPr>
          <w:rFonts w:hint="eastAsia" w:ascii="宋体" w:hAnsi="宋体" w:eastAsia="宋体" w:cs="宋体"/>
          <w:sz w:val="24"/>
          <w:lang w:eastAsia="zh-CN"/>
        </w:rPr>
        <w:t>、</w:t>
      </w:r>
      <w:r>
        <w:rPr>
          <w:rFonts w:hint="eastAsia" w:ascii="宋体" w:hAnsi="宋体" w:eastAsia="宋体" w:cs="宋体"/>
          <w:sz w:val="24"/>
          <w:lang w:val="en-US" w:eastAsia="zh-CN"/>
        </w:rPr>
        <w:t>不服从劝导未佩戴安全帽、在生产作业过程中穿拖鞋或赤脚</w:t>
      </w:r>
      <w:r>
        <w:rPr>
          <w:rFonts w:hint="eastAsia" w:ascii="宋体" w:hAnsi="宋体" w:eastAsia="宋体" w:cs="宋体"/>
          <w:sz w:val="24"/>
        </w:rPr>
        <w:t>等情况，自愿接</w:t>
      </w:r>
      <w:r>
        <w:rPr>
          <w:rFonts w:hint="eastAsia" w:ascii="宋体" w:hAnsi="宋体" w:eastAsia="宋体" w:cs="宋体"/>
          <w:sz w:val="24"/>
          <w:lang w:val="en-US" w:eastAsia="zh-CN"/>
        </w:rPr>
        <w:t>受20</w:t>
      </w:r>
      <w:r>
        <w:rPr>
          <w:rFonts w:hint="eastAsia" w:ascii="宋体" w:hAnsi="宋体" w:eastAsia="宋体" w:cs="宋体"/>
          <w:sz w:val="24"/>
        </w:rPr>
        <w:t>0元/人.次的处罚（费用在装卸运输费中扣除）。如发现本单位委派工人违规向承运人或客户收取费用的，除退还收取费用外自愿接受二倍的处罚。</w:t>
      </w:r>
    </w:p>
    <w:p w14:paraId="2355AA83">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sz w:val="24"/>
        </w:rPr>
      </w:pPr>
      <w:r>
        <w:rPr>
          <w:rFonts w:hint="eastAsia" w:ascii="宋体" w:hAnsi="宋体" w:eastAsia="宋体" w:cs="宋体"/>
          <w:sz w:val="24"/>
        </w:rPr>
        <w:t>三、按要求和事项发生量及时配备足够和胜任的相关管理和服务人员，并保持人员稳定，服从粮库的工作安排</w:t>
      </w:r>
      <w:r>
        <w:rPr>
          <w:rFonts w:hint="eastAsia" w:ascii="宋体" w:hAnsi="宋体" w:eastAsia="宋体" w:cs="宋体"/>
          <w:sz w:val="24"/>
          <w:lang w:eastAsia="zh-CN"/>
        </w:rPr>
        <w:t>，</w:t>
      </w:r>
      <w:r>
        <w:rPr>
          <w:rFonts w:hint="eastAsia" w:ascii="宋体" w:hAnsi="宋体" w:eastAsia="宋体" w:cs="宋体"/>
          <w:sz w:val="24"/>
          <w:lang w:val="en-US" w:eastAsia="zh-CN"/>
        </w:rPr>
        <w:t>单个粮库生产作业期间每日必须配备1名及以上长期从事粮库粮油装卸工作人员（2年及以上工作经验）</w:t>
      </w:r>
      <w:r>
        <w:rPr>
          <w:rFonts w:hint="eastAsia" w:ascii="宋体" w:hAnsi="宋体" w:eastAsia="宋体" w:cs="宋体"/>
          <w:sz w:val="24"/>
        </w:rPr>
        <w:t>；单个粮库日装卸服务能力≥1500吨的投标承诺；日粮油运输能力或组织运输能力≥300吨，在特殊情况下有提升到≥500吨的能力；每条</w:t>
      </w:r>
      <w:r>
        <w:rPr>
          <w:rFonts w:hint="eastAsia" w:ascii="宋体" w:hAnsi="宋体" w:eastAsia="宋体" w:cs="宋体"/>
          <w:sz w:val="24"/>
          <w:lang w:val="en-US" w:eastAsia="zh-CN"/>
        </w:rPr>
        <w:t>散装粮</w:t>
      </w:r>
      <w:r>
        <w:rPr>
          <w:rFonts w:hint="eastAsia" w:ascii="宋体" w:hAnsi="宋体" w:eastAsia="宋体" w:cs="宋体"/>
          <w:sz w:val="24"/>
        </w:rPr>
        <w:t>工作线上的工作人员不得少于2人</w:t>
      </w:r>
      <w:r>
        <w:rPr>
          <w:rFonts w:hint="eastAsia" w:ascii="宋体" w:hAnsi="宋体" w:eastAsia="宋体" w:cs="宋体"/>
          <w:sz w:val="24"/>
          <w:lang w:eastAsia="zh-CN"/>
        </w:rPr>
        <w:t>，</w:t>
      </w:r>
      <w:r>
        <w:rPr>
          <w:rFonts w:hint="eastAsia" w:ascii="宋体" w:hAnsi="宋体" w:eastAsia="宋体" w:cs="宋体"/>
          <w:sz w:val="24"/>
          <w:lang w:val="en-US" w:eastAsia="zh-CN"/>
        </w:rPr>
        <w:t>每条包装粮工作线日灌包堆桩能力</w:t>
      </w:r>
      <w:r>
        <w:rPr>
          <w:rFonts w:hint="eastAsia" w:ascii="宋体" w:hAnsi="宋体" w:eastAsia="宋体" w:cs="宋体"/>
          <w:sz w:val="24"/>
        </w:rPr>
        <w:t>≥1500</w:t>
      </w:r>
      <w:r>
        <w:rPr>
          <w:rFonts w:hint="eastAsia" w:ascii="宋体" w:hAnsi="宋体" w:eastAsia="宋体" w:cs="宋体"/>
          <w:sz w:val="24"/>
          <w:lang w:val="en-US" w:eastAsia="zh-CN"/>
        </w:rPr>
        <w:t>包</w:t>
      </w:r>
      <w:r>
        <w:rPr>
          <w:rFonts w:hint="eastAsia" w:ascii="宋体" w:hAnsi="宋体" w:eastAsia="宋体" w:cs="宋体"/>
          <w:sz w:val="24"/>
        </w:rPr>
        <w:t>。若所有粮库同时下达满负荷装卸任务时，</w:t>
      </w:r>
      <w:r>
        <w:rPr>
          <w:rFonts w:hint="eastAsia" w:ascii="宋体" w:hAnsi="宋体" w:eastAsia="宋体" w:cs="宋体"/>
          <w:sz w:val="24"/>
          <w:lang w:val="en-US" w:eastAsia="zh-CN"/>
        </w:rPr>
        <w:t>我公司</w:t>
      </w:r>
      <w:r>
        <w:rPr>
          <w:rFonts w:hint="eastAsia" w:ascii="宋体" w:hAnsi="宋体" w:eastAsia="宋体" w:cs="宋体"/>
          <w:sz w:val="24"/>
        </w:rPr>
        <w:t>必须保证每个库点能正常作业，保证装卸任务按时、保质完成。能够承担上下班、工作过程中所有粮食装卸、运输人员人身、财产安全等风险；能提供全天候服务包含法定休息日，工作时间服从粮库的安排。</w:t>
      </w:r>
    </w:p>
    <w:p w14:paraId="0F146772">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sz w:val="24"/>
        </w:rPr>
      </w:pPr>
      <w:r>
        <w:rPr>
          <w:rFonts w:hint="eastAsia" w:ascii="宋体" w:hAnsi="宋体" w:eastAsia="宋体" w:cs="宋体"/>
          <w:sz w:val="24"/>
        </w:rPr>
        <w:t>四、承担粮食运输过程中发生超过合理运输损耗、偷盗、污染、雨淋等损失（数量较大的视情节另行处理）。</w:t>
      </w:r>
    </w:p>
    <w:p w14:paraId="7D56D23D">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sz w:val="24"/>
        </w:rPr>
      </w:pPr>
      <w:r>
        <w:rPr>
          <w:rFonts w:hint="eastAsia" w:ascii="宋体" w:hAnsi="宋体" w:eastAsia="宋体" w:cs="宋体"/>
          <w:sz w:val="24"/>
        </w:rPr>
        <w:t>五、保证在突发情况下粮食装卸力量、运输力量的及时到位。如遇特殊情况，甲方可根据轮换情况，由出入库客户单位自带装卸人员，或甲方可自行安排装卸能力，费用由乙方承担。</w:t>
      </w:r>
    </w:p>
    <w:p w14:paraId="221A734B">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sz w:val="24"/>
        </w:rPr>
      </w:pPr>
      <w:r>
        <w:rPr>
          <w:rFonts w:hint="eastAsia" w:ascii="宋体" w:hAnsi="宋体" w:eastAsia="宋体" w:cs="宋体"/>
          <w:sz w:val="24"/>
        </w:rPr>
        <w:t>六、保证参保人员≥响应文件上服务人员的80%。</w:t>
      </w:r>
    </w:p>
    <w:p w14:paraId="4140F147">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sz w:val="24"/>
        </w:rPr>
      </w:pPr>
      <w:r>
        <w:rPr>
          <w:rFonts w:hint="eastAsia" w:ascii="宋体" w:hAnsi="宋体" w:eastAsia="宋体" w:cs="宋体"/>
          <w:sz w:val="24"/>
          <w:lang w:val="zh-CN"/>
        </w:rPr>
        <w:t>七、保证</w:t>
      </w:r>
      <w:r>
        <w:rPr>
          <w:rFonts w:hint="eastAsia" w:ascii="宋体" w:hAnsi="宋体" w:eastAsia="宋体" w:cs="宋体"/>
          <w:sz w:val="24"/>
        </w:rPr>
        <w:t>任何时间、任何作业不以任何名义向承运人或客户收取任何费用，如有违反接受公开竞争中规定的处理。</w:t>
      </w:r>
    </w:p>
    <w:p w14:paraId="212B3E36">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sz w:val="24"/>
        </w:rPr>
      </w:pPr>
      <w:r>
        <w:rPr>
          <w:rFonts w:hint="eastAsia" w:ascii="宋体" w:hAnsi="宋体" w:eastAsia="宋体" w:cs="宋体"/>
          <w:sz w:val="24"/>
        </w:rPr>
        <w:t>八、接受招标文件中的《履约》条款。</w:t>
      </w:r>
    </w:p>
    <w:p w14:paraId="4C7C1E95">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sz w:val="24"/>
        </w:rPr>
      </w:pPr>
      <w:r>
        <w:rPr>
          <w:rFonts w:hint="eastAsia" w:ascii="宋体" w:hAnsi="宋体" w:eastAsia="宋体" w:cs="宋体"/>
          <w:sz w:val="24"/>
        </w:rPr>
        <w:t>九、诚信经营，文明服务，严格执行粮库操作规程，本单位委派工人在操作使用设备（包含烘干设备）时因操作不当、失误等原因造成机械设备</w:t>
      </w:r>
      <w:r>
        <w:rPr>
          <w:rFonts w:hint="eastAsia" w:ascii="宋体" w:hAnsi="宋体" w:eastAsia="宋体" w:cs="宋体"/>
          <w:sz w:val="24"/>
          <w:lang w:val="en-US" w:eastAsia="zh-CN"/>
        </w:rPr>
        <w:t>及其他库内财产</w:t>
      </w:r>
      <w:r>
        <w:rPr>
          <w:rFonts w:hint="eastAsia" w:ascii="宋体" w:hAnsi="宋体" w:eastAsia="宋体" w:cs="宋体"/>
          <w:sz w:val="24"/>
        </w:rPr>
        <w:t>损坏、粮油物资损失的负全责。</w:t>
      </w:r>
    </w:p>
    <w:p w14:paraId="7DB7C8CB">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sz w:val="24"/>
        </w:rPr>
      </w:pPr>
      <w:r>
        <w:rPr>
          <w:rFonts w:hint="eastAsia" w:ascii="宋体" w:hAnsi="宋体" w:eastAsia="宋体" w:cs="宋体"/>
          <w:sz w:val="24"/>
        </w:rPr>
        <w:t>十、</w:t>
      </w:r>
      <w:r>
        <w:rPr>
          <w:rFonts w:hint="eastAsia" w:ascii="宋体" w:hAnsi="宋体" w:eastAsia="宋体" w:cs="宋体"/>
          <w:sz w:val="24"/>
          <w:lang w:val="en-US" w:eastAsia="zh-CN"/>
        </w:rPr>
        <w:t>服从粮库内工作人员安排，在机械设备使用完毕后按要求清卫干净，经工作人员确认后将机械设备移动归位至指定地点</w:t>
      </w:r>
      <w:r>
        <w:rPr>
          <w:rFonts w:hint="eastAsia" w:ascii="宋体" w:hAnsi="宋体" w:eastAsia="宋体" w:cs="宋体"/>
          <w:sz w:val="24"/>
          <w:lang w:val="zh-CN"/>
        </w:rPr>
        <w:t>。</w:t>
      </w:r>
    </w:p>
    <w:p w14:paraId="0AF733F3">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sz w:val="24"/>
          <w:lang w:val="zh-CN"/>
        </w:rPr>
      </w:pPr>
      <w:r>
        <w:rPr>
          <w:rFonts w:hint="eastAsia" w:ascii="宋体" w:hAnsi="宋体" w:eastAsia="宋体" w:cs="宋体"/>
          <w:sz w:val="24"/>
          <w:lang w:val="en-US" w:eastAsia="zh-CN"/>
        </w:rPr>
        <w:t>十一</w:t>
      </w:r>
      <w:r>
        <w:rPr>
          <w:rFonts w:hint="eastAsia" w:ascii="宋体" w:hAnsi="宋体" w:eastAsia="宋体" w:cs="宋体"/>
          <w:sz w:val="24"/>
        </w:rPr>
        <w:t>、对</w:t>
      </w:r>
      <w:r>
        <w:rPr>
          <w:rFonts w:hint="eastAsia" w:ascii="宋体" w:hAnsi="宋体" w:eastAsia="宋体" w:cs="宋体"/>
          <w:sz w:val="24"/>
          <w:lang w:val="zh-CN"/>
        </w:rPr>
        <w:t>所有装卸服务人员向保险公司投保意外伤害等保险并提供相关凭据，承担工作过程中所发生的所有人身、财产安全等风险。保费每年不低于2.5万，并向招标单位备案，</w:t>
      </w:r>
      <w:r>
        <w:rPr>
          <w:rFonts w:hint="eastAsia" w:ascii="宋体" w:hAnsi="宋体" w:eastAsia="宋体" w:cs="宋体"/>
          <w:sz w:val="24"/>
          <w:lang w:val="en-US" w:eastAsia="zh-CN"/>
        </w:rPr>
        <w:t>否则终止合同并按违约处理</w:t>
      </w:r>
      <w:r>
        <w:rPr>
          <w:rFonts w:hint="eastAsia" w:ascii="宋体" w:hAnsi="宋体" w:eastAsia="宋体" w:cs="宋体"/>
          <w:sz w:val="24"/>
          <w:lang w:val="zh-CN"/>
        </w:rPr>
        <w:t>。</w:t>
      </w:r>
    </w:p>
    <w:p w14:paraId="06CEE7D5">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sz w:val="24"/>
        </w:rPr>
      </w:pPr>
      <w:r>
        <w:rPr>
          <w:rFonts w:hint="eastAsia" w:ascii="宋体" w:hAnsi="宋体" w:eastAsia="宋体" w:cs="宋体"/>
          <w:sz w:val="24"/>
        </w:rPr>
        <w:t xml:space="preserve">特此承诺！                       </w:t>
      </w:r>
    </w:p>
    <w:p w14:paraId="5827227E">
      <w:pPr>
        <w:rPr>
          <w:rFonts w:hint="eastAsia" w:ascii="宋体" w:hAnsi="宋体" w:eastAsia="宋体" w:cs="宋体"/>
          <w:sz w:val="24"/>
        </w:rPr>
      </w:pPr>
    </w:p>
    <w:p w14:paraId="225888C1">
      <w:pPr>
        <w:wordWrap w:val="0"/>
        <w:jc w:val="right"/>
        <w:rPr>
          <w:rFonts w:hint="eastAsia" w:ascii="宋体" w:hAnsi="宋体" w:eastAsia="宋体" w:cs="宋体"/>
          <w:sz w:val="24"/>
          <w:lang w:val="en-US" w:eastAsia="zh-CN"/>
        </w:rPr>
      </w:pPr>
      <w:r>
        <w:rPr>
          <w:rFonts w:hint="eastAsia" w:ascii="宋体" w:hAnsi="宋体" w:eastAsia="宋体" w:cs="宋体"/>
          <w:sz w:val="24"/>
        </w:rPr>
        <w:t>承诺单位（盖章）：</w:t>
      </w:r>
      <w:r>
        <w:rPr>
          <w:rFonts w:hint="eastAsia" w:ascii="宋体" w:hAnsi="宋体" w:eastAsia="宋体" w:cs="宋体"/>
          <w:sz w:val="24"/>
          <w:lang w:val="en-US" w:eastAsia="zh-CN"/>
        </w:rPr>
        <w:t xml:space="preserve">       </w:t>
      </w:r>
    </w:p>
    <w:p w14:paraId="428EB60B">
      <w:pPr>
        <w:wordWrap w:val="0"/>
        <w:jc w:val="right"/>
        <w:rPr>
          <w:rFonts w:hint="eastAsia" w:ascii="宋体" w:hAnsi="宋体" w:eastAsia="宋体" w:cs="宋体"/>
          <w:sz w:val="24"/>
          <w:lang w:val="en-US" w:eastAsia="zh-CN"/>
        </w:rPr>
      </w:pPr>
      <w:r>
        <w:rPr>
          <w:rFonts w:hint="eastAsia" w:ascii="宋体" w:hAnsi="宋体" w:eastAsia="宋体" w:cs="宋体"/>
          <w:sz w:val="24"/>
        </w:rPr>
        <w:t>企业法人（签字）：</w:t>
      </w:r>
      <w:r>
        <w:rPr>
          <w:rFonts w:hint="eastAsia" w:ascii="宋体" w:hAnsi="宋体" w:eastAsia="宋体" w:cs="宋体"/>
          <w:sz w:val="24"/>
          <w:lang w:val="en-US" w:eastAsia="zh-CN"/>
        </w:rPr>
        <w:t xml:space="preserve">       </w:t>
      </w:r>
    </w:p>
    <w:p w14:paraId="02B53E16">
      <w:pPr>
        <w:wordWrap w:val="0"/>
        <w:jc w:val="right"/>
        <w:rPr>
          <w:rFonts w:hint="eastAsia" w:ascii="宋体" w:hAnsi="宋体" w:eastAsia="宋体" w:cs="宋体"/>
          <w:sz w:val="24"/>
          <w:lang w:val="en-US" w:eastAsia="zh-CN"/>
        </w:rPr>
      </w:pPr>
      <w:r>
        <w:rPr>
          <w:rFonts w:hint="eastAsia" w:ascii="宋体" w:hAnsi="宋体" w:eastAsia="宋体" w:cs="宋体"/>
          <w:sz w:val="24"/>
        </w:rPr>
        <w:t>202</w:t>
      </w:r>
      <w:r>
        <w:rPr>
          <w:rFonts w:hint="eastAsia" w:ascii="宋体" w:hAnsi="宋体" w:eastAsia="宋体" w:cs="宋体"/>
          <w:sz w:val="24"/>
          <w:lang w:val="en-US" w:eastAsia="zh-CN"/>
        </w:rPr>
        <w:t xml:space="preserve">  </w:t>
      </w:r>
      <w:r>
        <w:rPr>
          <w:rFonts w:hint="eastAsia" w:ascii="宋体" w:hAnsi="宋体" w:eastAsia="宋体" w:cs="宋体"/>
          <w:sz w:val="24"/>
        </w:rPr>
        <w:t>年</w:t>
      </w:r>
      <w:r>
        <w:rPr>
          <w:rFonts w:hint="eastAsia" w:ascii="宋体" w:hAnsi="宋体" w:eastAsia="宋体" w:cs="宋体"/>
          <w:sz w:val="24"/>
          <w:lang w:val="en-US" w:eastAsia="zh-CN"/>
        </w:rPr>
        <w:t xml:space="preserve">  </w:t>
      </w:r>
      <w:r>
        <w:rPr>
          <w:rFonts w:hint="eastAsia" w:ascii="宋体" w:hAnsi="宋体" w:eastAsia="宋体" w:cs="宋体"/>
          <w:sz w:val="24"/>
        </w:rPr>
        <w:t>月</w:t>
      </w:r>
      <w:r>
        <w:rPr>
          <w:rFonts w:hint="eastAsia" w:ascii="宋体" w:hAnsi="宋体" w:eastAsia="宋体" w:cs="宋体"/>
          <w:sz w:val="24"/>
          <w:lang w:val="en-US" w:eastAsia="zh-CN"/>
        </w:rPr>
        <w:t xml:space="preserve">  </w:t>
      </w:r>
      <w:r>
        <w:rPr>
          <w:rFonts w:hint="eastAsia" w:ascii="宋体" w:hAnsi="宋体" w:eastAsia="宋体" w:cs="宋体"/>
          <w:sz w:val="24"/>
        </w:rPr>
        <w:t>日</w:t>
      </w:r>
      <w:r>
        <w:rPr>
          <w:rFonts w:hint="eastAsia" w:ascii="宋体" w:hAnsi="宋体" w:eastAsia="宋体" w:cs="宋体"/>
          <w:sz w:val="24"/>
          <w:lang w:val="en-US" w:eastAsia="zh-CN"/>
        </w:rPr>
        <w:t xml:space="preserve">       </w:t>
      </w:r>
    </w:p>
    <w:p w14:paraId="4454B310">
      <w:pPr>
        <w:rPr>
          <w:rFonts w:hint="eastAsia" w:ascii="宋体" w:hAnsi="宋体" w:eastAsia="宋体" w:cs="宋体"/>
          <w:sz w:val="24"/>
        </w:rPr>
      </w:pPr>
    </w:p>
    <w:p w14:paraId="2CAC0A31">
      <w:pPr>
        <w:widowControl/>
        <w:spacing w:line="360" w:lineRule="auto"/>
        <w:rPr>
          <w:rFonts w:hint="eastAsia" w:ascii="宋体" w:hAnsi="宋体" w:eastAsia="宋体" w:cs="宋体"/>
          <w:b/>
          <w:color w:val="000000"/>
          <w:sz w:val="36"/>
          <w:szCs w:val="36"/>
        </w:rPr>
      </w:pPr>
    </w:p>
    <w:p w14:paraId="2C2C3418">
      <w:pPr>
        <w:widowControl/>
        <w:spacing w:line="360" w:lineRule="auto"/>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拟签订的合同文本</w:t>
      </w:r>
    </w:p>
    <w:p w14:paraId="58615EDE">
      <w:pPr>
        <w:spacing w:line="360" w:lineRule="auto"/>
        <w:jc w:val="center"/>
        <w:outlineLvl w:val="0"/>
        <w:rPr>
          <w:rFonts w:hint="eastAsia" w:ascii="宋体" w:hAnsi="宋体" w:eastAsia="宋体" w:cs="宋体"/>
          <w:b/>
          <w:bCs/>
          <w:szCs w:val="28"/>
        </w:rPr>
      </w:pPr>
      <w:r>
        <w:rPr>
          <w:rFonts w:hint="eastAsia" w:ascii="宋体" w:hAnsi="宋体" w:eastAsia="宋体" w:cs="宋体"/>
          <w:b/>
          <w:bCs/>
          <w:szCs w:val="28"/>
        </w:rPr>
        <w:t>（服务类样本）</w:t>
      </w:r>
    </w:p>
    <w:p w14:paraId="239ACABC">
      <w:pPr>
        <w:spacing w:line="360" w:lineRule="auto"/>
        <w:ind w:firstLine="480" w:firstLineChars="200"/>
        <w:rPr>
          <w:rFonts w:hint="eastAsia" w:ascii="宋体" w:hAnsi="宋体" w:eastAsia="宋体" w:cs="宋体"/>
          <w:sz w:val="24"/>
        </w:rPr>
      </w:pPr>
      <w:r>
        <w:rPr>
          <w:rFonts w:hint="eastAsia" w:ascii="宋体" w:hAnsi="宋体" w:eastAsia="宋体" w:cs="宋体"/>
          <w:sz w:val="24"/>
        </w:rPr>
        <w:t>合同编号：</w:t>
      </w:r>
    </w:p>
    <w:p w14:paraId="40403A34">
      <w:pPr>
        <w:spacing w:line="360" w:lineRule="auto"/>
        <w:ind w:firstLine="480" w:firstLineChars="200"/>
        <w:rPr>
          <w:rFonts w:hint="eastAsia" w:ascii="宋体" w:hAnsi="宋体" w:eastAsia="宋体" w:cs="宋体"/>
          <w:sz w:val="24"/>
        </w:rPr>
      </w:pPr>
      <w:r>
        <w:rPr>
          <w:rFonts w:hint="eastAsia" w:ascii="宋体" w:hAnsi="宋体" w:eastAsia="宋体" w:cs="宋体"/>
          <w:sz w:val="24"/>
        </w:rPr>
        <w:t>签订地点：                                 签订时间：20</w:t>
      </w:r>
      <w:r>
        <w:rPr>
          <w:rFonts w:hint="eastAsia" w:ascii="宋体" w:hAnsi="宋体" w:eastAsia="宋体" w:cs="宋体"/>
          <w:sz w:val="24"/>
          <w:u w:val="single"/>
        </w:rPr>
        <w:t xml:space="preserve">* </w:t>
      </w:r>
      <w:r>
        <w:rPr>
          <w:rFonts w:hint="eastAsia" w:ascii="宋体" w:hAnsi="宋体" w:eastAsia="宋体" w:cs="宋体"/>
          <w:sz w:val="24"/>
        </w:rPr>
        <w:t>年月日</w:t>
      </w:r>
    </w:p>
    <w:p w14:paraId="35CD6F9A">
      <w:pPr>
        <w:spacing w:line="360" w:lineRule="auto"/>
        <w:ind w:firstLine="480" w:firstLineChars="200"/>
        <w:rPr>
          <w:rFonts w:hint="eastAsia" w:ascii="宋体" w:hAnsi="宋体" w:eastAsia="宋体" w:cs="宋体"/>
          <w:sz w:val="24"/>
        </w:rPr>
      </w:pPr>
      <w:r>
        <w:rPr>
          <w:rFonts w:hint="eastAsia" w:ascii="宋体" w:hAnsi="宋体" w:eastAsia="宋体" w:cs="宋体"/>
          <w:sz w:val="24"/>
        </w:rPr>
        <w:t>项目名称：</w:t>
      </w:r>
    </w:p>
    <w:p w14:paraId="06701DF6">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甲方（需方）：                                     </w:t>
      </w:r>
    </w:p>
    <w:p w14:paraId="59803A12">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乙方（供方）：                                     </w:t>
      </w:r>
    </w:p>
    <w:p w14:paraId="5A2B69E7">
      <w:pPr>
        <w:spacing w:line="360" w:lineRule="auto"/>
        <w:ind w:firstLine="480" w:firstLineChars="200"/>
        <w:rPr>
          <w:rFonts w:hint="eastAsia" w:ascii="宋体" w:hAnsi="宋体" w:eastAsia="宋体" w:cs="宋体"/>
          <w:sz w:val="24"/>
        </w:rPr>
      </w:pPr>
      <w:r>
        <w:rPr>
          <w:rFonts w:hint="eastAsia" w:ascii="宋体" w:hAnsi="宋体" w:eastAsia="宋体" w:cs="宋体"/>
          <w:sz w:val="24"/>
        </w:rPr>
        <w:t>甲乙双方根据杭州市萧山区项目（招标编号--）招标结果和公开招标文件的要求，并经双方协调一致，订立本合同。</w:t>
      </w:r>
    </w:p>
    <w:p w14:paraId="436E36CD">
      <w:pPr>
        <w:spacing w:line="360" w:lineRule="auto"/>
        <w:ind w:firstLine="480" w:firstLineChars="200"/>
        <w:rPr>
          <w:rFonts w:hint="eastAsia" w:ascii="宋体" w:hAnsi="宋体" w:eastAsia="宋体" w:cs="宋体"/>
          <w:sz w:val="24"/>
        </w:rPr>
      </w:pPr>
      <w:r>
        <w:rPr>
          <w:rFonts w:hint="eastAsia" w:ascii="宋体" w:hAnsi="宋体" w:eastAsia="宋体" w:cs="宋体"/>
          <w:sz w:val="24"/>
        </w:rPr>
        <w:t>一、合同文件：</w:t>
      </w:r>
    </w:p>
    <w:p w14:paraId="64E37E45">
      <w:pPr>
        <w:spacing w:line="360" w:lineRule="auto"/>
        <w:ind w:firstLine="480" w:firstLineChars="200"/>
        <w:outlineLvl w:val="0"/>
        <w:rPr>
          <w:rFonts w:hint="eastAsia" w:ascii="宋体" w:hAnsi="宋体" w:eastAsia="宋体" w:cs="宋体"/>
          <w:sz w:val="24"/>
        </w:rPr>
      </w:pPr>
      <w:bookmarkStart w:id="431" w:name="_Toc20175"/>
      <w:bookmarkStart w:id="432" w:name="_Toc1275"/>
      <w:r>
        <w:rPr>
          <w:rFonts w:hint="eastAsia" w:ascii="宋体" w:hAnsi="宋体" w:eastAsia="宋体" w:cs="宋体"/>
          <w:sz w:val="24"/>
        </w:rPr>
        <w:t>1、合同条款。</w:t>
      </w:r>
      <w:bookmarkEnd w:id="431"/>
      <w:bookmarkEnd w:id="432"/>
    </w:p>
    <w:p w14:paraId="618C6982">
      <w:pPr>
        <w:spacing w:line="360" w:lineRule="auto"/>
        <w:ind w:firstLine="480" w:firstLineChars="200"/>
        <w:outlineLvl w:val="0"/>
        <w:rPr>
          <w:rFonts w:hint="eastAsia" w:ascii="宋体" w:hAnsi="宋体" w:eastAsia="宋体" w:cs="宋体"/>
          <w:sz w:val="24"/>
        </w:rPr>
      </w:pPr>
      <w:bookmarkStart w:id="433" w:name="_Toc22352"/>
      <w:bookmarkStart w:id="434" w:name="_Toc4120"/>
      <w:r>
        <w:rPr>
          <w:rFonts w:hint="eastAsia" w:ascii="宋体" w:hAnsi="宋体" w:eastAsia="宋体" w:cs="宋体"/>
          <w:sz w:val="24"/>
        </w:rPr>
        <w:t>2、中标通知书。</w:t>
      </w:r>
      <w:bookmarkEnd w:id="433"/>
      <w:bookmarkEnd w:id="434"/>
    </w:p>
    <w:p w14:paraId="2630A93C">
      <w:pPr>
        <w:spacing w:line="360" w:lineRule="auto"/>
        <w:ind w:firstLine="480" w:firstLineChars="200"/>
        <w:outlineLvl w:val="0"/>
        <w:rPr>
          <w:rFonts w:hint="eastAsia" w:ascii="宋体" w:hAnsi="宋体" w:eastAsia="宋体" w:cs="宋体"/>
          <w:sz w:val="24"/>
        </w:rPr>
      </w:pPr>
      <w:bookmarkStart w:id="435" w:name="_Toc31836"/>
      <w:bookmarkStart w:id="436" w:name="_Toc26691"/>
      <w:r>
        <w:rPr>
          <w:rFonts w:hint="eastAsia" w:ascii="宋体" w:hAnsi="宋体" w:eastAsia="宋体" w:cs="宋体"/>
          <w:sz w:val="24"/>
        </w:rPr>
        <w:t>3、公开招标文件。</w:t>
      </w:r>
      <w:bookmarkEnd w:id="435"/>
      <w:bookmarkEnd w:id="436"/>
    </w:p>
    <w:p w14:paraId="7361A0E4">
      <w:pPr>
        <w:spacing w:line="360" w:lineRule="auto"/>
        <w:ind w:firstLine="480" w:firstLineChars="200"/>
        <w:outlineLvl w:val="0"/>
        <w:rPr>
          <w:rFonts w:hint="eastAsia" w:ascii="宋体" w:hAnsi="宋体" w:eastAsia="宋体" w:cs="宋体"/>
          <w:sz w:val="24"/>
        </w:rPr>
      </w:pPr>
      <w:bookmarkStart w:id="437" w:name="_Toc446"/>
      <w:bookmarkStart w:id="438" w:name="_Toc752"/>
      <w:r>
        <w:rPr>
          <w:rFonts w:hint="eastAsia" w:ascii="宋体" w:hAnsi="宋体" w:eastAsia="宋体" w:cs="宋体"/>
          <w:sz w:val="24"/>
        </w:rPr>
        <w:t>4、更正公告。</w:t>
      </w:r>
      <w:bookmarkEnd w:id="437"/>
      <w:bookmarkEnd w:id="438"/>
    </w:p>
    <w:p w14:paraId="2E5AA475">
      <w:pPr>
        <w:spacing w:line="360" w:lineRule="auto"/>
        <w:ind w:firstLine="480" w:firstLineChars="200"/>
        <w:outlineLvl w:val="0"/>
        <w:rPr>
          <w:rFonts w:hint="eastAsia" w:ascii="宋体" w:hAnsi="宋体" w:eastAsia="宋体" w:cs="宋体"/>
          <w:sz w:val="24"/>
        </w:rPr>
      </w:pPr>
      <w:bookmarkStart w:id="439" w:name="_Toc23116"/>
      <w:bookmarkStart w:id="440" w:name="_Toc17273"/>
      <w:r>
        <w:rPr>
          <w:rFonts w:hint="eastAsia" w:ascii="宋体" w:hAnsi="宋体" w:eastAsia="宋体" w:cs="宋体"/>
          <w:sz w:val="24"/>
        </w:rPr>
        <w:t>5、中标单位响应文件。</w:t>
      </w:r>
      <w:bookmarkEnd w:id="439"/>
      <w:bookmarkEnd w:id="440"/>
    </w:p>
    <w:p w14:paraId="6356F245">
      <w:pPr>
        <w:spacing w:line="360" w:lineRule="auto"/>
        <w:ind w:firstLine="480" w:firstLineChars="200"/>
        <w:outlineLvl w:val="0"/>
        <w:rPr>
          <w:rFonts w:hint="eastAsia" w:ascii="宋体" w:hAnsi="宋体" w:eastAsia="宋体" w:cs="宋体"/>
          <w:sz w:val="24"/>
        </w:rPr>
      </w:pPr>
      <w:bookmarkStart w:id="441" w:name="_Toc14933"/>
      <w:bookmarkStart w:id="442" w:name="_Toc27459"/>
      <w:r>
        <w:rPr>
          <w:rFonts w:hint="eastAsia" w:ascii="宋体" w:hAnsi="宋体" w:eastAsia="宋体" w:cs="宋体"/>
          <w:sz w:val="24"/>
        </w:rPr>
        <w:t>6、其他。</w:t>
      </w:r>
      <w:bookmarkEnd w:id="441"/>
      <w:bookmarkEnd w:id="442"/>
    </w:p>
    <w:p w14:paraId="4774D06E">
      <w:pPr>
        <w:spacing w:line="360" w:lineRule="auto"/>
        <w:ind w:left="479" w:leftChars="228"/>
        <w:rPr>
          <w:rFonts w:hint="eastAsia" w:ascii="宋体" w:hAnsi="宋体" w:eastAsia="宋体" w:cs="宋体"/>
          <w:sz w:val="24"/>
        </w:rPr>
      </w:pPr>
      <w:r>
        <w:rPr>
          <w:rFonts w:hint="eastAsia" w:ascii="宋体" w:hAnsi="宋体" w:eastAsia="宋体" w:cs="宋体"/>
          <w:sz w:val="24"/>
        </w:rPr>
        <w:t>二、合同金额: 根据实际工作结算。</w:t>
      </w:r>
    </w:p>
    <w:p w14:paraId="02806D56">
      <w:pPr>
        <w:spacing w:line="360" w:lineRule="auto"/>
        <w:jc w:val="center"/>
        <w:outlineLvl w:val="0"/>
        <w:rPr>
          <w:rFonts w:hint="eastAsia" w:ascii="宋体" w:hAnsi="宋体" w:eastAsia="宋体" w:cs="宋体"/>
          <w:sz w:val="24"/>
        </w:rPr>
      </w:pPr>
      <w:bookmarkStart w:id="443" w:name="_Toc2988"/>
      <w:bookmarkStart w:id="444" w:name="_Toc19591"/>
      <w:r>
        <w:rPr>
          <w:rFonts w:hint="eastAsia" w:ascii="宋体" w:hAnsi="宋体" w:eastAsia="宋体" w:cs="宋体"/>
          <w:sz w:val="24"/>
        </w:rPr>
        <w:t>《交易项目清单内容》</w:t>
      </w:r>
      <w:bookmarkEnd w:id="443"/>
      <w:bookmarkEnd w:id="444"/>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172"/>
        <w:gridCol w:w="2735"/>
        <w:gridCol w:w="2972"/>
      </w:tblGrid>
      <w:tr w14:paraId="7C2BC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14:paraId="65AEAF09">
            <w:pPr>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2172" w:type="dxa"/>
            <w:tcBorders>
              <w:top w:val="single" w:color="auto" w:sz="4" w:space="0"/>
              <w:left w:val="single" w:color="auto" w:sz="4" w:space="0"/>
              <w:bottom w:val="single" w:color="auto" w:sz="4" w:space="0"/>
              <w:right w:val="single" w:color="auto" w:sz="4" w:space="0"/>
            </w:tcBorders>
            <w:vAlign w:val="center"/>
          </w:tcPr>
          <w:p w14:paraId="7213BAED">
            <w:pPr>
              <w:spacing w:line="360" w:lineRule="auto"/>
              <w:jc w:val="center"/>
              <w:rPr>
                <w:rFonts w:hint="eastAsia" w:ascii="宋体" w:hAnsi="宋体" w:eastAsia="宋体" w:cs="宋体"/>
                <w:sz w:val="24"/>
              </w:rPr>
            </w:pPr>
            <w:r>
              <w:rPr>
                <w:rFonts w:hint="eastAsia" w:ascii="宋体" w:hAnsi="宋体" w:eastAsia="宋体" w:cs="宋体"/>
                <w:sz w:val="24"/>
              </w:rPr>
              <w:t>招标项目</w:t>
            </w:r>
          </w:p>
        </w:tc>
        <w:tc>
          <w:tcPr>
            <w:tcW w:w="2735" w:type="dxa"/>
            <w:tcBorders>
              <w:top w:val="single" w:color="auto" w:sz="4" w:space="0"/>
              <w:left w:val="single" w:color="auto" w:sz="4" w:space="0"/>
              <w:bottom w:val="single" w:color="auto" w:sz="4" w:space="0"/>
              <w:right w:val="single" w:color="auto" w:sz="4" w:space="0"/>
            </w:tcBorders>
            <w:vAlign w:val="center"/>
          </w:tcPr>
          <w:p w14:paraId="013A7E9B">
            <w:pPr>
              <w:spacing w:line="360" w:lineRule="auto"/>
              <w:jc w:val="center"/>
              <w:rPr>
                <w:rFonts w:hint="eastAsia" w:ascii="宋体" w:hAnsi="宋体" w:eastAsia="宋体" w:cs="宋体"/>
                <w:sz w:val="24"/>
              </w:rPr>
            </w:pPr>
            <w:r>
              <w:rPr>
                <w:rFonts w:hint="eastAsia" w:ascii="宋体" w:hAnsi="宋体" w:eastAsia="宋体" w:cs="宋体"/>
                <w:sz w:val="24"/>
              </w:rPr>
              <w:t>中标内容</w:t>
            </w:r>
          </w:p>
        </w:tc>
        <w:tc>
          <w:tcPr>
            <w:tcW w:w="2972" w:type="dxa"/>
            <w:tcBorders>
              <w:top w:val="single" w:color="auto" w:sz="4" w:space="0"/>
              <w:left w:val="single" w:color="auto" w:sz="4" w:space="0"/>
              <w:bottom w:val="single" w:color="auto" w:sz="4" w:space="0"/>
              <w:right w:val="single" w:color="auto" w:sz="4" w:space="0"/>
            </w:tcBorders>
            <w:vAlign w:val="center"/>
          </w:tcPr>
          <w:p w14:paraId="11A8C9AD">
            <w:pPr>
              <w:spacing w:line="360" w:lineRule="auto"/>
              <w:jc w:val="center"/>
              <w:rPr>
                <w:rFonts w:hint="eastAsia" w:ascii="宋体" w:hAnsi="宋体" w:eastAsia="宋体" w:cs="宋体"/>
                <w:sz w:val="24"/>
              </w:rPr>
            </w:pPr>
            <w:r>
              <w:rPr>
                <w:rFonts w:hint="eastAsia" w:ascii="宋体" w:hAnsi="宋体" w:eastAsia="宋体" w:cs="宋体"/>
                <w:sz w:val="24"/>
              </w:rPr>
              <w:t>成交下浮率%</w:t>
            </w:r>
          </w:p>
        </w:tc>
      </w:tr>
      <w:tr w14:paraId="05E5A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14:paraId="6CFDBAFD">
            <w:pPr>
              <w:spacing w:line="360" w:lineRule="auto"/>
              <w:jc w:val="center"/>
              <w:rPr>
                <w:rFonts w:hint="eastAsia" w:ascii="宋体" w:hAnsi="宋体" w:eastAsia="宋体" w:cs="宋体"/>
                <w:sz w:val="24"/>
              </w:rPr>
            </w:pPr>
            <w:r>
              <w:rPr>
                <w:rFonts w:hint="eastAsia" w:ascii="宋体" w:hAnsi="宋体" w:eastAsia="宋体" w:cs="宋体"/>
                <w:sz w:val="24"/>
              </w:rPr>
              <w:t>1</w:t>
            </w:r>
          </w:p>
        </w:tc>
        <w:tc>
          <w:tcPr>
            <w:tcW w:w="2172" w:type="dxa"/>
            <w:tcBorders>
              <w:top w:val="single" w:color="auto" w:sz="4" w:space="0"/>
              <w:left w:val="single" w:color="auto" w:sz="4" w:space="0"/>
              <w:bottom w:val="single" w:color="auto" w:sz="4" w:space="0"/>
              <w:right w:val="single" w:color="auto" w:sz="4" w:space="0"/>
            </w:tcBorders>
            <w:vAlign w:val="center"/>
          </w:tcPr>
          <w:p w14:paraId="3D13DD48">
            <w:pPr>
              <w:spacing w:line="360" w:lineRule="auto"/>
              <w:jc w:val="center"/>
              <w:rPr>
                <w:rFonts w:hint="eastAsia" w:ascii="宋体" w:hAnsi="宋体" w:eastAsia="宋体" w:cs="宋体"/>
                <w:sz w:val="24"/>
              </w:rPr>
            </w:pPr>
            <w:r>
              <w:rPr>
                <w:rFonts w:hint="eastAsia" w:ascii="宋体" w:hAnsi="宋体" w:eastAsia="宋体" w:cs="宋体"/>
                <w:sz w:val="24"/>
              </w:rPr>
              <w:t>粮油装卸、运输</w:t>
            </w:r>
          </w:p>
        </w:tc>
        <w:tc>
          <w:tcPr>
            <w:tcW w:w="2735" w:type="dxa"/>
            <w:tcBorders>
              <w:top w:val="single" w:color="auto" w:sz="4" w:space="0"/>
              <w:left w:val="single" w:color="auto" w:sz="4" w:space="0"/>
              <w:bottom w:val="single" w:color="auto" w:sz="4" w:space="0"/>
              <w:right w:val="single" w:color="auto" w:sz="4" w:space="0"/>
            </w:tcBorders>
            <w:vAlign w:val="center"/>
          </w:tcPr>
          <w:p w14:paraId="46B1EACE">
            <w:pPr>
              <w:spacing w:line="360" w:lineRule="auto"/>
              <w:jc w:val="center"/>
              <w:rPr>
                <w:rFonts w:hint="eastAsia" w:ascii="宋体" w:hAnsi="宋体" w:eastAsia="宋体" w:cs="宋体"/>
                <w:sz w:val="24"/>
              </w:rPr>
            </w:pPr>
            <w:r>
              <w:rPr>
                <w:rFonts w:hint="eastAsia" w:ascii="宋体" w:hAnsi="宋体" w:eastAsia="宋体" w:cs="宋体"/>
                <w:sz w:val="24"/>
              </w:rPr>
              <w:t>粮油装卸、运输</w:t>
            </w:r>
          </w:p>
        </w:tc>
        <w:tc>
          <w:tcPr>
            <w:tcW w:w="2972" w:type="dxa"/>
            <w:tcBorders>
              <w:top w:val="single" w:color="auto" w:sz="4" w:space="0"/>
              <w:left w:val="single" w:color="auto" w:sz="4" w:space="0"/>
              <w:bottom w:val="single" w:color="auto" w:sz="4" w:space="0"/>
              <w:right w:val="single" w:color="auto" w:sz="4" w:space="0"/>
            </w:tcBorders>
            <w:vAlign w:val="center"/>
          </w:tcPr>
          <w:p w14:paraId="37D0A1F1">
            <w:pPr>
              <w:spacing w:line="360" w:lineRule="auto"/>
              <w:jc w:val="center"/>
              <w:rPr>
                <w:rFonts w:hint="eastAsia" w:ascii="宋体" w:hAnsi="宋体" w:eastAsia="宋体" w:cs="宋体"/>
                <w:sz w:val="24"/>
              </w:rPr>
            </w:pPr>
          </w:p>
        </w:tc>
      </w:tr>
      <w:tr w14:paraId="4BEE9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14:paraId="67F9F020">
            <w:pPr>
              <w:spacing w:line="360" w:lineRule="auto"/>
              <w:jc w:val="center"/>
              <w:rPr>
                <w:rFonts w:hint="eastAsia" w:ascii="宋体" w:hAnsi="宋体" w:eastAsia="宋体" w:cs="宋体"/>
                <w:sz w:val="24"/>
              </w:rPr>
            </w:pPr>
            <w:r>
              <w:rPr>
                <w:rFonts w:hint="eastAsia" w:ascii="宋体" w:hAnsi="宋体" w:eastAsia="宋体" w:cs="宋体"/>
                <w:sz w:val="24"/>
              </w:rPr>
              <w:t>说明</w:t>
            </w:r>
          </w:p>
        </w:tc>
        <w:tc>
          <w:tcPr>
            <w:tcW w:w="7879" w:type="dxa"/>
            <w:gridSpan w:val="3"/>
            <w:tcBorders>
              <w:top w:val="single" w:color="auto" w:sz="4" w:space="0"/>
              <w:left w:val="single" w:color="auto" w:sz="4" w:space="0"/>
              <w:bottom w:val="single" w:color="auto" w:sz="4" w:space="0"/>
              <w:right w:val="single" w:color="auto" w:sz="4" w:space="0"/>
            </w:tcBorders>
            <w:vAlign w:val="center"/>
          </w:tcPr>
          <w:p w14:paraId="6E77BADB">
            <w:pPr>
              <w:spacing w:line="360" w:lineRule="auto"/>
              <w:rPr>
                <w:rFonts w:hint="eastAsia" w:ascii="宋体" w:hAnsi="宋体" w:eastAsia="宋体" w:cs="宋体"/>
                <w:sz w:val="24"/>
              </w:rPr>
            </w:pPr>
            <w:r>
              <w:rPr>
                <w:rFonts w:hint="eastAsia" w:ascii="宋体" w:hAnsi="宋体" w:eastAsia="宋体" w:cs="宋体"/>
                <w:sz w:val="24"/>
              </w:rPr>
              <w:t>各子项统一下浮，详见附表。</w:t>
            </w:r>
          </w:p>
        </w:tc>
      </w:tr>
    </w:tbl>
    <w:p w14:paraId="799BBDE3">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三、技术资料</w:t>
      </w:r>
    </w:p>
    <w:p w14:paraId="45D89D27">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1.乙方应按招标文件规定的时间向甲方提供有关技术资料。</w:t>
      </w:r>
    </w:p>
    <w:p w14:paraId="1B42721F">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15351CC">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四、知识产权</w:t>
      </w:r>
    </w:p>
    <w:p w14:paraId="3313C622">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乙方应保证提供服务过程中不会侵犯任何第三方的知识产权。</w:t>
      </w:r>
    </w:p>
    <w:p w14:paraId="5CAD5F8E">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五、履约保证金</w:t>
      </w:r>
    </w:p>
    <w:p w14:paraId="7CEE4ED4">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乙方交纳人民币</w:t>
      </w:r>
      <w:r>
        <w:rPr>
          <w:rFonts w:hint="eastAsia" w:ascii="宋体" w:hAnsi="宋体" w:eastAsia="宋体" w:cs="宋体"/>
          <w:b/>
          <w:color w:val="000000" w:themeColor="text1"/>
          <w:sz w:val="24"/>
          <w14:textFill>
            <w14:solidFill>
              <w14:schemeClr w14:val="tx1"/>
            </w14:solidFill>
          </w14:textFill>
        </w:rPr>
        <w:t>柒万元整（</w:t>
      </w:r>
      <w:r>
        <w:rPr>
          <w:rFonts w:hint="eastAsia" w:ascii="宋体" w:hAnsi="宋体" w:eastAsia="宋体" w:cs="宋体"/>
          <w:b/>
          <w:color w:val="000000" w:themeColor="text1"/>
          <w:sz w:val="24"/>
          <w:u w:val="single"/>
          <w14:textFill>
            <w14:solidFill>
              <w14:schemeClr w14:val="tx1"/>
            </w14:solidFill>
          </w14:textFill>
        </w:rPr>
        <w:t>￥：70000.00）</w:t>
      </w:r>
      <w:r>
        <w:rPr>
          <w:rFonts w:hint="eastAsia" w:ascii="宋体" w:hAnsi="宋体" w:eastAsia="宋体" w:cs="宋体"/>
          <w:b/>
          <w:color w:val="000000" w:themeColor="text1"/>
          <w:sz w:val="24"/>
          <w14:textFill>
            <w14:solidFill>
              <w14:schemeClr w14:val="tx1"/>
            </w14:solidFill>
          </w14:textFill>
        </w:rPr>
        <w:t>作</w:t>
      </w:r>
      <w:r>
        <w:rPr>
          <w:rFonts w:hint="eastAsia" w:ascii="宋体" w:hAnsi="宋体" w:eastAsia="宋体" w:cs="宋体"/>
          <w:color w:val="000000" w:themeColor="text1"/>
          <w:sz w:val="24"/>
          <w14:textFill>
            <w14:solidFill>
              <w14:schemeClr w14:val="tx1"/>
            </w14:solidFill>
          </w14:textFill>
        </w:rPr>
        <w:t>为本合同的履约保证金。</w:t>
      </w:r>
    </w:p>
    <w:p w14:paraId="2E15B0C0">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六、转包或分包</w:t>
      </w:r>
    </w:p>
    <w:p w14:paraId="7535D0F5">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1.本合同范围的服务，应由乙方直接负责，不得转让他人；</w:t>
      </w:r>
    </w:p>
    <w:p w14:paraId="196DEE0A">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2.除非得到甲方的书面同意，乙方不得将本合同范围的服务全部或部分分包给他人；</w:t>
      </w:r>
    </w:p>
    <w:p w14:paraId="37139BDE">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3.如有转让和未经甲方同意的分包行为，甲方有权解除合同，没收履约保证金并追究乙方的违约责任。</w:t>
      </w:r>
    </w:p>
    <w:p w14:paraId="61BFB82F">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七、服务质量保证期和服务质量保证金</w:t>
      </w:r>
    </w:p>
    <w:p w14:paraId="2A817B3B">
      <w:pPr>
        <w:spacing w:line="360" w:lineRule="auto"/>
        <w:ind w:firstLine="480" w:firstLineChars="200"/>
        <w:outlineLvl w:val="0"/>
        <w:rPr>
          <w:rFonts w:hint="eastAsia" w:ascii="宋体" w:hAnsi="宋体" w:eastAsia="宋体" w:cs="宋体"/>
          <w:color w:val="000000" w:themeColor="text1"/>
          <w:sz w:val="24"/>
          <w14:textFill>
            <w14:solidFill>
              <w14:schemeClr w14:val="tx1"/>
            </w14:solidFill>
          </w14:textFill>
        </w:rPr>
      </w:pPr>
      <w:bookmarkStart w:id="445" w:name="_Toc10038"/>
      <w:bookmarkStart w:id="446" w:name="_Toc28879"/>
      <w:r>
        <w:rPr>
          <w:rFonts w:hint="eastAsia" w:ascii="宋体" w:hAnsi="宋体" w:eastAsia="宋体" w:cs="宋体"/>
          <w:color w:val="000000" w:themeColor="text1"/>
          <w:sz w:val="24"/>
          <w14:textFill>
            <w14:solidFill>
              <w14:schemeClr w14:val="tx1"/>
            </w14:solidFill>
          </w14:textFill>
        </w:rPr>
        <w:t>1. 服务有效期</w:t>
      </w:r>
      <w:r>
        <w:rPr>
          <w:rFonts w:hint="eastAsia" w:ascii="宋体" w:hAnsi="宋体" w:eastAsia="宋体" w:cs="宋体"/>
          <w:color w:val="000000" w:themeColor="text1"/>
          <w:sz w:val="24"/>
          <w:u w:val="single"/>
          <w14:textFill>
            <w14:solidFill>
              <w14:schemeClr w14:val="tx1"/>
            </w14:solidFill>
          </w14:textFill>
        </w:rPr>
        <w:t xml:space="preserve"> 二 </w:t>
      </w:r>
      <w:r>
        <w:rPr>
          <w:rFonts w:hint="eastAsia" w:ascii="宋体" w:hAnsi="宋体" w:eastAsia="宋体" w:cs="宋体"/>
          <w:color w:val="000000" w:themeColor="text1"/>
          <w:sz w:val="24"/>
          <w14:textFill>
            <w14:solidFill>
              <w14:schemeClr w14:val="tx1"/>
            </w14:solidFill>
          </w14:textFill>
        </w:rPr>
        <w:t>年</w:t>
      </w:r>
      <w:bookmarkEnd w:id="445"/>
      <w:bookmarkEnd w:id="446"/>
      <w:r>
        <w:rPr>
          <w:rFonts w:hint="eastAsia" w:ascii="宋体" w:hAnsi="宋体" w:eastAsia="宋体" w:cs="宋体"/>
          <w:color w:val="000000" w:themeColor="text1"/>
          <w:sz w:val="24"/>
          <w14:textFill>
            <w14:solidFill>
              <w14:schemeClr w14:val="tx1"/>
            </w14:solidFill>
          </w14:textFill>
        </w:rPr>
        <w:t>。</w:t>
      </w:r>
    </w:p>
    <w:p w14:paraId="12C0ADFE">
      <w:pPr>
        <w:spacing w:line="360" w:lineRule="auto"/>
        <w:ind w:firstLine="480" w:firstLineChars="200"/>
        <w:outlineLvl w:val="0"/>
        <w:rPr>
          <w:rFonts w:hint="eastAsia" w:ascii="宋体" w:hAnsi="宋体" w:eastAsia="宋体" w:cs="宋体"/>
          <w:color w:val="000000" w:themeColor="text1"/>
          <w:sz w:val="24"/>
          <w14:textFill>
            <w14:solidFill>
              <w14:schemeClr w14:val="tx1"/>
            </w14:solidFill>
          </w14:textFill>
        </w:rPr>
      </w:pPr>
      <w:bookmarkStart w:id="447" w:name="_Toc14903"/>
      <w:bookmarkStart w:id="448" w:name="_Toc30158"/>
      <w:r>
        <w:rPr>
          <w:rFonts w:hint="eastAsia" w:ascii="宋体" w:hAnsi="宋体" w:eastAsia="宋体" w:cs="宋体"/>
          <w:color w:val="000000" w:themeColor="text1"/>
          <w:sz w:val="24"/>
          <w14:textFill>
            <w14:solidFill>
              <w14:schemeClr w14:val="tx1"/>
            </w14:solidFill>
          </w14:textFill>
        </w:rPr>
        <w:t>2. 服务质量保证金</w:t>
      </w:r>
      <w:r>
        <w:rPr>
          <w:rFonts w:hint="eastAsia" w:ascii="宋体" w:hAnsi="宋体" w:eastAsia="宋体" w:cs="宋体"/>
          <w:color w:val="000000" w:themeColor="text1"/>
          <w:sz w:val="24"/>
          <w:u w:val="single"/>
          <w14:textFill>
            <w14:solidFill>
              <w14:schemeClr w14:val="tx1"/>
            </w14:solidFill>
          </w14:textFill>
        </w:rPr>
        <w:t xml:space="preserve">   /   </w:t>
      </w:r>
      <w:r>
        <w:rPr>
          <w:rFonts w:hint="eastAsia" w:ascii="宋体" w:hAnsi="宋体" w:eastAsia="宋体" w:cs="宋体"/>
          <w:color w:val="000000" w:themeColor="text1"/>
          <w:sz w:val="24"/>
          <w14:textFill>
            <w14:solidFill>
              <w14:schemeClr w14:val="tx1"/>
            </w14:solidFill>
          </w14:textFill>
        </w:rPr>
        <w:t>元。</w:t>
      </w:r>
      <w:bookmarkEnd w:id="447"/>
      <w:bookmarkEnd w:id="448"/>
    </w:p>
    <w:p w14:paraId="504EB481">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八、合同履行时间、履行方式及履行地点</w:t>
      </w:r>
    </w:p>
    <w:p w14:paraId="0B687D7A">
      <w:pPr>
        <w:spacing w:line="360" w:lineRule="auto"/>
        <w:ind w:firstLine="480" w:firstLineChars="200"/>
        <w:outlineLvl w:val="0"/>
        <w:rPr>
          <w:rFonts w:hint="eastAsia" w:ascii="宋体" w:hAnsi="宋体" w:eastAsia="宋体" w:cs="宋体"/>
          <w:color w:val="000000" w:themeColor="text1"/>
          <w:sz w:val="24"/>
          <w14:textFill>
            <w14:solidFill>
              <w14:schemeClr w14:val="tx1"/>
            </w14:solidFill>
          </w14:textFill>
        </w:rPr>
      </w:pPr>
      <w:bookmarkStart w:id="449" w:name="_Toc18942"/>
      <w:bookmarkStart w:id="450" w:name="_Toc31883"/>
      <w:r>
        <w:rPr>
          <w:rFonts w:hint="eastAsia" w:ascii="宋体" w:hAnsi="宋体" w:eastAsia="宋体" w:cs="宋体"/>
          <w:color w:val="000000" w:themeColor="text1"/>
          <w:sz w:val="24"/>
          <w14:textFill>
            <w14:solidFill>
              <w14:schemeClr w14:val="tx1"/>
            </w14:solidFill>
          </w14:textFill>
        </w:rPr>
        <w:t>1. 履行时间：</w:t>
      </w:r>
      <w:bookmarkEnd w:id="449"/>
      <w:bookmarkEnd w:id="450"/>
      <w:r>
        <w:rPr>
          <w:rFonts w:hint="eastAsia" w:ascii="宋体" w:hAnsi="宋体" w:eastAsia="宋体" w:cs="宋体"/>
          <w:color w:val="000000" w:themeColor="text1"/>
          <w:sz w:val="24"/>
          <w14:textFill>
            <w14:solidFill>
              <w14:schemeClr w14:val="tx1"/>
            </w14:solidFill>
          </w14:textFill>
        </w:rPr>
        <w:t>合同签订之日起</w:t>
      </w:r>
    </w:p>
    <w:p w14:paraId="3268703D">
      <w:pPr>
        <w:spacing w:line="360" w:lineRule="auto"/>
        <w:ind w:firstLine="480" w:firstLineChars="200"/>
        <w:outlineLvl w:val="0"/>
        <w:rPr>
          <w:rFonts w:hint="eastAsia" w:ascii="宋体" w:hAnsi="宋体" w:eastAsia="宋体" w:cs="宋体"/>
          <w:color w:val="000000" w:themeColor="text1"/>
          <w:sz w:val="24"/>
          <w14:textFill>
            <w14:solidFill>
              <w14:schemeClr w14:val="tx1"/>
            </w14:solidFill>
          </w14:textFill>
        </w:rPr>
      </w:pPr>
      <w:bookmarkStart w:id="451" w:name="_Toc9018"/>
      <w:bookmarkStart w:id="452" w:name="_Toc32503"/>
      <w:r>
        <w:rPr>
          <w:rFonts w:hint="eastAsia" w:ascii="宋体" w:hAnsi="宋体" w:eastAsia="宋体" w:cs="宋体"/>
          <w:color w:val="000000" w:themeColor="text1"/>
          <w:sz w:val="24"/>
          <w14:textFill>
            <w14:solidFill>
              <w14:schemeClr w14:val="tx1"/>
            </w14:solidFill>
          </w14:textFill>
        </w:rPr>
        <w:t xml:space="preserve">2. </w:t>
      </w:r>
      <w:bookmarkEnd w:id="451"/>
      <w:bookmarkEnd w:id="452"/>
      <w:bookmarkStart w:id="453" w:name="_Toc430"/>
      <w:bookmarkStart w:id="454" w:name="_Toc10541"/>
      <w:r>
        <w:rPr>
          <w:rFonts w:hint="eastAsia" w:ascii="宋体" w:hAnsi="宋体" w:eastAsia="宋体" w:cs="宋体"/>
          <w:color w:val="000000" w:themeColor="text1"/>
          <w:sz w:val="24"/>
          <w14:textFill>
            <w14:solidFill>
              <w14:schemeClr w14:val="tx1"/>
            </w14:solidFill>
          </w14:textFill>
        </w:rPr>
        <w:t>履行地点：</w:t>
      </w:r>
      <w:bookmarkEnd w:id="453"/>
      <w:bookmarkEnd w:id="454"/>
      <w:r>
        <w:rPr>
          <w:rFonts w:hint="eastAsia" w:ascii="宋体" w:hAnsi="宋体" w:eastAsia="宋体" w:cs="宋体"/>
          <w:color w:val="000000" w:themeColor="text1"/>
          <w:sz w:val="24"/>
          <w14:textFill>
            <w14:solidFill>
              <w14:schemeClr w14:val="tx1"/>
            </w14:solidFill>
          </w14:textFill>
        </w:rPr>
        <w:t>萧山、钱塘区范围内。</w:t>
      </w:r>
    </w:p>
    <w:p w14:paraId="5B6C85C0">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九、款项支付</w:t>
      </w:r>
    </w:p>
    <w:p w14:paraId="55D800C5">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1.付款方式：以完成一批次粮食装卸服务或运输服务为单位，由公司下属粮库出具相关凭证后进行结算，预审通过后开具</w:t>
      </w:r>
      <w:r>
        <w:rPr>
          <w:rFonts w:hint="eastAsia" w:ascii="宋体" w:hAnsi="宋体" w:eastAsia="宋体" w:cs="宋体"/>
          <w:color w:val="000000" w:themeColor="text1"/>
          <w:sz w:val="24"/>
          <w:lang w:val="en-US" w:eastAsia="zh-CN"/>
          <w14:textFill>
            <w14:solidFill>
              <w14:schemeClr w14:val="tx1"/>
            </w14:solidFill>
          </w14:textFill>
        </w:rPr>
        <w:t>发票进行结算</w:t>
      </w:r>
      <w:r>
        <w:rPr>
          <w:rFonts w:hint="eastAsia" w:ascii="宋体" w:hAnsi="宋体" w:eastAsia="宋体" w:cs="宋体"/>
          <w:color w:val="000000" w:themeColor="text1"/>
          <w:sz w:val="24"/>
          <w14:textFill>
            <w14:solidFill>
              <w14:schemeClr w14:val="tx1"/>
            </w14:solidFill>
          </w14:textFill>
        </w:rPr>
        <w:t>，一般在15个工作日内支付。</w:t>
      </w:r>
    </w:p>
    <w:p w14:paraId="6D106158">
      <w:pPr>
        <w:pStyle w:val="217"/>
        <w:spacing w:before="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2.合同履行完毕，</w:t>
      </w:r>
      <w:r>
        <w:rPr>
          <w:rFonts w:hint="eastAsia" w:ascii="宋体" w:hAnsi="宋体" w:eastAsia="宋体" w:cs="宋体"/>
          <w:color w:val="000000" w:themeColor="text1"/>
          <w14:textFill>
            <w14:solidFill>
              <w14:schemeClr w14:val="tx1"/>
            </w14:solidFill>
          </w14:textFill>
        </w:rPr>
        <w:t>服务良好，无投诉、无服务质量问题，服务期满后原额归还履约保证金，不计息。</w:t>
      </w:r>
    </w:p>
    <w:p w14:paraId="72FA5774">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十、税费</w:t>
      </w:r>
    </w:p>
    <w:p w14:paraId="5ADA7FA9">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本合同执行中相关的一切税费均由乙方负担。</w:t>
      </w:r>
    </w:p>
    <w:p w14:paraId="4FC5BED7">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十一、服务质量及后续服务</w:t>
      </w:r>
    </w:p>
    <w:p w14:paraId="39DEEF66">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 乙方应按招标文件规定向甲方提供服务。</w:t>
      </w:r>
    </w:p>
    <w:p w14:paraId="608330A2">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 乙方提供的服务质量未达到要求的按以下办法处理：</w:t>
      </w:r>
    </w:p>
    <w:p w14:paraId="77AF0DE9">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⑴重做：由乙方承担所发生的全部费用。</w:t>
      </w:r>
    </w:p>
    <w:p w14:paraId="6968E797">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⑵解除合同：重做未达到要求而又拒绝整改的。</w:t>
      </w:r>
    </w:p>
    <w:p w14:paraId="7F4BBE95">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 如在服务过程中发生问题，乙方在接到甲方通知后在</w:t>
      </w:r>
      <w:r>
        <w:rPr>
          <w:rFonts w:hint="eastAsia" w:ascii="宋体" w:hAnsi="宋体" w:eastAsia="宋体" w:cs="宋体"/>
          <w:color w:val="000000" w:themeColor="text1"/>
          <w:sz w:val="24"/>
          <w:u w:val="single"/>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小时内到达甲方现场。</w:t>
      </w:r>
    </w:p>
    <w:p w14:paraId="29909496">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4.在服务质量保证期内，乙方应对出现的质量及安全问题负责处理解决并承担一切费用。</w:t>
      </w:r>
    </w:p>
    <w:p w14:paraId="12DBF87A">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十二、违约责任</w:t>
      </w:r>
    </w:p>
    <w:p w14:paraId="615B0608">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1.甲方无正当理由拒绝接收服务的，甲方向乙方偿付合同款项百分之</w:t>
      </w:r>
      <w:r>
        <w:rPr>
          <w:rFonts w:hint="eastAsia" w:ascii="宋体" w:hAnsi="宋体" w:eastAsia="宋体" w:cs="宋体"/>
          <w:color w:val="000000" w:themeColor="text1"/>
          <w:sz w:val="24"/>
          <w:u w:val="single"/>
          <w14:textFill>
            <w14:solidFill>
              <w14:schemeClr w14:val="tx1"/>
            </w14:solidFill>
          </w14:textFill>
        </w:rPr>
        <w:t xml:space="preserve"> 五 </w:t>
      </w:r>
      <w:r>
        <w:rPr>
          <w:rFonts w:hint="eastAsia" w:ascii="宋体" w:hAnsi="宋体" w:eastAsia="宋体" w:cs="宋体"/>
          <w:color w:val="000000" w:themeColor="text1"/>
          <w:sz w:val="24"/>
          <w14:textFill>
            <w14:solidFill>
              <w14:schemeClr w14:val="tx1"/>
            </w14:solidFill>
          </w14:textFill>
        </w:rPr>
        <w:t>作为违约金。</w:t>
      </w:r>
    </w:p>
    <w:p w14:paraId="4AC1623C">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2.甲方无故逾期验收和办理款项支付手续的，甲方应按逾期付款总额每日万分之</w:t>
      </w:r>
      <w:r>
        <w:rPr>
          <w:rFonts w:hint="eastAsia" w:ascii="宋体" w:hAnsi="宋体" w:eastAsia="宋体" w:cs="宋体"/>
          <w:color w:val="000000" w:themeColor="text1"/>
          <w:sz w:val="24"/>
          <w:u w:val="single"/>
          <w14:textFill>
            <w14:solidFill>
              <w14:schemeClr w14:val="tx1"/>
            </w14:solidFill>
          </w14:textFill>
        </w:rPr>
        <w:t xml:space="preserve"> 五</w:t>
      </w:r>
      <w:r>
        <w:rPr>
          <w:rFonts w:hint="eastAsia" w:ascii="宋体" w:hAnsi="宋体" w:eastAsia="宋体" w:cs="宋体"/>
          <w:color w:val="000000" w:themeColor="text1"/>
          <w:sz w:val="24"/>
          <w14:textFill>
            <w14:solidFill>
              <w14:schemeClr w14:val="tx1"/>
            </w14:solidFill>
          </w14:textFill>
        </w:rPr>
        <w:t>向乙方支付违约金。</w:t>
      </w:r>
    </w:p>
    <w:p w14:paraId="3966C8D4">
      <w:pPr>
        <w:spacing w:line="360" w:lineRule="auto"/>
        <w:ind w:firstLine="482" w:firstLineChars="200"/>
        <w:rPr>
          <w:rFonts w:hint="eastAsia" w:ascii="宋体" w:hAnsi="宋体" w:eastAsia="宋体" w:cs="宋体"/>
          <w:b/>
          <w:color w:val="000000" w:themeColor="text1"/>
          <w:sz w:val="24"/>
          <w:u w:val="single"/>
          <w14:textFill>
            <w14:solidFill>
              <w14:schemeClr w14:val="tx1"/>
            </w14:solidFill>
          </w14:textFill>
        </w:rPr>
      </w:pPr>
      <w:r>
        <w:rPr>
          <w:rFonts w:hint="eastAsia" w:ascii="宋体" w:hAnsi="宋体" w:eastAsia="宋体" w:cs="宋体"/>
          <w:b/>
          <w:color w:val="000000" w:themeColor="text1"/>
          <w:sz w:val="24"/>
          <w:u w:val="single"/>
          <w14:textFill>
            <w14:solidFill>
              <w14:schemeClr w14:val="tx1"/>
            </w14:solidFill>
          </w14:textFill>
        </w:rPr>
        <w:t>3.乙方存在下列情形之一的视为违约并扣除全额履约保证金，合同终止。</w:t>
      </w:r>
    </w:p>
    <w:p w14:paraId="09FDFB56">
      <w:pPr>
        <w:spacing w:line="360" w:lineRule="auto"/>
        <w:ind w:firstLine="482" w:firstLineChars="200"/>
        <w:rPr>
          <w:rFonts w:hint="eastAsia" w:ascii="宋体" w:hAnsi="宋体" w:eastAsia="宋体" w:cs="宋体"/>
          <w:b/>
          <w:color w:val="000000" w:themeColor="text1"/>
          <w:sz w:val="24"/>
          <w:u w:val="single"/>
          <w14:textFill>
            <w14:solidFill>
              <w14:schemeClr w14:val="tx1"/>
            </w14:solidFill>
          </w14:textFill>
        </w:rPr>
      </w:pPr>
      <w:r>
        <w:rPr>
          <w:rFonts w:hint="eastAsia" w:ascii="宋体" w:hAnsi="宋体" w:eastAsia="宋体" w:cs="宋体"/>
          <w:b/>
          <w:color w:val="000000" w:themeColor="text1"/>
          <w:sz w:val="24"/>
          <w:u w:val="single"/>
          <w14:textFill>
            <w14:solidFill>
              <w14:schemeClr w14:val="tx1"/>
            </w14:solidFill>
          </w14:textFill>
        </w:rPr>
        <w:t>（1）一年内累计出现三次在规定时间内不能完成的额定任务，第一次警告；第二次严重警告；第三次视为违约。</w:t>
      </w:r>
    </w:p>
    <w:p w14:paraId="6748F65C">
      <w:pPr>
        <w:spacing w:line="360" w:lineRule="auto"/>
        <w:ind w:firstLine="482" w:firstLineChars="200"/>
        <w:rPr>
          <w:rFonts w:hint="eastAsia" w:ascii="宋体" w:hAnsi="宋体" w:eastAsia="宋体" w:cs="宋体"/>
          <w:b/>
          <w:color w:val="000000" w:themeColor="text1"/>
          <w:sz w:val="24"/>
          <w:u w:val="single"/>
          <w14:textFill>
            <w14:solidFill>
              <w14:schemeClr w14:val="tx1"/>
            </w14:solidFill>
          </w14:textFill>
        </w:rPr>
      </w:pPr>
      <w:r>
        <w:rPr>
          <w:rFonts w:hint="eastAsia" w:ascii="宋体" w:hAnsi="宋体" w:eastAsia="宋体" w:cs="宋体"/>
          <w:b/>
          <w:color w:val="000000" w:themeColor="text1"/>
          <w:sz w:val="24"/>
          <w:u w:val="single"/>
          <w14:textFill>
            <w14:solidFill>
              <w14:schemeClr w14:val="tx1"/>
            </w14:solidFill>
          </w14:textFill>
        </w:rPr>
        <w:t>（2）在合同履行和粮食收购集运期间，不按甲方规定的调度要求，未能完成装卸运输任务，影响粮食收购的。</w:t>
      </w:r>
    </w:p>
    <w:p w14:paraId="502C28E5">
      <w:pPr>
        <w:spacing w:line="360" w:lineRule="auto"/>
        <w:ind w:firstLine="482" w:firstLineChars="200"/>
        <w:rPr>
          <w:rFonts w:hint="eastAsia" w:ascii="宋体" w:hAnsi="宋体" w:eastAsia="宋体" w:cs="宋体"/>
          <w:b/>
          <w:color w:val="000000" w:themeColor="text1"/>
          <w:sz w:val="24"/>
          <w:u w:val="single"/>
          <w14:textFill>
            <w14:solidFill>
              <w14:schemeClr w14:val="tx1"/>
            </w14:solidFill>
          </w14:textFill>
        </w:rPr>
      </w:pPr>
      <w:r>
        <w:rPr>
          <w:rFonts w:hint="eastAsia" w:ascii="宋体" w:hAnsi="宋体" w:eastAsia="宋体" w:cs="宋体"/>
          <w:b/>
          <w:color w:val="000000" w:themeColor="text1"/>
          <w:sz w:val="24"/>
          <w:u w:val="single"/>
          <w14:textFill>
            <w14:solidFill>
              <w14:schemeClr w14:val="tx1"/>
            </w14:solidFill>
          </w14:textFill>
        </w:rPr>
        <w:t>（3）粮食运输过程中，因安全防护不到位给运输物资造成直接经济损失的，且一次损失金额在5万以上的，同时全额赔偿甲方损失并扣除全额履约保证金</w:t>
      </w:r>
      <w:r>
        <w:rPr>
          <w:rFonts w:hint="eastAsia" w:ascii="宋体" w:hAnsi="宋体" w:eastAsia="宋体" w:cs="宋体"/>
          <w:b/>
          <w:color w:val="000000" w:themeColor="text1"/>
          <w:sz w:val="24"/>
          <w14:textFill>
            <w14:solidFill>
              <w14:schemeClr w14:val="tx1"/>
            </w14:solidFill>
          </w14:textFill>
        </w:rPr>
        <w:t>。</w:t>
      </w:r>
    </w:p>
    <w:p w14:paraId="406AAD2E">
      <w:pPr>
        <w:pStyle w:val="2"/>
        <w:numPr>
          <w:ilvl w:val="0"/>
          <w:numId w:val="0"/>
        </w:numPr>
        <w:spacing w:before="0" w:after="0" w:line="360" w:lineRule="auto"/>
        <w:ind w:firstLine="482" w:firstLineChars="2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u w:val="single"/>
          <w14:textFill>
            <w14:solidFill>
              <w14:schemeClr w14:val="tx1"/>
            </w14:solidFill>
          </w14:textFill>
        </w:rPr>
        <w:t>不服从安全管理、违章作业、违反国有粮库有关管理制度和法规的，给甲方造成经济损失或对甲方企业声誉产生严重不利影响的，扣除全额履约保证金并赔偿甲方损失。</w:t>
      </w:r>
    </w:p>
    <w:p w14:paraId="567CBD08">
      <w:pPr>
        <w:spacing w:line="360" w:lineRule="auto"/>
        <w:ind w:firstLine="472" w:firstLineChars="196"/>
        <w:rPr>
          <w:rFonts w:hint="eastAsia" w:ascii="宋体" w:hAnsi="宋体" w:eastAsia="宋体" w:cs="宋体"/>
          <w:b/>
          <w:color w:val="000000" w:themeColor="text1"/>
          <w:sz w:val="24"/>
          <w:u w:val="single"/>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（5）</w:t>
      </w:r>
      <w:r>
        <w:rPr>
          <w:rFonts w:hint="eastAsia" w:ascii="宋体" w:hAnsi="宋体" w:eastAsia="宋体" w:cs="宋体"/>
          <w:b/>
          <w:color w:val="000000" w:themeColor="text1"/>
          <w:sz w:val="24"/>
          <w:u w:val="single"/>
          <w14:textFill>
            <w14:solidFill>
              <w14:schemeClr w14:val="tx1"/>
            </w14:solidFill>
          </w14:textFill>
        </w:rPr>
        <w:t>履约期间投保人数低于投标服务人数80%的。</w:t>
      </w:r>
    </w:p>
    <w:p w14:paraId="76C51D85">
      <w:pPr>
        <w:spacing w:line="360" w:lineRule="auto"/>
        <w:ind w:firstLine="472" w:firstLineChars="196"/>
        <w:rPr>
          <w:rFonts w:hint="eastAsia" w:ascii="宋体" w:hAnsi="宋体" w:eastAsia="宋体" w:cs="宋体"/>
          <w:b/>
          <w:color w:val="000000" w:themeColor="text1"/>
          <w:sz w:val="24"/>
          <w:u w:val="single"/>
          <w14:textFill>
            <w14:solidFill>
              <w14:schemeClr w14:val="tx1"/>
            </w14:solidFill>
          </w14:textFill>
        </w:rPr>
      </w:pPr>
      <w:r>
        <w:rPr>
          <w:rFonts w:hint="eastAsia" w:ascii="宋体" w:hAnsi="宋体" w:eastAsia="宋体" w:cs="宋体"/>
          <w:b/>
          <w:color w:val="000000" w:themeColor="text1"/>
          <w:sz w:val="24"/>
          <w:u w:val="single"/>
          <w14:textFill>
            <w14:solidFill>
              <w14:schemeClr w14:val="tx1"/>
            </w14:solidFill>
          </w14:textFill>
        </w:rPr>
        <w:t>（6） 提前一天通知的服务人员必须准时到达工作地点，临时通知的一般要求在2小时内到达工作地点，无正当理由五次以上不及时开展工作的。</w:t>
      </w:r>
    </w:p>
    <w:p w14:paraId="70C02285">
      <w:pPr>
        <w:spacing w:line="360" w:lineRule="auto"/>
        <w:ind w:firstLine="480" w:firstLineChars="200"/>
        <w:rPr>
          <w:rFonts w:hint="eastAsia" w:ascii="宋体" w:hAnsi="宋体" w:eastAsia="宋体" w:cs="宋体"/>
          <w:sz w:val="24"/>
        </w:rPr>
      </w:pPr>
      <w:r>
        <w:rPr>
          <w:rFonts w:hint="eastAsia" w:ascii="宋体" w:hAnsi="宋体" w:eastAsia="宋体" w:cs="宋体"/>
          <w:sz w:val="24"/>
        </w:rPr>
        <w:t>4.如发现乙方违反招投标文件和合同的有关规定，甲方有权根据约定和《杭州市政府招标投标人合同履行和售后服务考核暂行办法》，对乙方进行处罚，并有权提前终止合同。</w:t>
      </w:r>
    </w:p>
    <w:p w14:paraId="493254B6">
      <w:pPr>
        <w:spacing w:line="360" w:lineRule="auto"/>
        <w:ind w:firstLine="480" w:firstLineChars="200"/>
        <w:rPr>
          <w:rFonts w:hint="eastAsia" w:ascii="宋体" w:hAnsi="宋体" w:eastAsia="宋体" w:cs="宋体"/>
          <w:sz w:val="24"/>
        </w:rPr>
      </w:pPr>
      <w:r>
        <w:rPr>
          <w:rFonts w:hint="eastAsia" w:ascii="宋体" w:hAnsi="宋体" w:eastAsia="宋体" w:cs="宋体"/>
          <w:sz w:val="24"/>
        </w:rPr>
        <w:t>十三、合同中未涉及的内容以招标文件为准。</w:t>
      </w:r>
    </w:p>
    <w:p w14:paraId="7040F9B9">
      <w:pPr>
        <w:spacing w:line="360" w:lineRule="auto"/>
        <w:ind w:firstLine="480" w:firstLineChars="200"/>
        <w:rPr>
          <w:rFonts w:hint="eastAsia" w:ascii="宋体" w:hAnsi="宋体" w:eastAsia="宋体" w:cs="宋体"/>
          <w:sz w:val="24"/>
        </w:rPr>
      </w:pPr>
      <w:r>
        <w:rPr>
          <w:rFonts w:hint="eastAsia" w:ascii="宋体" w:hAnsi="宋体" w:eastAsia="宋体" w:cs="宋体"/>
          <w:sz w:val="24"/>
        </w:rPr>
        <w:t>十四、争议的解决</w:t>
      </w:r>
    </w:p>
    <w:p w14:paraId="7696F7BC">
      <w:pPr>
        <w:spacing w:line="360" w:lineRule="auto"/>
        <w:ind w:firstLine="480" w:firstLineChars="200"/>
        <w:rPr>
          <w:rFonts w:hint="eastAsia" w:ascii="宋体" w:hAnsi="宋体" w:eastAsia="宋体" w:cs="宋体"/>
          <w:sz w:val="24"/>
        </w:rPr>
      </w:pPr>
      <w:r>
        <w:rPr>
          <w:rFonts w:hint="eastAsia" w:ascii="宋体" w:hAnsi="宋体" w:eastAsia="宋体" w:cs="宋体"/>
          <w:sz w:val="24"/>
        </w:rPr>
        <w:t>因本合同引起的或与本合同有关的任何争议，合同双方应首先通过协商解决，达成书面协议，如协商不成，可选择下列第 2 种方式解决。</w:t>
      </w:r>
    </w:p>
    <w:p w14:paraId="1D3C8AED">
      <w:pPr>
        <w:spacing w:line="360" w:lineRule="auto"/>
        <w:ind w:firstLine="480" w:firstLineChars="200"/>
        <w:rPr>
          <w:rFonts w:hint="eastAsia" w:ascii="宋体" w:hAnsi="宋体" w:eastAsia="宋体" w:cs="宋体"/>
          <w:sz w:val="24"/>
        </w:rPr>
      </w:pPr>
      <w:r>
        <w:rPr>
          <w:rFonts w:hint="eastAsia" w:ascii="宋体" w:hAnsi="宋体" w:eastAsia="宋体" w:cs="宋体"/>
          <w:sz w:val="24"/>
        </w:rPr>
        <w:t>（1）提请杭州仲裁委员会按照该会仲裁规则进行仲裁，仲裁裁决是终局的，对合同双方均有约束力。</w:t>
      </w:r>
    </w:p>
    <w:p w14:paraId="3D2E52BE">
      <w:pPr>
        <w:spacing w:line="360" w:lineRule="auto"/>
        <w:ind w:firstLine="480" w:firstLineChars="200"/>
        <w:rPr>
          <w:rFonts w:hint="eastAsia" w:ascii="宋体" w:hAnsi="宋体" w:eastAsia="宋体" w:cs="宋体"/>
          <w:sz w:val="24"/>
        </w:rPr>
      </w:pPr>
      <w:r>
        <w:rPr>
          <w:rFonts w:hint="eastAsia" w:ascii="宋体" w:hAnsi="宋体" w:eastAsia="宋体" w:cs="宋体"/>
          <w:sz w:val="24"/>
        </w:rPr>
        <w:t>（2）向有管辖权的人民法院提起诉讼。</w:t>
      </w:r>
    </w:p>
    <w:p w14:paraId="01F2643F">
      <w:pPr>
        <w:spacing w:line="360" w:lineRule="auto"/>
        <w:ind w:firstLine="480" w:firstLineChars="200"/>
        <w:rPr>
          <w:rFonts w:hint="eastAsia" w:ascii="宋体" w:hAnsi="宋体" w:eastAsia="宋体" w:cs="宋体"/>
          <w:sz w:val="24"/>
        </w:rPr>
      </w:pPr>
      <w:r>
        <w:rPr>
          <w:rFonts w:hint="eastAsia" w:ascii="宋体" w:hAnsi="宋体" w:eastAsia="宋体" w:cs="宋体"/>
          <w:sz w:val="24"/>
        </w:rPr>
        <w:t>十五、合同生效</w:t>
      </w:r>
    </w:p>
    <w:p w14:paraId="5F46FCA9">
      <w:pPr>
        <w:spacing w:line="360" w:lineRule="auto"/>
        <w:ind w:firstLine="480" w:firstLineChars="200"/>
        <w:rPr>
          <w:rFonts w:hint="eastAsia" w:ascii="宋体" w:hAnsi="宋体" w:eastAsia="宋体" w:cs="宋体"/>
          <w:sz w:val="24"/>
        </w:rPr>
      </w:pPr>
      <w:r>
        <w:rPr>
          <w:rFonts w:hint="eastAsia" w:ascii="宋体" w:hAnsi="宋体" w:eastAsia="宋体" w:cs="宋体"/>
          <w:sz w:val="24"/>
        </w:rPr>
        <w:t>1.中标方持中标通知书作为与需方签订合同的凭证。</w:t>
      </w:r>
    </w:p>
    <w:p w14:paraId="4B0AFBB9">
      <w:pPr>
        <w:spacing w:line="360" w:lineRule="auto"/>
        <w:ind w:firstLine="480" w:firstLineChars="200"/>
        <w:rPr>
          <w:rFonts w:hint="eastAsia" w:ascii="宋体" w:hAnsi="宋体" w:eastAsia="宋体" w:cs="宋体"/>
          <w:sz w:val="24"/>
        </w:rPr>
      </w:pPr>
      <w:r>
        <w:rPr>
          <w:rFonts w:hint="eastAsia" w:ascii="宋体" w:hAnsi="宋体" w:eastAsia="宋体" w:cs="宋体"/>
          <w:sz w:val="24"/>
        </w:rPr>
        <w:t>2.本合同经需、供双方法定代表人或其授权委托人签字并加盖单位公章后生效。</w:t>
      </w:r>
    </w:p>
    <w:p w14:paraId="5ECAF5FB">
      <w:pPr>
        <w:spacing w:line="360" w:lineRule="auto"/>
        <w:ind w:firstLine="480" w:firstLineChars="200"/>
        <w:rPr>
          <w:rFonts w:hint="eastAsia" w:ascii="宋体" w:hAnsi="宋体" w:eastAsia="宋体" w:cs="宋体"/>
          <w:sz w:val="24"/>
        </w:rPr>
      </w:pPr>
      <w:r>
        <w:rPr>
          <w:rFonts w:hint="eastAsia" w:ascii="宋体" w:hAnsi="宋体" w:eastAsia="宋体" w:cs="宋体"/>
          <w:sz w:val="24"/>
        </w:rPr>
        <w:t>附：1、承诺书；2、粮油装卸运输费用价格表；3、安全协议。</w:t>
      </w:r>
    </w:p>
    <w:p w14:paraId="6D767F4B">
      <w:pPr>
        <w:spacing w:line="360" w:lineRule="auto"/>
        <w:ind w:firstLine="480" w:firstLineChars="200"/>
        <w:rPr>
          <w:rFonts w:hint="eastAsia" w:ascii="宋体" w:hAnsi="宋体" w:eastAsia="宋体" w:cs="宋体"/>
          <w:sz w:val="24"/>
        </w:rPr>
      </w:pPr>
      <w:r>
        <w:rPr>
          <w:rFonts w:hint="eastAsia" w:ascii="宋体" w:hAnsi="宋体" w:eastAsia="宋体" w:cs="宋体"/>
          <w:sz w:val="24"/>
        </w:rPr>
        <w:t>需方（盖章）：                      供方（盖章）：</w:t>
      </w:r>
    </w:p>
    <w:p w14:paraId="2F111166">
      <w:pPr>
        <w:spacing w:line="360" w:lineRule="auto"/>
        <w:ind w:firstLine="480" w:firstLineChars="200"/>
        <w:rPr>
          <w:rFonts w:hint="eastAsia" w:ascii="宋体" w:hAnsi="宋体" w:eastAsia="宋体" w:cs="宋体"/>
          <w:sz w:val="24"/>
        </w:rPr>
      </w:pPr>
      <w:r>
        <w:rPr>
          <w:rFonts w:hint="eastAsia" w:ascii="宋体" w:hAnsi="宋体" w:eastAsia="宋体" w:cs="宋体"/>
          <w:sz w:val="24"/>
        </w:rPr>
        <w:t>地址：                              地址：</w:t>
      </w:r>
    </w:p>
    <w:p w14:paraId="39AADCB1">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法定代表人或委托人（签名）：        法定代表人（签名）：                   </w:t>
      </w:r>
    </w:p>
    <w:p w14:paraId="6BE4F25F">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联系电话：                         </w:t>
      </w:r>
      <w:r>
        <w:rPr>
          <w:rFonts w:hint="eastAsia" w:ascii="宋体" w:hAnsi="宋体" w:eastAsia="宋体" w:cs="宋体"/>
          <w:sz w:val="24"/>
          <w:lang w:val="en-US" w:eastAsia="zh-CN"/>
        </w:rPr>
        <w:t xml:space="preserve"> </w:t>
      </w:r>
      <w:r>
        <w:rPr>
          <w:rFonts w:hint="eastAsia" w:ascii="宋体" w:hAnsi="宋体" w:eastAsia="宋体" w:cs="宋体"/>
          <w:sz w:val="24"/>
        </w:rPr>
        <w:t>联系电话：</w:t>
      </w:r>
    </w:p>
    <w:p w14:paraId="70B8B930">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邮政编码：                         </w:t>
      </w:r>
      <w:r>
        <w:rPr>
          <w:rFonts w:hint="eastAsia" w:ascii="宋体" w:hAnsi="宋体" w:eastAsia="宋体" w:cs="宋体"/>
          <w:sz w:val="24"/>
          <w:lang w:val="en-US" w:eastAsia="zh-CN"/>
        </w:rPr>
        <w:t xml:space="preserve"> </w:t>
      </w:r>
      <w:r>
        <w:rPr>
          <w:rFonts w:hint="eastAsia" w:ascii="宋体" w:hAnsi="宋体" w:eastAsia="宋体" w:cs="宋体"/>
          <w:sz w:val="24"/>
        </w:rPr>
        <w:t>邮政编码：</w:t>
      </w:r>
    </w:p>
    <w:p w14:paraId="2FF69ED8">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开户银行：                         </w:t>
      </w:r>
      <w:r>
        <w:rPr>
          <w:rFonts w:hint="eastAsia" w:ascii="宋体" w:hAnsi="宋体" w:eastAsia="宋体" w:cs="宋体"/>
          <w:sz w:val="24"/>
          <w:lang w:val="en-US" w:eastAsia="zh-CN"/>
        </w:rPr>
        <w:t xml:space="preserve"> </w:t>
      </w:r>
      <w:r>
        <w:rPr>
          <w:rFonts w:hint="eastAsia" w:ascii="宋体" w:hAnsi="宋体" w:eastAsia="宋体" w:cs="宋体"/>
          <w:sz w:val="24"/>
        </w:rPr>
        <w:t xml:space="preserve">开户银行：  </w:t>
      </w:r>
    </w:p>
    <w:p w14:paraId="6E16B78C">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帐号：                             </w:t>
      </w:r>
      <w:r>
        <w:rPr>
          <w:rFonts w:hint="eastAsia" w:ascii="宋体" w:hAnsi="宋体" w:eastAsia="宋体" w:cs="宋体"/>
          <w:sz w:val="24"/>
          <w:lang w:val="en-US" w:eastAsia="zh-CN"/>
        </w:rPr>
        <w:t xml:space="preserve"> </w:t>
      </w:r>
      <w:r>
        <w:rPr>
          <w:rFonts w:hint="eastAsia" w:ascii="宋体" w:hAnsi="宋体" w:eastAsia="宋体" w:cs="宋体"/>
          <w:sz w:val="24"/>
        </w:rPr>
        <w:t>帐号：</w:t>
      </w:r>
    </w:p>
    <w:p w14:paraId="4AA70718">
      <w:pPr>
        <w:spacing w:line="480" w:lineRule="auto"/>
        <w:rPr>
          <w:rFonts w:hint="eastAsia" w:ascii="宋体" w:hAnsi="宋体" w:eastAsia="宋体" w:cs="宋体"/>
          <w:bCs/>
          <w:sz w:val="24"/>
        </w:rPr>
      </w:pPr>
    </w:p>
    <w:p w14:paraId="5F800A48">
      <w:pPr>
        <w:spacing w:line="480" w:lineRule="auto"/>
        <w:rPr>
          <w:rFonts w:hint="eastAsia" w:ascii="宋体" w:hAnsi="宋体" w:eastAsia="宋体" w:cs="宋体"/>
          <w:bCs/>
          <w:sz w:val="24"/>
        </w:rPr>
      </w:pPr>
    </w:p>
    <w:p w14:paraId="1A650FFF">
      <w:pPr>
        <w:spacing w:line="480" w:lineRule="auto"/>
        <w:rPr>
          <w:rFonts w:hint="eastAsia" w:ascii="宋体" w:hAnsi="宋体" w:eastAsia="宋体" w:cs="宋体"/>
          <w:bCs/>
          <w:sz w:val="24"/>
        </w:rPr>
      </w:pPr>
    </w:p>
    <w:p w14:paraId="699B2DBF">
      <w:pPr>
        <w:spacing w:line="480" w:lineRule="auto"/>
        <w:rPr>
          <w:rFonts w:hint="eastAsia" w:ascii="宋体" w:hAnsi="宋体" w:eastAsia="宋体" w:cs="宋体"/>
          <w:bCs/>
          <w:sz w:val="24"/>
        </w:rPr>
      </w:pPr>
    </w:p>
    <w:p w14:paraId="6BBD7E2D">
      <w:pPr>
        <w:spacing w:line="480" w:lineRule="auto"/>
        <w:rPr>
          <w:rFonts w:hint="eastAsia" w:ascii="宋体" w:hAnsi="宋体" w:eastAsia="宋体" w:cs="宋体"/>
          <w:bCs/>
          <w:sz w:val="24"/>
        </w:rPr>
      </w:pPr>
    </w:p>
    <w:p w14:paraId="53B6DF56">
      <w:pPr>
        <w:spacing w:line="480" w:lineRule="auto"/>
        <w:rPr>
          <w:rFonts w:hint="eastAsia" w:ascii="宋体" w:hAnsi="宋体" w:eastAsia="宋体" w:cs="宋体"/>
          <w:bCs/>
          <w:sz w:val="24"/>
        </w:rPr>
      </w:pPr>
    </w:p>
    <w:p w14:paraId="09FE0057">
      <w:pPr>
        <w:spacing w:line="480" w:lineRule="auto"/>
        <w:rPr>
          <w:rFonts w:hint="eastAsia" w:ascii="宋体" w:hAnsi="宋体" w:eastAsia="宋体" w:cs="宋体"/>
          <w:bCs/>
          <w:sz w:val="24"/>
        </w:rPr>
      </w:pPr>
    </w:p>
    <w:p w14:paraId="45BA1BCB">
      <w:pPr>
        <w:spacing w:line="480" w:lineRule="auto"/>
        <w:rPr>
          <w:rFonts w:hint="eastAsia" w:ascii="宋体" w:hAnsi="宋体" w:eastAsia="宋体" w:cs="宋体"/>
          <w:bCs/>
          <w:sz w:val="24"/>
        </w:rPr>
      </w:pPr>
    </w:p>
    <w:p w14:paraId="5E5CF9F7">
      <w:pPr>
        <w:spacing w:line="480" w:lineRule="auto"/>
        <w:rPr>
          <w:rFonts w:hint="eastAsia" w:ascii="宋体" w:hAnsi="宋体" w:eastAsia="宋体" w:cs="宋体"/>
          <w:bCs/>
          <w:sz w:val="24"/>
        </w:rPr>
      </w:pPr>
    </w:p>
    <w:p w14:paraId="566FADCE">
      <w:pPr>
        <w:spacing w:line="480" w:lineRule="auto"/>
        <w:rPr>
          <w:rFonts w:hint="eastAsia" w:ascii="宋体" w:hAnsi="宋体" w:eastAsia="宋体" w:cs="宋体"/>
          <w:bCs/>
          <w:sz w:val="24"/>
        </w:rPr>
      </w:pPr>
    </w:p>
    <w:p w14:paraId="61820E94">
      <w:pPr>
        <w:spacing w:line="480" w:lineRule="auto"/>
        <w:rPr>
          <w:rFonts w:hint="eastAsia" w:ascii="宋体" w:hAnsi="宋体" w:eastAsia="宋体" w:cs="宋体"/>
          <w:bCs/>
          <w:sz w:val="24"/>
        </w:rPr>
      </w:pPr>
    </w:p>
    <w:p w14:paraId="7EEC5A71">
      <w:pPr>
        <w:spacing w:line="480" w:lineRule="auto"/>
        <w:rPr>
          <w:rFonts w:hint="eastAsia" w:ascii="宋体" w:hAnsi="宋体" w:eastAsia="宋体" w:cs="宋体"/>
          <w:bCs/>
          <w:sz w:val="24"/>
        </w:rPr>
      </w:pPr>
    </w:p>
    <w:p w14:paraId="6735CF92">
      <w:pPr>
        <w:spacing w:line="480" w:lineRule="auto"/>
        <w:rPr>
          <w:rFonts w:hint="eastAsia" w:ascii="宋体" w:hAnsi="宋体" w:eastAsia="宋体" w:cs="宋体"/>
          <w:bCs/>
          <w:sz w:val="24"/>
        </w:rPr>
      </w:pPr>
    </w:p>
    <w:p w14:paraId="505B2BC9">
      <w:pPr>
        <w:spacing w:line="480" w:lineRule="auto"/>
        <w:rPr>
          <w:rFonts w:hint="eastAsia" w:ascii="宋体" w:hAnsi="宋体" w:eastAsia="宋体" w:cs="宋体"/>
          <w:bCs/>
          <w:sz w:val="24"/>
        </w:rPr>
      </w:pPr>
    </w:p>
    <w:p w14:paraId="3047C04C">
      <w:pPr>
        <w:pStyle w:val="2"/>
        <w:numPr>
          <w:ilvl w:val="2"/>
          <w:numId w:val="0"/>
        </w:numPr>
        <w:ind w:left="180" w:leftChars="0"/>
        <w:rPr>
          <w:rFonts w:hint="eastAsia" w:ascii="宋体" w:hAnsi="宋体" w:eastAsia="宋体" w:cs="宋体"/>
        </w:rPr>
      </w:pPr>
    </w:p>
    <w:p w14:paraId="1ADC5A56">
      <w:pPr>
        <w:rPr>
          <w:rFonts w:hint="eastAsia" w:ascii="宋体" w:hAnsi="宋体" w:eastAsia="宋体" w:cs="宋体"/>
        </w:rPr>
      </w:pPr>
    </w:p>
    <w:p w14:paraId="7FE474FE">
      <w:pPr>
        <w:spacing w:line="480" w:lineRule="auto"/>
        <w:rPr>
          <w:rFonts w:hint="eastAsia" w:ascii="宋体" w:hAnsi="宋体" w:eastAsia="宋体" w:cs="宋体"/>
          <w:bCs/>
          <w:sz w:val="24"/>
        </w:rPr>
      </w:pPr>
    </w:p>
    <w:p w14:paraId="120612CA">
      <w:pPr>
        <w:spacing w:line="480" w:lineRule="auto"/>
        <w:rPr>
          <w:rFonts w:hint="eastAsia" w:ascii="宋体" w:hAnsi="宋体" w:eastAsia="宋体" w:cs="宋体"/>
          <w:bCs/>
          <w:sz w:val="24"/>
        </w:rPr>
      </w:pPr>
    </w:p>
    <w:p w14:paraId="5D7ED8CC">
      <w:pPr>
        <w:spacing w:line="480" w:lineRule="auto"/>
        <w:rPr>
          <w:rFonts w:hint="eastAsia" w:ascii="宋体" w:hAnsi="宋体" w:eastAsia="宋体" w:cs="宋体"/>
          <w:bCs/>
          <w:sz w:val="24"/>
        </w:rPr>
      </w:pPr>
    </w:p>
    <w:p w14:paraId="3992A1BB">
      <w:pPr>
        <w:spacing w:line="360" w:lineRule="auto"/>
        <w:ind w:firstLine="643" w:firstLineChars="200"/>
        <w:jc w:val="center"/>
        <w:rPr>
          <w:rFonts w:hint="eastAsia" w:ascii="宋体" w:hAnsi="宋体" w:eastAsia="宋体" w:cs="宋体"/>
          <w:b/>
          <w:sz w:val="32"/>
          <w:szCs w:val="32"/>
        </w:rPr>
      </w:pPr>
      <w:r>
        <w:rPr>
          <w:rFonts w:hint="eastAsia" w:ascii="宋体" w:hAnsi="宋体" w:eastAsia="宋体" w:cs="宋体"/>
          <w:b/>
          <w:sz w:val="32"/>
          <w:szCs w:val="32"/>
        </w:rPr>
        <w:t xml:space="preserve">  安全协议（样本）</w:t>
      </w:r>
    </w:p>
    <w:p w14:paraId="140B2B57">
      <w:pPr>
        <w:spacing w:line="360" w:lineRule="auto"/>
        <w:ind w:firstLine="643" w:firstLineChars="200"/>
        <w:jc w:val="center"/>
        <w:rPr>
          <w:rFonts w:hint="eastAsia" w:ascii="宋体" w:hAnsi="宋体" w:eastAsia="宋体" w:cs="宋体"/>
          <w:b/>
          <w:sz w:val="32"/>
          <w:szCs w:val="32"/>
        </w:rPr>
      </w:pPr>
      <w:r>
        <w:rPr>
          <w:rFonts w:hint="eastAsia" w:ascii="宋体" w:hAnsi="宋体" w:eastAsia="宋体" w:cs="宋体"/>
          <w:b/>
          <w:sz w:val="32"/>
          <w:szCs w:val="32"/>
        </w:rPr>
        <w:t>粮油装卸、运输服务安全协议</w:t>
      </w:r>
    </w:p>
    <w:p w14:paraId="07DA489D">
      <w:pPr>
        <w:spacing w:line="360" w:lineRule="auto"/>
        <w:ind w:firstLine="480" w:firstLineChars="200"/>
        <w:rPr>
          <w:rFonts w:hint="eastAsia" w:ascii="宋体" w:hAnsi="宋体" w:eastAsia="宋体" w:cs="宋体"/>
          <w:sz w:val="24"/>
        </w:rPr>
      </w:pPr>
      <w:r>
        <w:rPr>
          <w:rFonts w:hint="eastAsia" w:ascii="宋体" w:hAnsi="宋体" w:eastAsia="宋体" w:cs="宋体"/>
          <w:sz w:val="24"/>
        </w:rPr>
        <w:t>甲方：杭州萧山粮食购销有限责任公司</w:t>
      </w:r>
      <w:r>
        <w:rPr>
          <w:rFonts w:hint="eastAsia" w:ascii="宋体" w:hAnsi="宋体" w:eastAsia="宋体" w:cs="宋体"/>
          <w:sz w:val="24"/>
          <w:lang w:val="en-US" w:eastAsia="zh-CN"/>
        </w:rPr>
        <w:t xml:space="preserve">            </w:t>
      </w:r>
      <w:r>
        <w:rPr>
          <w:rFonts w:hint="eastAsia" w:ascii="宋体" w:hAnsi="宋体" w:eastAsia="宋体" w:cs="宋体"/>
          <w:sz w:val="24"/>
        </w:rPr>
        <w:t>（以下简称甲方）</w:t>
      </w:r>
    </w:p>
    <w:p w14:paraId="015849A0">
      <w:pPr>
        <w:spacing w:line="360" w:lineRule="auto"/>
        <w:ind w:firstLine="480" w:firstLineChars="200"/>
        <w:rPr>
          <w:rFonts w:hint="eastAsia" w:ascii="宋体" w:hAnsi="宋体" w:eastAsia="宋体" w:cs="宋体"/>
          <w:sz w:val="24"/>
        </w:rPr>
      </w:pPr>
      <w:r>
        <w:rPr>
          <w:rFonts w:hint="eastAsia" w:ascii="宋体" w:hAnsi="宋体" w:eastAsia="宋体" w:cs="宋体"/>
          <w:sz w:val="24"/>
        </w:rPr>
        <w:t>乙方：</w:t>
      </w:r>
      <w:r>
        <w:rPr>
          <w:rFonts w:hint="eastAsia" w:ascii="宋体" w:hAnsi="宋体" w:eastAsia="宋体" w:cs="宋体"/>
          <w:sz w:val="24"/>
          <w:lang w:val="en-US" w:eastAsia="zh-CN"/>
        </w:rPr>
        <w:t xml:space="preserve">                             </w:t>
      </w:r>
      <w:r>
        <w:rPr>
          <w:rFonts w:hint="eastAsia" w:ascii="宋体" w:hAnsi="宋体" w:eastAsia="宋体" w:cs="宋体"/>
          <w:sz w:val="24"/>
        </w:rPr>
        <w:t xml:space="preserve">           （以下简称乙方）</w:t>
      </w:r>
    </w:p>
    <w:p w14:paraId="48DD90F2">
      <w:pPr>
        <w:spacing w:line="360" w:lineRule="auto"/>
        <w:ind w:firstLine="480" w:firstLineChars="200"/>
        <w:rPr>
          <w:rFonts w:hint="eastAsia" w:ascii="宋体" w:hAnsi="宋体" w:eastAsia="宋体" w:cs="宋体"/>
          <w:sz w:val="24"/>
        </w:rPr>
      </w:pPr>
      <w:r>
        <w:rPr>
          <w:rFonts w:hint="eastAsia" w:ascii="宋体" w:hAnsi="宋体" w:eastAsia="宋体" w:cs="宋体"/>
          <w:sz w:val="24"/>
        </w:rPr>
        <w:t>甲方粮油（物资）出入库的运输、装卸由乙方中标承接，为明确在粮油装卸、运输过程中的安全责任，制订协议如下：</w:t>
      </w:r>
    </w:p>
    <w:p w14:paraId="45C48A02">
      <w:pPr>
        <w:spacing w:line="360" w:lineRule="auto"/>
        <w:ind w:firstLine="480" w:firstLineChars="200"/>
        <w:rPr>
          <w:rFonts w:hint="eastAsia" w:ascii="宋体" w:hAnsi="宋体" w:eastAsia="宋体" w:cs="宋体"/>
          <w:sz w:val="24"/>
        </w:rPr>
      </w:pPr>
      <w:r>
        <w:rPr>
          <w:rFonts w:hint="eastAsia" w:ascii="宋体" w:hAnsi="宋体" w:eastAsia="宋体" w:cs="宋体"/>
          <w:sz w:val="24"/>
        </w:rPr>
        <w:t>一、乙方负责对从事运输、装卸员工的安全操作培训和指导，并负责作业过程中检查、监督。</w:t>
      </w:r>
    </w:p>
    <w:p w14:paraId="20F037B8">
      <w:pPr>
        <w:spacing w:line="360" w:lineRule="auto"/>
        <w:ind w:firstLine="480" w:firstLineChars="200"/>
        <w:rPr>
          <w:rFonts w:hint="eastAsia" w:ascii="宋体" w:hAnsi="宋体" w:eastAsia="宋体" w:cs="宋体"/>
          <w:sz w:val="24"/>
        </w:rPr>
      </w:pPr>
      <w:r>
        <w:rPr>
          <w:rFonts w:hint="eastAsia" w:ascii="宋体" w:hAnsi="宋体" w:eastAsia="宋体" w:cs="宋体"/>
          <w:sz w:val="24"/>
        </w:rPr>
        <w:t>二、乙方在装卸、运输出入库等各业务环节中要严格按有关操作规程进行，并落实相应的安全防护措施。</w:t>
      </w:r>
    </w:p>
    <w:p w14:paraId="5BB2BEA5">
      <w:pPr>
        <w:spacing w:line="360" w:lineRule="auto"/>
        <w:ind w:firstLine="480" w:firstLineChars="200"/>
        <w:rPr>
          <w:rFonts w:hint="eastAsia" w:ascii="宋体" w:hAnsi="宋体" w:eastAsia="宋体" w:cs="宋体"/>
          <w:sz w:val="24"/>
        </w:rPr>
      </w:pPr>
      <w:r>
        <w:rPr>
          <w:rFonts w:hint="eastAsia" w:ascii="宋体" w:hAnsi="宋体" w:eastAsia="宋体" w:cs="宋体"/>
          <w:sz w:val="24"/>
        </w:rPr>
        <w:t>三、乙方使用甲方提供的粮仓机械、电器设备必须按规程操作，禁止对粮仓机械、电器设备进行随意的拆装，带电移动、换位。</w:t>
      </w:r>
    </w:p>
    <w:p w14:paraId="163D09C9">
      <w:pPr>
        <w:spacing w:line="360" w:lineRule="auto"/>
        <w:ind w:firstLine="480" w:firstLineChars="200"/>
        <w:rPr>
          <w:rFonts w:hint="eastAsia" w:ascii="宋体" w:hAnsi="宋体" w:eastAsia="宋体" w:cs="宋体"/>
          <w:sz w:val="24"/>
        </w:rPr>
      </w:pPr>
      <w:r>
        <w:rPr>
          <w:rFonts w:hint="eastAsia" w:ascii="宋体" w:hAnsi="宋体" w:eastAsia="宋体" w:cs="宋体"/>
          <w:sz w:val="24"/>
        </w:rPr>
        <w:t>四、乙方必须对从事运输、装卸员工的人身意外伤害进行保险。</w:t>
      </w:r>
    </w:p>
    <w:p w14:paraId="488B583A">
      <w:pPr>
        <w:spacing w:line="360" w:lineRule="auto"/>
        <w:ind w:firstLine="480" w:firstLineChars="200"/>
        <w:rPr>
          <w:rFonts w:hint="eastAsia" w:ascii="宋体" w:hAnsi="宋体" w:eastAsia="宋体" w:cs="宋体"/>
          <w:sz w:val="24"/>
        </w:rPr>
      </w:pPr>
      <w:r>
        <w:rPr>
          <w:rFonts w:hint="eastAsia" w:ascii="宋体" w:hAnsi="宋体" w:eastAsia="宋体" w:cs="宋体"/>
          <w:sz w:val="24"/>
        </w:rPr>
        <w:t>五、乙方员工进入库区（粮站）不得违反甲方的安全管理制度，并服从甲方员工管理。严禁在库区吸烟、使用明火、擅自搭接电源。</w:t>
      </w:r>
    </w:p>
    <w:p w14:paraId="6245B4A9">
      <w:pPr>
        <w:spacing w:line="360" w:lineRule="auto"/>
        <w:ind w:firstLine="480" w:firstLineChars="200"/>
        <w:rPr>
          <w:rFonts w:hint="eastAsia" w:ascii="宋体" w:hAnsi="宋体" w:eastAsia="宋体" w:cs="宋体"/>
          <w:sz w:val="24"/>
        </w:rPr>
      </w:pPr>
      <w:r>
        <w:rPr>
          <w:rFonts w:hint="eastAsia" w:ascii="宋体" w:hAnsi="宋体" w:eastAsia="宋体" w:cs="宋体"/>
          <w:sz w:val="24"/>
        </w:rPr>
        <w:t>六、乙方在甲方从事各项工作过程中，因各种原因造成的安全事故，均由乙方自行负责。</w:t>
      </w:r>
    </w:p>
    <w:p w14:paraId="73655093">
      <w:pPr>
        <w:spacing w:line="360" w:lineRule="auto"/>
        <w:ind w:firstLine="480" w:firstLineChars="200"/>
        <w:rPr>
          <w:rFonts w:hint="eastAsia" w:ascii="宋体" w:hAnsi="宋体" w:eastAsia="宋体" w:cs="宋体"/>
          <w:sz w:val="24"/>
        </w:rPr>
      </w:pPr>
      <w:r>
        <w:rPr>
          <w:rFonts w:hint="eastAsia" w:ascii="宋体" w:hAnsi="宋体" w:eastAsia="宋体" w:cs="宋体"/>
          <w:sz w:val="24"/>
        </w:rPr>
        <w:t>七、乙方固定从事运输、装卸员工在办好保险的同时须上报名单（固定员工名单附后），对临时增加员工在进入作业现场前乙方负责人必须开具派工联系单，并落实相应的保险措施。</w:t>
      </w:r>
    </w:p>
    <w:p w14:paraId="71844524">
      <w:pPr>
        <w:spacing w:line="360" w:lineRule="auto"/>
        <w:ind w:firstLine="480" w:firstLineChars="200"/>
        <w:rPr>
          <w:rFonts w:hint="eastAsia" w:ascii="宋体" w:hAnsi="宋体" w:eastAsia="宋体" w:cs="宋体"/>
          <w:sz w:val="24"/>
        </w:rPr>
      </w:pPr>
      <w:r>
        <w:rPr>
          <w:rFonts w:hint="eastAsia" w:ascii="宋体" w:hAnsi="宋体" w:eastAsia="宋体" w:cs="宋体"/>
          <w:sz w:val="24"/>
        </w:rPr>
        <w:t>八、乙方在作业过程中，如发现事故隐患或不安全因素时，应立即向甲方管理人员报告，有权拒绝违章操作和强令冒险作业。</w:t>
      </w:r>
    </w:p>
    <w:p w14:paraId="13F0C14F">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本协议一式四份，甲、乙双方各执二份，自签字日起生效，有效期为合同服务期限。</w:t>
      </w:r>
    </w:p>
    <w:p w14:paraId="153C00B7">
      <w:pPr>
        <w:spacing w:line="360" w:lineRule="auto"/>
        <w:ind w:firstLine="480" w:firstLineChars="200"/>
        <w:rPr>
          <w:rFonts w:hint="eastAsia" w:ascii="宋体" w:hAnsi="宋体" w:eastAsia="宋体" w:cs="宋体"/>
          <w:sz w:val="24"/>
        </w:rPr>
      </w:pPr>
    </w:p>
    <w:p w14:paraId="554262BF">
      <w:pPr>
        <w:spacing w:line="360" w:lineRule="auto"/>
        <w:ind w:firstLine="480" w:firstLineChars="200"/>
        <w:rPr>
          <w:rFonts w:hint="eastAsia" w:ascii="宋体" w:hAnsi="宋体" w:eastAsia="宋体" w:cs="宋体"/>
          <w:sz w:val="24"/>
        </w:rPr>
      </w:pPr>
      <w:r>
        <w:rPr>
          <w:rFonts w:hint="eastAsia" w:ascii="宋体" w:hAnsi="宋体" w:eastAsia="宋体" w:cs="宋体"/>
          <w:sz w:val="24"/>
        </w:rPr>
        <w:t>甲方（盖章）：                          乙方（盖章）：</w:t>
      </w:r>
    </w:p>
    <w:p w14:paraId="477F25B4">
      <w:pPr>
        <w:spacing w:line="360" w:lineRule="auto"/>
        <w:ind w:firstLine="480" w:firstLineChars="200"/>
        <w:rPr>
          <w:rFonts w:hint="eastAsia" w:ascii="宋体" w:hAnsi="宋体" w:eastAsia="宋体" w:cs="宋体"/>
          <w:sz w:val="24"/>
        </w:rPr>
      </w:pPr>
      <w:r>
        <w:rPr>
          <w:rFonts w:hint="eastAsia" w:ascii="宋体" w:hAnsi="宋体" w:eastAsia="宋体" w:cs="宋体"/>
          <w:sz w:val="24"/>
        </w:rPr>
        <w:t>法人或委托代表：                        法人代表：</w:t>
      </w:r>
    </w:p>
    <w:p w14:paraId="2D194C22">
      <w:pPr>
        <w:spacing w:line="360" w:lineRule="auto"/>
        <w:rPr>
          <w:rFonts w:hint="eastAsia" w:ascii="宋体" w:hAnsi="宋体" w:eastAsia="宋体" w:cs="宋体"/>
          <w:sz w:val="24"/>
        </w:rPr>
      </w:pPr>
    </w:p>
    <w:p w14:paraId="132B2258">
      <w:pPr>
        <w:spacing w:line="360" w:lineRule="auto"/>
        <w:ind w:firstLine="5520" w:firstLineChars="2300"/>
        <w:rPr>
          <w:rFonts w:hint="eastAsia" w:ascii="宋体" w:hAnsi="宋体" w:eastAsia="宋体" w:cs="宋体"/>
          <w:sz w:val="24"/>
        </w:rPr>
      </w:pPr>
      <w:r>
        <w:rPr>
          <w:rFonts w:hint="eastAsia" w:ascii="宋体" w:hAnsi="宋体" w:eastAsia="宋体" w:cs="宋体"/>
          <w:sz w:val="24"/>
        </w:rPr>
        <w:t>202</w:t>
      </w:r>
      <w:r>
        <w:rPr>
          <w:rFonts w:hint="eastAsia" w:ascii="宋体" w:hAnsi="宋体" w:eastAsia="宋体" w:cs="宋体"/>
          <w:sz w:val="24"/>
          <w:lang w:val="en-US" w:eastAsia="zh-CN"/>
        </w:rPr>
        <w:t xml:space="preserve">  </w:t>
      </w:r>
      <w:r>
        <w:rPr>
          <w:rFonts w:hint="eastAsia" w:ascii="宋体" w:hAnsi="宋体" w:eastAsia="宋体" w:cs="宋体"/>
          <w:sz w:val="24"/>
        </w:rPr>
        <w:t>年</w:t>
      </w:r>
      <w:r>
        <w:rPr>
          <w:rFonts w:hint="eastAsia" w:ascii="宋体" w:hAnsi="宋体" w:eastAsia="宋体" w:cs="宋体"/>
          <w:sz w:val="24"/>
          <w:lang w:val="en-US" w:eastAsia="zh-CN"/>
        </w:rPr>
        <w:t xml:space="preserve">  </w:t>
      </w:r>
      <w:r>
        <w:rPr>
          <w:rFonts w:hint="eastAsia" w:ascii="宋体" w:hAnsi="宋体" w:eastAsia="宋体" w:cs="宋体"/>
          <w:sz w:val="24"/>
        </w:rPr>
        <w:t>月</w:t>
      </w:r>
      <w:r>
        <w:rPr>
          <w:rFonts w:hint="eastAsia" w:ascii="宋体" w:hAnsi="宋体" w:eastAsia="宋体" w:cs="宋体"/>
          <w:sz w:val="24"/>
          <w:lang w:val="en-US" w:eastAsia="zh-CN"/>
        </w:rPr>
        <w:t xml:space="preserve">  </w:t>
      </w:r>
      <w:r>
        <w:rPr>
          <w:rFonts w:hint="eastAsia" w:ascii="宋体" w:hAnsi="宋体" w:eastAsia="宋体" w:cs="宋体"/>
          <w:sz w:val="24"/>
        </w:rPr>
        <w:t>日</w:t>
      </w:r>
    </w:p>
    <w:p w14:paraId="0895CD87">
      <w:pPr>
        <w:spacing w:line="480" w:lineRule="auto"/>
        <w:rPr>
          <w:rFonts w:hint="eastAsia" w:ascii="宋体" w:hAnsi="宋体" w:eastAsia="宋体" w:cs="宋体"/>
          <w:sz w:val="30"/>
        </w:rPr>
      </w:pPr>
    </w:p>
    <w:sectPr>
      <w:headerReference r:id="rId21" w:type="first"/>
      <w:footerReference r:id="rId24" w:type="first"/>
      <w:headerReference r:id="rId20" w:type="default"/>
      <w:footerReference r:id="rId22" w:type="default"/>
      <w:footerReference r:id="rId23" w:type="even"/>
      <w:pgSz w:w="11906" w:h="16838"/>
      <w:pgMar w:top="1247" w:right="1418" w:bottom="1276"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微软雅黑"/>
    <w:panose1 w:val="020B0500000000000000"/>
    <w:charset w:val="00"/>
    <w:family w:val="swiss"/>
    <w:pitch w:val="default"/>
    <w:sig w:usb0="00000000" w:usb1="00000000" w:usb2="00000000" w:usb3="00000000" w:csb0="00000001" w:csb1="00000000"/>
  </w:font>
  <w:font w:name="ˎ̥">
    <w:altName w:val="微软雅黑"/>
    <w:panose1 w:val="00000000000000000000"/>
    <w:charset w:val="00"/>
    <w:family w:val="roman"/>
    <w:pitch w:val="default"/>
    <w:sig w:usb0="00000000" w:usb1="00000000" w:usb2="00000000"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Helvetica">
    <w:altName w:val="Arial"/>
    <w:panose1 w:val="020B0504020202030204"/>
    <w:charset w:val="00"/>
    <w:family w:val="swiss"/>
    <w:pitch w:val="default"/>
    <w:sig w:usb0="00000000" w:usb1="00000000" w:usb2="00000000" w:usb3="00000000" w:csb0="00000093" w:csb1="00000000"/>
  </w:font>
  <w:font w:name="Cumberland">
    <w:altName w:val="Segoe Print"/>
    <w:panose1 w:val="00000000000000000000"/>
    <w:charset w:val="00"/>
    <w:family w:val="modern"/>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新宋体">
    <w:panose1 w:val="02010609030101010101"/>
    <w:charset w:val="86"/>
    <w:family w:val="modern"/>
    <w:pitch w:val="default"/>
    <w:sig w:usb0="0000028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Futura Hv">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rial (W1)">
    <w:altName w:val="Arial"/>
    <w:panose1 w:val="00000000000000000000"/>
    <w:charset w:val="00"/>
    <w:family w:val="swiss"/>
    <w:pitch w:val="default"/>
    <w:sig w:usb0="00000000" w:usb1="00000000" w:usb2="00000000" w:usb3="00000000" w:csb0="00000001" w:csb1="00000000"/>
  </w:font>
  <w:font w:name="Aldine401 BT">
    <w:altName w:val="Times New Roman"/>
    <w:panose1 w:val="00000000000000000000"/>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0FC8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29469">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49356">
    <w:pPr>
      <w:pStyle w:val="39"/>
      <w:framePr w:wrap="around" w:vAnchor="text" w:hAnchor="margin" w:xAlign="right" w:y="1"/>
      <w:rPr>
        <w:rStyle w:val="65"/>
      </w:rPr>
    </w:pPr>
    <w:r>
      <w:fldChar w:fldCharType="begin"/>
    </w:r>
    <w:r>
      <w:rPr>
        <w:rStyle w:val="65"/>
      </w:rPr>
      <w:instrText xml:space="preserve">PAGE  </w:instrText>
    </w:r>
    <w:r>
      <w:fldChar w:fldCharType="end"/>
    </w:r>
  </w:p>
  <w:p w14:paraId="5BEB40EB">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37B55">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42</w:t>
    </w:r>
    <w:r>
      <w:rPr>
        <w:rFonts w:hint="eastAsia" w:ascii="仿宋_GB2312" w:eastAsia="仿宋_GB2312"/>
        <w:kern w:val="0"/>
        <w:szCs w:val="21"/>
      </w:rPr>
      <w:fldChar w:fldCharType="end"/>
    </w:r>
    <w:bookmarkStart w:id="455" w:name="_Toc131845147"/>
    <w:bookmarkStart w:id="456" w:name="_Toc164085800"/>
    <w:bookmarkStart w:id="457" w:name="_Toc91899912"/>
    <w:bookmarkStart w:id="458" w:name="_Toc36110187"/>
    <w:r>
      <w:rPr>
        <w:rFonts w:hint="eastAsia" w:ascii="仿宋_GB2312" w:eastAsia="仿宋_GB2312"/>
        <w:kern w:val="0"/>
        <w:szCs w:val="21"/>
      </w:rPr>
      <w:t xml:space="preserve"> 页</w:t>
    </w:r>
    <w:bookmarkEnd w:id="455"/>
    <w:bookmarkEnd w:id="456"/>
    <w:bookmarkEnd w:id="457"/>
    <w:bookmarkEnd w:id="45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03EBC">
    <w:pPr>
      <w:pStyle w:val="39"/>
      <w:framePr w:wrap="around" w:vAnchor="text" w:hAnchor="margin" w:xAlign="right" w:y="1"/>
      <w:rPr>
        <w:rStyle w:val="65"/>
      </w:rPr>
    </w:pPr>
    <w:r>
      <w:fldChar w:fldCharType="begin"/>
    </w:r>
    <w:r>
      <w:rPr>
        <w:rStyle w:val="65"/>
      </w:rPr>
      <w:instrText xml:space="preserve">PAGE  </w:instrText>
    </w:r>
    <w:r>
      <w:fldChar w:fldCharType="end"/>
    </w:r>
  </w:p>
  <w:p w14:paraId="3B0C798C">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D171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5A42A">
    <w:pPr>
      <w:pStyle w:val="3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00685" cy="147955"/>
              <wp:effectExtent l="0" t="0" r="18415" b="4445"/>
              <wp:wrapNone/>
              <wp:docPr id="2" name="文本框 2"/>
              <wp:cNvGraphicFramePr/>
              <a:graphic xmlns:a="http://schemas.openxmlformats.org/drawingml/2006/main">
                <a:graphicData uri="http://schemas.microsoft.com/office/word/2010/wordprocessingShape">
                  <wps:wsp>
                    <wps:cNvSpPr txBox="1"/>
                    <wps:spPr>
                      <a:xfrm>
                        <a:off x="0" y="0"/>
                        <a:ext cx="400685" cy="147955"/>
                      </a:xfrm>
                      <a:prstGeom prst="rect">
                        <a:avLst/>
                      </a:prstGeom>
                      <a:noFill/>
                      <a:ln>
                        <a:noFill/>
                      </a:ln>
                    </wps:spPr>
                    <wps:txbx>
                      <w:txbxContent>
                        <w:p w14:paraId="1D8AE03C">
                          <w:pPr>
                            <w:pStyle w:val="39"/>
                            <w:jc w:val="center"/>
                          </w:pPr>
                          <w:r>
                            <w:rPr>
                              <w:rFonts w:hint="eastAsia"/>
                            </w:rPr>
                            <w:t>第</w:t>
                          </w:r>
                          <w:r>
                            <w:fldChar w:fldCharType="begin"/>
                          </w:r>
                          <w:r>
                            <w:instrText xml:space="preserve"> PAGE  \* MERGEFORMAT </w:instrText>
                          </w:r>
                          <w:r>
                            <w:fldChar w:fldCharType="separate"/>
                          </w:r>
                          <w:r>
                            <w:t>20</w:t>
                          </w:r>
                          <w:r>
                            <w:fldChar w:fldCharType="end"/>
                          </w:r>
                          <w:r>
                            <w:rPr>
                              <w:rFonts w:hint="eastAsia"/>
                            </w:rPr>
                            <w:t>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1.65pt;width:31.55pt;mso-position-horizontal:center;mso-position-horizontal-relative:margin;mso-wrap-style:none;z-index:251659264;mso-width-relative:page;mso-height-relative:page;" filled="f" stroked="f" coordsize="21600,21600" o:gfxdata="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BlDqPLRAAAAAwEAAA8AAAAAAAAAAQAgAAAAIgAAAGRycy9kb3ducmV2Lnht&#10;bFBLAQIUABQAAAAIAIdO4kB2almExwEAAIsDAAAOAAAAAAAAAAEAIAAAACABAABkcnMvZTJvRG9j&#10;LnhtbFBLBQYAAAAABgAGAFkBAABZBQAAAAA=&#10;">
              <v:fill on="f" focussize="0,0"/>
              <v:stroke on="f"/>
              <v:imagedata o:title=""/>
              <o:lock v:ext="edit" aspectratio="f"/>
              <v:textbox inset="0mm,0mm,0mm,0mm" style="mso-fit-shape-to-text:t;">
                <w:txbxContent>
                  <w:p w14:paraId="1D8AE03C">
                    <w:pPr>
                      <w:pStyle w:val="39"/>
                      <w:jc w:val="center"/>
                    </w:pPr>
                    <w:r>
                      <w:rPr>
                        <w:rFonts w:hint="eastAsia"/>
                      </w:rPr>
                      <w:t>第</w:t>
                    </w:r>
                    <w:r>
                      <w:fldChar w:fldCharType="begin"/>
                    </w:r>
                    <w:r>
                      <w:instrText xml:space="preserve"> PAGE  \* MERGEFORMAT </w:instrText>
                    </w:r>
                    <w:r>
                      <w:fldChar w:fldCharType="separate"/>
                    </w:r>
                    <w:r>
                      <w:t>20</w:t>
                    </w:r>
                    <w:r>
                      <w:fldChar w:fldCharType="end"/>
                    </w:r>
                    <w:r>
                      <w:rPr>
                        <w:rFonts w:hint="eastAsia"/>
                      </w:rPr>
                      <w:t>页</w:t>
                    </w:r>
                  </w:p>
                </w:txbxContent>
              </v:textbox>
            </v:shape>
          </w:pict>
        </mc:Fallback>
      </mc:AlternateContent>
    </w:r>
  </w:p>
  <w:p w14:paraId="13EDED3B">
    <w:pPr>
      <w:pStyle w:val="39"/>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85E5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37</w:t>
    </w:r>
    <w:r>
      <w:rPr>
        <w:rFonts w:hint="eastAsia" w:ascii="仿宋_GB2312" w:eastAsia="仿宋_GB2312"/>
        <w:kern w:val="0"/>
      </w:rPr>
      <w:fldChar w:fldCharType="end"/>
    </w:r>
    <w:r>
      <w:rPr>
        <w:rFonts w:hint="eastAsia" w:ascii="仿宋_GB2312" w:eastAsia="仿宋_GB2312"/>
        <w:kern w:val="0"/>
      </w:rPr>
      <w:t xml:space="preserve"> 页</w:t>
    </w:r>
  </w:p>
  <w:p w14:paraId="74449779">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CCDAD">
    <w:pPr>
      <w:pStyle w:val="39"/>
      <w:framePr w:wrap="around" w:vAnchor="text" w:hAnchor="margin" w:xAlign="right" w:y="1"/>
      <w:rPr>
        <w:rStyle w:val="65"/>
      </w:rPr>
    </w:pPr>
    <w:r>
      <w:fldChar w:fldCharType="begin"/>
    </w:r>
    <w:r>
      <w:rPr>
        <w:rStyle w:val="65"/>
      </w:rPr>
      <w:instrText xml:space="preserve">PAGE  </w:instrText>
    </w:r>
    <w:r>
      <w:fldChar w:fldCharType="end"/>
    </w:r>
  </w:p>
  <w:p w14:paraId="07DA5515">
    <w:pPr>
      <w:pStyle w:val="39"/>
      <w:ind w:right="360"/>
    </w:pPr>
  </w:p>
  <w:p w14:paraId="21595A6A"/>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9477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w:t>
    </w:r>
  </w:p>
  <w:p w14:paraId="141A4C2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852C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w:t>
    </w:r>
  </w:p>
  <w:p w14:paraId="26F12066">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593B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38</w:t>
    </w:r>
    <w:r>
      <w:rPr>
        <w:rFonts w:hint="eastAsia" w:ascii="仿宋_GB2312" w:eastAsia="仿宋_GB2312"/>
        <w:kern w:val="0"/>
      </w:rPr>
      <w:fldChar w:fldCharType="end"/>
    </w:r>
    <w:r>
      <w:rPr>
        <w:rFonts w:hint="eastAsia" w:ascii="仿宋_GB2312" w:eastAsia="仿宋_GB2312"/>
        <w:kern w:val="0"/>
      </w:rPr>
      <w:t xml:space="preserve"> 页</w:t>
    </w:r>
  </w:p>
  <w:p w14:paraId="05FBF278">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E1014">
    <w:pPr>
      <w:pStyle w:val="40"/>
      <w:jc w:val="right"/>
    </w:pPr>
    <w:r>
      <w:rPr>
        <w:rFonts w:hint="eastAsia"/>
      </w:rPr>
      <w:t>公开招标文件</w:t>
    </w:r>
  </w:p>
  <w:p w14:paraId="1DCCA4E8">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B5DA2">
    <w:pPr>
      <w:pStyle w:val="40"/>
    </w:pPr>
    <w:r>
      <w:rPr>
        <w:rFonts w:hint="eastAsia"/>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6AEF5">
    <w:pPr>
      <w:pStyle w:val="40"/>
      <w:pBdr>
        <w:bottom w:val="single" w:color="auto" w:sz="6" w:space="0"/>
      </w:pBdr>
      <w:tabs>
        <w:tab w:val="center" w:pos="4535"/>
        <w:tab w:val="right" w:pos="9070"/>
        <w:tab w:val="clear" w:pos="4153"/>
        <w:tab w:val="clear" w:pos="8306"/>
      </w:tabs>
      <w:jc w:val="right"/>
    </w:pPr>
    <w:r>
      <w:tab/>
    </w:r>
    <w:r>
      <w:rPr>
        <w:rFonts w:hint="eastAsia"/>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00619">
    <w:pPr>
      <w:pStyle w:val="40"/>
      <w:jc w:val="right"/>
    </w:pPr>
    <w:r>
      <w:rPr>
        <w:rFonts w:hint="eastAsia"/>
      </w:rPr>
      <w:t>公开招标文件</w:t>
    </w:r>
  </w:p>
  <w:p w14:paraId="019CF74A">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AC87B">
    <w:pPr>
      <w:pStyle w:val="40"/>
      <w:jc w:val="right"/>
      <w:rPr>
        <w:rFonts w:ascii="仿宋_GB2312" w:eastAsia="仿宋_GB2312"/>
        <w:b/>
        <w:i/>
        <w:u w:val="single"/>
      </w:rPr>
    </w:pPr>
    <w:r>
      <w:rPr>
        <w:rFonts w:hint="eastAsia"/>
      </w:rPr>
      <w:t>公开招标文件</w:t>
    </w:r>
  </w:p>
  <w:p w14:paraId="50F076D4">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40945">
    <w:pPr>
      <w:pStyle w:val="40"/>
    </w:pPr>
  </w:p>
  <w:p w14:paraId="2706D1C7"/>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456B9">
    <w:pPr>
      <w:pStyle w:val="4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A6098">
    <w:pPr>
      <w:pStyle w:val="40"/>
      <w:jc w:val="right"/>
      <w:rPr>
        <w:rFonts w:ascii="仿宋_GB2312" w:eastAsia="仿宋_GB2312"/>
        <w:b/>
        <w:i/>
        <w:u w:val="single"/>
      </w:rPr>
    </w:pPr>
    <w:r>
      <w:t>公开招标文件</w:t>
    </w:r>
  </w:p>
  <w:p w14:paraId="2B27D483">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08559">
    <w:pPr>
      <w:pStyle w:val="40"/>
    </w:pPr>
    <w:r>
      <w:t></w:t>
    </w:r>
  </w:p>
  <w:p w14:paraId="54176406">
    <w:pPr>
      <w:pStyle w:val="40"/>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EBD30">
    <w:pPr>
      <w:pStyle w:val="40"/>
      <w:rPr>
        <w:rFonts w:ascii="仿宋_GB2312" w:eastAsia="仿宋_GB2312"/>
        <w:b/>
        <w:i/>
        <w:iCs/>
        <w:u w:val="single"/>
      </w:rPr>
    </w:pPr>
    <w:r>
      <w:rPr>
        <w:rFonts w:hint="eastAsia"/>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34"/>
      <w:lvlText w:val=""/>
      <w:lvlJc w:val="left"/>
      <w:pPr>
        <w:tabs>
          <w:tab w:val="left" w:pos="840"/>
        </w:tabs>
        <w:ind w:left="840" w:hanging="420"/>
      </w:pPr>
      <w:rPr>
        <w:rFonts w:hint="default" w:ascii="Wingdings" w:hAnsi="Wingdings"/>
      </w:rPr>
    </w:lvl>
    <w:lvl w:ilvl="1" w:tentative="0">
      <w:start w:val="1"/>
      <w:numFmt w:val="bullet"/>
      <w:pStyle w:val="328"/>
      <w:lvlText w:val=""/>
      <w:lvlJc w:val="left"/>
      <w:pPr>
        <w:tabs>
          <w:tab w:val="left" w:pos="1260"/>
        </w:tabs>
        <w:ind w:left="1260" w:hanging="420"/>
      </w:pPr>
      <w:rPr>
        <w:rFonts w:hint="default" w:ascii="Wingdings" w:hAnsi="Wingdings"/>
      </w:rPr>
    </w:lvl>
    <w:lvl w:ilvl="2" w:tentative="0">
      <w:start w:val="1"/>
      <w:numFmt w:val="bullet"/>
      <w:pStyle w:val="309"/>
      <w:lvlText w:val=""/>
      <w:lvlJc w:val="left"/>
      <w:pPr>
        <w:tabs>
          <w:tab w:val="left" w:pos="1680"/>
        </w:tabs>
        <w:ind w:left="1680" w:hanging="420"/>
      </w:pPr>
      <w:rPr>
        <w:rFonts w:hint="default" w:ascii="Wingdings" w:hAnsi="Wingdings"/>
      </w:rPr>
    </w:lvl>
    <w:lvl w:ilvl="3" w:tentative="0">
      <w:start w:val="1"/>
      <w:numFmt w:val="bullet"/>
      <w:pStyle w:val="326"/>
      <w:lvlText w:val=""/>
      <w:lvlJc w:val="left"/>
      <w:pPr>
        <w:tabs>
          <w:tab w:val="left" w:pos="2100"/>
        </w:tabs>
        <w:ind w:left="2100" w:hanging="420"/>
      </w:pPr>
      <w:rPr>
        <w:rFonts w:hint="default" w:ascii="Wingdings" w:hAnsi="Wingdings"/>
      </w:rPr>
    </w:lvl>
    <w:lvl w:ilvl="4" w:tentative="0">
      <w:start w:val="1"/>
      <w:numFmt w:val="bullet"/>
      <w:pStyle w:val="393"/>
      <w:lvlText w:val=""/>
      <w:lvlJc w:val="left"/>
      <w:pPr>
        <w:tabs>
          <w:tab w:val="left" w:pos="2520"/>
        </w:tabs>
        <w:ind w:left="2520" w:hanging="420"/>
      </w:pPr>
      <w:rPr>
        <w:rFonts w:hint="default" w:ascii="Wingdings" w:hAnsi="Wingdings"/>
      </w:rPr>
    </w:lvl>
    <w:lvl w:ilvl="5" w:tentative="0">
      <w:start w:val="1"/>
      <w:numFmt w:val="bullet"/>
      <w:pStyle w:val="463"/>
      <w:lvlText w:val=""/>
      <w:lvlJc w:val="left"/>
      <w:pPr>
        <w:tabs>
          <w:tab w:val="left" w:pos="2940"/>
        </w:tabs>
        <w:ind w:left="2940" w:hanging="420"/>
      </w:pPr>
      <w:rPr>
        <w:rFonts w:hint="default" w:ascii="Wingdings" w:hAnsi="Wingdings"/>
      </w:rPr>
    </w:lvl>
    <w:lvl w:ilvl="6" w:tentative="0">
      <w:start w:val="1"/>
      <w:numFmt w:val="bullet"/>
      <w:pStyle w:val="462"/>
      <w:lvlText w:val=""/>
      <w:lvlJc w:val="left"/>
      <w:pPr>
        <w:tabs>
          <w:tab w:val="left" w:pos="3360"/>
        </w:tabs>
        <w:ind w:left="3360" w:hanging="420"/>
      </w:pPr>
      <w:rPr>
        <w:rFonts w:hint="default" w:ascii="Wingdings" w:hAnsi="Wingdings"/>
      </w:rPr>
    </w:lvl>
    <w:lvl w:ilvl="7" w:tentative="0">
      <w:start w:val="1"/>
      <w:numFmt w:val="bullet"/>
      <w:pStyle w:val="540"/>
      <w:lvlText w:val=""/>
      <w:lvlJc w:val="left"/>
      <w:pPr>
        <w:tabs>
          <w:tab w:val="left" w:pos="3780"/>
        </w:tabs>
        <w:ind w:left="3780" w:hanging="420"/>
      </w:pPr>
      <w:rPr>
        <w:rFonts w:hint="default" w:ascii="Wingdings" w:hAnsi="Wingdings"/>
      </w:rPr>
    </w:lvl>
    <w:lvl w:ilvl="8" w:tentative="0">
      <w:start w:val="1"/>
      <w:numFmt w:val="bullet"/>
      <w:pStyle w:val="535"/>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2"/>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4">
    <w:nsid w:val="272BCC56"/>
    <w:multiLevelType w:val="singleLevel"/>
    <w:tmpl w:val="272BCC56"/>
    <w:lvl w:ilvl="0" w:tentative="0">
      <w:start w:val="2"/>
      <w:numFmt w:val="chineseCounting"/>
      <w:suff w:val="nothing"/>
      <w:lvlText w:val="%1、"/>
      <w:lvlJc w:val="left"/>
      <w:rPr>
        <w:rFonts w:hint="eastAsia"/>
      </w:rPr>
    </w:lvl>
  </w:abstractNum>
  <w:abstractNum w:abstractNumId="5">
    <w:nsid w:val="578B3BD2"/>
    <w:multiLevelType w:val="multilevel"/>
    <w:tmpl w:val="578B3BD2"/>
    <w:lvl w:ilvl="0" w:tentative="0">
      <w:start w:val="1"/>
      <w:numFmt w:val="decimal"/>
      <w:pStyle w:val="473"/>
      <w:lvlText w:val="%1"/>
      <w:lvlJc w:val="left"/>
      <w:pPr>
        <w:tabs>
          <w:tab w:val="left" w:pos="480"/>
        </w:tabs>
        <w:ind w:left="480" w:hanging="480"/>
      </w:pPr>
      <w:rPr>
        <w:rFonts w:hint="eastAsia"/>
        <w:sz w:val="44"/>
        <w:szCs w:val="44"/>
      </w:rPr>
    </w:lvl>
    <w:lvl w:ilvl="1" w:tentative="0">
      <w:start w:val="1"/>
      <w:numFmt w:val="decimal"/>
      <w:pStyle w:val="450"/>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377"/>
      <w:lvlText w:val="%1.%2.%3.%4.%5"/>
      <w:lvlJc w:val="left"/>
      <w:pPr>
        <w:tabs>
          <w:tab w:val="left" w:pos="1080"/>
        </w:tabs>
        <w:ind w:left="1080" w:hanging="1080"/>
      </w:pPr>
      <w:rPr>
        <w:rFonts w:hint="default"/>
      </w:rPr>
    </w:lvl>
    <w:lvl w:ilvl="5" w:tentative="0">
      <w:start w:val="1"/>
      <w:numFmt w:val="decimal"/>
      <w:pStyle w:val="4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6">
    <w:nsid w:val="6BB67409"/>
    <w:multiLevelType w:val="multilevel"/>
    <w:tmpl w:val="6BB67409"/>
    <w:lvl w:ilvl="0" w:tentative="0">
      <w:start w:val="1"/>
      <w:numFmt w:val="decimal"/>
      <w:lvlText w:val="（%1）"/>
      <w:lvlJc w:val="left"/>
      <w:pPr>
        <w:ind w:left="720" w:hanging="720"/>
      </w:pPr>
      <w:rPr>
        <w:rFonts w:hint="default" w:cs="Times New Roman"/>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3596DCC"/>
    <w:multiLevelType w:val="multilevel"/>
    <w:tmpl w:val="73596DCC"/>
    <w:lvl w:ilvl="0" w:tentative="0">
      <w:start w:val="1"/>
      <w:numFmt w:val="bullet"/>
      <w:pStyle w:val="474"/>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2"/>
  </w:num>
  <w:num w:numId="2">
    <w:abstractNumId w:val="3"/>
  </w:num>
  <w:num w:numId="3">
    <w:abstractNumId w:val="0"/>
  </w:num>
  <w:num w:numId="4">
    <w:abstractNumId w:val="1"/>
  </w:num>
  <w:num w:numId="5">
    <w:abstractNumId w:val="5"/>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0ZmM4NTIwZWYwN2QyNWI1ZDJjMWJmNmM4ODQxM2YifQ=="/>
  </w:docVars>
  <w:rsids>
    <w:rsidRoot w:val="00172A27"/>
    <w:rsid w:val="00000278"/>
    <w:rsid w:val="00000451"/>
    <w:rsid w:val="0000133D"/>
    <w:rsid w:val="00002075"/>
    <w:rsid w:val="00003819"/>
    <w:rsid w:val="00003EFB"/>
    <w:rsid w:val="000058BD"/>
    <w:rsid w:val="00006109"/>
    <w:rsid w:val="00006725"/>
    <w:rsid w:val="0000675E"/>
    <w:rsid w:val="00006ED1"/>
    <w:rsid w:val="00007151"/>
    <w:rsid w:val="000076E0"/>
    <w:rsid w:val="00007CAA"/>
    <w:rsid w:val="00010FE9"/>
    <w:rsid w:val="0001122F"/>
    <w:rsid w:val="0001296D"/>
    <w:rsid w:val="0001337C"/>
    <w:rsid w:val="000138C4"/>
    <w:rsid w:val="00013F31"/>
    <w:rsid w:val="000140D8"/>
    <w:rsid w:val="00014530"/>
    <w:rsid w:val="00014BBC"/>
    <w:rsid w:val="0001524C"/>
    <w:rsid w:val="000168D8"/>
    <w:rsid w:val="000170C8"/>
    <w:rsid w:val="000173F4"/>
    <w:rsid w:val="00017CC5"/>
    <w:rsid w:val="00020287"/>
    <w:rsid w:val="000202FE"/>
    <w:rsid w:val="000206A8"/>
    <w:rsid w:val="00023323"/>
    <w:rsid w:val="00023418"/>
    <w:rsid w:val="00024130"/>
    <w:rsid w:val="00024584"/>
    <w:rsid w:val="00024962"/>
    <w:rsid w:val="000249AA"/>
    <w:rsid w:val="000253E5"/>
    <w:rsid w:val="00025776"/>
    <w:rsid w:val="000270F2"/>
    <w:rsid w:val="000274CD"/>
    <w:rsid w:val="00027540"/>
    <w:rsid w:val="00030572"/>
    <w:rsid w:val="000308E4"/>
    <w:rsid w:val="00030CB3"/>
    <w:rsid w:val="00031561"/>
    <w:rsid w:val="0003206A"/>
    <w:rsid w:val="000326A7"/>
    <w:rsid w:val="00032EA0"/>
    <w:rsid w:val="000336D4"/>
    <w:rsid w:val="00033F0C"/>
    <w:rsid w:val="00034AE7"/>
    <w:rsid w:val="00034FA7"/>
    <w:rsid w:val="000357E4"/>
    <w:rsid w:val="00035ACA"/>
    <w:rsid w:val="00035BFB"/>
    <w:rsid w:val="00036F94"/>
    <w:rsid w:val="00040762"/>
    <w:rsid w:val="00040D46"/>
    <w:rsid w:val="00041892"/>
    <w:rsid w:val="00042533"/>
    <w:rsid w:val="00042E65"/>
    <w:rsid w:val="0004347C"/>
    <w:rsid w:val="00043907"/>
    <w:rsid w:val="00044F48"/>
    <w:rsid w:val="00045085"/>
    <w:rsid w:val="00045ABD"/>
    <w:rsid w:val="00046153"/>
    <w:rsid w:val="0004708A"/>
    <w:rsid w:val="00047354"/>
    <w:rsid w:val="0004753C"/>
    <w:rsid w:val="00050656"/>
    <w:rsid w:val="00051B00"/>
    <w:rsid w:val="0005205F"/>
    <w:rsid w:val="0005238F"/>
    <w:rsid w:val="00052BB8"/>
    <w:rsid w:val="00052C94"/>
    <w:rsid w:val="00052F50"/>
    <w:rsid w:val="000531C9"/>
    <w:rsid w:val="0005417A"/>
    <w:rsid w:val="00054D39"/>
    <w:rsid w:val="0005501B"/>
    <w:rsid w:val="000550F5"/>
    <w:rsid w:val="00055337"/>
    <w:rsid w:val="000554C7"/>
    <w:rsid w:val="00055506"/>
    <w:rsid w:val="00055D88"/>
    <w:rsid w:val="00056402"/>
    <w:rsid w:val="00056791"/>
    <w:rsid w:val="000568DF"/>
    <w:rsid w:val="000574B4"/>
    <w:rsid w:val="000578A3"/>
    <w:rsid w:val="00057D4C"/>
    <w:rsid w:val="000606E2"/>
    <w:rsid w:val="00061A3C"/>
    <w:rsid w:val="00061C48"/>
    <w:rsid w:val="00061C59"/>
    <w:rsid w:val="00064278"/>
    <w:rsid w:val="0006438B"/>
    <w:rsid w:val="000646CA"/>
    <w:rsid w:val="000665C4"/>
    <w:rsid w:val="00067821"/>
    <w:rsid w:val="0006785E"/>
    <w:rsid w:val="00067F92"/>
    <w:rsid w:val="00067FA7"/>
    <w:rsid w:val="0007032C"/>
    <w:rsid w:val="0007038E"/>
    <w:rsid w:val="0007077C"/>
    <w:rsid w:val="00070825"/>
    <w:rsid w:val="00071CD8"/>
    <w:rsid w:val="00072631"/>
    <w:rsid w:val="00072AED"/>
    <w:rsid w:val="00072B56"/>
    <w:rsid w:val="00072D2B"/>
    <w:rsid w:val="000730B1"/>
    <w:rsid w:val="00073337"/>
    <w:rsid w:val="00073860"/>
    <w:rsid w:val="000738EA"/>
    <w:rsid w:val="000752E0"/>
    <w:rsid w:val="00075D0E"/>
    <w:rsid w:val="00075F6A"/>
    <w:rsid w:val="0007616C"/>
    <w:rsid w:val="000763F3"/>
    <w:rsid w:val="00076801"/>
    <w:rsid w:val="0007696A"/>
    <w:rsid w:val="00077577"/>
    <w:rsid w:val="00077607"/>
    <w:rsid w:val="00077756"/>
    <w:rsid w:val="00080970"/>
    <w:rsid w:val="00081671"/>
    <w:rsid w:val="000832BE"/>
    <w:rsid w:val="00084D27"/>
    <w:rsid w:val="0008580E"/>
    <w:rsid w:val="00085A0E"/>
    <w:rsid w:val="00085C4F"/>
    <w:rsid w:val="000866B4"/>
    <w:rsid w:val="00086EEB"/>
    <w:rsid w:val="00086F8A"/>
    <w:rsid w:val="00090243"/>
    <w:rsid w:val="000904F6"/>
    <w:rsid w:val="00090ED8"/>
    <w:rsid w:val="0009145F"/>
    <w:rsid w:val="00091B4E"/>
    <w:rsid w:val="00092FE9"/>
    <w:rsid w:val="00093BC1"/>
    <w:rsid w:val="00094342"/>
    <w:rsid w:val="00095954"/>
    <w:rsid w:val="00095FAF"/>
    <w:rsid w:val="000960BA"/>
    <w:rsid w:val="0009662A"/>
    <w:rsid w:val="00096D65"/>
    <w:rsid w:val="00096DFF"/>
    <w:rsid w:val="000974A2"/>
    <w:rsid w:val="000A091C"/>
    <w:rsid w:val="000A0E69"/>
    <w:rsid w:val="000A0FEB"/>
    <w:rsid w:val="000A1A52"/>
    <w:rsid w:val="000A1F98"/>
    <w:rsid w:val="000A3D58"/>
    <w:rsid w:val="000A3F17"/>
    <w:rsid w:val="000A47B0"/>
    <w:rsid w:val="000A49BB"/>
    <w:rsid w:val="000A4F22"/>
    <w:rsid w:val="000A5674"/>
    <w:rsid w:val="000A5A46"/>
    <w:rsid w:val="000A7299"/>
    <w:rsid w:val="000B0262"/>
    <w:rsid w:val="000B0E04"/>
    <w:rsid w:val="000B291B"/>
    <w:rsid w:val="000B456C"/>
    <w:rsid w:val="000B4B56"/>
    <w:rsid w:val="000B4C62"/>
    <w:rsid w:val="000B54C1"/>
    <w:rsid w:val="000C0A43"/>
    <w:rsid w:val="000C1411"/>
    <w:rsid w:val="000C1ADE"/>
    <w:rsid w:val="000C1C38"/>
    <w:rsid w:val="000C2264"/>
    <w:rsid w:val="000C256B"/>
    <w:rsid w:val="000C3970"/>
    <w:rsid w:val="000C3B1A"/>
    <w:rsid w:val="000C4727"/>
    <w:rsid w:val="000C47AE"/>
    <w:rsid w:val="000C51AD"/>
    <w:rsid w:val="000C5374"/>
    <w:rsid w:val="000C5EC0"/>
    <w:rsid w:val="000C5FD7"/>
    <w:rsid w:val="000C6162"/>
    <w:rsid w:val="000C6688"/>
    <w:rsid w:val="000C7BEB"/>
    <w:rsid w:val="000C7FA9"/>
    <w:rsid w:val="000D0124"/>
    <w:rsid w:val="000D0E40"/>
    <w:rsid w:val="000D11E5"/>
    <w:rsid w:val="000D169E"/>
    <w:rsid w:val="000D19E8"/>
    <w:rsid w:val="000D2834"/>
    <w:rsid w:val="000D34C8"/>
    <w:rsid w:val="000D34FD"/>
    <w:rsid w:val="000D3BE5"/>
    <w:rsid w:val="000D3C37"/>
    <w:rsid w:val="000D453A"/>
    <w:rsid w:val="000D47CB"/>
    <w:rsid w:val="000D5EA6"/>
    <w:rsid w:val="000D5F00"/>
    <w:rsid w:val="000D6C9F"/>
    <w:rsid w:val="000D6E3B"/>
    <w:rsid w:val="000D781A"/>
    <w:rsid w:val="000D7C9D"/>
    <w:rsid w:val="000D7CE0"/>
    <w:rsid w:val="000D7FFC"/>
    <w:rsid w:val="000E0324"/>
    <w:rsid w:val="000E1AD5"/>
    <w:rsid w:val="000E20C9"/>
    <w:rsid w:val="000E2785"/>
    <w:rsid w:val="000E27BB"/>
    <w:rsid w:val="000E3153"/>
    <w:rsid w:val="000E386F"/>
    <w:rsid w:val="000E4051"/>
    <w:rsid w:val="000E4765"/>
    <w:rsid w:val="000E5B7E"/>
    <w:rsid w:val="000E5FF9"/>
    <w:rsid w:val="000E6AE1"/>
    <w:rsid w:val="000E7142"/>
    <w:rsid w:val="000E7180"/>
    <w:rsid w:val="000E7632"/>
    <w:rsid w:val="000E7739"/>
    <w:rsid w:val="000E77EE"/>
    <w:rsid w:val="000F0571"/>
    <w:rsid w:val="000F2940"/>
    <w:rsid w:val="000F3D08"/>
    <w:rsid w:val="000F4495"/>
    <w:rsid w:val="000F4A05"/>
    <w:rsid w:val="000F505B"/>
    <w:rsid w:val="000F68A0"/>
    <w:rsid w:val="000F6CC2"/>
    <w:rsid w:val="0010005D"/>
    <w:rsid w:val="0010065F"/>
    <w:rsid w:val="0010118C"/>
    <w:rsid w:val="0010125E"/>
    <w:rsid w:val="00101967"/>
    <w:rsid w:val="001027D0"/>
    <w:rsid w:val="0010352C"/>
    <w:rsid w:val="00103EBD"/>
    <w:rsid w:val="001048AB"/>
    <w:rsid w:val="00104E5B"/>
    <w:rsid w:val="00104EEC"/>
    <w:rsid w:val="001050DC"/>
    <w:rsid w:val="00105482"/>
    <w:rsid w:val="001055BB"/>
    <w:rsid w:val="001056A5"/>
    <w:rsid w:val="00105BA9"/>
    <w:rsid w:val="00106AAA"/>
    <w:rsid w:val="00106BD2"/>
    <w:rsid w:val="00107BBD"/>
    <w:rsid w:val="00107BC7"/>
    <w:rsid w:val="001102B5"/>
    <w:rsid w:val="00111117"/>
    <w:rsid w:val="00111C7D"/>
    <w:rsid w:val="00112038"/>
    <w:rsid w:val="001127FF"/>
    <w:rsid w:val="00112B0B"/>
    <w:rsid w:val="00113123"/>
    <w:rsid w:val="0011383E"/>
    <w:rsid w:val="00113941"/>
    <w:rsid w:val="00114847"/>
    <w:rsid w:val="0011560B"/>
    <w:rsid w:val="0011585B"/>
    <w:rsid w:val="00115B1A"/>
    <w:rsid w:val="001160FF"/>
    <w:rsid w:val="001168F8"/>
    <w:rsid w:val="001176FF"/>
    <w:rsid w:val="00120F18"/>
    <w:rsid w:val="0012159D"/>
    <w:rsid w:val="001231D3"/>
    <w:rsid w:val="001232A7"/>
    <w:rsid w:val="0012419E"/>
    <w:rsid w:val="001248EF"/>
    <w:rsid w:val="00124FC4"/>
    <w:rsid w:val="001253AB"/>
    <w:rsid w:val="0012574C"/>
    <w:rsid w:val="001259B8"/>
    <w:rsid w:val="0012693E"/>
    <w:rsid w:val="001302E6"/>
    <w:rsid w:val="001308CC"/>
    <w:rsid w:val="00130B94"/>
    <w:rsid w:val="00131762"/>
    <w:rsid w:val="00131C2D"/>
    <w:rsid w:val="0013202C"/>
    <w:rsid w:val="00132CBF"/>
    <w:rsid w:val="00133742"/>
    <w:rsid w:val="001350F7"/>
    <w:rsid w:val="00135562"/>
    <w:rsid w:val="00135769"/>
    <w:rsid w:val="00135BE9"/>
    <w:rsid w:val="001365C5"/>
    <w:rsid w:val="00136762"/>
    <w:rsid w:val="00136E33"/>
    <w:rsid w:val="0013755B"/>
    <w:rsid w:val="0013773D"/>
    <w:rsid w:val="00137A63"/>
    <w:rsid w:val="00140693"/>
    <w:rsid w:val="00140D7A"/>
    <w:rsid w:val="00141DFE"/>
    <w:rsid w:val="00142A51"/>
    <w:rsid w:val="001433BC"/>
    <w:rsid w:val="00144649"/>
    <w:rsid w:val="00145022"/>
    <w:rsid w:val="00145662"/>
    <w:rsid w:val="00145BA2"/>
    <w:rsid w:val="00145C6D"/>
    <w:rsid w:val="00146151"/>
    <w:rsid w:val="00147032"/>
    <w:rsid w:val="0014735C"/>
    <w:rsid w:val="00147815"/>
    <w:rsid w:val="00147EA7"/>
    <w:rsid w:val="00151B2F"/>
    <w:rsid w:val="001524DC"/>
    <w:rsid w:val="001525E5"/>
    <w:rsid w:val="00153859"/>
    <w:rsid w:val="00153915"/>
    <w:rsid w:val="00155B95"/>
    <w:rsid w:val="00156853"/>
    <w:rsid w:val="00157432"/>
    <w:rsid w:val="0016109B"/>
    <w:rsid w:val="00161185"/>
    <w:rsid w:val="001623AC"/>
    <w:rsid w:val="00162BAA"/>
    <w:rsid w:val="0016488B"/>
    <w:rsid w:val="00165758"/>
    <w:rsid w:val="00165A65"/>
    <w:rsid w:val="00165D6E"/>
    <w:rsid w:val="001660B7"/>
    <w:rsid w:val="00167478"/>
    <w:rsid w:val="00167594"/>
    <w:rsid w:val="001702BE"/>
    <w:rsid w:val="001704B3"/>
    <w:rsid w:val="001704DA"/>
    <w:rsid w:val="0017105C"/>
    <w:rsid w:val="00171622"/>
    <w:rsid w:val="001721CF"/>
    <w:rsid w:val="001728FD"/>
    <w:rsid w:val="00172A27"/>
    <w:rsid w:val="00172F02"/>
    <w:rsid w:val="00173631"/>
    <w:rsid w:val="0017372D"/>
    <w:rsid w:val="00173C58"/>
    <w:rsid w:val="00173E59"/>
    <w:rsid w:val="00174F57"/>
    <w:rsid w:val="00175078"/>
    <w:rsid w:val="001755DC"/>
    <w:rsid w:val="0017693F"/>
    <w:rsid w:val="00180A47"/>
    <w:rsid w:val="001827B7"/>
    <w:rsid w:val="001827EF"/>
    <w:rsid w:val="00182982"/>
    <w:rsid w:val="00182D68"/>
    <w:rsid w:val="00183031"/>
    <w:rsid w:val="00183468"/>
    <w:rsid w:val="0018397E"/>
    <w:rsid w:val="00184DBF"/>
    <w:rsid w:val="001852A8"/>
    <w:rsid w:val="00187243"/>
    <w:rsid w:val="00187C29"/>
    <w:rsid w:val="00190942"/>
    <w:rsid w:val="001909A7"/>
    <w:rsid w:val="00191459"/>
    <w:rsid w:val="0019174E"/>
    <w:rsid w:val="001923D5"/>
    <w:rsid w:val="001926DA"/>
    <w:rsid w:val="00192991"/>
    <w:rsid w:val="00193B94"/>
    <w:rsid w:val="001940A7"/>
    <w:rsid w:val="00194BB1"/>
    <w:rsid w:val="00194BC6"/>
    <w:rsid w:val="00195070"/>
    <w:rsid w:val="0019526D"/>
    <w:rsid w:val="001956BE"/>
    <w:rsid w:val="0019602C"/>
    <w:rsid w:val="001969F2"/>
    <w:rsid w:val="0019756A"/>
    <w:rsid w:val="001A07F8"/>
    <w:rsid w:val="001A0864"/>
    <w:rsid w:val="001A0A23"/>
    <w:rsid w:val="001A0A91"/>
    <w:rsid w:val="001A128B"/>
    <w:rsid w:val="001A1F0E"/>
    <w:rsid w:val="001A3B64"/>
    <w:rsid w:val="001A473A"/>
    <w:rsid w:val="001A4B80"/>
    <w:rsid w:val="001A4ED9"/>
    <w:rsid w:val="001A5785"/>
    <w:rsid w:val="001A5FD7"/>
    <w:rsid w:val="001A66A6"/>
    <w:rsid w:val="001A6BBB"/>
    <w:rsid w:val="001A79A2"/>
    <w:rsid w:val="001B13BF"/>
    <w:rsid w:val="001B1567"/>
    <w:rsid w:val="001B16F5"/>
    <w:rsid w:val="001B1C1F"/>
    <w:rsid w:val="001B219B"/>
    <w:rsid w:val="001B2377"/>
    <w:rsid w:val="001B2703"/>
    <w:rsid w:val="001B3E6D"/>
    <w:rsid w:val="001B46B2"/>
    <w:rsid w:val="001B4725"/>
    <w:rsid w:val="001B48B2"/>
    <w:rsid w:val="001B49DA"/>
    <w:rsid w:val="001B4CA8"/>
    <w:rsid w:val="001B4E53"/>
    <w:rsid w:val="001B572D"/>
    <w:rsid w:val="001B5943"/>
    <w:rsid w:val="001B5B10"/>
    <w:rsid w:val="001B5E9A"/>
    <w:rsid w:val="001B7A15"/>
    <w:rsid w:val="001B7B69"/>
    <w:rsid w:val="001C08DB"/>
    <w:rsid w:val="001C10BD"/>
    <w:rsid w:val="001C1F01"/>
    <w:rsid w:val="001C232F"/>
    <w:rsid w:val="001C2544"/>
    <w:rsid w:val="001C2A17"/>
    <w:rsid w:val="001C31F5"/>
    <w:rsid w:val="001C457B"/>
    <w:rsid w:val="001C6047"/>
    <w:rsid w:val="001C6139"/>
    <w:rsid w:val="001C6698"/>
    <w:rsid w:val="001C7CE0"/>
    <w:rsid w:val="001D005B"/>
    <w:rsid w:val="001D0947"/>
    <w:rsid w:val="001D16F5"/>
    <w:rsid w:val="001D1970"/>
    <w:rsid w:val="001D1D1E"/>
    <w:rsid w:val="001D1D55"/>
    <w:rsid w:val="001D21EF"/>
    <w:rsid w:val="001D29A4"/>
    <w:rsid w:val="001D330D"/>
    <w:rsid w:val="001D4AB6"/>
    <w:rsid w:val="001D4AD3"/>
    <w:rsid w:val="001D7DFE"/>
    <w:rsid w:val="001E10C6"/>
    <w:rsid w:val="001E1713"/>
    <w:rsid w:val="001E17E3"/>
    <w:rsid w:val="001E2052"/>
    <w:rsid w:val="001E257C"/>
    <w:rsid w:val="001E31AF"/>
    <w:rsid w:val="001E35EE"/>
    <w:rsid w:val="001E4B2C"/>
    <w:rsid w:val="001E507F"/>
    <w:rsid w:val="001E53EE"/>
    <w:rsid w:val="001E59FB"/>
    <w:rsid w:val="001F0FD1"/>
    <w:rsid w:val="001F19D1"/>
    <w:rsid w:val="001F1CB9"/>
    <w:rsid w:val="001F1F18"/>
    <w:rsid w:val="001F2D52"/>
    <w:rsid w:val="001F2F92"/>
    <w:rsid w:val="001F5DBF"/>
    <w:rsid w:val="001F612E"/>
    <w:rsid w:val="001F62C3"/>
    <w:rsid w:val="00201B0F"/>
    <w:rsid w:val="00202800"/>
    <w:rsid w:val="00202D33"/>
    <w:rsid w:val="00202E58"/>
    <w:rsid w:val="00202F99"/>
    <w:rsid w:val="00202FDA"/>
    <w:rsid w:val="00203C85"/>
    <w:rsid w:val="00205112"/>
    <w:rsid w:val="00205298"/>
    <w:rsid w:val="002052DD"/>
    <w:rsid w:val="00205939"/>
    <w:rsid w:val="00205D1C"/>
    <w:rsid w:val="002062B8"/>
    <w:rsid w:val="00206698"/>
    <w:rsid w:val="00206736"/>
    <w:rsid w:val="00206AA5"/>
    <w:rsid w:val="00206C88"/>
    <w:rsid w:val="002078A3"/>
    <w:rsid w:val="00210744"/>
    <w:rsid w:val="00210B9C"/>
    <w:rsid w:val="002117E5"/>
    <w:rsid w:val="00213D15"/>
    <w:rsid w:val="00214028"/>
    <w:rsid w:val="002141C3"/>
    <w:rsid w:val="002141DC"/>
    <w:rsid w:val="00214479"/>
    <w:rsid w:val="002144F3"/>
    <w:rsid w:val="002146C3"/>
    <w:rsid w:val="00215A2A"/>
    <w:rsid w:val="00215D21"/>
    <w:rsid w:val="00216387"/>
    <w:rsid w:val="00216526"/>
    <w:rsid w:val="002204BC"/>
    <w:rsid w:val="00220F7B"/>
    <w:rsid w:val="00221281"/>
    <w:rsid w:val="002213CE"/>
    <w:rsid w:val="00221AF7"/>
    <w:rsid w:val="00221FFA"/>
    <w:rsid w:val="00222494"/>
    <w:rsid w:val="00222775"/>
    <w:rsid w:val="00222A31"/>
    <w:rsid w:val="00222CF6"/>
    <w:rsid w:val="002244E4"/>
    <w:rsid w:val="00224D2A"/>
    <w:rsid w:val="00224D8D"/>
    <w:rsid w:val="0022555A"/>
    <w:rsid w:val="00230689"/>
    <w:rsid w:val="0023079F"/>
    <w:rsid w:val="00231135"/>
    <w:rsid w:val="00231523"/>
    <w:rsid w:val="00233538"/>
    <w:rsid w:val="0023449F"/>
    <w:rsid w:val="002344F5"/>
    <w:rsid w:val="0023454D"/>
    <w:rsid w:val="00234679"/>
    <w:rsid w:val="00236690"/>
    <w:rsid w:val="0023669D"/>
    <w:rsid w:val="00237FA2"/>
    <w:rsid w:val="002403D5"/>
    <w:rsid w:val="00240F67"/>
    <w:rsid w:val="00241144"/>
    <w:rsid w:val="00241606"/>
    <w:rsid w:val="00242510"/>
    <w:rsid w:val="00242F79"/>
    <w:rsid w:val="0024415B"/>
    <w:rsid w:val="00245565"/>
    <w:rsid w:val="002458C1"/>
    <w:rsid w:val="00246357"/>
    <w:rsid w:val="00246924"/>
    <w:rsid w:val="00247422"/>
    <w:rsid w:val="00247BA2"/>
    <w:rsid w:val="0025184F"/>
    <w:rsid w:val="00251967"/>
    <w:rsid w:val="002527CC"/>
    <w:rsid w:val="00253586"/>
    <w:rsid w:val="002537FC"/>
    <w:rsid w:val="002542F8"/>
    <w:rsid w:val="002543EF"/>
    <w:rsid w:val="00255784"/>
    <w:rsid w:val="00255AF7"/>
    <w:rsid w:val="002560CA"/>
    <w:rsid w:val="0025631F"/>
    <w:rsid w:val="00256986"/>
    <w:rsid w:val="00257246"/>
    <w:rsid w:val="00257438"/>
    <w:rsid w:val="00260FA5"/>
    <w:rsid w:val="00261246"/>
    <w:rsid w:val="0026212A"/>
    <w:rsid w:val="00263044"/>
    <w:rsid w:val="00263759"/>
    <w:rsid w:val="002638BD"/>
    <w:rsid w:val="0026470B"/>
    <w:rsid w:val="0026486D"/>
    <w:rsid w:val="00264C4B"/>
    <w:rsid w:val="00264ED0"/>
    <w:rsid w:val="002660C3"/>
    <w:rsid w:val="0026697C"/>
    <w:rsid w:val="00266DE1"/>
    <w:rsid w:val="00267A92"/>
    <w:rsid w:val="00267E43"/>
    <w:rsid w:val="00270282"/>
    <w:rsid w:val="002711EF"/>
    <w:rsid w:val="0027244F"/>
    <w:rsid w:val="0027393E"/>
    <w:rsid w:val="002739CE"/>
    <w:rsid w:val="00273C5F"/>
    <w:rsid w:val="002751CA"/>
    <w:rsid w:val="0027544D"/>
    <w:rsid w:val="002775ED"/>
    <w:rsid w:val="002778AB"/>
    <w:rsid w:val="00277D86"/>
    <w:rsid w:val="002802A5"/>
    <w:rsid w:val="00280CFB"/>
    <w:rsid w:val="002815C4"/>
    <w:rsid w:val="0028183A"/>
    <w:rsid w:val="00281BCB"/>
    <w:rsid w:val="002821D5"/>
    <w:rsid w:val="00283296"/>
    <w:rsid w:val="002836E9"/>
    <w:rsid w:val="002845A1"/>
    <w:rsid w:val="0028461E"/>
    <w:rsid w:val="0028583E"/>
    <w:rsid w:val="00285853"/>
    <w:rsid w:val="00285B1A"/>
    <w:rsid w:val="00285FF3"/>
    <w:rsid w:val="002866EC"/>
    <w:rsid w:val="0028744E"/>
    <w:rsid w:val="00287936"/>
    <w:rsid w:val="002903C5"/>
    <w:rsid w:val="00290A99"/>
    <w:rsid w:val="00290EAF"/>
    <w:rsid w:val="0029129B"/>
    <w:rsid w:val="0029159A"/>
    <w:rsid w:val="0029199A"/>
    <w:rsid w:val="00291E17"/>
    <w:rsid w:val="00292AA1"/>
    <w:rsid w:val="00293623"/>
    <w:rsid w:val="00293D77"/>
    <w:rsid w:val="0029499D"/>
    <w:rsid w:val="00294A13"/>
    <w:rsid w:val="00294B10"/>
    <w:rsid w:val="00294DF9"/>
    <w:rsid w:val="00295073"/>
    <w:rsid w:val="00296C32"/>
    <w:rsid w:val="002977CE"/>
    <w:rsid w:val="00297AF5"/>
    <w:rsid w:val="002A02D6"/>
    <w:rsid w:val="002A07C4"/>
    <w:rsid w:val="002A0921"/>
    <w:rsid w:val="002A0CB3"/>
    <w:rsid w:val="002A1887"/>
    <w:rsid w:val="002A2001"/>
    <w:rsid w:val="002A4060"/>
    <w:rsid w:val="002A4A05"/>
    <w:rsid w:val="002A4EB3"/>
    <w:rsid w:val="002A51D9"/>
    <w:rsid w:val="002A572D"/>
    <w:rsid w:val="002A5CAB"/>
    <w:rsid w:val="002A5D1C"/>
    <w:rsid w:val="002A5D40"/>
    <w:rsid w:val="002A64E7"/>
    <w:rsid w:val="002A7ED3"/>
    <w:rsid w:val="002A7FC9"/>
    <w:rsid w:val="002B06C1"/>
    <w:rsid w:val="002B139C"/>
    <w:rsid w:val="002B1881"/>
    <w:rsid w:val="002B1D8A"/>
    <w:rsid w:val="002B1F61"/>
    <w:rsid w:val="002B2906"/>
    <w:rsid w:val="002B34E3"/>
    <w:rsid w:val="002B419E"/>
    <w:rsid w:val="002B5AEE"/>
    <w:rsid w:val="002B6177"/>
    <w:rsid w:val="002B650C"/>
    <w:rsid w:val="002B68E6"/>
    <w:rsid w:val="002B6985"/>
    <w:rsid w:val="002C0301"/>
    <w:rsid w:val="002C0326"/>
    <w:rsid w:val="002C0A9F"/>
    <w:rsid w:val="002C1AB3"/>
    <w:rsid w:val="002C1BB7"/>
    <w:rsid w:val="002C2665"/>
    <w:rsid w:val="002C28E1"/>
    <w:rsid w:val="002C327D"/>
    <w:rsid w:val="002C3890"/>
    <w:rsid w:val="002C3A3E"/>
    <w:rsid w:val="002C3AD9"/>
    <w:rsid w:val="002C3D8A"/>
    <w:rsid w:val="002C45C3"/>
    <w:rsid w:val="002C483B"/>
    <w:rsid w:val="002C643D"/>
    <w:rsid w:val="002C646E"/>
    <w:rsid w:val="002C6CCA"/>
    <w:rsid w:val="002C6D79"/>
    <w:rsid w:val="002C6E38"/>
    <w:rsid w:val="002C70E7"/>
    <w:rsid w:val="002D0E88"/>
    <w:rsid w:val="002D1593"/>
    <w:rsid w:val="002D1942"/>
    <w:rsid w:val="002D22A6"/>
    <w:rsid w:val="002D2819"/>
    <w:rsid w:val="002D2CD6"/>
    <w:rsid w:val="002D2F81"/>
    <w:rsid w:val="002D3316"/>
    <w:rsid w:val="002D38A3"/>
    <w:rsid w:val="002D3BA3"/>
    <w:rsid w:val="002D4892"/>
    <w:rsid w:val="002D4D06"/>
    <w:rsid w:val="002D4EE7"/>
    <w:rsid w:val="002D4EED"/>
    <w:rsid w:val="002D58A2"/>
    <w:rsid w:val="002D65AD"/>
    <w:rsid w:val="002D6782"/>
    <w:rsid w:val="002D74A4"/>
    <w:rsid w:val="002D74F4"/>
    <w:rsid w:val="002D7B50"/>
    <w:rsid w:val="002D7DB2"/>
    <w:rsid w:val="002D7EA8"/>
    <w:rsid w:val="002E00E1"/>
    <w:rsid w:val="002E03AE"/>
    <w:rsid w:val="002E0542"/>
    <w:rsid w:val="002E05F2"/>
    <w:rsid w:val="002E0E87"/>
    <w:rsid w:val="002E0F36"/>
    <w:rsid w:val="002E13CF"/>
    <w:rsid w:val="002E1FA9"/>
    <w:rsid w:val="002E201C"/>
    <w:rsid w:val="002E236F"/>
    <w:rsid w:val="002E3956"/>
    <w:rsid w:val="002E469E"/>
    <w:rsid w:val="002E4C01"/>
    <w:rsid w:val="002E4D50"/>
    <w:rsid w:val="002E55FF"/>
    <w:rsid w:val="002E587E"/>
    <w:rsid w:val="002E5DE8"/>
    <w:rsid w:val="002E672A"/>
    <w:rsid w:val="002E6853"/>
    <w:rsid w:val="002E7851"/>
    <w:rsid w:val="002E7EC1"/>
    <w:rsid w:val="002E7EE5"/>
    <w:rsid w:val="002F0323"/>
    <w:rsid w:val="002F134F"/>
    <w:rsid w:val="002F1D0B"/>
    <w:rsid w:val="002F1F02"/>
    <w:rsid w:val="002F27E5"/>
    <w:rsid w:val="002F2D81"/>
    <w:rsid w:val="002F3A21"/>
    <w:rsid w:val="002F43E5"/>
    <w:rsid w:val="002F4909"/>
    <w:rsid w:val="002F4BA9"/>
    <w:rsid w:val="002F541B"/>
    <w:rsid w:val="002F5BFE"/>
    <w:rsid w:val="002F6EFF"/>
    <w:rsid w:val="002F7DF0"/>
    <w:rsid w:val="002F7FAF"/>
    <w:rsid w:val="00301D64"/>
    <w:rsid w:val="00303AB6"/>
    <w:rsid w:val="00304640"/>
    <w:rsid w:val="00304691"/>
    <w:rsid w:val="00304AC1"/>
    <w:rsid w:val="00305090"/>
    <w:rsid w:val="003050C1"/>
    <w:rsid w:val="00305454"/>
    <w:rsid w:val="00305B9F"/>
    <w:rsid w:val="00305E21"/>
    <w:rsid w:val="003066C6"/>
    <w:rsid w:val="003066C7"/>
    <w:rsid w:val="003066FA"/>
    <w:rsid w:val="00306AD6"/>
    <w:rsid w:val="00307DC7"/>
    <w:rsid w:val="00310140"/>
    <w:rsid w:val="00310EDB"/>
    <w:rsid w:val="0031266F"/>
    <w:rsid w:val="00312DFC"/>
    <w:rsid w:val="0031318C"/>
    <w:rsid w:val="0031327E"/>
    <w:rsid w:val="003133DF"/>
    <w:rsid w:val="00313C9D"/>
    <w:rsid w:val="00313E7B"/>
    <w:rsid w:val="0031430C"/>
    <w:rsid w:val="00314C5A"/>
    <w:rsid w:val="00314CF9"/>
    <w:rsid w:val="0031531A"/>
    <w:rsid w:val="00315394"/>
    <w:rsid w:val="003156D4"/>
    <w:rsid w:val="00315D77"/>
    <w:rsid w:val="003165B1"/>
    <w:rsid w:val="00316A70"/>
    <w:rsid w:val="00316CDE"/>
    <w:rsid w:val="0031752D"/>
    <w:rsid w:val="00320688"/>
    <w:rsid w:val="00320B52"/>
    <w:rsid w:val="00320F60"/>
    <w:rsid w:val="00320FBD"/>
    <w:rsid w:val="0032226D"/>
    <w:rsid w:val="00323BFC"/>
    <w:rsid w:val="003249F6"/>
    <w:rsid w:val="00324B2F"/>
    <w:rsid w:val="003251B3"/>
    <w:rsid w:val="0032576A"/>
    <w:rsid w:val="00325FCC"/>
    <w:rsid w:val="00326106"/>
    <w:rsid w:val="00326144"/>
    <w:rsid w:val="00326805"/>
    <w:rsid w:val="003269B7"/>
    <w:rsid w:val="00326C0E"/>
    <w:rsid w:val="003272A3"/>
    <w:rsid w:val="003272E4"/>
    <w:rsid w:val="00327B71"/>
    <w:rsid w:val="00331461"/>
    <w:rsid w:val="003316A8"/>
    <w:rsid w:val="00331CC9"/>
    <w:rsid w:val="003320D7"/>
    <w:rsid w:val="00332433"/>
    <w:rsid w:val="00332D52"/>
    <w:rsid w:val="00333337"/>
    <w:rsid w:val="00333A28"/>
    <w:rsid w:val="003360AD"/>
    <w:rsid w:val="0033617A"/>
    <w:rsid w:val="0033631D"/>
    <w:rsid w:val="00337409"/>
    <w:rsid w:val="00337822"/>
    <w:rsid w:val="0034006B"/>
    <w:rsid w:val="003405AF"/>
    <w:rsid w:val="0034088F"/>
    <w:rsid w:val="00340B3E"/>
    <w:rsid w:val="003413D2"/>
    <w:rsid w:val="00341B32"/>
    <w:rsid w:val="003422B5"/>
    <w:rsid w:val="003426D7"/>
    <w:rsid w:val="00342857"/>
    <w:rsid w:val="00342E4F"/>
    <w:rsid w:val="00344BBF"/>
    <w:rsid w:val="0034509B"/>
    <w:rsid w:val="00345534"/>
    <w:rsid w:val="00345644"/>
    <w:rsid w:val="00345D7A"/>
    <w:rsid w:val="0034607E"/>
    <w:rsid w:val="00346686"/>
    <w:rsid w:val="00346A23"/>
    <w:rsid w:val="00346B6D"/>
    <w:rsid w:val="00346BA3"/>
    <w:rsid w:val="00347356"/>
    <w:rsid w:val="00350896"/>
    <w:rsid w:val="00350C31"/>
    <w:rsid w:val="00351457"/>
    <w:rsid w:val="003519CD"/>
    <w:rsid w:val="00351A3A"/>
    <w:rsid w:val="0035455F"/>
    <w:rsid w:val="003545E9"/>
    <w:rsid w:val="00355D8F"/>
    <w:rsid w:val="00356FF0"/>
    <w:rsid w:val="003575E8"/>
    <w:rsid w:val="0035776F"/>
    <w:rsid w:val="003577EF"/>
    <w:rsid w:val="00360304"/>
    <w:rsid w:val="00360A46"/>
    <w:rsid w:val="00361750"/>
    <w:rsid w:val="00362EA4"/>
    <w:rsid w:val="00363B2A"/>
    <w:rsid w:val="00363BF1"/>
    <w:rsid w:val="003665F2"/>
    <w:rsid w:val="00366779"/>
    <w:rsid w:val="003669C8"/>
    <w:rsid w:val="00366CEB"/>
    <w:rsid w:val="003672B3"/>
    <w:rsid w:val="003676DF"/>
    <w:rsid w:val="00367783"/>
    <w:rsid w:val="003679D3"/>
    <w:rsid w:val="00367A87"/>
    <w:rsid w:val="00367EE7"/>
    <w:rsid w:val="003705EA"/>
    <w:rsid w:val="00370A56"/>
    <w:rsid w:val="0037175D"/>
    <w:rsid w:val="0037223C"/>
    <w:rsid w:val="00372842"/>
    <w:rsid w:val="003729A5"/>
    <w:rsid w:val="00372C89"/>
    <w:rsid w:val="00372E9A"/>
    <w:rsid w:val="003735B9"/>
    <w:rsid w:val="00374259"/>
    <w:rsid w:val="00374677"/>
    <w:rsid w:val="00375850"/>
    <w:rsid w:val="0037632F"/>
    <w:rsid w:val="00377B26"/>
    <w:rsid w:val="00377B46"/>
    <w:rsid w:val="00377F5E"/>
    <w:rsid w:val="00380197"/>
    <w:rsid w:val="00381014"/>
    <w:rsid w:val="003811A8"/>
    <w:rsid w:val="00381604"/>
    <w:rsid w:val="00381C68"/>
    <w:rsid w:val="00381F60"/>
    <w:rsid w:val="00383AB0"/>
    <w:rsid w:val="0038437A"/>
    <w:rsid w:val="003847BB"/>
    <w:rsid w:val="00384814"/>
    <w:rsid w:val="00384C0A"/>
    <w:rsid w:val="00384F29"/>
    <w:rsid w:val="003857E3"/>
    <w:rsid w:val="00385B16"/>
    <w:rsid w:val="00385B96"/>
    <w:rsid w:val="0038637D"/>
    <w:rsid w:val="00386C07"/>
    <w:rsid w:val="00386F58"/>
    <w:rsid w:val="0038700D"/>
    <w:rsid w:val="00390B8F"/>
    <w:rsid w:val="00390C0D"/>
    <w:rsid w:val="00391447"/>
    <w:rsid w:val="003919D9"/>
    <w:rsid w:val="00391BDD"/>
    <w:rsid w:val="003922DE"/>
    <w:rsid w:val="00392E35"/>
    <w:rsid w:val="00393551"/>
    <w:rsid w:val="00393FCD"/>
    <w:rsid w:val="003944EA"/>
    <w:rsid w:val="00394639"/>
    <w:rsid w:val="00394C5F"/>
    <w:rsid w:val="00394DF6"/>
    <w:rsid w:val="003962E6"/>
    <w:rsid w:val="0039648A"/>
    <w:rsid w:val="00396831"/>
    <w:rsid w:val="00396972"/>
    <w:rsid w:val="003971A1"/>
    <w:rsid w:val="003A12B6"/>
    <w:rsid w:val="003A2012"/>
    <w:rsid w:val="003A20D5"/>
    <w:rsid w:val="003A24CC"/>
    <w:rsid w:val="003A2EE8"/>
    <w:rsid w:val="003A373C"/>
    <w:rsid w:val="003A5378"/>
    <w:rsid w:val="003A6008"/>
    <w:rsid w:val="003A703F"/>
    <w:rsid w:val="003A783B"/>
    <w:rsid w:val="003A7E2B"/>
    <w:rsid w:val="003A7E40"/>
    <w:rsid w:val="003B0046"/>
    <w:rsid w:val="003B0336"/>
    <w:rsid w:val="003B0A3A"/>
    <w:rsid w:val="003B0D79"/>
    <w:rsid w:val="003B15FE"/>
    <w:rsid w:val="003B2930"/>
    <w:rsid w:val="003B31A7"/>
    <w:rsid w:val="003B367F"/>
    <w:rsid w:val="003B430E"/>
    <w:rsid w:val="003B47DE"/>
    <w:rsid w:val="003B48DD"/>
    <w:rsid w:val="003B4B51"/>
    <w:rsid w:val="003B514E"/>
    <w:rsid w:val="003B636A"/>
    <w:rsid w:val="003B69CE"/>
    <w:rsid w:val="003C011C"/>
    <w:rsid w:val="003C0B60"/>
    <w:rsid w:val="003C151C"/>
    <w:rsid w:val="003C1B97"/>
    <w:rsid w:val="003C3292"/>
    <w:rsid w:val="003C3C1E"/>
    <w:rsid w:val="003C4134"/>
    <w:rsid w:val="003C435B"/>
    <w:rsid w:val="003C48B4"/>
    <w:rsid w:val="003C4EBE"/>
    <w:rsid w:val="003C62EC"/>
    <w:rsid w:val="003C685A"/>
    <w:rsid w:val="003C6E9C"/>
    <w:rsid w:val="003C7393"/>
    <w:rsid w:val="003C746F"/>
    <w:rsid w:val="003C76E6"/>
    <w:rsid w:val="003C7F12"/>
    <w:rsid w:val="003D03D6"/>
    <w:rsid w:val="003D14C8"/>
    <w:rsid w:val="003D1517"/>
    <w:rsid w:val="003D2DA0"/>
    <w:rsid w:val="003D34C3"/>
    <w:rsid w:val="003D37BB"/>
    <w:rsid w:val="003D3D83"/>
    <w:rsid w:val="003D4685"/>
    <w:rsid w:val="003D4A41"/>
    <w:rsid w:val="003D5432"/>
    <w:rsid w:val="003D5ADB"/>
    <w:rsid w:val="003D646C"/>
    <w:rsid w:val="003D663E"/>
    <w:rsid w:val="003D6793"/>
    <w:rsid w:val="003D6B03"/>
    <w:rsid w:val="003D75D8"/>
    <w:rsid w:val="003E006E"/>
    <w:rsid w:val="003E0E96"/>
    <w:rsid w:val="003E20F7"/>
    <w:rsid w:val="003E2223"/>
    <w:rsid w:val="003E336A"/>
    <w:rsid w:val="003E4048"/>
    <w:rsid w:val="003E412B"/>
    <w:rsid w:val="003E60DA"/>
    <w:rsid w:val="003E616A"/>
    <w:rsid w:val="003E6E00"/>
    <w:rsid w:val="003E7111"/>
    <w:rsid w:val="003E7940"/>
    <w:rsid w:val="003F01BD"/>
    <w:rsid w:val="003F01C2"/>
    <w:rsid w:val="003F0486"/>
    <w:rsid w:val="003F048E"/>
    <w:rsid w:val="003F0AFF"/>
    <w:rsid w:val="003F1EC4"/>
    <w:rsid w:val="003F26DC"/>
    <w:rsid w:val="003F3EFD"/>
    <w:rsid w:val="003F42FF"/>
    <w:rsid w:val="003F4B48"/>
    <w:rsid w:val="003F4DDC"/>
    <w:rsid w:val="003F56B8"/>
    <w:rsid w:val="003F6327"/>
    <w:rsid w:val="003F7575"/>
    <w:rsid w:val="003F765B"/>
    <w:rsid w:val="003F7CB8"/>
    <w:rsid w:val="00400CB4"/>
    <w:rsid w:val="00401386"/>
    <w:rsid w:val="004013E6"/>
    <w:rsid w:val="00401586"/>
    <w:rsid w:val="0040188F"/>
    <w:rsid w:val="00401E31"/>
    <w:rsid w:val="00402BBA"/>
    <w:rsid w:val="004035D0"/>
    <w:rsid w:val="00403795"/>
    <w:rsid w:val="004041FB"/>
    <w:rsid w:val="004056B6"/>
    <w:rsid w:val="00405764"/>
    <w:rsid w:val="00405918"/>
    <w:rsid w:val="00405ADF"/>
    <w:rsid w:val="00405D4E"/>
    <w:rsid w:val="00406745"/>
    <w:rsid w:val="0040674B"/>
    <w:rsid w:val="00406B32"/>
    <w:rsid w:val="004074FA"/>
    <w:rsid w:val="00407A56"/>
    <w:rsid w:val="00407FCC"/>
    <w:rsid w:val="0041035A"/>
    <w:rsid w:val="004112D1"/>
    <w:rsid w:val="004113C9"/>
    <w:rsid w:val="004120DF"/>
    <w:rsid w:val="00413CB7"/>
    <w:rsid w:val="004145C8"/>
    <w:rsid w:val="0041460A"/>
    <w:rsid w:val="00414909"/>
    <w:rsid w:val="00415034"/>
    <w:rsid w:val="004158D0"/>
    <w:rsid w:val="004159A8"/>
    <w:rsid w:val="00415B1A"/>
    <w:rsid w:val="0041690F"/>
    <w:rsid w:val="00416D41"/>
    <w:rsid w:val="00417264"/>
    <w:rsid w:val="004173FB"/>
    <w:rsid w:val="004210C0"/>
    <w:rsid w:val="004211DD"/>
    <w:rsid w:val="00421762"/>
    <w:rsid w:val="00421D4B"/>
    <w:rsid w:val="00421ED8"/>
    <w:rsid w:val="00422907"/>
    <w:rsid w:val="00423125"/>
    <w:rsid w:val="00423309"/>
    <w:rsid w:val="004233AD"/>
    <w:rsid w:val="00424446"/>
    <w:rsid w:val="00425341"/>
    <w:rsid w:val="00425D8C"/>
    <w:rsid w:val="00426B2C"/>
    <w:rsid w:val="0042784A"/>
    <w:rsid w:val="00427FA8"/>
    <w:rsid w:val="0043026B"/>
    <w:rsid w:val="00430338"/>
    <w:rsid w:val="004306D4"/>
    <w:rsid w:val="00432099"/>
    <w:rsid w:val="00432ECA"/>
    <w:rsid w:val="0043554E"/>
    <w:rsid w:val="004355D4"/>
    <w:rsid w:val="004357B1"/>
    <w:rsid w:val="00435821"/>
    <w:rsid w:val="0043583E"/>
    <w:rsid w:val="00436CCE"/>
    <w:rsid w:val="00436D1D"/>
    <w:rsid w:val="00436EAD"/>
    <w:rsid w:val="0043711C"/>
    <w:rsid w:val="004375E1"/>
    <w:rsid w:val="00437A2F"/>
    <w:rsid w:val="004401AE"/>
    <w:rsid w:val="00440262"/>
    <w:rsid w:val="004406BF"/>
    <w:rsid w:val="00440814"/>
    <w:rsid w:val="00442731"/>
    <w:rsid w:val="00442C12"/>
    <w:rsid w:val="004434DF"/>
    <w:rsid w:val="00443E1D"/>
    <w:rsid w:val="00445874"/>
    <w:rsid w:val="00445C38"/>
    <w:rsid w:val="004475F7"/>
    <w:rsid w:val="004502AC"/>
    <w:rsid w:val="0045057B"/>
    <w:rsid w:val="0045069B"/>
    <w:rsid w:val="00450B22"/>
    <w:rsid w:val="00451709"/>
    <w:rsid w:val="00451A02"/>
    <w:rsid w:val="00451DB3"/>
    <w:rsid w:val="0045273A"/>
    <w:rsid w:val="0045277C"/>
    <w:rsid w:val="004543AB"/>
    <w:rsid w:val="00455967"/>
    <w:rsid w:val="00455F71"/>
    <w:rsid w:val="00456272"/>
    <w:rsid w:val="00456ECC"/>
    <w:rsid w:val="00457517"/>
    <w:rsid w:val="00457CF7"/>
    <w:rsid w:val="00457D37"/>
    <w:rsid w:val="0046028A"/>
    <w:rsid w:val="00460E68"/>
    <w:rsid w:val="004614BC"/>
    <w:rsid w:val="00461F80"/>
    <w:rsid w:val="0046240D"/>
    <w:rsid w:val="00463208"/>
    <w:rsid w:val="004633E6"/>
    <w:rsid w:val="0046351A"/>
    <w:rsid w:val="00463576"/>
    <w:rsid w:val="0046399D"/>
    <w:rsid w:val="00463EA4"/>
    <w:rsid w:val="00464C3F"/>
    <w:rsid w:val="00465A21"/>
    <w:rsid w:val="00465DE5"/>
    <w:rsid w:val="0046680A"/>
    <w:rsid w:val="00466978"/>
    <w:rsid w:val="00466ABA"/>
    <w:rsid w:val="004672E3"/>
    <w:rsid w:val="0046775D"/>
    <w:rsid w:val="00467823"/>
    <w:rsid w:val="004705FA"/>
    <w:rsid w:val="004708AC"/>
    <w:rsid w:val="00471387"/>
    <w:rsid w:val="00471963"/>
    <w:rsid w:val="004724B8"/>
    <w:rsid w:val="004728FB"/>
    <w:rsid w:val="00472CA7"/>
    <w:rsid w:val="00472CEC"/>
    <w:rsid w:val="00473308"/>
    <w:rsid w:val="00474382"/>
    <w:rsid w:val="0047471E"/>
    <w:rsid w:val="004749DA"/>
    <w:rsid w:val="00474DEF"/>
    <w:rsid w:val="004758E7"/>
    <w:rsid w:val="00475BAB"/>
    <w:rsid w:val="004764C6"/>
    <w:rsid w:val="00476C2D"/>
    <w:rsid w:val="00476F97"/>
    <w:rsid w:val="00477247"/>
    <w:rsid w:val="004776BB"/>
    <w:rsid w:val="00480067"/>
    <w:rsid w:val="0048055E"/>
    <w:rsid w:val="00480C2B"/>
    <w:rsid w:val="00480DC5"/>
    <w:rsid w:val="004824A9"/>
    <w:rsid w:val="00483140"/>
    <w:rsid w:val="00483984"/>
    <w:rsid w:val="00483BC7"/>
    <w:rsid w:val="00483CF0"/>
    <w:rsid w:val="00484D4D"/>
    <w:rsid w:val="0048664F"/>
    <w:rsid w:val="004868AD"/>
    <w:rsid w:val="00486D00"/>
    <w:rsid w:val="00487173"/>
    <w:rsid w:val="00487FE1"/>
    <w:rsid w:val="004902A6"/>
    <w:rsid w:val="00490707"/>
    <w:rsid w:val="00490815"/>
    <w:rsid w:val="0049117E"/>
    <w:rsid w:val="00492410"/>
    <w:rsid w:val="00492503"/>
    <w:rsid w:val="0049277E"/>
    <w:rsid w:val="00492AF9"/>
    <w:rsid w:val="00492B76"/>
    <w:rsid w:val="0049333E"/>
    <w:rsid w:val="0049418F"/>
    <w:rsid w:val="0049553A"/>
    <w:rsid w:val="00495DC6"/>
    <w:rsid w:val="00496CCE"/>
    <w:rsid w:val="00497934"/>
    <w:rsid w:val="00497AAD"/>
    <w:rsid w:val="00497BD7"/>
    <w:rsid w:val="00497D1A"/>
    <w:rsid w:val="004A0C50"/>
    <w:rsid w:val="004A0DFE"/>
    <w:rsid w:val="004A1049"/>
    <w:rsid w:val="004A119D"/>
    <w:rsid w:val="004A1E2C"/>
    <w:rsid w:val="004A1EA7"/>
    <w:rsid w:val="004A2EF8"/>
    <w:rsid w:val="004A3A21"/>
    <w:rsid w:val="004A3BC2"/>
    <w:rsid w:val="004A47DE"/>
    <w:rsid w:val="004A4E3B"/>
    <w:rsid w:val="004A5C97"/>
    <w:rsid w:val="004A64F9"/>
    <w:rsid w:val="004A71C7"/>
    <w:rsid w:val="004A7737"/>
    <w:rsid w:val="004B026C"/>
    <w:rsid w:val="004B0271"/>
    <w:rsid w:val="004B0BE8"/>
    <w:rsid w:val="004B0E4A"/>
    <w:rsid w:val="004B1679"/>
    <w:rsid w:val="004B18F4"/>
    <w:rsid w:val="004B1A98"/>
    <w:rsid w:val="004B2463"/>
    <w:rsid w:val="004B3012"/>
    <w:rsid w:val="004B305F"/>
    <w:rsid w:val="004B34C4"/>
    <w:rsid w:val="004B34E8"/>
    <w:rsid w:val="004B3981"/>
    <w:rsid w:val="004B3A03"/>
    <w:rsid w:val="004B419F"/>
    <w:rsid w:val="004B4EA9"/>
    <w:rsid w:val="004B5517"/>
    <w:rsid w:val="004B5982"/>
    <w:rsid w:val="004B673A"/>
    <w:rsid w:val="004B69CE"/>
    <w:rsid w:val="004B6E50"/>
    <w:rsid w:val="004B7317"/>
    <w:rsid w:val="004B75B2"/>
    <w:rsid w:val="004C0B22"/>
    <w:rsid w:val="004C0BF0"/>
    <w:rsid w:val="004C0D40"/>
    <w:rsid w:val="004C114F"/>
    <w:rsid w:val="004C11A9"/>
    <w:rsid w:val="004C1D6F"/>
    <w:rsid w:val="004C27CF"/>
    <w:rsid w:val="004C2CA7"/>
    <w:rsid w:val="004C4248"/>
    <w:rsid w:val="004C45C8"/>
    <w:rsid w:val="004C5F4B"/>
    <w:rsid w:val="004C612E"/>
    <w:rsid w:val="004C61B8"/>
    <w:rsid w:val="004C6C0A"/>
    <w:rsid w:val="004C6C6D"/>
    <w:rsid w:val="004C77FF"/>
    <w:rsid w:val="004C7B85"/>
    <w:rsid w:val="004C7DB0"/>
    <w:rsid w:val="004D0223"/>
    <w:rsid w:val="004D0762"/>
    <w:rsid w:val="004D16A3"/>
    <w:rsid w:val="004D1934"/>
    <w:rsid w:val="004D1E41"/>
    <w:rsid w:val="004D2326"/>
    <w:rsid w:val="004D2E11"/>
    <w:rsid w:val="004D329C"/>
    <w:rsid w:val="004D34D1"/>
    <w:rsid w:val="004D381E"/>
    <w:rsid w:val="004D3EC5"/>
    <w:rsid w:val="004D4523"/>
    <w:rsid w:val="004D51D6"/>
    <w:rsid w:val="004D6F29"/>
    <w:rsid w:val="004D700B"/>
    <w:rsid w:val="004D7BF5"/>
    <w:rsid w:val="004D7F9C"/>
    <w:rsid w:val="004E03F4"/>
    <w:rsid w:val="004E0449"/>
    <w:rsid w:val="004E068F"/>
    <w:rsid w:val="004E09CF"/>
    <w:rsid w:val="004E0B75"/>
    <w:rsid w:val="004E1D6F"/>
    <w:rsid w:val="004E2393"/>
    <w:rsid w:val="004E3117"/>
    <w:rsid w:val="004E3A2A"/>
    <w:rsid w:val="004E3AB1"/>
    <w:rsid w:val="004E4003"/>
    <w:rsid w:val="004E40C4"/>
    <w:rsid w:val="004E4106"/>
    <w:rsid w:val="004E4626"/>
    <w:rsid w:val="004E4E79"/>
    <w:rsid w:val="004E5380"/>
    <w:rsid w:val="004E6746"/>
    <w:rsid w:val="004E6CAC"/>
    <w:rsid w:val="004E75C1"/>
    <w:rsid w:val="004E777F"/>
    <w:rsid w:val="004E7E60"/>
    <w:rsid w:val="004F0610"/>
    <w:rsid w:val="004F07F2"/>
    <w:rsid w:val="004F07F9"/>
    <w:rsid w:val="004F0E82"/>
    <w:rsid w:val="004F1523"/>
    <w:rsid w:val="004F1847"/>
    <w:rsid w:val="004F1F9E"/>
    <w:rsid w:val="004F2CB6"/>
    <w:rsid w:val="004F2E6E"/>
    <w:rsid w:val="004F3015"/>
    <w:rsid w:val="004F30E2"/>
    <w:rsid w:val="004F313F"/>
    <w:rsid w:val="004F3EEF"/>
    <w:rsid w:val="004F43A7"/>
    <w:rsid w:val="004F447B"/>
    <w:rsid w:val="004F497C"/>
    <w:rsid w:val="004F4FE8"/>
    <w:rsid w:val="004F531B"/>
    <w:rsid w:val="004F560C"/>
    <w:rsid w:val="004F5DBB"/>
    <w:rsid w:val="004F61A3"/>
    <w:rsid w:val="004F6874"/>
    <w:rsid w:val="004F7333"/>
    <w:rsid w:val="004F7922"/>
    <w:rsid w:val="004F7A1F"/>
    <w:rsid w:val="004F7B47"/>
    <w:rsid w:val="0050079C"/>
    <w:rsid w:val="0050106A"/>
    <w:rsid w:val="005010BC"/>
    <w:rsid w:val="00503373"/>
    <w:rsid w:val="0050537D"/>
    <w:rsid w:val="005060AE"/>
    <w:rsid w:val="00506300"/>
    <w:rsid w:val="00506690"/>
    <w:rsid w:val="005068C4"/>
    <w:rsid w:val="0050790B"/>
    <w:rsid w:val="0051037C"/>
    <w:rsid w:val="0051050F"/>
    <w:rsid w:val="0051056B"/>
    <w:rsid w:val="00510DDC"/>
    <w:rsid w:val="00512D9A"/>
    <w:rsid w:val="005131A2"/>
    <w:rsid w:val="00513BB9"/>
    <w:rsid w:val="0051440E"/>
    <w:rsid w:val="00514B53"/>
    <w:rsid w:val="00515061"/>
    <w:rsid w:val="00515502"/>
    <w:rsid w:val="00515973"/>
    <w:rsid w:val="00517AC8"/>
    <w:rsid w:val="00517C3E"/>
    <w:rsid w:val="00520C63"/>
    <w:rsid w:val="00520E31"/>
    <w:rsid w:val="005212F4"/>
    <w:rsid w:val="00521908"/>
    <w:rsid w:val="0052397A"/>
    <w:rsid w:val="00524138"/>
    <w:rsid w:val="00524154"/>
    <w:rsid w:val="005256D6"/>
    <w:rsid w:val="00525AD8"/>
    <w:rsid w:val="00526429"/>
    <w:rsid w:val="005266C1"/>
    <w:rsid w:val="005267F4"/>
    <w:rsid w:val="005268C4"/>
    <w:rsid w:val="00527317"/>
    <w:rsid w:val="00527ED6"/>
    <w:rsid w:val="00527F6A"/>
    <w:rsid w:val="00531064"/>
    <w:rsid w:val="00531E92"/>
    <w:rsid w:val="005322F1"/>
    <w:rsid w:val="005324D7"/>
    <w:rsid w:val="005335A2"/>
    <w:rsid w:val="00533A13"/>
    <w:rsid w:val="00533D52"/>
    <w:rsid w:val="00533DEC"/>
    <w:rsid w:val="0053618A"/>
    <w:rsid w:val="005362D2"/>
    <w:rsid w:val="00536B03"/>
    <w:rsid w:val="00537456"/>
    <w:rsid w:val="005405B2"/>
    <w:rsid w:val="0054076A"/>
    <w:rsid w:val="00540D47"/>
    <w:rsid w:val="00540EE7"/>
    <w:rsid w:val="00541A22"/>
    <w:rsid w:val="00541EAD"/>
    <w:rsid w:val="005424C2"/>
    <w:rsid w:val="005426B2"/>
    <w:rsid w:val="00543519"/>
    <w:rsid w:val="00543640"/>
    <w:rsid w:val="005444C6"/>
    <w:rsid w:val="00544BF9"/>
    <w:rsid w:val="00544F05"/>
    <w:rsid w:val="005454B8"/>
    <w:rsid w:val="00545ACB"/>
    <w:rsid w:val="00545B81"/>
    <w:rsid w:val="00545DB9"/>
    <w:rsid w:val="00546BF8"/>
    <w:rsid w:val="00547BA2"/>
    <w:rsid w:val="00550AC5"/>
    <w:rsid w:val="00550B7E"/>
    <w:rsid w:val="00551052"/>
    <w:rsid w:val="005524ED"/>
    <w:rsid w:val="00553948"/>
    <w:rsid w:val="00554C03"/>
    <w:rsid w:val="00554C58"/>
    <w:rsid w:val="005550F9"/>
    <w:rsid w:val="00556338"/>
    <w:rsid w:val="00556441"/>
    <w:rsid w:val="00557031"/>
    <w:rsid w:val="00557C4C"/>
    <w:rsid w:val="00557DC7"/>
    <w:rsid w:val="00560FCB"/>
    <w:rsid w:val="00561055"/>
    <w:rsid w:val="0056111C"/>
    <w:rsid w:val="00561140"/>
    <w:rsid w:val="00561412"/>
    <w:rsid w:val="00561903"/>
    <w:rsid w:val="00561A9B"/>
    <w:rsid w:val="00561E54"/>
    <w:rsid w:val="00562FB1"/>
    <w:rsid w:val="00563068"/>
    <w:rsid w:val="0056376A"/>
    <w:rsid w:val="00563B3C"/>
    <w:rsid w:val="005646DD"/>
    <w:rsid w:val="00564DA7"/>
    <w:rsid w:val="00565204"/>
    <w:rsid w:val="00565473"/>
    <w:rsid w:val="0056552E"/>
    <w:rsid w:val="005658F3"/>
    <w:rsid w:val="00565DAC"/>
    <w:rsid w:val="00565F0D"/>
    <w:rsid w:val="005662DC"/>
    <w:rsid w:val="00566329"/>
    <w:rsid w:val="00567623"/>
    <w:rsid w:val="00567FBF"/>
    <w:rsid w:val="005701C2"/>
    <w:rsid w:val="00571D44"/>
    <w:rsid w:val="00573560"/>
    <w:rsid w:val="00574E7B"/>
    <w:rsid w:val="005765C2"/>
    <w:rsid w:val="00576B5C"/>
    <w:rsid w:val="00577540"/>
    <w:rsid w:val="005802F9"/>
    <w:rsid w:val="00580456"/>
    <w:rsid w:val="00580DFC"/>
    <w:rsid w:val="005827A7"/>
    <w:rsid w:val="00583D43"/>
    <w:rsid w:val="005846C3"/>
    <w:rsid w:val="00584F04"/>
    <w:rsid w:val="00585623"/>
    <w:rsid w:val="005857F7"/>
    <w:rsid w:val="00585896"/>
    <w:rsid w:val="0058635A"/>
    <w:rsid w:val="00587D7B"/>
    <w:rsid w:val="005904DB"/>
    <w:rsid w:val="00592825"/>
    <w:rsid w:val="00593D6D"/>
    <w:rsid w:val="00594437"/>
    <w:rsid w:val="00594B70"/>
    <w:rsid w:val="00596CFA"/>
    <w:rsid w:val="005975CE"/>
    <w:rsid w:val="005A0088"/>
    <w:rsid w:val="005A04F6"/>
    <w:rsid w:val="005A14F0"/>
    <w:rsid w:val="005A1726"/>
    <w:rsid w:val="005A1861"/>
    <w:rsid w:val="005A1A31"/>
    <w:rsid w:val="005A361D"/>
    <w:rsid w:val="005A36C2"/>
    <w:rsid w:val="005A3719"/>
    <w:rsid w:val="005A3A2F"/>
    <w:rsid w:val="005A3D7F"/>
    <w:rsid w:val="005A3DD7"/>
    <w:rsid w:val="005A4C20"/>
    <w:rsid w:val="005A4F48"/>
    <w:rsid w:val="005A54F1"/>
    <w:rsid w:val="005A5DDE"/>
    <w:rsid w:val="005A64A8"/>
    <w:rsid w:val="005A65C5"/>
    <w:rsid w:val="005A6875"/>
    <w:rsid w:val="005A6C51"/>
    <w:rsid w:val="005A7A32"/>
    <w:rsid w:val="005A7F85"/>
    <w:rsid w:val="005B00DD"/>
    <w:rsid w:val="005B07D5"/>
    <w:rsid w:val="005B1AAB"/>
    <w:rsid w:val="005B2930"/>
    <w:rsid w:val="005B2B87"/>
    <w:rsid w:val="005B33C8"/>
    <w:rsid w:val="005B387B"/>
    <w:rsid w:val="005B3B01"/>
    <w:rsid w:val="005B40EA"/>
    <w:rsid w:val="005B4333"/>
    <w:rsid w:val="005B48BE"/>
    <w:rsid w:val="005B58F7"/>
    <w:rsid w:val="005B5994"/>
    <w:rsid w:val="005B6474"/>
    <w:rsid w:val="005B666D"/>
    <w:rsid w:val="005B667A"/>
    <w:rsid w:val="005C039B"/>
    <w:rsid w:val="005C059F"/>
    <w:rsid w:val="005C07CE"/>
    <w:rsid w:val="005C0B8F"/>
    <w:rsid w:val="005C194E"/>
    <w:rsid w:val="005C1DB1"/>
    <w:rsid w:val="005C226F"/>
    <w:rsid w:val="005C2294"/>
    <w:rsid w:val="005C3344"/>
    <w:rsid w:val="005C367B"/>
    <w:rsid w:val="005C4AA3"/>
    <w:rsid w:val="005C4E4D"/>
    <w:rsid w:val="005C4F67"/>
    <w:rsid w:val="005C58F2"/>
    <w:rsid w:val="005C5A97"/>
    <w:rsid w:val="005C6230"/>
    <w:rsid w:val="005C6D10"/>
    <w:rsid w:val="005C6D5D"/>
    <w:rsid w:val="005C6FD0"/>
    <w:rsid w:val="005D01C3"/>
    <w:rsid w:val="005D05FF"/>
    <w:rsid w:val="005D0FB4"/>
    <w:rsid w:val="005D1176"/>
    <w:rsid w:val="005D1747"/>
    <w:rsid w:val="005D266D"/>
    <w:rsid w:val="005D2A72"/>
    <w:rsid w:val="005D2BD7"/>
    <w:rsid w:val="005D306D"/>
    <w:rsid w:val="005D3327"/>
    <w:rsid w:val="005D5BCF"/>
    <w:rsid w:val="005D6492"/>
    <w:rsid w:val="005D6C94"/>
    <w:rsid w:val="005D6D84"/>
    <w:rsid w:val="005D70A1"/>
    <w:rsid w:val="005D79F2"/>
    <w:rsid w:val="005D7D14"/>
    <w:rsid w:val="005E0141"/>
    <w:rsid w:val="005E09CA"/>
    <w:rsid w:val="005E1AB4"/>
    <w:rsid w:val="005E1F48"/>
    <w:rsid w:val="005E30BB"/>
    <w:rsid w:val="005E4543"/>
    <w:rsid w:val="005E4767"/>
    <w:rsid w:val="005E56C9"/>
    <w:rsid w:val="005E5CF7"/>
    <w:rsid w:val="005E6009"/>
    <w:rsid w:val="005E642A"/>
    <w:rsid w:val="005E721E"/>
    <w:rsid w:val="005E72E7"/>
    <w:rsid w:val="005F0857"/>
    <w:rsid w:val="005F15A9"/>
    <w:rsid w:val="005F1C2F"/>
    <w:rsid w:val="005F2CD5"/>
    <w:rsid w:val="005F3720"/>
    <w:rsid w:val="005F49E1"/>
    <w:rsid w:val="005F5506"/>
    <w:rsid w:val="005F5A0D"/>
    <w:rsid w:val="005F60DF"/>
    <w:rsid w:val="005F61DF"/>
    <w:rsid w:val="005F680A"/>
    <w:rsid w:val="005F7271"/>
    <w:rsid w:val="005F77F8"/>
    <w:rsid w:val="005F7CA8"/>
    <w:rsid w:val="00601506"/>
    <w:rsid w:val="00601596"/>
    <w:rsid w:val="00601C92"/>
    <w:rsid w:val="00601F66"/>
    <w:rsid w:val="00602B29"/>
    <w:rsid w:val="00603373"/>
    <w:rsid w:val="006036D0"/>
    <w:rsid w:val="006042CD"/>
    <w:rsid w:val="00605217"/>
    <w:rsid w:val="0060533A"/>
    <w:rsid w:val="006054A5"/>
    <w:rsid w:val="006059E4"/>
    <w:rsid w:val="006062A0"/>
    <w:rsid w:val="00606EDF"/>
    <w:rsid w:val="0061098D"/>
    <w:rsid w:val="00611B59"/>
    <w:rsid w:val="00611FBA"/>
    <w:rsid w:val="0061272A"/>
    <w:rsid w:val="00613AA2"/>
    <w:rsid w:val="00613E58"/>
    <w:rsid w:val="006155F1"/>
    <w:rsid w:val="00615846"/>
    <w:rsid w:val="006160F0"/>
    <w:rsid w:val="0061623D"/>
    <w:rsid w:val="0061624B"/>
    <w:rsid w:val="00616C1E"/>
    <w:rsid w:val="006172C8"/>
    <w:rsid w:val="00617EFC"/>
    <w:rsid w:val="00620055"/>
    <w:rsid w:val="006204B3"/>
    <w:rsid w:val="006212D3"/>
    <w:rsid w:val="00623169"/>
    <w:rsid w:val="00623571"/>
    <w:rsid w:val="00623A5E"/>
    <w:rsid w:val="00623CA9"/>
    <w:rsid w:val="00625008"/>
    <w:rsid w:val="0062626B"/>
    <w:rsid w:val="00626930"/>
    <w:rsid w:val="00626952"/>
    <w:rsid w:val="00626BAC"/>
    <w:rsid w:val="006271C3"/>
    <w:rsid w:val="00627B14"/>
    <w:rsid w:val="0063001E"/>
    <w:rsid w:val="00630023"/>
    <w:rsid w:val="00630C70"/>
    <w:rsid w:val="00630D67"/>
    <w:rsid w:val="00631005"/>
    <w:rsid w:val="00632727"/>
    <w:rsid w:val="00633769"/>
    <w:rsid w:val="00633924"/>
    <w:rsid w:val="00633CEF"/>
    <w:rsid w:val="00633E8B"/>
    <w:rsid w:val="00633FE3"/>
    <w:rsid w:val="00634570"/>
    <w:rsid w:val="0063487C"/>
    <w:rsid w:val="00635B73"/>
    <w:rsid w:val="00635BB7"/>
    <w:rsid w:val="006363D8"/>
    <w:rsid w:val="00636CC7"/>
    <w:rsid w:val="00637833"/>
    <w:rsid w:val="00637F27"/>
    <w:rsid w:val="00640D22"/>
    <w:rsid w:val="00641863"/>
    <w:rsid w:val="00641A84"/>
    <w:rsid w:val="00641DA1"/>
    <w:rsid w:val="00641E5B"/>
    <w:rsid w:val="00642274"/>
    <w:rsid w:val="00642784"/>
    <w:rsid w:val="00643F89"/>
    <w:rsid w:val="00644BED"/>
    <w:rsid w:val="00644E2E"/>
    <w:rsid w:val="00645B87"/>
    <w:rsid w:val="00645CB4"/>
    <w:rsid w:val="00646084"/>
    <w:rsid w:val="0064650B"/>
    <w:rsid w:val="00646D7F"/>
    <w:rsid w:val="00647664"/>
    <w:rsid w:val="00647700"/>
    <w:rsid w:val="00652CF5"/>
    <w:rsid w:val="0065343E"/>
    <w:rsid w:val="0065398F"/>
    <w:rsid w:val="00653C7C"/>
    <w:rsid w:val="00654252"/>
    <w:rsid w:val="006543B7"/>
    <w:rsid w:val="00654EA5"/>
    <w:rsid w:val="0065587E"/>
    <w:rsid w:val="006558CD"/>
    <w:rsid w:val="00655C26"/>
    <w:rsid w:val="0065637A"/>
    <w:rsid w:val="00656998"/>
    <w:rsid w:val="00656A5C"/>
    <w:rsid w:val="00656DDD"/>
    <w:rsid w:val="00656E4D"/>
    <w:rsid w:val="00656FE1"/>
    <w:rsid w:val="0065745A"/>
    <w:rsid w:val="006576BA"/>
    <w:rsid w:val="0066233D"/>
    <w:rsid w:val="00662D3D"/>
    <w:rsid w:val="00662F1F"/>
    <w:rsid w:val="00665030"/>
    <w:rsid w:val="00665670"/>
    <w:rsid w:val="006659EA"/>
    <w:rsid w:val="006661E8"/>
    <w:rsid w:val="00666424"/>
    <w:rsid w:val="00666CFF"/>
    <w:rsid w:val="006673B9"/>
    <w:rsid w:val="0066790C"/>
    <w:rsid w:val="00670C7C"/>
    <w:rsid w:val="00671480"/>
    <w:rsid w:val="006717E7"/>
    <w:rsid w:val="00671FD5"/>
    <w:rsid w:val="006720BC"/>
    <w:rsid w:val="00672BF5"/>
    <w:rsid w:val="00672C73"/>
    <w:rsid w:val="00673B64"/>
    <w:rsid w:val="0067470A"/>
    <w:rsid w:val="00675430"/>
    <w:rsid w:val="006755F0"/>
    <w:rsid w:val="00675749"/>
    <w:rsid w:val="00677382"/>
    <w:rsid w:val="0067772D"/>
    <w:rsid w:val="00677AD2"/>
    <w:rsid w:val="00677C50"/>
    <w:rsid w:val="00680714"/>
    <w:rsid w:val="0068071D"/>
    <w:rsid w:val="00680C6B"/>
    <w:rsid w:val="00681240"/>
    <w:rsid w:val="0068245F"/>
    <w:rsid w:val="00683068"/>
    <w:rsid w:val="00683DAD"/>
    <w:rsid w:val="00683F3D"/>
    <w:rsid w:val="006848D0"/>
    <w:rsid w:val="00684963"/>
    <w:rsid w:val="00685033"/>
    <w:rsid w:val="00685123"/>
    <w:rsid w:val="0068517F"/>
    <w:rsid w:val="00685483"/>
    <w:rsid w:val="00685D65"/>
    <w:rsid w:val="00685FC8"/>
    <w:rsid w:val="0068673D"/>
    <w:rsid w:val="00686E80"/>
    <w:rsid w:val="0068790B"/>
    <w:rsid w:val="00687AF2"/>
    <w:rsid w:val="006900C9"/>
    <w:rsid w:val="006901AC"/>
    <w:rsid w:val="00690C8D"/>
    <w:rsid w:val="00691890"/>
    <w:rsid w:val="006918CE"/>
    <w:rsid w:val="00691AAD"/>
    <w:rsid w:val="00692416"/>
    <w:rsid w:val="00692AFF"/>
    <w:rsid w:val="00693B73"/>
    <w:rsid w:val="006945A1"/>
    <w:rsid w:val="006945DD"/>
    <w:rsid w:val="00694A53"/>
    <w:rsid w:val="00694E38"/>
    <w:rsid w:val="00695AB4"/>
    <w:rsid w:val="00695C78"/>
    <w:rsid w:val="00695E6C"/>
    <w:rsid w:val="00695EAC"/>
    <w:rsid w:val="00696182"/>
    <w:rsid w:val="00697068"/>
    <w:rsid w:val="00697C59"/>
    <w:rsid w:val="00697D5F"/>
    <w:rsid w:val="006A035B"/>
    <w:rsid w:val="006A0582"/>
    <w:rsid w:val="006A060C"/>
    <w:rsid w:val="006A071C"/>
    <w:rsid w:val="006A0DC7"/>
    <w:rsid w:val="006A10C7"/>
    <w:rsid w:val="006A150D"/>
    <w:rsid w:val="006A1B00"/>
    <w:rsid w:val="006A2766"/>
    <w:rsid w:val="006A39D0"/>
    <w:rsid w:val="006A4321"/>
    <w:rsid w:val="006A4E20"/>
    <w:rsid w:val="006A4F11"/>
    <w:rsid w:val="006A54E9"/>
    <w:rsid w:val="006B0580"/>
    <w:rsid w:val="006B0DA2"/>
    <w:rsid w:val="006B1486"/>
    <w:rsid w:val="006B1820"/>
    <w:rsid w:val="006B1D06"/>
    <w:rsid w:val="006B1E7E"/>
    <w:rsid w:val="006B2823"/>
    <w:rsid w:val="006B29DC"/>
    <w:rsid w:val="006B33DB"/>
    <w:rsid w:val="006B3669"/>
    <w:rsid w:val="006B36E5"/>
    <w:rsid w:val="006B3D00"/>
    <w:rsid w:val="006B4CF8"/>
    <w:rsid w:val="006B5FBC"/>
    <w:rsid w:val="006B6ED2"/>
    <w:rsid w:val="006C0230"/>
    <w:rsid w:val="006C0309"/>
    <w:rsid w:val="006C12B4"/>
    <w:rsid w:val="006C1721"/>
    <w:rsid w:val="006C25AB"/>
    <w:rsid w:val="006C2DA6"/>
    <w:rsid w:val="006C3581"/>
    <w:rsid w:val="006C3EFE"/>
    <w:rsid w:val="006C46C7"/>
    <w:rsid w:val="006C53A4"/>
    <w:rsid w:val="006C54DF"/>
    <w:rsid w:val="006C5D5D"/>
    <w:rsid w:val="006C6303"/>
    <w:rsid w:val="006C651D"/>
    <w:rsid w:val="006C6EBD"/>
    <w:rsid w:val="006C7AF7"/>
    <w:rsid w:val="006C7E04"/>
    <w:rsid w:val="006C7F79"/>
    <w:rsid w:val="006D015F"/>
    <w:rsid w:val="006D060E"/>
    <w:rsid w:val="006D0681"/>
    <w:rsid w:val="006D0A80"/>
    <w:rsid w:val="006D0E85"/>
    <w:rsid w:val="006D2F72"/>
    <w:rsid w:val="006D3BF8"/>
    <w:rsid w:val="006D43C1"/>
    <w:rsid w:val="006D5442"/>
    <w:rsid w:val="006D6E4E"/>
    <w:rsid w:val="006D72C1"/>
    <w:rsid w:val="006D7A8E"/>
    <w:rsid w:val="006E00E3"/>
    <w:rsid w:val="006E0196"/>
    <w:rsid w:val="006E045C"/>
    <w:rsid w:val="006E065E"/>
    <w:rsid w:val="006E0EDB"/>
    <w:rsid w:val="006E17AC"/>
    <w:rsid w:val="006E189B"/>
    <w:rsid w:val="006E1CE9"/>
    <w:rsid w:val="006E2902"/>
    <w:rsid w:val="006E2F9D"/>
    <w:rsid w:val="006E37C6"/>
    <w:rsid w:val="006E3CF3"/>
    <w:rsid w:val="006E41ED"/>
    <w:rsid w:val="006E4667"/>
    <w:rsid w:val="006E486D"/>
    <w:rsid w:val="006E48BB"/>
    <w:rsid w:val="006E4A16"/>
    <w:rsid w:val="006E591A"/>
    <w:rsid w:val="006E797A"/>
    <w:rsid w:val="006F01FF"/>
    <w:rsid w:val="006F0CB2"/>
    <w:rsid w:val="006F1C8A"/>
    <w:rsid w:val="006F1DE9"/>
    <w:rsid w:val="006F2046"/>
    <w:rsid w:val="006F2F59"/>
    <w:rsid w:val="006F311E"/>
    <w:rsid w:val="006F3442"/>
    <w:rsid w:val="006F36A5"/>
    <w:rsid w:val="006F41F4"/>
    <w:rsid w:val="006F4576"/>
    <w:rsid w:val="006F4B20"/>
    <w:rsid w:val="006F5813"/>
    <w:rsid w:val="006F59A8"/>
    <w:rsid w:val="006F5A1D"/>
    <w:rsid w:val="006F6120"/>
    <w:rsid w:val="006F6392"/>
    <w:rsid w:val="006F71A6"/>
    <w:rsid w:val="006F7974"/>
    <w:rsid w:val="006F7C2C"/>
    <w:rsid w:val="00700405"/>
    <w:rsid w:val="00700D18"/>
    <w:rsid w:val="0070168D"/>
    <w:rsid w:val="00701C36"/>
    <w:rsid w:val="00702F2D"/>
    <w:rsid w:val="0070353F"/>
    <w:rsid w:val="0070412C"/>
    <w:rsid w:val="0070415E"/>
    <w:rsid w:val="00704E7D"/>
    <w:rsid w:val="00705060"/>
    <w:rsid w:val="00705351"/>
    <w:rsid w:val="00705CD1"/>
    <w:rsid w:val="00705DAF"/>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407A"/>
    <w:rsid w:val="0071499C"/>
    <w:rsid w:val="00714B49"/>
    <w:rsid w:val="007154D8"/>
    <w:rsid w:val="00715577"/>
    <w:rsid w:val="0071604D"/>
    <w:rsid w:val="00716C67"/>
    <w:rsid w:val="0071779C"/>
    <w:rsid w:val="00717808"/>
    <w:rsid w:val="007208A7"/>
    <w:rsid w:val="007210F6"/>
    <w:rsid w:val="0072129A"/>
    <w:rsid w:val="0072139F"/>
    <w:rsid w:val="00721FC3"/>
    <w:rsid w:val="00722A86"/>
    <w:rsid w:val="00722BC6"/>
    <w:rsid w:val="00722C69"/>
    <w:rsid w:val="0072388C"/>
    <w:rsid w:val="00724FE4"/>
    <w:rsid w:val="00725E72"/>
    <w:rsid w:val="0072608B"/>
    <w:rsid w:val="007263A2"/>
    <w:rsid w:val="007266B9"/>
    <w:rsid w:val="00727351"/>
    <w:rsid w:val="00727AC5"/>
    <w:rsid w:val="00727C65"/>
    <w:rsid w:val="007300F0"/>
    <w:rsid w:val="00730EB5"/>
    <w:rsid w:val="0073245C"/>
    <w:rsid w:val="00732493"/>
    <w:rsid w:val="00733230"/>
    <w:rsid w:val="00733A43"/>
    <w:rsid w:val="00733D5F"/>
    <w:rsid w:val="00733FBB"/>
    <w:rsid w:val="00734932"/>
    <w:rsid w:val="00735D53"/>
    <w:rsid w:val="00735DBC"/>
    <w:rsid w:val="007364A3"/>
    <w:rsid w:val="007378FD"/>
    <w:rsid w:val="007403FE"/>
    <w:rsid w:val="007413EB"/>
    <w:rsid w:val="0074270C"/>
    <w:rsid w:val="00742D32"/>
    <w:rsid w:val="00742E9B"/>
    <w:rsid w:val="007444E6"/>
    <w:rsid w:val="00745262"/>
    <w:rsid w:val="0074592C"/>
    <w:rsid w:val="00746098"/>
    <w:rsid w:val="00746D58"/>
    <w:rsid w:val="00746E66"/>
    <w:rsid w:val="00747578"/>
    <w:rsid w:val="00751073"/>
    <w:rsid w:val="00751AF2"/>
    <w:rsid w:val="00751BD2"/>
    <w:rsid w:val="00752188"/>
    <w:rsid w:val="00752CC6"/>
    <w:rsid w:val="00753938"/>
    <w:rsid w:val="007543CE"/>
    <w:rsid w:val="00754558"/>
    <w:rsid w:val="0075497E"/>
    <w:rsid w:val="00754A29"/>
    <w:rsid w:val="00755989"/>
    <w:rsid w:val="00755BCF"/>
    <w:rsid w:val="00756100"/>
    <w:rsid w:val="00756C5F"/>
    <w:rsid w:val="00756D69"/>
    <w:rsid w:val="00757029"/>
    <w:rsid w:val="007602D4"/>
    <w:rsid w:val="00760D96"/>
    <w:rsid w:val="0076124A"/>
    <w:rsid w:val="0076161B"/>
    <w:rsid w:val="00761CB5"/>
    <w:rsid w:val="0076216B"/>
    <w:rsid w:val="00762547"/>
    <w:rsid w:val="00763137"/>
    <w:rsid w:val="00763F8B"/>
    <w:rsid w:val="0076417E"/>
    <w:rsid w:val="007662C7"/>
    <w:rsid w:val="00766862"/>
    <w:rsid w:val="0076743B"/>
    <w:rsid w:val="007675DD"/>
    <w:rsid w:val="007702BF"/>
    <w:rsid w:val="007705F0"/>
    <w:rsid w:val="00771CAC"/>
    <w:rsid w:val="00772036"/>
    <w:rsid w:val="00772646"/>
    <w:rsid w:val="00772E69"/>
    <w:rsid w:val="00773605"/>
    <w:rsid w:val="007739A3"/>
    <w:rsid w:val="007739FB"/>
    <w:rsid w:val="00773BD9"/>
    <w:rsid w:val="00773CB0"/>
    <w:rsid w:val="00773D71"/>
    <w:rsid w:val="00774CA9"/>
    <w:rsid w:val="00775526"/>
    <w:rsid w:val="0077685B"/>
    <w:rsid w:val="0077765A"/>
    <w:rsid w:val="00780032"/>
    <w:rsid w:val="00780636"/>
    <w:rsid w:val="00780E86"/>
    <w:rsid w:val="00781181"/>
    <w:rsid w:val="00781727"/>
    <w:rsid w:val="00782805"/>
    <w:rsid w:val="00782CF3"/>
    <w:rsid w:val="007836BC"/>
    <w:rsid w:val="00783959"/>
    <w:rsid w:val="007869F9"/>
    <w:rsid w:val="00786CBB"/>
    <w:rsid w:val="00786E21"/>
    <w:rsid w:val="007873B3"/>
    <w:rsid w:val="007878B5"/>
    <w:rsid w:val="0079038E"/>
    <w:rsid w:val="00790EBB"/>
    <w:rsid w:val="00791C6E"/>
    <w:rsid w:val="00791EF9"/>
    <w:rsid w:val="007921F7"/>
    <w:rsid w:val="00792909"/>
    <w:rsid w:val="00792BC6"/>
    <w:rsid w:val="00792C3F"/>
    <w:rsid w:val="00792EE2"/>
    <w:rsid w:val="00793105"/>
    <w:rsid w:val="007931E8"/>
    <w:rsid w:val="00793333"/>
    <w:rsid w:val="007939C7"/>
    <w:rsid w:val="0079460F"/>
    <w:rsid w:val="00794E46"/>
    <w:rsid w:val="007952DE"/>
    <w:rsid w:val="00795479"/>
    <w:rsid w:val="00796292"/>
    <w:rsid w:val="007965D9"/>
    <w:rsid w:val="007972D5"/>
    <w:rsid w:val="007A0789"/>
    <w:rsid w:val="007A130E"/>
    <w:rsid w:val="007A18B1"/>
    <w:rsid w:val="007A1BBD"/>
    <w:rsid w:val="007A1F08"/>
    <w:rsid w:val="007A25FA"/>
    <w:rsid w:val="007A317F"/>
    <w:rsid w:val="007A3520"/>
    <w:rsid w:val="007A3604"/>
    <w:rsid w:val="007A3878"/>
    <w:rsid w:val="007A3D85"/>
    <w:rsid w:val="007A3E0D"/>
    <w:rsid w:val="007A436D"/>
    <w:rsid w:val="007A44C8"/>
    <w:rsid w:val="007A54F6"/>
    <w:rsid w:val="007A5950"/>
    <w:rsid w:val="007A6D91"/>
    <w:rsid w:val="007A7618"/>
    <w:rsid w:val="007A7F61"/>
    <w:rsid w:val="007B02C7"/>
    <w:rsid w:val="007B0306"/>
    <w:rsid w:val="007B08E4"/>
    <w:rsid w:val="007B0D86"/>
    <w:rsid w:val="007B28C3"/>
    <w:rsid w:val="007B3A8E"/>
    <w:rsid w:val="007B3C9B"/>
    <w:rsid w:val="007B3EA0"/>
    <w:rsid w:val="007B4271"/>
    <w:rsid w:val="007B497D"/>
    <w:rsid w:val="007B4EE9"/>
    <w:rsid w:val="007B54C7"/>
    <w:rsid w:val="007B5DC5"/>
    <w:rsid w:val="007B5F32"/>
    <w:rsid w:val="007B63FC"/>
    <w:rsid w:val="007B6708"/>
    <w:rsid w:val="007B6E8D"/>
    <w:rsid w:val="007C0076"/>
    <w:rsid w:val="007C029E"/>
    <w:rsid w:val="007C0636"/>
    <w:rsid w:val="007C10E4"/>
    <w:rsid w:val="007C17B4"/>
    <w:rsid w:val="007C21C5"/>
    <w:rsid w:val="007C2229"/>
    <w:rsid w:val="007C3590"/>
    <w:rsid w:val="007C387A"/>
    <w:rsid w:val="007C43D6"/>
    <w:rsid w:val="007C47FF"/>
    <w:rsid w:val="007C660F"/>
    <w:rsid w:val="007C6664"/>
    <w:rsid w:val="007C69AE"/>
    <w:rsid w:val="007C6E23"/>
    <w:rsid w:val="007C6FE9"/>
    <w:rsid w:val="007C7688"/>
    <w:rsid w:val="007C76E3"/>
    <w:rsid w:val="007C7AF2"/>
    <w:rsid w:val="007C7DD9"/>
    <w:rsid w:val="007D0DC9"/>
    <w:rsid w:val="007D0ECD"/>
    <w:rsid w:val="007D2882"/>
    <w:rsid w:val="007D2C31"/>
    <w:rsid w:val="007D3D74"/>
    <w:rsid w:val="007D445F"/>
    <w:rsid w:val="007D4DED"/>
    <w:rsid w:val="007D513B"/>
    <w:rsid w:val="007D5AB6"/>
    <w:rsid w:val="007D5BA2"/>
    <w:rsid w:val="007D5ED3"/>
    <w:rsid w:val="007D6FB9"/>
    <w:rsid w:val="007E01E4"/>
    <w:rsid w:val="007E0595"/>
    <w:rsid w:val="007E0A63"/>
    <w:rsid w:val="007E0C63"/>
    <w:rsid w:val="007E0E05"/>
    <w:rsid w:val="007E0F5D"/>
    <w:rsid w:val="007E217B"/>
    <w:rsid w:val="007E23A1"/>
    <w:rsid w:val="007E259F"/>
    <w:rsid w:val="007E2C23"/>
    <w:rsid w:val="007E5306"/>
    <w:rsid w:val="007E54B8"/>
    <w:rsid w:val="007E5921"/>
    <w:rsid w:val="007E5D12"/>
    <w:rsid w:val="007E677F"/>
    <w:rsid w:val="007E6B25"/>
    <w:rsid w:val="007F152D"/>
    <w:rsid w:val="007F20EE"/>
    <w:rsid w:val="007F2821"/>
    <w:rsid w:val="007F30C6"/>
    <w:rsid w:val="007F4318"/>
    <w:rsid w:val="007F465A"/>
    <w:rsid w:val="007F4709"/>
    <w:rsid w:val="007F47DA"/>
    <w:rsid w:val="007F4B43"/>
    <w:rsid w:val="007F4E52"/>
    <w:rsid w:val="007F4F84"/>
    <w:rsid w:val="007F55A4"/>
    <w:rsid w:val="007F5A48"/>
    <w:rsid w:val="007F6260"/>
    <w:rsid w:val="007F6343"/>
    <w:rsid w:val="007F682B"/>
    <w:rsid w:val="007F6EE5"/>
    <w:rsid w:val="00800509"/>
    <w:rsid w:val="00800725"/>
    <w:rsid w:val="00800B7F"/>
    <w:rsid w:val="0080348B"/>
    <w:rsid w:val="00803D82"/>
    <w:rsid w:val="00803D98"/>
    <w:rsid w:val="008052CE"/>
    <w:rsid w:val="00806964"/>
    <w:rsid w:val="00806CD6"/>
    <w:rsid w:val="0080705B"/>
    <w:rsid w:val="0080723C"/>
    <w:rsid w:val="0080779D"/>
    <w:rsid w:val="00807F71"/>
    <w:rsid w:val="0081000F"/>
    <w:rsid w:val="00812657"/>
    <w:rsid w:val="00812A1A"/>
    <w:rsid w:val="00812DFF"/>
    <w:rsid w:val="0081334D"/>
    <w:rsid w:val="0081383A"/>
    <w:rsid w:val="00814FC7"/>
    <w:rsid w:val="00815260"/>
    <w:rsid w:val="00815AA4"/>
    <w:rsid w:val="00817195"/>
    <w:rsid w:val="00817416"/>
    <w:rsid w:val="00820C4A"/>
    <w:rsid w:val="00821271"/>
    <w:rsid w:val="00821306"/>
    <w:rsid w:val="008213D9"/>
    <w:rsid w:val="00821D85"/>
    <w:rsid w:val="00823819"/>
    <w:rsid w:val="00823C4B"/>
    <w:rsid w:val="00823FB0"/>
    <w:rsid w:val="0082427D"/>
    <w:rsid w:val="00824AB1"/>
    <w:rsid w:val="00825441"/>
    <w:rsid w:val="0082797C"/>
    <w:rsid w:val="00830052"/>
    <w:rsid w:val="008300D0"/>
    <w:rsid w:val="00830384"/>
    <w:rsid w:val="008321CE"/>
    <w:rsid w:val="0083257C"/>
    <w:rsid w:val="0083261B"/>
    <w:rsid w:val="00832B44"/>
    <w:rsid w:val="00832EC9"/>
    <w:rsid w:val="00833307"/>
    <w:rsid w:val="00833583"/>
    <w:rsid w:val="00833B5B"/>
    <w:rsid w:val="00833E9A"/>
    <w:rsid w:val="008343FC"/>
    <w:rsid w:val="00834FEF"/>
    <w:rsid w:val="00836323"/>
    <w:rsid w:val="00837E9B"/>
    <w:rsid w:val="008404AA"/>
    <w:rsid w:val="008406D7"/>
    <w:rsid w:val="0084074F"/>
    <w:rsid w:val="00840AAC"/>
    <w:rsid w:val="0084181B"/>
    <w:rsid w:val="00841F29"/>
    <w:rsid w:val="008425CC"/>
    <w:rsid w:val="00843BE2"/>
    <w:rsid w:val="008465B4"/>
    <w:rsid w:val="00846D25"/>
    <w:rsid w:val="00850013"/>
    <w:rsid w:val="008500DD"/>
    <w:rsid w:val="00850191"/>
    <w:rsid w:val="00851E96"/>
    <w:rsid w:val="00852FA5"/>
    <w:rsid w:val="00853B70"/>
    <w:rsid w:val="00853F7D"/>
    <w:rsid w:val="0085517F"/>
    <w:rsid w:val="0085562D"/>
    <w:rsid w:val="00855A78"/>
    <w:rsid w:val="00855D56"/>
    <w:rsid w:val="00856012"/>
    <w:rsid w:val="00856154"/>
    <w:rsid w:val="00856286"/>
    <w:rsid w:val="0085657E"/>
    <w:rsid w:val="008576B0"/>
    <w:rsid w:val="0086003A"/>
    <w:rsid w:val="00860235"/>
    <w:rsid w:val="00860296"/>
    <w:rsid w:val="00860DA4"/>
    <w:rsid w:val="00860E97"/>
    <w:rsid w:val="00861390"/>
    <w:rsid w:val="00861948"/>
    <w:rsid w:val="00862011"/>
    <w:rsid w:val="00862A15"/>
    <w:rsid w:val="00862CC9"/>
    <w:rsid w:val="00862D8E"/>
    <w:rsid w:val="00862EF2"/>
    <w:rsid w:val="0086437E"/>
    <w:rsid w:val="008650A5"/>
    <w:rsid w:val="00865C3D"/>
    <w:rsid w:val="00866453"/>
    <w:rsid w:val="0086707F"/>
    <w:rsid w:val="00867501"/>
    <w:rsid w:val="00867D8E"/>
    <w:rsid w:val="008700C0"/>
    <w:rsid w:val="0087066E"/>
    <w:rsid w:val="0087099A"/>
    <w:rsid w:val="00870D79"/>
    <w:rsid w:val="00871333"/>
    <w:rsid w:val="00872386"/>
    <w:rsid w:val="008726D7"/>
    <w:rsid w:val="0087278A"/>
    <w:rsid w:val="00873128"/>
    <w:rsid w:val="008735BC"/>
    <w:rsid w:val="00873AAC"/>
    <w:rsid w:val="00873C61"/>
    <w:rsid w:val="00873DFD"/>
    <w:rsid w:val="008745D9"/>
    <w:rsid w:val="008749BF"/>
    <w:rsid w:val="00875542"/>
    <w:rsid w:val="00875E14"/>
    <w:rsid w:val="008764B2"/>
    <w:rsid w:val="0087677E"/>
    <w:rsid w:val="0087712C"/>
    <w:rsid w:val="00877C5D"/>
    <w:rsid w:val="0088093C"/>
    <w:rsid w:val="00880BC0"/>
    <w:rsid w:val="00881D59"/>
    <w:rsid w:val="00884371"/>
    <w:rsid w:val="0088452F"/>
    <w:rsid w:val="00884B7A"/>
    <w:rsid w:val="00884D47"/>
    <w:rsid w:val="00886AFE"/>
    <w:rsid w:val="00887392"/>
    <w:rsid w:val="00890C40"/>
    <w:rsid w:val="00890C4B"/>
    <w:rsid w:val="008912A7"/>
    <w:rsid w:val="0089183A"/>
    <w:rsid w:val="008920B4"/>
    <w:rsid w:val="008925EB"/>
    <w:rsid w:val="008926F5"/>
    <w:rsid w:val="00893104"/>
    <w:rsid w:val="00893432"/>
    <w:rsid w:val="00893936"/>
    <w:rsid w:val="00893BFD"/>
    <w:rsid w:val="00893CE2"/>
    <w:rsid w:val="00893F41"/>
    <w:rsid w:val="00895144"/>
    <w:rsid w:val="0089594D"/>
    <w:rsid w:val="0089655C"/>
    <w:rsid w:val="008972B6"/>
    <w:rsid w:val="00897339"/>
    <w:rsid w:val="00897697"/>
    <w:rsid w:val="008977E1"/>
    <w:rsid w:val="008A0044"/>
    <w:rsid w:val="008A0BFE"/>
    <w:rsid w:val="008A1493"/>
    <w:rsid w:val="008A1932"/>
    <w:rsid w:val="008A21D9"/>
    <w:rsid w:val="008A26A5"/>
    <w:rsid w:val="008A3182"/>
    <w:rsid w:val="008A3D54"/>
    <w:rsid w:val="008A3F36"/>
    <w:rsid w:val="008A411C"/>
    <w:rsid w:val="008A47CE"/>
    <w:rsid w:val="008A4D74"/>
    <w:rsid w:val="008A5933"/>
    <w:rsid w:val="008A5F2F"/>
    <w:rsid w:val="008A668F"/>
    <w:rsid w:val="008A6BAE"/>
    <w:rsid w:val="008A71FD"/>
    <w:rsid w:val="008A7350"/>
    <w:rsid w:val="008A7A72"/>
    <w:rsid w:val="008B09F3"/>
    <w:rsid w:val="008B0E77"/>
    <w:rsid w:val="008B16E6"/>
    <w:rsid w:val="008B1AB2"/>
    <w:rsid w:val="008B1D9B"/>
    <w:rsid w:val="008B2042"/>
    <w:rsid w:val="008B234E"/>
    <w:rsid w:val="008B25F1"/>
    <w:rsid w:val="008B32C9"/>
    <w:rsid w:val="008B3567"/>
    <w:rsid w:val="008B36D0"/>
    <w:rsid w:val="008B38AF"/>
    <w:rsid w:val="008B3E1B"/>
    <w:rsid w:val="008B3F4B"/>
    <w:rsid w:val="008B48EC"/>
    <w:rsid w:val="008B4F73"/>
    <w:rsid w:val="008B4F9E"/>
    <w:rsid w:val="008B518E"/>
    <w:rsid w:val="008B69B8"/>
    <w:rsid w:val="008B7042"/>
    <w:rsid w:val="008B7271"/>
    <w:rsid w:val="008C094A"/>
    <w:rsid w:val="008C1570"/>
    <w:rsid w:val="008C1E3E"/>
    <w:rsid w:val="008C2059"/>
    <w:rsid w:val="008C2DBC"/>
    <w:rsid w:val="008C561E"/>
    <w:rsid w:val="008C5775"/>
    <w:rsid w:val="008C63C9"/>
    <w:rsid w:val="008C65F4"/>
    <w:rsid w:val="008C6683"/>
    <w:rsid w:val="008C7273"/>
    <w:rsid w:val="008D0E65"/>
    <w:rsid w:val="008D110A"/>
    <w:rsid w:val="008D1612"/>
    <w:rsid w:val="008D1DED"/>
    <w:rsid w:val="008D2259"/>
    <w:rsid w:val="008D313A"/>
    <w:rsid w:val="008D3381"/>
    <w:rsid w:val="008D33FE"/>
    <w:rsid w:val="008D3B9F"/>
    <w:rsid w:val="008D3D02"/>
    <w:rsid w:val="008D4226"/>
    <w:rsid w:val="008D54C0"/>
    <w:rsid w:val="008D5ED9"/>
    <w:rsid w:val="008D7567"/>
    <w:rsid w:val="008E0E86"/>
    <w:rsid w:val="008E0EE4"/>
    <w:rsid w:val="008E1C24"/>
    <w:rsid w:val="008E2626"/>
    <w:rsid w:val="008E27A9"/>
    <w:rsid w:val="008E323C"/>
    <w:rsid w:val="008E35A6"/>
    <w:rsid w:val="008E36D9"/>
    <w:rsid w:val="008E3A5C"/>
    <w:rsid w:val="008E3A9A"/>
    <w:rsid w:val="008E429E"/>
    <w:rsid w:val="008E4412"/>
    <w:rsid w:val="008E4D6D"/>
    <w:rsid w:val="008E5938"/>
    <w:rsid w:val="008F1D99"/>
    <w:rsid w:val="008F1E3D"/>
    <w:rsid w:val="008F2F11"/>
    <w:rsid w:val="008F33A6"/>
    <w:rsid w:val="008F35EC"/>
    <w:rsid w:val="008F4FE8"/>
    <w:rsid w:val="008F4FED"/>
    <w:rsid w:val="008F6200"/>
    <w:rsid w:val="008F62F8"/>
    <w:rsid w:val="008F6893"/>
    <w:rsid w:val="008F7292"/>
    <w:rsid w:val="009000F2"/>
    <w:rsid w:val="009000F6"/>
    <w:rsid w:val="0090079D"/>
    <w:rsid w:val="0090086A"/>
    <w:rsid w:val="00900D2C"/>
    <w:rsid w:val="00901659"/>
    <w:rsid w:val="00901807"/>
    <w:rsid w:val="00901945"/>
    <w:rsid w:val="00901F0E"/>
    <w:rsid w:val="0090408F"/>
    <w:rsid w:val="009043B7"/>
    <w:rsid w:val="0090446A"/>
    <w:rsid w:val="00904DC3"/>
    <w:rsid w:val="00905469"/>
    <w:rsid w:val="00905B0C"/>
    <w:rsid w:val="00905CBD"/>
    <w:rsid w:val="0090629C"/>
    <w:rsid w:val="00906D97"/>
    <w:rsid w:val="00906EA2"/>
    <w:rsid w:val="00907278"/>
    <w:rsid w:val="009077DC"/>
    <w:rsid w:val="00907D68"/>
    <w:rsid w:val="0091112B"/>
    <w:rsid w:val="009128B8"/>
    <w:rsid w:val="00913CFF"/>
    <w:rsid w:val="0091472C"/>
    <w:rsid w:val="00914FE8"/>
    <w:rsid w:val="00915351"/>
    <w:rsid w:val="00915679"/>
    <w:rsid w:val="009159C2"/>
    <w:rsid w:val="00916D22"/>
    <w:rsid w:val="0092077A"/>
    <w:rsid w:val="009219F3"/>
    <w:rsid w:val="00921DF4"/>
    <w:rsid w:val="009221CB"/>
    <w:rsid w:val="00922320"/>
    <w:rsid w:val="00923643"/>
    <w:rsid w:val="00923E1A"/>
    <w:rsid w:val="009243E5"/>
    <w:rsid w:val="0092490A"/>
    <w:rsid w:val="009251B9"/>
    <w:rsid w:val="00925A3E"/>
    <w:rsid w:val="00925BB2"/>
    <w:rsid w:val="009261DB"/>
    <w:rsid w:val="009264BF"/>
    <w:rsid w:val="00926939"/>
    <w:rsid w:val="00926F4C"/>
    <w:rsid w:val="0092724A"/>
    <w:rsid w:val="00927710"/>
    <w:rsid w:val="00931445"/>
    <w:rsid w:val="00931A2E"/>
    <w:rsid w:val="00931AB8"/>
    <w:rsid w:val="00931C63"/>
    <w:rsid w:val="00931D10"/>
    <w:rsid w:val="0093218A"/>
    <w:rsid w:val="0093386D"/>
    <w:rsid w:val="00934C8E"/>
    <w:rsid w:val="00935194"/>
    <w:rsid w:val="00935DEF"/>
    <w:rsid w:val="009365C7"/>
    <w:rsid w:val="00936EA5"/>
    <w:rsid w:val="00937114"/>
    <w:rsid w:val="0094015D"/>
    <w:rsid w:val="00941101"/>
    <w:rsid w:val="009418D4"/>
    <w:rsid w:val="00941B13"/>
    <w:rsid w:val="009441DB"/>
    <w:rsid w:val="00944834"/>
    <w:rsid w:val="00946128"/>
    <w:rsid w:val="0094633F"/>
    <w:rsid w:val="00946831"/>
    <w:rsid w:val="009475C1"/>
    <w:rsid w:val="009477CB"/>
    <w:rsid w:val="009477D9"/>
    <w:rsid w:val="00947BA5"/>
    <w:rsid w:val="00950805"/>
    <w:rsid w:val="0095121C"/>
    <w:rsid w:val="009517E4"/>
    <w:rsid w:val="009518D4"/>
    <w:rsid w:val="009520BC"/>
    <w:rsid w:val="009521D2"/>
    <w:rsid w:val="00952403"/>
    <w:rsid w:val="00952BD8"/>
    <w:rsid w:val="00953573"/>
    <w:rsid w:val="009535D2"/>
    <w:rsid w:val="009549EF"/>
    <w:rsid w:val="00955C64"/>
    <w:rsid w:val="00956647"/>
    <w:rsid w:val="00957409"/>
    <w:rsid w:val="00957499"/>
    <w:rsid w:val="00957BD6"/>
    <w:rsid w:val="00957ED2"/>
    <w:rsid w:val="00960DE4"/>
    <w:rsid w:val="00961164"/>
    <w:rsid w:val="00961A4F"/>
    <w:rsid w:val="00962B2E"/>
    <w:rsid w:val="00962D9E"/>
    <w:rsid w:val="00962FB8"/>
    <w:rsid w:val="0096373F"/>
    <w:rsid w:val="00964007"/>
    <w:rsid w:val="009643F4"/>
    <w:rsid w:val="00964E14"/>
    <w:rsid w:val="00964F5A"/>
    <w:rsid w:val="00965050"/>
    <w:rsid w:val="009653ED"/>
    <w:rsid w:val="00966AD2"/>
    <w:rsid w:val="009675A3"/>
    <w:rsid w:val="00967867"/>
    <w:rsid w:val="00967961"/>
    <w:rsid w:val="00967A38"/>
    <w:rsid w:val="00970834"/>
    <w:rsid w:val="009709E1"/>
    <w:rsid w:val="00970DA6"/>
    <w:rsid w:val="009714A7"/>
    <w:rsid w:val="009716D8"/>
    <w:rsid w:val="00971F54"/>
    <w:rsid w:val="00971FBF"/>
    <w:rsid w:val="00972057"/>
    <w:rsid w:val="0097227B"/>
    <w:rsid w:val="0097262E"/>
    <w:rsid w:val="0097293F"/>
    <w:rsid w:val="00974022"/>
    <w:rsid w:val="00974F00"/>
    <w:rsid w:val="0097552A"/>
    <w:rsid w:val="0097564A"/>
    <w:rsid w:val="009758AD"/>
    <w:rsid w:val="009762C6"/>
    <w:rsid w:val="00976BBE"/>
    <w:rsid w:val="0097741F"/>
    <w:rsid w:val="0098055B"/>
    <w:rsid w:val="00980C3B"/>
    <w:rsid w:val="009810BE"/>
    <w:rsid w:val="009817BC"/>
    <w:rsid w:val="009819A7"/>
    <w:rsid w:val="0098220A"/>
    <w:rsid w:val="00983337"/>
    <w:rsid w:val="009851F5"/>
    <w:rsid w:val="0098534B"/>
    <w:rsid w:val="0098764E"/>
    <w:rsid w:val="00987826"/>
    <w:rsid w:val="00987B4F"/>
    <w:rsid w:val="00987D58"/>
    <w:rsid w:val="009906D4"/>
    <w:rsid w:val="00990EB7"/>
    <w:rsid w:val="00990F5F"/>
    <w:rsid w:val="009911A7"/>
    <w:rsid w:val="009913B8"/>
    <w:rsid w:val="009914E4"/>
    <w:rsid w:val="00991EE0"/>
    <w:rsid w:val="00992141"/>
    <w:rsid w:val="00992DC6"/>
    <w:rsid w:val="00993135"/>
    <w:rsid w:val="009937B1"/>
    <w:rsid w:val="00993AC7"/>
    <w:rsid w:val="00993BAD"/>
    <w:rsid w:val="00993E49"/>
    <w:rsid w:val="009942F5"/>
    <w:rsid w:val="0099461F"/>
    <w:rsid w:val="00995B01"/>
    <w:rsid w:val="00996EF4"/>
    <w:rsid w:val="00997044"/>
    <w:rsid w:val="00997BC9"/>
    <w:rsid w:val="009A2BE9"/>
    <w:rsid w:val="009A2BF3"/>
    <w:rsid w:val="009A3C3E"/>
    <w:rsid w:val="009A4C2C"/>
    <w:rsid w:val="009A520A"/>
    <w:rsid w:val="009A59B3"/>
    <w:rsid w:val="009A5F76"/>
    <w:rsid w:val="009A5FAE"/>
    <w:rsid w:val="009A7E7C"/>
    <w:rsid w:val="009B0479"/>
    <w:rsid w:val="009B05D2"/>
    <w:rsid w:val="009B0CEE"/>
    <w:rsid w:val="009B152B"/>
    <w:rsid w:val="009B2731"/>
    <w:rsid w:val="009B2DCF"/>
    <w:rsid w:val="009B3D38"/>
    <w:rsid w:val="009B4368"/>
    <w:rsid w:val="009B494C"/>
    <w:rsid w:val="009B7505"/>
    <w:rsid w:val="009C0020"/>
    <w:rsid w:val="009C03F7"/>
    <w:rsid w:val="009C10DA"/>
    <w:rsid w:val="009C1201"/>
    <w:rsid w:val="009C19FC"/>
    <w:rsid w:val="009C1B95"/>
    <w:rsid w:val="009C22FD"/>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48A"/>
    <w:rsid w:val="009C761E"/>
    <w:rsid w:val="009D03B7"/>
    <w:rsid w:val="009D07AD"/>
    <w:rsid w:val="009D0824"/>
    <w:rsid w:val="009D1654"/>
    <w:rsid w:val="009D1BDB"/>
    <w:rsid w:val="009D2F9C"/>
    <w:rsid w:val="009D3505"/>
    <w:rsid w:val="009D4207"/>
    <w:rsid w:val="009D4E4A"/>
    <w:rsid w:val="009D5130"/>
    <w:rsid w:val="009D53D1"/>
    <w:rsid w:val="009D53FB"/>
    <w:rsid w:val="009D6081"/>
    <w:rsid w:val="009D678C"/>
    <w:rsid w:val="009D6B9A"/>
    <w:rsid w:val="009D76B5"/>
    <w:rsid w:val="009D7BC7"/>
    <w:rsid w:val="009D7BD2"/>
    <w:rsid w:val="009D7FAC"/>
    <w:rsid w:val="009E0109"/>
    <w:rsid w:val="009E0342"/>
    <w:rsid w:val="009E098B"/>
    <w:rsid w:val="009E09AB"/>
    <w:rsid w:val="009E0A39"/>
    <w:rsid w:val="009E12A4"/>
    <w:rsid w:val="009E19BB"/>
    <w:rsid w:val="009E1C47"/>
    <w:rsid w:val="009E32FF"/>
    <w:rsid w:val="009E38D1"/>
    <w:rsid w:val="009E3DF1"/>
    <w:rsid w:val="009E514A"/>
    <w:rsid w:val="009E5177"/>
    <w:rsid w:val="009E5701"/>
    <w:rsid w:val="009E5711"/>
    <w:rsid w:val="009E758E"/>
    <w:rsid w:val="009E7D6B"/>
    <w:rsid w:val="009E7E81"/>
    <w:rsid w:val="009F020A"/>
    <w:rsid w:val="009F05AD"/>
    <w:rsid w:val="009F1109"/>
    <w:rsid w:val="009F143E"/>
    <w:rsid w:val="009F1DE8"/>
    <w:rsid w:val="009F2186"/>
    <w:rsid w:val="009F28DC"/>
    <w:rsid w:val="009F2EDB"/>
    <w:rsid w:val="009F33DC"/>
    <w:rsid w:val="009F385E"/>
    <w:rsid w:val="009F4550"/>
    <w:rsid w:val="009F56C0"/>
    <w:rsid w:val="009F5C76"/>
    <w:rsid w:val="009F612F"/>
    <w:rsid w:val="00A007B4"/>
    <w:rsid w:val="00A00CA0"/>
    <w:rsid w:val="00A00E00"/>
    <w:rsid w:val="00A01221"/>
    <w:rsid w:val="00A012A8"/>
    <w:rsid w:val="00A016FF"/>
    <w:rsid w:val="00A0188F"/>
    <w:rsid w:val="00A0207F"/>
    <w:rsid w:val="00A021AF"/>
    <w:rsid w:val="00A044AA"/>
    <w:rsid w:val="00A052F0"/>
    <w:rsid w:val="00A07F53"/>
    <w:rsid w:val="00A102F8"/>
    <w:rsid w:val="00A10A20"/>
    <w:rsid w:val="00A10FDE"/>
    <w:rsid w:val="00A117D5"/>
    <w:rsid w:val="00A11984"/>
    <w:rsid w:val="00A131F5"/>
    <w:rsid w:val="00A133C1"/>
    <w:rsid w:val="00A13414"/>
    <w:rsid w:val="00A13F2D"/>
    <w:rsid w:val="00A1475E"/>
    <w:rsid w:val="00A14F78"/>
    <w:rsid w:val="00A14F81"/>
    <w:rsid w:val="00A1535F"/>
    <w:rsid w:val="00A1588D"/>
    <w:rsid w:val="00A15CB1"/>
    <w:rsid w:val="00A15E84"/>
    <w:rsid w:val="00A16021"/>
    <w:rsid w:val="00A162C5"/>
    <w:rsid w:val="00A176DD"/>
    <w:rsid w:val="00A20FAD"/>
    <w:rsid w:val="00A21BEA"/>
    <w:rsid w:val="00A22C3E"/>
    <w:rsid w:val="00A22C4D"/>
    <w:rsid w:val="00A23442"/>
    <w:rsid w:val="00A249D2"/>
    <w:rsid w:val="00A254AB"/>
    <w:rsid w:val="00A266CC"/>
    <w:rsid w:val="00A26DB4"/>
    <w:rsid w:val="00A27425"/>
    <w:rsid w:val="00A3023E"/>
    <w:rsid w:val="00A305C5"/>
    <w:rsid w:val="00A30919"/>
    <w:rsid w:val="00A31F05"/>
    <w:rsid w:val="00A31FD2"/>
    <w:rsid w:val="00A3404D"/>
    <w:rsid w:val="00A341AB"/>
    <w:rsid w:val="00A34290"/>
    <w:rsid w:val="00A355F9"/>
    <w:rsid w:val="00A35AA9"/>
    <w:rsid w:val="00A36D5C"/>
    <w:rsid w:val="00A37309"/>
    <w:rsid w:val="00A37558"/>
    <w:rsid w:val="00A3786A"/>
    <w:rsid w:val="00A37C3C"/>
    <w:rsid w:val="00A37D5D"/>
    <w:rsid w:val="00A4008C"/>
    <w:rsid w:val="00A402A8"/>
    <w:rsid w:val="00A40685"/>
    <w:rsid w:val="00A40E2F"/>
    <w:rsid w:val="00A41819"/>
    <w:rsid w:val="00A41C9A"/>
    <w:rsid w:val="00A41D73"/>
    <w:rsid w:val="00A429BD"/>
    <w:rsid w:val="00A42B2E"/>
    <w:rsid w:val="00A433E8"/>
    <w:rsid w:val="00A4358B"/>
    <w:rsid w:val="00A43A1D"/>
    <w:rsid w:val="00A44854"/>
    <w:rsid w:val="00A44A45"/>
    <w:rsid w:val="00A45E1A"/>
    <w:rsid w:val="00A466E2"/>
    <w:rsid w:val="00A46859"/>
    <w:rsid w:val="00A46D39"/>
    <w:rsid w:val="00A472B8"/>
    <w:rsid w:val="00A5004A"/>
    <w:rsid w:val="00A502F5"/>
    <w:rsid w:val="00A504F4"/>
    <w:rsid w:val="00A508AA"/>
    <w:rsid w:val="00A5172B"/>
    <w:rsid w:val="00A526CE"/>
    <w:rsid w:val="00A52A11"/>
    <w:rsid w:val="00A53B6E"/>
    <w:rsid w:val="00A5416E"/>
    <w:rsid w:val="00A54DC0"/>
    <w:rsid w:val="00A550C9"/>
    <w:rsid w:val="00A55228"/>
    <w:rsid w:val="00A55A04"/>
    <w:rsid w:val="00A564DE"/>
    <w:rsid w:val="00A6054E"/>
    <w:rsid w:val="00A60799"/>
    <w:rsid w:val="00A61B7F"/>
    <w:rsid w:val="00A61B91"/>
    <w:rsid w:val="00A62666"/>
    <w:rsid w:val="00A629CA"/>
    <w:rsid w:val="00A63016"/>
    <w:rsid w:val="00A63335"/>
    <w:rsid w:val="00A63685"/>
    <w:rsid w:val="00A63BFC"/>
    <w:rsid w:val="00A645AC"/>
    <w:rsid w:val="00A65EFB"/>
    <w:rsid w:val="00A66E28"/>
    <w:rsid w:val="00A67478"/>
    <w:rsid w:val="00A67CE9"/>
    <w:rsid w:val="00A67EC6"/>
    <w:rsid w:val="00A70590"/>
    <w:rsid w:val="00A7062E"/>
    <w:rsid w:val="00A70834"/>
    <w:rsid w:val="00A70923"/>
    <w:rsid w:val="00A71542"/>
    <w:rsid w:val="00A71FA0"/>
    <w:rsid w:val="00A720B1"/>
    <w:rsid w:val="00A72727"/>
    <w:rsid w:val="00A72C1A"/>
    <w:rsid w:val="00A7463E"/>
    <w:rsid w:val="00A750F3"/>
    <w:rsid w:val="00A758E2"/>
    <w:rsid w:val="00A765B1"/>
    <w:rsid w:val="00A772F2"/>
    <w:rsid w:val="00A77828"/>
    <w:rsid w:val="00A77C72"/>
    <w:rsid w:val="00A80089"/>
    <w:rsid w:val="00A800F9"/>
    <w:rsid w:val="00A8073D"/>
    <w:rsid w:val="00A80D02"/>
    <w:rsid w:val="00A82D32"/>
    <w:rsid w:val="00A82EAE"/>
    <w:rsid w:val="00A83C6B"/>
    <w:rsid w:val="00A847F9"/>
    <w:rsid w:val="00A849F6"/>
    <w:rsid w:val="00A84F27"/>
    <w:rsid w:val="00A8519C"/>
    <w:rsid w:val="00A85F83"/>
    <w:rsid w:val="00A86019"/>
    <w:rsid w:val="00A86EED"/>
    <w:rsid w:val="00A8733A"/>
    <w:rsid w:val="00A90EC8"/>
    <w:rsid w:val="00A91611"/>
    <w:rsid w:val="00A9196B"/>
    <w:rsid w:val="00A91BEE"/>
    <w:rsid w:val="00A91D4B"/>
    <w:rsid w:val="00A920B2"/>
    <w:rsid w:val="00A923B8"/>
    <w:rsid w:val="00A92675"/>
    <w:rsid w:val="00A92A96"/>
    <w:rsid w:val="00A92AF0"/>
    <w:rsid w:val="00A92F11"/>
    <w:rsid w:val="00A933FE"/>
    <w:rsid w:val="00A937D5"/>
    <w:rsid w:val="00A93C70"/>
    <w:rsid w:val="00A94A32"/>
    <w:rsid w:val="00A94AFC"/>
    <w:rsid w:val="00A96B4A"/>
    <w:rsid w:val="00A97462"/>
    <w:rsid w:val="00A97BDA"/>
    <w:rsid w:val="00AA0779"/>
    <w:rsid w:val="00AA08F3"/>
    <w:rsid w:val="00AA0F23"/>
    <w:rsid w:val="00AA1163"/>
    <w:rsid w:val="00AA1DA8"/>
    <w:rsid w:val="00AA222C"/>
    <w:rsid w:val="00AA238E"/>
    <w:rsid w:val="00AA253B"/>
    <w:rsid w:val="00AA29F8"/>
    <w:rsid w:val="00AA3243"/>
    <w:rsid w:val="00AA388F"/>
    <w:rsid w:val="00AA408E"/>
    <w:rsid w:val="00AA4F6D"/>
    <w:rsid w:val="00AA536B"/>
    <w:rsid w:val="00AA53AB"/>
    <w:rsid w:val="00AA5A5C"/>
    <w:rsid w:val="00AA5A6F"/>
    <w:rsid w:val="00AA5D94"/>
    <w:rsid w:val="00AA6F6C"/>
    <w:rsid w:val="00AA73DF"/>
    <w:rsid w:val="00AA7519"/>
    <w:rsid w:val="00AA790A"/>
    <w:rsid w:val="00AB02EA"/>
    <w:rsid w:val="00AB110C"/>
    <w:rsid w:val="00AB227A"/>
    <w:rsid w:val="00AB22BF"/>
    <w:rsid w:val="00AB256E"/>
    <w:rsid w:val="00AB3466"/>
    <w:rsid w:val="00AB3BBB"/>
    <w:rsid w:val="00AB3CDF"/>
    <w:rsid w:val="00AB406A"/>
    <w:rsid w:val="00AB408C"/>
    <w:rsid w:val="00AB4E41"/>
    <w:rsid w:val="00AB5EB1"/>
    <w:rsid w:val="00AB6003"/>
    <w:rsid w:val="00AB759A"/>
    <w:rsid w:val="00AB7B06"/>
    <w:rsid w:val="00AB7EAA"/>
    <w:rsid w:val="00AC0432"/>
    <w:rsid w:val="00AC0770"/>
    <w:rsid w:val="00AC1683"/>
    <w:rsid w:val="00AC1D82"/>
    <w:rsid w:val="00AC266A"/>
    <w:rsid w:val="00AC28CA"/>
    <w:rsid w:val="00AC4094"/>
    <w:rsid w:val="00AC42B6"/>
    <w:rsid w:val="00AC4AB7"/>
    <w:rsid w:val="00AC5859"/>
    <w:rsid w:val="00AC5C9B"/>
    <w:rsid w:val="00AC6225"/>
    <w:rsid w:val="00AC6D24"/>
    <w:rsid w:val="00AD1065"/>
    <w:rsid w:val="00AD1E3F"/>
    <w:rsid w:val="00AD2270"/>
    <w:rsid w:val="00AD2771"/>
    <w:rsid w:val="00AD2F5A"/>
    <w:rsid w:val="00AD358D"/>
    <w:rsid w:val="00AD3DA6"/>
    <w:rsid w:val="00AD3F3C"/>
    <w:rsid w:val="00AD4B2F"/>
    <w:rsid w:val="00AD5F0A"/>
    <w:rsid w:val="00AD6365"/>
    <w:rsid w:val="00AD6B4F"/>
    <w:rsid w:val="00AD7812"/>
    <w:rsid w:val="00AD7C42"/>
    <w:rsid w:val="00AD7CFA"/>
    <w:rsid w:val="00AE0BD6"/>
    <w:rsid w:val="00AE11C1"/>
    <w:rsid w:val="00AE163D"/>
    <w:rsid w:val="00AE1C5C"/>
    <w:rsid w:val="00AE315E"/>
    <w:rsid w:val="00AE319F"/>
    <w:rsid w:val="00AE31D9"/>
    <w:rsid w:val="00AE3792"/>
    <w:rsid w:val="00AE3CF0"/>
    <w:rsid w:val="00AE4575"/>
    <w:rsid w:val="00AE71EE"/>
    <w:rsid w:val="00AE75AC"/>
    <w:rsid w:val="00AE7FD3"/>
    <w:rsid w:val="00AF03CF"/>
    <w:rsid w:val="00AF0A0A"/>
    <w:rsid w:val="00AF14FC"/>
    <w:rsid w:val="00AF1ED2"/>
    <w:rsid w:val="00AF1F4E"/>
    <w:rsid w:val="00AF3557"/>
    <w:rsid w:val="00AF383C"/>
    <w:rsid w:val="00AF3F86"/>
    <w:rsid w:val="00AF4CEE"/>
    <w:rsid w:val="00AF5364"/>
    <w:rsid w:val="00AF584C"/>
    <w:rsid w:val="00AF5D84"/>
    <w:rsid w:val="00AF669D"/>
    <w:rsid w:val="00AF672C"/>
    <w:rsid w:val="00AF681E"/>
    <w:rsid w:val="00AF7389"/>
    <w:rsid w:val="00AF7C37"/>
    <w:rsid w:val="00B00378"/>
    <w:rsid w:val="00B00D91"/>
    <w:rsid w:val="00B00E84"/>
    <w:rsid w:val="00B038F1"/>
    <w:rsid w:val="00B03C1B"/>
    <w:rsid w:val="00B04678"/>
    <w:rsid w:val="00B04A04"/>
    <w:rsid w:val="00B04C37"/>
    <w:rsid w:val="00B04F00"/>
    <w:rsid w:val="00B05BA6"/>
    <w:rsid w:val="00B066FE"/>
    <w:rsid w:val="00B06912"/>
    <w:rsid w:val="00B10B04"/>
    <w:rsid w:val="00B10CC6"/>
    <w:rsid w:val="00B11A61"/>
    <w:rsid w:val="00B12082"/>
    <w:rsid w:val="00B124BE"/>
    <w:rsid w:val="00B1278A"/>
    <w:rsid w:val="00B1303D"/>
    <w:rsid w:val="00B13389"/>
    <w:rsid w:val="00B1364C"/>
    <w:rsid w:val="00B141A5"/>
    <w:rsid w:val="00B15286"/>
    <w:rsid w:val="00B1550D"/>
    <w:rsid w:val="00B159C0"/>
    <w:rsid w:val="00B15F6C"/>
    <w:rsid w:val="00B163E8"/>
    <w:rsid w:val="00B1666C"/>
    <w:rsid w:val="00B175F7"/>
    <w:rsid w:val="00B1767E"/>
    <w:rsid w:val="00B20760"/>
    <w:rsid w:val="00B21676"/>
    <w:rsid w:val="00B219E1"/>
    <w:rsid w:val="00B22150"/>
    <w:rsid w:val="00B226DE"/>
    <w:rsid w:val="00B239CD"/>
    <w:rsid w:val="00B241D5"/>
    <w:rsid w:val="00B24BE9"/>
    <w:rsid w:val="00B25956"/>
    <w:rsid w:val="00B25F8C"/>
    <w:rsid w:val="00B260BE"/>
    <w:rsid w:val="00B26677"/>
    <w:rsid w:val="00B269D0"/>
    <w:rsid w:val="00B26A96"/>
    <w:rsid w:val="00B274E3"/>
    <w:rsid w:val="00B2765C"/>
    <w:rsid w:val="00B27C4B"/>
    <w:rsid w:val="00B27DF7"/>
    <w:rsid w:val="00B27FC0"/>
    <w:rsid w:val="00B30563"/>
    <w:rsid w:val="00B30A76"/>
    <w:rsid w:val="00B31204"/>
    <w:rsid w:val="00B31CB6"/>
    <w:rsid w:val="00B32295"/>
    <w:rsid w:val="00B32B21"/>
    <w:rsid w:val="00B33024"/>
    <w:rsid w:val="00B33AB5"/>
    <w:rsid w:val="00B3412E"/>
    <w:rsid w:val="00B367C4"/>
    <w:rsid w:val="00B36FF8"/>
    <w:rsid w:val="00B37B8E"/>
    <w:rsid w:val="00B40222"/>
    <w:rsid w:val="00B404C3"/>
    <w:rsid w:val="00B41BF4"/>
    <w:rsid w:val="00B42A76"/>
    <w:rsid w:val="00B4311F"/>
    <w:rsid w:val="00B431AE"/>
    <w:rsid w:val="00B448BF"/>
    <w:rsid w:val="00B45A59"/>
    <w:rsid w:val="00B45F9F"/>
    <w:rsid w:val="00B4627C"/>
    <w:rsid w:val="00B46793"/>
    <w:rsid w:val="00B46953"/>
    <w:rsid w:val="00B47455"/>
    <w:rsid w:val="00B47979"/>
    <w:rsid w:val="00B47A59"/>
    <w:rsid w:val="00B503D6"/>
    <w:rsid w:val="00B51520"/>
    <w:rsid w:val="00B515C3"/>
    <w:rsid w:val="00B517C2"/>
    <w:rsid w:val="00B518CE"/>
    <w:rsid w:val="00B51F56"/>
    <w:rsid w:val="00B52234"/>
    <w:rsid w:val="00B53623"/>
    <w:rsid w:val="00B53D1D"/>
    <w:rsid w:val="00B53E98"/>
    <w:rsid w:val="00B53F9B"/>
    <w:rsid w:val="00B55F64"/>
    <w:rsid w:val="00B56ECA"/>
    <w:rsid w:val="00B57093"/>
    <w:rsid w:val="00B60613"/>
    <w:rsid w:val="00B61AEC"/>
    <w:rsid w:val="00B62B7B"/>
    <w:rsid w:val="00B63EF6"/>
    <w:rsid w:val="00B6440A"/>
    <w:rsid w:val="00B64BF3"/>
    <w:rsid w:val="00B65844"/>
    <w:rsid w:val="00B66054"/>
    <w:rsid w:val="00B6677F"/>
    <w:rsid w:val="00B66C7A"/>
    <w:rsid w:val="00B672EA"/>
    <w:rsid w:val="00B6747B"/>
    <w:rsid w:val="00B70200"/>
    <w:rsid w:val="00B702D7"/>
    <w:rsid w:val="00B70389"/>
    <w:rsid w:val="00B70E01"/>
    <w:rsid w:val="00B7210E"/>
    <w:rsid w:val="00B728F6"/>
    <w:rsid w:val="00B72CF0"/>
    <w:rsid w:val="00B736EC"/>
    <w:rsid w:val="00B7380E"/>
    <w:rsid w:val="00B740F6"/>
    <w:rsid w:val="00B74615"/>
    <w:rsid w:val="00B755B6"/>
    <w:rsid w:val="00B75A48"/>
    <w:rsid w:val="00B75CC0"/>
    <w:rsid w:val="00B76021"/>
    <w:rsid w:val="00B804F8"/>
    <w:rsid w:val="00B8095A"/>
    <w:rsid w:val="00B81274"/>
    <w:rsid w:val="00B815D3"/>
    <w:rsid w:val="00B823A6"/>
    <w:rsid w:val="00B83DD6"/>
    <w:rsid w:val="00B83E76"/>
    <w:rsid w:val="00B83FA0"/>
    <w:rsid w:val="00B86289"/>
    <w:rsid w:val="00B863B3"/>
    <w:rsid w:val="00B869D3"/>
    <w:rsid w:val="00B86E44"/>
    <w:rsid w:val="00B87359"/>
    <w:rsid w:val="00B87F1C"/>
    <w:rsid w:val="00B90D8D"/>
    <w:rsid w:val="00B91263"/>
    <w:rsid w:val="00B91B61"/>
    <w:rsid w:val="00B93015"/>
    <w:rsid w:val="00B93849"/>
    <w:rsid w:val="00B938BD"/>
    <w:rsid w:val="00B93BC4"/>
    <w:rsid w:val="00B9407F"/>
    <w:rsid w:val="00B944E9"/>
    <w:rsid w:val="00B94896"/>
    <w:rsid w:val="00B94CDD"/>
    <w:rsid w:val="00B96B2D"/>
    <w:rsid w:val="00B96DD9"/>
    <w:rsid w:val="00B97909"/>
    <w:rsid w:val="00B9793B"/>
    <w:rsid w:val="00BA14B2"/>
    <w:rsid w:val="00BA15DC"/>
    <w:rsid w:val="00BA2C82"/>
    <w:rsid w:val="00BA5039"/>
    <w:rsid w:val="00BA583B"/>
    <w:rsid w:val="00BA5EC7"/>
    <w:rsid w:val="00BA6319"/>
    <w:rsid w:val="00BA63CE"/>
    <w:rsid w:val="00BA676E"/>
    <w:rsid w:val="00BA7227"/>
    <w:rsid w:val="00BA763C"/>
    <w:rsid w:val="00BA78B7"/>
    <w:rsid w:val="00BA7CD7"/>
    <w:rsid w:val="00BB00E5"/>
    <w:rsid w:val="00BB0E7C"/>
    <w:rsid w:val="00BB1C6D"/>
    <w:rsid w:val="00BB20B2"/>
    <w:rsid w:val="00BB2ACE"/>
    <w:rsid w:val="00BB2E4E"/>
    <w:rsid w:val="00BB2E62"/>
    <w:rsid w:val="00BB36C9"/>
    <w:rsid w:val="00BB5BB3"/>
    <w:rsid w:val="00BB7EC0"/>
    <w:rsid w:val="00BC0207"/>
    <w:rsid w:val="00BC0A5A"/>
    <w:rsid w:val="00BC0E64"/>
    <w:rsid w:val="00BC25D1"/>
    <w:rsid w:val="00BC3BCB"/>
    <w:rsid w:val="00BC3E78"/>
    <w:rsid w:val="00BC428A"/>
    <w:rsid w:val="00BC4B53"/>
    <w:rsid w:val="00BC4C40"/>
    <w:rsid w:val="00BC5A8D"/>
    <w:rsid w:val="00BC5AE3"/>
    <w:rsid w:val="00BC5BAD"/>
    <w:rsid w:val="00BC61B4"/>
    <w:rsid w:val="00BC76C5"/>
    <w:rsid w:val="00BD138A"/>
    <w:rsid w:val="00BD14D3"/>
    <w:rsid w:val="00BD164A"/>
    <w:rsid w:val="00BD1BDD"/>
    <w:rsid w:val="00BD1D40"/>
    <w:rsid w:val="00BD1D7D"/>
    <w:rsid w:val="00BD2B4D"/>
    <w:rsid w:val="00BD2F08"/>
    <w:rsid w:val="00BD2FB9"/>
    <w:rsid w:val="00BD31C2"/>
    <w:rsid w:val="00BD3683"/>
    <w:rsid w:val="00BD3F3B"/>
    <w:rsid w:val="00BD450A"/>
    <w:rsid w:val="00BD4717"/>
    <w:rsid w:val="00BD48EA"/>
    <w:rsid w:val="00BD4BA8"/>
    <w:rsid w:val="00BD58A0"/>
    <w:rsid w:val="00BD59B3"/>
    <w:rsid w:val="00BD62E6"/>
    <w:rsid w:val="00BD6AFD"/>
    <w:rsid w:val="00BD6B0E"/>
    <w:rsid w:val="00BD720A"/>
    <w:rsid w:val="00BD7941"/>
    <w:rsid w:val="00BE0C55"/>
    <w:rsid w:val="00BE11A2"/>
    <w:rsid w:val="00BE2299"/>
    <w:rsid w:val="00BE246C"/>
    <w:rsid w:val="00BE2657"/>
    <w:rsid w:val="00BE314D"/>
    <w:rsid w:val="00BE37AE"/>
    <w:rsid w:val="00BE3B14"/>
    <w:rsid w:val="00BE3C65"/>
    <w:rsid w:val="00BE472D"/>
    <w:rsid w:val="00BE6F37"/>
    <w:rsid w:val="00BE7F4D"/>
    <w:rsid w:val="00BF03C0"/>
    <w:rsid w:val="00BF0608"/>
    <w:rsid w:val="00BF0EBF"/>
    <w:rsid w:val="00BF21D4"/>
    <w:rsid w:val="00BF2DDC"/>
    <w:rsid w:val="00BF32E9"/>
    <w:rsid w:val="00BF3D30"/>
    <w:rsid w:val="00BF4A15"/>
    <w:rsid w:val="00BF4DAE"/>
    <w:rsid w:val="00BF4E0E"/>
    <w:rsid w:val="00BF4E27"/>
    <w:rsid w:val="00BF537B"/>
    <w:rsid w:val="00BF626A"/>
    <w:rsid w:val="00BF6D77"/>
    <w:rsid w:val="00BF7EF5"/>
    <w:rsid w:val="00C009ED"/>
    <w:rsid w:val="00C02319"/>
    <w:rsid w:val="00C03442"/>
    <w:rsid w:val="00C0378E"/>
    <w:rsid w:val="00C042E1"/>
    <w:rsid w:val="00C05730"/>
    <w:rsid w:val="00C05AF4"/>
    <w:rsid w:val="00C05AFD"/>
    <w:rsid w:val="00C0661C"/>
    <w:rsid w:val="00C0675F"/>
    <w:rsid w:val="00C06B14"/>
    <w:rsid w:val="00C0702A"/>
    <w:rsid w:val="00C0724C"/>
    <w:rsid w:val="00C07C11"/>
    <w:rsid w:val="00C07E10"/>
    <w:rsid w:val="00C10015"/>
    <w:rsid w:val="00C1005E"/>
    <w:rsid w:val="00C1088E"/>
    <w:rsid w:val="00C12ECB"/>
    <w:rsid w:val="00C14229"/>
    <w:rsid w:val="00C14288"/>
    <w:rsid w:val="00C14ABD"/>
    <w:rsid w:val="00C151E0"/>
    <w:rsid w:val="00C15B31"/>
    <w:rsid w:val="00C166D4"/>
    <w:rsid w:val="00C168E5"/>
    <w:rsid w:val="00C1696D"/>
    <w:rsid w:val="00C17AB5"/>
    <w:rsid w:val="00C17E3F"/>
    <w:rsid w:val="00C20051"/>
    <w:rsid w:val="00C20B86"/>
    <w:rsid w:val="00C21145"/>
    <w:rsid w:val="00C23615"/>
    <w:rsid w:val="00C2397E"/>
    <w:rsid w:val="00C23A83"/>
    <w:rsid w:val="00C24381"/>
    <w:rsid w:val="00C24C2E"/>
    <w:rsid w:val="00C24C7A"/>
    <w:rsid w:val="00C24E6B"/>
    <w:rsid w:val="00C24FFB"/>
    <w:rsid w:val="00C25CDC"/>
    <w:rsid w:val="00C25CFF"/>
    <w:rsid w:val="00C25EA6"/>
    <w:rsid w:val="00C261C1"/>
    <w:rsid w:val="00C26DBF"/>
    <w:rsid w:val="00C27084"/>
    <w:rsid w:val="00C30B0B"/>
    <w:rsid w:val="00C316B4"/>
    <w:rsid w:val="00C332D4"/>
    <w:rsid w:val="00C33E51"/>
    <w:rsid w:val="00C34531"/>
    <w:rsid w:val="00C345AB"/>
    <w:rsid w:val="00C345EF"/>
    <w:rsid w:val="00C34A50"/>
    <w:rsid w:val="00C34C45"/>
    <w:rsid w:val="00C34C47"/>
    <w:rsid w:val="00C363E2"/>
    <w:rsid w:val="00C3649C"/>
    <w:rsid w:val="00C3701A"/>
    <w:rsid w:val="00C405C8"/>
    <w:rsid w:val="00C40C2F"/>
    <w:rsid w:val="00C41323"/>
    <w:rsid w:val="00C415AC"/>
    <w:rsid w:val="00C4297A"/>
    <w:rsid w:val="00C42B6A"/>
    <w:rsid w:val="00C4360C"/>
    <w:rsid w:val="00C43A0B"/>
    <w:rsid w:val="00C43EDA"/>
    <w:rsid w:val="00C4414C"/>
    <w:rsid w:val="00C45512"/>
    <w:rsid w:val="00C45996"/>
    <w:rsid w:val="00C4602B"/>
    <w:rsid w:val="00C46564"/>
    <w:rsid w:val="00C46762"/>
    <w:rsid w:val="00C47203"/>
    <w:rsid w:val="00C50A02"/>
    <w:rsid w:val="00C51149"/>
    <w:rsid w:val="00C5117E"/>
    <w:rsid w:val="00C512D1"/>
    <w:rsid w:val="00C51856"/>
    <w:rsid w:val="00C51B04"/>
    <w:rsid w:val="00C52049"/>
    <w:rsid w:val="00C53CE9"/>
    <w:rsid w:val="00C54749"/>
    <w:rsid w:val="00C54F07"/>
    <w:rsid w:val="00C5531B"/>
    <w:rsid w:val="00C55375"/>
    <w:rsid w:val="00C5685E"/>
    <w:rsid w:val="00C56C98"/>
    <w:rsid w:val="00C56DEE"/>
    <w:rsid w:val="00C57120"/>
    <w:rsid w:val="00C571D5"/>
    <w:rsid w:val="00C575D4"/>
    <w:rsid w:val="00C6029A"/>
    <w:rsid w:val="00C61223"/>
    <w:rsid w:val="00C61246"/>
    <w:rsid w:val="00C618A8"/>
    <w:rsid w:val="00C61A78"/>
    <w:rsid w:val="00C61B5F"/>
    <w:rsid w:val="00C62B88"/>
    <w:rsid w:val="00C634F9"/>
    <w:rsid w:val="00C635F7"/>
    <w:rsid w:val="00C637D4"/>
    <w:rsid w:val="00C643ED"/>
    <w:rsid w:val="00C64534"/>
    <w:rsid w:val="00C64D93"/>
    <w:rsid w:val="00C64F49"/>
    <w:rsid w:val="00C65200"/>
    <w:rsid w:val="00C665DE"/>
    <w:rsid w:val="00C667C3"/>
    <w:rsid w:val="00C669A8"/>
    <w:rsid w:val="00C6728B"/>
    <w:rsid w:val="00C71528"/>
    <w:rsid w:val="00C71F09"/>
    <w:rsid w:val="00C72588"/>
    <w:rsid w:val="00C727B9"/>
    <w:rsid w:val="00C73670"/>
    <w:rsid w:val="00C737D1"/>
    <w:rsid w:val="00C739F6"/>
    <w:rsid w:val="00C73DE0"/>
    <w:rsid w:val="00C74609"/>
    <w:rsid w:val="00C749AB"/>
    <w:rsid w:val="00C75A8F"/>
    <w:rsid w:val="00C76C0C"/>
    <w:rsid w:val="00C776BA"/>
    <w:rsid w:val="00C77E23"/>
    <w:rsid w:val="00C81716"/>
    <w:rsid w:val="00C81733"/>
    <w:rsid w:val="00C81FE1"/>
    <w:rsid w:val="00C832CB"/>
    <w:rsid w:val="00C84085"/>
    <w:rsid w:val="00C85E17"/>
    <w:rsid w:val="00C868A7"/>
    <w:rsid w:val="00C87164"/>
    <w:rsid w:val="00C87BD0"/>
    <w:rsid w:val="00C905E5"/>
    <w:rsid w:val="00C90754"/>
    <w:rsid w:val="00C90B95"/>
    <w:rsid w:val="00C90BC4"/>
    <w:rsid w:val="00C90CA9"/>
    <w:rsid w:val="00C92E41"/>
    <w:rsid w:val="00C92F62"/>
    <w:rsid w:val="00C93097"/>
    <w:rsid w:val="00C93B40"/>
    <w:rsid w:val="00C93D3A"/>
    <w:rsid w:val="00C93DB5"/>
    <w:rsid w:val="00C94CB9"/>
    <w:rsid w:val="00C94F2B"/>
    <w:rsid w:val="00C95C2F"/>
    <w:rsid w:val="00C95F87"/>
    <w:rsid w:val="00C968EF"/>
    <w:rsid w:val="00CA0492"/>
    <w:rsid w:val="00CA0A04"/>
    <w:rsid w:val="00CA1C9F"/>
    <w:rsid w:val="00CA2528"/>
    <w:rsid w:val="00CA3232"/>
    <w:rsid w:val="00CA3CAB"/>
    <w:rsid w:val="00CA3FC0"/>
    <w:rsid w:val="00CA6A2E"/>
    <w:rsid w:val="00CA7809"/>
    <w:rsid w:val="00CA7D3E"/>
    <w:rsid w:val="00CB0317"/>
    <w:rsid w:val="00CB0662"/>
    <w:rsid w:val="00CB0A82"/>
    <w:rsid w:val="00CB0E38"/>
    <w:rsid w:val="00CB0F2F"/>
    <w:rsid w:val="00CB1556"/>
    <w:rsid w:val="00CB2913"/>
    <w:rsid w:val="00CB3970"/>
    <w:rsid w:val="00CB42B9"/>
    <w:rsid w:val="00CB4F39"/>
    <w:rsid w:val="00CB52A4"/>
    <w:rsid w:val="00CB537C"/>
    <w:rsid w:val="00CB5A26"/>
    <w:rsid w:val="00CB645B"/>
    <w:rsid w:val="00CB6A93"/>
    <w:rsid w:val="00CB77C3"/>
    <w:rsid w:val="00CB7E9C"/>
    <w:rsid w:val="00CB7F06"/>
    <w:rsid w:val="00CC0072"/>
    <w:rsid w:val="00CC0915"/>
    <w:rsid w:val="00CC1AF5"/>
    <w:rsid w:val="00CC1B74"/>
    <w:rsid w:val="00CC1EFF"/>
    <w:rsid w:val="00CC291E"/>
    <w:rsid w:val="00CC2D03"/>
    <w:rsid w:val="00CC2EB0"/>
    <w:rsid w:val="00CC34EE"/>
    <w:rsid w:val="00CC3A4B"/>
    <w:rsid w:val="00CC44B0"/>
    <w:rsid w:val="00CC4675"/>
    <w:rsid w:val="00CC4701"/>
    <w:rsid w:val="00CC5686"/>
    <w:rsid w:val="00CC56B4"/>
    <w:rsid w:val="00CC59F5"/>
    <w:rsid w:val="00CC5B9B"/>
    <w:rsid w:val="00CC5F95"/>
    <w:rsid w:val="00CC642A"/>
    <w:rsid w:val="00CC733D"/>
    <w:rsid w:val="00CC7E97"/>
    <w:rsid w:val="00CD1255"/>
    <w:rsid w:val="00CD1484"/>
    <w:rsid w:val="00CD1892"/>
    <w:rsid w:val="00CD1D00"/>
    <w:rsid w:val="00CD2308"/>
    <w:rsid w:val="00CD27AC"/>
    <w:rsid w:val="00CD2986"/>
    <w:rsid w:val="00CD2A82"/>
    <w:rsid w:val="00CD346D"/>
    <w:rsid w:val="00CD3CAB"/>
    <w:rsid w:val="00CD46A7"/>
    <w:rsid w:val="00CD4A6F"/>
    <w:rsid w:val="00CD4DDE"/>
    <w:rsid w:val="00CD4E50"/>
    <w:rsid w:val="00CD57CB"/>
    <w:rsid w:val="00CD64E1"/>
    <w:rsid w:val="00CD699D"/>
    <w:rsid w:val="00CD6AE5"/>
    <w:rsid w:val="00CD6BA3"/>
    <w:rsid w:val="00CD70DB"/>
    <w:rsid w:val="00CD74B5"/>
    <w:rsid w:val="00CD7544"/>
    <w:rsid w:val="00CD78D4"/>
    <w:rsid w:val="00CE0697"/>
    <w:rsid w:val="00CE2E2E"/>
    <w:rsid w:val="00CE3A51"/>
    <w:rsid w:val="00CE41F9"/>
    <w:rsid w:val="00CE4ED0"/>
    <w:rsid w:val="00CE4EF2"/>
    <w:rsid w:val="00CE5553"/>
    <w:rsid w:val="00CE56B8"/>
    <w:rsid w:val="00CE59F6"/>
    <w:rsid w:val="00CE66CD"/>
    <w:rsid w:val="00CE6BA9"/>
    <w:rsid w:val="00CE71C3"/>
    <w:rsid w:val="00CF0AF0"/>
    <w:rsid w:val="00CF157E"/>
    <w:rsid w:val="00CF1834"/>
    <w:rsid w:val="00CF1AAA"/>
    <w:rsid w:val="00CF1CE0"/>
    <w:rsid w:val="00CF1EC2"/>
    <w:rsid w:val="00CF2ACF"/>
    <w:rsid w:val="00CF345B"/>
    <w:rsid w:val="00CF475F"/>
    <w:rsid w:val="00CF5008"/>
    <w:rsid w:val="00CF5069"/>
    <w:rsid w:val="00CF50B0"/>
    <w:rsid w:val="00CF56B1"/>
    <w:rsid w:val="00CF5E34"/>
    <w:rsid w:val="00CF7385"/>
    <w:rsid w:val="00CF7B77"/>
    <w:rsid w:val="00CF7DF5"/>
    <w:rsid w:val="00D01C22"/>
    <w:rsid w:val="00D0352D"/>
    <w:rsid w:val="00D03F7C"/>
    <w:rsid w:val="00D04406"/>
    <w:rsid w:val="00D04690"/>
    <w:rsid w:val="00D0480C"/>
    <w:rsid w:val="00D04F01"/>
    <w:rsid w:val="00D04F1E"/>
    <w:rsid w:val="00D04F8B"/>
    <w:rsid w:val="00D054EF"/>
    <w:rsid w:val="00D05637"/>
    <w:rsid w:val="00D05BA9"/>
    <w:rsid w:val="00D05EB1"/>
    <w:rsid w:val="00D064D1"/>
    <w:rsid w:val="00D0650B"/>
    <w:rsid w:val="00D06A7B"/>
    <w:rsid w:val="00D06E71"/>
    <w:rsid w:val="00D0714B"/>
    <w:rsid w:val="00D0764E"/>
    <w:rsid w:val="00D07D82"/>
    <w:rsid w:val="00D10327"/>
    <w:rsid w:val="00D10BE1"/>
    <w:rsid w:val="00D11FE3"/>
    <w:rsid w:val="00D12945"/>
    <w:rsid w:val="00D1343A"/>
    <w:rsid w:val="00D13D50"/>
    <w:rsid w:val="00D14101"/>
    <w:rsid w:val="00D14919"/>
    <w:rsid w:val="00D14E25"/>
    <w:rsid w:val="00D14F7B"/>
    <w:rsid w:val="00D15BF2"/>
    <w:rsid w:val="00D160C4"/>
    <w:rsid w:val="00D165D8"/>
    <w:rsid w:val="00D1724E"/>
    <w:rsid w:val="00D17C26"/>
    <w:rsid w:val="00D206F6"/>
    <w:rsid w:val="00D20784"/>
    <w:rsid w:val="00D20FD1"/>
    <w:rsid w:val="00D21E6F"/>
    <w:rsid w:val="00D2371E"/>
    <w:rsid w:val="00D237E0"/>
    <w:rsid w:val="00D23A17"/>
    <w:rsid w:val="00D24299"/>
    <w:rsid w:val="00D25676"/>
    <w:rsid w:val="00D25901"/>
    <w:rsid w:val="00D259B0"/>
    <w:rsid w:val="00D27129"/>
    <w:rsid w:val="00D279E7"/>
    <w:rsid w:val="00D27F75"/>
    <w:rsid w:val="00D3046D"/>
    <w:rsid w:val="00D30497"/>
    <w:rsid w:val="00D30CDC"/>
    <w:rsid w:val="00D30F5F"/>
    <w:rsid w:val="00D31B07"/>
    <w:rsid w:val="00D31B9D"/>
    <w:rsid w:val="00D32FA0"/>
    <w:rsid w:val="00D33112"/>
    <w:rsid w:val="00D331CB"/>
    <w:rsid w:val="00D3411A"/>
    <w:rsid w:val="00D3497A"/>
    <w:rsid w:val="00D36BB8"/>
    <w:rsid w:val="00D374D0"/>
    <w:rsid w:val="00D37F8F"/>
    <w:rsid w:val="00D401A1"/>
    <w:rsid w:val="00D40217"/>
    <w:rsid w:val="00D40385"/>
    <w:rsid w:val="00D404CE"/>
    <w:rsid w:val="00D40E8F"/>
    <w:rsid w:val="00D412BF"/>
    <w:rsid w:val="00D417C6"/>
    <w:rsid w:val="00D421CD"/>
    <w:rsid w:val="00D42B0C"/>
    <w:rsid w:val="00D42D6E"/>
    <w:rsid w:val="00D43DEF"/>
    <w:rsid w:val="00D44259"/>
    <w:rsid w:val="00D45DDC"/>
    <w:rsid w:val="00D4752E"/>
    <w:rsid w:val="00D5022E"/>
    <w:rsid w:val="00D5064C"/>
    <w:rsid w:val="00D50C94"/>
    <w:rsid w:val="00D5251C"/>
    <w:rsid w:val="00D525B8"/>
    <w:rsid w:val="00D52F56"/>
    <w:rsid w:val="00D539DA"/>
    <w:rsid w:val="00D54A50"/>
    <w:rsid w:val="00D5556D"/>
    <w:rsid w:val="00D55C81"/>
    <w:rsid w:val="00D5674B"/>
    <w:rsid w:val="00D56AA2"/>
    <w:rsid w:val="00D56B56"/>
    <w:rsid w:val="00D56BF5"/>
    <w:rsid w:val="00D56F99"/>
    <w:rsid w:val="00D5743F"/>
    <w:rsid w:val="00D5768A"/>
    <w:rsid w:val="00D605C2"/>
    <w:rsid w:val="00D60733"/>
    <w:rsid w:val="00D61E1D"/>
    <w:rsid w:val="00D629A4"/>
    <w:rsid w:val="00D62BDF"/>
    <w:rsid w:val="00D6312D"/>
    <w:rsid w:val="00D64F10"/>
    <w:rsid w:val="00D64F1C"/>
    <w:rsid w:val="00D6570C"/>
    <w:rsid w:val="00D65A89"/>
    <w:rsid w:val="00D65F4B"/>
    <w:rsid w:val="00D673E0"/>
    <w:rsid w:val="00D675B0"/>
    <w:rsid w:val="00D678BB"/>
    <w:rsid w:val="00D67D81"/>
    <w:rsid w:val="00D67F85"/>
    <w:rsid w:val="00D70170"/>
    <w:rsid w:val="00D70552"/>
    <w:rsid w:val="00D70C42"/>
    <w:rsid w:val="00D70D42"/>
    <w:rsid w:val="00D71285"/>
    <w:rsid w:val="00D71ABC"/>
    <w:rsid w:val="00D721C5"/>
    <w:rsid w:val="00D72454"/>
    <w:rsid w:val="00D72850"/>
    <w:rsid w:val="00D72A44"/>
    <w:rsid w:val="00D72A5B"/>
    <w:rsid w:val="00D73CD4"/>
    <w:rsid w:val="00D73F06"/>
    <w:rsid w:val="00D740B2"/>
    <w:rsid w:val="00D74247"/>
    <w:rsid w:val="00D743F1"/>
    <w:rsid w:val="00D744F1"/>
    <w:rsid w:val="00D7456E"/>
    <w:rsid w:val="00D753A9"/>
    <w:rsid w:val="00D755F7"/>
    <w:rsid w:val="00D75E4B"/>
    <w:rsid w:val="00D77AF6"/>
    <w:rsid w:val="00D804C5"/>
    <w:rsid w:val="00D80FDE"/>
    <w:rsid w:val="00D81A28"/>
    <w:rsid w:val="00D81A52"/>
    <w:rsid w:val="00D82B00"/>
    <w:rsid w:val="00D82BE4"/>
    <w:rsid w:val="00D82E05"/>
    <w:rsid w:val="00D8313F"/>
    <w:rsid w:val="00D83C0D"/>
    <w:rsid w:val="00D846B5"/>
    <w:rsid w:val="00D8665E"/>
    <w:rsid w:val="00D869C1"/>
    <w:rsid w:val="00D86EC6"/>
    <w:rsid w:val="00D87418"/>
    <w:rsid w:val="00D874AE"/>
    <w:rsid w:val="00D876AF"/>
    <w:rsid w:val="00D8785D"/>
    <w:rsid w:val="00D87A39"/>
    <w:rsid w:val="00D87FE6"/>
    <w:rsid w:val="00D900F9"/>
    <w:rsid w:val="00D9091B"/>
    <w:rsid w:val="00D90BC3"/>
    <w:rsid w:val="00D90DB9"/>
    <w:rsid w:val="00D91001"/>
    <w:rsid w:val="00D91337"/>
    <w:rsid w:val="00D915C9"/>
    <w:rsid w:val="00D918DA"/>
    <w:rsid w:val="00D9198F"/>
    <w:rsid w:val="00D91FCB"/>
    <w:rsid w:val="00D92078"/>
    <w:rsid w:val="00D927E8"/>
    <w:rsid w:val="00D92A87"/>
    <w:rsid w:val="00D9384E"/>
    <w:rsid w:val="00D93AEE"/>
    <w:rsid w:val="00D9413E"/>
    <w:rsid w:val="00D94346"/>
    <w:rsid w:val="00D94C8D"/>
    <w:rsid w:val="00D96698"/>
    <w:rsid w:val="00D96876"/>
    <w:rsid w:val="00D96940"/>
    <w:rsid w:val="00D969AD"/>
    <w:rsid w:val="00D96B12"/>
    <w:rsid w:val="00D96F59"/>
    <w:rsid w:val="00DA01DC"/>
    <w:rsid w:val="00DA099C"/>
    <w:rsid w:val="00DA0F18"/>
    <w:rsid w:val="00DA2125"/>
    <w:rsid w:val="00DA21EC"/>
    <w:rsid w:val="00DA24DE"/>
    <w:rsid w:val="00DA270C"/>
    <w:rsid w:val="00DA281F"/>
    <w:rsid w:val="00DA4A61"/>
    <w:rsid w:val="00DA61AB"/>
    <w:rsid w:val="00DA61CD"/>
    <w:rsid w:val="00DA6EE2"/>
    <w:rsid w:val="00DA78CF"/>
    <w:rsid w:val="00DA78D5"/>
    <w:rsid w:val="00DA7A89"/>
    <w:rsid w:val="00DA7BF4"/>
    <w:rsid w:val="00DB052F"/>
    <w:rsid w:val="00DB0D2C"/>
    <w:rsid w:val="00DB107D"/>
    <w:rsid w:val="00DB149F"/>
    <w:rsid w:val="00DB14D3"/>
    <w:rsid w:val="00DB154B"/>
    <w:rsid w:val="00DB1632"/>
    <w:rsid w:val="00DB1BDC"/>
    <w:rsid w:val="00DB1D2A"/>
    <w:rsid w:val="00DB2A95"/>
    <w:rsid w:val="00DB3490"/>
    <w:rsid w:val="00DB3593"/>
    <w:rsid w:val="00DB395F"/>
    <w:rsid w:val="00DB440B"/>
    <w:rsid w:val="00DB4426"/>
    <w:rsid w:val="00DB4B40"/>
    <w:rsid w:val="00DB4F12"/>
    <w:rsid w:val="00DB4F21"/>
    <w:rsid w:val="00DB5184"/>
    <w:rsid w:val="00DB5F7A"/>
    <w:rsid w:val="00DB613C"/>
    <w:rsid w:val="00DB6D32"/>
    <w:rsid w:val="00DB6F96"/>
    <w:rsid w:val="00DB71B9"/>
    <w:rsid w:val="00DB7C5C"/>
    <w:rsid w:val="00DC08CB"/>
    <w:rsid w:val="00DC1395"/>
    <w:rsid w:val="00DC2893"/>
    <w:rsid w:val="00DC32FC"/>
    <w:rsid w:val="00DC3D89"/>
    <w:rsid w:val="00DC4567"/>
    <w:rsid w:val="00DC4F47"/>
    <w:rsid w:val="00DC5BD0"/>
    <w:rsid w:val="00DC5BE2"/>
    <w:rsid w:val="00DC628E"/>
    <w:rsid w:val="00DC6747"/>
    <w:rsid w:val="00DC6AF3"/>
    <w:rsid w:val="00DC7608"/>
    <w:rsid w:val="00DC761E"/>
    <w:rsid w:val="00DC7CFC"/>
    <w:rsid w:val="00DD09F2"/>
    <w:rsid w:val="00DD1205"/>
    <w:rsid w:val="00DD15EE"/>
    <w:rsid w:val="00DD1633"/>
    <w:rsid w:val="00DD2831"/>
    <w:rsid w:val="00DD2A6D"/>
    <w:rsid w:val="00DD42DE"/>
    <w:rsid w:val="00DD4309"/>
    <w:rsid w:val="00DD4344"/>
    <w:rsid w:val="00DD573B"/>
    <w:rsid w:val="00DD5A1E"/>
    <w:rsid w:val="00DD5B8C"/>
    <w:rsid w:val="00DD5BC0"/>
    <w:rsid w:val="00DD5BEE"/>
    <w:rsid w:val="00DD5DFA"/>
    <w:rsid w:val="00DE0229"/>
    <w:rsid w:val="00DE191B"/>
    <w:rsid w:val="00DE1A9D"/>
    <w:rsid w:val="00DE1CB1"/>
    <w:rsid w:val="00DE2073"/>
    <w:rsid w:val="00DE2414"/>
    <w:rsid w:val="00DE30AC"/>
    <w:rsid w:val="00DE4106"/>
    <w:rsid w:val="00DE466B"/>
    <w:rsid w:val="00DE48F4"/>
    <w:rsid w:val="00DE5563"/>
    <w:rsid w:val="00DE5D48"/>
    <w:rsid w:val="00DE6E4D"/>
    <w:rsid w:val="00DE7121"/>
    <w:rsid w:val="00DE7371"/>
    <w:rsid w:val="00DE7498"/>
    <w:rsid w:val="00DE75EF"/>
    <w:rsid w:val="00DE7611"/>
    <w:rsid w:val="00DF05A0"/>
    <w:rsid w:val="00DF1BA8"/>
    <w:rsid w:val="00DF1F63"/>
    <w:rsid w:val="00DF28F2"/>
    <w:rsid w:val="00DF2BFF"/>
    <w:rsid w:val="00DF3798"/>
    <w:rsid w:val="00DF4FF1"/>
    <w:rsid w:val="00DF6FD2"/>
    <w:rsid w:val="00DF72EF"/>
    <w:rsid w:val="00DF7724"/>
    <w:rsid w:val="00E00956"/>
    <w:rsid w:val="00E00C1E"/>
    <w:rsid w:val="00E00F5F"/>
    <w:rsid w:val="00E011E6"/>
    <w:rsid w:val="00E014E7"/>
    <w:rsid w:val="00E0232F"/>
    <w:rsid w:val="00E026A9"/>
    <w:rsid w:val="00E0356F"/>
    <w:rsid w:val="00E03B42"/>
    <w:rsid w:val="00E03C10"/>
    <w:rsid w:val="00E0479F"/>
    <w:rsid w:val="00E04816"/>
    <w:rsid w:val="00E04D6A"/>
    <w:rsid w:val="00E05950"/>
    <w:rsid w:val="00E05CD4"/>
    <w:rsid w:val="00E06100"/>
    <w:rsid w:val="00E06E97"/>
    <w:rsid w:val="00E10DD1"/>
    <w:rsid w:val="00E11400"/>
    <w:rsid w:val="00E1224C"/>
    <w:rsid w:val="00E1254C"/>
    <w:rsid w:val="00E12A76"/>
    <w:rsid w:val="00E12BDF"/>
    <w:rsid w:val="00E12D66"/>
    <w:rsid w:val="00E13326"/>
    <w:rsid w:val="00E14356"/>
    <w:rsid w:val="00E14961"/>
    <w:rsid w:val="00E14D76"/>
    <w:rsid w:val="00E15485"/>
    <w:rsid w:val="00E15D6C"/>
    <w:rsid w:val="00E161DE"/>
    <w:rsid w:val="00E17E84"/>
    <w:rsid w:val="00E203DE"/>
    <w:rsid w:val="00E20CE7"/>
    <w:rsid w:val="00E217B1"/>
    <w:rsid w:val="00E222FA"/>
    <w:rsid w:val="00E229CE"/>
    <w:rsid w:val="00E22B4A"/>
    <w:rsid w:val="00E24A62"/>
    <w:rsid w:val="00E24F52"/>
    <w:rsid w:val="00E25433"/>
    <w:rsid w:val="00E2567D"/>
    <w:rsid w:val="00E25755"/>
    <w:rsid w:val="00E26D2E"/>
    <w:rsid w:val="00E279B2"/>
    <w:rsid w:val="00E3055B"/>
    <w:rsid w:val="00E31699"/>
    <w:rsid w:val="00E31812"/>
    <w:rsid w:val="00E31889"/>
    <w:rsid w:val="00E31CE7"/>
    <w:rsid w:val="00E32F3B"/>
    <w:rsid w:val="00E333D5"/>
    <w:rsid w:val="00E3394F"/>
    <w:rsid w:val="00E35A45"/>
    <w:rsid w:val="00E37A6F"/>
    <w:rsid w:val="00E40222"/>
    <w:rsid w:val="00E40406"/>
    <w:rsid w:val="00E40BCB"/>
    <w:rsid w:val="00E41DD2"/>
    <w:rsid w:val="00E4208F"/>
    <w:rsid w:val="00E43006"/>
    <w:rsid w:val="00E43551"/>
    <w:rsid w:val="00E437FA"/>
    <w:rsid w:val="00E45A2C"/>
    <w:rsid w:val="00E46A9C"/>
    <w:rsid w:val="00E47010"/>
    <w:rsid w:val="00E50BDD"/>
    <w:rsid w:val="00E50DF3"/>
    <w:rsid w:val="00E510CF"/>
    <w:rsid w:val="00E513D7"/>
    <w:rsid w:val="00E51773"/>
    <w:rsid w:val="00E5206C"/>
    <w:rsid w:val="00E52897"/>
    <w:rsid w:val="00E52AAB"/>
    <w:rsid w:val="00E52DF4"/>
    <w:rsid w:val="00E5448E"/>
    <w:rsid w:val="00E54E0D"/>
    <w:rsid w:val="00E558E5"/>
    <w:rsid w:val="00E56144"/>
    <w:rsid w:val="00E56795"/>
    <w:rsid w:val="00E56F88"/>
    <w:rsid w:val="00E57932"/>
    <w:rsid w:val="00E606C4"/>
    <w:rsid w:val="00E60811"/>
    <w:rsid w:val="00E60AB8"/>
    <w:rsid w:val="00E63C60"/>
    <w:rsid w:val="00E64050"/>
    <w:rsid w:val="00E645CE"/>
    <w:rsid w:val="00E6514D"/>
    <w:rsid w:val="00E65161"/>
    <w:rsid w:val="00E652C9"/>
    <w:rsid w:val="00E6534B"/>
    <w:rsid w:val="00E6593B"/>
    <w:rsid w:val="00E672C6"/>
    <w:rsid w:val="00E67D9E"/>
    <w:rsid w:val="00E70192"/>
    <w:rsid w:val="00E71809"/>
    <w:rsid w:val="00E718D0"/>
    <w:rsid w:val="00E71D1E"/>
    <w:rsid w:val="00E728E2"/>
    <w:rsid w:val="00E738FA"/>
    <w:rsid w:val="00E74A2B"/>
    <w:rsid w:val="00E75667"/>
    <w:rsid w:val="00E756D3"/>
    <w:rsid w:val="00E76004"/>
    <w:rsid w:val="00E760D7"/>
    <w:rsid w:val="00E762A3"/>
    <w:rsid w:val="00E769CC"/>
    <w:rsid w:val="00E77341"/>
    <w:rsid w:val="00E778B8"/>
    <w:rsid w:val="00E80AF8"/>
    <w:rsid w:val="00E816E8"/>
    <w:rsid w:val="00E82592"/>
    <w:rsid w:val="00E827BB"/>
    <w:rsid w:val="00E82AD7"/>
    <w:rsid w:val="00E82B4D"/>
    <w:rsid w:val="00E82D24"/>
    <w:rsid w:val="00E8357D"/>
    <w:rsid w:val="00E84212"/>
    <w:rsid w:val="00E84C04"/>
    <w:rsid w:val="00E84F72"/>
    <w:rsid w:val="00E856A2"/>
    <w:rsid w:val="00E8572B"/>
    <w:rsid w:val="00E8575B"/>
    <w:rsid w:val="00E85929"/>
    <w:rsid w:val="00E85AD2"/>
    <w:rsid w:val="00E874BB"/>
    <w:rsid w:val="00E87AE5"/>
    <w:rsid w:val="00E87CF7"/>
    <w:rsid w:val="00E87E4D"/>
    <w:rsid w:val="00E9036E"/>
    <w:rsid w:val="00E9078A"/>
    <w:rsid w:val="00E912FD"/>
    <w:rsid w:val="00E92C6E"/>
    <w:rsid w:val="00E92D0B"/>
    <w:rsid w:val="00E92EC9"/>
    <w:rsid w:val="00E93195"/>
    <w:rsid w:val="00E934A7"/>
    <w:rsid w:val="00E9519E"/>
    <w:rsid w:val="00E951D8"/>
    <w:rsid w:val="00E95C2A"/>
    <w:rsid w:val="00E961CB"/>
    <w:rsid w:val="00E963BC"/>
    <w:rsid w:val="00E96E91"/>
    <w:rsid w:val="00E96F7A"/>
    <w:rsid w:val="00E97DC6"/>
    <w:rsid w:val="00E97F3B"/>
    <w:rsid w:val="00E97F7A"/>
    <w:rsid w:val="00EA0010"/>
    <w:rsid w:val="00EA0143"/>
    <w:rsid w:val="00EA0400"/>
    <w:rsid w:val="00EA089B"/>
    <w:rsid w:val="00EA0902"/>
    <w:rsid w:val="00EA1A55"/>
    <w:rsid w:val="00EA1D28"/>
    <w:rsid w:val="00EA2686"/>
    <w:rsid w:val="00EA2E21"/>
    <w:rsid w:val="00EA37FA"/>
    <w:rsid w:val="00EA380C"/>
    <w:rsid w:val="00EA72A3"/>
    <w:rsid w:val="00EA7308"/>
    <w:rsid w:val="00EA7D07"/>
    <w:rsid w:val="00EB031B"/>
    <w:rsid w:val="00EB089C"/>
    <w:rsid w:val="00EB0AA8"/>
    <w:rsid w:val="00EB0C65"/>
    <w:rsid w:val="00EB1624"/>
    <w:rsid w:val="00EB169F"/>
    <w:rsid w:val="00EB1AE9"/>
    <w:rsid w:val="00EB1E7E"/>
    <w:rsid w:val="00EB2635"/>
    <w:rsid w:val="00EB2961"/>
    <w:rsid w:val="00EB2E1A"/>
    <w:rsid w:val="00EB2F17"/>
    <w:rsid w:val="00EB2F8A"/>
    <w:rsid w:val="00EB3268"/>
    <w:rsid w:val="00EB3298"/>
    <w:rsid w:val="00EB38FA"/>
    <w:rsid w:val="00EB3CE6"/>
    <w:rsid w:val="00EB3E92"/>
    <w:rsid w:val="00EB3EC3"/>
    <w:rsid w:val="00EB54AB"/>
    <w:rsid w:val="00EB6257"/>
    <w:rsid w:val="00EB68E6"/>
    <w:rsid w:val="00EB71C9"/>
    <w:rsid w:val="00EB7392"/>
    <w:rsid w:val="00EB7B67"/>
    <w:rsid w:val="00EC07F1"/>
    <w:rsid w:val="00EC14EA"/>
    <w:rsid w:val="00EC1987"/>
    <w:rsid w:val="00EC1E8A"/>
    <w:rsid w:val="00EC302E"/>
    <w:rsid w:val="00EC328C"/>
    <w:rsid w:val="00EC5241"/>
    <w:rsid w:val="00EC56E1"/>
    <w:rsid w:val="00EC594C"/>
    <w:rsid w:val="00EC5B44"/>
    <w:rsid w:val="00EC5C7B"/>
    <w:rsid w:val="00EC66AA"/>
    <w:rsid w:val="00EC6B8F"/>
    <w:rsid w:val="00EC7371"/>
    <w:rsid w:val="00EC7A28"/>
    <w:rsid w:val="00EC7B48"/>
    <w:rsid w:val="00ED0257"/>
    <w:rsid w:val="00ED071B"/>
    <w:rsid w:val="00ED1ADE"/>
    <w:rsid w:val="00ED4A77"/>
    <w:rsid w:val="00ED5981"/>
    <w:rsid w:val="00ED6514"/>
    <w:rsid w:val="00ED66B2"/>
    <w:rsid w:val="00ED71BA"/>
    <w:rsid w:val="00ED73A1"/>
    <w:rsid w:val="00ED7BCB"/>
    <w:rsid w:val="00ED7CA2"/>
    <w:rsid w:val="00EE014B"/>
    <w:rsid w:val="00EE13DA"/>
    <w:rsid w:val="00EE1595"/>
    <w:rsid w:val="00EE2087"/>
    <w:rsid w:val="00EE3384"/>
    <w:rsid w:val="00EE499F"/>
    <w:rsid w:val="00EE56E2"/>
    <w:rsid w:val="00EE6D45"/>
    <w:rsid w:val="00EE6E89"/>
    <w:rsid w:val="00EF0D4B"/>
    <w:rsid w:val="00EF0FE6"/>
    <w:rsid w:val="00EF1084"/>
    <w:rsid w:val="00EF10A9"/>
    <w:rsid w:val="00EF1432"/>
    <w:rsid w:val="00EF1511"/>
    <w:rsid w:val="00EF2C5F"/>
    <w:rsid w:val="00EF3AC4"/>
    <w:rsid w:val="00EF3FF9"/>
    <w:rsid w:val="00EF41AF"/>
    <w:rsid w:val="00EF4DB4"/>
    <w:rsid w:val="00EF53E2"/>
    <w:rsid w:val="00EF55E9"/>
    <w:rsid w:val="00EF5B41"/>
    <w:rsid w:val="00EF611C"/>
    <w:rsid w:val="00EF64A1"/>
    <w:rsid w:val="00F00630"/>
    <w:rsid w:val="00F00922"/>
    <w:rsid w:val="00F00924"/>
    <w:rsid w:val="00F00AB5"/>
    <w:rsid w:val="00F01BE6"/>
    <w:rsid w:val="00F0217A"/>
    <w:rsid w:val="00F026D3"/>
    <w:rsid w:val="00F02FFB"/>
    <w:rsid w:val="00F03395"/>
    <w:rsid w:val="00F034E6"/>
    <w:rsid w:val="00F03E4C"/>
    <w:rsid w:val="00F04560"/>
    <w:rsid w:val="00F06340"/>
    <w:rsid w:val="00F0665D"/>
    <w:rsid w:val="00F06D42"/>
    <w:rsid w:val="00F07134"/>
    <w:rsid w:val="00F0724D"/>
    <w:rsid w:val="00F07378"/>
    <w:rsid w:val="00F10B81"/>
    <w:rsid w:val="00F1191B"/>
    <w:rsid w:val="00F13AC5"/>
    <w:rsid w:val="00F14591"/>
    <w:rsid w:val="00F145D3"/>
    <w:rsid w:val="00F14B4B"/>
    <w:rsid w:val="00F14CD1"/>
    <w:rsid w:val="00F15115"/>
    <w:rsid w:val="00F15C81"/>
    <w:rsid w:val="00F15C8E"/>
    <w:rsid w:val="00F15D8C"/>
    <w:rsid w:val="00F15F18"/>
    <w:rsid w:val="00F16B86"/>
    <w:rsid w:val="00F16E1A"/>
    <w:rsid w:val="00F16F92"/>
    <w:rsid w:val="00F17904"/>
    <w:rsid w:val="00F17C3E"/>
    <w:rsid w:val="00F20197"/>
    <w:rsid w:val="00F20369"/>
    <w:rsid w:val="00F20570"/>
    <w:rsid w:val="00F205A1"/>
    <w:rsid w:val="00F20607"/>
    <w:rsid w:val="00F208BB"/>
    <w:rsid w:val="00F213D8"/>
    <w:rsid w:val="00F21760"/>
    <w:rsid w:val="00F21A5D"/>
    <w:rsid w:val="00F21ABA"/>
    <w:rsid w:val="00F21C13"/>
    <w:rsid w:val="00F22362"/>
    <w:rsid w:val="00F22796"/>
    <w:rsid w:val="00F2363A"/>
    <w:rsid w:val="00F238F7"/>
    <w:rsid w:val="00F23BA0"/>
    <w:rsid w:val="00F23C02"/>
    <w:rsid w:val="00F254C4"/>
    <w:rsid w:val="00F25641"/>
    <w:rsid w:val="00F256D8"/>
    <w:rsid w:val="00F26065"/>
    <w:rsid w:val="00F266E3"/>
    <w:rsid w:val="00F2689C"/>
    <w:rsid w:val="00F27E44"/>
    <w:rsid w:val="00F30313"/>
    <w:rsid w:val="00F303BC"/>
    <w:rsid w:val="00F309CD"/>
    <w:rsid w:val="00F317EA"/>
    <w:rsid w:val="00F318A1"/>
    <w:rsid w:val="00F31CF5"/>
    <w:rsid w:val="00F3265C"/>
    <w:rsid w:val="00F343EE"/>
    <w:rsid w:val="00F353F4"/>
    <w:rsid w:val="00F35494"/>
    <w:rsid w:val="00F35607"/>
    <w:rsid w:val="00F35D47"/>
    <w:rsid w:val="00F35DBA"/>
    <w:rsid w:val="00F3619D"/>
    <w:rsid w:val="00F36EC1"/>
    <w:rsid w:val="00F3722A"/>
    <w:rsid w:val="00F37366"/>
    <w:rsid w:val="00F37C99"/>
    <w:rsid w:val="00F40747"/>
    <w:rsid w:val="00F419B8"/>
    <w:rsid w:val="00F41C0F"/>
    <w:rsid w:val="00F42856"/>
    <w:rsid w:val="00F42F47"/>
    <w:rsid w:val="00F43777"/>
    <w:rsid w:val="00F43A4C"/>
    <w:rsid w:val="00F4482B"/>
    <w:rsid w:val="00F44F02"/>
    <w:rsid w:val="00F4526B"/>
    <w:rsid w:val="00F45F64"/>
    <w:rsid w:val="00F462DF"/>
    <w:rsid w:val="00F4662D"/>
    <w:rsid w:val="00F467BA"/>
    <w:rsid w:val="00F4689E"/>
    <w:rsid w:val="00F468AC"/>
    <w:rsid w:val="00F46A5F"/>
    <w:rsid w:val="00F47316"/>
    <w:rsid w:val="00F47507"/>
    <w:rsid w:val="00F47A01"/>
    <w:rsid w:val="00F47CEE"/>
    <w:rsid w:val="00F5052D"/>
    <w:rsid w:val="00F50C7C"/>
    <w:rsid w:val="00F51A82"/>
    <w:rsid w:val="00F51B78"/>
    <w:rsid w:val="00F51F86"/>
    <w:rsid w:val="00F5254B"/>
    <w:rsid w:val="00F53A44"/>
    <w:rsid w:val="00F53E96"/>
    <w:rsid w:val="00F54E5E"/>
    <w:rsid w:val="00F551DB"/>
    <w:rsid w:val="00F55718"/>
    <w:rsid w:val="00F559BE"/>
    <w:rsid w:val="00F56FEF"/>
    <w:rsid w:val="00F57521"/>
    <w:rsid w:val="00F605DC"/>
    <w:rsid w:val="00F60938"/>
    <w:rsid w:val="00F60C7E"/>
    <w:rsid w:val="00F60E0A"/>
    <w:rsid w:val="00F61606"/>
    <w:rsid w:val="00F61918"/>
    <w:rsid w:val="00F61C45"/>
    <w:rsid w:val="00F62151"/>
    <w:rsid w:val="00F62A29"/>
    <w:rsid w:val="00F62CA8"/>
    <w:rsid w:val="00F630B4"/>
    <w:rsid w:val="00F635EF"/>
    <w:rsid w:val="00F63BF4"/>
    <w:rsid w:val="00F63C55"/>
    <w:rsid w:val="00F63C60"/>
    <w:rsid w:val="00F64336"/>
    <w:rsid w:val="00F64991"/>
    <w:rsid w:val="00F65BA9"/>
    <w:rsid w:val="00F65BC8"/>
    <w:rsid w:val="00F66205"/>
    <w:rsid w:val="00F6630F"/>
    <w:rsid w:val="00F66419"/>
    <w:rsid w:val="00F67842"/>
    <w:rsid w:val="00F67B58"/>
    <w:rsid w:val="00F67E81"/>
    <w:rsid w:val="00F70A50"/>
    <w:rsid w:val="00F712C5"/>
    <w:rsid w:val="00F71C68"/>
    <w:rsid w:val="00F724E2"/>
    <w:rsid w:val="00F725DD"/>
    <w:rsid w:val="00F74103"/>
    <w:rsid w:val="00F745A4"/>
    <w:rsid w:val="00F74C0C"/>
    <w:rsid w:val="00F75BB5"/>
    <w:rsid w:val="00F75FD5"/>
    <w:rsid w:val="00F7604C"/>
    <w:rsid w:val="00F76B31"/>
    <w:rsid w:val="00F773A9"/>
    <w:rsid w:val="00F81623"/>
    <w:rsid w:val="00F81707"/>
    <w:rsid w:val="00F81D25"/>
    <w:rsid w:val="00F829B9"/>
    <w:rsid w:val="00F82EA0"/>
    <w:rsid w:val="00F83045"/>
    <w:rsid w:val="00F83615"/>
    <w:rsid w:val="00F8421D"/>
    <w:rsid w:val="00F84621"/>
    <w:rsid w:val="00F85329"/>
    <w:rsid w:val="00F86079"/>
    <w:rsid w:val="00F87282"/>
    <w:rsid w:val="00F878CD"/>
    <w:rsid w:val="00F87905"/>
    <w:rsid w:val="00F90C1F"/>
    <w:rsid w:val="00F910AF"/>
    <w:rsid w:val="00F9199A"/>
    <w:rsid w:val="00F91A44"/>
    <w:rsid w:val="00F9217B"/>
    <w:rsid w:val="00F93C0C"/>
    <w:rsid w:val="00F951DF"/>
    <w:rsid w:val="00F96655"/>
    <w:rsid w:val="00F97A34"/>
    <w:rsid w:val="00F97E4A"/>
    <w:rsid w:val="00F97EA1"/>
    <w:rsid w:val="00FA05C8"/>
    <w:rsid w:val="00FA0678"/>
    <w:rsid w:val="00FA0DB6"/>
    <w:rsid w:val="00FA23F7"/>
    <w:rsid w:val="00FA27EB"/>
    <w:rsid w:val="00FA3EBC"/>
    <w:rsid w:val="00FA423C"/>
    <w:rsid w:val="00FA44D0"/>
    <w:rsid w:val="00FA55A2"/>
    <w:rsid w:val="00FA672F"/>
    <w:rsid w:val="00FA7792"/>
    <w:rsid w:val="00FA7AA8"/>
    <w:rsid w:val="00FA7F1D"/>
    <w:rsid w:val="00FB0D60"/>
    <w:rsid w:val="00FB2BF5"/>
    <w:rsid w:val="00FB2F8E"/>
    <w:rsid w:val="00FB30C3"/>
    <w:rsid w:val="00FB39B0"/>
    <w:rsid w:val="00FB5138"/>
    <w:rsid w:val="00FB5A71"/>
    <w:rsid w:val="00FB7823"/>
    <w:rsid w:val="00FC05B2"/>
    <w:rsid w:val="00FC08B3"/>
    <w:rsid w:val="00FC09D7"/>
    <w:rsid w:val="00FC22D0"/>
    <w:rsid w:val="00FC38D4"/>
    <w:rsid w:val="00FC391E"/>
    <w:rsid w:val="00FC3BB7"/>
    <w:rsid w:val="00FC4345"/>
    <w:rsid w:val="00FC444A"/>
    <w:rsid w:val="00FC453D"/>
    <w:rsid w:val="00FC4A89"/>
    <w:rsid w:val="00FC550D"/>
    <w:rsid w:val="00FC5B2A"/>
    <w:rsid w:val="00FC665F"/>
    <w:rsid w:val="00FC6D59"/>
    <w:rsid w:val="00FC78F5"/>
    <w:rsid w:val="00FC7AD2"/>
    <w:rsid w:val="00FC7FC0"/>
    <w:rsid w:val="00FD0130"/>
    <w:rsid w:val="00FD10B3"/>
    <w:rsid w:val="00FD11C3"/>
    <w:rsid w:val="00FD154E"/>
    <w:rsid w:val="00FD24D7"/>
    <w:rsid w:val="00FD29CE"/>
    <w:rsid w:val="00FD337F"/>
    <w:rsid w:val="00FD3AE2"/>
    <w:rsid w:val="00FD3E41"/>
    <w:rsid w:val="00FD5AE4"/>
    <w:rsid w:val="00FD5F25"/>
    <w:rsid w:val="00FD60BE"/>
    <w:rsid w:val="00FD6894"/>
    <w:rsid w:val="00FD6AF0"/>
    <w:rsid w:val="00FD704D"/>
    <w:rsid w:val="00FD74E3"/>
    <w:rsid w:val="00FD7702"/>
    <w:rsid w:val="00FD79B8"/>
    <w:rsid w:val="00FE0AD1"/>
    <w:rsid w:val="00FE1852"/>
    <w:rsid w:val="00FE32B7"/>
    <w:rsid w:val="00FE33DB"/>
    <w:rsid w:val="00FE33F5"/>
    <w:rsid w:val="00FE37DD"/>
    <w:rsid w:val="00FE3C31"/>
    <w:rsid w:val="00FE4015"/>
    <w:rsid w:val="00FE448D"/>
    <w:rsid w:val="00FE44F5"/>
    <w:rsid w:val="00FE4783"/>
    <w:rsid w:val="00FE480D"/>
    <w:rsid w:val="00FE4ACC"/>
    <w:rsid w:val="00FE7DD1"/>
    <w:rsid w:val="00FF0B4F"/>
    <w:rsid w:val="00FF0B70"/>
    <w:rsid w:val="00FF114D"/>
    <w:rsid w:val="00FF1A06"/>
    <w:rsid w:val="00FF1AD3"/>
    <w:rsid w:val="00FF1B46"/>
    <w:rsid w:val="00FF219D"/>
    <w:rsid w:val="00FF2693"/>
    <w:rsid w:val="00FF2BB3"/>
    <w:rsid w:val="00FF49B4"/>
    <w:rsid w:val="00FF49F4"/>
    <w:rsid w:val="00FF651D"/>
    <w:rsid w:val="00FF6843"/>
    <w:rsid w:val="00FF7724"/>
    <w:rsid w:val="00FF78E2"/>
    <w:rsid w:val="010651D9"/>
    <w:rsid w:val="014852B3"/>
    <w:rsid w:val="01BD578C"/>
    <w:rsid w:val="01C84F28"/>
    <w:rsid w:val="02DC67EA"/>
    <w:rsid w:val="03DD35E4"/>
    <w:rsid w:val="065A6178"/>
    <w:rsid w:val="07A11279"/>
    <w:rsid w:val="0A5B7E63"/>
    <w:rsid w:val="0C87121B"/>
    <w:rsid w:val="0DB62EAD"/>
    <w:rsid w:val="0DF702FE"/>
    <w:rsid w:val="0E935F3E"/>
    <w:rsid w:val="0F816ACD"/>
    <w:rsid w:val="0FC649DD"/>
    <w:rsid w:val="0FE96064"/>
    <w:rsid w:val="109E277C"/>
    <w:rsid w:val="10FC16EA"/>
    <w:rsid w:val="111927C8"/>
    <w:rsid w:val="118963A1"/>
    <w:rsid w:val="127723A9"/>
    <w:rsid w:val="13072A44"/>
    <w:rsid w:val="1728360E"/>
    <w:rsid w:val="17E11541"/>
    <w:rsid w:val="19F83677"/>
    <w:rsid w:val="1B2A271F"/>
    <w:rsid w:val="1D266CE1"/>
    <w:rsid w:val="1D3963AF"/>
    <w:rsid w:val="1E1B7D7A"/>
    <w:rsid w:val="1E714A66"/>
    <w:rsid w:val="1FE868A9"/>
    <w:rsid w:val="21314373"/>
    <w:rsid w:val="2180029B"/>
    <w:rsid w:val="21863561"/>
    <w:rsid w:val="23790152"/>
    <w:rsid w:val="27B537C3"/>
    <w:rsid w:val="28CC769A"/>
    <w:rsid w:val="2A4B4090"/>
    <w:rsid w:val="2DD15014"/>
    <w:rsid w:val="2FD25781"/>
    <w:rsid w:val="319C6071"/>
    <w:rsid w:val="32B029E9"/>
    <w:rsid w:val="342E63AB"/>
    <w:rsid w:val="34DE13AE"/>
    <w:rsid w:val="365302AE"/>
    <w:rsid w:val="36826596"/>
    <w:rsid w:val="375A4E1C"/>
    <w:rsid w:val="39C2228F"/>
    <w:rsid w:val="3A017F46"/>
    <w:rsid w:val="3C5F759A"/>
    <w:rsid w:val="3DBC64B7"/>
    <w:rsid w:val="3DC71EB6"/>
    <w:rsid w:val="3E035E5F"/>
    <w:rsid w:val="4236486F"/>
    <w:rsid w:val="42CD4139"/>
    <w:rsid w:val="42E1381E"/>
    <w:rsid w:val="485853A8"/>
    <w:rsid w:val="49262CC7"/>
    <w:rsid w:val="499A4547"/>
    <w:rsid w:val="4FF95465"/>
    <w:rsid w:val="51A0432A"/>
    <w:rsid w:val="521B6B62"/>
    <w:rsid w:val="523B0148"/>
    <w:rsid w:val="52A96B6F"/>
    <w:rsid w:val="53BC0B8A"/>
    <w:rsid w:val="550764A4"/>
    <w:rsid w:val="56351ACE"/>
    <w:rsid w:val="57825F9E"/>
    <w:rsid w:val="57DB28FB"/>
    <w:rsid w:val="58AE4F0C"/>
    <w:rsid w:val="5A2A7C7B"/>
    <w:rsid w:val="5C80234E"/>
    <w:rsid w:val="5E261785"/>
    <w:rsid w:val="5EB15FB0"/>
    <w:rsid w:val="5FCC5339"/>
    <w:rsid w:val="61054A27"/>
    <w:rsid w:val="611D2366"/>
    <w:rsid w:val="62885958"/>
    <w:rsid w:val="64CE2EAA"/>
    <w:rsid w:val="653452A7"/>
    <w:rsid w:val="65E25830"/>
    <w:rsid w:val="662E75B1"/>
    <w:rsid w:val="66342C2E"/>
    <w:rsid w:val="663E784C"/>
    <w:rsid w:val="69BB533F"/>
    <w:rsid w:val="69F63ADC"/>
    <w:rsid w:val="6A2D3646"/>
    <w:rsid w:val="6CE5754F"/>
    <w:rsid w:val="6E8E12EF"/>
    <w:rsid w:val="71D43752"/>
    <w:rsid w:val="73393BBF"/>
    <w:rsid w:val="749C4185"/>
    <w:rsid w:val="75DA2C18"/>
    <w:rsid w:val="76BA2929"/>
    <w:rsid w:val="78D554A1"/>
    <w:rsid w:val="7A67303B"/>
    <w:rsid w:val="7AAB1D04"/>
    <w:rsid w:val="7ABA4368"/>
    <w:rsid w:val="7ABD4D66"/>
    <w:rsid w:val="7B257FFD"/>
    <w:rsid w:val="7DC467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qFormat="1" w:uiPriority="99" w:semiHidden="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uiPriority="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42"/>
    <w:qFormat/>
    <w:uiPriority w:val="0"/>
    <w:pPr>
      <w:adjustRightInd/>
      <w:spacing w:line="360" w:lineRule="auto"/>
      <w:jc w:val="center"/>
      <w:outlineLvl w:val="0"/>
    </w:pPr>
    <w:rPr>
      <w:rFonts w:ascii="仿宋" w:hAnsi="仿宋" w:eastAsia="仿宋" w:cs="仿宋_GB2312"/>
      <w:b/>
      <w:color w:val="000000"/>
      <w:sz w:val="36"/>
      <w:szCs w:val="36"/>
    </w:rPr>
  </w:style>
  <w:style w:type="paragraph" w:styleId="4">
    <w:name w:val="heading 2"/>
    <w:basedOn w:val="1"/>
    <w:next w:val="1"/>
    <w:qFormat/>
    <w:uiPriority w:val="9"/>
    <w:pPr>
      <w:keepNext/>
      <w:keepLines/>
      <w:numPr>
        <w:ilvl w:val="0"/>
        <w:numId w:val="1"/>
      </w:numPr>
      <w:adjustRightInd/>
      <w:spacing w:line="360" w:lineRule="auto"/>
      <w:jc w:val="left"/>
      <w:outlineLvl w:val="1"/>
    </w:pPr>
    <w:rPr>
      <w:rFonts w:ascii="仿宋_GB2312" w:hAnsi="仿宋" w:eastAsia="仿宋_GB2312"/>
      <w:b/>
      <w:bCs/>
      <w:sz w:val="32"/>
      <w:szCs w:val="32"/>
      <w:lang w:val="zh-CN"/>
    </w:rPr>
  </w:style>
  <w:style w:type="paragraph" w:styleId="2">
    <w:name w:val="heading 3"/>
    <w:basedOn w:val="1"/>
    <w:next w:val="1"/>
    <w:link w:val="641"/>
    <w:qFormat/>
    <w:uiPriority w:val="0"/>
    <w:pPr>
      <w:keepNext/>
      <w:keepLines/>
      <w:numPr>
        <w:ilvl w:val="2"/>
        <w:numId w:val="2"/>
      </w:numPr>
      <w:spacing w:before="260" w:after="260" w:line="416" w:lineRule="auto"/>
      <w:outlineLvl w:val="2"/>
    </w:pPr>
    <w:rPr>
      <w:b/>
      <w:bCs/>
      <w:sz w:val="32"/>
      <w:szCs w:val="32"/>
    </w:rPr>
  </w:style>
  <w:style w:type="paragraph" w:styleId="5">
    <w:name w:val="heading 4"/>
    <w:basedOn w:val="1"/>
    <w:next w:val="1"/>
    <w:link w:val="212"/>
    <w:qFormat/>
    <w:uiPriority w:val="0"/>
    <w:pPr>
      <w:keepNext/>
      <w:keepLines/>
      <w:numPr>
        <w:ilvl w:val="3"/>
        <w:numId w:val="2"/>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175"/>
    <w:qFormat/>
    <w:uiPriority w:val="0"/>
    <w:pPr>
      <w:keepNext/>
      <w:keepLines/>
      <w:numPr>
        <w:ilvl w:val="4"/>
        <w:numId w:val="2"/>
      </w:numPr>
      <w:spacing w:before="280" w:after="290" w:line="376" w:lineRule="auto"/>
      <w:outlineLvl w:val="4"/>
    </w:pPr>
    <w:rPr>
      <w:b/>
      <w:bCs/>
      <w:sz w:val="28"/>
      <w:szCs w:val="28"/>
    </w:rPr>
  </w:style>
  <w:style w:type="paragraph" w:styleId="7">
    <w:name w:val="heading 6"/>
    <w:basedOn w:val="1"/>
    <w:next w:val="1"/>
    <w:link w:val="240"/>
    <w:qFormat/>
    <w:uiPriority w:val="0"/>
    <w:pPr>
      <w:keepNext/>
      <w:keepLines/>
      <w:numPr>
        <w:ilvl w:val="5"/>
        <w:numId w:val="2"/>
      </w:numPr>
      <w:spacing w:before="240" w:after="64" w:line="320" w:lineRule="auto"/>
      <w:outlineLvl w:val="5"/>
    </w:pPr>
    <w:rPr>
      <w:rFonts w:ascii="Arial" w:hAnsi="Arial" w:eastAsia="黑体"/>
      <w:b/>
      <w:bCs/>
      <w:sz w:val="24"/>
    </w:rPr>
  </w:style>
  <w:style w:type="paragraph" w:styleId="8">
    <w:name w:val="heading 7"/>
    <w:basedOn w:val="1"/>
    <w:next w:val="1"/>
    <w:link w:val="206"/>
    <w:qFormat/>
    <w:uiPriority w:val="0"/>
    <w:pPr>
      <w:keepNext/>
      <w:keepLines/>
      <w:numPr>
        <w:ilvl w:val="6"/>
        <w:numId w:val="2"/>
      </w:numPr>
      <w:spacing w:before="240" w:after="64" w:line="320" w:lineRule="auto"/>
      <w:outlineLvl w:val="6"/>
    </w:pPr>
    <w:rPr>
      <w:b/>
      <w:bCs/>
      <w:sz w:val="24"/>
    </w:rPr>
  </w:style>
  <w:style w:type="paragraph" w:styleId="9">
    <w:name w:val="heading 8"/>
    <w:basedOn w:val="1"/>
    <w:next w:val="1"/>
    <w:link w:val="110"/>
    <w:qFormat/>
    <w:uiPriority w:val="0"/>
    <w:pPr>
      <w:keepNext/>
      <w:keepLines/>
      <w:numPr>
        <w:ilvl w:val="7"/>
        <w:numId w:val="2"/>
      </w:numPr>
      <w:spacing w:before="240" w:after="64" w:line="320" w:lineRule="auto"/>
      <w:outlineLvl w:val="7"/>
    </w:pPr>
    <w:rPr>
      <w:rFonts w:ascii="Arial" w:hAnsi="Arial" w:eastAsia="黑体"/>
      <w:sz w:val="24"/>
    </w:rPr>
  </w:style>
  <w:style w:type="paragraph" w:styleId="10">
    <w:name w:val="heading 9"/>
    <w:basedOn w:val="1"/>
    <w:next w:val="1"/>
    <w:link w:val="123"/>
    <w:qFormat/>
    <w:uiPriority w:val="0"/>
    <w:pPr>
      <w:keepNext/>
      <w:keepLines/>
      <w:numPr>
        <w:ilvl w:val="8"/>
        <w:numId w:val="2"/>
      </w:numPr>
      <w:spacing w:before="240" w:after="64" w:line="320"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link w:val="242"/>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246"/>
    <w:qFormat/>
    <w:uiPriority w:val="99"/>
    <w:pPr>
      <w:jc w:val="left"/>
    </w:pPr>
  </w:style>
  <w:style w:type="paragraph" w:styleId="20">
    <w:name w:val="Salutation"/>
    <w:basedOn w:val="1"/>
    <w:next w:val="1"/>
    <w:link w:val="211"/>
    <w:qFormat/>
    <w:uiPriority w:val="0"/>
    <w:rPr>
      <w:rFonts w:ascii="仿宋_GB2312" w:eastAsia="仿宋_GB2312"/>
      <w:sz w:val="28"/>
      <w:szCs w:val="20"/>
    </w:rPr>
  </w:style>
  <w:style w:type="paragraph" w:styleId="21">
    <w:name w:val="Body Text 3"/>
    <w:basedOn w:val="1"/>
    <w:link w:val="184"/>
    <w:qFormat/>
    <w:uiPriority w:val="0"/>
    <w:pPr>
      <w:jc w:val="center"/>
    </w:pPr>
    <w:rPr>
      <w:szCs w:val="20"/>
    </w:rPr>
  </w:style>
  <w:style w:type="paragraph" w:styleId="22">
    <w:name w:val="Body Text"/>
    <w:basedOn w:val="1"/>
    <w:next w:val="23"/>
    <w:link w:val="120"/>
    <w:qFormat/>
    <w:uiPriority w:val="0"/>
    <w:pPr>
      <w:autoSpaceDE w:val="0"/>
      <w:autoSpaceDN w:val="0"/>
      <w:spacing w:line="360" w:lineRule="auto"/>
    </w:pPr>
    <w:rPr>
      <w:rFonts w:ascii="宋体"/>
      <w:sz w:val="24"/>
      <w:szCs w:val="21"/>
      <w:lang w:val="zh-CN"/>
    </w:rPr>
  </w:style>
  <w:style w:type="paragraph" w:styleId="23">
    <w:name w:val="Body Text First Indent"/>
    <w:basedOn w:val="22"/>
    <w:link w:val="133"/>
    <w:qFormat/>
    <w:uiPriority w:val="0"/>
    <w:pPr>
      <w:ind w:firstLine="420"/>
    </w:pPr>
    <w:rPr>
      <w:szCs w:val="20"/>
    </w:rPr>
  </w:style>
  <w:style w:type="paragraph" w:styleId="24">
    <w:name w:val="Body Text Indent"/>
    <w:basedOn w:val="1"/>
    <w:next w:val="25"/>
    <w:link w:val="101"/>
    <w:qFormat/>
    <w:uiPriority w:val="99"/>
    <w:pPr>
      <w:spacing w:line="480" w:lineRule="exact"/>
      <w:ind w:firstLine="480" w:firstLineChars="200"/>
    </w:pPr>
    <w:rPr>
      <w:rFonts w:ascii="宋体" w:hAnsi="宋体"/>
      <w:sz w:val="24"/>
    </w:rPr>
  </w:style>
  <w:style w:type="paragraph" w:styleId="25">
    <w:name w:val="envelope return"/>
    <w:basedOn w:val="1"/>
    <w:unhideWhenUsed/>
    <w:qFormat/>
    <w:uiPriority w:val="99"/>
    <w:pPr>
      <w:snapToGrid w:val="0"/>
    </w:pPr>
    <w:rPr>
      <w:rFonts w:ascii="Arial" w:hAnsi="Arial"/>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173"/>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222"/>
    <w:qFormat/>
    <w:uiPriority w:val="0"/>
    <w:rPr>
      <w:rFonts w:ascii="宋体" w:hAnsi="Courier New"/>
      <w:szCs w:val="20"/>
    </w:rPr>
  </w:style>
  <w:style w:type="paragraph" w:styleId="34">
    <w:name w:val="List Number 4"/>
    <w:basedOn w:val="1"/>
    <w:qFormat/>
    <w:uiPriority w:val="0"/>
    <w:pPr>
      <w:numPr>
        <w:ilvl w:val="0"/>
        <w:numId w:val="4"/>
      </w:numPr>
      <w:autoSpaceDE w:val="0"/>
      <w:autoSpaceDN w:val="0"/>
      <w:spacing w:line="360" w:lineRule="atLeast"/>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209"/>
    <w:qFormat/>
    <w:uiPriority w:val="0"/>
    <w:pPr>
      <w:ind w:left="100" w:leftChars="2500"/>
    </w:pPr>
    <w:rPr>
      <w:rFonts w:ascii="宋体"/>
      <w:sz w:val="24"/>
      <w:szCs w:val="21"/>
      <w:lang w:val="zh-CN"/>
    </w:rPr>
  </w:style>
  <w:style w:type="paragraph" w:styleId="37">
    <w:name w:val="Body Text Indent 2"/>
    <w:basedOn w:val="1"/>
    <w:link w:val="81"/>
    <w:qFormat/>
    <w:uiPriority w:val="0"/>
    <w:pPr>
      <w:spacing w:line="360" w:lineRule="auto"/>
      <w:ind w:firstLine="601"/>
      <w:textAlignment w:val="baseline"/>
    </w:pPr>
    <w:rPr>
      <w:rFonts w:ascii="宋体"/>
      <w:kern w:val="0"/>
      <w:sz w:val="28"/>
      <w:szCs w:val="20"/>
    </w:rPr>
  </w:style>
  <w:style w:type="paragraph" w:styleId="38">
    <w:name w:val="Balloon Text"/>
    <w:basedOn w:val="1"/>
    <w:link w:val="247"/>
    <w:semiHidden/>
    <w:qFormat/>
    <w:uiPriority w:val="0"/>
    <w:rPr>
      <w:sz w:val="18"/>
      <w:szCs w:val="18"/>
    </w:rPr>
  </w:style>
  <w:style w:type="paragraph" w:styleId="39">
    <w:name w:val="footer"/>
    <w:basedOn w:val="1"/>
    <w:link w:val="631"/>
    <w:qFormat/>
    <w:uiPriority w:val="99"/>
    <w:pPr>
      <w:tabs>
        <w:tab w:val="center" w:pos="4153"/>
        <w:tab w:val="right" w:pos="8306"/>
      </w:tabs>
      <w:snapToGrid w:val="0"/>
      <w:jc w:val="left"/>
    </w:pPr>
    <w:rPr>
      <w:sz w:val="18"/>
      <w:szCs w:val="18"/>
    </w:rPr>
  </w:style>
  <w:style w:type="paragraph" w:styleId="40">
    <w:name w:val="header"/>
    <w:basedOn w:val="1"/>
    <w:link w:val="63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257"/>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0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236"/>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193"/>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qFormat/>
    <w:uiPriority w:val="0"/>
    <w:pPr>
      <w:spacing w:after="120" w:line="480" w:lineRule="auto"/>
    </w:pPr>
  </w:style>
  <w:style w:type="paragraph" w:styleId="56">
    <w:name w:val="HTML Preformatted"/>
    <w:basedOn w:val="1"/>
    <w:link w:val="1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next w:val="1"/>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semiHidden/>
    <w:qFormat/>
    <w:uiPriority w:val="0"/>
    <w:rPr>
      <w:b/>
      <w:bCs/>
    </w:rPr>
  </w:style>
  <w:style w:type="paragraph" w:styleId="60">
    <w:name w:val="Body Text First Indent 2"/>
    <w:basedOn w:val="24"/>
    <w:link w:val="244"/>
    <w:qFormat/>
    <w:uiPriority w:val="0"/>
    <w:pPr>
      <w:adjustRightInd/>
      <w:spacing w:after="120" w:line="240" w:lineRule="auto"/>
      <w:ind w:left="420" w:leftChars="200" w:firstLine="210"/>
    </w:pPr>
    <w:rPr>
      <w:sz w:val="21"/>
    </w:rPr>
  </w:style>
  <w:style w:type="table" w:styleId="62">
    <w:name w:val="Table Grid"/>
    <w:basedOn w:val="6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qFormat/>
    <w:uiPriority w:val="22"/>
    <w:rPr>
      <w:b/>
      <w:bCs/>
    </w:rPr>
  </w:style>
  <w:style w:type="character" w:styleId="65">
    <w:name w:val="page number"/>
    <w:basedOn w:val="63"/>
    <w:qFormat/>
    <w:uiPriority w:val="0"/>
    <w:rPr>
      <w:rFonts w:ascii="Arial" w:hAnsi="Arial" w:eastAsia="黑体" w:cs="Arial"/>
      <w:snapToGrid w:val="0"/>
      <w:kern w:val="0"/>
      <w:szCs w:val="21"/>
    </w:rPr>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rPr>
      <w:rFonts w:ascii="Arial" w:hAnsi="Arial" w:eastAsia="黑体" w:cs="Arial"/>
      <w:snapToGrid w:val="0"/>
      <w:kern w:val="0"/>
      <w:szCs w:val="21"/>
    </w:rPr>
  </w:style>
  <w:style w:type="character" w:styleId="69">
    <w:name w:val="Hyperlink"/>
    <w:qFormat/>
    <w:uiPriority w:val="99"/>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character" w:customStyle="1" w:styleId="72">
    <w:name w:val="solutionfonts"/>
    <w:qFormat/>
    <w:uiPriority w:val="0"/>
  </w:style>
  <w:style w:type="character" w:customStyle="1" w:styleId="73">
    <w:name w:val="Font Style82"/>
    <w:qFormat/>
    <w:uiPriority w:val="99"/>
    <w:rPr>
      <w:rFonts w:ascii="宋体" w:eastAsia="宋体" w:cs="宋体"/>
      <w:color w:val="000000"/>
      <w:sz w:val="14"/>
      <w:szCs w:val="14"/>
    </w:rPr>
  </w:style>
  <w:style w:type="character" w:customStyle="1" w:styleId="74">
    <w:name w:val="此正文 Char"/>
    <w:link w:val="75"/>
    <w:qFormat/>
    <w:uiPriority w:val="0"/>
    <w:rPr>
      <w:kern w:val="2"/>
      <w:sz w:val="24"/>
      <w:szCs w:val="24"/>
    </w:rPr>
  </w:style>
  <w:style w:type="paragraph" w:customStyle="1" w:styleId="75">
    <w:name w:val="此正文"/>
    <w:basedOn w:val="1"/>
    <w:link w:val="74"/>
    <w:qFormat/>
    <w:uiPriority w:val="0"/>
    <w:pPr>
      <w:adjustRightInd/>
      <w:spacing w:line="360" w:lineRule="auto"/>
      <w:ind w:firstLine="200" w:firstLineChars="200"/>
    </w:pPr>
    <w:rPr>
      <w:sz w:val="24"/>
    </w:rPr>
  </w:style>
  <w:style w:type="character" w:customStyle="1" w:styleId="76">
    <w:name w:val="Char Char10"/>
    <w:semiHidden/>
    <w:qFormat/>
    <w:uiPriority w:val="0"/>
    <w:rPr>
      <w:rFonts w:ascii="宋体" w:hAnsi="宋体"/>
      <w:kern w:val="2"/>
      <w:sz w:val="21"/>
      <w:szCs w:val="24"/>
      <w:lang w:val="en-US" w:eastAsia="zh-CN"/>
    </w:rPr>
  </w:style>
  <w:style w:type="character" w:customStyle="1" w:styleId="77">
    <w:name w:val="h Char Char"/>
    <w:qFormat/>
    <w:uiPriority w:val="0"/>
    <w:rPr>
      <w:rFonts w:eastAsia="宋体"/>
      <w:kern w:val="2"/>
      <w:sz w:val="18"/>
      <w:lang w:val="en-US" w:eastAsia="zh-CN" w:bidi="ar-SA"/>
    </w:rPr>
  </w:style>
  <w:style w:type="character" w:customStyle="1" w:styleId="78">
    <w:name w:val="Bold"/>
    <w:qFormat/>
    <w:uiPriority w:val="0"/>
    <w:rPr>
      <w:rFonts w:ascii="Arial" w:hAnsi="Arial" w:eastAsia="黑体" w:cs="Times New Roman"/>
      <w:b/>
      <w:kern w:val="2"/>
      <w:sz w:val="32"/>
      <w:szCs w:val="32"/>
      <w:lang w:val="en-US" w:eastAsia="zh-CN" w:bidi="ar-SA"/>
    </w:rPr>
  </w:style>
  <w:style w:type="character" w:customStyle="1" w:styleId="79">
    <w:name w:val="Ò³Ã¼ Char Char"/>
    <w:qFormat/>
    <w:uiPriority w:val="0"/>
    <w:rPr>
      <w:rFonts w:eastAsia="宋体"/>
      <w:kern w:val="2"/>
      <w:sz w:val="18"/>
      <w:lang w:val="en-US" w:eastAsia="zh-CN" w:bidi="ar-SA"/>
    </w:rPr>
  </w:style>
  <w:style w:type="character" w:customStyle="1" w:styleId="80">
    <w:name w:val="标准正文格式 Char"/>
    <w:qFormat/>
    <w:uiPriority w:val="0"/>
    <w:rPr>
      <w:rFonts w:ascii="宋体" w:eastAsia="仿宋_GB2312" w:cs="宋体"/>
      <w:color w:val="000000"/>
      <w:sz w:val="24"/>
      <w:lang w:val="en-US" w:eastAsia="zh-CN" w:bidi="ar-SA"/>
    </w:rPr>
  </w:style>
  <w:style w:type="character" w:customStyle="1" w:styleId="81">
    <w:name w:val="正文文本缩进 2 Char"/>
    <w:link w:val="37"/>
    <w:qFormat/>
    <w:uiPriority w:val="0"/>
    <w:rPr>
      <w:rFonts w:ascii="宋体"/>
      <w:sz w:val="28"/>
    </w:rPr>
  </w:style>
  <w:style w:type="character" w:customStyle="1" w:styleId="82">
    <w:name w:val="Char Char8"/>
    <w:qFormat/>
    <w:uiPriority w:val="0"/>
    <w:rPr>
      <w:rFonts w:eastAsia="宋体"/>
      <w:b/>
      <w:sz w:val="24"/>
      <w:lang w:val="en-GB" w:eastAsia="zh-CN"/>
    </w:rPr>
  </w:style>
  <w:style w:type="character" w:customStyle="1" w:styleId="83">
    <w:name w:val="No Spacing Char"/>
    <w:link w:val="84"/>
    <w:qFormat/>
    <w:uiPriority w:val="1"/>
    <w:rPr>
      <w:rFonts w:ascii="Calibri" w:hAnsi="Calibri"/>
      <w:sz w:val="22"/>
      <w:szCs w:val="22"/>
      <w:lang w:val="en-US" w:eastAsia="zh-CN" w:bidi="ar-SA"/>
    </w:rPr>
  </w:style>
  <w:style w:type="paragraph" w:customStyle="1" w:styleId="84">
    <w:name w:val="无间隔1"/>
    <w:link w:val="83"/>
    <w:qFormat/>
    <w:uiPriority w:val="1"/>
    <w:rPr>
      <w:rFonts w:ascii="Calibri" w:hAnsi="Calibri" w:eastAsia="宋体" w:cs="Times New Roman"/>
      <w:sz w:val="22"/>
      <w:szCs w:val="22"/>
      <w:lang w:val="en-US" w:eastAsia="zh-CN" w:bidi="ar-SA"/>
    </w:rPr>
  </w:style>
  <w:style w:type="character" w:customStyle="1" w:styleId="85">
    <w:name w:val="blue1"/>
    <w:basedOn w:val="63"/>
    <w:qFormat/>
    <w:uiPriority w:val="0"/>
    <w:rPr>
      <w:rFonts w:ascii="Arial" w:hAnsi="Arial" w:eastAsia="黑体" w:cs="Arial"/>
      <w:snapToGrid w:val="0"/>
      <w:kern w:val="0"/>
      <w:szCs w:val="21"/>
    </w:rPr>
  </w:style>
  <w:style w:type="character" w:customStyle="1" w:styleId="86">
    <w:name w:val="highlight1"/>
    <w:qFormat/>
    <w:uiPriority w:val="0"/>
    <w:rPr>
      <w:rFonts w:ascii="仿宋_GB2312" w:eastAsia="微软雅黑"/>
      <w:b/>
      <w:kern w:val="2"/>
      <w:sz w:val="23"/>
      <w:szCs w:val="23"/>
      <w:lang w:val="en-US" w:eastAsia="zh-CN" w:bidi="ar-SA"/>
    </w:rPr>
  </w:style>
  <w:style w:type="character" w:customStyle="1" w:styleId="87">
    <w:name w:val="ca-131"/>
    <w:qFormat/>
    <w:uiPriority w:val="0"/>
    <w:rPr>
      <w:rFonts w:hint="eastAsia" w:ascii="仿宋_GB2312" w:eastAsia="仿宋_GB2312"/>
      <w:b/>
      <w:bCs/>
      <w:color w:val="000000"/>
      <w:spacing w:val="-20"/>
      <w:sz w:val="24"/>
      <w:szCs w:val="24"/>
    </w:rPr>
  </w:style>
  <w:style w:type="character" w:customStyle="1" w:styleId="88">
    <w:name w:val="h3 Char"/>
    <w:qFormat/>
    <w:uiPriority w:val="0"/>
    <w:rPr>
      <w:rFonts w:eastAsia="宋体"/>
      <w:b/>
      <w:kern w:val="2"/>
      <w:sz w:val="32"/>
      <w:lang w:val="en-US" w:eastAsia="zh-CN" w:bidi="ar-SA"/>
    </w:rPr>
  </w:style>
  <w:style w:type="character" w:customStyle="1" w:styleId="89">
    <w:name w:val="Char Char12"/>
    <w:qFormat/>
    <w:uiPriority w:val="0"/>
    <w:rPr>
      <w:rFonts w:ascii="仿宋_GB2312" w:eastAsia="仿宋_GB2312"/>
      <w:b/>
      <w:bCs/>
      <w:kern w:val="2"/>
      <w:sz w:val="24"/>
      <w:szCs w:val="24"/>
      <w:lang w:val="zh-CN" w:eastAsia="zh-CN" w:bidi="ar-SA"/>
    </w:rPr>
  </w:style>
  <w:style w:type="character" w:customStyle="1" w:styleId="90">
    <w:name w:val="Comment Text Char"/>
    <w:semiHidden/>
    <w:qFormat/>
    <w:locked/>
    <w:uiPriority w:val="0"/>
    <w:rPr>
      <w:rFonts w:ascii="宋体" w:hAnsi="宋体" w:eastAsia="宋体"/>
      <w:kern w:val="2"/>
      <w:sz w:val="24"/>
      <w:lang w:val="en-US" w:eastAsia="zh-CN" w:bidi="ar-SA"/>
    </w:rPr>
  </w:style>
  <w:style w:type="character" w:customStyle="1" w:styleId="91">
    <w:name w:val="批注文字 Char"/>
    <w:qFormat/>
    <w:uiPriority w:val="99"/>
    <w:rPr>
      <w:kern w:val="2"/>
      <w:sz w:val="21"/>
      <w:szCs w:val="24"/>
    </w:rPr>
  </w:style>
  <w:style w:type="character" w:customStyle="1" w:styleId="92">
    <w:name w:val="仿宋正文 Char"/>
    <w:link w:val="93"/>
    <w:qFormat/>
    <w:uiPriority w:val="0"/>
    <w:rPr>
      <w:rFonts w:ascii="仿宋_GB2312" w:eastAsia="仿宋_GB2312"/>
      <w:kern w:val="2"/>
      <w:sz w:val="24"/>
      <w:lang w:val="en-US" w:eastAsia="zh-CN" w:bidi="ar-SA"/>
    </w:rPr>
  </w:style>
  <w:style w:type="paragraph" w:customStyle="1" w:styleId="93">
    <w:name w:val="仿宋正文"/>
    <w:basedOn w:val="1"/>
    <w:link w:val="92"/>
    <w:qFormat/>
    <w:uiPriority w:val="0"/>
    <w:pPr>
      <w:adjustRightInd/>
      <w:spacing w:line="360" w:lineRule="auto"/>
      <w:ind w:firstLine="480" w:firstLineChars="200"/>
    </w:pPr>
    <w:rPr>
      <w:rFonts w:ascii="仿宋_GB2312" w:eastAsia="仿宋_GB2312"/>
      <w:sz w:val="24"/>
      <w:szCs w:val="20"/>
    </w:rPr>
  </w:style>
  <w:style w:type="character" w:customStyle="1" w:styleId="94">
    <w:name w:val="style91"/>
    <w:qFormat/>
    <w:uiPriority w:val="0"/>
    <w:rPr>
      <w:color w:val="333333"/>
    </w:rPr>
  </w:style>
  <w:style w:type="character" w:customStyle="1" w:styleId="95">
    <w:name w:val="Char Char4"/>
    <w:qFormat/>
    <w:uiPriority w:val="0"/>
    <w:rPr>
      <w:rFonts w:eastAsia="宋体"/>
      <w:b/>
      <w:sz w:val="24"/>
      <w:lang w:val="en-GB" w:eastAsia="zh-CN" w:bidi="ar-SA"/>
    </w:rPr>
  </w:style>
  <w:style w:type="character" w:customStyle="1" w:styleId="96">
    <w:name w:val="Char Char2"/>
    <w:qFormat/>
    <w:uiPriority w:val="0"/>
    <w:rPr>
      <w:rFonts w:eastAsia="宋体"/>
      <w:b/>
      <w:bCs/>
      <w:kern w:val="2"/>
      <w:sz w:val="21"/>
      <w:szCs w:val="24"/>
      <w:lang w:val="en-US" w:eastAsia="zh-CN" w:bidi="ar-SA"/>
    </w:rPr>
  </w:style>
  <w:style w:type="character" w:customStyle="1" w:styleId="97">
    <w:name w:val="正文 项目2 Char"/>
    <w:basedOn w:val="98"/>
    <w:qFormat/>
    <w:uiPriority w:val="0"/>
    <w:rPr>
      <w:rFonts w:ascii="仿宋_GB2312" w:hAnsi="仿宋_GB2312" w:eastAsia="仿宋_GB2312"/>
      <w:kern w:val="2"/>
      <w:sz w:val="24"/>
      <w:lang w:bidi="ar-SA"/>
    </w:rPr>
  </w:style>
  <w:style w:type="character" w:customStyle="1" w:styleId="98">
    <w:name w:val="正文 项目 Char"/>
    <w:qFormat/>
    <w:uiPriority w:val="0"/>
    <w:rPr>
      <w:rFonts w:ascii="仿宋_GB2312" w:hAnsi="仿宋_GB2312" w:eastAsia="仿宋_GB2312"/>
      <w:kern w:val="2"/>
      <w:sz w:val="24"/>
      <w:lang w:bidi="ar-SA"/>
    </w:rPr>
  </w:style>
  <w:style w:type="character" w:customStyle="1" w:styleId="99">
    <w:name w:val="页眉 Char1"/>
    <w:qFormat/>
    <w:uiPriority w:val="0"/>
    <w:rPr>
      <w:rFonts w:eastAsia="宋体"/>
      <w:kern w:val="2"/>
      <w:sz w:val="18"/>
      <w:szCs w:val="18"/>
      <w:lang w:val="en-US" w:eastAsia="zh-CN" w:bidi="ar-SA"/>
    </w:rPr>
  </w:style>
  <w:style w:type="character" w:customStyle="1" w:styleId="100">
    <w:name w:val="副标题 Char"/>
    <w:link w:val="46"/>
    <w:qFormat/>
    <w:uiPriority w:val="0"/>
    <w:rPr>
      <w:rFonts w:ascii="Arial" w:hAnsi="Arial" w:eastAsia="隶书"/>
      <w:b/>
      <w:bCs/>
      <w:kern w:val="28"/>
      <w:sz w:val="44"/>
      <w:szCs w:val="32"/>
      <w:lang w:val="en-US" w:eastAsia="zh-CN" w:bidi="ar-SA"/>
    </w:rPr>
  </w:style>
  <w:style w:type="character" w:customStyle="1" w:styleId="101">
    <w:name w:val="正文文本缩进 Char1"/>
    <w:link w:val="24"/>
    <w:qFormat/>
    <w:uiPriority w:val="0"/>
    <w:rPr>
      <w:rFonts w:ascii="宋体" w:hAnsi="宋体"/>
      <w:kern w:val="2"/>
      <w:sz w:val="24"/>
      <w:szCs w:val="24"/>
    </w:rPr>
  </w:style>
  <w:style w:type="character" w:customStyle="1" w:styleId="102">
    <w:name w:val="big1"/>
    <w:qFormat/>
    <w:uiPriority w:val="0"/>
    <w:rPr>
      <w:rFonts w:hint="eastAsia" w:ascii="宋体" w:hAnsi="宋体" w:eastAsia="宋体"/>
      <w:color w:val="333333"/>
      <w:sz w:val="22"/>
      <w:szCs w:val="22"/>
    </w:rPr>
  </w:style>
  <w:style w:type="character" w:customStyle="1" w:styleId="103">
    <w:name w:val="h Char Char1"/>
    <w:qFormat/>
    <w:uiPriority w:val="0"/>
    <w:rPr>
      <w:rFonts w:eastAsia="宋体"/>
      <w:kern w:val="2"/>
      <w:sz w:val="18"/>
      <w:szCs w:val="18"/>
      <w:lang w:val="en-US" w:eastAsia="zh-CN" w:bidi="ar-SA"/>
    </w:rPr>
  </w:style>
  <w:style w:type="character" w:customStyle="1" w:styleId="104">
    <w:name w:val="样式8 Char"/>
    <w:qFormat/>
    <w:uiPriority w:val="0"/>
    <w:rPr>
      <w:rFonts w:ascii="仿宋_GB2312" w:hAnsi="宋体" w:eastAsia="仿宋_GB2312"/>
      <w:b/>
      <w:bCs/>
      <w:kern w:val="2"/>
      <w:sz w:val="24"/>
      <w:szCs w:val="24"/>
    </w:rPr>
  </w:style>
  <w:style w:type="character" w:customStyle="1" w:styleId="105">
    <w:name w:val="HTML 预设格式 Char"/>
    <w:link w:val="56"/>
    <w:qFormat/>
    <w:uiPriority w:val="0"/>
    <w:rPr>
      <w:rFonts w:ascii="黑体" w:hAnsi="Courier New" w:eastAsia="黑体"/>
    </w:rPr>
  </w:style>
  <w:style w:type="character" w:customStyle="1" w:styleId="106">
    <w:name w:val="页脚 Char1"/>
    <w:qFormat/>
    <w:uiPriority w:val="0"/>
    <w:rPr>
      <w:rFonts w:eastAsia="宋体"/>
      <w:kern w:val="2"/>
      <w:sz w:val="18"/>
      <w:szCs w:val="18"/>
      <w:lang w:val="en-US" w:eastAsia="zh-CN" w:bidi="ar-SA"/>
    </w:rPr>
  </w:style>
  <w:style w:type="character" w:customStyle="1" w:styleId="107">
    <w:name w:val="myp11"/>
    <w:qFormat/>
    <w:uiPriority w:val="0"/>
    <w:rPr>
      <w:rFonts w:ascii="仿宋_GB2312" w:eastAsia="微软雅黑"/>
      <w:b/>
      <w:kern w:val="2"/>
      <w:sz w:val="32"/>
      <w:szCs w:val="32"/>
      <w:lang w:val="en-US" w:eastAsia="zh-CN" w:bidi="ar-SA"/>
    </w:rPr>
  </w:style>
  <w:style w:type="character" w:customStyle="1" w:styleId="108">
    <w:name w:val="正文文本 2 Char"/>
    <w:qFormat/>
    <w:uiPriority w:val="0"/>
    <w:rPr>
      <w:rFonts w:eastAsia="宋体"/>
      <w:kern w:val="2"/>
      <w:sz w:val="21"/>
      <w:szCs w:val="24"/>
      <w:lang w:val="en-US" w:eastAsia="zh-CN" w:bidi="ar-SA"/>
    </w:rPr>
  </w:style>
  <w:style w:type="character" w:customStyle="1" w:styleId="109">
    <w:name w:val="tw4winTerm"/>
    <w:qFormat/>
    <w:uiPriority w:val="0"/>
    <w:rPr>
      <w:color w:val="0000FF"/>
    </w:rPr>
  </w:style>
  <w:style w:type="character" w:customStyle="1" w:styleId="110">
    <w:name w:val="标题 8 Char"/>
    <w:link w:val="9"/>
    <w:qFormat/>
    <w:uiPriority w:val="0"/>
    <w:rPr>
      <w:rFonts w:ascii="Arial" w:hAnsi="Arial" w:eastAsia="黑体"/>
      <w:kern w:val="2"/>
      <w:sz w:val="24"/>
      <w:szCs w:val="24"/>
    </w:rPr>
  </w:style>
  <w:style w:type="character" w:customStyle="1" w:styleId="111">
    <w:name w:val="标题 2 Char Char"/>
    <w:qFormat/>
    <w:uiPriority w:val="0"/>
    <w:rPr>
      <w:rFonts w:ascii="楷体_GB2312" w:hAnsi="Arial" w:eastAsia="楷体_GB2312"/>
      <w:b/>
      <w:bCs/>
      <w:kern w:val="2"/>
      <w:sz w:val="24"/>
      <w:szCs w:val="32"/>
      <w:lang w:val="en-US" w:eastAsia="zh-CN" w:bidi="ar-SA"/>
    </w:rPr>
  </w:style>
  <w:style w:type="character" w:customStyle="1" w:styleId="112">
    <w:name w:val="hei16b1"/>
    <w:qFormat/>
    <w:uiPriority w:val="0"/>
    <w:rPr>
      <w:rFonts w:hint="default" w:ascii="Arial" w:hAnsi="Arial" w:cs="Arial"/>
      <w:b/>
      <w:bCs/>
      <w:color w:val="000000"/>
      <w:sz w:val="24"/>
      <w:szCs w:val="24"/>
    </w:rPr>
  </w:style>
  <w:style w:type="character" w:customStyle="1" w:styleId="113">
    <w:name w:val="Heading 7 Char"/>
    <w:qFormat/>
    <w:locked/>
    <w:uiPriority w:val="0"/>
    <w:rPr>
      <w:rFonts w:ascii="宋体" w:hAnsi="宋体" w:eastAsia="宋体"/>
      <w:b/>
      <w:bCs/>
      <w:kern w:val="2"/>
      <w:sz w:val="24"/>
      <w:szCs w:val="24"/>
      <w:lang w:val="en-US" w:eastAsia="zh-CN" w:bidi="ar-SA"/>
    </w:rPr>
  </w:style>
  <w:style w:type="character" w:customStyle="1" w:styleId="114">
    <w:name w:val="Char Char6"/>
    <w:qFormat/>
    <w:uiPriority w:val="0"/>
    <w:rPr>
      <w:rFonts w:eastAsia="宋体"/>
      <w:kern w:val="2"/>
      <w:sz w:val="21"/>
      <w:szCs w:val="24"/>
      <w:lang w:val="en-US" w:eastAsia="zh-CN" w:bidi="ar-SA"/>
    </w:rPr>
  </w:style>
  <w:style w:type="character" w:customStyle="1" w:styleId="115">
    <w:name w:val="哈哈正文 Char"/>
    <w:link w:val="116"/>
    <w:qFormat/>
    <w:uiPriority w:val="0"/>
    <w:rPr>
      <w:rFonts w:ascii="宋体" w:hAnsi="宋体" w:eastAsia="宋体"/>
      <w:kern w:val="2"/>
      <w:sz w:val="24"/>
      <w:lang w:bidi="ar-SA"/>
    </w:rPr>
  </w:style>
  <w:style w:type="paragraph" w:customStyle="1" w:styleId="116">
    <w:name w:val="哈哈正文"/>
    <w:basedOn w:val="1"/>
    <w:link w:val="115"/>
    <w:qFormat/>
    <w:uiPriority w:val="0"/>
    <w:pPr>
      <w:adjustRightInd/>
      <w:spacing w:line="360" w:lineRule="auto"/>
      <w:ind w:firstLine="200" w:firstLineChars="200"/>
    </w:pPr>
    <w:rPr>
      <w:rFonts w:ascii="宋体" w:hAnsi="宋体"/>
      <w:sz w:val="24"/>
      <w:szCs w:val="20"/>
    </w:rPr>
  </w:style>
  <w:style w:type="character" w:customStyle="1" w:styleId="117">
    <w:name w:val="pt141"/>
    <w:qFormat/>
    <w:uiPriority w:val="0"/>
    <w:rPr>
      <w:color w:val="330066"/>
      <w:sz w:val="22"/>
      <w:szCs w:val="22"/>
    </w:rPr>
  </w:style>
  <w:style w:type="character" w:customStyle="1" w:styleId="118">
    <w:name w:val="普通文字 Char3"/>
    <w:qFormat/>
    <w:uiPriority w:val="0"/>
    <w:rPr>
      <w:rFonts w:ascii="宋体" w:hAnsi="Courier New" w:eastAsia="宋体"/>
      <w:kern w:val="2"/>
      <w:sz w:val="21"/>
      <w:lang w:val="en-US" w:eastAsia="zh-CN" w:bidi="ar-SA"/>
    </w:rPr>
  </w:style>
  <w:style w:type="character" w:customStyle="1" w:styleId="119">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20">
    <w:name w:val="正文文本 Char1"/>
    <w:link w:val="22"/>
    <w:semiHidden/>
    <w:qFormat/>
    <w:uiPriority w:val="0"/>
    <w:rPr>
      <w:rFonts w:ascii="宋体" w:hAnsi="Arial" w:eastAsia="宋体" w:cs="Arial"/>
      <w:snapToGrid w:val="0"/>
      <w:kern w:val="2"/>
      <w:sz w:val="24"/>
      <w:szCs w:val="21"/>
      <w:lang w:val="zh-CN" w:eastAsia="zh-CN" w:bidi="ar-SA"/>
    </w:rPr>
  </w:style>
  <w:style w:type="character" w:customStyle="1" w:styleId="121">
    <w:name w:val="正文2 Char"/>
    <w:qFormat/>
    <w:uiPriority w:val="0"/>
    <w:rPr>
      <w:rFonts w:eastAsia="宋体"/>
      <w:kern w:val="2"/>
      <w:sz w:val="24"/>
      <w:lang w:val="en-US" w:eastAsia="zh-CN" w:bidi="ar-SA"/>
    </w:rPr>
  </w:style>
  <w:style w:type="character" w:customStyle="1" w:styleId="122">
    <w:name w:val="普通文字 Char1"/>
    <w:qFormat/>
    <w:uiPriority w:val="0"/>
    <w:rPr>
      <w:rFonts w:ascii="宋体" w:hAnsi="Courier New" w:eastAsia="宋体"/>
      <w:kern w:val="2"/>
      <w:sz w:val="21"/>
      <w:lang w:val="en-US" w:eastAsia="zh-CN"/>
    </w:rPr>
  </w:style>
  <w:style w:type="character" w:customStyle="1" w:styleId="123">
    <w:name w:val="标题 9 Char"/>
    <w:link w:val="10"/>
    <w:qFormat/>
    <w:uiPriority w:val="0"/>
    <w:rPr>
      <w:rFonts w:ascii="Arial" w:hAnsi="Arial" w:eastAsia="黑体"/>
      <w:kern w:val="2"/>
      <w:sz w:val="21"/>
      <w:szCs w:val="21"/>
    </w:rPr>
  </w:style>
  <w:style w:type="character" w:customStyle="1" w:styleId="124">
    <w:name w:val="Header Char"/>
    <w:semiHidden/>
    <w:qFormat/>
    <w:locked/>
    <w:uiPriority w:val="0"/>
    <w:rPr>
      <w:rFonts w:eastAsia="宋体"/>
      <w:kern w:val="2"/>
      <w:sz w:val="18"/>
      <w:szCs w:val="18"/>
      <w:lang w:val="en-US" w:eastAsia="zh-CN" w:bidi="ar-SA"/>
    </w:rPr>
  </w:style>
  <w:style w:type="character" w:customStyle="1" w:styleId="125">
    <w:name w:val="Footer-Even Char1"/>
    <w:qFormat/>
    <w:uiPriority w:val="0"/>
    <w:rPr>
      <w:rFonts w:eastAsia="宋体"/>
      <w:kern w:val="2"/>
      <w:sz w:val="18"/>
      <w:szCs w:val="18"/>
      <w:lang w:val="en-US" w:eastAsia="zh-CN" w:bidi="ar-SA"/>
    </w:rPr>
  </w:style>
  <w:style w:type="character" w:customStyle="1" w:styleId="126">
    <w:name w:val="unnamed31"/>
    <w:qFormat/>
    <w:uiPriority w:val="0"/>
    <w:rPr>
      <w:rFonts w:ascii="Tahoma" w:hAnsi="Tahoma" w:eastAsia="宋体"/>
      <w:b/>
      <w:kern w:val="2"/>
      <w:sz w:val="24"/>
      <w:szCs w:val="32"/>
      <w:u w:val="none"/>
      <w:lang w:val="en-US" w:eastAsia="zh-CN" w:bidi="ar-SA"/>
    </w:rPr>
  </w:style>
  <w:style w:type="character" w:customStyle="1" w:styleId="127">
    <w:name w:val="纯文本 Char Char Char"/>
    <w:qFormat/>
    <w:uiPriority w:val="0"/>
    <w:rPr>
      <w:rFonts w:ascii="宋体" w:hAnsi="Courier New" w:eastAsia="宋体"/>
      <w:kern w:val="2"/>
      <w:sz w:val="21"/>
      <w:lang w:val="en-US" w:eastAsia="zh-CN" w:bidi="ar-SA"/>
    </w:rPr>
  </w:style>
  <w:style w:type="character" w:customStyle="1" w:styleId="128">
    <w:name w:val="Body Text(ch) Char Char"/>
    <w:qFormat/>
    <w:uiPriority w:val="0"/>
    <w:rPr>
      <w:rFonts w:ascii="宋体"/>
      <w:kern w:val="2"/>
      <w:sz w:val="24"/>
      <w:szCs w:val="21"/>
      <w:lang w:val="zh-CN"/>
    </w:rPr>
  </w:style>
  <w:style w:type="character" w:customStyle="1" w:styleId="129">
    <w:name w:val="插图说明 Char"/>
    <w:qFormat/>
    <w:uiPriority w:val="0"/>
    <w:rPr>
      <w:rFonts w:eastAsia="黑体"/>
      <w:sz w:val="24"/>
      <w:lang w:val="en-US" w:eastAsia="zh-CN"/>
    </w:rPr>
  </w:style>
  <w:style w:type="character" w:customStyle="1" w:styleId="130">
    <w:name w:val="tw4winExternal"/>
    <w:qFormat/>
    <w:uiPriority w:val="0"/>
    <w:rPr>
      <w:rFonts w:ascii="Courier New" w:hAnsi="Courier New" w:cs="Courier New"/>
      <w:color w:val="808080"/>
      <w:lang w:val="en-US" w:eastAsia="zh-CN"/>
    </w:rPr>
  </w:style>
  <w:style w:type="character" w:customStyle="1" w:styleId="131">
    <w:name w:val="font21"/>
    <w:qFormat/>
    <w:uiPriority w:val="0"/>
    <w:rPr>
      <w:rFonts w:hint="eastAsia" w:ascii="宋体" w:hAnsi="宋体" w:eastAsia="宋体"/>
      <w:kern w:val="2"/>
      <w:sz w:val="28"/>
      <w:szCs w:val="28"/>
      <w:lang w:val="en-US" w:eastAsia="zh-CN" w:bidi="ar-SA"/>
    </w:rPr>
  </w:style>
  <w:style w:type="character" w:customStyle="1" w:styleId="132">
    <w:name w:val="标书正文格式 Char"/>
    <w:qFormat/>
    <w:uiPriority w:val="0"/>
    <w:rPr>
      <w:rFonts w:eastAsia="楷体_GB2312"/>
      <w:kern w:val="2"/>
      <w:sz w:val="24"/>
      <w:szCs w:val="24"/>
      <w:lang w:bidi="ar-SA"/>
    </w:rPr>
  </w:style>
  <w:style w:type="character" w:customStyle="1" w:styleId="133">
    <w:name w:val="正文首行缩进 Char"/>
    <w:link w:val="23"/>
    <w:qFormat/>
    <w:uiPriority w:val="0"/>
    <w:rPr>
      <w:rFonts w:ascii="宋体"/>
      <w:kern w:val="2"/>
      <w:sz w:val="24"/>
      <w:lang w:val="zh-CN"/>
    </w:rPr>
  </w:style>
  <w:style w:type="character" w:customStyle="1" w:styleId="134">
    <w:name w:val="javascript"/>
    <w:qFormat/>
    <w:uiPriority w:val="0"/>
  </w:style>
  <w:style w:type="character" w:customStyle="1" w:styleId="135">
    <w:name w:val="Balloon Text Char"/>
    <w:semiHidden/>
    <w:qFormat/>
    <w:locked/>
    <w:uiPriority w:val="0"/>
    <w:rPr>
      <w:rFonts w:eastAsia="宋体"/>
      <w:kern w:val="2"/>
      <w:sz w:val="18"/>
      <w:szCs w:val="18"/>
      <w:lang w:val="en-US" w:eastAsia="zh-CN" w:bidi="ar-SA"/>
    </w:rPr>
  </w:style>
  <w:style w:type="character" w:customStyle="1" w:styleId="136">
    <w:name w:val="Char Char5"/>
    <w:qFormat/>
    <w:uiPriority w:val="0"/>
    <w:rPr>
      <w:rFonts w:ascii="宋体" w:hAnsi="Courier New" w:eastAsia="宋体"/>
      <w:kern w:val="2"/>
      <w:sz w:val="21"/>
      <w:lang w:val="en-US" w:eastAsia="zh-CN"/>
    </w:rPr>
  </w:style>
  <w:style w:type="character" w:customStyle="1" w:styleId="137">
    <w:name w:val="Char Char"/>
    <w:qFormat/>
    <w:uiPriority w:val="0"/>
    <w:rPr>
      <w:rFonts w:ascii="宋体" w:hAnsi="Courier New" w:eastAsia="宋体"/>
      <w:kern w:val="2"/>
      <w:sz w:val="21"/>
      <w:lang w:val="en-US" w:eastAsia="zh-CN" w:bidi="ar-SA"/>
    </w:rPr>
  </w:style>
  <w:style w:type="character" w:customStyle="1" w:styleId="138">
    <w:name w:val="mdeck"/>
    <w:qFormat/>
    <w:uiPriority w:val="0"/>
    <w:rPr>
      <w:rFonts w:ascii="仿宋_GB2312" w:eastAsia="微软雅黑"/>
      <w:b/>
      <w:kern w:val="2"/>
      <w:sz w:val="32"/>
      <w:szCs w:val="32"/>
      <w:lang w:val="en-US" w:eastAsia="zh-CN" w:bidi="ar-SA"/>
    </w:rPr>
  </w:style>
  <w:style w:type="character" w:customStyle="1" w:styleId="139">
    <w:name w:val="content"/>
    <w:qFormat/>
    <w:uiPriority w:val="0"/>
  </w:style>
  <w:style w:type="character" w:customStyle="1" w:styleId="140">
    <w:name w:val="Char Char3"/>
    <w:qFormat/>
    <w:uiPriority w:val="0"/>
    <w:rPr>
      <w:rFonts w:eastAsia="宋体"/>
      <w:kern w:val="2"/>
      <w:sz w:val="21"/>
      <w:szCs w:val="24"/>
      <w:lang w:val="en-US" w:eastAsia="zh-CN" w:bidi="ar-SA"/>
    </w:rPr>
  </w:style>
  <w:style w:type="character" w:customStyle="1" w:styleId="141">
    <w:name w:val="Char Char81"/>
    <w:qFormat/>
    <w:uiPriority w:val="6"/>
    <w:rPr>
      <w:rFonts w:eastAsia="宋体"/>
      <w:b/>
      <w:sz w:val="24"/>
      <w:lang w:val="en-GB" w:eastAsia="zh-CN"/>
    </w:rPr>
  </w:style>
  <w:style w:type="character" w:customStyle="1" w:styleId="142">
    <w:name w:val="标题 1 Char"/>
    <w:link w:val="3"/>
    <w:qFormat/>
    <w:uiPriority w:val="0"/>
    <w:rPr>
      <w:rFonts w:ascii="仿宋" w:hAnsi="仿宋" w:eastAsia="仿宋" w:cs="仿宋_GB2312"/>
      <w:b/>
      <w:color w:val="000000"/>
      <w:kern w:val="2"/>
      <w:sz w:val="36"/>
      <w:szCs w:val="36"/>
    </w:rPr>
  </w:style>
  <w:style w:type="character" w:customStyle="1" w:styleId="143">
    <w:name w:val="页眉 Char"/>
    <w:qFormat/>
    <w:uiPriority w:val="99"/>
    <w:rPr>
      <w:rFonts w:eastAsia="仿宋_GB2312"/>
      <w:kern w:val="2"/>
      <w:sz w:val="18"/>
      <w:lang w:val="en-US" w:eastAsia="zh-CN"/>
    </w:rPr>
  </w:style>
  <w:style w:type="character" w:customStyle="1" w:styleId="144">
    <w:name w:val="b11_01b Char"/>
    <w:link w:val="145"/>
    <w:qFormat/>
    <w:uiPriority w:val="0"/>
    <w:rPr>
      <w:rFonts w:ascii="Verdana" w:hAnsi="Verdana"/>
      <w:b/>
      <w:bCs/>
      <w:color w:val="4A82CA"/>
      <w:sz w:val="17"/>
      <w:szCs w:val="17"/>
    </w:rPr>
  </w:style>
  <w:style w:type="paragraph" w:customStyle="1" w:styleId="145">
    <w:name w:val="b11_01b"/>
    <w:basedOn w:val="1"/>
    <w:next w:val="1"/>
    <w:link w:val="14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46">
    <w:name w:val="标题4-dyf Char"/>
    <w:link w:val="147"/>
    <w:qFormat/>
    <w:uiPriority w:val="0"/>
    <w:rPr>
      <w:rFonts w:ascii="Cambria" w:hAnsi="Cambria"/>
      <w:b/>
      <w:bCs/>
      <w:color w:val="000000"/>
      <w:kern w:val="2"/>
      <w:sz w:val="21"/>
      <w:szCs w:val="21"/>
    </w:rPr>
  </w:style>
  <w:style w:type="paragraph" w:customStyle="1" w:styleId="147">
    <w:name w:val="标题4-dyf"/>
    <w:basedOn w:val="5"/>
    <w:link w:val="146"/>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148">
    <w:name w:val="批注主题 Char"/>
    <w:qFormat/>
    <w:uiPriority w:val="0"/>
    <w:rPr>
      <w:rFonts w:eastAsia="宋体"/>
      <w:b/>
      <w:bCs/>
      <w:kern w:val="2"/>
      <w:sz w:val="21"/>
      <w:szCs w:val="24"/>
      <w:lang w:val="en-US" w:eastAsia="zh-CN" w:bidi="ar-SA"/>
    </w:rPr>
  </w:style>
  <w:style w:type="character" w:customStyle="1" w:styleId="14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50">
    <w:name w:val="标题 3 Char2"/>
    <w:qFormat/>
    <w:uiPriority w:val="0"/>
    <w:rPr>
      <w:rFonts w:eastAsia="宋体"/>
      <w:b/>
      <w:bCs/>
      <w:kern w:val="2"/>
      <w:sz w:val="32"/>
      <w:szCs w:val="32"/>
      <w:lang w:val="en-US" w:eastAsia="zh-CN" w:bidi="ar-SA"/>
    </w:rPr>
  </w:style>
  <w:style w:type="character" w:customStyle="1" w:styleId="151">
    <w:name w:val="gray6"/>
    <w:basedOn w:val="63"/>
    <w:qFormat/>
    <w:uiPriority w:val="0"/>
    <w:rPr>
      <w:rFonts w:ascii="Arial" w:hAnsi="Arial" w:eastAsia="黑体" w:cs="Arial"/>
      <w:snapToGrid w:val="0"/>
      <w:kern w:val="0"/>
      <w:szCs w:val="21"/>
    </w:rPr>
  </w:style>
  <w:style w:type="character" w:customStyle="1" w:styleId="152">
    <w:name w:val="正文首行缩进两字 Char"/>
    <w:qFormat/>
    <w:uiPriority w:val="0"/>
    <w:rPr>
      <w:sz w:val="24"/>
      <w:szCs w:val="24"/>
      <w:lang w:val="en-US" w:eastAsia="zh-CN" w:bidi="ar-SA"/>
    </w:rPr>
  </w:style>
  <w:style w:type="character" w:customStyle="1" w:styleId="153">
    <w:name w:val="Char Char51"/>
    <w:qFormat/>
    <w:uiPriority w:val="0"/>
    <w:rPr>
      <w:rFonts w:ascii="宋体" w:hAnsi="Courier New" w:eastAsia="宋体"/>
      <w:kern w:val="2"/>
      <w:sz w:val="21"/>
      <w:lang w:val="en-US" w:eastAsia="zh-CN"/>
    </w:rPr>
  </w:style>
  <w:style w:type="character" w:customStyle="1" w:styleId="154">
    <w:name w:val="带编号样式 Char"/>
    <w:qFormat/>
    <w:uiPriority w:val="0"/>
    <w:rPr>
      <w:rFonts w:ascii="仿宋_GB2312" w:eastAsia="仿宋_GB2312"/>
      <w:color w:val="000000"/>
      <w:sz w:val="24"/>
      <w:lang w:bidi="ar-SA"/>
    </w:rPr>
  </w:style>
  <w:style w:type="character" w:customStyle="1" w:styleId="155">
    <w:name w:val="Footer-Even Char"/>
    <w:qFormat/>
    <w:uiPriority w:val="0"/>
    <w:rPr>
      <w:rFonts w:eastAsia="宋体"/>
      <w:kern w:val="2"/>
      <w:sz w:val="18"/>
      <w:lang w:val="en-US" w:eastAsia="zh-CN" w:bidi="ar-SA"/>
    </w:rPr>
  </w:style>
  <w:style w:type="character" w:customStyle="1" w:styleId="156">
    <w:name w:val="样式4 Char"/>
    <w:qFormat/>
    <w:uiPriority w:val="0"/>
    <w:rPr>
      <w:rFonts w:ascii="仿宋_GB2312" w:hAnsi="仿宋" w:eastAsia="仿宋_GB2312"/>
      <w:b/>
      <w:kern w:val="2"/>
      <w:sz w:val="32"/>
      <w:szCs w:val="32"/>
      <w:lang w:bidi="ar-SA"/>
    </w:rPr>
  </w:style>
  <w:style w:type="character" w:customStyle="1" w:styleId="157">
    <w:name w:val="样式 标题 4h4H4Fab-4T5Ref Heading 1rh1Heading sqlsect 1.2.3.... Char"/>
    <w:link w:val="158"/>
    <w:qFormat/>
    <w:uiPriority w:val="0"/>
    <w:rPr>
      <w:rFonts w:ascii="微软雅黑" w:hAnsi="微软雅黑" w:eastAsia="微软雅黑"/>
      <w:b/>
      <w:bCs/>
      <w:kern w:val="2"/>
      <w:sz w:val="24"/>
      <w:szCs w:val="28"/>
    </w:rPr>
  </w:style>
  <w:style w:type="paragraph" w:customStyle="1" w:styleId="158">
    <w:name w:val="样式 标题 4h4H4Fab-4T5Ref Heading 1rh1Heading sqlsect 1.2.3...."/>
    <w:basedOn w:val="5"/>
    <w:link w:val="157"/>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159">
    <w:name w:val="dandyren_title1"/>
    <w:qFormat/>
    <w:uiPriority w:val="0"/>
    <w:rPr>
      <w:b/>
      <w:bCs/>
      <w:color w:val="FF6633"/>
      <w:sz w:val="18"/>
      <w:szCs w:val="18"/>
    </w:rPr>
  </w:style>
  <w:style w:type="character" w:customStyle="1" w:styleId="160">
    <w:name w:val="普通文字 Char Char1"/>
    <w:qFormat/>
    <w:uiPriority w:val="0"/>
    <w:rPr>
      <w:rFonts w:ascii="宋体" w:hAnsi="Courier New"/>
      <w:kern w:val="2"/>
      <w:sz w:val="21"/>
    </w:rPr>
  </w:style>
  <w:style w:type="character" w:customStyle="1" w:styleId="161">
    <w:name w:val="PI Char"/>
    <w:qFormat/>
    <w:uiPriority w:val="0"/>
    <w:rPr>
      <w:rFonts w:ascii="宋体" w:hAnsi="宋体" w:eastAsia="宋体"/>
      <w:kern w:val="2"/>
      <w:sz w:val="24"/>
      <w:szCs w:val="24"/>
      <w:lang w:val="en-US" w:eastAsia="zh-CN" w:bidi="ar-SA"/>
    </w:rPr>
  </w:style>
  <w:style w:type="character" w:customStyle="1" w:styleId="162">
    <w:name w:val="Char Char11"/>
    <w:qFormat/>
    <w:locked/>
    <w:uiPriority w:val="0"/>
    <w:rPr>
      <w:rFonts w:ascii="宋体" w:hAnsi="宋体" w:eastAsia="宋体"/>
      <w:b/>
      <w:kern w:val="2"/>
      <w:sz w:val="24"/>
      <w:szCs w:val="24"/>
      <w:lang w:val="en-US" w:eastAsia="zh-CN" w:bidi="ar-SA"/>
    </w:rPr>
  </w:style>
  <w:style w:type="character" w:customStyle="1" w:styleId="16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64">
    <w:name w:val="Document Map Char"/>
    <w:semiHidden/>
    <w:qFormat/>
    <w:locked/>
    <w:uiPriority w:val="0"/>
    <w:rPr>
      <w:rFonts w:eastAsia="宋体"/>
      <w:kern w:val="2"/>
      <w:sz w:val="21"/>
      <w:szCs w:val="24"/>
      <w:lang w:val="en-US" w:eastAsia="zh-CN" w:bidi="ar-SA"/>
    </w:rPr>
  </w:style>
  <w:style w:type="character" w:customStyle="1" w:styleId="165">
    <w:name w:val="正文文本缩进 Char"/>
    <w:qFormat/>
    <w:uiPriority w:val="99"/>
    <w:rPr>
      <w:rFonts w:ascii="宋体" w:hAnsi="宋体"/>
      <w:kern w:val="2"/>
      <w:sz w:val="24"/>
      <w:szCs w:val="24"/>
    </w:rPr>
  </w:style>
  <w:style w:type="character" w:customStyle="1" w:styleId="166">
    <w:name w:val="文本正文 Char Char"/>
    <w:qFormat/>
    <w:locked/>
    <w:uiPriority w:val="0"/>
    <w:rPr>
      <w:sz w:val="24"/>
      <w:lang w:bidi="ar-SA"/>
    </w:rPr>
  </w:style>
  <w:style w:type="character" w:customStyle="1" w:styleId="167">
    <w:name w:val="样式7 Char"/>
    <w:qFormat/>
    <w:uiPriority w:val="0"/>
    <w:rPr>
      <w:rFonts w:ascii="仿宋_GB2312" w:hAnsi="仿宋" w:eastAsia="仿宋_GB2312"/>
      <w:b/>
      <w:kern w:val="2"/>
      <w:sz w:val="24"/>
      <w:szCs w:val="24"/>
    </w:rPr>
  </w:style>
  <w:style w:type="character" w:customStyle="1" w:styleId="168">
    <w:name w:val="样式3 Char"/>
    <w:basedOn w:val="169"/>
    <w:qFormat/>
    <w:uiPriority w:val="0"/>
    <w:rPr>
      <w:rFonts w:ascii="仿宋_GB2312" w:hAnsi="仿宋" w:eastAsia="仿宋_GB2312" w:cs="仿宋_GB2312"/>
      <w:sz w:val="32"/>
      <w:szCs w:val="30"/>
      <w:lang w:val="zh-CN"/>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二级标题 Char Char"/>
    <w:qFormat/>
    <w:uiPriority w:val="0"/>
    <w:rPr>
      <w:rFonts w:ascii="宋体" w:hAnsi="宋体" w:eastAsia="宋体"/>
      <w:b/>
      <w:snapToGrid w:val="0"/>
      <w:kern w:val="2"/>
      <w:sz w:val="24"/>
      <w:szCs w:val="24"/>
      <w:lang w:val="en-US" w:eastAsia="zh-CN" w:bidi="ar-SA"/>
    </w:rPr>
  </w:style>
  <w:style w:type="character" w:customStyle="1" w:styleId="171">
    <w:name w:val="Table Text Char1"/>
    <w:qFormat/>
    <w:uiPriority w:val="0"/>
    <w:rPr>
      <w:rFonts w:eastAsia="宋体"/>
      <w:sz w:val="24"/>
      <w:szCs w:val="24"/>
      <w:lang w:val="en-US" w:eastAsia="zh-CN" w:bidi="ar-SA"/>
    </w:rPr>
  </w:style>
  <w:style w:type="character" w:customStyle="1" w:styleId="172">
    <w:name w:val="shadow11"/>
    <w:qFormat/>
    <w:uiPriority w:val="0"/>
    <w:rPr>
      <w:color w:val="000000"/>
      <w:sz w:val="21"/>
    </w:rPr>
  </w:style>
  <w:style w:type="character" w:customStyle="1" w:styleId="173">
    <w:name w:val="HTML 地址 Char"/>
    <w:link w:val="30"/>
    <w:qFormat/>
    <w:uiPriority w:val="0"/>
    <w:rPr>
      <w:rFonts w:ascii="宋体" w:hAnsi="宋体"/>
      <w:i/>
      <w:iCs/>
      <w:sz w:val="24"/>
      <w:szCs w:val="24"/>
    </w:rPr>
  </w:style>
  <w:style w:type="character" w:customStyle="1" w:styleId="174">
    <w:name w:val="Char Char21"/>
    <w:qFormat/>
    <w:uiPriority w:val="0"/>
    <w:rPr>
      <w:rFonts w:eastAsia="宋体"/>
      <w:b/>
      <w:bCs/>
      <w:kern w:val="2"/>
      <w:sz w:val="21"/>
      <w:szCs w:val="24"/>
      <w:lang w:val="en-US" w:eastAsia="zh-CN" w:bidi="ar-SA"/>
    </w:rPr>
  </w:style>
  <w:style w:type="character" w:customStyle="1" w:styleId="175">
    <w:name w:val="标题 5 Char"/>
    <w:link w:val="6"/>
    <w:qFormat/>
    <w:uiPriority w:val="0"/>
    <w:rPr>
      <w:b/>
      <w:bCs/>
      <w:kern w:val="2"/>
      <w:sz w:val="28"/>
      <w:szCs w:val="28"/>
    </w:rPr>
  </w:style>
  <w:style w:type="character" w:customStyle="1" w:styleId="176">
    <w:name w:val="h3 Char1"/>
    <w:qFormat/>
    <w:uiPriority w:val="0"/>
    <w:rPr>
      <w:rFonts w:eastAsia="宋体"/>
      <w:b/>
      <w:bCs/>
      <w:kern w:val="2"/>
      <w:sz w:val="32"/>
      <w:szCs w:val="32"/>
      <w:lang w:bidi="ar-SA"/>
    </w:rPr>
  </w:style>
  <w:style w:type="character" w:customStyle="1" w:styleId="177">
    <w:name w:val="FA正文 Char Char"/>
    <w:qFormat/>
    <w:uiPriority w:val="0"/>
    <w:rPr>
      <w:rFonts w:hAnsi="宋体"/>
      <w:kern w:val="2"/>
      <w:sz w:val="24"/>
      <w:lang w:bidi="ar-SA"/>
    </w:rPr>
  </w:style>
  <w:style w:type="character" w:customStyle="1" w:styleId="178">
    <w:name w:val="首行缩进 Char"/>
    <w:qFormat/>
    <w:uiPriority w:val="0"/>
    <w:rPr>
      <w:rFonts w:ascii="宋体" w:eastAsia="宋体"/>
      <w:kern w:val="2"/>
      <w:sz w:val="24"/>
      <w:lang w:val="en-US" w:eastAsia="zh-CN" w:bidi="ar-SA"/>
    </w:rPr>
  </w:style>
  <w:style w:type="character" w:customStyle="1" w:styleId="179">
    <w:name w:val="Char Char7"/>
    <w:semiHidden/>
    <w:qFormat/>
    <w:uiPriority w:val="0"/>
    <w:rPr>
      <w:rFonts w:eastAsia="宋体"/>
      <w:kern w:val="2"/>
      <w:sz w:val="21"/>
      <w:szCs w:val="24"/>
      <w:lang w:val="en-US" w:eastAsia="zh-CN" w:bidi="ar-SA"/>
    </w:rPr>
  </w:style>
  <w:style w:type="character" w:customStyle="1" w:styleId="180">
    <w:name w:val="hui"/>
    <w:basedOn w:val="63"/>
    <w:qFormat/>
    <w:uiPriority w:val="0"/>
    <w:rPr>
      <w:rFonts w:ascii="Arial" w:hAnsi="Arial" w:eastAsia="黑体" w:cs="Arial"/>
      <w:snapToGrid w:val="0"/>
      <w:kern w:val="0"/>
      <w:szCs w:val="21"/>
    </w:rPr>
  </w:style>
  <w:style w:type="character" w:customStyle="1" w:styleId="181">
    <w:name w:val="正文缩进 Char"/>
    <w:qFormat/>
    <w:uiPriority w:val="0"/>
    <w:rPr>
      <w:rFonts w:eastAsia="宋体"/>
      <w:kern w:val="2"/>
      <w:sz w:val="21"/>
      <w:lang w:val="en-US" w:eastAsia="zh-CN"/>
    </w:rPr>
  </w:style>
  <w:style w:type="character" w:customStyle="1" w:styleId="182">
    <w:name w:val="正文1 Char"/>
    <w:qFormat/>
    <w:uiPriority w:val="0"/>
    <w:rPr>
      <w:rFonts w:ascii="宋体" w:eastAsia="宋体"/>
      <w:snapToGrid w:val="0"/>
      <w:color w:val="000000"/>
      <w:kern w:val="28"/>
      <w:sz w:val="28"/>
      <w:lang w:val="en-US" w:eastAsia="zh-CN" w:bidi="ar-SA"/>
    </w:rPr>
  </w:style>
  <w:style w:type="character" w:customStyle="1" w:styleId="183">
    <w:name w:val="Char Char61"/>
    <w:qFormat/>
    <w:uiPriority w:val="0"/>
    <w:rPr>
      <w:rFonts w:eastAsia="宋体"/>
      <w:kern w:val="2"/>
      <w:sz w:val="21"/>
      <w:szCs w:val="24"/>
      <w:lang w:val="en-US" w:eastAsia="zh-CN" w:bidi="ar-SA"/>
    </w:rPr>
  </w:style>
  <w:style w:type="character" w:customStyle="1" w:styleId="184">
    <w:name w:val="正文文本 3 Char"/>
    <w:link w:val="21"/>
    <w:qFormat/>
    <w:uiPriority w:val="0"/>
    <w:rPr>
      <w:kern w:val="2"/>
      <w:sz w:val="21"/>
    </w:rPr>
  </w:style>
  <w:style w:type="character" w:customStyle="1" w:styleId="185">
    <w:name w:val="message1"/>
    <w:qFormat/>
    <w:uiPriority w:val="0"/>
    <w:rPr>
      <w:rFonts w:hint="default" w:ascii="Tahoma" w:hAnsi="Tahoma" w:cs="Tahoma"/>
      <w:sz w:val="18"/>
      <w:szCs w:val="18"/>
    </w:rPr>
  </w:style>
  <w:style w:type="character" w:customStyle="1" w:styleId="186">
    <w:name w:val="Heading 2 Hidden Char"/>
    <w:qFormat/>
    <w:uiPriority w:val="0"/>
    <w:rPr>
      <w:rFonts w:ascii="仿宋_GB2312" w:eastAsia="仿宋_GB2312"/>
      <w:b/>
      <w:bCs/>
      <w:kern w:val="2"/>
      <w:sz w:val="24"/>
      <w:szCs w:val="24"/>
      <w:lang w:val="zh-CN" w:eastAsia="zh-CN" w:bidi="ar-SA"/>
    </w:rPr>
  </w:style>
  <w:style w:type="character" w:customStyle="1" w:styleId="187">
    <w:name w:val="DO_NOT_TRANSLATE"/>
    <w:qFormat/>
    <w:uiPriority w:val="0"/>
    <w:rPr>
      <w:rFonts w:ascii="Courier New" w:hAnsi="Courier New" w:cs="Courier New"/>
      <w:color w:val="800000"/>
      <w:lang w:val="en-US" w:eastAsia="zh-CN"/>
    </w:rPr>
  </w:style>
  <w:style w:type="character" w:customStyle="1" w:styleId="188">
    <w:name w:val="unnamed11"/>
    <w:qFormat/>
    <w:uiPriority w:val="0"/>
    <w:rPr>
      <w:sz w:val="20"/>
      <w:szCs w:val="20"/>
    </w:rPr>
  </w:style>
  <w:style w:type="character" w:customStyle="1" w:styleId="189">
    <w:name w:val="tw4winInternal"/>
    <w:qFormat/>
    <w:uiPriority w:val="0"/>
    <w:rPr>
      <w:rFonts w:ascii="Courier New" w:hAnsi="Courier New" w:cs="Courier New"/>
      <w:color w:val="FF0000"/>
      <w:lang w:val="en-US" w:eastAsia="zh-CN"/>
    </w:rPr>
  </w:style>
  <w:style w:type="character" w:customStyle="1" w:styleId="190">
    <w:name w:val="正文（缩进2汉字） Char"/>
    <w:link w:val="191"/>
    <w:qFormat/>
    <w:uiPriority w:val="0"/>
    <w:rPr>
      <w:rFonts w:ascii="宋体"/>
    </w:rPr>
  </w:style>
  <w:style w:type="paragraph" w:customStyle="1" w:styleId="191">
    <w:name w:val="正文（缩进2汉字）"/>
    <w:basedOn w:val="1"/>
    <w:link w:val="19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192">
    <w:name w:val="页脚 Char"/>
    <w:qFormat/>
    <w:uiPriority w:val="99"/>
    <w:rPr>
      <w:rFonts w:eastAsia="仿宋_GB2312"/>
      <w:kern w:val="2"/>
      <w:sz w:val="18"/>
      <w:lang w:val="en-US" w:eastAsia="zh-CN"/>
    </w:rPr>
  </w:style>
  <w:style w:type="character" w:customStyle="1" w:styleId="193">
    <w:name w:val="正文文本缩进 3 Char"/>
    <w:link w:val="52"/>
    <w:qFormat/>
    <w:uiPriority w:val="0"/>
    <w:rPr>
      <w:kern w:val="2"/>
      <w:sz w:val="24"/>
    </w:rPr>
  </w:style>
  <w:style w:type="character" w:customStyle="1" w:styleId="194">
    <w:name w:val="正文缩进 Char1"/>
    <w:qFormat/>
    <w:uiPriority w:val="0"/>
    <w:rPr>
      <w:rFonts w:ascii="宋体" w:eastAsia="宋体"/>
      <w:snapToGrid w:val="0"/>
      <w:color w:val="000000"/>
      <w:kern w:val="28"/>
      <w:sz w:val="28"/>
      <w:lang w:val="en-US" w:eastAsia="zh-CN" w:bidi="ar-SA"/>
    </w:rPr>
  </w:style>
  <w:style w:type="character" w:customStyle="1" w:styleId="195">
    <w:name w:val="正文文本 Char"/>
    <w:qFormat/>
    <w:uiPriority w:val="0"/>
    <w:rPr>
      <w:rFonts w:eastAsia="宋体"/>
      <w:kern w:val="2"/>
      <w:sz w:val="24"/>
      <w:szCs w:val="24"/>
      <w:lang w:val="en-US" w:eastAsia="zh-CN" w:bidi="ar-SA"/>
    </w:rPr>
  </w:style>
  <w:style w:type="character" w:customStyle="1" w:styleId="196">
    <w:name w:val="style36"/>
    <w:basedOn w:val="63"/>
    <w:qFormat/>
    <w:uiPriority w:val="0"/>
    <w:rPr>
      <w:rFonts w:ascii="Arial" w:hAnsi="Arial" w:eastAsia="黑体" w:cs="Arial"/>
      <w:snapToGrid w:val="0"/>
      <w:kern w:val="0"/>
      <w:szCs w:val="21"/>
    </w:rPr>
  </w:style>
  <w:style w:type="character" w:customStyle="1" w:styleId="197">
    <w:name w:val="hui3"/>
    <w:qFormat/>
    <w:uiPriority w:val="0"/>
    <w:rPr>
      <w:color w:val="333333"/>
    </w:rPr>
  </w:style>
  <w:style w:type="character" w:customStyle="1" w:styleId="198">
    <w:name w:val="方案正文 Char"/>
    <w:qFormat/>
    <w:uiPriority w:val="0"/>
    <w:rPr>
      <w:rFonts w:ascii="仿宋_GB2312" w:eastAsia="仿宋_GB2312"/>
      <w:b/>
      <w:color w:val="000000"/>
      <w:kern w:val="2"/>
      <w:sz w:val="24"/>
      <w:lang w:val="en-US" w:eastAsia="zh-CN" w:bidi="ar-SA"/>
    </w:rPr>
  </w:style>
  <w:style w:type="character" w:customStyle="1" w:styleId="199">
    <w:name w:val="apple-converted-space"/>
    <w:qFormat/>
    <w:uiPriority w:val="0"/>
  </w:style>
  <w:style w:type="character" w:customStyle="1" w:styleId="200">
    <w:name w:val="文档结构图 Char"/>
    <w:qFormat/>
    <w:uiPriority w:val="0"/>
    <w:rPr>
      <w:rFonts w:eastAsia="宋体"/>
      <w:kern w:val="2"/>
      <w:sz w:val="21"/>
      <w:szCs w:val="24"/>
      <w:lang w:val="en-US" w:eastAsia="zh-CN" w:bidi="ar-SA"/>
    </w:rPr>
  </w:style>
  <w:style w:type="character" w:customStyle="1" w:styleId="201">
    <w:name w:val="正文非缩进 Char3"/>
    <w:qFormat/>
    <w:uiPriority w:val="0"/>
    <w:rPr>
      <w:rFonts w:ascii="宋体" w:eastAsia="宋体"/>
      <w:snapToGrid w:val="0"/>
      <w:color w:val="000000"/>
      <w:kern w:val="28"/>
      <w:sz w:val="28"/>
      <w:lang w:val="en-US" w:eastAsia="zh-CN" w:bidi="ar-SA"/>
    </w:rPr>
  </w:style>
  <w:style w:type="character" w:customStyle="1" w:styleId="202">
    <w:name w:val="dectext1"/>
    <w:qFormat/>
    <w:uiPriority w:val="0"/>
    <w:rPr>
      <w:rFonts w:ascii="宋体" w:hAnsi="宋体" w:eastAsia="宋体"/>
      <w:color w:val="333333"/>
      <w:sz w:val="21"/>
      <w:szCs w:val="21"/>
      <w:u w:val="none"/>
    </w:rPr>
  </w:style>
  <w:style w:type="character" w:customStyle="1" w:styleId="203">
    <w:name w:val="t21"/>
    <w:qFormat/>
    <w:uiPriority w:val="0"/>
    <w:rPr>
      <w:rFonts w:ascii="仿宋_GB2312" w:eastAsia="微软雅黑"/>
      <w:b/>
      <w:kern w:val="2"/>
      <w:sz w:val="23"/>
      <w:szCs w:val="23"/>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px14"/>
    <w:qFormat/>
    <w:uiPriority w:val="0"/>
    <w:rPr>
      <w:rFonts w:ascii="仿宋_GB2312" w:eastAsia="微软雅黑" w:cs="Times New Roman"/>
      <w:b/>
      <w:kern w:val="2"/>
      <w:sz w:val="32"/>
      <w:szCs w:val="32"/>
      <w:lang w:val="en-US" w:eastAsia="zh-CN" w:bidi="ar-SA"/>
    </w:rPr>
  </w:style>
  <w:style w:type="character" w:customStyle="1" w:styleId="206">
    <w:name w:val="标题 7 Char"/>
    <w:link w:val="8"/>
    <w:qFormat/>
    <w:uiPriority w:val="0"/>
    <w:rPr>
      <w:b/>
      <w:bCs/>
      <w:kern w:val="2"/>
      <w:sz w:val="24"/>
      <w:szCs w:val="24"/>
    </w:rPr>
  </w:style>
  <w:style w:type="character" w:customStyle="1" w:styleId="207">
    <w:name w:val="Normal Indent Char Char"/>
    <w:qFormat/>
    <w:uiPriority w:val="0"/>
    <w:rPr>
      <w:rFonts w:eastAsia="宋体"/>
      <w:kern w:val="2"/>
      <w:sz w:val="21"/>
      <w:lang w:val="en-US" w:eastAsia="zh-CN" w:bidi="ar-SA"/>
    </w:rPr>
  </w:style>
  <w:style w:type="character" w:customStyle="1" w:styleId="208">
    <w:name w:val="f141"/>
    <w:qFormat/>
    <w:uiPriority w:val="0"/>
    <w:rPr>
      <w:rFonts w:ascii="Tahoma" w:hAnsi="Tahoma" w:eastAsia="宋体"/>
      <w:b/>
      <w:kern w:val="2"/>
      <w:sz w:val="21"/>
      <w:szCs w:val="21"/>
      <w:lang w:val="en-US" w:eastAsia="zh-CN" w:bidi="ar-SA"/>
    </w:rPr>
  </w:style>
  <w:style w:type="character" w:customStyle="1" w:styleId="209">
    <w:name w:val="日期 Char"/>
    <w:link w:val="36"/>
    <w:qFormat/>
    <w:uiPriority w:val="0"/>
    <w:rPr>
      <w:rFonts w:ascii="宋体"/>
      <w:kern w:val="2"/>
      <w:sz w:val="24"/>
      <w:szCs w:val="21"/>
      <w:lang w:val="zh-CN"/>
    </w:rPr>
  </w:style>
  <w:style w:type="character" w:customStyle="1" w:styleId="210">
    <w:name w:val="myp1111"/>
    <w:qFormat/>
    <w:uiPriority w:val="0"/>
    <w:rPr>
      <w:rFonts w:hint="default" w:ascii="ˎ̥" w:hAnsi="ˎ̥"/>
      <w:color w:val="000000"/>
      <w:sz w:val="20"/>
      <w:szCs w:val="20"/>
      <w:u w:val="none"/>
    </w:rPr>
  </w:style>
  <w:style w:type="character" w:customStyle="1" w:styleId="211">
    <w:name w:val="称呼 Char"/>
    <w:link w:val="20"/>
    <w:qFormat/>
    <w:uiPriority w:val="0"/>
    <w:rPr>
      <w:rFonts w:ascii="仿宋_GB2312" w:eastAsia="仿宋_GB2312"/>
      <w:kern w:val="2"/>
      <w:sz w:val="28"/>
    </w:rPr>
  </w:style>
  <w:style w:type="character" w:customStyle="1" w:styleId="212">
    <w:name w:val="标题 4 Char"/>
    <w:link w:val="5"/>
    <w:qFormat/>
    <w:uiPriority w:val="0"/>
    <w:rPr>
      <w:rFonts w:ascii="Arial" w:hAnsi="Arial" w:eastAsia="黑体"/>
      <w:b/>
      <w:bCs/>
      <w:kern w:val="2"/>
      <w:sz w:val="28"/>
      <w:szCs w:val="28"/>
      <w:lang w:val="zh-CN"/>
    </w:rPr>
  </w:style>
  <w:style w:type="character" w:customStyle="1" w:styleId="213">
    <w:name w:val="标书1 Char"/>
    <w:qFormat/>
    <w:uiPriority w:val="0"/>
    <w:rPr>
      <w:rFonts w:eastAsia="宋体"/>
      <w:b/>
      <w:bCs/>
      <w:kern w:val="44"/>
      <w:sz w:val="44"/>
      <w:szCs w:val="44"/>
      <w:lang w:val="en-US" w:eastAsia="zh-CN" w:bidi="ar-SA"/>
    </w:rPr>
  </w:style>
  <w:style w:type="character" w:customStyle="1" w:styleId="214">
    <w:name w:val="链接"/>
    <w:qFormat/>
    <w:uiPriority w:val="0"/>
    <w:rPr>
      <w:color w:val="0000FF"/>
      <w:sz w:val="21"/>
      <w:szCs w:val="21"/>
      <w:u w:val="single"/>
    </w:rPr>
  </w:style>
  <w:style w:type="character" w:customStyle="1" w:styleId="215">
    <w:name w:val="正文首行缩进 Char Char Char Char Char Char"/>
    <w:qFormat/>
    <w:uiPriority w:val="0"/>
    <w:rPr>
      <w:rFonts w:ascii="宋体" w:eastAsia="宋体"/>
      <w:kern w:val="2"/>
      <w:sz w:val="24"/>
      <w:lang w:val="zh-CN" w:bidi="ar-SA"/>
    </w:rPr>
  </w:style>
  <w:style w:type="character" w:customStyle="1" w:styleId="216">
    <w:name w:val="正文2 Char Char"/>
    <w:link w:val="217"/>
    <w:qFormat/>
    <w:uiPriority w:val="0"/>
    <w:rPr>
      <w:rFonts w:eastAsia="宋体"/>
      <w:kern w:val="2"/>
      <w:sz w:val="24"/>
      <w:lang w:val="en-US" w:eastAsia="zh-CN" w:bidi="ar-SA"/>
    </w:rPr>
  </w:style>
  <w:style w:type="paragraph" w:customStyle="1" w:styleId="217">
    <w:name w:val="正文2"/>
    <w:basedOn w:val="1"/>
    <w:link w:val="216"/>
    <w:qFormat/>
    <w:uiPriority w:val="0"/>
    <w:pPr>
      <w:spacing w:before="156" w:line="360" w:lineRule="auto"/>
      <w:ind w:firstLine="510" w:firstLineChars="200"/>
    </w:pPr>
    <w:rPr>
      <w:sz w:val="24"/>
      <w:szCs w:val="20"/>
    </w:rPr>
  </w:style>
  <w:style w:type="character" w:customStyle="1" w:styleId="218">
    <w:name w:val="tw4winError"/>
    <w:qFormat/>
    <w:uiPriority w:val="0"/>
    <w:rPr>
      <w:rFonts w:ascii="Courier New" w:hAnsi="Courier New" w:cs="Courier New"/>
      <w:color w:val="00FF00"/>
      <w:sz w:val="40"/>
      <w:szCs w:val="40"/>
    </w:rPr>
  </w:style>
  <w:style w:type="character" w:customStyle="1" w:styleId="219">
    <w:name w:val="正文1 Char1"/>
    <w:qFormat/>
    <w:uiPriority w:val="0"/>
    <w:rPr>
      <w:rFonts w:ascii="仿宋_GB2312" w:hAnsi="Courier New" w:eastAsia="仿宋_GB2312"/>
      <w:kern w:val="28"/>
      <w:sz w:val="24"/>
      <w:szCs w:val="24"/>
      <w:lang w:val="en-US" w:eastAsia="zh-CN"/>
    </w:rPr>
  </w:style>
  <w:style w:type="character" w:customStyle="1" w:styleId="220">
    <w:name w:val="Used by Word for text of Help footnotes Char Char"/>
    <w:semiHidden/>
    <w:qFormat/>
    <w:uiPriority w:val="0"/>
    <w:rPr>
      <w:rFonts w:ascii="Times New Roman" w:hAnsi="Times New Roman" w:eastAsia="宋体" w:cs="Times New Roman"/>
      <w:sz w:val="20"/>
      <w:szCs w:val="20"/>
    </w:rPr>
  </w:style>
  <w:style w:type="character" w:customStyle="1" w:styleId="221">
    <w:name w:val="c7 style3"/>
    <w:qFormat/>
    <w:uiPriority w:val="0"/>
  </w:style>
  <w:style w:type="character" w:customStyle="1" w:styleId="222">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223">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224">
    <w:name w:val="表正文 Char"/>
    <w:qFormat/>
    <w:uiPriority w:val="0"/>
    <w:rPr>
      <w:rFonts w:ascii="宋体" w:eastAsia="宋体"/>
      <w:snapToGrid w:val="0"/>
      <w:color w:val="000000"/>
      <w:kern w:val="28"/>
      <w:sz w:val="28"/>
      <w:lang w:val="en-US" w:eastAsia="zh-CN" w:bidi="ar-SA"/>
    </w:rPr>
  </w:style>
  <w:style w:type="character" w:customStyle="1" w:styleId="225">
    <w:name w:val="普通文字 Char1 Char"/>
    <w:qFormat/>
    <w:uiPriority w:val="0"/>
    <w:rPr>
      <w:rFonts w:ascii="宋体" w:hAnsi="Courier New" w:eastAsia="宋体"/>
      <w:kern w:val="2"/>
      <w:sz w:val="21"/>
      <w:szCs w:val="24"/>
      <w:lang w:val="en-US" w:eastAsia="zh-CN" w:bidi="ar-SA"/>
    </w:rPr>
  </w:style>
  <w:style w:type="character" w:customStyle="1" w:styleId="226">
    <w:name w:val="pt9"/>
    <w:qFormat/>
    <w:uiPriority w:val="0"/>
    <w:rPr>
      <w:rFonts w:ascii="仿宋_GB2312" w:eastAsia="微软雅黑"/>
      <w:b/>
      <w:kern w:val="2"/>
      <w:sz w:val="32"/>
      <w:szCs w:val="32"/>
      <w:lang w:val="en-US" w:eastAsia="zh-CN" w:bidi="ar-SA"/>
    </w:rPr>
  </w:style>
  <w:style w:type="character" w:customStyle="1" w:styleId="227">
    <w:name w:val="表正文 Char1"/>
    <w:qFormat/>
    <w:uiPriority w:val="0"/>
    <w:rPr>
      <w:rFonts w:ascii="宋体" w:eastAsia="宋体"/>
      <w:snapToGrid w:val="0"/>
      <w:color w:val="000000"/>
      <w:kern w:val="28"/>
      <w:sz w:val="28"/>
    </w:rPr>
  </w:style>
  <w:style w:type="character" w:customStyle="1" w:styleId="228">
    <w:name w:val="正文非缩进 Char"/>
    <w:qFormat/>
    <w:uiPriority w:val="0"/>
    <w:rPr>
      <w:rFonts w:ascii="宋体" w:eastAsia="宋体"/>
      <w:snapToGrid w:val="0"/>
      <w:color w:val="000000"/>
      <w:kern w:val="28"/>
      <w:sz w:val="28"/>
      <w:lang w:val="en-US" w:eastAsia="zh-CN" w:bidi="ar-SA"/>
    </w:rPr>
  </w:style>
  <w:style w:type="character" w:customStyle="1" w:styleId="229">
    <w:name w:val="冯广丽 Char"/>
    <w:link w:val="230"/>
    <w:qFormat/>
    <w:uiPriority w:val="0"/>
    <w:rPr>
      <w:rFonts w:ascii="宋体" w:hAnsi="宋体"/>
      <w:kern w:val="2"/>
      <w:sz w:val="24"/>
      <w:szCs w:val="22"/>
    </w:rPr>
  </w:style>
  <w:style w:type="paragraph" w:customStyle="1" w:styleId="230">
    <w:name w:val="冯广丽"/>
    <w:basedOn w:val="1"/>
    <w:link w:val="229"/>
    <w:qFormat/>
    <w:uiPriority w:val="0"/>
    <w:pPr>
      <w:adjustRightInd/>
      <w:spacing w:line="360" w:lineRule="auto"/>
      <w:ind w:firstLine="480" w:firstLineChars="200"/>
    </w:pPr>
    <w:rPr>
      <w:rFonts w:ascii="宋体" w:hAnsi="宋体"/>
      <w:sz w:val="24"/>
      <w:szCs w:val="22"/>
    </w:rPr>
  </w:style>
  <w:style w:type="character" w:customStyle="1" w:styleId="231">
    <w:name w:val="large1"/>
    <w:qFormat/>
    <w:uiPriority w:val="0"/>
    <w:rPr>
      <w:rFonts w:hint="eastAsia" w:ascii="宋体" w:hAnsi="宋体" w:eastAsia="宋体"/>
      <w:sz w:val="21"/>
      <w:szCs w:val="21"/>
    </w:rPr>
  </w:style>
  <w:style w:type="character" w:customStyle="1" w:styleId="232">
    <w:name w:val="样式 样式 标题 4h4H4Fab-4T5Ref Heading 1rh1Heading sqlsect 1.2.3.... +... Char"/>
    <w:link w:val="233"/>
    <w:qFormat/>
    <w:uiPriority w:val="0"/>
    <w:rPr>
      <w:rFonts w:ascii="微软雅黑" w:hAnsi="微软雅黑" w:eastAsia="微软雅黑"/>
      <w:b/>
      <w:bCs/>
      <w:kern w:val="2"/>
      <w:sz w:val="24"/>
      <w:szCs w:val="28"/>
    </w:rPr>
  </w:style>
  <w:style w:type="paragraph" w:customStyle="1" w:styleId="233">
    <w:name w:val="样式 样式 标题 4h4H4Fab-4T5Ref Heading 1rh1Heading sqlsect 1.2.3.... +..."/>
    <w:basedOn w:val="158"/>
    <w:link w:val="232"/>
    <w:qFormat/>
    <w:uiPriority w:val="0"/>
  </w:style>
  <w:style w:type="character" w:customStyle="1" w:styleId="234">
    <w:name w:val="标题 1 Char Char"/>
    <w:qFormat/>
    <w:uiPriority w:val="0"/>
    <w:rPr>
      <w:rFonts w:hint="eastAsia" w:ascii="宋体" w:hAnsi="宋体" w:eastAsia="宋体"/>
      <w:b/>
      <w:spacing w:val="-2"/>
      <w:sz w:val="24"/>
      <w:lang w:val="en-US" w:eastAsia="zh-CN" w:bidi="ar-SA"/>
    </w:rPr>
  </w:style>
  <w:style w:type="character" w:customStyle="1" w:styleId="235">
    <w:name w:val="标题 4 Char1"/>
    <w:semiHidden/>
    <w:qFormat/>
    <w:uiPriority w:val="9"/>
    <w:rPr>
      <w:rFonts w:ascii="Cambria" w:hAnsi="Cambria" w:eastAsia="宋体" w:cs="Times New Roman"/>
      <w:b/>
      <w:bCs/>
      <w:kern w:val="2"/>
      <w:sz w:val="28"/>
      <w:szCs w:val="28"/>
    </w:rPr>
  </w:style>
  <w:style w:type="character" w:customStyle="1" w:styleId="236">
    <w:name w:val="脚注文本 Char"/>
    <w:link w:val="49"/>
    <w:qFormat/>
    <w:uiPriority w:val="0"/>
    <w:rPr>
      <w:color w:val="0000FF"/>
      <w:sz w:val="21"/>
    </w:rPr>
  </w:style>
  <w:style w:type="character" w:customStyle="1" w:styleId="237">
    <w:name w:val="zbggmain style9"/>
    <w:qFormat/>
    <w:uiPriority w:val="0"/>
  </w:style>
  <w:style w:type="character" w:customStyle="1" w:styleId="238">
    <w:name w:val="tw4winMark"/>
    <w:qFormat/>
    <w:uiPriority w:val="0"/>
    <w:rPr>
      <w:rFonts w:ascii="Courier New" w:hAnsi="Courier New" w:cs="Courier New"/>
      <w:vanish/>
      <w:color w:val="800080"/>
      <w:sz w:val="24"/>
      <w:szCs w:val="24"/>
      <w:vertAlign w:val="subscript"/>
    </w:rPr>
  </w:style>
  <w:style w:type="character" w:customStyle="1" w:styleId="239">
    <w:name w:val="tw4winPopup"/>
    <w:qFormat/>
    <w:uiPriority w:val="0"/>
    <w:rPr>
      <w:rFonts w:ascii="Courier New" w:hAnsi="Courier New" w:cs="Courier New"/>
      <w:color w:val="008000"/>
      <w:lang w:val="en-US" w:eastAsia="zh-CN"/>
    </w:rPr>
  </w:style>
  <w:style w:type="character" w:customStyle="1" w:styleId="240">
    <w:name w:val="标题 6 Char"/>
    <w:link w:val="7"/>
    <w:qFormat/>
    <w:uiPriority w:val="0"/>
    <w:rPr>
      <w:rFonts w:ascii="Arial" w:hAnsi="Arial" w:eastAsia="黑体"/>
      <w:b/>
      <w:bCs/>
      <w:kern w:val="2"/>
      <w:sz w:val="24"/>
      <w:szCs w:val="24"/>
    </w:rPr>
  </w:style>
  <w:style w:type="character" w:customStyle="1" w:styleId="241">
    <w:name w:val="样式 宋体"/>
    <w:qFormat/>
    <w:uiPriority w:val="0"/>
    <w:rPr>
      <w:rFonts w:ascii="宋体" w:hAnsi="宋体"/>
      <w:sz w:val="24"/>
    </w:rPr>
  </w:style>
  <w:style w:type="character" w:customStyle="1" w:styleId="242">
    <w:name w:val="正文缩进 Char2"/>
    <w:link w:val="15"/>
    <w:qFormat/>
    <w:uiPriority w:val="0"/>
    <w:rPr>
      <w:rFonts w:ascii="宋体" w:eastAsia="宋体"/>
      <w:snapToGrid w:val="0"/>
      <w:color w:val="000000"/>
      <w:kern w:val="28"/>
      <w:sz w:val="28"/>
      <w:lang w:val="en-US" w:eastAsia="zh-CN" w:bidi="ar-SA"/>
    </w:rPr>
  </w:style>
  <w:style w:type="character" w:customStyle="1" w:styleId="243">
    <w:name w:val="标题 Char"/>
    <w:qFormat/>
    <w:uiPriority w:val="0"/>
    <w:rPr>
      <w:rFonts w:eastAsia="宋体"/>
      <w:b/>
      <w:sz w:val="24"/>
      <w:lang w:val="en-GB" w:eastAsia="zh-CN" w:bidi="ar-SA"/>
    </w:rPr>
  </w:style>
  <w:style w:type="character" w:customStyle="1" w:styleId="244">
    <w:name w:val="正文首行缩进 2 Char"/>
    <w:link w:val="60"/>
    <w:qFormat/>
    <w:uiPriority w:val="0"/>
    <w:rPr>
      <w:rFonts w:ascii="宋体" w:hAnsi="宋体"/>
      <w:kern w:val="2"/>
      <w:sz w:val="21"/>
      <w:szCs w:val="24"/>
    </w:rPr>
  </w:style>
  <w:style w:type="character" w:customStyle="1" w:styleId="245">
    <w:name w:val="正文 编号 Char"/>
    <w:qFormat/>
    <w:uiPriority w:val="0"/>
    <w:rPr>
      <w:rFonts w:ascii="仿宋_GB2312" w:hAnsi="仿宋_GB2312" w:eastAsia="仿宋_GB2312"/>
      <w:kern w:val="2"/>
      <w:sz w:val="24"/>
      <w:lang w:bidi="ar-SA"/>
    </w:rPr>
  </w:style>
  <w:style w:type="character" w:customStyle="1" w:styleId="246">
    <w:name w:val="批注文字 Char1"/>
    <w:link w:val="19"/>
    <w:qFormat/>
    <w:uiPriority w:val="0"/>
    <w:rPr>
      <w:kern w:val="2"/>
      <w:sz w:val="21"/>
      <w:szCs w:val="24"/>
    </w:rPr>
  </w:style>
  <w:style w:type="character" w:customStyle="1" w:styleId="247">
    <w:name w:val="批注框文本 Char"/>
    <w:link w:val="38"/>
    <w:semiHidden/>
    <w:qFormat/>
    <w:uiPriority w:val="0"/>
    <w:rPr>
      <w:kern w:val="2"/>
      <w:sz w:val="18"/>
      <w:szCs w:val="18"/>
    </w:rPr>
  </w:style>
  <w:style w:type="character" w:customStyle="1" w:styleId="248">
    <w:name w:val="公文正文 Char"/>
    <w:qFormat/>
    <w:uiPriority w:val="0"/>
    <w:rPr>
      <w:rFonts w:ascii="仿宋_GB2312" w:eastAsia="仿宋_GB2312"/>
      <w:kern w:val="2"/>
      <w:sz w:val="24"/>
      <w:szCs w:val="24"/>
      <w:lang w:val="en-US" w:eastAsia="zh-CN" w:bidi="ar-SA"/>
    </w:rPr>
  </w:style>
  <w:style w:type="character" w:customStyle="1" w:styleId="249">
    <w:name w:val="Footer Char"/>
    <w:qFormat/>
    <w:locked/>
    <w:uiPriority w:val="0"/>
    <w:rPr>
      <w:rFonts w:eastAsia="宋体"/>
      <w:kern w:val="2"/>
      <w:sz w:val="18"/>
      <w:lang w:val="en-US" w:eastAsia="zh-CN" w:bidi="ar-SA"/>
    </w:rPr>
  </w:style>
  <w:style w:type="character" w:customStyle="1" w:styleId="250">
    <w:name w:val="标题 2 Char"/>
    <w:qFormat/>
    <w:uiPriority w:val="0"/>
    <w:rPr>
      <w:rFonts w:ascii="Arial" w:hAnsi="Arial" w:eastAsia="黑体"/>
      <w:b/>
      <w:kern w:val="2"/>
      <w:sz w:val="32"/>
      <w:lang w:val="en-US" w:eastAsia="zh-CN"/>
    </w:rPr>
  </w:style>
  <w:style w:type="character" w:customStyle="1" w:styleId="251">
    <w:name w:val="Char Char41"/>
    <w:qFormat/>
    <w:uiPriority w:val="0"/>
    <w:rPr>
      <w:rFonts w:eastAsia="宋体"/>
      <w:b/>
      <w:sz w:val="24"/>
      <w:lang w:val="en-GB" w:eastAsia="zh-CN" w:bidi="ar-SA"/>
    </w:rPr>
  </w:style>
  <w:style w:type="character" w:customStyle="1" w:styleId="252">
    <w:name w:val="Char Char91"/>
    <w:qFormat/>
    <w:uiPriority w:val="0"/>
    <w:rPr>
      <w:rFonts w:eastAsia="宋体"/>
      <w:kern w:val="2"/>
      <w:sz w:val="18"/>
      <w:szCs w:val="18"/>
      <w:lang w:val="en-US" w:eastAsia="zh-CN" w:bidi="ar-SA"/>
    </w:rPr>
  </w:style>
  <w:style w:type="character" w:customStyle="1" w:styleId="253">
    <w:name w:val="列出段落 Char"/>
    <w:qFormat/>
    <w:uiPriority w:val="34"/>
    <w:rPr>
      <w:rFonts w:eastAsia="楷体_GB2312" w:cs="Lucida Sans"/>
      <w:kern w:val="2"/>
      <w:sz w:val="24"/>
      <w:szCs w:val="24"/>
      <w:lang w:val="en-US" w:eastAsia="zh-CN" w:bidi="ar-SA"/>
    </w:rPr>
  </w:style>
  <w:style w:type="character" w:customStyle="1" w:styleId="254">
    <w:name w:val="gf正文1 Char"/>
    <w:qFormat/>
    <w:uiPriority w:val="0"/>
    <w:rPr>
      <w:rFonts w:ascii="宋体" w:hAnsi="宋体" w:eastAsia="宋体" w:cs="宋体"/>
      <w:kern w:val="2"/>
      <w:sz w:val="24"/>
      <w:szCs w:val="24"/>
      <w:lang w:val="en-US" w:eastAsia="zh-CN" w:bidi="ar-SA"/>
    </w:rPr>
  </w:style>
  <w:style w:type="character" w:customStyle="1" w:styleId="255">
    <w:name w:val="标书表格字体格式 Char"/>
    <w:qFormat/>
    <w:uiPriority w:val="0"/>
    <w:rPr>
      <w:kern w:val="2"/>
      <w:sz w:val="21"/>
      <w:szCs w:val="24"/>
      <w:lang w:bidi="ar-SA"/>
    </w:rPr>
  </w:style>
  <w:style w:type="character" w:customStyle="1" w:styleId="256">
    <w:name w:val="样式6 Char"/>
    <w:qFormat/>
    <w:uiPriority w:val="0"/>
    <w:rPr>
      <w:rFonts w:ascii="仿宋_GB2312" w:hAnsi="宋体" w:eastAsia="仿宋_GB2312"/>
      <w:b/>
      <w:bCs/>
      <w:kern w:val="2"/>
      <w:sz w:val="24"/>
      <w:szCs w:val="24"/>
      <w:lang w:val="en-US" w:eastAsia="zh-CN" w:bidi="ar-SA"/>
    </w:rPr>
  </w:style>
  <w:style w:type="character" w:customStyle="1" w:styleId="257">
    <w:name w:val="签名 Char"/>
    <w:link w:val="41"/>
    <w:qFormat/>
    <w:uiPriority w:val="0"/>
    <w:rPr>
      <w:rFonts w:eastAsia="仿宋_GB2312"/>
      <w:sz w:val="24"/>
    </w:rPr>
  </w:style>
  <w:style w:type="character" w:customStyle="1" w:styleId="258">
    <w:name w:val="冯 Char"/>
    <w:link w:val="259"/>
    <w:qFormat/>
    <w:uiPriority w:val="0"/>
    <w:rPr>
      <w:rFonts w:ascii="宋体" w:hAnsi="宋体"/>
      <w:color w:val="000000"/>
      <w:sz w:val="24"/>
      <w:szCs w:val="24"/>
    </w:rPr>
  </w:style>
  <w:style w:type="paragraph" w:customStyle="1" w:styleId="259">
    <w:name w:val="冯"/>
    <w:basedOn w:val="1"/>
    <w:link w:val="258"/>
    <w:qFormat/>
    <w:uiPriority w:val="0"/>
    <w:pPr>
      <w:widowControl/>
      <w:adjustRightInd/>
      <w:spacing w:line="360" w:lineRule="auto"/>
      <w:ind w:firstLine="480" w:firstLineChars="200"/>
    </w:pPr>
    <w:rPr>
      <w:rFonts w:ascii="宋体" w:hAnsi="宋体"/>
      <w:color w:val="000000"/>
      <w:kern w:val="0"/>
      <w:sz w:val="24"/>
    </w:rPr>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md"/>
    <w:basedOn w:val="63"/>
    <w:qFormat/>
    <w:uiPriority w:val="0"/>
    <w:rPr>
      <w:rFonts w:ascii="Arial" w:hAnsi="Arial" w:eastAsia="黑体" w:cs="Arial"/>
      <w:snapToGrid w:val="0"/>
      <w:kern w:val="0"/>
      <w:szCs w:val="21"/>
    </w:rPr>
  </w:style>
  <w:style w:type="character" w:customStyle="1" w:styleId="262">
    <w:name w:val="样式5 Char"/>
    <w:qFormat/>
    <w:uiPriority w:val="0"/>
    <w:rPr>
      <w:rFonts w:ascii="仿宋_GB2312" w:hAnsi="仿宋" w:eastAsia="仿宋_GB2312"/>
      <w:kern w:val="2"/>
      <w:sz w:val="24"/>
      <w:szCs w:val="24"/>
    </w:rPr>
  </w:style>
  <w:style w:type="character" w:customStyle="1" w:styleId="263">
    <w:name w:val="表格 Char Char"/>
    <w:qFormat/>
    <w:uiPriority w:val="0"/>
    <w:rPr>
      <w:rFonts w:ascii="宋体" w:hAnsi="宋体" w:eastAsia="宋体"/>
      <w:lang w:bidi="ar-SA"/>
    </w:rPr>
  </w:style>
  <w:style w:type="character" w:customStyle="1" w:styleId="264">
    <w:name w:val="font12gray1"/>
    <w:qFormat/>
    <w:uiPriority w:val="0"/>
    <w:rPr>
      <w:rFonts w:ascii="仿宋_GB2312" w:eastAsia="微软雅黑"/>
      <w:b/>
      <w:spacing w:val="300"/>
      <w:kern w:val="2"/>
      <w:sz w:val="18"/>
      <w:szCs w:val="18"/>
      <w:lang w:val="en-US" w:eastAsia="zh-CN" w:bidi="ar-SA"/>
    </w:rPr>
  </w:style>
  <w:style w:type="character" w:customStyle="1" w:styleId="265">
    <w:name w:val="txt"/>
    <w:qFormat/>
    <w:uiPriority w:val="0"/>
    <w:rPr>
      <w:rFonts w:ascii="仿宋_GB2312" w:eastAsia="微软雅黑"/>
      <w:b/>
      <w:kern w:val="2"/>
      <w:sz w:val="32"/>
      <w:szCs w:val="32"/>
      <w:lang w:val="en-US" w:eastAsia="zh-CN" w:bidi="ar-SA"/>
    </w:rPr>
  </w:style>
  <w:style w:type="character" w:customStyle="1" w:styleId="266">
    <w:name w:val="tw4winJump"/>
    <w:qFormat/>
    <w:uiPriority w:val="0"/>
    <w:rPr>
      <w:rFonts w:ascii="Courier New" w:hAnsi="Courier New" w:cs="Courier New"/>
      <w:color w:val="008080"/>
      <w:lang w:val="en-US" w:eastAsia="zh-CN"/>
    </w:rPr>
  </w:style>
  <w:style w:type="character" w:customStyle="1" w:styleId="267">
    <w:name w:val="Item List Char"/>
    <w:link w:val="268"/>
    <w:qFormat/>
    <w:uiPriority w:val="0"/>
    <w:rPr>
      <w:rFonts w:ascii="Arial"/>
      <w:bCs/>
      <w:sz w:val="21"/>
      <w:szCs w:val="21"/>
      <w:lang w:val="en-US" w:eastAsia="zh-CN" w:bidi="ar-SA"/>
    </w:rPr>
  </w:style>
  <w:style w:type="paragraph" w:customStyle="1" w:styleId="268">
    <w:name w:val="Item List"/>
    <w:link w:val="26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69">
    <w:name w:val="Char Char121"/>
    <w:qFormat/>
    <w:uiPriority w:val="0"/>
    <w:rPr>
      <w:rFonts w:ascii="仿宋_GB2312" w:eastAsia="仿宋_GB2312"/>
      <w:b/>
      <w:bCs/>
      <w:kern w:val="2"/>
      <w:sz w:val="24"/>
      <w:szCs w:val="24"/>
      <w:lang w:val="zh-CN" w:eastAsia="zh-CN" w:bidi="ar-SA"/>
    </w:rPr>
  </w:style>
  <w:style w:type="paragraph" w:customStyle="1" w:styleId="27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271">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272">
    <w:name w:val="4"/>
    <w:basedOn w:val="1"/>
    <w:next w:val="37"/>
    <w:qFormat/>
    <w:uiPriority w:val="0"/>
    <w:pPr>
      <w:spacing w:after="120" w:line="480" w:lineRule="auto"/>
      <w:ind w:left="420" w:leftChars="200"/>
    </w:pPr>
    <w:rPr>
      <w:sz w:val="24"/>
      <w:szCs w:val="20"/>
    </w:rPr>
  </w:style>
  <w:style w:type="paragraph" w:customStyle="1" w:styleId="273">
    <w:name w:val="Char Char1"/>
    <w:basedOn w:val="1"/>
    <w:qFormat/>
    <w:uiPriority w:val="0"/>
    <w:pPr>
      <w:widowControl/>
      <w:spacing w:after="160" w:line="240" w:lineRule="exact"/>
      <w:jc w:val="left"/>
    </w:pPr>
    <w:rPr>
      <w:rFonts w:eastAsia="仿宋_GB2312"/>
      <w:sz w:val="28"/>
    </w:rPr>
  </w:style>
  <w:style w:type="paragraph" w:customStyle="1" w:styleId="27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275">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276">
    <w:name w:val="默认段落样式"/>
    <w:basedOn w:val="217"/>
    <w:qFormat/>
    <w:uiPriority w:val="0"/>
    <w:pPr>
      <w:spacing w:before="0"/>
      <w:ind w:firstLine="480"/>
      <w:outlineLvl w:val="2"/>
    </w:pPr>
    <w:rPr>
      <w:rFonts w:ascii="仿宋_GB2312" w:hAnsi="宋体" w:eastAsia="仿宋_GB2312"/>
      <w:color w:val="000000"/>
      <w:szCs w:val="24"/>
    </w:rPr>
  </w:style>
  <w:style w:type="paragraph" w:customStyle="1" w:styleId="277">
    <w:name w:val="Char Char1 Char Char Char Char Char Char"/>
    <w:basedOn w:val="1"/>
    <w:qFormat/>
    <w:uiPriority w:val="0"/>
    <w:rPr>
      <w:rFonts w:ascii="仿宋_GB2312" w:eastAsia="仿宋_GB2312"/>
      <w:b/>
      <w:sz w:val="32"/>
      <w:szCs w:val="20"/>
    </w:rPr>
  </w:style>
  <w:style w:type="paragraph" w:customStyle="1" w:styleId="27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279">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280">
    <w:name w:val="文本正文 Char"/>
    <w:basedOn w:val="1"/>
    <w:qFormat/>
    <w:uiPriority w:val="0"/>
    <w:pPr>
      <w:spacing w:line="360" w:lineRule="auto"/>
      <w:ind w:firstLine="200" w:firstLineChars="200"/>
    </w:pPr>
    <w:rPr>
      <w:kern w:val="0"/>
      <w:sz w:val="24"/>
      <w:szCs w:val="20"/>
    </w:rPr>
  </w:style>
  <w:style w:type="paragraph" w:customStyle="1" w:styleId="28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8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3">
    <w:name w:val="文章标题"/>
    <w:next w:val="284"/>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84">
    <w:name w:val="封面公司名"/>
    <w:qFormat/>
    <w:uiPriority w:val="0"/>
    <w:pPr>
      <w:jc w:val="center"/>
    </w:pPr>
    <w:rPr>
      <w:rFonts w:ascii="Arial" w:hAnsi="Arial" w:eastAsia="楷体_GB2312" w:cs="宋体"/>
      <w:bCs/>
      <w:kern w:val="2"/>
      <w:sz w:val="28"/>
      <w:lang w:val="en-US" w:eastAsia="zh-CN" w:bidi="ar-SA"/>
    </w:rPr>
  </w:style>
  <w:style w:type="paragraph" w:customStyle="1" w:styleId="285">
    <w:name w:val="Bulleting First Indent 1"/>
    <w:basedOn w:val="2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6">
    <w:name w:val="默认段落字体 Para Char Char Char Char Char Char Char"/>
    <w:basedOn w:val="1"/>
    <w:qFormat/>
    <w:uiPriority w:val="0"/>
    <w:rPr>
      <w:rFonts w:eastAsia="仿宋_GB2312"/>
      <w:sz w:val="28"/>
      <w:szCs w:val="20"/>
    </w:rPr>
  </w:style>
  <w:style w:type="paragraph" w:customStyle="1" w:styleId="28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88">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289">
    <w:name w:val="trademark"/>
    <w:qFormat/>
    <w:uiPriority w:val="0"/>
    <w:pPr>
      <w:spacing w:after="60"/>
    </w:pPr>
    <w:rPr>
      <w:rFonts w:ascii="Futura Bk" w:hAnsi="Futura Bk" w:eastAsia="宋体" w:cs="Times New Roman"/>
      <w:sz w:val="15"/>
      <w:lang w:val="en-US" w:eastAsia="en-US" w:bidi="ar-SA"/>
    </w:rPr>
  </w:style>
  <w:style w:type="paragraph" w:customStyle="1" w:styleId="29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291">
    <w:name w:val="Char3"/>
    <w:basedOn w:val="1"/>
    <w:qFormat/>
    <w:uiPriority w:val="0"/>
    <w:pPr>
      <w:adjustRightInd/>
    </w:pPr>
    <w:rPr>
      <w:rFonts w:ascii="仿宋_GB2312" w:eastAsia="仿宋_GB2312"/>
      <w:b/>
      <w:sz w:val="32"/>
      <w:szCs w:val="32"/>
    </w:rPr>
  </w:style>
  <w:style w:type="paragraph" w:customStyle="1" w:styleId="292">
    <w:name w:val="默认段落字体 Para Char"/>
    <w:basedOn w:val="1"/>
    <w:qFormat/>
    <w:uiPriority w:val="0"/>
    <w:rPr>
      <w:rFonts w:ascii="Tahoma" w:hAnsi="Tahoma"/>
      <w:sz w:val="24"/>
      <w:szCs w:val="20"/>
    </w:rPr>
  </w:style>
  <w:style w:type="paragraph" w:customStyle="1" w:styleId="29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94">
    <w:name w:val="Char Char Char Char Char Char Char Char Char Char Char Char1 Char"/>
    <w:basedOn w:val="1"/>
    <w:qFormat/>
    <w:uiPriority w:val="0"/>
    <w:rPr>
      <w:rFonts w:ascii="Tahoma" w:hAnsi="Tahoma" w:cs="仿宋_GB2312"/>
      <w:sz w:val="24"/>
      <w:szCs w:val="20"/>
    </w:rPr>
  </w:style>
  <w:style w:type="paragraph" w:customStyle="1" w:styleId="29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29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29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9">
    <w:name w:val="Char Char11 Char Char Char Char Char Char Char Char Char"/>
    <w:basedOn w:val="1"/>
    <w:qFormat/>
    <w:uiPriority w:val="0"/>
    <w:pPr>
      <w:spacing w:line="360" w:lineRule="auto"/>
    </w:pPr>
    <w:rPr>
      <w:szCs w:val="20"/>
    </w:rPr>
  </w:style>
  <w:style w:type="paragraph" w:customStyle="1" w:styleId="30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30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02">
    <w:name w:val="左对齐表格文字"/>
    <w:basedOn w:val="1"/>
    <w:qFormat/>
    <w:uiPriority w:val="0"/>
    <w:pPr>
      <w:adjustRightInd/>
      <w:ind w:firstLine="200" w:firstLineChars="200"/>
      <w:jc w:val="right"/>
    </w:pPr>
  </w:style>
  <w:style w:type="paragraph" w:customStyle="1" w:styleId="303">
    <w:name w:val="Char31"/>
    <w:basedOn w:val="1"/>
    <w:qFormat/>
    <w:uiPriority w:val="0"/>
    <w:pPr>
      <w:adjustRightInd/>
      <w:ind w:firstLine="200" w:firstLineChars="200"/>
    </w:pPr>
    <w:rPr>
      <w:rFonts w:ascii="Tahoma" w:hAnsi="Tahoma"/>
      <w:sz w:val="24"/>
      <w:szCs w:val="20"/>
    </w:rPr>
  </w:style>
  <w:style w:type="paragraph" w:customStyle="1" w:styleId="30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0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0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07">
    <w:name w:val="彩色列表 - 强调文字颜色 11"/>
    <w:basedOn w:val="1"/>
    <w:qFormat/>
    <w:uiPriority w:val="0"/>
    <w:pPr>
      <w:adjustRightInd/>
      <w:ind w:firstLine="420" w:firstLineChars="200"/>
    </w:pPr>
    <w:rPr>
      <w:rFonts w:ascii="Calibri" w:hAnsi="Calibri"/>
      <w:szCs w:val="22"/>
    </w:rPr>
  </w:style>
  <w:style w:type="paragraph" w:customStyle="1" w:styleId="30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309">
    <w:name w:val="MM Topic 3"/>
    <w:basedOn w:val="2"/>
    <w:qFormat/>
    <w:uiPriority w:val="0"/>
    <w:pPr>
      <w:numPr>
        <w:numId w:val="4"/>
      </w:numPr>
      <w:tabs>
        <w:tab w:val="left" w:pos="1680"/>
      </w:tabs>
      <w:adjustRightInd/>
    </w:pPr>
  </w:style>
  <w:style w:type="paragraph" w:customStyle="1" w:styleId="310">
    <w:name w:val="Normal0"/>
    <w:qFormat/>
    <w:uiPriority w:val="0"/>
    <w:rPr>
      <w:rFonts w:ascii="Times New Roman" w:hAnsi="Times New Roman" w:eastAsia="宋体" w:cs="Times New Roman"/>
      <w:lang w:val="en-US" w:eastAsia="en-US" w:bidi="ar-SA"/>
    </w:rPr>
  </w:style>
  <w:style w:type="paragraph" w:customStyle="1" w:styleId="311">
    <w:name w:val="Char Char Char Char Char Char Char"/>
    <w:basedOn w:val="1"/>
    <w:qFormat/>
    <w:uiPriority w:val="0"/>
    <w:rPr>
      <w:rFonts w:ascii="仿宋_GB2312" w:eastAsia="仿宋_GB2312"/>
      <w:b/>
      <w:sz w:val="32"/>
      <w:szCs w:val="32"/>
    </w:rPr>
  </w:style>
  <w:style w:type="paragraph" w:customStyle="1" w:styleId="31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31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15">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1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18">
    <w:name w:val="Char2"/>
    <w:basedOn w:val="1"/>
    <w:qFormat/>
    <w:uiPriority w:val="0"/>
    <w:rPr>
      <w:rFonts w:ascii="仿宋_GB2312" w:eastAsia="仿宋_GB2312"/>
      <w:b/>
      <w:sz w:val="32"/>
      <w:szCs w:val="32"/>
    </w:rPr>
  </w:style>
  <w:style w:type="paragraph" w:customStyle="1" w:styleId="319">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32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21">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32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2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2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25">
    <w:name w:val="Char Char Char"/>
    <w:basedOn w:val="1"/>
    <w:qFormat/>
    <w:uiPriority w:val="0"/>
    <w:rPr>
      <w:rFonts w:ascii="Tahoma" w:hAnsi="Tahoma"/>
      <w:sz w:val="24"/>
      <w:szCs w:val="20"/>
    </w:rPr>
  </w:style>
  <w:style w:type="paragraph" w:customStyle="1" w:styleId="326">
    <w:name w:val="MM Topic 4"/>
    <w:basedOn w:val="5"/>
    <w:qFormat/>
    <w:uiPriority w:val="0"/>
    <w:pPr>
      <w:numPr>
        <w:numId w:val="4"/>
      </w:numPr>
      <w:tabs>
        <w:tab w:val="left" w:pos="2100"/>
      </w:tabs>
      <w:adjustRightInd/>
    </w:pPr>
    <w:rPr>
      <w:lang w:val="en-US"/>
    </w:rPr>
  </w:style>
  <w:style w:type="paragraph" w:customStyle="1" w:styleId="327">
    <w:name w:val="标准小四"/>
    <w:basedOn w:val="1"/>
    <w:qFormat/>
    <w:uiPriority w:val="0"/>
    <w:pPr>
      <w:spacing w:line="360" w:lineRule="auto"/>
      <w:ind w:firstLine="480" w:firstLineChars="200"/>
    </w:pPr>
    <w:rPr>
      <w:rFonts w:ascii="Arial" w:hAnsi="Arial"/>
      <w:sz w:val="24"/>
      <w:szCs w:val="21"/>
    </w:rPr>
  </w:style>
  <w:style w:type="paragraph" w:customStyle="1" w:styleId="328">
    <w:name w:val="MM Topic 2"/>
    <w:basedOn w:val="4"/>
    <w:qFormat/>
    <w:uiPriority w:val="0"/>
    <w:pPr>
      <w:numPr>
        <w:ilvl w:val="1"/>
        <w:numId w:val="4"/>
      </w:numPr>
    </w:pPr>
    <w:rPr>
      <w:rFonts w:ascii="Arial" w:hAnsi="Arial" w:eastAsia="黑体"/>
      <w:lang w:val="en-US"/>
    </w:rPr>
  </w:style>
  <w:style w:type="paragraph" w:customStyle="1" w:styleId="329">
    <w:name w:val="表格标题2"/>
    <w:basedOn w:val="330"/>
    <w:qFormat/>
    <w:uiPriority w:val="0"/>
    <w:rPr>
      <w:b/>
    </w:rPr>
  </w:style>
  <w:style w:type="paragraph" w:customStyle="1" w:styleId="330">
    <w:name w:val="表格内文"/>
    <w:basedOn w:val="1"/>
    <w:qFormat/>
    <w:uiPriority w:val="0"/>
    <w:pPr>
      <w:adjustRightInd/>
      <w:spacing w:line="360" w:lineRule="auto"/>
    </w:pPr>
    <w:rPr>
      <w:rFonts w:ascii="宋体" w:hAnsi="宋体" w:cs="宋体"/>
      <w:color w:val="000000"/>
      <w:szCs w:val="20"/>
    </w:rPr>
  </w:style>
  <w:style w:type="paragraph" w:customStyle="1" w:styleId="33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3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333">
    <w:name w:val="Char Char11 Char Char Char Char Char Char Char Char Char1"/>
    <w:basedOn w:val="1"/>
    <w:qFormat/>
    <w:uiPriority w:val="0"/>
    <w:pPr>
      <w:spacing w:line="360" w:lineRule="auto"/>
    </w:pPr>
    <w:rPr>
      <w:szCs w:val="20"/>
    </w:rPr>
  </w:style>
  <w:style w:type="paragraph" w:customStyle="1" w:styleId="334">
    <w:name w:val="Char Char Char Char Char Char Char Char Char Char Char1 Char"/>
    <w:basedOn w:val="1"/>
    <w:qFormat/>
    <w:uiPriority w:val="0"/>
    <w:pPr>
      <w:adjustRightInd/>
    </w:pPr>
    <w:rPr>
      <w:rFonts w:ascii="Tahoma" w:hAnsi="Tahoma"/>
      <w:sz w:val="24"/>
    </w:rPr>
  </w:style>
  <w:style w:type="paragraph" w:customStyle="1" w:styleId="33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36">
    <w:name w:val="a1"/>
    <w:basedOn w:val="1"/>
    <w:qFormat/>
    <w:uiPriority w:val="0"/>
    <w:pPr>
      <w:widowControl/>
      <w:spacing w:line="300" w:lineRule="atLeast"/>
      <w:jc w:val="left"/>
    </w:pPr>
    <w:rPr>
      <w:rFonts w:ascii="宋体" w:hAnsi="宋体"/>
      <w:kern w:val="0"/>
      <w:sz w:val="18"/>
      <w:szCs w:val="20"/>
    </w:rPr>
  </w:style>
  <w:style w:type="paragraph" w:customStyle="1" w:styleId="33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38">
    <w:name w:val="Char"/>
    <w:basedOn w:val="1"/>
    <w:qFormat/>
    <w:uiPriority w:val="0"/>
    <w:rPr>
      <w:rFonts w:ascii="仿宋_GB2312" w:eastAsia="仿宋_GB2312"/>
      <w:b/>
      <w:sz w:val="32"/>
      <w:szCs w:val="32"/>
    </w:rPr>
  </w:style>
  <w:style w:type="paragraph" w:customStyle="1" w:styleId="339">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340">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41">
    <w:name w:val="TOC 标题1"/>
    <w:basedOn w:val="3"/>
    <w:next w:val="1"/>
    <w:unhideWhenUsed/>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342">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3">
    <w:name w:val="Char3 Char Char Char"/>
    <w:basedOn w:val="1"/>
    <w:qFormat/>
    <w:uiPriority w:val="0"/>
    <w:pPr>
      <w:widowControl/>
      <w:adjustRightInd/>
      <w:spacing w:after="160" w:line="240" w:lineRule="exact"/>
      <w:jc w:val="left"/>
    </w:pPr>
    <w:rPr>
      <w:szCs w:val="20"/>
    </w:rPr>
  </w:style>
  <w:style w:type="paragraph" w:customStyle="1" w:styleId="34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5">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34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4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49">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351">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352">
    <w:name w:val="Char Char1 Char Char1 Char Char1"/>
    <w:basedOn w:val="1"/>
    <w:qFormat/>
    <w:uiPriority w:val="0"/>
    <w:pPr>
      <w:tabs>
        <w:tab w:val="left" w:pos="840"/>
      </w:tabs>
      <w:ind w:left="840" w:hanging="420"/>
    </w:pPr>
    <w:rPr>
      <w:rFonts w:ascii="Tahoma" w:hAnsi="Tahoma"/>
      <w:sz w:val="24"/>
    </w:rPr>
  </w:style>
  <w:style w:type="paragraph" w:customStyle="1" w:styleId="35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54">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55">
    <w:name w:val="默认段落字体 Para Char Char Char Char"/>
    <w:basedOn w:val="1"/>
    <w:qFormat/>
    <w:uiPriority w:val="0"/>
    <w:pPr>
      <w:spacing w:line="360" w:lineRule="auto"/>
    </w:pPr>
    <w:rPr>
      <w:szCs w:val="20"/>
    </w:rPr>
  </w:style>
  <w:style w:type="paragraph" w:customStyle="1" w:styleId="356">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35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5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0">
    <w:name w:val="正文21"/>
    <w:basedOn w:val="1"/>
    <w:qFormat/>
    <w:uiPriority w:val="0"/>
    <w:pPr>
      <w:adjustRightInd/>
      <w:spacing w:before="156" w:line="360" w:lineRule="auto"/>
      <w:ind w:firstLine="510" w:firstLineChars="200"/>
    </w:pPr>
    <w:rPr>
      <w:sz w:val="24"/>
      <w:szCs w:val="20"/>
    </w:rPr>
  </w:style>
  <w:style w:type="paragraph" w:customStyle="1" w:styleId="361">
    <w:name w:val="列出段落2"/>
    <w:basedOn w:val="1"/>
    <w:qFormat/>
    <w:uiPriority w:val="0"/>
    <w:pPr>
      <w:adjustRightInd/>
      <w:ind w:firstLine="420" w:firstLineChars="200"/>
    </w:pPr>
    <w:rPr>
      <w:rFonts w:ascii="宋体" w:hAnsi="宋体"/>
      <w:sz w:val="24"/>
    </w:rPr>
  </w:style>
  <w:style w:type="paragraph" w:customStyle="1" w:styleId="362">
    <w:name w:val="封面"/>
    <w:basedOn w:val="1"/>
    <w:qFormat/>
    <w:uiPriority w:val="0"/>
    <w:pPr>
      <w:spacing w:line="360" w:lineRule="atLeast"/>
      <w:jc w:val="right"/>
      <w:textAlignment w:val="baseline"/>
    </w:pPr>
    <w:rPr>
      <w:rFonts w:ascii="Symbol" w:hAnsi="Symbol"/>
      <w:kern w:val="0"/>
      <w:szCs w:val="20"/>
    </w:rPr>
  </w:style>
  <w:style w:type="paragraph" w:customStyle="1" w:styleId="363">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6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65">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366">
    <w:name w:val="Char Char1 Char Char Char Char Char Char1"/>
    <w:basedOn w:val="1"/>
    <w:qFormat/>
    <w:uiPriority w:val="0"/>
    <w:rPr>
      <w:rFonts w:ascii="仿宋_GB2312" w:eastAsia="仿宋_GB2312"/>
      <w:b/>
      <w:sz w:val="32"/>
      <w:szCs w:val="20"/>
    </w:rPr>
  </w:style>
  <w:style w:type="paragraph" w:customStyle="1" w:styleId="367">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36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36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70">
    <w:name w:val="正文（首行缩进2字符）"/>
    <w:basedOn w:val="1"/>
    <w:qFormat/>
    <w:uiPriority w:val="0"/>
    <w:pPr>
      <w:adjustRightInd/>
      <w:spacing w:line="360" w:lineRule="auto"/>
      <w:ind w:firstLine="480" w:firstLineChars="200"/>
    </w:pPr>
    <w:rPr>
      <w:sz w:val="24"/>
      <w:szCs w:val="20"/>
    </w:rPr>
  </w:style>
  <w:style w:type="paragraph" w:customStyle="1" w:styleId="37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372">
    <w:name w:val="表文字"/>
    <w:qFormat/>
    <w:uiPriority w:val="0"/>
    <w:rPr>
      <w:rFonts w:ascii="宋体" w:hAnsi="Times New Roman" w:eastAsia="宋体" w:cs="Times New Roman"/>
      <w:kern w:val="2"/>
      <w:lang w:val="en-US" w:eastAsia="zh-CN" w:bidi="ar-SA"/>
    </w:rPr>
  </w:style>
  <w:style w:type="paragraph" w:customStyle="1" w:styleId="37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74">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376">
    <w:name w:val="有符号正文"/>
    <w:basedOn w:val="1"/>
    <w:qFormat/>
    <w:uiPriority w:val="0"/>
    <w:pPr>
      <w:adjustRightInd/>
      <w:spacing w:line="400" w:lineRule="exact"/>
      <w:ind w:firstLine="200" w:firstLineChars="200"/>
    </w:pPr>
    <w:rPr>
      <w:rFonts w:ascii="Arial" w:hAnsi="Arial"/>
    </w:rPr>
  </w:style>
  <w:style w:type="paragraph" w:customStyle="1" w:styleId="377">
    <w:name w:val="数字标题5"/>
    <w:basedOn w:val="6"/>
    <w:next w:val="1"/>
    <w:qFormat/>
    <w:uiPriority w:val="0"/>
    <w:pPr>
      <w:numPr>
        <w:numId w:val="5"/>
      </w:numPr>
      <w:tabs>
        <w:tab w:val="left" w:pos="1080"/>
      </w:tabs>
    </w:pPr>
  </w:style>
  <w:style w:type="paragraph" w:customStyle="1" w:styleId="378">
    <w:name w:val="Char12"/>
    <w:basedOn w:val="1"/>
    <w:qFormat/>
    <w:uiPriority w:val="0"/>
    <w:rPr>
      <w:rFonts w:ascii="仿宋_GB2312" w:eastAsia="仿宋_GB2312"/>
      <w:b/>
      <w:sz w:val="32"/>
      <w:szCs w:val="32"/>
    </w:rPr>
  </w:style>
  <w:style w:type="paragraph" w:customStyle="1" w:styleId="379">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380">
    <w:name w:val="样式 标题 3h33rd level3Heading 3 - oldH3l3CTheading 3Headin..."/>
    <w:basedOn w:val="2"/>
    <w:qFormat/>
    <w:uiPriority w:val="0"/>
    <w:pPr>
      <w:snapToGrid w:val="0"/>
      <w:ind w:left="0" w:firstLine="0"/>
      <w:jc w:val="left"/>
    </w:pPr>
    <w:rPr>
      <w:rFonts w:eastAsia="黑体" w:cs="宋体"/>
      <w:sz w:val="28"/>
      <w:szCs w:val="20"/>
    </w:rPr>
  </w:style>
  <w:style w:type="paragraph" w:customStyle="1" w:styleId="381">
    <w:name w:val="加粗正文"/>
    <w:basedOn w:val="1"/>
    <w:qFormat/>
    <w:uiPriority w:val="0"/>
    <w:pPr>
      <w:adjustRightInd/>
      <w:spacing w:beforeLines="50" w:afterLines="50" w:line="360" w:lineRule="auto"/>
      <w:ind w:firstLine="422" w:firstLineChars="200"/>
    </w:pPr>
    <w:rPr>
      <w:b/>
      <w:bCs/>
      <w:szCs w:val="21"/>
    </w:rPr>
  </w:style>
  <w:style w:type="paragraph" w:customStyle="1" w:styleId="382">
    <w:name w:val="Char Char11 Char Char Char"/>
    <w:basedOn w:val="1"/>
    <w:qFormat/>
    <w:uiPriority w:val="0"/>
    <w:pPr>
      <w:spacing w:line="360" w:lineRule="auto"/>
    </w:pPr>
    <w:rPr>
      <w:szCs w:val="20"/>
    </w:rPr>
  </w:style>
  <w:style w:type="paragraph" w:customStyle="1" w:styleId="383">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84">
    <w:name w:val="Char Char111"/>
    <w:basedOn w:val="1"/>
    <w:qFormat/>
    <w:uiPriority w:val="0"/>
    <w:pPr>
      <w:spacing w:line="360" w:lineRule="auto"/>
    </w:pPr>
    <w:rPr>
      <w:szCs w:val="20"/>
    </w:rPr>
  </w:style>
  <w:style w:type="paragraph" w:customStyle="1" w:styleId="385">
    <w:name w:val="文档正文"/>
    <w:basedOn w:val="1"/>
    <w:qFormat/>
    <w:uiPriority w:val="0"/>
    <w:pPr>
      <w:spacing w:line="480" w:lineRule="atLeast"/>
      <w:ind w:firstLine="567"/>
      <w:textAlignment w:val="baseline"/>
    </w:pPr>
    <w:rPr>
      <w:kern w:val="0"/>
      <w:sz w:val="24"/>
      <w:szCs w:val="20"/>
    </w:rPr>
  </w:style>
  <w:style w:type="paragraph" w:customStyle="1" w:styleId="38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38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88">
    <w:name w:val="Char1 Char Char Char3"/>
    <w:basedOn w:val="1"/>
    <w:qFormat/>
    <w:uiPriority w:val="0"/>
    <w:pPr>
      <w:adjustRightInd/>
      <w:ind w:firstLine="200" w:firstLineChars="200"/>
    </w:pPr>
    <w:rPr>
      <w:rFonts w:ascii="Tahoma" w:hAnsi="Tahoma"/>
      <w:sz w:val="24"/>
      <w:szCs w:val="20"/>
    </w:rPr>
  </w:style>
  <w:style w:type="paragraph" w:customStyle="1" w:styleId="38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391">
    <w:name w:val="Char2 Char Char Char"/>
    <w:basedOn w:val="1"/>
    <w:qFormat/>
    <w:uiPriority w:val="0"/>
    <w:rPr>
      <w:rFonts w:ascii="仿宋_GB2312" w:eastAsia="仿宋_GB2312"/>
      <w:b/>
      <w:sz w:val="32"/>
      <w:szCs w:val="32"/>
    </w:rPr>
  </w:style>
  <w:style w:type="paragraph" w:customStyle="1" w:styleId="39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393">
    <w:name w:val="MM Topic 5"/>
    <w:basedOn w:val="6"/>
    <w:qFormat/>
    <w:uiPriority w:val="0"/>
    <w:pPr>
      <w:numPr>
        <w:numId w:val="4"/>
      </w:numPr>
      <w:tabs>
        <w:tab w:val="left" w:pos="2520"/>
      </w:tabs>
      <w:adjustRightInd/>
    </w:pPr>
  </w:style>
  <w:style w:type="paragraph" w:customStyle="1" w:styleId="39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397">
    <w:name w:val="Char1 Char Char Char2"/>
    <w:basedOn w:val="1"/>
    <w:qFormat/>
    <w:uiPriority w:val="0"/>
    <w:pPr>
      <w:adjustRightInd/>
      <w:ind w:firstLine="200" w:firstLineChars="200"/>
    </w:pPr>
    <w:rPr>
      <w:rFonts w:ascii="Tahoma" w:hAnsi="Tahoma"/>
      <w:sz w:val="24"/>
      <w:szCs w:val="20"/>
    </w:rPr>
  </w:style>
  <w:style w:type="paragraph" w:customStyle="1" w:styleId="398">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99">
    <w:name w:val="Char1 Char Char Char"/>
    <w:basedOn w:val="1"/>
    <w:qFormat/>
    <w:uiPriority w:val="0"/>
    <w:rPr>
      <w:rFonts w:ascii="Tahoma" w:hAnsi="Tahoma"/>
      <w:sz w:val="24"/>
      <w:szCs w:val="20"/>
    </w:rPr>
  </w:style>
  <w:style w:type="paragraph" w:customStyle="1" w:styleId="40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01">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402">
    <w:name w:val="Char Char Char Char Char Char Char1"/>
    <w:basedOn w:val="1"/>
    <w:qFormat/>
    <w:uiPriority w:val="0"/>
    <w:rPr>
      <w:rFonts w:ascii="仿宋_GB2312" w:eastAsia="仿宋_GB2312"/>
      <w:b/>
      <w:sz w:val="32"/>
      <w:szCs w:val="32"/>
    </w:rPr>
  </w:style>
  <w:style w:type="paragraph" w:customStyle="1" w:styleId="403">
    <w:name w:val="Char2 Char Char Char1"/>
    <w:basedOn w:val="1"/>
    <w:qFormat/>
    <w:uiPriority w:val="0"/>
    <w:rPr>
      <w:rFonts w:ascii="仿宋_GB2312" w:eastAsia="仿宋_GB2312"/>
      <w:b/>
      <w:sz w:val="32"/>
      <w:szCs w:val="32"/>
    </w:rPr>
  </w:style>
  <w:style w:type="paragraph" w:customStyle="1" w:styleId="40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405">
    <w:name w:val="0"/>
    <w:basedOn w:val="1"/>
    <w:qFormat/>
    <w:uiPriority w:val="0"/>
    <w:pPr>
      <w:widowControl/>
    </w:pPr>
    <w:rPr>
      <w:kern w:val="0"/>
      <w:sz w:val="24"/>
      <w:szCs w:val="20"/>
    </w:rPr>
  </w:style>
  <w:style w:type="paragraph" w:customStyle="1" w:styleId="406">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4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40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09">
    <w:name w:val="默认段落字体 Para Char Char Char1 Char"/>
    <w:basedOn w:val="1"/>
    <w:qFormat/>
    <w:uiPriority w:val="0"/>
    <w:pPr>
      <w:spacing w:line="240" w:lineRule="atLeast"/>
      <w:ind w:left="420" w:firstLine="420"/>
    </w:pPr>
    <w:rPr>
      <w:sz w:val="24"/>
    </w:rPr>
  </w:style>
  <w:style w:type="paragraph" w:customStyle="1" w:styleId="410">
    <w:name w:val="样式 正文文本缩进 + 段前: 2 字符"/>
    <w:basedOn w:val="1"/>
    <w:qFormat/>
    <w:uiPriority w:val="0"/>
    <w:pPr>
      <w:adjustRightInd/>
      <w:ind w:left="420" w:leftChars="200"/>
      <w:jc w:val="left"/>
    </w:pPr>
    <w:rPr>
      <w:sz w:val="28"/>
      <w:szCs w:val="20"/>
      <w:lang w:eastAsia="zh-TW"/>
    </w:rPr>
  </w:style>
  <w:style w:type="paragraph" w:customStyle="1" w:styleId="411">
    <w:name w:val="标书标题2"/>
    <w:basedOn w:val="4"/>
    <w:qFormat/>
    <w:uiPriority w:val="0"/>
    <w:pPr>
      <w:keepLines w:val="0"/>
      <w:widowControl/>
      <w:numPr>
        <w:numId w:val="0"/>
      </w:numPr>
      <w:tabs>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12">
    <w:name w:val="表格"/>
    <w:basedOn w:val="1"/>
    <w:qFormat/>
    <w:uiPriority w:val="0"/>
    <w:pPr>
      <w:snapToGrid w:val="0"/>
      <w:ind w:firstLine="42" w:firstLineChars="21"/>
    </w:pPr>
    <w:rPr>
      <w:rFonts w:ascii="宋体" w:hAnsi="宋体"/>
      <w:kern w:val="0"/>
      <w:sz w:val="20"/>
      <w:szCs w:val="20"/>
    </w:rPr>
  </w:style>
  <w:style w:type="paragraph" w:customStyle="1" w:styleId="41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14">
    <w:name w:val="样式 标题 3标题 3 Char第二层条h33Bold Headbh章标题1小标题level_3PIM 3..."/>
    <w:basedOn w:val="2"/>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5">
    <w:name w:val="数字标题6"/>
    <w:basedOn w:val="7"/>
    <w:next w:val="1"/>
    <w:qFormat/>
    <w:uiPriority w:val="0"/>
    <w:pPr>
      <w:numPr>
        <w:numId w:val="5"/>
      </w:numPr>
      <w:tabs>
        <w:tab w:val="left" w:pos="1080"/>
      </w:tabs>
    </w:pPr>
    <w:rPr>
      <w:rFonts w:ascii="Times New Roman" w:hAnsi="Times New Roman" w:eastAsia="宋体"/>
      <w:i/>
    </w:rPr>
  </w:style>
  <w:style w:type="paragraph" w:customStyle="1" w:styleId="41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17">
    <w:name w:val="P1"/>
    <w:basedOn w:val="1"/>
    <w:qFormat/>
    <w:uiPriority w:val="0"/>
    <w:pPr>
      <w:adjustRightInd/>
      <w:spacing w:line="288" w:lineRule="auto"/>
      <w:ind w:firstLine="425" w:firstLineChars="200"/>
    </w:pPr>
  </w:style>
  <w:style w:type="paragraph" w:customStyle="1" w:styleId="41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19">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20">
    <w:name w:val="正文文字 2"/>
    <w:basedOn w:val="421"/>
    <w:next w:val="421"/>
    <w:qFormat/>
    <w:uiPriority w:val="0"/>
    <w:rPr>
      <w:rFonts w:ascii="宋体" w:eastAsia="宋体" w:cs="Times New Roman"/>
      <w:color w:val="auto"/>
    </w:rPr>
  </w:style>
  <w:style w:type="paragraph" w:customStyle="1" w:styleId="421">
    <w:name w:val="Default"/>
    <w:next w:val="42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22">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2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24">
    <w:name w:val="Char Char4 Char Char"/>
    <w:basedOn w:val="1"/>
    <w:qFormat/>
    <w:uiPriority w:val="0"/>
    <w:pPr>
      <w:widowControl/>
      <w:adjustRightInd/>
      <w:spacing w:after="160" w:line="240" w:lineRule="exact"/>
      <w:jc w:val="left"/>
    </w:pPr>
  </w:style>
  <w:style w:type="paragraph" w:customStyle="1" w:styleId="425">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6">
    <w:name w:val="_Style 12"/>
    <w:basedOn w:val="18"/>
    <w:qFormat/>
    <w:uiPriority w:val="0"/>
    <w:pPr>
      <w:snapToGrid w:val="0"/>
      <w:spacing w:line="360" w:lineRule="auto"/>
    </w:pPr>
  </w:style>
  <w:style w:type="paragraph" w:customStyle="1" w:styleId="427">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28">
    <w:name w:val="Char Char1 Char1"/>
    <w:basedOn w:val="1"/>
    <w:qFormat/>
    <w:uiPriority w:val="0"/>
    <w:rPr>
      <w:rFonts w:ascii="仿宋_GB2312" w:eastAsia="仿宋_GB2312"/>
      <w:b/>
      <w:sz w:val="32"/>
      <w:szCs w:val="32"/>
    </w:rPr>
  </w:style>
  <w:style w:type="paragraph" w:customStyle="1" w:styleId="429">
    <w:name w:val="Char2 Char Char"/>
    <w:basedOn w:val="1"/>
    <w:qFormat/>
    <w:uiPriority w:val="0"/>
    <w:pPr>
      <w:adjustRightInd/>
    </w:pPr>
    <w:rPr>
      <w:rFonts w:ascii="Tahoma" w:hAnsi="Tahoma"/>
      <w:sz w:val="24"/>
      <w:szCs w:val="20"/>
    </w:rPr>
  </w:style>
  <w:style w:type="paragraph" w:customStyle="1" w:styleId="43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31">
    <w:name w:val="MM Empty"/>
    <w:basedOn w:val="1"/>
    <w:qFormat/>
    <w:uiPriority w:val="0"/>
    <w:pPr>
      <w:adjustRightInd/>
    </w:pPr>
  </w:style>
  <w:style w:type="paragraph" w:customStyle="1" w:styleId="432">
    <w:name w:val="正文表标题"/>
    <w:next w:val="34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3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3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36">
    <w:name w:val="Char2 Char Char1"/>
    <w:basedOn w:val="1"/>
    <w:qFormat/>
    <w:uiPriority w:val="0"/>
    <w:pPr>
      <w:adjustRightInd/>
    </w:pPr>
    <w:rPr>
      <w:rFonts w:ascii="Tahoma" w:hAnsi="Tahoma"/>
      <w:sz w:val="24"/>
      <w:szCs w:val="20"/>
    </w:rPr>
  </w:style>
  <w:style w:type="paragraph" w:customStyle="1" w:styleId="437">
    <w:name w:val="数字标题3"/>
    <w:basedOn w:val="2"/>
    <w:next w:val="1"/>
    <w:qFormat/>
    <w:uiPriority w:val="0"/>
    <w:pPr>
      <w:numPr>
        <w:numId w:val="0"/>
      </w:numPr>
      <w:spacing w:line="240" w:lineRule="auto"/>
    </w:pPr>
    <w:rPr>
      <w:sz w:val="28"/>
      <w:szCs w:val="28"/>
    </w:rPr>
  </w:style>
  <w:style w:type="paragraph" w:customStyle="1" w:styleId="438">
    <w:name w:val="彩色列表 - 强调文字颜色 12"/>
    <w:basedOn w:val="1"/>
    <w:qFormat/>
    <w:uiPriority w:val="0"/>
    <w:pPr>
      <w:adjustRightInd/>
      <w:ind w:firstLine="420" w:firstLineChars="200"/>
    </w:pPr>
    <w:rPr>
      <w:rFonts w:ascii="Calibri" w:hAnsi="Calibri"/>
      <w:szCs w:val="22"/>
    </w:rPr>
  </w:style>
  <w:style w:type="paragraph" w:customStyle="1" w:styleId="439">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44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441">
    <w:name w:val="正文（标题三）"/>
    <w:basedOn w:val="1"/>
    <w:qFormat/>
    <w:uiPriority w:val="0"/>
    <w:pPr>
      <w:spacing w:line="360" w:lineRule="auto"/>
      <w:ind w:firstLine="200" w:firstLineChars="200"/>
    </w:pPr>
    <w:rPr>
      <w:sz w:val="24"/>
    </w:rPr>
  </w:style>
  <w:style w:type="paragraph" w:customStyle="1" w:styleId="442">
    <w:name w:val="Char Char Char1 Char"/>
    <w:basedOn w:val="1"/>
    <w:qFormat/>
    <w:uiPriority w:val="0"/>
    <w:rPr>
      <w:szCs w:val="20"/>
    </w:rPr>
  </w:style>
  <w:style w:type="paragraph" w:customStyle="1" w:styleId="44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444">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445">
    <w:name w:val="标题五"/>
    <w:basedOn w:val="1"/>
    <w:qFormat/>
    <w:uiPriority w:val="0"/>
    <w:pPr>
      <w:adjustRightInd/>
      <w:spacing w:beforeLines="50" w:line="360" w:lineRule="auto"/>
    </w:pPr>
    <w:rPr>
      <w:b/>
      <w:sz w:val="24"/>
    </w:rPr>
  </w:style>
  <w:style w:type="paragraph" w:customStyle="1" w:styleId="446">
    <w:name w:val="Char Char Char Char Char Char Char Char Char Char Char Char1 Char1"/>
    <w:basedOn w:val="1"/>
    <w:qFormat/>
    <w:uiPriority w:val="0"/>
    <w:rPr>
      <w:rFonts w:ascii="Tahoma" w:hAnsi="Tahoma" w:cs="仿宋_GB2312"/>
      <w:sz w:val="24"/>
      <w:szCs w:val="20"/>
    </w:rPr>
  </w:style>
  <w:style w:type="paragraph" w:customStyle="1" w:styleId="447">
    <w:name w:val="Bulleted List"/>
    <w:basedOn w:val="1"/>
    <w:qFormat/>
    <w:uiPriority w:val="0"/>
    <w:pPr>
      <w:tabs>
        <w:tab w:val="left" w:pos="1260"/>
      </w:tabs>
      <w:adjustRightInd/>
      <w:ind w:left="1260" w:hanging="420"/>
    </w:pPr>
  </w:style>
  <w:style w:type="paragraph" w:customStyle="1" w:styleId="448">
    <w:name w:val="Char Char1 Char Char Char"/>
    <w:basedOn w:val="1"/>
    <w:qFormat/>
    <w:uiPriority w:val="0"/>
    <w:rPr>
      <w:rFonts w:ascii="仿宋_GB2312" w:eastAsia="仿宋_GB2312"/>
      <w:b/>
      <w:sz w:val="32"/>
      <w:szCs w:val="20"/>
    </w:rPr>
  </w:style>
  <w:style w:type="paragraph" w:customStyle="1" w:styleId="44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0">
    <w:name w:val="数字标题2"/>
    <w:basedOn w:val="4"/>
    <w:next w:val="1"/>
    <w:qFormat/>
    <w:uiPriority w:val="0"/>
    <w:pPr>
      <w:numPr>
        <w:ilvl w:val="1"/>
        <w:numId w:val="5"/>
      </w:numPr>
    </w:pPr>
    <w:rPr>
      <w:rFonts w:ascii="Times New Roman" w:eastAsia="宋体"/>
      <w:i/>
      <w:sz w:val="36"/>
      <w:szCs w:val="36"/>
      <w:lang w:val="en-US"/>
    </w:rPr>
  </w:style>
  <w:style w:type="paragraph" w:customStyle="1" w:styleId="451">
    <w:name w:val="小节"/>
    <w:basedOn w:val="2"/>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452">
    <w:name w:val="Char21"/>
    <w:basedOn w:val="1"/>
    <w:qFormat/>
    <w:uiPriority w:val="0"/>
    <w:pPr>
      <w:adjustRightInd/>
      <w:ind w:firstLine="200" w:firstLineChars="200"/>
    </w:pPr>
    <w:rPr>
      <w:rFonts w:ascii="仿宋_GB2312" w:eastAsia="仿宋_GB2312"/>
      <w:b/>
      <w:sz w:val="32"/>
      <w:szCs w:val="32"/>
    </w:rPr>
  </w:style>
  <w:style w:type="paragraph" w:customStyle="1" w:styleId="45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styleId="45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5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5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5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9">
    <w:name w:val="标书表格字体格式"/>
    <w:next w:val="306"/>
    <w:qFormat/>
    <w:uiPriority w:val="0"/>
    <w:rPr>
      <w:rFonts w:ascii="Times New Roman" w:hAnsi="Times New Roman" w:eastAsia="宋体" w:cs="Times New Roman"/>
      <w:kern w:val="2"/>
      <w:sz w:val="21"/>
      <w:szCs w:val="24"/>
      <w:lang w:val="en-US" w:eastAsia="zh-CN" w:bidi="ar-SA"/>
    </w:rPr>
  </w:style>
  <w:style w:type="paragraph" w:customStyle="1" w:styleId="46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6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62">
    <w:name w:val="五级条标题"/>
    <w:basedOn w:val="463"/>
    <w:next w:val="347"/>
    <w:qFormat/>
    <w:uiPriority w:val="0"/>
    <w:pPr>
      <w:numPr>
        <w:ilvl w:val="6"/>
      </w:numPr>
      <w:tabs>
        <w:tab w:val="left" w:pos="1260"/>
        <w:tab w:val="left" w:pos="1680"/>
        <w:tab w:val="left" w:pos="2100"/>
        <w:tab w:val="left" w:pos="2520"/>
        <w:tab w:val="left" w:pos="2940"/>
      </w:tabs>
      <w:outlineLvl w:val="6"/>
    </w:pPr>
  </w:style>
  <w:style w:type="paragraph" w:customStyle="1" w:styleId="463">
    <w:name w:val="四级条标题"/>
    <w:basedOn w:val="464"/>
    <w:next w:val="347"/>
    <w:qFormat/>
    <w:uiPriority w:val="0"/>
    <w:pPr>
      <w:numPr>
        <w:ilvl w:val="5"/>
        <w:numId w:val="4"/>
      </w:numPr>
      <w:tabs>
        <w:tab w:val="left" w:pos="1260"/>
        <w:tab w:val="left" w:pos="1680"/>
        <w:tab w:val="left" w:pos="2100"/>
        <w:tab w:val="left" w:pos="2520"/>
      </w:tabs>
      <w:outlineLvl w:val="5"/>
    </w:pPr>
  </w:style>
  <w:style w:type="paragraph" w:customStyle="1" w:styleId="464">
    <w:name w:val="三级条标题"/>
    <w:basedOn w:val="465"/>
    <w:next w:val="347"/>
    <w:qFormat/>
    <w:uiPriority w:val="0"/>
    <w:pPr>
      <w:tabs>
        <w:tab w:val="left" w:pos="1260"/>
        <w:tab w:val="left" w:pos="1680"/>
        <w:tab w:val="left" w:pos="2100"/>
        <w:tab w:val="left" w:pos="2520"/>
      </w:tabs>
      <w:ind w:left="2520"/>
      <w:outlineLvl w:val="4"/>
    </w:pPr>
  </w:style>
  <w:style w:type="paragraph" w:customStyle="1" w:styleId="465">
    <w:name w:val="二级条标题"/>
    <w:basedOn w:val="466"/>
    <w:next w:val="347"/>
    <w:qFormat/>
    <w:uiPriority w:val="0"/>
    <w:pPr>
      <w:tabs>
        <w:tab w:val="left" w:pos="1260"/>
        <w:tab w:val="left" w:pos="1680"/>
        <w:tab w:val="left" w:pos="2100"/>
      </w:tabs>
      <w:ind w:left="0"/>
      <w:outlineLvl w:val="3"/>
    </w:pPr>
  </w:style>
  <w:style w:type="paragraph" w:customStyle="1" w:styleId="466">
    <w:name w:val="一级条标题"/>
    <w:basedOn w:val="467"/>
    <w:next w:val="347"/>
    <w:qFormat/>
    <w:uiPriority w:val="0"/>
    <w:pPr>
      <w:tabs>
        <w:tab w:val="left" w:pos="1260"/>
        <w:tab w:val="left" w:pos="1680"/>
      </w:tabs>
      <w:spacing w:beforeLines="0" w:afterLines="0"/>
      <w:ind w:left="1680"/>
      <w:outlineLvl w:val="2"/>
    </w:pPr>
  </w:style>
  <w:style w:type="paragraph" w:customStyle="1" w:styleId="467">
    <w:name w:val="章标题"/>
    <w:next w:val="34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468">
    <w:name w:val="数字标题4"/>
    <w:basedOn w:val="5"/>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46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70">
    <w:name w:val="样式 标题 22h2L1 Heading 2H2sect 1.2H21sect 1.21H22sect 1.2..."/>
    <w:basedOn w:val="4"/>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47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7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73">
    <w:name w:val="数字标题1"/>
    <w:basedOn w:val="3"/>
    <w:next w:val="1"/>
    <w:qFormat/>
    <w:uiPriority w:val="0"/>
    <w:pPr>
      <w:numPr>
        <w:ilvl w:val="0"/>
        <w:numId w:val="5"/>
      </w:numPr>
      <w:tabs>
        <w:tab w:val="left" w:pos="432"/>
      </w:tabs>
    </w:pPr>
  </w:style>
  <w:style w:type="paragraph" w:customStyle="1" w:styleId="474">
    <w:name w:val="正文 项目2"/>
    <w:basedOn w:val="373"/>
    <w:qFormat/>
    <w:uiPriority w:val="0"/>
    <w:pPr>
      <w:numPr>
        <w:ilvl w:val="0"/>
        <w:numId w:val="6"/>
      </w:numPr>
      <w:tabs>
        <w:tab w:val="clear" w:pos="840"/>
      </w:tabs>
      <w:spacing w:after="0"/>
    </w:pPr>
  </w:style>
  <w:style w:type="paragraph" w:customStyle="1" w:styleId="47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47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7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7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0">
    <w:name w:val="Char Char Char1 Char1"/>
    <w:basedOn w:val="1"/>
    <w:qFormat/>
    <w:uiPriority w:val="0"/>
    <w:rPr>
      <w:szCs w:val="20"/>
    </w:rPr>
  </w:style>
  <w:style w:type="paragraph" w:customStyle="1" w:styleId="481">
    <w:name w:val="Char1 Char Char Char4"/>
    <w:basedOn w:val="1"/>
    <w:qFormat/>
    <w:uiPriority w:val="0"/>
    <w:pPr>
      <w:adjustRightInd/>
      <w:ind w:firstLine="200" w:firstLineChars="200"/>
    </w:pPr>
    <w:rPr>
      <w:rFonts w:ascii="Tahoma" w:hAnsi="Tahoma"/>
      <w:sz w:val="24"/>
      <w:szCs w:val="20"/>
    </w:rPr>
  </w:style>
  <w:style w:type="paragraph" w:customStyle="1" w:styleId="482">
    <w:name w:val="TOC 标题2"/>
    <w:basedOn w:val="3"/>
    <w:next w:val="1"/>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48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8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8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8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87">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48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8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90">
    <w:name w:val="Char Char11 Char Char Char1"/>
    <w:basedOn w:val="1"/>
    <w:qFormat/>
    <w:uiPriority w:val="0"/>
    <w:pPr>
      <w:spacing w:line="360" w:lineRule="auto"/>
    </w:pPr>
    <w:rPr>
      <w:szCs w:val="20"/>
    </w:rPr>
  </w:style>
  <w:style w:type="paragraph" w:customStyle="1" w:styleId="49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92">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3">
    <w:name w:val="Char Char Char Char Char Char Char Char"/>
    <w:basedOn w:val="1"/>
    <w:qFormat/>
    <w:uiPriority w:val="0"/>
    <w:pPr>
      <w:tabs>
        <w:tab w:val="left" w:pos="360"/>
      </w:tabs>
    </w:pPr>
    <w:rPr>
      <w:sz w:val="24"/>
      <w:szCs w:val="20"/>
    </w:rPr>
  </w:style>
  <w:style w:type="paragraph" w:customStyle="1" w:styleId="494">
    <w:name w:val="表格（小）"/>
    <w:basedOn w:val="1"/>
    <w:qFormat/>
    <w:uiPriority w:val="0"/>
    <w:pPr>
      <w:adjustRightInd/>
      <w:snapToGrid w:val="0"/>
      <w:spacing w:line="300" w:lineRule="auto"/>
    </w:pPr>
    <w:rPr>
      <w:rFonts w:eastAsia="仿宋"/>
      <w:szCs w:val="21"/>
    </w:rPr>
  </w:style>
  <w:style w:type="paragraph" w:customStyle="1" w:styleId="495">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49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497">
    <w:name w:val="List Paragraph1"/>
    <w:basedOn w:val="1"/>
    <w:qFormat/>
    <w:uiPriority w:val="34"/>
    <w:pPr>
      <w:spacing w:line="360" w:lineRule="auto"/>
      <w:ind w:firstLine="200" w:firstLineChars="200"/>
    </w:pPr>
    <w:rPr>
      <w:rFonts w:eastAsia="楷体_GB2312" w:cs="Lucida Sans"/>
      <w:sz w:val="24"/>
    </w:rPr>
  </w:style>
  <w:style w:type="paragraph" w:customStyle="1" w:styleId="498">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9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0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01">
    <w:name w:val="Table Text"/>
    <w:basedOn w:val="1"/>
    <w:qFormat/>
    <w:uiPriority w:val="0"/>
    <w:pPr>
      <w:widowControl/>
      <w:spacing w:before="60" w:after="60"/>
      <w:jc w:val="left"/>
    </w:pPr>
    <w:rPr>
      <w:kern w:val="0"/>
      <w:sz w:val="24"/>
    </w:rPr>
  </w:style>
  <w:style w:type="paragraph" w:customStyle="1" w:styleId="502">
    <w:name w:val="标书标题3"/>
    <w:basedOn w:val="2"/>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03">
    <w:name w:val="Char23"/>
    <w:basedOn w:val="1"/>
    <w:qFormat/>
    <w:uiPriority w:val="0"/>
    <w:rPr>
      <w:rFonts w:ascii="仿宋_GB2312" w:eastAsia="仿宋_GB2312"/>
      <w:b/>
      <w:sz w:val="32"/>
      <w:szCs w:val="32"/>
    </w:rPr>
  </w:style>
  <w:style w:type="paragraph" w:styleId="504">
    <w:name w:val="List Paragraph"/>
    <w:basedOn w:val="1"/>
    <w:qFormat/>
    <w:uiPriority w:val="34"/>
    <w:pPr>
      <w:spacing w:line="360" w:lineRule="auto"/>
      <w:ind w:firstLine="200" w:firstLineChars="200"/>
    </w:pPr>
    <w:rPr>
      <w:rFonts w:eastAsia="楷体_GB2312" w:cs="Lucida Sans"/>
      <w:sz w:val="24"/>
    </w:rPr>
  </w:style>
  <w:style w:type="paragraph" w:customStyle="1" w:styleId="505">
    <w:name w:val="Char Char Char Char Char Char Char Char1"/>
    <w:basedOn w:val="1"/>
    <w:qFormat/>
    <w:uiPriority w:val="0"/>
    <w:pPr>
      <w:tabs>
        <w:tab w:val="left" w:pos="360"/>
      </w:tabs>
    </w:pPr>
    <w:rPr>
      <w:sz w:val="24"/>
      <w:szCs w:val="20"/>
    </w:rPr>
  </w:style>
  <w:style w:type="paragraph" w:customStyle="1" w:styleId="50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07">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08">
    <w:name w:val="样式 标题 1Level 1 HeadPIM 1Section Headh1l11Heading 0Datash..."/>
    <w:basedOn w:val="3"/>
    <w:qFormat/>
    <w:uiPriority w:val="0"/>
    <w:pPr>
      <w:widowControl/>
      <w:tabs>
        <w:tab w:val="left" w:pos="432"/>
      </w:tabs>
      <w:overflowPunct w:val="0"/>
      <w:autoSpaceDE w:val="0"/>
      <w:autoSpaceDN w:val="0"/>
      <w:spacing w:after="100"/>
      <w:jc w:val="left"/>
      <w:textAlignment w:val="baseline"/>
    </w:pPr>
    <w:rPr>
      <w:rFonts w:ascii="宋体" w:hAnsi="宋体"/>
      <w:sz w:val="24"/>
      <w:szCs w:val="20"/>
    </w:rPr>
  </w:style>
  <w:style w:type="paragraph" w:customStyle="1" w:styleId="50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510">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tabs>
        <w:tab w:val="left" w:pos="432"/>
      </w:tabs>
      <w:spacing w:line="640" w:lineRule="exact"/>
      <w:ind w:left="431" w:hanging="431"/>
    </w:pPr>
    <w:rPr>
      <w:rFonts w:ascii="黑体" w:hAnsi="黑体" w:eastAsia="黑体" w:cs="Arial"/>
      <w:caps/>
      <w:color w:val="FFFFFF"/>
      <w:sz w:val="30"/>
      <w:szCs w:val="20"/>
    </w:rPr>
  </w:style>
  <w:style w:type="paragraph" w:customStyle="1" w:styleId="511">
    <w:name w:val="WW-正文文字缩进 2"/>
    <w:basedOn w:val="1"/>
    <w:qFormat/>
    <w:uiPriority w:val="0"/>
    <w:pPr>
      <w:suppressAutoHyphens/>
      <w:adjustRightInd/>
      <w:ind w:firstLine="420"/>
    </w:pPr>
    <w:rPr>
      <w:kern w:val="1"/>
      <w:szCs w:val="20"/>
    </w:rPr>
  </w:style>
  <w:style w:type="paragraph" w:customStyle="1" w:styleId="51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1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14">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1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16">
    <w:name w:val="四号　首行缩进"/>
    <w:basedOn w:val="1"/>
    <w:qFormat/>
    <w:uiPriority w:val="0"/>
    <w:pPr>
      <w:adjustRightInd/>
      <w:spacing w:line="360" w:lineRule="auto"/>
    </w:pPr>
    <w:rPr>
      <w:rFonts w:ascii="宋体" w:hAnsi="宋体"/>
      <w:szCs w:val="20"/>
    </w:rPr>
  </w:style>
  <w:style w:type="paragraph" w:customStyle="1" w:styleId="517">
    <w:name w:val="样式 标题 3H3 + 两端对齐"/>
    <w:basedOn w:val="2"/>
    <w:qFormat/>
    <w:uiPriority w:val="0"/>
    <w:pPr>
      <w:keepLines w:val="0"/>
      <w:numPr>
        <w:numId w:val="0"/>
      </w:numPr>
      <w:spacing w:before="0" w:after="0" w:line="240" w:lineRule="auto"/>
      <w:jc w:val="left"/>
    </w:pPr>
    <w:rPr>
      <w:rFonts w:cs="宋体"/>
      <w:sz w:val="21"/>
      <w:szCs w:val="20"/>
    </w:rPr>
  </w:style>
  <w:style w:type="paragraph" w:customStyle="1" w:styleId="518">
    <w:name w:val="bullet"/>
    <w:basedOn w:val="1"/>
    <w:qFormat/>
    <w:uiPriority w:val="0"/>
    <w:pPr>
      <w:tabs>
        <w:tab w:val="left" w:pos="840"/>
      </w:tabs>
      <w:adjustRightInd/>
      <w:ind w:left="840" w:hanging="420"/>
    </w:pPr>
  </w:style>
  <w:style w:type="paragraph" w:customStyle="1" w:styleId="51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2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21">
    <w:name w:val="单元格居中"/>
    <w:basedOn w:val="1"/>
    <w:qFormat/>
    <w:uiPriority w:val="0"/>
    <w:pPr>
      <w:adjustRightInd/>
      <w:spacing w:line="360" w:lineRule="auto"/>
      <w:jc w:val="center"/>
    </w:pPr>
    <w:rPr>
      <w:sz w:val="24"/>
    </w:rPr>
  </w:style>
  <w:style w:type="paragraph" w:customStyle="1" w:styleId="522">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23">
    <w:name w:val="Char Char14"/>
    <w:basedOn w:val="1"/>
    <w:qFormat/>
    <w:uiPriority w:val="0"/>
    <w:pPr>
      <w:spacing w:line="360" w:lineRule="auto"/>
    </w:pPr>
    <w:rPr>
      <w:rFonts w:ascii="Tahoma" w:hAnsi="Tahoma"/>
      <w:sz w:val="24"/>
      <w:szCs w:val="20"/>
    </w:rPr>
  </w:style>
  <w:style w:type="paragraph" w:customStyle="1" w:styleId="52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2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26">
    <w:name w:val="Char3 Char Char Char1"/>
    <w:basedOn w:val="1"/>
    <w:qFormat/>
    <w:uiPriority w:val="0"/>
    <w:pPr>
      <w:widowControl/>
      <w:adjustRightInd/>
      <w:spacing w:after="160" w:line="240" w:lineRule="exact"/>
      <w:jc w:val="left"/>
    </w:pPr>
    <w:rPr>
      <w:szCs w:val="20"/>
    </w:rPr>
  </w:style>
  <w:style w:type="paragraph" w:customStyle="1" w:styleId="527">
    <w:name w:val="Char Char Char Char Char Char Char Char Char Char"/>
    <w:basedOn w:val="1"/>
    <w:qFormat/>
    <w:uiPriority w:val="0"/>
    <w:rPr>
      <w:rFonts w:ascii="仿宋_GB2312" w:eastAsia="仿宋_GB2312"/>
      <w:b/>
      <w:sz w:val="32"/>
      <w:szCs w:val="32"/>
    </w:rPr>
  </w:style>
  <w:style w:type="paragraph" w:customStyle="1" w:styleId="52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2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530">
    <w:name w:val="EB_表格"/>
    <w:basedOn w:val="1"/>
    <w:qFormat/>
    <w:uiPriority w:val="0"/>
    <w:pPr>
      <w:adjustRightInd/>
      <w:spacing w:line="300" w:lineRule="auto"/>
      <w:jc w:val="center"/>
    </w:pPr>
  </w:style>
  <w:style w:type="paragraph" w:customStyle="1" w:styleId="531">
    <w:name w:val="Char5"/>
    <w:basedOn w:val="1"/>
    <w:qFormat/>
    <w:uiPriority w:val="0"/>
    <w:rPr>
      <w:rFonts w:ascii="仿宋_GB2312" w:eastAsia="仿宋_GB2312"/>
      <w:b/>
      <w:sz w:val="32"/>
      <w:szCs w:val="32"/>
    </w:rPr>
  </w:style>
  <w:style w:type="paragraph" w:customStyle="1" w:styleId="53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33">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53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35">
    <w:name w:val="表格题注"/>
    <w:next w:val="1"/>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5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537">
    <w:name w:val="MM Topic 1"/>
    <w:basedOn w:val="3"/>
    <w:qFormat/>
    <w:uiPriority w:val="0"/>
    <w:pPr>
      <w:tabs>
        <w:tab w:val="left" w:pos="432"/>
        <w:tab w:val="left" w:pos="840"/>
      </w:tabs>
      <w:ind w:left="840" w:hanging="420"/>
    </w:pPr>
  </w:style>
  <w:style w:type="paragraph" w:customStyle="1" w:styleId="53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3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40">
    <w:name w:val="插图题注"/>
    <w:next w:val="1"/>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54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42">
    <w:name w:val="列表内容"/>
    <w:basedOn w:val="1"/>
    <w:next w:val="1"/>
    <w:qFormat/>
    <w:uiPriority w:val="0"/>
    <w:pPr>
      <w:widowControl/>
      <w:tabs>
        <w:tab w:val="left" w:pos="840"/>
      </w:tabs>
      <w:ind w:left="840" w:hanging="420"/>
      <w:jc w:val="left"/>
    </w:pPr>
    <w:rPr>
      <w:kern w:val="0"/>
      <w:sz w:val="18"/>
    </w:rPr>
  </w:style>
  <w:style w:type="paragraph" w:customStyle="1" w:styleId="54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54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54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546">
    <w:name w:val="Char1 Char Char Char1"/>
    <w:basedOn w:val="1"/>
    <w:qFormat/>
    <w:uiPriority w:val="0"/>
    <w:pPr>
      <w:adjustRightInd/>
      <w:ind w:firstLine="200" w:firstLineChars="200"/>
    </w:pPr>
    <w:rPr>
      <w:rFonts w:ascii="Tahoma" w:hAnsi="Tahoma"/>
      <w:sz w:val="24"/>
      <w:szCs w:val="20"/>
    </w:rPr>
  </w:style>
  <w:style w:type="paragraph" w:customStyle="1" w:styleId="547">
    <w:name w:val="图中文字"/>
    <w:basedOn w:val="1"/>
    <w:qFormat/>
    <w:uiPriority w:val="0"/>
    <w:pPr>
      <w:snapToGrid w:val="0"/>
      <w:spacing w:line="0" w:lineRule="atLeast"/>
      <w:ind w:firstLine="200" w:firstLineChars="200"/>
      <w:jc w:val="center"/>
    </w:pPr>
    <w:rPr>
      <w:sz w:val="24"/>
      <w:szCs w:val="20"/>
    </w:rPr>
  </w:style>
  <w:style w:type="paragraph" w:customStyle="1" w:styleId="548">
    <w:name w:val="正文段"/>
    <w:basedOn w:val="1"/>
    <w:qFormat/>
    <w:uiPriority w:val="0"/>
    <w:pPr>
      <w:widowControl/>
      <w:snapToGrid w:val="0"/>
      <w:spacing w:afterLines="50"/>
      <w:ind w:firstLine="200" w:firstLineChars="200"/>
    </w:pPr>
    <w:rPr>
      <w:kern w:val="0"/>
      <w:sz w:val="24"/>
      <w:szCs w:val="20"/>
    </w:rPr>
  </w:style>
  <w:style w:type="paragraph" w:customStyle="1" w:styleId="54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55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51">
    <w:name w:val="样式 样式2 + 左侧:  1 字符 右侧:  1 字符"/>
    <w:basedOn w:val="48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52">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55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55">
    <w:name w:val="Char Char Char Char Char Char Char Char Char Char1"/>
    <w:basedOn w:val="1"/>
    <w:qFormat/>
    <w:uiPriority w:val="0"/>
    <w:rPr>
      <w:rFonts w:ascii="仿宋_GB2312" w:eastAsia="仿宋_GB2312"/>
      <w:b/>
      <w:sz w:val="32"/>
      <w:szCs w:val="32"/>
    </w:rPr>
  </w:style>
  <w:style w:type="paragraph" w:customStyle="1" w:styleId="556">
    <w:name w:val="注释"/>
    <w:basedOn w:val="1"/>
    <w:qFormat/>
    <w:uiPriority w:val="0"/>
    <w:pPr>
      <w:adjustRightInd/>
      <w:spacing w:line="360" w:lineRule="auto"/>
      <w:ind w:firstLine="480"/>
    </w:pPr>
    <w:rPr>
      <w:sz w:val="24"/>
    </w:rPr>
  </w:style>
  <w:style w:type="paragraph" w:customStyle="1" w:styleId="55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5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正文 首行缩进:  2 字符 Char"/>
    <w:basedOn w:val="1"/>
    <w:qFormat/>
    <w:uiPriority w:val="0"/>
    <w:pPr>
      <w:adjustRightInd/>
      <w:spacing w:line="360" w:lineRule="auto"/>
      <w:ind w:firstLine="480"/>
    </w:pPr>
    <w:rPr>
      <w:rFonts w:cs="宋体"/>
      <w:sz w:val="24"/>
      <w:szCs w:val="20"/>
    </w:rPr>
  </w:style>
  <w:style w:type="paragraph" w:customStyle="1" w:styleId="56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6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63">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564">
    <w:name w:val="样式7"/>
    <w:basedOn w:val="369"/>
    <w:next w:val="1"/>
    <w:qFormat/>
    <w:uiPriority w:val="0"/>
    <w:pPr>
      <w:spacing w:afterLines="50"/>
      <w:jc w:val="left"/>
      <w:outlineLvl w:val="3"/>
    </w:pPr>
    <w:rPr>
      <w:sz w:val="24"/>
      <w:szCs w:val="24"/>
    </w:rPr>
  </w:style>
  <w:style w:type="paragraph" w:customStyle="1" w:styleId="56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66">
    <w:name w:val="单元格左对齐"/>
    <w:basedOn w:val="1"/>
    <w:qFormat/>
    <w:uiPriority w:val="0"/>
    <w:pPr>
      <w:adjustRightInd/>
      <w:spacing w:line="360" w:lineRule="auto"/>
    </w:pPr>
    <w:rPr>
      <w:sz w:val="24"/>
    </w:rPr>
  </w:style>
  <w:style w:type="paragraph" w:customStyle="1" w:styleId="567">
    <w:name w:val="Char Char1 Char Char Char1"/>
    <w:basedOn w:val="1"/>
    <w:qFormat/>
    <w:uiPriority w:val="0"/>
    <w:rPr>
      <w:rFonts w:ascii="仿宋_GB2312" w:eastAsia="仿宋_GB2312"/>
      <w:b/>
      <w:sz w:val="32"/>
      <w:szCs w:val="32"/>
    </w:rPr>
  </w:style>
  <w:style w:type="paragraph" w:customStyle="1" w:styleId="56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69">
    <w:name w:val="样式 标题 1章节第一层h1H"/>
    <w:basedOn w:val="3"/>
    <w:qFormat/>
    <w:uiPriority w:val="0"/>
    <w:pPr>
      <w:tabs>
        <w:tab w:val="left" w:pos="432"/>
      </w:tabs>
      <w:autoSpaceDE w:val="0"/>
      <w:autoSpaceDN w:val="0"/>
      <w:spacing w:line="240" w:lineRule="auto"/>
      <w:jc w:val="left"/>
      <w:outlineLvl w:val="9"/>
    </w:pPr>
    <w:rPr>
      <w:kern w:val="0"/>
      <w:sz w:val="52"/>
      <w:szCs w:val="52"/>
      <w:lang w:val="zh-CN"/>
    </w:rPr>
  </w:style>
  <w:style w:type="paragraph" w:customStyle="1" w:styleId="570">
    <w:name w:val="正文文字表格居中"/>
    <w:basedOn w:val="1"/>
    <w:next w:val="55"/>
    <w:qFormat/>
    <w:uiPriority w:val="0"/>
    <w:pPr>
      <w:snapToGrid w:val="0"/>
      <w:spacing w:line="360" w:lineRule="auto"/>
    </w:pPr>
    <w:rPr>
      <w:rFonts w:ascii="宋体"/>
      <w:b/>
      <w:sz w:val="24"/>
      <w:szCs w:val="20"/>
    </w:rPr>
  </w:style>
  <w:style w:type="paragraph" w:customStyle="1" w:styleId="57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57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57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574">
    <w:name w:val="Thf"/>
    <w:basedOn w:val="515"/>
    <w:qFormat/>
    <w:uiPriority w:val="0"/>
    <w:pPr>
      <w:ind w:left="0"/>
    </w:pPr>
  </w:style>
  <w:style w:type="paragraph" w:customStyle="1" w:styleId="57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7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77">
    <w:name w:val="Char19"/>
    <w:basedOn w:val="1"/>
    <w:qFormat/>
    <w:uiPriority w:val="0"/>
    <w:pPr>
      <w:adjustRightInd/>
    </w:pPr>
    <w:rPr>
      <w:szCs w:val="20"/>
    </w:rPr>
  </w:style>
  <w:style w:type="paragraph" w:customStyle="1" w:styleId="57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79">
    <w:name w:val="样式3"/>
    <w:basedOn w:val="486"/>
    <w:qFormat/>
    <w:uiPriority w:val="0"/>
    <w:pPr>
      <w:spacing w:beforeLines="100"/>
      <w:jc w:val="left"/>
    </w:pPr>
  </w:style>
  <w:style w:type="paragraph" w:customStyle="1" w:styleId="580">
    <w:name w:val="首行缩进"/>
    <w:basedOn w:val="1"/>
    <w:qFormat/>
    <w:uiPriority w:val="0"/>
    <w:pPr>
      <w:spacing w:line="360" w:lineRule="auto"/>
      <w:ind w:firstLine="480" w:firstLineChars="200"/>
    </w:pPr>
    <w:rPr>
      <w:rFonts w:ascii="宋体"/>
      <w:sz w:val="24"/>
      <w:szCs w:val="20"/>
    </w:rPr>
  </w:style>
  <w:style w:type="paragraph" w:customStyle="1" w:styleId="58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8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83">
    <w:name w:val="样式 标题 4PIM 4H4h4bulletblbbH41H42H43H44H45H46H47H48...1"/>
    <w:basedOn w:val="5"/>
    <w:qFormat/>
    <w:uiPriority w:val="0"/>
    <w:pPr>
      <w:widowControl/>
      <w:jc w:val="left"/>
    </w:pPr>
    <w:rPr>
      <w:rFonts w:cs="宋体"/>
      <w:sz w:val="24"/>
      <w:szCs w:val="20"/>
    </w:rPr>
  </w:style>
  <w:style w:type="paragraph" w:customStyle="1" w:styleId="58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85">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58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8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58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589">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9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9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9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94">
    <w:name w:val="p0"/>
    <w:basedOn w:val="1"/>
    <w:qFormat/>
    <w:uiPriority w:val="0"/>
    <w:pPr>
      <w:widowControl/>
      <w:adjustRightInd/>
    </w:pPr>
    <w:rPr>
      <w:kern w:val="0"/>
      <w:szCs w:val="21"/>
    </w:rPr>
  </w:style>
  <w:style w:type="paragraph" w:customStyle="1" w:styleId="595">
    <w:name w:val="修订1"/>
    <w:qFormat/>
    <w:uiPriority w:val="0"/>
    <w:rPr>
      <w:rFonts w:ascii="Times New Roman" w:hAnsi="Times New Roman" w:eastAsia="宋体" w:cs="Times New Roman"/>
      <w:kern w:val="2"/>
      <w:sz w:val="21"/>
      <w:lang w:val="en-US" w:eastAsia="zh-CN" w:bidi="ar-SA"/>
    </w:rPr>
  </w:style>
  <w:style w:type="paragraph" w:customStyle="1" w:styleId="596">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597">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9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599">
    <w:name w:val="Char Char13"/>
    <w:basedOn w:val="1"/>
    <w:qFormat/>
    <w:uiPriority w:val="0"/>
    <w:pPr>
      <w:widowControl/>
      <w:spacing w:after="160" w:line="240" w:lineRule="exact"/>
      <w:jc w:val="left"/>
    </w:pPr>
    <w:rPr>
      <w:rFonts w:eastAsia="仿宋_GB2312"/>
      <w:sz w:val="28"/>
    </w:rPr>
  </w:style>
  <w:style w:type="paragraph" w:customStyle="1" w:styleId="60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1">
    <w:name w:val="FA正文"/>
    <w:basedOn w:val="1"/>
    <w:qFormat/>
    <w:uiPriority w:val="0"/>
    <w:pPr>
      <w:spacing w:line="360" w:lineRule="auto"/>
      <w:ind w:firstLine="480" w:firstLineChars="200"/>
    </w:pPr>
    <w:rPr>
      <w:rFonts w:hAnsi="宋体"/>
      <w:sz w:val="24"/>
      <w:szCs w:val="20"/>
    </w:rPr>
  </w:style>
  <w:style w:type="paragraph" w:customStyle="1" w:styleId="602">
    <w:name w:val="CM14"/>
    <w:basedOn w:val="421"/>
    <w:next w:val="421"/>
    <w:qFormat/>
    <w:uiPriority w:val="0"/>
    <w:pPr>
      <w:spacing w:after="68"/>
    </w:pPr>
    <w:rPr>
      <w:rFonts w:ascii="FHLHE E+ Futura Bk" w:eastAsia="FHLHE E+ Futura Bk" w:cs="Times New Roman"/>
      <w:color w:val="auto"/>
    </w:rPr>
  </w:style>
  <w:style w:type="paragraph" w:customStyle="1" w:styleId="603">
    <w:name w:val="Char Char Char Char2"/>
    <w:basedOn w:val="1"/>
    <w:qFormat/>
    <w:uiPriority w:val="0"/>
    <w:rPr>
      <w:rFonts w:ascii="Tahoma" w:hAnsi="Tahoma"/>
      <w:sz w:val="24"/>
      <w:szCs w:val="20"/>
    </w:rPr>
  </w:style>
  <w:style w:type="paragraph" w:customStyle="1" w:styleId="604">
    <w:name w:val="Char11"/>
    <w:basedOn w:val="1"/>
    <w:qFormat/>
    <w:uiPriority w:val="0"/>
    <w:pPr>
      <w:tabs>
        <w:tab w:val="left" w:pos="432"/>
      </w:tabs>
      <w:adjustRightInd/>
      <w:spacing w:beforeLines="50" w:afterLines="50"/>
      <w:ind w:left="432" w:hanging="432" w:firstLineChars="200"/>
    </w:pPr>
    <w:rPr>
      <w:sz w:val="24"/>
    </w:rPr>
  </w:style>
  <w:style w:type="paragraph" w:customStyle="1" w:styleId="605">
    <w:name w:val="样式1 + (中宋体"/>
    <w:basedOn w:val="48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60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60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08">
    <w:name w:val="带编号样式"/>
    <w:basedOn w:val="280"/>
    <w:qFormat/>
    <w:uiPriority w:val="0"/>
    <w:pPr>
      <w:tabs>
        <w:tab w:val="left" w:pos="840"/>
      </w:tabs>
      <w:snapToGrid w:val="0"/>
      <w:ind w:left="840" w:hanging="420" w:firstLineChars="0"/>
    </w:pPr>
    <w:rPr>
      <w:rFonts w:ascii="仿宋_GB2312" w:eastAsia="仿宋_GB2312"/>
      <w:color w:val="000000"/>
    </w:rPr>
  </w:style>
  <w:style w:type="paragraph" w:customStyle="1" w:styleId="60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10">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11">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2">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1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14">
    <w:name w:val="Char1 Char Char Char5"/>
    <w:basedOn w:val="1"/>
    <w:qFormat/>
    <w:uiPriority w:val="0"/>
    <w:pPr>
      <w:adjustRightInd/>
      <w:ind w:firstLine="200" w:firstLineChars="200"/>
    </w:pPr>
    <w:rPr>
      <w:rFonts w:ascii="Tahoma" w:hAnsi="Tahoma"/>
      <w:sz w:val="24"/>
      <w:szCs w:val="20"/>
    </w:rPr>
  </w:style>
  <w:style w:type="paragraph" w:customStyle="1" w:styleId="61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9">
    <w:name w:val="纯文本_0_0"/>
    <w:basedOn w:val="618"/>
    <w:link w:val="620"/>
    <w:qFormat/>
    <w:uiPriority w:val="0"/>
    <w:rPr>
      <w:rFonts w:ascii="宋体" w:hAnsi="Courier New"/>
      <w:szCs w:val="21"/>
    </w:rPr>
  </w:style>
  <w:style w:type="character" w:customStyle="1" w:styleId="620">
    <w:name w:val="纯文本 Char_0"/>
    <w:link w:val="619"/>
    <w:qFormat/>
    <w:uiPriority w:val="0"/>
    <w:rPr>
      <w:rFonts w:ascii="宋体" w:hAnsi="Courier New"/>
      <w:kern w:val="2"/>
      <w:sz w:val="21"/>
      <w:szCs w:val="21"/>
      <w:lang w:val="en-US" w:eastAsia="zh-CN"/>
    </w:rPr>
  </w:style>
  <w:style w:type="character" w:customStyle="1" w:styleId="621">
    <w:name w:val="纯文本 Char1"/>
    <w:link w:val="622"/>
    <w:qFormat/>
    <w:uiPriority w:val="0"/>
    <w:rPr>
      <w:rFonts w:ascii="宋体" w:hAnsi="Courier New"/>
    </w:rPr>
  </w:style>
  <w:style w:type="paragraph" w:customStyle="1" w:styleId="622">
    <w:name w:val="纯文本1"/>
    <w:basedOn w:val="1"/>
    <w:link w:val="621"/>
    <w:qFormat/>
    <w:uiPriority w:val="0"/>
    <w:pPr>
      <w:adjustRightInd/>
    </w:pPr>
    <w:rPr>
      <w:rFonts w:ascii="宋体" w:hAnsi="Courier New"/>
      <w:kern w:val="0"/>
      <w:sz w:val="20"/>
      <w:szCs w:val="20"/>
    </w:rPr>
  </w:style>
  <w:style w:type="paragraph" w:customStyle="1" w:styleId="623">
    <w:name w:val="索引 11"/>
    <w:basedOn w:val="1"/>
    <w:next w:val="1"/>
    <w:qFormat/>
    <w:uiPriority w:val="99"/>
    <w:pPr>
      <w:adjustRightInd/>
      <w:spacing w:line="360" w:lineRule="auto"/>
    </w:pPr>
    <w:rPr>
      <w:rFonts w:ascii="仿宋_GB2312" w:eastAsia="仿宋_GB2312"/>
      <w:sz w:val="24"/>
      <w:szCs w:val="20"/>
    </w:rPr>
  </w:style>
  <w:style w:type="character" w:customStyle="1" w:styleId="624">
    <w:name w:val="正文缩进 字符"/>
    <w:qFormat/>
    <w:uiPriority w:val="0"/>
    <w:rPr>
      <w:rFonts w:ascii="宋体" w:eastAsia="宋体"/>
      <w:snapToGrid w:val="0"/>
      <w:color w:val="000000"/>
      <w:kern w:val="28"/>
      <w:sz w:val="28"/>
      <w:lang w:val="en-US" w:eastAsia="zh-CN" w:bidi="ar-SA"/>
    </w:rPr>
  </w:style>
  <w:style w:type="character" w:customStyle="1" w:styleId="625">
    <w:name w:val="纯文本 字符"/>
    <w:qFormat/>
    <w:uiPriority w:val="0"/>
    <w:rPr>
      <w:rFonts w:ascii="宋体" w:hAnsi="Courier New" w:eastAsia="宋体" w:cs="Arial"/>
      <w:snapToGrid w:val="0"/>
      <w:kern w:val="2"/>
      <w:sz w:val="21"/>
      <w:szCs w:val="21"/>
      <w:lang w:val="en-US" w:eastAsia="zh-CN" w:bidi="ar-SA"/>
    </w:rPr>
  </w:style>
  <w:style w:type="character" w:customStyle="1" w:styleId="626">
    <w:name w:val="正文文本缩进 字符"/>
    <w:qFormat/>
    <w:uiPriority w:val="0"/>
    <w:rPr>
      <w:rFonts w:ascii="宋体" w:hAnsi="宋体"/>
      <w:kern w:val="2"/>
      <w:sz w:val="24"/>
      <w:szCs w:val="24"/>
    </w:rPr>
  </w:style>
  <w:style w:type="character" w:customStyle="1" w:styleId="627">
    <w:name w:val="bookmark-item"/>
    <w:qFormat/>
    <w:uiPriority w:val="0"/>
    <w:rPr>
      <w:rFonts w:ascii="Arial" w:hAnsi="Arial" w:eastAsia="黑体" w:cs="Arial"/>
      <w:snapToGrid/>
      <w:kern w:val="0"/>
      <w:szCs w:val="21"/>
    </w:rPr>
  </w:style>
  <w:style w:type="character" w:customStyle="1" w:styleId="628">
    <w:name w:val="fontstyle01"/>
    <w:qFormat/>
    <w:uiPriority w:val="0"/>
    <w:rPr>
      <w:rFonts w:hint="eastAsia" w:ascii="宋体" w:hAnsi="宋体" w:eastAsia="宋体" w:cs="Arial"/>
      <w:snapToGrid/>
      <w:color w:val="000000"/>
      <w:kern w:val="0"/>
      <w:sz w:val="36"/>
      <w:szCs w:val="36"/>
    </w:rPr>
  </w:style>
  <w:style w:type="character" w:customStyle="1" w:styleId="629">
    <w:name w:val="正文文本缩进 Char3"/>
    <w:qFormat/>
    <w:uiPriority w:val="0"/>
    <w:rPr>
      <w:rFonts w:ascii="宋体" w:hAnsi="宋体"/>
      <w:kern w:val="2"/>
      <w:sz w:val="24"/>
      <w:szCs w:val="24"/>
    </w:rPr>
  </w:style>
  <w:style w:type="paragraph" w:customStyle="1" w:styleId="63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1">
    <w:name w:val="页脚 Char2"/>
    <w:link w:val="39"/>
    <w:qFormat/>
    <w:locked/>
    <w:uiPriority w:val="99"/>
    <w:rPr>
      <w:kern w:val="2"/>
      <w:sz w:val="18"/>
      <w:szCs w:val="18"/>
    </w:rPr>
  </w:style>
  <w:style w:type="character" w:customStyle="1" w:styleId="632">
    <w:name w:val="页眉 Char2"/>
    <w:link w:val="40"/>
    <w:qFormat/>
    <w:uiPriority w:val="99"/>
    <w:rPr>
      <w:kern w:val="2"/>
      <w:sz w:val="18"/>
      <w:szCs w:val="18"/>
    </w:rPr>
  </w:style>
  <w:style w:type="paragraph" w:customStyle="1" w:styleId="633">
    <w:name w:val="封面编号"/>
    <w:basedOn w:val="1"/>
    <w:qFormat/>
    <w:uiPriority w:val="0"/>
    <w:pPr>
      <w:adjustRightInd/>
      <w:spacing w:line="360" w:lineRule="auto"/>
      <w:jc w:val="center"/>
    </w:pPr>
    <w:rPr>
      <w:rFonts w:ascii="黑体" w:hAnsi="宋体" w:eastAsia="黑体" w:cs="宋体"/>
      <w:b/>
      <w:bCs/>
      <w:sz w:val="38"/>
      <w:szCs w:val="20"/>
    </w:rPr>
  </w:style>
  <w:style w:type="character" w:customStyle="1" w:styleId="634">
    <w:name w:val="font31"/>
    <w:qFormat/>
    <w:uiPriority w:val="0"/>
    <w:rPr>
      <w:rFonts w:hint="eastAsia" w:ascii="宋体" w:hAnsi="宋体" w:eastAsia="宋体" w:cs="宋体"/>
      <w:color w:val="000000"/>
      <w:sz w:val="21"/>
      <w:szCs w:val="21"/>
      <w:u w:val="none"/>
    </w:rPr>
  </w:style>
  <w:style w:type="character" w:customStyle="1" w:styleId="635">
    <w:name w:val="font71"/>
    <w:basedOn w:val="63"/>
    <w:qFormat/>
    <w:uiPriority w:val="0"/>
    <w:rPr>
      <w:rFonts w:hint="eastAsia" w:ascii="宋体" w:hAnsi="宋体" w:eastAsia="宋体" w:cs="宋体"/>
      <w:b/>
      <w:bCs/>
      <w:color w:val="auto"/>
      <w:sz w:val="20"/>
      <w:szCs w:val="20"/>
      <w:u w:val="none"/>
    </w:rPr>
  </w:style>
  <w:style w:type="character" w:customStyle="1" w:styleId="636">
    <w:name w:val="font81"/>
    <w:basedOn w:val="63"/>
    <w:qFormat/>
    <w:uiPriority w:val="0"/>
    <w:rPr>
      <w:rFonts w:hint="eastAsia" w:ascii="宋体" w:hAnsi="宋体" w:eastAsia="宋体" w:cs="宋体"/>
      <w:b/>
      <w:bCs/>
      <w:color w:val="000000"/>
      <w:sz w:val="20"/>
      <w:szCs w:val="20"/>
      <w:u w:val="none"/>
    </w:rPr>
  </w:style>
  <w:style w:type="paragraph" w:customStyle="1" w:styleId="637">
    <w:name w:val="__正文"/>
    <w:qFormat/>
    <w:uiPriority w:val="0"/>
    <w:pPr>
      <w:spacing w:line="360" w:lineRule="auto"/>
      <w:ind w:firstLine="200" w:firstLineChars="200"/>
    </w:pPr>
    <w:rPr>
      <w:rFonts w:ascii="Calibri" w:hAnsi="Calibri" w:eastAsia="微软雅黑" w:cs="Times New Roman"/>
      <w:kern w:val="2"/>
      <w:sz w:val="21"/>
      <w:szCs w:val="21"/>
      <w:lang w:val="en-US" w:eastAsia="zh-CN" w:bidi="ar-SA"/>
    </w:rPr>
  </w:style>
  <w:style w:type="character" w:customStyle="1" w:styleId="638">
    <w:name w:val="font91"/>
    <w:qFormat/>
    <w:uiPriority w:val="0"/>
    <w:rPr>
      <w:rFonts w:hint="eastAsia" w:ascii="宋体" w:hAnsi="宋体" w:eastAsia="宋体" w:cs="宋体"/>
      <w:color w:val="FF0000"/>
      <w:sz w:val="24"/>
      <w:szCs w:val="24"/>
      <w:u w:val="none"/>
    </w:rPr>
  </w:style>
  <w:style w:type="character" w:customStyle="1" w:styleId="639">
    <w:name w:val="font51"/>
    <w:qFormat/>
    <w:uiPriority w:val="0"/>
    <w:rPr>
      <w:rFonts w:hint="eastAsia" w:ascii="宋体" w:hAnsi="宋体" w:eastAsia="宋体" w:cs="宋体"/>
      <w:color w:val="auto"/>
      <w:sz w:val="24"/>
      <w:szCs w:val="24"/>
      <w:u w:val="none"/>
    </w:rPr>
  </w:style>
  <w:style w:type="character" w:customStyle="1" w:styleId="640">
    <w:name w:val="font61"/>
    <w:qFormat/>
    <w:uiPriority w:val="0"/>
    <w:rPr>
      <w:rFonts w:hint="eastAsia" w:ascii="宋体" w:hAnsi="宋体" w:eastAsia="宋体" w:cs="宋体"/>
      <w:color w:val="FF0000"/>
      <w:sz w:val="24"/>
      <w:szCs w:val="24"/>
      <w:u w:val="none"/>
    </w:rPr>
  </w:style>
  <w:style w:type="character" w:customStyle="1" w:styleId="641">
    <w:name w:val="标题 3 Char"/>
    <w:basedOn w:val="63"/>
    <w:link w:val="2"/>
    <w:qFormat/>
    <w:uiPriority w:val="0"/>
    <w:rPr>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51</Pages>
  <Words>11308</Words>
  <Characters>12025</Characters>
  <Lines>188</Lines>
  <Paragraphs>52</Paragraphs>
  <TotalTime>15</TotalTime>
  <ScaleCrop>false</ScaleCrop>
  <LinksUpToDate>false</LinksUpToDate>
  <CharactersWithSpaces>12307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2022-12-05T04:38:00Z</dcterms:created>
  <dc:creator>玥</dc:creator>
  <cp:lastModifiedBy>傅翔</cp:lastModifiedBy>
  <cp:lastPrinted>2021-04-01T06:48:00Z</cp:lastPrinted>
  <dcterms:modified xsi:type="dcterms:W3CDTF">2025-01-26T04:48:59Z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9C73B62F1B81468EB736AB1E5D6ECE29</vt:lpwstr>
  </property>
  <property fmtid="{D5CDD505-2E9C-101B-9397-08002B2CF9AE}" pid="4" name="KSOTemplateDocerSaveRecord">
    <vt:lpwstr>eyJoZGlkIjoiNjhhNGYwNzg3YTMwYzUxNDk3ZjcwNDZlNDVjMjI2NTMiLCJ1c2VySWQiOiIxOTM4NzE3ODUifQ==</vt:lpwstr>
  </property>
</Properties>
</file>