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CBF9B">
      <w:pPr>
        <w:spacing w:line="360" w:lineRule="auto"/>
        <w:jc w:val="center"/>
        <w:rPr>
          <w:rFonts w:ascii="宋体" w:hAnsi="宋体" w:cs="宋体"/>
          <w:b/>
          <w:color w:val="000000" w:themeColor="text1"/>
          <w:sz w:val="24"/>
          <w14:textFill>
            <w14:solidFill>
              <w14:schemeClr w14:val="tx1"/>
            </w14:solidFill>
          </w14:textFill>
        </w:rPr>
      </w:pPr>
    </w:p>
    <w:p w14:paraId="3F53AAFE">
      <w:pPr>
        <w:pStyle w:val="967"/>
        <w:spacing w:line="760" w:lineRule="exact"/>
        <w:rPr>
          <w:rFonts w:ascii="宋体" w:eastAsia="宋体"/>
          <w:color w:val="000000" w:themeColor="text1"/>
          <w:sz w:val="48"/>
          <w:szCs w:val="48"/>
          <w14:textFill>
            <w14:solidFill>
              <w14:schemeClr w14:val="tx1"/>
            </w14:solidFill>
          </w14:textFill>
        </w:rPr>
      </w:pPr>
    </w:p>
    <w:p w14:paraId="7E7E4456">
      <w:pPr>
        <w:pStyle w:val="967"/>
        <w:spacing w:line="760" w:lineRule="exact"/>
        <w:rPr>
          <w:rFonts w:hint="eastAsia" w:ascii="宋体" w:eastAsia="宋体"/>
          <w:color w:val="000000" w:themeColor="text1"/>
          <w:sz w:val="48"/>
          <w:szCs w:val="48"/>
          <w:lang w:eastAsia="zh-CN"/>
          <w14:textFill>
            <w14:solidFill>
              <w14:schemeClr w14:val="tx1"/>
            </w14:solidFill>
          </w14:textFill>
        </w:rPr>
      </w:pPr>
      <w:r>
        <w:rPr>
          <w:rFonts w:hint="eastAsia" w:ascii="宋体" w:eastAsia="宋体"/>
          <w:color w:val="000000" w:themeColor="text1"/>
          <w:sz w:val="48"/>
          <w:szCs w:val="48"/>
          <w:lang w:eastAsia="zh-CN"/>
          <w14:textFill>
            <w14:solidFill>
              <w14:schemeClr w14:val="tx1"/>
            </w14:solidFill>
          </w14:textFill>
        </w:rPr>
        <w:t>杭州萧山盈丰丰北股份经济联合社商业医疗补充险采购项目</w:t>
      </w:r>
    </w:p>
    <w:p w14:paraId="539E7EB7">
      <w:pPr>
        <w:adjustRightInd/>
        <w:spacing w:line="360" w:lineRule="auto"/>
        <w:jc w:val="center"/>
        <w:rPr>
          <w:rFonts w:ascii="宋体" w:hAnsi="宋体" w:cs="宋体"/>
          <w:b/>
          <w:bCs/>
          <w:color w:val="000000" w:themeColor="text1"/>
          <w:sz w:val="72"/>
          <w:szCs w:val="72"/>
          <w14:textFill>
            <w14:solidFill>
              <w14:schemeClr w14:val="tx1"/>
            </w14:solidFill>
          </w14:textFill>
        </w:rPr>
      </w:pPr>
    </w:p>
    <w:p w14:paraId="3197848F">
      <w:pPr>
        <w:adjustRightInd/>
        <w:spacing w:line="360" w:lineRule="auto"/>
        <w:jc w:val="center"/>
        <w:rPr>
          <w:rFonts w:ascii="宋体" w:hAnsi="宋体" w:cs="宋体"/>
          <w:b/>
          <w:bCs/>
          <w:color w:val="000000" w:themeColor="text1"/>
          <w:sz w:val="72"/>
          <w:szCs w:val="72"/>
          <w14:textFill>
            <w14:solidFill>
              <w14:schemeClr w14:val="tx1"/>
            </w14:solidFill>
          </w14:textFill>
        </w:rPr>
      </w:pPr>
    </w:p>
    <w:p w14:paraId="5895FF6D">
      <w:pPr>
        <w:adjustRightInd/>
        <w:spacing w:line="360" w:lineRule="auto"/>
        <w:jc w:val="center"/>
        <w:rPr>
          <w:rFonts w:ascii="宋体" w:hAnsi="宋体" w:cs="宋体"/>
          <w:b/>
          <w:bCs/>
          <w:color w:val="000000" w:themeColor="text1"/>
          <w:sz w:val="72"/>
          <w:szCs w:val="72"/>
          <w14:textFill>
            <w14:solidFill>
              <w14:schemeClr w14:val="tx1"/>
            </w14:solidFill>
          </w14:textFill>
        </w:rPr>
      </w:pPr>
      <w:r>
        <w:rPr>
          <w:rFonts w:hint="eastAsia" w:ascii="宋体" w:hAnsi="宋体" w:cs="宋体"/>
          <w:b/>
          <w:bCs/>
          <w:color w:val="000000" w:themeColor="text1"/>
          <w:sz w:val="72"/>
          <w:szCs w:val="72"/>
          <w14:textFill>
            <w14:solidFill>
              <w14:schemeClr w14:val="tx1"/>
            </w14:solidFill>
          </w14:textFill>
        </w:rPr>
        <w:t>交易文件</w:t>
      </w:r>
    </w:p>
    <w:p w14:paraId="50CA3B9F">
      <w:pPr>
        <w:spacing w:line="360" w:lineRule="auto"/>
        <w:jc w:val="center"/>
        <w:rPr>
          <w:rFonts w:hint="eastAsia" w:ascii="宋体" w:hAnsi="宋体" w:cs="宋体"/>
          <w:b/>
          <w:color w:val="000000" w:themeColor="text1"/>
          <w:sz w:val="32"/>
          <w:szCs w:val="30"/>
          <w14:textFill>
            <w14:solidFill>
              <w14:schemeClr w14:val="tx1"/>
            </w14:solidFill>
          </w14:textFill>
        </w:rPr>
      </w:pPr>
    </w:p>
    <w:p w14:paraId="2649DFBB">
      <w:pPr>
        <w:spacing w:line="360" w:lineRule="auto"/>
        <w:jc w:val="center"/>
        <w:rPr>
          <w:rFonts w:hint="eastAsia" w:ascii="宋体" w:hAnsi="宋体" w:cs="宋体"/>
          <w:b/>
          <w:color w:val="000000" w:themeColor="text1"/>
          <w:sz w:val="32"/>
          <w:szCs w:val="30"/>
          <w14:textFill>
            <w14:solidFill>
              <w14:schemeClr w14:val="tx1"/>
            </w14:solidFill>
          </w14:textFill>
        </w:rPr>
      </w:pPr>
      <w:r>
        <w:rPr>
          <w:rFonts w:hint="eastAsia" w:ascii="宋体" w:hAnsi="宋体" w:cs="宋体"/>
          <w:b/>
          <w:color w:val="000000" w:themeColor="text1"/>
          <w:sz w:val="32"/>
          <w:szCs w:val="30"/>
          <w14:textFill>
            <w14:solidFill>
              <w14:schemeClr w14:val="tx1"/>
            </w14:solidFill>
          </w14:textFill>
        </w:rPr>
        <w:t xml:space="preserve">交易编号：YF-2024-CS-27 </w:t>
      </w:r>
    </w:p>
    <w:p w14:paraId="3C9F8EAA">
      <w:pPr>
        <w:adjustRightInd/>
        <w:spacing w:line="360" w:lineRule="auto"/>
        <w:rPr>
          <w:rFonts w:ascii="宋体" w:hAnsi="宋体" w:cs="宋体"/>
          <w:color w:val="000000" w:themeColor="text1"/>
          <w:sz w:val="28"/>
          <w:szCs w:val="20"/>
          <w14:textFill>
            <w14:solidFill>
              <w14:schemeClr w14:val="tx1"/>
            </w14:solidFill>
          </w14:textFill>
        </w:rPr>
      </w:pPr>
    </w:p>
    <w:p w14:paraId="77B74AA2">
      <w:pPr>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w:t>
      </w:r>
    </w:p>
    <w:p w14:paraId="4212D705">
      <w:pPr>
        <w:spacing w:line="360" w:lineRule="auto"/>
        <w:rPr>
          <w:rFonts w:ascii="宋体" w:hAnsi="宋体" w:cs="宋体"/>
          <w:b/>
          <w:color w:val="000000" w:themeColor="text1"/>
          <w:sz w:val="32"/>
          <w:szCs w:val="30"/>
          <w14:textFill>
            <w14:solidFill>
              <w14:schemeClr w14:val="tx1"/>
            </w14:solidFill>
          </w14:textFill>
        </w:rPr>
      </w:pPr>
    </w:p>
    <w:p w14:paraId="7A24B3D9">
      <w:pPr>
        <w:pStyle w:val="2"/>
        <w:rPr>
          <w:rFonts w:ascii="宋体" w:hAnsi="宋体" w:cs="宋体"/>
          <w:b/>
          <w:color w:val="000000" w:themeColor="text1"/>
          <w:sz w:val="32"/>
          <w:szCs w:val="30"/>
          <w14:textFill>
            <w14:solidFill>
              <w14:schemeClr w14:val="tx1"/>
            </w14:solidFill>
          </w14:textFill>
        </w:rPr>
      </w:pPr>
    </w:p>
    <w:p w14:paraId="672C42DB">
      <w:pPr>
        <w:pStyle w:val="3"/>
      </w:pPr>
    </w:p>
    <w:p w14:paraId="39FFE073">
      <w:pPr>
        <w:pStyle w:val="25"/>
        <w:rPr>
          <w:lang w:val="en-US"/>
        </w:rPr>
      </w:pPr>
    </w:p>
    <w:p w14:paraId="3F94CC15">
      <w:pPr>
        <w:spacing w:line="360" w:lineRule="auto"/>
        <w:ind w:firstLine="964" w:firstLineChars="300"/>
        <w:rPr>
          <w:rFonts w:ascii="宋体" w:hAnsi="宋体" w:cs="宋体"/>
          <w:b/>
          <w:color w:val="000000" w:themeColor="text1"/>
          <w:sz w:val="32"/>
          <w:szCs w:val="30"/>
          <w14:textFill>
            <w14:solidFill>
              <w14:schemeClr w14:val="tx1"/>
            </w14:solidFill>
          </w14:textFill>
        </w:rPr>
      </w:pPr>
    </w:p>
    <w:p w14:paraId="5DEB2707">
      <w:pPr>
        <w:spacing w:line="360" w:lineRule="auto"/>
        <w:jc w:val="center"/>
        <w:rPr>
          <w:rFonts w:ascii="宋体" w:hAnsi="宋体" w:cs="宋体"/>
          <w:b/>
          <w:color w:val="000000" w:themeColor="text1"/>
          <w:sz w:val="32"/>
          <w:szCs w:val="30"/>
          <w14:textFill>
            <w14:solidFill>
              <w14:schemeClr w14:val="tx1"/>
            </w14:solidFill>
          </w14:textFill>
        </w:rPr>
      </w:pPr>
      <w:r>
        <w:rPr>
          <w:rFonts w:hint="eastAsia" w:ascii="宋体" w:hAnsi="宋体" w:cs="宋体"/>
          <w:b/>
          <w:color w:val="000000" w:themeColor="text1"/>
          <w:sz w:val="32"/>
          <w:szCs w:val="30"/>
          <w14:textFill>
            <w14:solidFill>
              <w14:schemeClr w14:val="tx1"/>
            </w14:solidFill>
          </w14:textFill>
        </w:rPr>
        <w:t>交易人：杭州萧山盈丰丰北股份经济联合社</w:t>
      </w:r>
    </w:p>
    <w:p w14:paraId="22E4B5C4">
      <w:pPr>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0"/>
          <w14:textFill>
            <w14:solidFill>
              <w14:schemeClr w14:val="tx1"/>
            </w14:solidFill>
          </w14:textFill>
        </w:rPr>
        <w:t xml:space="preserve"> 采购机构：浙江华杰工程咨询有限公司</w:t>
      </w:r>
    </w:p>
    <w:p w14:paraId="016B7E81">
      <w:pPr>
        <w:snapToGrid w:val="0"/>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二〇二四年</w:t>
      </w:r>
      <w:r>
        <w:rPr>
          <w:rFonts w:hint="eastAsia" w:ascii="宋体" w:hAnsi="宋体" w:cs="宋体"/>
          <w:b/>
          <w:color w:val="000000" w:themeColor="text1"/>
          <w:sz w:val="32"/>
          <w:szCs w:val="32"/>
          <w:lang w:val="en-US" w:eastAsia="zh-CN"/>
          <w14:textFill>
            <w14:solidFill>
              <w14:schemeClr w14:val="tx1"/>
            </w14:solidFill>
          </w14:textFill>
        </w:rPr>
        <w:t>十二</w:t>
      </w:r>
      <w:r>
        <w:rPr>
          <w:rFonts w:hint="eastAsia" w:ascii="宋体" w:hAnsi="宋体" w:cs="宋体"/>
          <w:b/>
          <w:color w:val="000000" w:themeColor="text1"/>
          <w:sz w:val="32"/>
          <w:szCs w:val="32"/>
          <w14:textFill>
            <w14:solidFill>
              <w14:schemeClr w14:val="tx1"/>
            </w14:solidFill>
          </w14:textFill>
        </w:rPr>
        <w:t>月</w:t>
      </w:r>
      <w:r>
        <w:rPr>
          <w:rFonts w:hint="eastAsia" w:ascii="宋体" w:hAnsi="宋体" w:cs="宋体"/>
          <w:b/>
          <w:color w:val="000000" w:themeColor="text1"/>
          <w:sz w:val="32"/>
          <w:szCs w:val="32"/>
          <w:lang w:val="en-US" w:eastAsia="zh-CN"/>
          <w14:textFill>
            <w14:solidFill>
              <w14:schemeClr w14:val="tx1"/>
            </w14:solidFill>
          </w14:textFill>
        </w:rPr>
        <w:t>十</w:t>
      </w:r>
      <w:r>
        <w:rPr>
          <w:rFonts w:hint="eastAsia" w:ascii="宋体" w:hAnsi="宋体" w:cs="宋体"/>
          <w:b/>
          <w:color w:val="000000" w:themeColor="text1"/>
          <w:sz w:val="32"/>
          <w:szCs w:val="32"/>
          <w14:textFill>
            <w14:solidFill>
              <w14:schemeClr w14:val="tx1"/>
            </w14:solidFill>
          </w14:textFill>
        </w:rPr>
        <w:t>日</w:t>
      </w:r>
    </w:p>
    <w:p w14:paraId="4EF99753">
      <w:pPr>
        <w:pStyle w:val="25"/>
        <w:rPr>
          <w:rFonts w:hAnsi="宋体" w:cs="宋体"/>
          <w:color w:val="000000" w:themeColor="text1"/>
          <w:lang w:val="en-US"/>
          <w14:textFill>
            <w14:solidFill>
              <w14:schemeClr w14:val="tx1"/>
            </w14:solidFill>
          </w14:textFill>
        </w:rPr>
      </w:pPr>
    </w:p>
    <w:p w14:paraId="70CA48AB">
      <w:pPr>
        <w:pStyle w:val="62"/>
        <w:rPr>
          <w:rFonts w:hAnsi="宋体" w:cs="宋体"/>
          <w:color w:val="000000" w:themeColor="text1"/>
          <w:lang w:val="en-US"/>
          <w14:textFill>
            <w14:solidFill>
              <w14:schemeClr w14:val="tx1"/>
            </w14:solidFill>
          </w14:textFill>
        </w:rPr>
      </w:pPr>
    </w:p>
    <w:p w14:paraId="32A6180C">
      <w:pPr>
        <w:pStyle w:val="52"/>
        <w:rPr>
          <w:rFonts w:ascii="宋体" w:hAnsi="宋体" w:cs="宋体"/>
          <w:color w:val="000000" w:themeColor="text1"/>
          <w14:textFill>
            <w14:solidFill>
              <w14:schemeClr w14:val="tx1"/>
            </w14:solidFill>
          </w14:textFill>
        </w:rPr>
      </w:pPr>
    </w:p>
    <w:p w14:paraId="0001FB59">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目  录</w:t>
      </w:r>
    </w:p>
    <w:p w14:paraId="46FAC1E1">
      <w:pPr>
        <w:spacing w:line="360" w:lineRule="auto"/>
        <w:rPr>
          <w:rFonts w:ascii="宋体" w:hAnsi="宋体" w:cs="宋体"/>
          <w:color w:val="000000" w:themeColor="text1"/>
          <w:sz w:val="32"/>
          <w:szCs w:val="32"/>
          <w14:textFill>
            <w14:solidFill>
              <w14:schemeClr w14:val="tx1"/>
            </w14:solidFill>
          </w14:textFill>
        </w:rPr>
      </w:pPr>
    </w:p>
    <w:p w14:paraId="29CA6D81">
      <w:pPr>
        <w:spacing w:line="360" w:lineRule="auto"/>
        <w:rPr>
          <w:rFonts w:ascii="宋体" w:hAnsi="宋体" w:cs="宋体"/>
          <w:color w:val="000000" w:themeColor="text1"/>
          <w:sz w:val="32"/>
          <w:szCs w:val="32"/>
          <w14:textFill>
            <w14:solidFill>
              <w14:schemeClr w14:val="tx1"/>
            </w14:solidFill>
          </w14:textFill>
        </w:rPr>
      </w:pPr>
    </w:p>
    <w:p w14:paraId="79A7DA60">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第一部分      交易公告</w:t>
      </w:r>
    </w:p>
    <w:p w14:paraId="207586A1">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第二部分      供应商须知</w:t>
      </w:r>
    </w:p>
    <w:p w14:paraId="409D1071">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第三部分      交易需求</w:t>
      </w:r>
    </w:p>
    <w:p w14:paraId="66533B94">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第四部分      交易办法</w:t>
      </w:r>
    </w:p>
    <w:p w14:paraId="0929B98A">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第五部分      拟签订的合同文本</w:t>
      </w:r>
    </w:p>
    <w:p w14:paraId="7D108EDE">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第六部分      应提交的有关格式范例</w:t>
      </w:r>
    </w:p>
    <w:p w14:paraId="350FCC8A">
      <w:pPr>
        <w:spacing w:line="360" w:lineRule="auto"/>
        <w:ind w:firstLine="549" w:firstLineChars="229"/>
        <w:rPr>
          <w:rFonts w:ascii="宋体" w:hAnsi="宋体" w:cs="宋体"/>
          <w:color w:val="000000" w:themeColor="text1"/>
          <w:sz w:val="24"/>
          <w14:textFill>
            <w14:solidFill>
              <w14:schemeClr w14:val="tx1"/>
            </w14:solidFill>
          </w14:textFill>
        </w:rPr>
      </w:pPr>
      <w:bookmarkStart w:id="0" w:name="_Hlt91233176"/>
      <w:bookmarkEnd w:id="0"/>
      <w:bookmarkStart w:id="1" w:name="_Toc91899869"/>
    </w:p>
    <w:p w14:paraId="6ADDAFCA">
      <w:pPr>
        <w:spacing w:line="360" w:lineRule="auto"/>
        <w:ind w:firstLine="549" w:firstLineChars="229"/>
        <w:rPr>
          <w:rFonts w:ascii="宋体" w:hAnsi="宋体" w:cs="宋体"/>
          <w:color w:val="000000" w:themeColor="text1"/>
          <w:sz w:val="24"/>
          <w14:textFill>
            <w14:solidFill>
              <w14:schemeClr w14:val="tx1"/>
            </w14:solidFill>
          </w14:textFill>
        </w:rPr>
      </w:pPr>
    </w:p>
    <w:p w14:paraId="542E3812">
      <w:pPr>
        <w:spacing w:line="360" w:lineRule="auto"/>
        <w:ind w:firstLine="549" w:firstLineChars="229"/>
        <w:rPr>
          <w:rFonts w:ascii="宋体" w:hAnsi="宋体" w:cs="宋体"/>
          <w:color w:val="000000" w:themeColor="text1"/>
          <w:sz w:val="24"/>
          <w14:textFill>
            <w14:solidFill>
              <w14:schemeClr w14:val="tx1"/>
            </w14:solidFill>
          </w14:textFill>
        </w:rPr>
      </w:pPr>
    </w:p>
    <w:p w14:paraId="206D03A4">
      <w:pPr>
        <w:spacing w:line="360" w:lineRule="auto"/>
        <w:ind w:firstLine="549" w:firstLineChars="229"/>
        <w:rPr>
          <w:rFonts w:ascii="宋体" w:hAnsi="宋体" w:cs="宋体"/>
          <w:color w:val="000000" w:themeColor="text1"/>
          <w:sz w:val="24"/>
          <w14:textFill>
            <w14:solidFill>
              <w14:schemeClr w14:val="tx1"/>
            </w14:solidFill>
          </w14:textFill>
        </w:rPr>
      </w:pPr>
    </w:p>
    <w:p w14:paraId="3CFAD2B1">
      <w:pPr>
        <w:spacing w:line="360" w:lineRule="auto"/>
        <w:ind w:firstLine="549" w:firstLineChars="229"/>
        <w:rPr>
          <w:rFonts w:ascii="宋体" w:hAnsi="宋体" w:cs="宋体"/>
          <w:color w:val="000000" w:themeColor="text1"/>
          <w:sz w:val="24"/>
          <w14:textFill>
            <w14:solidFill>
              <w14:schemeClr w14:val="tx1"/>
            </w14:solidFill>
          </w14:textFill>
        </w:rPr>
      </w:pPr>
    </w:p>
    <w:p w14:paraId="6297666D">
      <w:pPr>
        <w:spacing w:line="360" w:lineRule="auto"/>
        <w:ind w:firstLine="549" w:firstLineChars="229"/>
        <w:rPr>
          <w:rFonts w:ascii="宋体" w:hAnsi="宋体" w:cs="宋体"/>
          <w:color w:val="000000" w:themeColor="text1"/>
          <w:sz w:val="24"/>
          <w14:textFill>
            <w14:solidFill>
              <w14:schemeClr w14:val="tx1"/>
            </w14:solidFill>
          </w14:textFill>
        </w:rPr>
      </w:pPr>
    </w:p>
    <w:p w14:paraId="7B0A51EB">
      <w:pPr>
        <w:spacing w:line="360" w:lineRule="auto"/>
        <w:ind w:firstLine="549" w:firstLineChars="229"/>
        <w:rPr>
          <w:rFonts w:ascii="宋体" w:hAnsi="宋体" w:cs="宋体"/>
          <w:color w:val="000000" w:themeColor="text1"/>
          <w:sz w:val="24"/>
          <w14:textFill>
            <w14:solidFill>
              <w14:schemeClr w14:val="tx1"/>
            </w14:solidFill>
          </w14:textFill>
        </w:rPr>
      </w:pPr>
    </w:p>
    <w:p w14:paraId="3DD92262">
      <w:pPr>
        <w:spacing w:line="360" w:lineRule="auto"/>
        <w:ind w:firstLine="549" w:firstLineChars="229"/>
        <w:rPr>
          <w:rFonts w:ascii="宋体" w:hAnsi="宋体" w:cs="宋体"/>
          <w:color w:val="000000" w:themeColor="text1"/>
          <w:sz w:val="24"/>
          <w14:textFill>
            <w14:solidFill>
              <w14:schemeClr w14:val="tx1"/>
            </w14:solidFill>
          </w14:textFill>
        </w:rPr>
      </w:pPr>
    </w:p>
    <w:p w14:paraId="1C2B7AA4">
      <w:pPr>
        <w:spacing w:line="360" w:lineRule="auto"/>
        <w:ind w:firstLine="549" w:firstLineChars="229"/>
        <w:rPr>
          <w:rFonts w:ascii="宋体" w:hAnsi="宋体" w:cs="宋体"/>
          <w:color w:val="000000" w:themeColor="text1"/>
          <w:sz w:val="24"/>
          <w14:textFill>
            <w14:solidFill>
              <w14:schemeClr w14:val="tx1"/>
            </w14:solidFill>
          </w14:textFill>
        </w:rPr>
      </w:pPr>
    </w:p>
    <w:p w14:paraId="4A3B5A0B">
      <w:pPr>
        <w:spacing w:line="360" w:lineRule="auto"/>
        <w:ind w:firstLine="549" w:firstLineChars="229"/>
        <w:rPr>
          <w:rFonts w:ascii="宋体" w:hAnsi="宋体" w:cs="宋体"/>
          <w:color w:val="000000" w:themeColor="text1"/>
          <w:sz w:val="24"/>
          <w14:textFill>
            <w14:solidFill>
              <w14:schemeClr w14:val="tx1"/>
            </w14:solidFill>
          </w14:textFill>
        </w:rPr>
      </w:pPr>
    </w:p>
    <w:p w14:paraId="03F2DE05">
      <w:pPr>
        <w:spacing w:line="360" w:lineRule="auto"/>
        <w:ind w:firstLine="549" w:firstLineChars="229"/>
        <w:rPr>
          <w:rFonts w:ascii="宋体" w:hAnsi="宋体" w:cs="宋体"/>
          <w:color w:val="000000" w:themeColor="text1"/>
          <w:sz w:val="24"/>
          <w14:textFill>
            <w14:solidFill>
              <w14:schemeClr w14:val="tx1"/>
            </w14:solidFill>
          </w14:textFill>
        </w:rPr>
      </w:pPr>
    </w:p>
    <w:p w14:paraId="2FB8DFFC">
      <w:pPr>
        <w:spacing w:line="360" w:lineRule="auto"/>
        <w:ind w:firstLine="549" w:firstLineChars="229"/>
        <w:rPr>
          <w:rFonts w:ascii="宋体" w:hAnsi="宋体" w:cs="宋体"/>
          <w:color w:val="000000" w:themeColor="text1"/>
          <w:sz w:val="24"/>
          <w14:textFill>
            <w14:solidFill>
              <w14:schemeClr w14:val="tx1"/>
            </w14:solidFill>
          </w14:textFill>
        </w:rPr>
      </w:pPr>
    </w:p>
    <w:p w14:paraId="64A46109">
      <w:pPr>
        <w:spacing w:line="360" w:lineRule="auto"/>
        <w:ind w:firstLine="549" w:firstLineChars="229"/>
        <w:rPr>
          <w:rFonts w:ascii="宋体" w:hAnsi="宋体" w:cs="宋体"/>
          <w:color w:val="000000" w:themeColor="text1"/>
          <w:sz w:val="24"/>
          <w14:textFill>
            <w14:solidFill>
              <w14:schemeClr w14:val="tx1"/>
            </w14:solidFill>
          </w14:textFill>
        </w:rPr>
      </w:pPr>
    </w:p>
    <w:p w14:paraId="6AC2E13E">
      <w:pPr>
        <w:spacing w:line="360" w:lineRule="auto"/>
        <w:rPr>
          <w:rFonts w:ascii="宋体" w:hAnsi="宋体" w:cs="宋体"/>
          <w:color w:val="000000" w:themeColor="text1"/>
          <w:sz w:val="24"/>
          <w14:textFill>
            <w14:solidFill>
              <w14:schemeClr w14:val="tx1"/>
            </w14:solidFill>
          </w14:textFill>
        </w:rPr>
      </w:pPr>
    </w:p>
    <w:p w14:paraId="022CA456">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bookmarkStart w:id="2" w:name="第一部分"/>
      <w:r>
        <w:rPr>
          <w:rFonts w:hint="eastAsia" w:ascii="宋体" w:hAnsi="宋体" w:cs="宋体"/>
          <w:b/>
          <w:color w:val="000000" w:themeColor="text1"/>
          <w:sz w:val="36"/>
          <w:szCs w:val="36"/>
          <w14:textFill>
            <w14:solidFill>
              <w14:schemeClr w14:val="tx1"/>
            </w14:solidFill>
          </w14:textFill>
        </w:rPr>
        <w:br w:type="page"/>
      </w:r>
      <w:bookmarkEnd w:id="1"/>
      <w:bookmarkEnd w:id="2"/>
      <w:bookmarkStart w:id="3" w:name="_Hlt74707423"/>
      <w:bookmarkEnd w:id="3"/>
      <w:bookmarkStart w:id="4" w:name="_Hlt74729822"/>
      <w:bookmarkEnd w:id="4"/>
      <w:bookmarkStart w:id="5" w:name="_Hlt74728647"/>
      <w:bookmarkEnd w:id="5"/>
      <w:bookmarkStart w:id="6" w:name="_Hlt74649545"/>
      <w:bookmarkEnd w:id="6"/>
      <w:bookmarkStart w:id="7" w:name="第二部分"/>
      <w:bookmarkStart w:id="8" w:name="_Toc91899870"/>
      <w:bookmarkStart w:id="9" w:name="_Toc91899871"/>
      <w:r>
        <w:rPr>
          <w:rFonts w:hint="eastAsia" w:ascii="宋体" w:hAnsi="宋体" w:cs="宋体"/>
          <w:b/>
          <w:color w:val="000000" w:themeColor="text1"/>
          <w:sz w:val="36"/>
          <w:szCs w:val="20"/>
          <w14:textFill>
            <w14:solidFill>
              <w14:schemeClr w14:val="tx1"/>
            </w14:solidFill>
          </w14:textFill>
        </w:rPr>
        <w:t>第一部分 交易公告</w:t>
      </w:r>
    </w:p>
    <w:p w14:paraId="219E8CF7">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一、基本情况</w:t>
      </w:r>
    </w:p>
    <w:p w14:paraId="2969C616">
      <w:pPr>
        <w:spacing w:line="360" w:lineRule="auto"/>
        <w:ind w:firstLine="482" w:firstLineChars="200"/>
        <w:rPr>
          <w:rFonts w:hint="eastAsia" w:ascii="宋体" w:hAnsi="宋体" w:cs="宋体"/>
          <w:b w:val="0"/>
          <w:bCs/>
          <w:sz w:val="24"/>
          <w:lang w:eastAsia="zh-CN"/>
        </w:rPr>
      </w:pPr>
      <w:r>
        <w:rPr>
          <w:rFonts w:hint="eastAsia" w:ascii="宋体" w:hAnsi="宋体" w:cs="宋体"/>
          <w:b/>
          <w:sz w:val="24"/>
          <w:lang w:eastAsia="zh-CN"/>
        </w:rPr>
        <w:t>交易编号：</w:t>
      </w:r>
      <w:r>
        <w:rPr>
          <w:rFonts w:hint="eastAsia" w:ascii="宋体" w:hAnsi="宋体" w:cs="宋体"/>
          <w:b w:val="0"/>
          <w:bCs/>
          <w:sz w:val="24"/>
          <w:lang w:eastAsia="zh-CN"/>
        </w:rPr>
        <w:t>YF-2024-CS-27</w:t>
      </w:r>
    </w:p>
    <w:p w14:paraId="18962F8D">
      <w:pPr>
        <w:spacing w:line="360" w:lineRule="auto"/>
        <w:ind w:firstLine="482" w:firstLineChars="200"/>
        <w:rPr>
          <w:rFonts w:hint="eastAsia" w:ascii="宋体" w:hAnsi="宋体" w:eastAsia="宋体" w:cs="宋体"/>
          <w:b/>
          <w:sz w:val="24"/>
          <w:lang w:eastAsia="zh-CN"/>
        </w:rPr>
      </w:pPr>
      <w:r>
        <w:rPr>
          <w:rFonts w:hint="eastAsia" w:ascii="宋体" w:hAnsi="宋体" w:cs="宋体"/>
          <w:b/>
          <w:sz w:val="24"/>
        </w:rPr>
        <w:t>交易名称：</w:t>
      </w:r>
      <w:r>
        <w:rPr>
          <w:rFonts w:hint="eastAsia" w:ascii="宋体" w:hAnsi="宋体" w:cs="宋体"/>
          <w:b w:val="0"/>
          <w:bCs/>
          <w:sz w:val="24"/>
          <w:lang w:eastAsia="zh-CN"/>
        </w:rPr>
        <w:t>杭州萧山盈丰丰北股份经济联合社商业医疗补充险采购项目</w:t>
      </w:r>
    </w:p>
    <w:p w14:paraId="3CBBDF62">
      <w:pPr>
        <w:spacing w:line="360" w:lineRule="auto"/>
        <w:ind w:firstLine="482" w:firstLineChars="200"/>
        <w:rPr>
          <w:rFonts w:ascii="宋体" w:hAnsi="宋体" w:cs="宋体"/>
          <w:b w:val="0"/>
          <w:bCs/>
          <w:sz w:val="24"/>
        </w:rPr>
      </w:pPr>
      <w:r>
        <w:rPr>
          <w:rFonts w:hint="eastAsia" w:ascii="宋体" w:hAnsi="宋体" w:cs="宋体"/>
          <w:b/>
          <w:sz w:val="24"/>
        </w:rPr>
        <w:t>预算金额(元）：</w:t>
      </w:r>
      <w:r>
        <w:rPr>
          <w:rFonts w:hint="eastAsia" w:ascii="宋体" w:hAnsi="宋体" w:cs="宋体"/>
          <w:b w:val="0"/>
          <w:bCs/>
          <w:sz w:val="24"/>
          <w:szCs w:val="28"/>
          <w:lang w:val="en-US" w:eastAsia="zh-CN"/>
        </w:rPr>
        <w:t>240</w:t>
      </w:r>
      <w:r>
        <w:rPr>
          <w:rFonts w:hint="eastAsia" w:ascii="宋体" w:hAnsi="宋体" w:cs="宋体"/>
          <w:b w:val="0"/>
          <w:bCs/>
          <w:sz w:val="24"/>
          <w:szCs w:val="28"/>
        </w:rPr>
        <w:t>0000.00</w:t>
      </w:r>
      <w:r>
        <w:rPr>
          <w:rFonts w:hint="eastAsia" w:ascii="宋体" w:hAnsi="宋体" w:cs="宋体"/>
          <w:b w:val="0"/>
          <w:bCs/>
          <w:sz w:val="24"/>
        </w:rPr>
        <w:t>元</w:t>
      </w:r>
    </w:p>
    <w:p w14:paraId="5338C7C1">
      <w:pPr>
        <w:spacing w:line="360" w:lineRule="auto"/>
        <w:ind w:firstLine="482" w:firstLineChars="200"/>
        <w:rPr>
          <w:rFonts w:ascii="宋体" w:hAnsi="宋体" w:cs="宋体"/>
          <w:b w:val="0"/>
          <w:bCs/>
          <w:sz w:val="24"/>
        </w:rPr>
      </w:pPr>
      <w:r>
        <w:rPr>
          <w:rFonts w:hint="eastAsia" w:ascii="宋体" w:hAnsi="宋体" w:cs="宋体"/>
          <w:b/>
          <w:sz w:val="24"/>
        </w:rPr>
        <w:t>最高限价(元）：</w:t>
      </w:r>
      <w:r>
        <w:rPr>
          <w:rFonts w:hint="eastAsia" w:ascii="宋体" w:hAnsi="宋体" w:cs="宋体"/>
          <w:b w:val="0"/>
          <w:bCs/>
          <w:sz w:val="24"/>
          <w:szCs w:val="28"/>
          <w:lang w:val="en-US" w:eastAsia="zh-CN"/>
        </w:rPr>
        <w:t>240</w:t>
      </w:r>
      <w:r>
        <w:rPr>
          <w:rFonts w:hint="eastAsia" w:ascii="宋体" w:hAnsi="宋体" w:cs="宋体"/>
          <w:b w:val="0"/>
          <w:bCs/>
          <w:sz w:val="24"/>
          <w:szCs w:val="28"/>
        </w:rPr>
        <w:t>0000.00</w:t>
      </w:r>
      <w:r>
        <w:rPr>
          <w:rFonts w:hint="eastAsia" w:ascii="宋体" w:hAnsi="宋体" w:cs="宋体"/>
          <w:b w:val="0"/>
          <w:bCs/>
          <w:sz w:val="24"/>
        </w:rPr>
        <w:t>元</w:t>
      </w:r>
    </w:p>
    <w:p w14:paraId="0910B459">
      <w:pPr>
        <w:spacing w:line="360" w:lineRule="auto"/>
        <w:ind w:firstLine="482" w:firstLineChars="200"/>
        <w:rPr>
          <w:rFonts w:ascii="宋体" w:hAnsi="宋体" w:cs="宋体"/>
          <w:b/>
          <w:sz w:val="24"/>
        </w:rPr>
      </w:pPr>
      <w:r>
        <w:rPr>
          <w:rFonts w:hint="eastAsia" w:ascii="宋体" w:hAnsi="宋体" w:cs="宋体"/>
          <w:b/>
          <w:sz w:val="24"/>
        </w:rPr>
        <w:t>交易需求：</w:t>
      </w:r>
      <w:r>
        <w:rPr>
          <w:rFonts w:hint="eastAsia" w:ascii="宋体" w:hAnsi="宋体" w:cs="宋体"/>
          <w:bCs/>
          <w:sz w:val="24"/>
          <w:lang w:eastAsia="zh-CN"/>
        </w:rPr>
        <w:t>杭州萧山盈丰丰北股份经济联合社商业医疗补充险采购项目</w:t>
      </w:r>
      <w:r>
        <w:rPr>
          <w:rFonts w:hint="eastAsia" w:ascii="宋体" w:hAnsi="宋体" w:cs="宋体"/>
          <w:sz w:val="24"/>
        </w:rPr>
        <w:t>，1家，详见交易需求。</w:t>
      </w:r>
    </w:p>
    <w:p w14:paraId="6CE6F065">
      <w:pPr>
        <w:pStyle w:val="17"/>
        <w:spacing w:line="360" w:lineRule="auto"/>
        <w:ind w:firstLine="482" w:firstLineChars="200"/>
        <w:rPr>
          <w:rFonts w:hAnsi="宋体" w:cs="宋体"/>
          <w:color w:val="000000" w:themeColor="text1"/>
          <w14:textFill>
            <w14:solidFill>
              <w14:schemeClr w14:val="tx1"/>
            </w14:solidFill>
          </w14:textFill>
        </w:rPr>
      </w:pPr>
      <w:r>
        <w:rPr>
          <w:rFonts w:hint="eastAsia" w:hAnsi="宋体" w:cs="宋体"/>
          <w:b/>
          <w:color w:val="000000" w:themeColor="text1"/>
          <w:sz w:val="24"/>
          <w:szCs w:val="18"/>
          <w14:textFill>
            <w14:solidFill>
              <w14:schemeClr w14:val="tx1"/>
            </w14:solidFill>
          </w14:textFill>
        </w:rPr>
        <w:t>合同履约期限：</w:t>
      </w:r>
      <w:r>
        <w:rPr>
          <w:rFonts w:hint="eastAsia" w:hAnsi="宋体" w:cs="宋体"/>
          <w:color w:val="000000" w:themeColor="text1"/>
          <w:sz w:val="24"/>
          <w:szCs w:val="28"/>
          <w14:textFill>
            <w14:solidFill>
              <w14:schemeClr w14:val="tx1"/>
            </w14:solidFill>
          </w14:textFill>
        </w:rPr>
        <w:t>详见交易文件</w:t>
      </w:r>
    </w:p>
    <w:p w14:paraId="76425542">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本项目接受联合体投标：</w:t>
      </w:r>
      <w:r>
        <w:rPr>
          <w:rFonts w:hint="eastAsia" w:ascii="宋体" w:hAnsi="宋体" w:cs="宋体"/>
          <w:bCs/>
          <w:color w:val="000000" w:themeColor="text1"/>
          <w:sz w:val="24"/>
          <w14:textFill>
            <w14:solidFill>
              <w14:schemeClr w14:val="tx1"/>
            </w14:solidFill>
          </w14:textFill>
        </w:rPr>
        <w:t>（  ）是；（√）否。</w:t>
      </w:r>
    </w:p>
    <w:p w14:paraId="05996D43">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二、申请人的资格要求</w:t>
      </w:r>
    </w:p>
    <w:p w14:paraId="3D13505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14:paraId="4672112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2、具有良好的商业信誉和健全的财务会计制度；</w:t>
      </w:r>
    </w:p>
    <w:p w14:paraId="6CAFC41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14:paraId="1EE7B40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14:paraId="77EA257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5、参加采购活动前三年内，在经营活动中没有重大违法记录；</w:t>
      </w:r>
    </w:p>
    <w:p w14:paraId="6C7564B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6、法律、行政法规规定的其他条件；</w:t>
      </w:r>
    </w:p>
    <w:p w14:paraId="727338BA">
      <w:pPr>
        <w:pStyle w:val="62"/>
        <w:ind w:firstLine="480" w:firstLineChars="200"/>
        <w:rPr>
          <w:rFonts w:hAnsi="宋体" w:cs="宋体"/>
          <w:color w:val="000000" w:themeColor="text1"/>
          <w:lang w:val="en-US"/>
          <w14:textFill>
            <w14:solidFill>
              <w14:schemeClr w14:val="tx1"/>
            </w14:solidFill>
          </w14:textFill>
        </w:rPr>
      </w:pPr>
      <w:r>
        <w:rPr>
          <w:rFonts w:hint="eastAsia" w:hAnsi="宋体" w:cs="宋体"/>
          <w:color w:val="000000" w:themeColor="text1"/>
          <w14:textFill>
            <w14:solidFill>
              <w14:schemeClr w14:val="tx1"/>
            </w14:solidFill>
          </w14:textFill>
        </w:rPr>
        <w:t>7、本项目的特定资格要求：供应商须在中华人民共和国境内注册，经国家保险监督机构批准设立且持有《中华人民共和国经营保险业务许可证》的保险公司（投标人如无独立法人资格的分支机构</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14:textFill>
            <w14:solidFill>
              <w14:schemeClr w14:val="tx1"/>
            </w14:solidFill>
          </w14:textFill>
        </w:rPr>
        <w:t>金融、保险、通讯等特定行业的全国性企业所设立的区域性分支机构</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14:textFill>
            <w14:solidFill>
              <w14:schemeClr w14:val="tx1"/>
            </w14:solidFill>
          </w14:textFill>
        </w:rPr>
        <w:t>参加投标的，可以在获得具有法人资格的总公司对本项目授权后，并提供业务、财务、信息技术等支持，可独立参加政府采购活动。）</w:t>
      </w:r>
      <w:r>
        <w:rPr>
          <w:rFonts w:hint="eastAsia" w:hAnsi="宋体" w:cs="宋体"/>
          <w:color w:val="000000" w:themeColor="text1"/>
          <w:lang w:val="en-US"/>
          <w14:textFill>
            <w14:solidFill>
              <w14:schemeClr w14:val="tx1"/>
            </w14:solidFill>
          </w14:textFill>
        </w:rPr>
        <w:t>；</w:t>
      </w:r>
    </w:p>
    <w:p w14:paraId="6B798625">
      <w:pPr>
        <w:pStyle w:val="62"/>
        <w:ind w:firstLine="480" w:firstLineChars="200"/>
        <w:rPr>
          <w:rFonts w:hAnsi="宋体" w:cs="宋体"/>
          <w:color w:val="000000" w:themeColor="text1"/>
          <w:lang w:val="en-US"/>
          <w14:textFill>
            <w14:solidFill>
              <w14:schemeClr w14:val="tx1"/>
            </w14:solidFill>
          </w14:textFill>
        </w:rPr>
      </w:pPr>
      <w:r>
        <w:rPr>
          <w:rFonts w:hint="eastAsia" w:hAnsi="宋体" w:cs="宋体"/>
          <w:color w:val="000000" w:themeColor="text1"/>
          <w:lang w:val="en-US"/>
          <w14:textFill>
            <w14:solidFill>
              <w14:schemeClr w14:val="tx1"/>
            </w14:solidFill>
          </w14:textFill>
        </w:rPr>
        <w:t>8、</w:t>
      </w:r>
      <w:r>
        <w:rPr>
          <w:rFonts w:hint="eastAsia" w:hAnsi="宋体" w:cs="宋体"/>
          <w:color w:val="000000" w:themeColor="text1"/>
          <w14:textFill>
            <w14:solidFill>
              <w14:schemeClr w14:val="tx1"/>
            </w14:solidFill>
          </w14:textFill>
        </w:rPr>
        <w:t>本项目不接受联合体参与（潜在供应商能独立完成本项目）。</w:t>
      </w:r>
    </w:p>
    <w:p w14:paraId="532B6A99">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三、获取交易文件 </w:t>
      </w:r>
    </w:p>
    <w:p w14:paraId="4B8EBB6E">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2024年</w:t>
      </w:r>
      <w:r>
        <w:rPr>
          <w:rFonts w:hint="eastAsia" w:ascii="宋体" w:hAnsi="宋体" w:cs="宋体"/>
          <w:color w:val="000000" w:themeColor="text1"/>
          <w:sz w:val="24"/>
          <w:highlight w:val="none"/>
          <w:u w:val="single"/>
          <w:lang w:val="en-US" w:eastAsia="zh-CN"/>
          <w14:textFill>
            <w14:solidFill>
              <w14:schemeClr w14:val="tx1"/>
            </w14:solidFill>
          </w14:textFill>
        </w:rPr>
        <w:t>12</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26</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，每天上午00:00至12:00 ，下午12:00至23:59（北京时间，线上获取法定节假日均可，线下获取文件法定节假日除外）</w:t>
      </w:r>
    </w:p>
    <w:p w14:paraId="572A5B8F">
      <w:pPr>
        <w:spacing w:line="360" w:lineRule="auto"/>
        <w:ind w:firstLine="482" w:firstLineChars="200"/>
        <w:rPr>
          <w:rFonts w:ascii="宋体" w:hAnsi="宋体" w:cs="宋体"/>
          <w:b w:val="0"/>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b w:val="0"/>
          <w:bCs/>
          <w:color w:val="000000" w:themeColor="text1"/>
          <w:sz w:val="24"/>
          <w14:textFill>
            <w14:solidFill>
              <w14:schemeClr w14:val="tx1"/>
            </w14:solidFill>
          </w14:textFill>
        </w:rPr>
        <w:t xml:space="preserve">乐采云平台（https://www.lecaiyun.com/） </w:t>
      </w:r>
    </w:p>
    <w:p w14:paraId="0E04137F">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方式：</w:t>
      </w:r>
      <w:r>
        <w:rPr>
          <w:rFonts w:hint="eastAsia" w:ascii="宋体" w:hAnsi="宋体" w:cs="宋体"/>
          <w:b w:val="0"/>
          <w:bCs/>
          <w:color w:val="000000" w:themeColor="text1"/>
          <w:sz w:val="24"/>
          <w14:textFill>
            <w14:solidFill>
              <w14:schemeClr w14:val="tx1"/>
            </w14:solidFill>
          </w14:textFill>
        </w:rPr>
        <w:t>响应人登录乐采云平台（https://www.lecaiyun.com/）</w:t>
      </w:r>
      <w:r>
        <w:rPr>
          <w:rFonts w:hint="eastAsia" w:ascii="宋体" w:hAnsi="宋体" w:cs="宋体"/>
          <w:b w:val="0"/>
          <w:bCs/>
          <w:color w:val="000000" w:themeColor="text1"/>
          <w:sz w:val="24"/>
          <w:lang w:eastAsia="zh-CN"/>
          <w14:textFill>
            <w14:solidFill>
              <w14:schemeClr w14:val="tx1"/>
            </w14:solidFill>
          </w14:textFill>
        </w:rPr>
        <w:t>，</w:t>
      </w:r>
      <w:r>
        <w:rPr>
          <w:rFonts w:hint="eastAsia" w:ascii="宋体" w:hAnsi="宋体" w:cs="宋体"/>
          <w:b w:val="0"/>
          <w:bCs/>
          <w:color w:val="000000" w:themeColor="text1"/>
          <w:sz w:val="24"/>
          <w14:textFill>
            <w14:solidFill>
              <w14:schemeClr w14:val="tx1"/>
            </w14:solidFill>
          </w14:textFill>
        </w:rPr>
        <w:t>在线申请获取公开竞争文件（进入“项目采购”应用，在获取采购文件菜单中选择项目，申请获取公开竞争文件）</w:t>
      </w:r>
      <w:r>
        <w:rPr>
          <w:rFonts w:hint="eastAsia" w:ascii="宋体" w:hAnsi="宋体" w:cs="宋体"/>
          <w:color w:val="000000" w:themeColor="text1"/>
          <w:sz w:val="24"/>
          <w14:textFill>
            <w14:solidFill>
              <w14:schemeClr w14:val="tx1"/>
            </w14:solidFill>
          </w14:textFill>
        </w:rPr>
        <w:t xml:space="preserve">。 </w:t>
      </w:r>
    </w:p>
    <w:p w14:paraId="77DB474A">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售价（元）：</w:t>
      </w:r>
      <w:r>
        <w:rPr>
          <w:rFonts w:hint="eastAsia" w:ascii="宋体" w:hAnsi="宋体" w:cs="宋体"/>
          <w:color w:val="000000" w:themeColor="text1"/>
          <w:sz w:val="24"/>
          <w14:textFill>
            <w14:solidFill>
              <w14:schemeClr w14:val="tx1"/>
            </w14:solidFill>
          </w14:textFill>
        </w:rPr>
        <w:t xml:space="preserve">0 </w:t>
      </w:r>
      <w:r>
        <w:rPr>
          <w:rFonts w:hint="eastAsia" w:ascii="宋体" w:hAnsi="宋体" w:cs="宋体"/>
          <w:color w:val="000000" w:themeColor="text1"/>
          <w:sz w:val="24"/>
          <w14:textFill>
            <w14:solidFill>
              <w14:schemeClr w14:val="tx1"/>
            </w14:solidFill>
          </w14:textFill>
        </w:rPr>
        <w:tab/>
      </w:r>
    </w:p>
    <w:p w14:paraId="0BC0DE1B">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四、提交响应文件截止时间、交易时间和地点</w:t>
      </w:r>
    </w:p>
    <w:p w14:paraId="174DBBB2">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提交响应文件截止时间：</w:t>
      </w:r>
      <w:r>
        <w:rPr>
          <w:rFonts w:hint="eastAsia" w:ascii="宋体" w:hAnsi="宋体" w:cs="宋体"/>
          <w:color w:val="000000" w:themeColor="text1"/>
          <w:sz w:val="24"/>
          <w:highlight w:val="none"/>
          <w:u w:val="single"/>
          <w14:textFill>
            <w14:solidFill>
              <w14:schemeClr w14:val="tx1"/>
            </w14:solidFill>
          </w14:textFill>
        </w:rPr>
        <w:t>2024年</w:t>
      </w:r>
      <w:r>
        <w:rPr>
          <w:rFonts w:hint="eastAsia" w:ascii="宋体" w:hAnsi="宋体" w:cs="宋体"/>
          <w:color w:val="000000" w:themeColor="text1"/>
          <w:sz w:val="24"/>
          <w:highlight w:val="none"/>
          <w:u w:val="single"/>
          <w:lang w:val="en-US" w:eastAsia="zh-CN"/>
          <w14:textFill>
            <w14:solidFill>
              <w14:schemeClr w14:val="tx1"/>
            </w14:solidFill>
          </w14:textFill>
        </w:rPr>
        <w:t>12</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26</w:t>
      </w:r>
      <w:r>
        <w:rPr>
          <w:rFonts w:hint="eastAsia" w:ascii="宋体" w:hAnsi="宋体" w:cs="宋体"/>
          <w:color w:val="000000" w:themeColor="text1"/>
          <w:sz w:val="24"/>
          <w:highlight w:val="none"/>
          <w:u w:val="single"/>
          <w14:textFill>
            <w14:solidFill>
              <w14:schemeClr w14:val="tx1"/>
            </w14:solidFill>
          </w14:textFill>
        </w:rPr>
        <w:t>日9点30分</w:t>
      </w:r>
      <w:r>
        <w:rPr>
          <w:rFonts w:hint="eastAsia" w:ascii="宋体" w:hAnsi="宋体" w:cs="宋体"/>
          <w:color w:val="000000" w:themeColor="text1"/>
          <w:sz w:val="24"/>
          <w:highlight w:val="none"/>
          <w14:textFill>
            <w14:solidFill>
              <w14:schemeClr w14:val="tx1"/>
            </w14:solidFill>
          </w14:textFill>
        </w:rPr>
        <w:t>（北京时间）</w:t>
      </w:r>
    </w:p>
    <w:p w14:paraId="4CEB7ECF">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b w:val="0"/>
          <w:bCs/>
          <w:color w:val="000000" w:themeColor="text1"/>
          <w:sz w:val="24"/>
          <w:highlight w:val="none"/>
          <w14:textFill>
            <w14:solidFill>
              <w14:schemeClr w14:val="tx1"/>
            </w14:solidFill>
          </w14:textFill>
        </w:rPr>
        <w:t>乐采云平台（https://www.lecaiyun.com/）</w:t>
      </w:r>
      <w:r>
        <w:rPr>
          <w:rFonts w:hint="eastAsia" w:ascii="宋体" w:hAnsi="宋体" w:cs="宋体"/>
          <w:color w:val="000000" w:themeColor="text1"/>
          <w:sz w:val="24"/>
          <w:highlight w:val="none"/>
          <w14:textFill>
            <w14:solidFill>
              <w14:schemeClr w14:val="tx1"/>
            </w14:solidFill>
          </w14:textFill>
        </w:rPr>
        <w:t xml:space="preserve"> </w:t>
      </w:r>
    </w:p>
    <w:p w14:paraId="58C48F27">
      <w:pPr>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交易时间：</w:t>
      </w:r>
      <w:r>
        <w:rPr>
          <w:rFonts w:hint="eastAsia" w:ascii="宋体" w:hAnsi="宋体" w:cs="宋体"/>
          <w:color w:val="000000" w:themeColor="text1"/>
          <w:sz w:val="24"/>
          <w:highlight w:val="none"/>
          <w:u w:val="single"/>
          <w14:textFill>
            <w14:solidFill>
              <w14:schemeClr w14:val="tx1"/>
            </w14:solidFill>
          </w14:textFill>
        </w:rPr>
        <w:t>2024年</w:t>
      </w:r>
      <w:r>
        <w:rPr>
          <w:rFonts w:hint="eastAsia" w:ascii="宋体" w:hAnsi="宋体" w:cs="宋体"/>
          <w:color w:val="000000" w:themeColor="text1"/>
          <w:sz w:val="24"/>
          <w:highlight w:val="none"/>
          <w:u w:val="single"/>
          <w:lang w:val="en-US" w:eastAsia="zh-CN"/>
          <w14:textFill>
            <w14:solidFill>
              <w14:schemeClr w14:val="tx1"/>
            </w14:solidFill>
          </w14:textFill>
        </w:rPr>
        <w:t>12</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26</w:t>
      </w:r>
      <w:bookmarkStart w:id="387" w:name="_GoBack"/>
      <w:bookmarkEnd w:id="387"/>
      <w:r>
        <w:rPr>
          <w:rFonts w:hint="eastAsia" w:ascii="宋体" w:hAnsi="宋体" w:cs="宋体"/>
          <w:color w:val="000000" w:themeColor="text1"/>
          <w:sz w:val="24"/>
          <w:highlight w:val="none"/>
          <w:u w:val="single"/>
          <w14:textFill>
            <w14:solidFill>
              <w14:schemeClr w14:val="tx1"/>
            </w14:solidFill>
          </w14:textFill>
        </w:rPr>
        <w:t>日9点30分</w:t>
      </w:r>
      <w:r>
        <w:rPr>
          <w:rFonts w:hint="eastAsia" w:ascii="宋体" w:hAnsi="宋体" w:cs="宋体"/>
          <w:color w:val="000000" w:themeColor="text1"/>
          <w:sz w:val="24"/>
          <w:highlight w:val="none"/>
          <w14:textFill>
            <w14:solidFill>
              <w14:schemeClr w14:val="tx1"/>
            </w14:solidFill>
          </w14:textFill>
        </w:rPr>
        <w:t>（北京时间）</w:t>
      </w:r>
    </w:p>
    <w:p w14:paraId="5E94ED1A">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开标地点（网址）：</w:t>
      </w:r>
      <w:r>
        <w:rPr>
          <w:rFonts w:hint="eastAsia" w:ascii="宋体" w:hAnsi="宋体" w:cs="宋体"/>
          <w:b w:val="0"/>
          <w:bCs/>
          <w:color w:val="000000" w:themeColor="text1"/>
          <w:sz w:val="24"/>
          <w14:textFill>
            <w14:solidFill>
              <w14:schemeClr w14:val="tx1"/>
            </w14:solidFill>
          </w14:textFill>
        </w:rPr>
        <w:t>乐采云平台（https://www.lecaiyun.com/）</w:t>
      </w:r>
      <w:r>
        <w:rPr>
          <w:rFonts w:hint="eastAsia" w:ascii="宋体" w:hAnsi="宋体" w:cs="宋体"/>
          <w:color w:val="000000" w:themeColor="text1"/>
          <w:sz w:val="24"/>
          <w14:textFill>
            <w14:solidFill>
              <w14:schemeClr w14:val="tx1"/>
            </w14:solidFill>
          </w14:textFill>
        </w:rPr>
        <w:t xml:space="preserve"> </w:t>
      </w:r>
    </w:p>
    <w:p w14:paraId="55719C18">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五、其他补充事宜</w:t>
      </w:r>
    </w:p>
    <w:p w14:paraId="08807BBA">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1.供应商认为招标文件使自己的权益受到损害的，可以自获取招标文件之日起3个工作日内，以书面形式向采购人和采购代理机构提出质疑。</w:t>
      </w:r>
    </w:p>
    <w:p w14:paraId="6A668290">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2.电子招投标的说明： 1）电子招投标：本项目以数据电文形式，依托“乐采云平台（www.lecaiyun.com）”进行招投标活动，不接受纸质投标文件。2）投标准备：注册账号--点击“商家入驻”，进行政府采购供应商资料填写；申领CA数字证书---申领流程详见“</w:t>
      </w:r>
      <w:r>
        <w:rPr>
          <w:rFonts w:hint="eastAsia" w:ascii="宋体" w:hAnsi="宋体" w:cs="宋体"/>
          <w:color w:val="000000" w:themeColor="text1"/>
          <w:sz w:val="24"/>
          <w:lang w:eastAsia="zh-CN"/>
          <w14:textFill>
            <w14:solidFill>
              <w14:schemeClr w14:val="tx1"/>
            </w14:solidFill>
          </w14:textFill>
        </w:rPr>
        <w:t>浙江企业采购信息服务网</w:t>
      </w:r>
      <w:r>
        <w:rPr>
          <w:rFonts w:hint="eastAsia" w:ascii="宋体" w:hAnsi="宋体" w:cs="宋体"/>
          <w:color w:val="000000" w:themeColor="text1"/>
          <w:sz w:val="24"/>
          <w14:textFill>
            <w14:solidFill>
              <w14:schemeClr w14:val="tx1"/>
            </w14:solidFill>
          </w14:textFill>
        </w:rPr>
        <w:t>-下载专区-电子交易客户端-CA驱动和申领流程”；安装“乐采云投标客户端”----前往“</w:t>
      </w:r>
      <w:r>
        <w:rPr>
          <w:rFonts w:hint="eastAsia" w:ascii="宋体" w:hAnsi="宋体" w:cs="宋体"/>
          <w:color w:val="000000" w:themeColor="text1"/>
          <w:sz w:val="24"/>
          <w:lang w:eastAsia="zh-CN"/>
          <w14:textFill>
            <w14:solidFill>
              <w14:schemeClr w14:val="tx1"/>
            </w14:solidFill>
          </w14:textFill>
        </w:rPr>
        <w:t>浙江企业采购信息服务网</w:t>
      </w:r>
      <w:r>
        <w:rPr>
          <w:rFonts w:hint="eastAsia" w:ascii="宋体" w:hAnsi="宋体" w:cs="宋体"/>
          <w:color w:val="000000" w:themeColor="text1"/>
          <w:sz w:val="24"/>
          <w14:textFill>
            <w14:solidFill>
              <w14:schemeClr w14:val="tx1"/>
            </w14:solidFill>
          </w14:textFill>
        </w:rPr>
        <w:t>-下载专区-电子交易客户端”进行下载并安装。3）招标文件的获取：使用账号登录或者使用CA登录</w:t>
      </w:r>
      <w:r>
        <w:rPr>
          <w:rFonts w:hint="eastAsia" w:ascii="宋体" w:hAnsi="宋体" w:cs="宋体"/>
          <w:color w:val="000000" w:themeColor="text1"/>
          <w:sz w:val="24"/>
          <w:lang w:eastAsia="zh-CN"/>
          <w14:textFill>
            <w14:solidFill>
              <w14:schemeClr w14:val="tx1"/>
            </w14:solidFill>
          </w14:textFill>
        </w:rPr>
        <w:t>乐采云平台</w:t>
      </w:r>
      <w:r>
        <w:rPr>
          <w:rFonts w:hint="eastAsia" w:ascii="宋体" w:hAnsi="宋体" w:cs="宋体"/>
          <w:color w:val="000000" w:themeColor="text1"/>
          <w:sz w:val="24"/>
          <w14:textFill>
            <w14:solidFill>
              <w14:schemeClr w14:val="tx1"/>
            </w14:solidFill>
          </w14:textFill>
        </w:rPr>
        <w:t>；进入“项目采购”应用，在获取招标文件菜单中选择项目，获取招标文件。4）投标文件的制作：在“乐采云投标客户端”中完成“填写基本信息”、“导入投标文件”、“标书关联”、“标书检查”、“电子签章”、“生成电子标书”等操作。5）采购人、采购机构将依托</w:t>
      </w:r>
      <w:r>
        <w:rPr>
          <w:rFonts w:hint="eastAsia" w:ascii="宋体" w:hAnsi="宋体" w:cs="宋体"/>
          <w:color w:val="000000" w:themeColor="text1"/>
          <w:sz w:val="24"/>
          <w:lang w:eastAsia="zh-CN"/>
          <w14:textFill>
            <w14:solidFill>
              <w14:schemeClr w14:val="tx1"/>
            </w14:solidFill>
          </w14:textFill>
        </w:rPr>
        <w:t>乐采云平台</w:t>
      </w:r>
      <w:r>
        <w:rPr>
          <w:rFonts w:hint="eastAsia" w:ascii="宋体" w:hAnsi="宋体" w:cs="宋体"/>
          <w:color w:val="000000" w:themeColor="text1"/>
          <w:sz w:val="24"/>
          <w14:textFill>
            <w14:solidFill>
              <w14:schemeClr w14:val="tx1"/>
            </w14:solidFill>
          </w14:textFill>
        </w:rPr>
        <w:t>完成本项目的电子交易活动，平台不接受未按上述方式获取招标文件的供应商进行投标活动； 6）对未按上述方式获取招标文件的供应商对该文件提出的质疑，采购人或采购代理机构将不予处理；7）不提供招标文件纸质版。8）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9）投标文件的解密：投标人按照平台提示和招标文件的规定在半小时内完成在线解密。通过“</w:t>
      </w:r>
      <w:r>
        <w:rPr>
          <w:rFonts w:hint="eastAsia" w:ascii="宋体" w:hAnsi="宋体" w:cs="宋体"/>
          <w:color w:val="000000" w:themeColor="text1"/>
          <w:sz w:val="24"/>
          <w:lang w:eastAsia="zh-CN"/>
          <w14:textFill>
            <w14:solidFill>
              <w14:schemeClr w14:val="tx1"/>
            </w14:solidFill>
          </w14:textFill>
        </w:rPr>
        <w:t>乐采云平台</w:t>
      </w:r>
      <w:r>
        <w:rPr>
          <w:rFonts w:hint="eastAsia" w:ascii="宋体" w:hAnsi="宋体" w:cs="宋体"/>
          <w:color w:val="000000" w:themeColor="text1"/>
          <w:sz w:val="24"/>
          <w14:textFill>
            <w14:solidFill>
              <w14:schemeClr w14:val="tx1"/>
            </w14:solidFill>
          </w14:textFill>
        </w:rPr>
        <w:t>”上传递交的投标文件无法按时解密，投标供应商递交了备份投标文件的，以备份投标文件为依据，否则视为投标文件撤回。通过“</w:t>
      </w:r>
      <w:r>
        <w:rPr>
          <w:rFonts w:hint="eastAsia" w:ascii="宋体" w:hAnsi="宋体" w:cs="宋体"/>
          <w:color w:val="000000" w:themeColor="text1"/>
          <w:sz w:val="24"/>
          <w:lang w:eastAsia="zh-CN"/>
          <w14:textFill>
            <w14:solidFill>
              <w14:schemeClr w14:val="tx1"/>
            </w14:solidFill>
          </w14:textFill>
        </w:rPr>
        <w:t>乐采云平台</w:t>
      </w:r>
      <w:r>
        <w:rPr>
          <w:rFonts w:hint="eastAsia" w:ascii="宋体" w:hAnsi="宋体" w:cs="宋体"/>
          <w:color w:val="000000" w:themeColor="text1"/>
          <w:sz w:val="24"/>
          <w14:textFill>
            <w14:solidFill>
              <w14:schemeClr w14:val="tx1"/>
            </w14:solidFill>
          </w14:textFill>
        </w:rPr>
        <w:t>”上传递交的投标文件已按时解密的，备份投标文件自动失效。投标人仅提交备份投标文件，没有在电子交易平台传输递交投标文件的，投标无效。10）具体操作指南：详见</w:t>
      </w:r>
      <w:r>
        <w:rPr>
          <w:rFonts w:hint="eastAsia" w:ascii="宋体" w:hAnsi="宋体" w:cs="宋体"/>
          <w:color w:val="000000" w:themeColor="text1"/>
          <w:sz w:val="24"/>
          <w:lang w:eastAsia="zh-CN"/>
          <w14:textFill>
            <w14:solidFill>
              <w14:schemeClr w14:val="tx1"/>
            </w14:solidFill>
          </w14:textFill>
        </w:rPr>
        <w:t>乐采云平台</w:t>
      </w:r>
      <w:r>
        <w:rPr>
          <w:rFonts w:hint="eastAsia" w:ascii="宋体" w:hAnsi="宋体" w:cs="宋体"/>
          <w:color w:val="000000" w:themeColor="text1"/>
          <w:sz w:val="24"/>
          <w14:textFill>
            <w14:solidFill>
              <w14:schemeClr w14:val="tx1"/>
            </w14:solidFill>
          </w14:textFill>
        </w:rPr>
        <w:t>“服务中心-帮助文档-项目采购-操作流程-电子招投标-政府采购项目电子交易管理操作指南-供应商”。乐采云投标客户端（下载链接：https://b.zhengcaiyun.cn/luban/category?parentId=550045&amp;childrenCode=qicaiCategory17&amp;utm=luban.luban-PC-39026.959-pc-websitegroup-navBar-front.8.c8789bc0520b11efb86dbfa49a87be0d））</w:t>
      </w:r>
    </w:p>
    <w:p w14:paraId="5015446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0F7FA54D">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六、对本次采购提出询问、质疑、投诉，请按以下方式联系</w:t>
      </w:r>
    </w:p>
    <w:p w14:paraId="10EFC2E6">
      <w:pPr>
        <w:widowControl/>
        <w:spacing w:line="360" w:lineRule="auto"/>
        <w:ind w:firstLine="480" w:firstLineChars="200"/>
        <w:jc w:val="left"/>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1、交易人信息</w:t>
      </w:r>
    </w:p>
    <w:p w14:paraId="73B77E89">
      <w:pPr>
        <w:spacing w:line="360" w:lineRule="auto"/>
        <w:ind w:firstLine="480" w:firstLineChars="200"/>
        <w:jc w:val="left"/>
        <w:rPr>
          <w:rFonts w:ascii="宋体" w:hAnsi="宋体" w:cs="宋体"/>
          <w:sz w:val="24"/>
        </w:rPr>
      </w:pPr>
      <w:r>
        <w:rPr>
          <w:rFonts w:hint="eastAsia" w:ascii="宋体" w:hAnsi="宋体" w:cs="宋体"/>
          <w:sz w:val="24"/>
        </w:rPr>
        <w:t>名称：杭州萧山盈丰丰北股份经济联合社</w:t>
      </w:r>
      <w:r>
        <w:rPr>
          <w:rFonts w:hint="eastAsia" w:ascii="宋体" w:hAnsi="宋体" w:cs="宋体"/>
          <w:sz w:val="24"/>
          <w:szCs w:val="28"/>
        </w:rPr>
        <w:t xml:space="preserve">  </w:t>
      </w:r>
    </w:p>
    <w:p w14:paraId="67EF156E">
      <w:pPr>
        <w:spacing w:line="360" w:lineRule="auto"/>
        <w:ind w:firstLine="480" w:firstLineChars="200"/>
        <w:jc w:val="left"/>
        <w:rPr>
          <w:rFonts w:ascii="宋体" w:hAnsi="宋体" w:cs="宋体"/>
          <w:sz w:val="24"/>
        </w:rPr>
      </w:pPr>
      <w:r>
        <w:rPr>
          <w:rFonts w:hint="eastAsia" w:ascii="宋体" w:hAnsi="宋体" w:cs="宋体"/>
          <w:sz w:val="24"/>
        </w:rPr>
        <w:t>地址：杭州市萧山区民和路盈和清机大厦裙楼</w:t>
      </w:r>
      <w:r>
        <w:rPr>
          <w:rFonts w:hint="eastAsia" w:ascii="宋体" w:hAnsi="宋体" w:cs="宋体"/>
          <w:sz w:val="24"/>
          <w:lang w:val="en-US" w:eastAsia="zh-CN"/>
        </w:rPr>
        <w:t>一</w:t>
      </w:r>
      <w:r>
        <w:rPr>
          <w:rFonts w:hint="eastAsia" w:ascii="宋体" w:hAnsi="宋体" w:cs="宋体"/>
          <w:sz w:val="24"/>
        </w:rPr>
        <w:t>楼</w:t>
      </w:r>
    </w:p>
    <w:p w14:paraId="424C4E76">
      <w:pPr>
        <w:spacing w:line="360" w:lineRule="auto"/>
        <w:ind w:firstLine="480" w:firstLineChars="200"/>
        <w:jc w:val="left"/>
        <w:rPr>
          <w:rFonts w:ascii="宋体" w:hAnsi="宋体" w:cs="宋体"/>
          <w:sz w:val="24"/>
        </w:rPr>
      </w:pPr>
      <w:r>
        <w:rPr>
          <w:rFonts w:hint="eastAsia" w:ascii="宋体" w:hAnsi="宋体" w:cs="宋体"/>
          <w:sz w:val="24"/>
        </w:rPr>
        <w:t>项目联系人（询问）：</w:t>
      </w:r>
      <w:r>
        <w:rPr>
          <w:rFonts w:hint="eastAsia" w:ascii="宋体" w:hAnsi="宋体" w:cs="宋体"/>
          <w:sz w:val="24"/>
          <w:lang w:val="en-US" w:eastAsia="zh-CN"/>
        </w:rPr>
        <w:t>高小君</w:t>
      </w:r>
      <w:r>
        <w:rPr>
          <w:rFonts w:hint="eastAsia" w:ascii="宋体" w:hAnsi="宋体" w:cs="宋体"/>
          <w:sz w:val="24"/>
        </w:rPr>
        <w:t xml:space="preserve">  </w:t>
      </w:r>
    </w:p>
    <w:p w14:paraId="35DF3252">
      <w:pPr>
        <w:spacing w:line="360" w:lineRule="auto"/>
        <w:ind w:firstLine="480" w:firstLineChars="200"/>
        <w:jc w:val="left"/>
        <w:rPr>
          <w:rFonts w:ascii="宋体" w:hAnsi="宋体" w:cs="宋体"/>
          <w:sz w:val="24"/>
          <w:szCs w:val="28"/>
        </w:rPr>
      </w:pPr>
      <w:r>
        <w:rPr>
          <w:rFonts w:hint="eastAsia" w:ascii="宋体" w:hAnsi="宋体" w:cs="宋体"/>
          <w:sz w:val="24"/>
        </w:rPr>
        <w:t>项目联系方式（询问）：</w:t>
      </w:r>
      <w:r>
        <w:rPr>
          <w:rFonts w:hint="eastAsia" w:ascii="宋体" w:hAnsi="宋体" w:cs="宋体"/>
          <w:sz w:val="24"/>
          <w:lang w:val="en-US" w:eastAsia="zh-CN"/>
        </w:rPr>
        <w:t>057182662295</w:t>
      </w:r>
      <w:r>
        <w:rPr>
          <w:rFonts w:hint="eastAsia" w:ascii="仿宋" w:hAnsi="仿宋" w:eastAsia="仿宋" w:cs="仿宋"/>
          <w:sz w:val="24"/>
          <w:szCs w:val="28"/>
        </w:rPr>
        <w:t xml:space="preserve"> </w:t>
      </w:r>
    </w:p>
    <w:p w14:paraId="3921FE99">
      <w:pPr>
        <w:spacing w:line="360" w:lineRule="auto"/>
        <w:ind w:firstLine="480" w:firstLineChars="200"/>
        <w:jc w:val="left"/>
        <w:rPr>
          <w:rFonts w:ascii="宋体" w:hAnsi="宋体" w:cs="宋体"/>
          <w:color w:val="000000" w:themeColor="text1"/>
          <w:sz w:val="24"/>
          <w:szCs w:val="28"/>
          <w14:textFill>
            <w14:solidFill>
              <w14:schemeClr w14:val="tx1"/>
            </w14:solidFill>
          </w14:textFill>
        </w:rPr>
      </w:pPr>
      <w:bookmarkStart w:id="10" w:name="_Toc28359009"/>
      <w:bookmarkStart w:id="11" w:name="_Toc28359086"/>
      <w:r>
        <w:rPr>
          <w:rFonts w:hint="eastAsia" w:ascii="宋体" w:hAnsi="宋体" w:cs="宋体"/>
          <w:color w:val="000000" w:themeColor="text1"/>
          <w:sz w:val="24"/>
          <w:szCs w:val="28"/>
          <w14:textFill>
            <w14:solidFill>
              <w14:schemeClr w14:val="tx1"/>
            </w14:solidFill>
          </w14:textFill>
        </w:rPr>
        <w:t>2</w:t>
      </w:r>
      <w:bookmarkEnd w:id="10"/>
      <w:bookmarkEnd w:id="11"/>
      <w:r>
        <w:rPr>
          <w:rFonts w:hint="eastAsia" w:ascii="宋体" w:hAnsi="宋体" w:cs="宋体"/>
          <w:color w:val="000000" w:themeColor="text1"/>
          <w:sz w:val="24"/>
          <w:szCs w:val="28"/>
          <w14:textFill>
            <w14:solidFill>
              <w14:schemeClr w14:val="tx1"/>
            </w14:solidFill>
          </w14:textFill>
        </w:rPr>
        <w:t>、采购机构信息</w:t>
      </w:r>
    </w:p>
    <w:p w14:paraId="207643D1">
      <w:pPr>
        <w:spacing w:line="360" w:lineRule="auto"/>
        <w:ind w:firstLine="480" w:firstLineChars="200"/>
        <w:jc w:val="left"/>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名称：浙江华杰工程咨询有限公司</w:t>
      </w:r>
    </w:p>
    <w:p w14:paraId="4543CD7B">
      <w:pPr>
        <w:spacing w:line="360" w:lineRule="auto"/>
        <w:ind w:firstLine="480" w:firstLineChars="200"/>
        <w:jc w:val="left"/>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地址：杭州市萧山区金城路金地德圣中心9幢901室</w:t>
      </w:r>
    </w:p>
    <w:p w14:paraId="510335CA">
      <w:pPr>
        <w:spacing w:line="360" w:lineRule="auto"/>
        <w:ind w:firstLine="480" w:firstLineChars="200"/>
        <w:jc w:val="left"/>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项目联系人（询问）：陶津</w:t>
      </w:r>
    </w:p>
    <w:p w14:paraId="4A7A7C3B">
      <w:pPr>
        <w:spacing w:line="360" w:lineRule="auto"/>
        <w:ind w:firstLine="480" w:firstLineChars="200"/>
        <w:jc w:val="left"/>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项目联系方式（询问）：13017728736</w:t>
      </w:r>
    </w:p>
    <w:p w14:paraId="063E6E1D">
      <w:pPr>
        <w:spacing w:line="360" w:lineRule="auto"/>
        <w:ind w:firstLine="480" w:firstLineChars="200"/>
        <w:rPr>
          <w:rFonts w:ascii="宋体" w:hAnsi="宋体" w:cs="宋体"/>
          <w:color w:val="000000" w:themeColor="text1"/>
          <w:sz w:val="24"/>
          <w14:textFill>
            <w14:solidFill>
              <w14:schemeClr w14:val="tx1"/>
            </w14:solidFill>
          </w14:textFill>
        </w:rPr>
      </w:pPr>
    </w:p>
    <w:p w14:paraId="567F5E86">
      <w:pPr>
        <w:spacing w:line="360" w:lineRule="auto"/>
        <w:ind w:firstLine="480" w:firstLineChars="200"/>
        <w:rPr>
          <w:rFonts w:ascii="宋体" w:hAnsi="宋体" w:cs="宋体"/>
          <w:color w:val="000000" w:themeColor="text1"/>
          <w:sz w:val="24"/>
          <w14:textFill>
            <w14:solidFill>
              <w14:schemeClr w14:val="tx1"/>
            </w14:solidFill>
          </w14:textFill>
        </w:rPr>
      </w:pPr>
    </w:p>
    <w:p w14:paraId="677C9C88">
      <w:pPr>
        <w:pStyle w:val="6"/>
        <w:rPr>
          <w:color w:val="000000" w:themeColor="text1"/>
          <w14:textFill>
            <w14:solidFill>
              <w14:schemeClr w14:val="tx1"/>
            </w14:solidFill>
          </w14:textFill>
        </w:rPr>
      </w:pPr>
    </w:p>
    <w:p w14:paraId="09416EA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14:paraId="4FD5D85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CA问题联系电话（人工）：汇信CA 400-888-4636；天谷CA 400-087-8198。</w:t>
      </w:r>
    </w:p>
    <w:p w14:paraId="2917EEDE">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br w:type="page"/>
      </w:r>
      <w:r>
        <w:rPr>
          <w:rFonts w:hint="eastAsia" w:ascii="宋体" w:hAnsi="宋体" w:cs="宋体"/>
          <w:b/>
          <w:color w:val="000000" w:themeColor="text1"/>
          <w:sz w:val="36"/>
          <w:szCs w:val="20"/>
          <w14:textFill>
            <w14:solidFill>
              <w14:schemeClr w14:val="tx1"/>
            </w14:solidFill>
          </w14:textFill>
        </w:rPr>
        <w:t>第二部分</w:t>
      </w:r>
      <w:bookmarkEnd w:id="7"/>
      <w:r>
        <w:rPr>
          <w:rFonts w:hint="eastAsia" w:ascii="宋体" w:hAnsi="宋体" w:cs="宋体"/>
          <w:b/>
          <w:color w:val="000000" w:themeColor="text1"/>
          <w:sz w:val="36"/>
          <w:szCs w:val="20"/>
          <w14:textFill>
            <w14:solidFill>
              <w14:schemeClr w14:val="tx1"/>
            </w14:solidFill>
          </w14:textFill>
        </w:rPr>
        <w:t xml:space="preserve"> 供应商须知</w:t>
      </w:r>
      <w:bookmarkEnd w:id="8"/>
    </w:p>
    <w:p w14:paraId="2870CB49">
      <w:pPr>
        <w:snapToGrid w:val="0"/>
        <w:spacing w:line="360" w:lineRule="auto"/>
        <w:jc w:val="center"/>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前附表</w:t>
      </w:r>
    </w:p>
    <w:tbl>
      <w:tblPr>
        <w:tblStyle w:val="64"/>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14:paraId="724DAD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F4A1721">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0B96972">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14:paraId="1C2D4999">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本项目的特别规定</w:t>
            </w:r>
          </w:p>
        </w:tc>
      </w:tr>
      <w:tr w14:paraId="621118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15A3DC3">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E9ADE4C">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14:paraId="15543A5F">
            <w:pPr>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A货物类</w:t>
            </w:r>
            <w:r>
              <w:rPr>
                <w:rFonts w:hint="eastAsia" w:ascii="宋体" w:hAnsi="宋体" w:cs="宋体"/>
                <w:color w:val="000000" w:themeColor="text1"/>
                <w:sz w:val="24"/>
                <w14:textFill>
                  <w14:solidFill>
                    <w14:schemeClr w14:val="tx1"/>
                  </w14:solidFill>
                </w14:textFill>
              </w:rPr>
              <w:t>。</w:t>
            </w:r>
          </w:p>
          <w:p w14:paraId="77FBA21E">
            <w:pPr>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B服务类</w:t>
            </w:r>
            <w:r>
              <w:rPr>
                <w:rFonts w:hint="eastAsia" w:ascii="宋体" w:hAnsi="宋体" w:cs="宋体"/>
                <w:color w:val="000000" w:themeColor="text1"/>
                <w:sz w:val="24"/>
                <w14:textFill>
                  <w14:solidFill>
                    <w14:schemeClr w14:val="tx1"/>
                  </w14:solidFill>
                </w14:textFill>
              </w:rPr>
              <w:t>。</w:t>
            </w:r>
          </w:p>
        </w:tc>
      </w:tr>
      <w:tr w14:paraId="4A40F8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5A1CA406">
            <w:pPr>
              <w:snapToGrid w:val="0"/>
              <w:jc w:val="center"/>
              <w:rPr>
                <w:rFonts w:ascii="宋体" w:hAnsi="宋体" w:cs="宋体"/>
                <w:color w:val="000000" w:themeColor="text1"/>
                <w:sz w:val="24"/>
                <w14:textFill>
                  <w14:solidFill>
                    <w14:schemeClr w14:val="tx1"/>
                  </w14:solidFill>
                </w14:textFill>
              </w:rPr>
            </w:pPr>
          </w:p>
          <w:p w14:paraId="7C30F4DC">
            <w:pPr>
              <w:snapToGrid w:val="0"/>
              <w:jc w:val="center"/>
              <w:rPr>
                <w:rFonts w:ascii="宋体" w:hAnsi="宋体" w:cs="宋体"/>
                <w:color w:val="000000" w:themeColor="text1"/>
                <w:sz w:val="24"/>
                <w14:textFill>
                  <w14:solidFill>
                    <w14:schemeClr w14:val="tx1"/>
                  </w14:solidFill>
                </w14:textFill>
              </w:rPr>
            </w:pPr>
          </w:p>
          <w:p w14:paraId="6A8BF810">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845658A">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14:paraId="4DE191E1">
            <w:pPr>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w:t>
            </w:r>
            <w:r>
              <w:rPr>
                <w:rFonts w:hint="eastAsia" w:ascii="宋体" w:hAnsi="宋体" w:cs="宋体"/>
                <w:color w:val="000000" w:themeColor="text1"/>
                <w:kern w:val="0"/>
                <w:sz w:val="24"/>
                <w14:textFill>
                  <w14:solidFill>
                    <w14:schemeClr w14:val="tx1"/>
                  </w14:solidFill>
                </w14:textFill>
              </w:rPr>
              <w:t>A适用</w:t>
            </w:r>
            <w:r>
              <w:rPr>
                <w:rFonts w:hint="eastAsia" w:ascii="宋体" w:hAnsi="宋体" w:cs="宋体"/>
                <w:color w:val="000000" w:themeColor="text1"/>
                <w:sz w:val="24"/>
                <w14:textFill>
                  <w14:solidFill>
                    <w14:schemeClr w14:val="tx1"/>
                  </w14:solidFill>
                </w14:textFill>
              </w:rPr>
              <w:t>。</w:t>
            </w:r>
          </w:p>
          <w:p w14:paraId="588600FA">
            <w:pPr>
              <w:rPr>
                <w:rFonts w:ascii="宋体" w:hAnsi="宋体" w:cs="宋体"/>
                <w:color w:val="000000" w:themeColor="text1"/>
                <w:kern w:val="0"/>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B不适用</w:t>
            </w:r>
            <w:r>
              <w:rPr>
                <w:rFonts w:hint="eastAsia" w:ascii="宋体" w:hAnsi="宋体" w:cs="宋体"/>
                <w:color w:val="000000" w:themeColor="text1"/>
                <w:sz w:val="24"/>
                <w14:textFill>
                  <w14:solidFill>
                    <w14:schemeClr w14:val="tx1"/>
                  </w14:solidFill>
                </w14:textFill>
              </w:rPr>
              <w:t>。</w:t>
            </w:r>
          </w:p>
        </w:tc>
      </w:tr>
      <w:tr w14:paraId="2C2BC1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060C28C">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4D92066">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14:paraId="59C386EF">
            <w:pPr>
              <w:rPr>
                <w:rFonts w:ascii="宋体" w:hAnsi="宋体" w:cs="宋体"/>
                <w:color w:val="000000" w:themeColor="text1"/>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szCs w:val="32"/>
                <w14:textFill>
                  <w14:solidFill>
                    <w14:schemeClr w14:val="tx1"/>
                  </w14:solidFill>
                </w14:textFill>
              </w:rPr>
              <w:t>本项目不允许采购进口产品。</w:t>
            </w:r>
          </w:p>
        </w:tc>
      </w:tr>
      <w:tr w14:paraId="0368E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607A818">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99891BB">
            <w:pPr>
              <w:snapToGrid w:val="0"/>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14:paraId="1ED4589C">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w:t>
            </w:r>
            <w:r>
              <w:rPr>
                <w:rFonts w:hint="eastAsia" w:ascii="宋体" w:hAnsi="宋体" w:cs="宋体"/>
                <w:bCs/>
                <w:color w:val="000000" w:themeColor="text1"/>
                <w:kern w:val="0"/>
                <w:sz w:val="24"/>
                <w14:textFill>
                  <w14:solidFill>
                    <w14:schemeClr w14:val="tx1"/>
                  </w14:solidFill>
                </w14:textFill>
              </w:rPr>
              <w:t>A同意分包</w:t>
            </w:r>
            <w:r>
              <w:rPr>
                <w:rFonts w:hint="eastAsia" w:ascii="宋体" w:hAnsi="宋体" w:cs="宋体"/>
                <w:bCs/>
                <w:color w:val="000000" w:themeColor="text1"/>
                <w:sz w:val="24"/>
                <w14:textFill>
                  <w14:solidFill>
                    <w14:schemeClr w14:val="tx1"/>
                  </w14:solidFill>
                </w14:textFill>
              </w:rPr>
              <w:t>。</w:t>
            </w:r>
          </w:p>
          <w:p w14:paraId="47145633">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r>
              <w:rPr>
                <w:rFonts w:hint="eastAsia" w:ascii="宋体" w:hAnsi="宋体" w:cs="宋体"/>
                <w:bCs/>
                <w:color w:val="000000" w:themeColor="text1"/>
                <w:kern w:val="0"/>
                <w:sz w:val="24"/>
                <w14:textFill>
                  <w14:solidFill>
                    <w14:schemeClr w14:val="tx1"/>
                  </w14:solidFill>
                </w14:textFill>
              </w:rPr>
              <w:t>B</w:t>
            </w:r>
            <w:r>
              <w:rPr>
                <w:rFonts w:hint="eastAsia" w:ascii="宋体" w:hAnsi="宋体" w:cs="宋体"/>
                <w:bCs/>
                <w:color w:val="000000" w:themeColor="text1"/>
                <w:sz w:val="24"/>
                <w14:textFill>
                  <w14:solidFill>
                    <w14:schemeClr w14:val="tx1"/>
                  </w14:solidFill>
                </w14:textFill>
              </w:rPr>
              <w:t>不同意分包。</w:t>
            </w:r>
          </w:p>
        </w:tc>
      </w:tr>
      <w:tr w14:paraId="790F0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B8B6BB2">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88BCE5A">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开标前答疑会或现场考察</w:t>
            </w:r>
          </w:p>
        </w:tc>
        <w:tc>
          <w:tcPr>
            <w:tcW w:w="6706" w:type="dxa"/>
            <w:tcBorders>
              <w:top w:val="single" w:color="000000" w:sz="8" w:space="0"/>
              <w:left w:val="single" w:color="000000" w:sz="2" w:space="0"/>
              <w:bottom w:val="single" w:color="000000" w:sz="8" w:space="0"/>
              <w:right w:val="single" w:color="000000" w:sz="8" w:space="0"/>
            </w:tcBorders>
            <w:vAlign w:val="center"/>
          </w:tcPr>
          <w:p w14:paraId="674A9B4E">
            <w:pPr>
              <w:rPr>
                <w:rFonts w:ascii="宋体" w:hAnsi="宋体" w:cs="宋体"/>
                <w:b w:val="0"/>
                <w:bCs/>
                <w:color w:val="auto"/>
                <w:sz w:val="24"/>
                <w:szCs w:val="20"/>
              </w:rPr>
            </w:pPr>
            <w:r>
              <w:rPr>
                <w:rFonts w:hint="eastAsia" w:ascii="宋体" w:hAnsi="宋体" w:cs="宋体"/>
                <w:b w:val="0"/>
                <w:bCs/>
                <w:color w:val="auto"/>
                <w:sz w:val="24"/>
              </w:rPr>
              <w:t>（√）</w:t>
            </w:r>
            <w:r>
              <w:rPr>
                <w:rFonts w:hint="eastAsia" w:ascii="宋体" w:hAnsi="宋体" w:cs="宋体"/>
                <w:b w:val="0"/>
                <w:bCs/>
                <w:color w:val="auto"/>
                <w:kern w:val="0"/>
                <w:sz w:val="24"/>
              </w:rPr>
              <w:t>A</w:t>
            </w:r>
            <w:r>
              <w:rPr>
                <w:rFonts w:hint="eastAsia" w:ascii="宋体" w:hAnsi="宋体" w:cs="宋体"/>
                <w:b w:val="0"/>
                <w:bCs/>
                <w:color w:val="auto"/>
                <w:sz w:val="24"/>
              </w:rPr>
              <w:t>不组织。</w:t>
            </w:r>
          </w:p>
        </w:tc>
      </w:tr>
      <w:tr w14:paraId="5ED59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32AF34E">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1B19E39">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14:paraId="4C6D6766">
            <w:pPr>
              <w:rPr>
                <w:rFonts w:ascii="宋体" w:hAnsi="宋体" w:cs="宋体"/>
                <w:b w:val="0"/>
                <w:bCs/>
                <w:color w:val="auto"/>
                <w:sz w:val="24"/>
              </w:rPr>
            </w:pPr>
            <w:r>
              <w:rPr>
                <w:rFonts w:hint="eastAsia" w:ascii="宋体" w:hAnsi="宋体" w:cs="宋体"/>
                <w:b w:val="0"/>
                <w:bCs/>
                <w:color w:val="auto"/>
                <w:sz w:val="24"/>
              </w:rPr>
              <w:t>（√）A</w:t>
            </w:r>
            <w:r>
              <w:rPr>
                <w:rFonts w:hint="eastAsia" w:ascii="宋体" w:hAnsi="宋体" w:cs="宋体"/>
                <w:b w:val="0"/>
                <w:bCs/>
                <w:color w:val="auto"/>
                <w:sz w:val="24"/>
                <w:lang w:val="en-US" w:eastAsia="zh-CN"/>
              </w:rPr>
              <w:t>不</w:t>
            </w:r>
            <w:r>
              <w:rPr>
                <w:rFonts w:hint="eastAsia" w:ascii="宋体" w:hAnsi="宋体" w:cs="宋体"/>
                <w:b w:val="0"/>
                <w:bCs/>
                <w:color w:val="auto"/>
                <w:sz w:val="24"/>
              </w:rPr>
              <w:t>要求提供。</w:t>
            </w:r>
          </w:p>
        </w:tc>
      </w:tr>
      <w:tr w14:paraId="5F20B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F2AB2E7">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D7B45FC">
            <w:pPr>
              <w:snapToGrid w:val="0"/>
              <w:jc w:val="center"/>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方案讲解演示</w:t>
            </w:r>
          </w:p>
        </w:tc>
        <w:tc>
          <w:tcPr>
            <w:tcW w:w="6706" w:type="dxa"/>
            <w:tcBorders>
              <w:top w:val="single" w:color="000000" w:sz="8" w:space="0"/>
              <w:left w:val="single" w:color="000000" w:sz="2" w:space="0"/>
              <w:bottom w:val="single" w:color="000000" w:sz="8" w:space="0"/>
              <w:right w:val="single" w:color="000000" w:sz="8" w:space="0"/>
            </w:tcBorders>
            <w:vAlign w:val="center"/>
          </w:tcPr>
          <w:p w14:paraId="0A7C2097">
            <w:pPr>
              <w:snapToGrid w:val="0"/>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（√）A不组织。</w:t>
            </w:r>
          </w:p>
        </w:tc>
      </w:tr>
      <w:tr w14:paraId="37A03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41D38B85">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1843" w:type="dxa"/>
            <w:tcBorders>
              <w:top w:val="single" w:color="000000" w:sz="8" w:space="0"/>
              <w:left w:val="single" w:color="auto" w:sz="4" w:space="0"/>
              <w:right w:val="single" w:color="000000" w:sz="8" w:space="0"/>
            </w:tcBorders>
            <w:vAlign w:val="center"/>
          </w:tcPr>
          <w:p w14:paraId="26565E45">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供应商应当提供的资格证明文件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18555C85">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（1）资格证明文件：见交易文件第二部分10.1。</w:t>
            </w:r>
          </w:p>
          <w:p w14:paraId="5289B77B">
            <w:pPr>
              <w:rPr>
                <w:rFonts w:ascii="宋体" w:hAnsi="宋体" w:cs="宋体"/>
                <w:snapToGrid w:val="0"/>
                <w:color w:val="000000" w:themeColor="text1"/>
                <w:kern w:val="0"/>
                <w:szCs w:val="2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供应商未提供有效的资格证明文件的，视为供应商不具备交易文件中规定的资格要求，交易无效。</w:t>
            </w:r>
          </w:p>
        </w:tc>
      </w:tr>
      <w:tr w14:paraId="73F28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223B2631">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1843" w:type="dxa"/>
            <w:tcBorders>
              <w:top w:val="single" w:color="000000" w:sz="8" w:space="0"/>
              <w:left w:val="single" w:color="auto" w:sz="4" w:space="0"/>
              <w:right w:val="single" w:color="000000" w:sz="8" w:space="0"/>
            </w:tcBorders>
            <w:vAlign w:val="center"/>
          </w:tcPr>
          <w:p w14:paraId="29C9795E">
            <w:pPr>
              <w:snapToGrid w:val="0"/>
              <w:jc w:val="center"/>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14:paraId="3C73E934">
            <w:pPr>
              <w:ind w:firstLine="480" w:firstLineChars="200"/>
              <w:rPr>
                <w:rFonts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有关本项目实施所需的所有费用（含税费）均计入报价。</w:t>
            </w:r>
            <w:r>
              <w:rPr>
                <w:rFonts w:hint="eastAsia" w:ascii="宋体" w:hAnsi="宋体" w:cs="宋体"/>
                <w:bCs/>
                <w:color w:val="000000" w:themeColor="text1"/>
                <w:kern w:val="0"/>
                <w:sz w:val="24"/>
                <w14:textFill>
                  <w14:solidFill>
                    <w14:schemeClr w14:val="tx1"/>
                  </w14:solidFill>
                </w14:textFill>
              </w:rPr>
              <w:t>交易一览表（报价表）是报价的唯一载体</w:t>
            </w:r>
            <w:r>
              <w:rPr>
                <w:rFonts w:hint="eastAsia" w:ascii="宋体" w:hAnsi="宋体" w:cs="宋体"/>
                <w:bCs/>
                <w:color w:val="000000" w:themeColor="text1"/>
                <w:kern w:val="0"/>
                <w:sz w:val="24"/>
                <w:lang w:val="zh-CN"/>
                <w14:textFill>
                  <w14:solidFill>
                    <w14:schemeClr w14:val="tx1"/>
                  </w14:solidFill>
                </w14:textFill>
              </w:rPr>
              <w:t>。响应文件中价格全部采用人民币报价。交易文件未列明，而供应商认为必需的费用也需列入报价。</w:t>
            </w:r>
          </w:p>
          <w:p w14:paraId="6744F436">
            <w:pPr>
              <w:rPr>
                <w:rFonts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交易报价出现下列情形的，交易无效：</w:t>
            </w:r>
          </w:p>
          <w:p w14:paraId="6087082A">
            <w:pPr>
              <w:ind w:firstLine="480" w:firstLineChars="200"/>
              <w:rPr>
                <w:rFonts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响应文件出现不是唯一的、有选择性交易报价的；</w:t>
            </w:r>
          </w:p>
          <w:p w14:paraId="199BB153">
            <w:pPr>
              <w:ind w:firstLine="480" w:firstLineChars="200"/>
              <w:rPr>
                <w:rFonts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交易报价超过交易文件中规定的预算金额或者最高限价的；</w:t>
            </w:r>
          </w:p>
          <w:p w14:paraId="0C7CFCF0">
            <w:pPr>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报价明显低于其他通过符合性审查供应商的报价，有可能影响产品质量或者不能诚信履约的，未能按要求提供书面说明或者提交相关证明材料证明其报价合理性的；</w:t>
            </w:r>
          </w:p>
          <w:p w14:paraId="077D5D05">
            <w:pPr>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供应商对根据修正原则修正后的报价不确认的。</w:t>
            </w:r>
          </w:p>
        </w:tc>
      </w:tr>
      <w:tr w14:paraId="33CD50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EA19B43">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0BE4CD2">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备份响应文件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7AD79102">
            <w:pPr>
              <w:pStyle w:val="34"/>
              <w:ind w:hanging="4"/>
              <w:rPr>
                <w:rFonts w:hAnsi="宋体" w:cs="宋体"/>
                <w:color w:val="000000" w:themeColor="text1"/>
                <w:kern w:val="28"/>
                <w:sz w:val="24"/>
                <w:szCs w:val="24"/>
                <w14:textFill>
                  <w14:solidFill>
                    <w14:schemeClr w14:val="tx1"/>
                  </w14:solidFill>
                </w14:textFill>
              </w:rPr>
            </w:pPr>
            <w:r>
              <w:rPr>
                <w:rFonts w:hint="eastAsia" w:hAnsi="宋体" w:cs="宋体"/>
                <w:color w:val="000000" w:themeColor="text1"/>
                <w:kern w:val="28"/>
                <w:sz w:val="24"/>
                <w:szCs w:val="24"/>
                <w14:textFill>
                  <w14:solidFill>
                    <w14:schemeClr w14:val="tx1"/>
                  </w14:solidFill>
                </w14:textFill>
              </w:rPr>
              <w:t>备份文件是否收取：不收取。</w:t>
            </w:r>
          </w:p>
          <w:p w14:paraId="4282BCD3">
            <w:pPr>
              <w:pStyle w:val="34"/>
              <w:ind w:hanging="4"/>
              <w:rPr>
                <w:rFonts w:hAnsi="宋体" w:cs="宋体"/>
                <w:color w:val="000000" w:themeColor="text1"/>
                <w:kern w:val="28"/>
                <w:sz w:val="24"/>
                <w:szCs w:val="24"/>
                <w14:textFill>
                  <w14:solidFill>
                    <w14:schemeClr w14:val="tx1"/>
                  </w14:solidFill>
                </w14:textFill>
              </w:rPr>
            </w:pPr>
            <w:r>
              <w:rPr>
                <w:rFonts w:hint="eastAsia" w:hAnsi="宋体" w:cs="宋体"/>
                <w:b/>
                <w:color w:val="000000" w:themeColor="text1"/>
                <w:sz w:val="24"/>
                <w14:textFill>
                  <w14:solidFill>
                    <w14:schemeClr w14:val="tx1"/>
                  </w14:solidFill>
                </w14:textFill>
              </w:rPr>
              <w:t>成交单位在成交后提供纸质响应文件一正二副。</w:t>
            </w:r>
          </w:p>
        </w:tc>
      </w:tr>
      <w:tr w14:paraId="7A9004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71F58D3">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3A280EC8">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14:paraId="64444594">
            <w:pPr>
              <w:snapToGrid w:val="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履约保证金：不收取。</w:t>
            </w:r>
          </w:p>
        </w:tc>
      </w:tr>
      <w:tr w14:paraId="300D11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6156705">
            <w:pPr>
              <w:snapToGrid w:val="0"/>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6265CB3">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14:paraId="280333B3">
            <w:pPr>
              <w:snapToGrid w:val="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本项目由交易人进行资格文件及信用信息查询。</w:t>
            </w:r>
          </w:p>
        </w:tc>
      </w:tr>
      <w:tr w14:paraId="7736C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2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3588C8B">
            <w:pPr>
              <w:snapToGrid w:val="0"/>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62C332A">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质疑接收人及答复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14:paraId="333526A4">
            <w:pPr>
              <w:snapToGrid w:val="0"/>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交易人质疑接收人：</w:t>
            </w:r>
            <w:r>
              <w:rPr>
                <w:rFonts w:hint="eastAsia" w:ascii="宋体" w:hAnsi="宋体" w:cs="宋体"/>
                <w:color w:val="000000" w:themeColor="text1"/>
                <w:sz w:val="24"/>
                <w:u w:val="single"/>
                <w14:textFill>
                  <w14:solidFill>
                    <w14:schemeClr w14:val="tx1"/>
                  </w14:solidFill>
                </w14:textFill>
              </w:rPr>
              <w:t xml:space="preserve"> 谢国华 </w:t>
            </w:r>
            <w:r>
              <w:rPr>
                <w:rFonts w:hint="eastAsia" w:ascii="宋体" w:hAnsi="宋体" w:cs="宋体"/>
                <w:color w:val="000000" w:themeColor="text1"/>
                <w:sz w:val="24"/>
                <w14:textFill>
                  <w14:solidFill>
                    <w14:schemeClr w14:val="tx1"/>
                  </w14:solidFill>
                </w14:textFill>
              </w:rPr>
              <w:t>联系方式：</w:t>
            </w:r>
            <w:r>
              <w:rPr>
                <w:rFonts w:hint="eastAsia" w:ascii="宋体" w:hAnsi="宋体" w:cs="宋体"/>
                <w:color w:val="000000" w:themeColor="text1"/>
                <w:sz w:val="24"/>
                <w:u w:val="single"/>
                <w14:textFill>
                  <w14:solidFill>
                    <w14:schemeClr w14:val="tx1"/>
                  </w14:solidFill>
                </w14:textFill>
              </w:rPr>
              <w:t xml:space="preserve"> 13067723680  </w:t>
            </w:r>
          </w:p>
          <w:p w14:paraId="20408CE7">
            <w:pPr>
              <w:snapToGrid w:val="0"/>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single"/>
                <w14:textFill>
                  <w14:solidFill>
                    <w14:schemeClr w14:val="tx1"/>
                  </w14:solidFill>
                </w14:textFill>
              </w:rPr>
              <w:t>杭州市萧山区金城路金地德圣中心9幢901室</w:t>
            </w:r>
          </w:p>
          <w:p w14:paraId="1C7A75E2">
            <w:pPr>
              <w:snapToGrid w:val="0"/>
              <w:spacing w:line="400" w:lineRule="exac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邮箱：</w:t>
            </w:r>
            <w:r>
              <w:fldChar w:fldCharType="begin"/>
            </w:r>
            <w:r>
              <w:instrText xml:space="preserve"> HYPERLINK "mailto:382733636@qq.com" </w:instrText>
            </w:r>
            <w:r>
              <w:fldChar w:fldCharType="separate"/>
            </w:r>
            <w:r>
              <w:rPr>
                <w:rFonts w:hint="eastAsia" w:ascii="宋体" w:hAnsi="宋体" w:cs="宋体"/>
                <w:color w:val="000000" w:themeColor="text1"/>
                <w:sz w:val="24"/>
                <w:u w:val="single"/>
                <w14:textFill>
                  <w14:solidFill>
                    <w14:schemeClr w14:val="tx1"/>
                  </w14:solidFill>
                </w14:textFill>
              </w:rPr>
              <w:t>2238971787@qq.com</w:t>
            </w:r>
            <w:r>
              <w:rPr>
                <w:rFonts w:hint="eastAsia" w:ascii="宋体" w:hAnsi="宋体" w:cs="宋体"/>
                <w:color w:val="000000" w:themeColor="text1"/>
                <w:sz w:val="24"/>
                <w:u w:val="single"/>
                <w14:textFill>
                  <w14:solidFill>
                    <w14:schemeClr w14:val="tx1"/>
                  </w14:solidFill>
                </w14:textFill>
              </w:rPr>
              <w:fldChar w:fldCharType="end"/>
            </w:r>
          </w:p>
          <w:p w14:paraId="1EB26CE7">
            <w:pPr>
              <w:snapToGrid w:val="0"/>
              <w:spacing w:line="40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如通过邮箱方式发送质疑，须提交符合法规及交易文件要求的质疑文件（参考附件2），盖章扫描后发送，质疑的受理按答复主体划分以交易人或采购机构邮箱回复确认受理为准。</w:t>
            </w:r>
          </w:p>
          <w:p w14:paraId="3333A48A">
            <w:pPr>
              <w:snapToGrid w:val="0"/>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本项目涉及资格条件、交易需求、评分办法及交易过程中有关现场考察或开标前答疑会事项由交易人进行答复。</w:t>
            </w:r>
          </w:p>
          <w:p w14:paraId="017AB7D7">
            <w:pPr>
              <w:pStyle w:val="34"/>
              <w:spacing w:line="400" w:lineRule="exact"/>
              <w:ind w:hanging="4"/>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涉及流程组织等相关事项，由采购机构进行答复。</w:t>
            </w:r>
          </w:p>
        </w:tc>
      </w:tr>
      <w:tr w14:paraId="5F319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49056B4">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2F4EE5E0">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14:paraId="24A4280E">
            <w:pPr>
              <w:rPr>
                <w:rFonts w:ascii="宋体" w:hAnsi="宋体" w:cs="宋体"/>
                <w:snapToGrid w:val="0"/>
                <w:color w:val="000000" w:themeColor="text1"/>
                <w:kern w:val="28"/>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本项目通用总则条款与前附表等专用特别规定有冲突之处，以专用条款（特别规定）为准。</w:t>
            </w:r>
          </w:p>
        </w:tc>
      </w:tr>
    </w:tbl>
    <w:p w14:paraId="62E0E710">
      <w:pPr>
        <w:snapToGrid w:val="0"/>
        <w:spacing w:line="360" w:lineRule="auto"/>
        <w:jc w:val="center"/>
        <w:rPr>
          <w:rFonts w:ascii="宋体" w:hAnsi="宋体" w:cs="宋体"/>
          <w:b/>
          <w:color w:val="000000" w:themeColor="text1"/>
          <w:sz w:val="32"/>
          <w:szCs w:val="20"/>
          <w14:textFill>
            <w14:solidFill>
              <w14:schemeClr w14:val="tx1"/>
            </w14:solidFill>
          </w14:textFill>
        </w:rPr>
      </w:pPr>
    </w:p>
    <w:bookmarkEnd w:id="9"/>
    <w:p w14:paraId="45B62D00">
      <w:pPr>
        <w:rPr>
          <w:rFonts w:ascii="宋体" w:hAnsi="宋体" w:cs="宋体"/>
          <w:b/>
          <w:color w:val="000000" w:themeColor="text1"/>
          <w:sz w:val="32"/>
          <w:szCs w:val="20"/>
          <w14:textFill>
            <w14:solidFill>
              <w14:schemeClr w14:val="tx1"/>
            </w14:solidFill>
          </w14:textFill>
        </w:rPr>
      </w:pPr>
      <w:bookmarkStart w:id="12" w:name="_Toc164416483"/>
      <w:bookmarkStart w:id="13" w:name="第三部分"/>
      <w:r>
        <w:rPr>
          <w:rFonts w:hint="eastAsia" w:ascii="宋体" w:hAnsi="宋体" w:cs="宋体"/>
          <w:b/>
          <w:color w:val="000000" w:themeColor="text1"/>
          <w:sz w:val="32"/>
          <w:szCs w:val="20"/>
          <w14:textFill>
            <w14:solidFill>
              <w14:schemeClr w14:val="tx1"/>
            </w14:solidFill>
          </w14:textFill>
        </w:rPr>
        <w:br w:type="page"/>
      </w:r>
    </w:p>
    <w:p w14:paraId="5BEA831B">
      <w:pPr>
        <w:adjustRightInd/>
        <w:spacing w:line="360" w:lineRule="auto"/>
        <w:ind w:firstLine="3845" w:firstLineChars="1197"/>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一、总则</w:t>
      </w:r>
    </w:p>
    <w:p w14:paraId="52EABDB5">
      <w:pPr>
        <w:snapToGrid w:val="0"/>
        <w:spacing w:line="480" w:lineRule="exact"/>
        <w:jc w:val="left"/>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1.适用范围</w:t>
      </w:r>
    </w:p>
    <w:p w14:paraId="4211B89C">
      <w:pPr>
        <w:snapToGrid w:val="0"/>
        <w:spacing w:line="480" w:lineRule="exact"/>
        <w:ind w:firstLine="420" w:firstLineChars="175"/>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本交易文件适用于该项目的交易、响应、评审、资格审查及信用信息查询、评审、定标、合同、验收等行为（法律、法规另有规定的，从其规定）。</w:t>
      </w:r>
    </w:p>
    <w:p w14:paraId="7712A9FC">
      <w:pPr>
        <w:adjustRightInd/>
        <w:spacing w:line="480" w:lineRule="exact"/>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2.定义</w:t>
      </w:r>
    </w:p>
    <w:p w14:paraId="5C1D6BB5">
      <w:pPr>
        <w:spacing w:line="48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2.1“交易人”系指交易公告中载明的本项目的交易人。</w:t>
      </w:r>
    </w:p>
    <w:p w14:paraId="54E760EE">
      <w:pPr>
        <w:spacing w:line="48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2.2“采购机构”系指交易公告中载明的本项目的采购机构。</w:t>
      </w:r>
    </w:p>
    <w:p w14:paraId="01AEC899">
      <w:pPr>
        <w:spacing w:line="48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2.3“供应商”系指是指响应招标、参加投标竞争的法人、其他组织或者自然人。</w:t>
      </w:r>
    </w:p>
    <w:p w14:paraId="2EB828E7">
      <w:pPr>
        <w:spacing w:line="48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2.4“负责人”系指法人企业的法定负责人，或其他组织为法律、行政法规规定代表单位行使职权的主要负责人，或自然人本人。</w:t>
      </w:r>
    </w:p>
    <w:p w14:paraId="72C3FD87">
      <w:pPr>
        <w:spacing w:line="48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响应时须提供《业务专用章使用说明函》（附件3）。</w:t>
      </w:r>
    </w:p>
    <w:p w14:paraId="54C1ECA6">
      <w:pPr>
        <w:spacing w:line="480" w:lineRule="exact"/>
        <w:ind w:firstLine="420" w:firstLineChars="175"/>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2.6“电子交易平台”是指本项目采购活动所依托的</w:t>
      </w:r>
      <w:r>
        <w:rPr>
          <w:rFonts w:hint="eastAsia" w:ascii="宋体" w:hAnsi="宋体" w:cs="宋体"/>
          <w:color w:val="000000" w:themeColor="text1"/>
          <w:sz w:val="24"/>
          <w:lang w:val="en-US" w:eastAsia="zh-CN"/>
          <w14:textFill>
            <w14:solidFill>
              <w14:schemeClr w14:val="tx1"/>
            </w14:solidFill>
          </w14:textFill>
        </w:rPr>
        <w:t>乐采云</w:t>
      </w:r>
      <w:r>
        <w:rPr>
          <w:rFonts w:hint="eastAsia" w:ascii="宋体" w:hAnsi="宋体" w:cs="宋体"/>
          <w:color w:val="000000" w:themeColor="text1"/>
          <w:sz w:val="24"/>
          <w14:textFill>
            <w14:solidFill>
              <w14:schemeClr w14:val="tx1"/>
            </w14:solidFill>
          </w14:textFill>
        </w:rPr>
        <w:t>平台（www.lecaiyun.com）。</w:t>
      </w:r>
    </w:p>
    <w:p w14:paraId="11D30785">
      <w:pPr>
        <w:spacing w:line="48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 系指实质性要求条款，“（</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系指适用本项目的要求，“（  ）”系指不适用本项目的要求。</w:t>
      </w:r>
    </w:p>
    <w:p w14:paraId="053A0DCA">
      <w:pPr>
        <w:spacing w:line="48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3.询问、质疑、投诉</w:t>
      </w:r>
    </w:p>
    <w:p w14:paraId="15DDDF80">
      <w:pPr>
        <w:autoSpaceDE w:val="0"/>
        <w:autoSpaceDN w:val="0"/>
        <w:spacing w:line="480" w:lineRule="exact"/>
        <w:ind w:firstLine="420" w:firstLineChars="175"/>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lang w:val="zh-CN"/>
          <w14:textFill>
            <w14:solidFill>
              <w14:schemeClr w14:val="tx1"/>
            </w14:solidFill>
          </w14:textFill>
        </w:rPr>
        <w:t>.1供应商询问</w:t>
      </w:r>
    </w:p>
    <w:p w14:paraId="33EEC21E">
      <w:pPr>
        <w:autoSpaceDE w:val="0"/>
        <w:autoSpaceDN w:val="0"/>
        <w:spacing w:line="480" w:lineRule="exact"/>
        <w:ind w:firstLine="420" w:firstLineChars="175"/>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供应商对</w:t>
      </w:r>
      <w:r>
        <w:rPr>
          <w:rFonts w:hint="eastAsia" w:ascii="宋体" w:hAnsi="宋体" w:cs="宋体"/>
          <w:color w:val="000000" w:themeColor="text1"/>
          <w:kern w:val="0"/>
          <w:sz w:val="24"/>
          <w14:textFill>
            <w14:solidFill>
              <w14:schemeClr w14:val="tx1"/>
            </w14:solidFill>
          </w14:textFill>
        </w:rPr>
        <w:t>交易</w:t>
      </w:r>
      <w:r>
        <w:rPr>
          <w:rFonts w:hint="eastAsia" w:ascii="宋体" w:hAnsi="宋体" w:cs="宋体"/>
          <w:color w:val="000000" w:themeColor="text1"/>
          <w:kern w:val="0"/>
          <w:sz w:val="24"/>
          <w:lang w:val="zh-CN"/>
          <w14:textFill>
            <w14:solidFill>
              <w14:schemeClr w14:val="tx1"/>
            </w14:solidFill>
          </w14:textFill>
        </w:rPr>
        <w:t>活动事项有疑问的，可以提出询问，交易人或者采购机构应当在3个工作日内对供应商依法提出的询问作出答复，但答复的内容不得涉及商业秘密。供应商提出的询问超出交易人对采购机构委托授权范围的，采购机构应当告知供应商向交易人提出。</w:t>
      </w:r>
    </w:p>
    <w:p w14:paraId="52E70950">
      <w:pPr>
        <w:autoSpaceDE w:val="0"/>
        <w:autoSpaceDN w:val="0"/>
        <w:spacing w:line="480" w:lineRule="exact"/>
        <w:ind w:firstLine="420" w:firstLineChars="175"/>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lang w:val="zh-CN"/>
          <w14:textFill>
            <w14:solidFill>
              <w14:schemeClr w14:val="tx1"/>
            </w14:solidFill>
          </w14:textFill>
        </w:rPr>
        <w:t>.2供应商质疑</w:t>
      </w:r>
    </w:p>
    <w:p w14:paraId="3D7C14A9">
      <w:pPr>
        <w:pStyle w:val="34"/>
        <w:spacing w:line="480" w:lineRule="exact"/>
        <w:ind w:firstLine="420" w:firstLineChars="175"/>
        <w:rPr>
          <w:rFonts w:hAnsi="宋体" w:cs="宋体"/>
          <w:color w:val="000000" w:themeColor="text1"/>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3</w:t>
      </w:r>
      <w:r>
        <w:rPr>
          <w:rFonts w:hint="eastAsia" w:hAnsi="宋体" w:cs="宋体"/>
          <w:color w:val="000000" w:themeColor="text1"/>
          <w:kern w:val="0"/>
          <w:sz w:val="24"/>
          <w:lang w:val="zh-CN"/>
          <w14:textFill>
            <w14:solidFill>
              <w14:schemeClr w14:val="tx1"/>
            </w14:solidFill>
          </w14:textFill>
        </w:rPr>
        <w:t>.2</w:t>
      </w:r>
      <w:r>
        <w:rPr>
          <w:rFonts w:hint="eastAsia" w:hAnsi="宋体" w:cs="宋体"/>
          <w:color w:val="000000" w:themeColor="text1"/>
          <w:sz w:val="24"/>
          <w14:textFill>
            <w14:solidFill>
              <w14:schemeClr w14:val="tx1"/>
            </w14:solidFill>
          </w14:textFill>
        </w:rPr>
        <w:t>.1提出质疑的供应商应当是参与所质疑项目交易活动的供应商。潜在供应商已依法获取其可质疑的交易文件的，可以对该文件提出质疑。</w:t>
      </w:r>
    </w:p>
    <w:p w14:paraId="1FF223DE">
      <w:pPr>
        <w:pStyle w:val="34"/>
        <w:spacing w:line="480" w:lineRule="exact"/>
        <w:ind w:firstLine="420" w:firstLineChars="175"/>
        <w:rPr>
          <w:rFonts w:hAnsi="宋体" w:cs="宋体"/>
          <w:color w:val="000000" w:themeColor="text1"/>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3</w:t>
      </w:r>
      <w:r>
        <w:rPr>
          <w:rFonts w:hint="eastAsia" w:hAnsi="宋体" w:cs="宋体"/>
          <w:color w:val="000000" w:themeColor="text1"/>
          <w:kern w:val="0"/>
          <w:sz w:val="24"/>
          <w:lang w:val="zh-CN"/>
          <w14:textFill>
            <w14:solidFill>
              <w14:schemeClr w14:val="tx1"/>
            </w14:solidFill>
          </w14:textFill>
        </w:rPr>
        <w:t>.2</w:t>
      </w:r>
      <w:r>
        <w:rPr>
          <w:rFonts w:hint="eastAsia" w:hAnsi="宋体" w:cs="宋体"/>
          <w:color w:val="000000" w:themeColor="text1"/>
          <w:sz w:val="24"/>
          <w14:textFill>
            <w14:solidFill>
              <w14:schemeClr w14:val="tx1"/>
            </w14:solidFill>
          </w14:textFill>
        </w:rPr>
        <w:t>.2供应商认为交易文件、交易过程和成交结果使自己的权益受到损害的，可以在知道或者应知其权益受到损害之日起三天内，以书面形式向交易人或者采购机构提出质疑，否则，交易人或者采购机构不予受理：</w:t>
      </w:r>
    </w:p>
    <w:p w14:paraId="084EEED9">
      <w:pPr>
        <w:pStyle w:val="34"/>
        <w:spacing w:line="480" w:lineRule="exact"/>
        <w:ind w:firstLine="420" w:firstLineChars="175"/>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3.2.2.1对采购过程提出质疑的，质疑期限为各采购程序环节结束之日起计算。对同一采购程序环节的质疑，供应商须一次性提出。</w:t>
      </w:r>
    </w:p>
    <w:p w14:paraId="7CD8D92E">
      <w:pPr>
        <w:pStyle w:val="34"/>
        <w:spacing w:line="480" w:lineRule="exact"/>
        <w:ind w:firstLine="420" w:firstLineChars="175"/>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3</w:t>
      </w:r>
      <w:r>
        <w:rPr>
          <w:rFonts w:hint="eastAsia" w:hAnsi="宋体" w:cs="宋体"/>
          <w:color w:val="000000" w:themeColor="text1"/>
          <w:kern w:val="0"/>
          <w:sz w:val="24"/>
          <w:lang w:val="zh-CN"/>
          <w14:textFill>
            <w14:solidFill>
              <w14:schemeClr w14:val="tx1"/>
            </w14:solidFill>
          </w14:textFill>
        </w:rPr>
        <w:t>.2.3</w:t>
      </w:r>
      <w:r>
        <w:rPr>
          <w:rFonts w:hint="eastAsia" w:hAnsi="宋体" w:cs="宋体"/>
          <w:color w:val="000000" w:themeColor="text1"/>
          <w:sz w:val="24"/>
          <w14:textFill>
            <w14:solidFill>
              <w14:schemeClr w14:val="tx1"/>
            </w14:solidFill>
          </w14:textFill>
        </w:rPr>
        <w:t>供应商提出质疑应当提交质疑函和必要的证明材料。质疑函应当包括下列内容：</w:t>
      </w:r>
    </w:p>
    <w:p w14:paraId="4E2B7525">
      <w:pPr>
        <w:pStyle w:val="34"/>
        <w:spacing w:line="480" w:lineRule="exact"/>
        <w:ind w:firstLine="420" w:firstLineChars="175"/>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3</w:t>
      </w:r>
      <w:r>
        <w:rPr>
          <w:rFonts w:hint="eastAsia" w:hAnsi="宋体" w:cs="宋体"/>
          <w:color w:val="000000" w:themeColor="text1"/>
          <w:kern w:val="0"/>
          <w:sz w:val="24"/>
          <w:lang w:val="zh-CN"/>
          <w14:textFill>
            <w14:solidFill>
              <w14:schemeClr w14:val="tx1"/>
            </w14:solidFill>
          </w14:textFill>
        </w:rPr>
        <w:t>.2.3.1供应商的姓名或者名称、地址、邮编、联系人及联系电话；</w:t>
      </w:r>
    </w:p>
    <w:p w14:paraId="19A51431">
      <w:pPr>
        <w:pStyle w:val="34"/>
        <w:spacing w:line="480" w:lineRule="exact"/>
        <w:ind w:firstLine="420" w:firstLineChars="175"/>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3</w:t>
      </w:r>
      <w:r>
        <w:rPr>
          <w:rFonts w:hint="eastAsia" w:hAnsi="宋体" w:cs="宋体"/>
          <w:color w:val="000000" w:themeColor="text1"/>
          <w:kern w:val="0"/>
          <w:sz w:val="24"/>
          <w:lang w:val="zh-CN"/>
          <w14:textFill>
            <w14:solidFill>
              <w14:schemeClr w14:val="tx1"/>
            </w14:solidFill>
          </w14:textFill>
        </w:rPr>
        <w:t>.2.3.2质疑项目的名称、编号；</w:t>
      </w:r>
    </w:p>
    <w:p w14:paraId="7EFB1E8E">
      <w:pPr>
        <w:pStyle w:val="34"/>
        <w:spacing w:line="480" w:lineRule="exact"/>
        <w:ind w:firstLine="420" w:firstLineChars="175"/>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3</w:t>
      </w:r>
      <w:r>
        <w:rPr>
          <w:rFonts w:hint="eastAsia" w:hAnsi="宋体" w:cs="宋体"/>
          <w:color w:val="000000" w:themeColor="text1"/>
          <w:kern w:val="0"/>
          <w:sz w:val="24"/>
          <w:lang w:val="zh-CN"/>
          <w14:textFill>
            <w14:solidFill>
              <w14:schemeClr w14:val="tx1"/>
            </w14:solidFill>
          </w14:textFill>
        </w:rPr>
        <w:t>.2.3.3具体、明确的质疑事项和与质疑事项相关的请求；</w:t>
      </w:r>
    </w:p>
    <w:p w14:paraId="7BF820E2">
      <w:pPr>
        <w:pStyle w:val="34"/>
        <w:spacing w:line="480" w:lineRule="exact"/>
        <w:ind w:firstLine="420" w:firstLineChars="175"/>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3</w:t>
      </w:r>
      <w:r>
        <w:rPr>
          <w:rFonts w:hint="eastAsia" w:hAnsi="宋体" w:cs="宋体"/>
          <w:color w:val="000000" w:themeColor="text1"/>
          <w:kern w:val="0"/>
          <w:sz w:val="24"/>
          <w:lang w:val="zh-CN"/>
          <w14:textFill>
            <w14:solidFill>
              <w14:schemeClr w14:val="tx1"/>
            </w14:solidFill>
          </w14:textFill>
        </w:rPr>
        <w:t>.2.3.4事实依据；</w:t>
      </w:r>
    </w:p>
    <w:p w14:paraId="457D440C">
      <w:pPr>
        <w:pStyle w:val="34"/>
        <w:spacing w:line="480" w:lineRule="exact"/>
        <w:ind w:firstLine="420" w:firstLineChars="175"/>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3</w:t>
      </w:r>
      <w:r>
        <w:rPr>
          <w:rFonts w:hint="eastAsia" w:hAnsi="宋体" w:cs="宋体"/>
          <w:color w:val="000000" w:themeColor="text1"/>
          <w:kern w:val="0"/>
          <w:sz w:val="24"/>
          <w:lang w:val="zh-CN"/>
          <w14:textFill>
            <w14:solidFill>
              <w14:schemeClr w14:val="tx1"/>
            </w14:solidFill>
          </w14:textFill>
        </w:rPr>
        <w:t>.2.3.5必要的法律依据；</w:t>
      </w:r>
    </w:p>
    <w:p w14:paraId="70CBEA2B">
      <w:pPr>
        <w:pStyle w:val="34"/>
        <w:spacing w:line="480" w:lineRule="exact"/>
        <w:ind w:firstLine="420" w:firstLineChars="175"/>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3</w:t>
      </w:r>
      <w:r>
        <w:rPr>
          <w:rFonts w:hint="eastAsia" w:hAnsi="宋体" w:cs="宋体"/>
          <w:color w:val="000000" w:themeColor="text1"/>
          <w:kern w:val="0"/>
          <w:sz w:val="24"/>
          <w:lang w:val="zh-CN"/>
          <w14:textFill>
            <w14:solidFill>
              <w14:schemeClr w14:val="tx1"/>
            </w14:solidFill>
          </w14:textFill>
        </w:rPr>
        <w:t>.2.3.6提出质疑的日期。</w:t>
      </w:r>
    </w:p>
    <w:p w14:paraId="7A5BB999">
      <w:pPr>
        <w:pStyle w:val="890"/>
        <w:shd w:val="clear" w:color="auto" w:fill="FFFFFF"/>
        <w:snapToGrid w:val="0"/>
        <w:spacing w:after="240" w:afterAutospacing="0" w:line="480" w:lineRule="exact"/>
        <w:ind w:firstLine="420" w:firstLineChars="175"/>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2E45E185">
      <w:pPr>
        <w:pStyle w:val="890"/>
        <w:shd w:val="clear" w:color="auto" w:fill="FFFFFF"/>
        <w:snapToGrid w:val="0"/>
        <w:spacing w:after="240" w:afterAutospacing="0" w:line="480" w:lineRule="exact"/>
        <w:ind w:firstLine="420" w:firstLineChars="175"/>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质疑函范本及制作说明详见附件1。</w:t>
      </w:r>
    </w:p>
    <w:p w14:paraId="0F3D250E">
      <w:pPr>
        <w:pStyle w:val="890"/>
        <w:shd w:val="clear" w:color="auto" w:fill="FFFFFF"/>
        <w:snapToGrid w:val="0"/>
        <w:spacing w:after="240" w:afterAutospacing="0" w:line="480" w:lineRule="exact"/>
        <w:ind w:firstLine="420" w:firstLineChars="175"/>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lang w:val="zh-CN"/>
          <w14:textFill>
            <w14:solidFill>
              <w14:schemeClr w14:val="tx1"/>
            </w14:solidFill>
          </w14:textFill>
        </w:rPr>
        <w:t>.2</w:t>
      </w:r>
      <w:r>
        <w:rPr>
          <w:rFonts w:hint="eastAsia"/>
          <w:color w:val="000000" w:themeColor="text1"/>
          <w14:textFill>
            <w14:solidFill>
              <w14:schemeClr w14:val="tx1"/>
            </w14:solidFill>
          </w14:textFill>
        </w:rPr>
        <w:t>.4交易人或者采购机构应当在收到供应商的书面质疑后七个工作日内作出答复，并以书面形式通知质疑供应商和其他与质疑处理结果有利害关系的采购当事人，但答复的内容不得涉及商业秘密。</w:t>
      </w:r>
    </w:p>
    <w:p w14:paraId="504BC1BB">
      <w:pPr>
        <w:pStyle w:val="890"/>
        <w:shd w:val="clear" w:color="auto" w:fill="FFFFFF"/>
        <w:snapToGrid w:val="0"/>
        <w:spacing w:after="240" w:afterAutospacing="0" w:line="480" w:lineRule="exact"/>
        <w:ind w:firstLine="420" w:firstLineChars="175"/>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lang w:val="zh-CN"/>
          <w14:textFill>
            <w14:solidFill>
              <w14:schemeClr w14:val="tx1"/>
            </w14:solidFill>
          </w14:textFill>
        </w:rPr>
        <w:t>.2</w:t>
      </w:r>
      <w:r>
        <w:rPr>
          <w:rFonts w:hint="eastAsia"/>
          <w:color w:val="000000" w:themeColor="text1"/>
          <w14:textFill>
            <w14:solidFill>
              <w14:schemeClr w14:val="tx1"/>
            </w14:solidFill>
          </w14:textFill>
        </w:rPr>
        <w:t>.5询问或者质疑事项可能影响交易结果的，交易人应当暂停签订合同，已经签订合同的，应当中止履行合同。</w:t>
      </w:r>
    </w:p>
    <w:p w14:paraId="5D7D0EED">
      <w:pPr>
        <w:pStyle w:val="890"/>
        <w:shd w:val="clear" w:color="auto" w:fill="FFFFFF"/>
        <w:snapToGrid w:val="0"/>
        <w:spacing w:after="240" w:afterAutospacing="0" w:line="480" w:lineRule="exact"/>
        <w:ind w:firstLine="420" w:firstLineChars="175"/>
        <w:contextualSpacing/>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lang w:val="zh-CN"/>
          <w14:textFill>
            <w14:solidFill>
              <w14:schemeClr w14:val="tx1"/>
            </w14:solidFill>
          </w14:textFill>
        </w:rPr>
        <w:t>.3供应商投诉</w:t>
      </w:r>
    </w:p>
    <w:p w14:paraId="14C8F0B3">
      <w:pPr>
        <w:pStyle w:val="890"/>
        <w:shd w:val="clear" w:color="auto" w:fill="FFFFFF"/>
        <w:snapToGrid w:val="0"/>
        <w:spacing w:after="240" w:afterAutospacing="0" w:line="480" w:lineRule="exact"/>
        <w:ind w:firstLine="420" w:firstLineChars="175"/>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3.3.1质疑供应商对交易人、采购机构的答复不满意或者交易人、采购机构未在规定的时间内作出答复的，可以在答复期满后十五个工作日内向同级采购监督管理部门提出投诉。</w:t>
      </w:r>
    </w:p>
    <w:p w14:paraId="5F956FBA">
      <w:pPr>
        <w:pStyle w:val="890"/>
        <w:shd w:val="clear" w:color="auto" w:fill="FFFFFF"/>
        <w:snapToGrid w:val="0"/>
        <w:spacing w:after="240" w:afterAutospacing="0" w:line="480" w:lineRule="exact"/>
        <w:ind w:firstLine="420" w:firstLineChars="175"/>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3.3.</w:t>
      </w:r>
      <w:r>
        <w:rPr>
          <w:rFonts w:hint="eastAsia"/>
          <w:color w:val="000000" w:themeColor="text1"/>
          <w:lang w:val="zh-CN"/>
          <w14:textFill>
            <w14:solidFill>
              <w14:schemeClr w14:val="tx1"/>
            </w14:solidFill>
          </w14:textFill>
        </w:rPr>
        <w:t>2</w:t>
      </w:r>
      <w:r>
        <w:rPr>
          <w:rFonts w:hint="eastAsia"/>
          <w:color w:val="000000" w:themeColor="text1"/>
          <w14:textFill>
            <w14:solidFill>
              <w14:schemeClr w14:val="tx1"/>
            </w14:solidFill>
          </w14:textFill>
        </w:rPr>
        <w:t>供应商投诉的事项不得超出已质疑事项的范围，基于质疑答复内容提出的投诉事项除外。</w:t>
      </w:r>
    </w:p>
    <w:p w14:paraId="225E49FA">
      <w:pPr>
        <w:pStyle w:val="890"/>
        <w:shd w:val="clear" w:color="auto" w:fill="FFFFFF"/>
        <w:snapToGrid w:val="0"/>
        <w:spacing w:after="240" w:afterAutospacing="0" w:line="480" w:lineRule="exact"/>
        <w:ind w:firstLine="420" w:firstLineChars="175"/>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3.3.3供应商投诉应当有明确的请求和必要的证明材料。</w:t>
      </w:r>
    </w:p>
    <w:p w14:paraId="7A5B2084">
      <w:pPr>
        <w:pStyle w:val="890"/>
        <w:shd w:val="clear" w:color="auto" w:fill="FFFFFF"/>
        <w:snapToGrid w:val="0"/>
        <w:spacing w:after="240" w:afterAutospacing="0" w:line="480" w:lineRule="exact"/>
        <w:ind w:firstLine="420" w:firstLineChars="175"/>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3.3.4以联合体形式参加采购活动的，其投诉应当由组成联合体的所有供应商共同提出。</w:t>
      </w:r>
    </w:p>
    <w:p w14:paraId="73A7F3BF">
      <w:pPr>
        <w:pStyle w:val="890"/>
        <w:shd w:val="clear" w:color="auto" w:fill="FFFFFF"/>
        <w:snapToGrid w:val="0"/>
        <w:spacing w:after="240" w:afterAutospacing="0" w:line="480" w:lineRule="exact"/>
        <w:ind w:firstLine="420" w:firstLineChars="175"/>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投诉书范本及制作说明详见附件2。</w:t>
      </w:r>
    </w:p>
    <w:p w14:paraId="223703C9">
      <w:pPr>
        <w:pStyle w:val="134"/>
        <w:snapToGrid w:val="0"/>
        <w:spacing w:before="0"/>
        <w:ind w:firstLine="360"/>
        <w:rPr>
          <w:rFonts w:ascii="宋体" w:hAnsi="宋体" w:cs="宋体"/>
          <w:color w:val="000000" w:themeColor="text1"/>
          <w:sz w:val="18"/>
          <w:szCs w:val="18"/>
          <w14:textFill>
            <w14:solidFill>
              <w14:schemeClr w14:val="tx1"/>
            </w14:solidFill>
          </w14:textFill>
        </w:rPr>
      </w:pPr>
    </w:p>
    <w:p w14:paraId="5C7AA5E3">
      <w:pPr>
        <w:adjustRightInd/>
        <w:spacing w:line="360" w:lineRule="auto"/>
        <w:jc w:val="center"/>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二、交易文件的构成、澄清、修改</w:t>
      </w:r>
    </w:p>
    <w:p w14:paraId="74E41FF9">
      <w:pPr>
        <w:pStyle w:val="34"/>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4．交易文件的构成</w:t>
      </w:r>
    </w:p>
    <w:p w14:paraId="51C9ECC4">
      <w:pPr>
        <w:pStyle w:val="34"/>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4.1交易文件包括下列文件及附件：</w:t>
      </w:r>
    </w:p>
    <w:p w14:paraId="1F8F36E7">
      <w:pPr>
        <w:pStyle w:val="34"/>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4.1.1交易公告；</w:t>
      </w:r>
    </w:p>
    <w:p w14:paraId="58BE72CD">
      <w:pPr>
        <w:pStyle w:val="34"/>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4.1.2供应商须知；</w:t>
      </w:r>
    </w:p>
    <w:p w14:paraId="16EF2936">
      <w:pPr>
        <w:pStyle w:val="34"/>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4.1.3交易需求；</w:t>
      </w:r>
    </w:p>
    <w:p w14:paraId="70DE0D4C">
      <w:pPr>
        <w:pStyle w:val="34"/>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4.1.4交易办法；</w:t>
      </w:r>
    </w:p>
    <w:p w14:paraId="36876E56">
      <w:pPr>
        <w:pStyle w:val="34"/>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4.1.5拟签订的合同文本；</w:t>
      </w:r>
    </w:p>
    <w:p w14:paraId="3C44DCDD">
      <w:pPr>
        <w:pStyle w:val="34"/>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4.1.6</w:t>
      </w:r>
      <w:r>
        <w:rPr>
          <w:rFonts w:hint="eastAsia" w:hAnsi="宋体" w:cs="宋体"/>
          <w:color w:val="000000" w:themeColor="text1"/>
          <w:sz w:val="24"/>
          <w:szCs w:val="24"/>
          <w14:textFill>
            <w14:solidFill>
              <w14:schemeClr w14:val="tx1"/>
            </w14:solidFill>
          </w14:textFill>
        </w:rPr>
        <w:t>应提交的有关格式范例。</w:t>
      </w:r>
    </w:p>
    <w:p w14:paraId="384DF1B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4.2与本项目有关的</w:t>
      </w:r>
      <w:r>
        <w:rPr>
          <w:rFonts w:hint="eastAsia" w:ascii="宋体" w:hAnsi="宋体" w:cs="宋体"/>
          <w:bCs/>
          <w:color w:val="000000" w:themeColor="text1"/>
          <w:sz w:val="24"/>
          <w14:textFill>
            <w14:solidFill>
              <w14:schemeClr w14:val="tx1"/>
            </w14:solidFill>
          </w14:textFill>
        </w:rPr>
        <w:t>澄清或者修改的内容为交易文件的组成部分</w:t>
      </w:r>
      <w:r>
        <w:rPr>
          <w:rFonts w:hint="eastAsia" w:ascii="宋体" w:hAnsi="宋体" w:cs="宋体"/>
          <w:color w:val="000000" w:themeColor="text1"/>
          <w:sz w:val="24"/>
          <w14:textFill>
            <w14:solidFill>
              <w14:schemeClr w14:val="tx1"/>
            </w14:solidFill>
          </w14:textFill>
        </w:rPr>
        <w:t>。</w:t>
      </w:r>
    </w:p>
    <w:p w14:paraId="7B9CB61F">
      <w:pPr>
        <w:pStyle w:val="34"/>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5.交易文件的澄清、修改</w:t>
      </w:r>
    </w:p>
    <w:p w14:paraId="7AAEB6CB">
      <w:pPr>
        <w:pStyle w:val="134"/>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5.1已获取交易文件的潜在供应商，若有问题需要澄清，应于投标截止时间前，以书面形式向采购机构提出。</w:t>
      </w:r>
    </w:p>
    <w:p w14:paraId="073AFFC1">
      <w:pPr>
        <w:pStyle w:val="134"/>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5.2 采购机构对交易文件进行澄清或修改的，将同时通过电子交易平台通知已获取交易文件的潜在供应商。依法应当公告的，将按规定公告，同时视情况延长投标截止时间和交易时间。该澄清或者修改的内容为交易文件的组成部分。</w:t>
      </w:r>
    </w:p>
    <w:p w14:paraId="5DF60867">
      <w:pPr>
        <w:adjustRightInd/>
        <w:spacing w:line="360" w:lineRule="auto"/>
        <w:jc w:val="center"/>
        <w:outlineLvl w:val="0"/>
        <w:rPr>
          <w:rFonts w:ascii="宋体" w:hAnsi="宋体" w:cs="宋体"/>
          <w:b/>
          <w:color w:val="000000" w:themeColor="text1"/>
          <w:sz w:val="30"/>
          <w:szCs w:val="20"/>
          <w14:textFill>
            <w14:solidFill>
              <w14:schemeClr w14:val="tx1"/>
            </w14:solidFill>
          </w14:textFill>
        </w:rPr>
      </w:pPr>
    </w:p>
    <w:p w14:paraId="55F12A6B">
      <w:pPr>
        <w:adjustRightInd/>
        <w:spacing w:line="360" w:lineRule="auto"/>
        <w:jc w:val="center"/>
        <w:outlineLvl w:val="0"/>
        <w:rPr>
          <w:rFonts w:ascii="宋体" w:hAnsi="宋体" w:cs="宋体"/>
          <w:b/>
          <w:color w:val="000000" w:themeColor="text1"/>
          <w:sz w:val="30"/>
          <w:szCs w:val="20"/>
          <w14:textFill>
            <w14:solidFill>
              <w14:schemeClr w14:val="tx1"/>
            </w14:solidFill>
          </w14:textFill>
        </w:rPr>
      </w:pPr>
      <w:r>
        <w:rPr>
          <w:rFonts w:hint="eastAsia" w:ascii="宋体" w:hAnsi="宋体" w:cs="宋体"/>
          <w:b/>
          <w:color w:val="000000" w:themeColor="text1"/>
          <w:sz w:val="30"/>
          <w:szCs w:val="20"/>
          <w14:textFill>
            <w14:solidFill>
              <w14:schemeClr w14:val="tx1"/>
            </w14:solidFill>
          </w14:textFill>
        </w:rPr>
        <w:t>三、响应</w:t>
      </w:r>
    </w:p>
    <w:p w14:paraId="268DAFB0">
      <w:pPr>
        <w:pStyle w:val="34"/>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6.交易文件的获取</w:t>
      </w:r>
    </w:p>
    <w:p w14:paraId="2E0513E2">
      <w:pPr>
        <w:spacing w:line="360" w:lineRule="auto"/>
        <w:ind w:firstLine="480" w:firstLineChars="200"/>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详见交易公告中获取交易文件的时间期限、地点、方式及交易文件售价。</w:t>
      </w:r>
    </w:p>
    <w:p w14:paraId="3A88468C">
      <w:pPr>
        <w:pStyle w:val="34"/>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7.交易前答疑会或现场考察</w:t>
      </w:r>
    </w:p>
    <w:p w14:paraId="7AA02E4A">
      <w:pPr>
        <w:pStyle w:val="34"/>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交易人组织潜在供应商现场考察或者召开交易前答疑会的，潜在供应商按第二部分供应商须知前附表的规定参加现场考察或者开标前答疑会。</w:t>
      </w:r>
    </w:p>
    <w:p w14:paraId="767BA025">
      <w:pPr>
        <w:pStyle w:val="34"/>
        <w:spacing w:line="360" w:lineRule="auto"/>
        <w:rPr>
          <w:rFonts w:hAnsi="宋体" w:cs="宋体"/>
          <w:b/>
          <w:color w:val="000000" w:themeColor="text1"/>
          <w:szCs w:val="24"/>
          <w14:textFill>
            <w14:solidFill>
              <w14:schemeClr w14:val="tx1"/>
            </w14:solidFill>
          </w14:textFill>
        </w:rPr>
      </w:pPr>
      <w:r>
        <w:rPr>
          <w:rFonts w:hint="eastAsia" w:hAnsi="宋体" w:cs="宋体"/>
          <w:b/>
          <w:color w:val="000000" w:themeColor="text1"/>
          <w:kern w:val="28"/>
          <w:sz w:val="24"/>
          <w:szCs w:val="24"/>
          <w14:textFill>
            <w14:solidFill>
              <w14:schemeClr w14:val="tx1"/>
            </w14:solidFill>
          </w14:textFill>
        </w:rPr>
        <w:t>8.交易保证金</w:t>
      </w:r>
    </w:p>
    <w:p w14:paraId="12F6861D">
      <w:pPr>
        <w:pStyle w:val="17"/>
        <w:spacing w:line="360" w:lineRule="auto"/>
        <w:ind w:firstLine="470" w:firstLineChars="196"/>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本项目不需缴纳交易保证金。</w:t>
      </w:r>
    </w:p>
    <w:p w14:paraId="29665728">
      <w:pPr>
        <w:pStyle w:val="34"/>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9.响应文件的语言</w:t>
      </w:r>
    </w:p>
    <w:p w14:paraId="530294C1">
      <w:pPr>
        <w:autoSpaceDE w:val="0"/>
        <w:autoSpaceDN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响应文件及供应商与交易有关的来往通知、函件和文件均应使用中文。</w:t>
      </w:r>
    </w:p>
    <w:p w14:paraId="17AAA769">
      <w:pPr>
        <w:pStyle w:val="34"/>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10.响应文件的组成</w:t>
      </w:r>
    </w:p>
    <w:p w14:paraId="35CB51A9">
      <w:pPr>
        <w:snapToGrid w:val="0"/>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10.1</w:t>
      </w:r>
      <w:r>
        <w:rPr>
          <w:rFonts w:hint="eastAsia" w:ascii="宋体" w:hAnsi="宋体" w:cs="宋体"/>
          <w:b/>
          <w:color w:val="000000" w:themeColor="text1"/>
          <w:sz w:val="24"/>
          <w14:textFill>
            <w14:solidFill>
              <w14:schemeClr w14:val="tx1"/>
            </w14:solidFill>
          </w14:textFill>
        </w:rPr>
        <w:t>资格文件</w:t>
      </w:r>
      <w:r>
        <w:rPr>
          <w:rFonts w:hint="eastAsia" w:ascii="宋体" w:hAnsi="宋体" w:cs="宋体"/>
          <w:color w:val="000000" w:themeColor="text1"/>
          <w:sz w:val="24"/>
          <w14:textFill>
            <w14:solidFill>
              <w14:schemeClr w14:val="tx1"/>
            </w14:solidFill>
          </w14:textFill>
        </w:rPr>
        <w:t>：</w:t>
      </w:r>
    </w:p>
    <w:p w14:paraId="069AEC49">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10.1.1符合参加交易活动应当具备的一般条件的承诺函；</w:t>
      </w:r>
    </w:p>
    <w:p w14:paraId="3EBA95C6">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10.1.2本项目的特定资格要求：</w:t>
      </w:r>
      <w:r>
        <w:rPr>
          <w:rFonts w:hint="eastAsia" w:ascii="宋体" w:hAnsi="宋体" w:cs="宋体"/>
          <w:color w:val="000000" w:themeColor="text1"/>
          <w:sz w:val="24"/>
          <w:lang w:val="en-US" w:eastAsia="zh-CN"/>
          <w14:textFill>
            <w14:solidFill>
              <w14:schemeClr w14:val="tx1"/>
            </w14:solidFill>
          </w14:textFill>
        </w:rPr>
        <w:t>无</w:t>
      </w:r>
      <w:r>
        <w:rPr>
          <w:rFonts w:hint="eastAsia" w:ascii="宋体" w:hAnsi="宋体" w:cs="宋体"/>
          <w:color w:val="000000" w:themeColor="text1"/>
          <w:sz w:val="24"/>
          <w14:textFill>
            <w14:solidFill>
              <w14:schemeClr w14:val="tx1"/>
            </w14:solidFill>
          </w14:textFill>
        </w:rPr>
        <w:t>。</w:t>
      </w:r>
    </w:p>
    <w:p w14:paraId="6BAED630">
      <w:pPr>
        <w:snapToGrid w:val="0"/>
        <w:spacing w:line="360" w:lineRule="auto"/>
        <w:ind w:firstLine="482" w:firstLineChars="200"/>
        <w:rPr>
          <w:rFonts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1</w:t>
      </w:r>
      <w:r>
        <w:rPr>
          <w:rFonts w:hint="eastAsia" w:ascii="宋体" w:hAnsi="宋体" w:cs="宋体"/>
          <w:b/>
          <w:bCs/>
          <w:color w:val="000000" w:themeColor="text1"/>
          <w:sz w:val="24"/>
          <w14:textFill>
            <w14:solidFill>
              <w14:schemeClr w14:val="tx1"/>
            </w14:solidFill>
          </w14:textFill>
        </w:rPr>
        <w:t>0</w:t>
      </w:r>
      <w:r>
        <w:rPr>
          <w:rFonts w:hint="eastAsia" w:ascii="宋体" w:hAnsi="宋体" w:cs="宋体"/>
          <w:b/>
          <w:bCs/>
          <w:color w:val="000000" w:themeColor="text1"/>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2商务技术</w:t>
      </w:r>
      <w:r>
        <w:rPr>
          <w:rFonts w:hint="eastAsia" w:ascii="宋体" w:hAnsi="宋体" w:cs="宋体"/>
          <w:b/>
          <w:bCs/>
          <w:color w:val="000000" w:themeColor="text1"/>
          <w:sz w:val="24"/>
          <w:lang w:val="zh-CN"/>
          <w14:textFill>
            <w14:solidFill>
              <w14:schemeClr w14:val="tx1"/>
            </w14:solidFill>
          </w14:textFill>
        </w:rPr>
        <w:t>文件：</w:t>
      </w:r>
    </w:p>
    <w:p w14:paraId="2F700CD5">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10.2.1交易函；</w:t>
      </w:r>
    </w:p>
    <w:p w14:paraId="0610F043">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10.2.2授权委托书或法定代表人（单位负责人、自然人本人）身份证明；</w:t>
      </w:r>
    </w:p>
    <w:p w14:paraId="47801142">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10.2.</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符合性审查资料；</w:t>
      </w:r>
    </w:p>
    <w:p w14:paraId="5EE0238C">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10.2.</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评标标准相应的商务技术资料；</w:t>
      </w:r>
    </w:p>
    <w:p w14:paraId="23626DD3">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10.2.</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商务技术偏离表；</w:t>
      </w:r>
    </w:p>
    <w:p w14:paraId="59745737">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10.2.</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lang w:val="zh-CN"/>
          <w14:textFill>
            <w14:solidFill>
              <w14:schemeClr w14:val="tx1"/>
            </w14:solidFill>
          </w14:textFill>
        </w:rPr>
        <w:t>供应商廉洁自律承诺书。</w:t>
      </w:r>
    </w:p>
    <w:p w14:paraId="0FA4961C">
      <w:pPr>
        <w:snapToGrid w:val="0"/>
        <w:spacing w:line="360" w:lineRule="auto"/>
        <w:ind w:firstLine="482" w:firstLineChars="200"/>
        <w:rPr>
          <w:rFonts w:ascii="宋体" w:hAnsi="宋体" w:cs="宋体"/>
          <w:b/>
          <w:bCs/>
          <w:color w:val="000000" w:themeColor="text1"/>
          <w:sz w:val="24"/>
          <w:u w:val="single"/>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1</w:t>
      </w:r>
      <w:r>
        <w:rPr>
          <w:rFonts w:hint="eastAsia" w:ascii="宋体" w:hAnsi="宋体" w:cs="宋体"/>
          <w:b/>
          <w:bCs/>
          <w:color w:val="000000" w:themeColor="text1"/>
          <w:kern w:val="0"/>
          <w:sz w:val="24"/>
          <w14:textFill>
            <w14:solidFill>
              <w14:schemeClr w14:val="tx1"/>
            </w14:solidFill>
          </w14:textFill>
        </w:rPr>
        <w:t>0</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14:textFill>
            <w14:solidFill>
              <w14:schemeClr w14:val="tx1"/>
            </w14:solidFill>
          </w14:textFill>
        </w:rPr>
        <w:t>3</w:t>
      </w:r>
      <w:r>
        <w:rPr>
          <w:rFonts w:hint="eastAsia" w:ascii="宋体" w:hAnsi="宋体" w:cs="宋体"/>
          <w:b/>
          <w:bCs/>
          <w:color w:val="000000" w:themeColor="text1"/>
          <w:sz w:val="24"/>
          <w14:textFill>
            <w14:solidFill>
              <w14:schemeClr w14:val="tx1"/>
            </w14:solidFill>
          </w14:textFill>
        </w:rPr>
        <w:t>报价文件：</w:t>
      </w:r>
    </w:p>
    <w:p w14:paraId="4B884BA2">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10.3.1交易一览表（报价表）。</w:t>
      </w:r>
    </w:p>
    <w:p w14:paraId="752D444C">
      <w:pPr>
        <w:spacing w:line="360" w:lineRule="auto"/>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响应文件含有交易人不能接受的附加条件的，交易无效；</w:t>
      </w:r>
    </w:p>
    <w:p w14:paraId="00D7EE8B">
      <w:pPr>
        <w:spacing w:line="360" w:lineRule="auto"/>
        <w:ind w:firstLine="723" w:firstLineChars="300"/>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供应商提供虚假材料投标的，交易无效。</w:t>
      </w:r>
    </w:p>
    <w:p w14:paraId="26863C0A">
      <w:pPr>
        <w:pStyle w:val="134"/>
        <w:snapToGrid w:val="0"/>
        <w:spacing w:before="0"/>
        <w:ind w:firstLine="0" w:firstLineChars="0"/>
        <w:outlineLvl w:val="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11</w:t>
      </w:r>
      <w:r>
        <w:rPr>
          <w:rFonts w:hint="eastAsia" w:ascii="宋体" w:hAnsi="宋体" w:cs="宋体"/>
          <w:b/>
          <w:color w:val="000000" w:themeColor="text1"/>
          <w:kern w:val="0"/>
          <w:szCs w:val="24"/>
          <w:lang w:val="zh-CN"/>
          <w14:textFill>
            <w14:solidFill>
              <w14:schemeClr w14:val="tx1"/>
            </w14:solidFill>
          </w14:textFill>
        </w:rPr>
        <w:t>.</w:t>
      </w:r>
      <w:r>
        <w:rPr>
          <w:rFonts w:hint="eastAsia" w:ascii="宋体" w:hAnsi="宋体" w:cs="宋体"/>
          <w:b/>
          <w:color w:val="000000" w:themeColor="text1"/>
          <w:szCs w:val="24"/>
          <w14:textFill>
            <w14:solidFill>
              <w14:schemeClr w14:val="tx1"/>
            </w14:solidFill>
          </w14:textFill>
        </w:rPr>
        <w:t>响应文件的编制</w:t>
      </w:r>
    </w:p>
    <w:p w14:paraId="5975718E">
      <w:pPr>
        <w:snapToGrid w:val="0"/>
        <w:spacing w:line="360" w:lineRule="auto"/>
        <w:ind w:firstLine="480" w:firstLineChars="200"/>
        <w:rPr>
          <w:rFonts w:hint="eastAsia"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lang w:val="zh-CN"/>
          <w14:textFill>
            <w14:solidFill>
              <w14:schemeClr w14:val="tx1"/>
            </w14:solidFill>
          </w14:textFill>
        </w:rPr>
        <w:t>1</w:t>
      </w:r>
      <w:r>
        <w:rPr>
          <w:rFonts w:hint="eastAsia" w:ascii="宋体" w:hAnsi="宋体" w:cs="宋体"/>
          <w:b w:val="0"/>
          <w:bCs/>
          <w:color w:val="000000" w:themeColor="text1"/>
          <w:sz w:val="24"/>
          <w:lang w:val="en-US" w:eastAsia="zh-CN"/>
          <w14:textFill>
            <w14:solidFill>
              <w14:schemeClr w14:val="tx1"/>
            </w14:solidFill>
          </w14:textFill>
        </w:rPr>
        <w:t>1</w:t>
      </w:r>
      <w:r>
        <w:rPr>
          <w:rFonts w:hint="eastAsia" w:ascii="宋体" w:hAnsi="宋体" w:cs="宋体"/>
          <w:b w:val="0"/>
          <w:bCs/>
          <w:color w:val="000000" w:themeColor="text1"/>
          <w:sz w:val="24"/>
          <w:lang w:val="zh-CN"/>
          <w14:textFill>
            <w14:solidFill>
              <w14:schemeClr w14:val="tx1"/>
            </w14:solidFill>
          </w14:textFill>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5BB9670A">
      <w:pPr>
        <w:snapToGrid w:val="0"/>
        <w:spacing w:line="360" w:lineRule="auto"/>
        <w:ind w:firstLine="480" w:firstLineChars="200"/>
        <w:rPr>
          <w:rFonts w:hint="eastAsia" w:ascii="宋体" w:hAnsi="宋体" w:cs="宋体"/>
          <w:b w:val="0"/>
          <w:bCs/>
          <w:color w:val="000000" w:themeColor="text1"/>
          <w:sz w:val="24"/>
          <w:lang w:val="zh-CN"/>
          <w14:textFill>
            <w14:solidFill>
              <w14:schemeClr w14:val="tx1"/>
            </w14:solidFill>
          </w14:textFill>
        </w:rPr>
      </w:pPr>
      <w:r>
        <w:rPr>
          <w:rFonts w:hint="eastAsia" w:ascii="宋体" w:hAnsi="宋体" w:cs="宋体"/>
          <w:b w:val="0"/>
          <w:bCs/>
          <w:color w:val="000000" w:themeColor="text1"/>
          <w:sz w:val="24"/>
          <w:lang w:val="zh-CN"/>
          <w14:textFill>
            <w14:solidFill>
              <w14:schemeClr w14:val="tx1"/>
            </w14:solidFill>
          </w14:textFill>
        </w:rPr>
        <w:t>1</w:t>
      </w:r>
      <w:r>
        <w:rPr>
          <w:rFonts w:hint="eastAsia" w:ascii="宋体" w:hAnsi="宋体" w:cs="宋体"/>
          <w:b w:val="0"/>
          <w:bCs/>
          <w:color w:val="000000" w:themeColor="text1"/>
          <w:sz w:val="24"/>
          <w:lang w:val="en-US" w:eastAsia="zh-CN"/>
          <w14:textFill>
            <w14:solidFill>
              <w14:schemeClr w14:val="tx1"/>
            </w14:solidFill>
          </w14:textFill>
        </w:rPr>
        <w:t>1</w:t>
      </w:r>
      <w:r>
        <w:rPr>
          <w:rFonts w:hint="eastAsia" w:ascii="宋体" w:hAnsi="宋体" w:cs="宋体"/>
          <w:b w:val="0"/>
          <w:bCs/>
          <w:color w:val="000000" w:themeColor="text1"/>
          <w:sz w:val="24"/>
          <w:lang w:val="zh-CN"/>
          <w14:textFill>
            <w14:solidFill>
              <w14:schemeClr w14:val="tx1"/>
            </w14:solidFill>
          </w14:textFill>
        </w:rPr>
        <w:t>.2供应商进行电子投标应安装客户端软件—“乐采云投标客户端”，并按照交易文件和电子交易平台的要求编制并加密响应文件。供应商未按规定加密的响应文件，电子交易平台将拒收并提示。</w:t>
      </w:r>
    </w:p>
    <w:p w14:paraId="211999A7">
      <w:pPr>
        <w:snapToGrid w:val="0"/>
        <w:spacing w:line="360" w:lineRule="auto"/>
        <w:ind w:firstLine="480" w:firstLineChars="200"/>
        <w:rPr>
          <w:rFonts w:hint="eastAsia" w:ascii="宋体" w:hAnsi="宋体" w:cs="宋体"/>
          <w:b w:val="0"/>
          <w:bCs/>
          <w:color w:val="000000" w:themeColor="text1"/>
          <w:sz w:val="24"/>
          <w:lang w:val="zh-CN"/>
          <w14:textFill>
            <w14:solidFill>
              <w14:schemeClr w14:val="tx1"/>
            </w14:solidFill>
          </w14:textFill>
        </w:rPr>
      </w:pPr>
      <w:r>
        <w:rPr>
          <w:rFonts w:hint="eastAsia" w:ascii="宋体" w:hAnsi="宋体" w:cs="宋体"/>
          <w:b w:val="0"/>
          <w:bCs/>
          <w:color w:val="000000" w:themeColor="text1"/>
          <w:sz w:val="24"/>
          <w:lang w:val="zh-CN"/>
          <w14:textFill>
            <w14:solidFill>
              <w14:schemeClr w14:val="tx1"/>
            </w14:solidFill>
          </w14:textFill>
        </w:rPr>
        <w:t>1</w:t>
      </w:r>
      <w:r>
        <w:rPr>
          <w:rFonts w:hint="eastAsia" w:ascii="宋体" w:hAnsi="宋体" w:cs="宋体"/>
          <w:b w:val="0"/>
          <w:bCs/>
          <w:color w:val="000000" w:themeColor="text1"/>
          <w:sz w:val="24"/>
          <w:lang w:val="en-US" w:eastAsia="zh-CN"/>
          <w14:textFill>
            <w14:solidFill>
              <w14:schemeClr w14:val="tx1"/>
            </w14:solidFill>
          </w14:textFill>
        </w:rPr>
        <w:t>1</w:t>
      </w:r>
      <w:r>
        <w:rPr>
          <w:rFonts w:hint="eastAsia" w:ascii="宋体" w:hAnsi="宋体" w:cs="宋体"/>
          <w:b w:val="0"/>
          <w:bCs/>
          <w:color w:val="000000" w:themeColor="text1"/>
          <w:sz w:val="24"/>
          <w:lang w:val="zh-CN"/>
          <w14:textFill>
            <w14:solidFill>
              <w14:schemeClr w14:val="tx1"/>
            </w14:solidFill>
          </w14:textFill>
        </w:rPr>
        <w:t>.3使用“乐采云投标客户端”需要提前申领CA数字证书，申领流程请自行前往“浙江政府采购网-下载专区-电子交易客户端-CA驱动和申领流程”进行查阅。</w:t>
      </w:r>
    </w:p>
    <w:p w14:paraId="66A9C7FF">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12.响应文件的签署、盖章</w:t>
      </w:r>
    </w:p>
    <w:p w14:paraId="5FA57A7F">
      <w:pPr>
        <w:pStyle w:val="134"/>
        <w:snapToGrid w:val="0"/>
        <w:spacing w:before="0"/>
        <w:ind w:firstLine="480"/>
        <w:rPr>
          <w:rFonts w:ascii="宋体" w:hAnsi="宋体" w:cs="宋体"/>
          <w:b/>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12.1响应文件按照交易文件第六部分格式要</w:t>
      </w:r>
      <w:r>
        <w:rPr>
          <w:rFonts w:hint="eastAsia" w:ascii="宋体" w:hAnsi="宋体" w:cs="宋体"/>
          <w:color w:val="000000" w:themeColor="text1"/>
          <w14:textFill>
            <w14:solidFill>
              <w14:schemeClr w14:val="tx1"/>
            </w14:solidFill>
          </w14:textFill>
        </w:rPr>
        <w:t>求进行签署、盖章。</w:t>
      </w:r>
      <w:r>
        <w:rPr>
          <w:rFonts w:hint="eastAsia" w:ascii="宋体" w:hAnsi="宋体" w:cs="宋体"/>
          <w:b/>
          <w:color w:val="000000" w:themeColor="text1"/>
          <w14:textFill>
            <w14:solidFill>
              <w14:schemeClr w14:val="tx1"/>
            </w14:solidFill>
          </w14:textFill>
        </w:rPr>
        <w:t>▲供应商的响应文件未按照交易文件要求签署、盖章的，其交易无效</w:t>
      </w:r>
      <w:r>
        <w:rPr>
          <w:rFonts w:hint="eastAsia" w:ascii="宋体" w:hAnsi="宋体" w:cs="宋体"/>
          <w:color w:val="000000" w:themeColor="text1"/>
          <w:szCs w:val="24"/>
          <w14:textFill>
            <w14:solidFill>
              <w14:schemeClr w14:val="tx1"/>
            </w14:solidFill>
          </w14:textFill>
        </w:rPr>
        <w:t>。</w:t>
      </w:r>
    </w:p>
    <w:p w14:paraId="43ACE7D8">
      <w:pPr>
        <w:pStyle w:val="134"/>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12.2为确保网上操作合法、有效和安全，供应商应当在投标截止时间前完成在“政府采购云平台”的身份认证，确保在电子投标过程中能够对相关数据电文进行加密和使用电子签名。</w:t>
      </w:r>
    </w:p>
    <w:p w14:paraId="2A404AAD">
      <w:pPr>
        <w:pStyle w:val="134"/>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12.3交易文件对响应文件签署、盖章的要求适用于电子签名。</w:t>
      </w:r>
    </w:p>
    <w:p w14:paraId="1CCD9EEF">
      <w:pPr>
        <w:pStyle w:val="134"/>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13.响应文件的提交、补充、修改、撤回</w:t>
      </w:r>
    </w:p>
    <w:p w14:paraId="4C8E514F">
      <w:pPr>
        <w:pStyle w:val="134"/>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13.1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14:paraId="1520B76A">
      <w:pPr>
        <w:pStyle w:val="134"/>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13.2电子交易平台收到响应文件，将妥善保存并即时向供应商发出确认回执通知。在投标截止时间前，除供应商补充、修改或者撤回响应文件外，任何单位和个人不得解密或提取响应文件。</w:t>
      </w:r>
    </w:p>
    <w:p w14:paraId="13375706">
      <w:pPr>
        <w:pStyle w:val="134"/>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13.3交易人、采购机构可以视情况延长响应文件提交的截止时间。在上述情况下，采购机构与供应商以前在投标截止期方面的全部权利、责任和义务，将适用于延长至新的投标截止期。</w:t>
      </w:r>
    </w:p>
    <w:p w14:paraId="701ED15C">
      <w:pPr>
        <w:pStyle w:val="34"/>
        <w:numPr>
          <w:ilvl w:val="0"/>
          <w:numId w:val="1"/>
        </w:numPr>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备份响应文件</w:t>
      </w:r>
    </w:p>
    <w:p w14:paraId="2ED2407E">
      <w:pPr>
        <w:pStyle w:val="34"/>
        <w:spacing w:line="360" w:lineRule="auto"/>
        <w:ind w:firstLine="480" w:firstLineChars="200"/>
        <w:rPr>
          <w:rFonts w:hAnsi="宋体" w:cs="宋体"/>
          <w:b/>
          <w:color w:val="000000" w:themeColor="text1"/>
          <w:sz w:val="24"/>
          <w:szCs w:val="24"/>
          <w14:textFill>
            <w14:solidFill>
              <w14:schemeClr w14:val="tx1"/>
            </w14:solidFill>
          </w14:textFill>
        </w:rPr>
      </w:pPr>
      <w:r>
        <w:rPr>
          <w:rFonts w:hint="eastAsia" w:hAnsi="宋体" w:cs="宋体"/>
          <w:color w:val="000000" w:themeColor="text1"/>
          <w:kern w:val="28"/>
          <w:sz w:val="24"/>
          <w:szCs w:val="24"/>
          <w14:textFill>
            <w14:solidFill>
              <w14:schemeClr w14:val="tx1"/>
            </w14:solidFill>
          </w14:textFill>
        </w:rPr>
        <w:t>不收取备份响应文件。</w:t>
      </w:r>
    </w:p>
    <w:p w14:paraId="6E8AF6DC">
      <w:pPr>
        <w:pStyle w:val="134"/>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15.响应文件的无效处理</w:t>
      </w:r>
    </w:p>
    <w:p w14:paraId="23D0AD77">
      <w:pPr>
        <w:pStyle w:val="26"/>
        <w:spacing w:line="360" w:lineRule="auto"/>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有交易文件第四部分</w:t>
      </w:r>
      <w:r>
        <w:rPr>
          <w:rFonts w:hint="eastAsia" w:cs="宋体"/>
          <w:color w:val="000000" w:themeColor="text1"/>
          <w14:textFill>
            <w14:solidFill>
              <w14:schemeClr w14:val="tx1"/>
            </w14:solidFill>
          </w14:textFill>
        </w:rPr>
        <w:t>4.2规定</w:t>
      </w:r>
      <w:r>
        <w:rPr>
          <w:rFonts w:hint="eastAsia" w:cs="宋体"/>
          <w:color w:val="000000" w:themeColor="text1"/>
          <w:szCs w:val="21"/>
          <w14:textFill>
            <w14:solidFill>
              <w14:schemeClr w14:val="tx1"/>
            </w14:solidFill>
          </w14:textFill>
        </w:rPr>
        <w:t>的情形之一的，交易无效：</w:t>
      </w:r>
    </w:p>
    <w:p w14:paraId="734D3DFF">
      <w:pPr>
        <w:pStyle w:val="134"/>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16.交易有效期</w:t>
      </w:r>
    </w:p>
    <w:p w14:paraId="1FF71227">
      <w:pPr>
        <w:spacing w:line="360" w:lineRule="auto"/>
        <w:ind w:firstLine="480"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16.1交易有效期为从提交响应文件的截止之日起90天。▲</w:t>
      </w:r>
      <w:r>
        <w:rPr>
          <w:rFonts w:hint="eastAsia" w:ascii="宋体" w:hAnsi="宋体" w:cs="宋体"/>
          <w:b/>
          <w:color w:val="000000" w:themeColor="text1"/>
          <w:sz w:val="24"/>
          <w:szCs w:val="20"/>
          <w14:textFill>
            <w14:solidFill>
              <w14:schemeClr w14:val="tx1"/>
            </w14:solidFill>
          </w14:textFill>
        </w:rPr>
        <w:t>供应商的响应文件中承</w:t>
      </w:r>
      <w:r>
        <w:rPr>
          <w:rFonts w:hint="eastAsia" w:ascii="宋体" w:hAnsi="宋体" w:cs="宋体"/>
          <w:b/>
          <w:color w:val="000000" w:themeColor="text1"/>
          <w:sz w:val="24"/>
          <w:szCs w:val="21"/>
          <w14:textFill>
            <w14:solidFill>
              <w14:schemeClr w14:val="tx1"/>
            </w14:solidFill>
          </w14:textFill>
        </w:rPr>
        <w:t>诺的交易有效期少于交易文件中载明的交易有效期的，交易无效。</w:t>
      </w:r>
    </w:p>
    <w:p w14:paraId="4E1BBF68">
      <w:pPr>
        <w:pStyle w:val="134"/>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16.2响应文件合格投递后，自投标截止日期起，在交易有效期内有效。</w:t>
      </w:r>
    </w:p>
    <w:p w14:paraId="24CC6827">
      <w:pPr>
        <w:pStyle w:val="134"/>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16.3在原定交易有效期满之前，如果出现特殊情况，采购机构可以以书面形式通知供应商延长交易有效期。供应商同意延长的，不得要求或被允许修改其响应文件，供应商拒绝延长的，其交易无效。</w:t>
      </w:r>
    </w:p>
    <w:p w14:paraId="5BFBD7A1">
      <w:pPr>
        <w:pStyle w:val="134"/>
        <w:spacing w:before="0"/>
        <w:ind w:firstLine="643"/>
        <w:rPr>
          <w:rFonts w:ascii="宋体" w:hAnsi="宋体" w:cs="宋体"/>
          <w:b/>
          <w:color w:val="000000" w:themeColor="text1"/>
          <w:sz w:val="32"/>
          <w14:textFill>
            <w14:solidFill>
              <w14:schemeClr w14:val="tx1"/>
            </w14:solidFill>
          </w14:textFill>
        </w:rPr>
      </w:pPr>
    </w:p>
    <w:p w14:paraId="2A153EC3">
      <w:pPr>
        <w:pStyle w:val="134"/>
        <w:spacing w:before="0"/>
        <w:ind w:firstLine="0" w:firstLineChars="0"/>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四、交易、资格审查</w:t>
      </w:r>
    </w:p>
    <w:p w14:paraId="159A88FC">
      <w:pPr>
        <w:pStyle w:val="559"/>
        <w:spacing w:before="0" w:line="360" w:lineRule="auto"/>
        <w:ind w:left="0" w:firstLine="0"/>
        <w:contextualSpacing/>
        <w:rPr>
          <w:rFonts w:ascii="宋体" w:hAnsi="宋体" w:cs="宋体"/>
          <w:b/>
          <w:color w:val="000000" w:themeColor="text1"/>
          <w:kern w:val="2"/>
          <w:sz w:val="24"/>
          <w:szCs w:val="24"/>
          <w14:textFill>
            <w14:solidFill>
              <w14:schemeClr w14:val="tx1"/>
            </w14:solidFill>
          </w14:textFill>
        </w:rPr>
      </w:pPr>
      <w:r>
        <w:rPr>
          <w:rFonts w:hint="eastAsia" w:ascii="宋体" w:hAnsi="宋体" w:cs="宋体"/>
          <w:b/>
          <w:color w:val="000000" w:themeColor="text1"/>
          <w:kern w:val="2"/>
          <w:sz w:val="24"/>
          <w:szCs w:val="24"/>
          <w14:textFill>
            <w14:solidFill>
              <w14:schemeClr w14:val="tx1"/>
            </w14:solidFill>
          </w14:textFill>
        </w:rPr>
        <w:t xml:space="preserve">17.交易 </w:t>
      </w:r>
    </w:p>
    <w:p w14:paraId="40AD0A5A">
      <w:pPr>
        <w:pStyle w:val="559"/>
        <w:spacing w:before="0" w:line="360" w:lineRule="auto"/>
        <w:ind w:left="0" w:firstLine="420" w:firstLineChars="175"/>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17.1采购机构按照交易文件规定的时间通过电子交易平台组织开标，所有供应商均应当准时在线参加。供应商不足3家的，不得开标。</w:t>
      </w:r>
    </w:p>
    <w:p w14:paraId="15E9E80E">
      <w:pPr>
        <w:pStyle w:val="559"/>
        <w:spacing w:before="0" w:line="360" w:lineRule="auto"/>
        <w:ind w:left="0" w:firstLine="420" w:firstLineChars="175"/>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17.2交易时，电子交易平台按交易时间自动提取所有响应文件。采购机构依托电子交易平台发起开始解密指令，供应商按照平台提示和交易文件的规定在半小时内完成在线解密。</w:t>
      </w:r>
    </w:p>
    <w:p w14:paraId="5DBD2944">
      <w:pPr>
        <w:pStyle w:val="559"/>
        <w:spacing w:before="0" w:line="360" w:lineRule="auto"/>
        <w:ind w:left="0" w:firstLine="420" w:firstLineChars="175"/>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17.3响应文件未按时解密，视为响应文件撤回。</w:t>
      </w:r>
    </w:p>
    <w:p w14:paraId="62635441">
      <w:pPr>
        <w:pStyle w:val="26"/>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18、资格审查</w:t>
      </w:r>
    </w:p>
    <w:p w14:paraId="707AAE42">
      <w:pPr>
        <w:pStyle w:val="134"/>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18.1交易后，交易人或采购机构将依法对供应商的资格进行审查。</w:t>
      </w:r>
    </w:p>
    <w:p w14:paraId="28E9647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18.2</w:t>
      </w:r>
      <w:r>
        <w:rPr>
          <w:rFonts w:hint="eastAsia" w:ascii="宋体" w:hAnsi="宋体" w:cs="宋体"/>
          <w:color w:val="000000" w:themeColor="text1"/>
          <w:sz w:val="24"/>
          <w14:textFill>
            <w14:solidFill>
              <w14:schemeClr w14:val="tx1"/>
            </w14:solidFill>
          </w14:textFill>
        </w:rPr>
        <w:t>交易人或采购机构依据法律法规和交易文件的规定，对供应商的基本资格条件、特定资格条件进行审查。</w:t>
      </w:r>
    </w:p>
    <w:p w14:paraId="03BF1C2C">
      <w:pPr>
        <w:pStyle w:val="134"/>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18.3供应商未按照交易文件要求提供与</w:t>
      </w:r>
      <w:r>
        <w:rPr>
          <w:rFonts w:hint="eastAsia" w:ascii="宋体" w:hAnsi="宋体" w:cs="宋体"/>
          <w:color w:val="000000" w:themeColor="text1"/>
          <w14:textFill>
            <w14:solidFill>
              <w14:schemeClr w14:val="tx1"/>
            </w14:solidFill>
          </w14:textFill>
        </w:rPr>
        <w:t>基本资格条件、特定资格条件相应的</w:t>
      </w:r>
      <w:r>
        <w:rPr>
          <w:rFonts w:hint="eastAsia" w:ascii="宋体" w:hAnsi="宋体" w:cs="宋体"/>
          <w:color w:val="000000" w:themeColor="text1"/>
          <w:kern w:val="0"/>
          <w:szCs w:val="24"/>
          <w14:textFill>
            <w14:solidFill>
              <w14:schemeClr w14:val="tx1"/>
            </w14:solidFill>
          </w14:textFill>
        </w:rPr>
        <w:t>有效资格证明材料的，视为</w:t>
      </w:r>
      <w:r>
        <w:rPr>
          <w:rFonts w:hint="eastAsia" w:ascii="宋体" w:hAnsi="宋体" w:cs="宋体"/>
          <w:color w:val="000000" w:themeColor="text1"/>
          <w14:textFill>
            <w14:solidFill>
              <w14:schemeClr w14:val="tx1"/>
            </w14:solidFill>
          </w14:textFill>
        </w:rPr>
        <w:t>供应商不具备交易文件中规定的资格要求，其交易无效。</w:t>
      </w:r>
    </w:p>
    <w:p w14:paraId="16C3C729">
      <w:pPr>
        <w:pStyle w:val="134"/>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18.</w:t>
      </w:r>
      <w:r>
        <w:rPr>
          <w:rFonts w:hint="eastAsia" w:ascii="宋体" w:hAnsi="宋体" w:cs="宋体"/>
          <w:color w:val="000000" w:themeColor="text1"/>
          <w14:textFill>
            <w14:solidFill>
              <w14:schemeClr w14:val="tx1"/>
            </w14:solidFill>
          </w14:textFill>
        </w:rPr>
        <w:t>4对未通过资格审查的供应商，交易人或采购机构告知其未通过的原因。</w:t>
      </w:r>
    </w:p>
    <w:p w14:paraId="1766CDDE">
      <w:pPr>
        <w:pStyle w:val="134"/>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18.</w:t>
      </w:r>
      <w:r>
        <w:rPr>
          <w:rFonts w:hint="eastAsia" w:ascii="宋体" w:hAnsi="宋体" w:cs="宋体"/>
          <w:color w:val="000000" w:themeColor="text1"/>
          <w14:textFill>
            <w14:solidFill>
              <w14:schemeClr w14:val="tx1"/>
            </w14:solidFill>
          </w14:textFill>
        </w:rPr>
        <w:t>5合格供应商不足3家的，不再评标。</w:t>
      </w:r>
    </w:p>
    <w:p w14:paraId="0B8DBA50">
      <w:pPr>
        <w:pStyle w:val="134"/>
        <w:spacing w:before="0"/>
        <w:ind w:firstLine="0" w:firstLineChars="0"/>
        <w:rPr>
          <w:rFonts w:ascii="宋体" w:hAnsi="宋体" w:cs="宋体"/>
          <w:color w:val="000000" w:themeColor="text1"/>
          <w:kern w:val="0"/>
          <w:szCs w:val="24"/>
          <w14:textFill>
            <w14:solidFill>
              <w14:schemeClr w14:val="tx1"/>
            </w14:solidFill>
          </w14:textFill>
        </w:rPr>
      </w:pPr>
    </w:p>
    <w:p w14:paraId="425E8186">
      <w:pPr>
        <w:snapToGrid w:val="0"/>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五、评审</w:t>
      </w:r>
    </w:p>
    <w:p w14:paraId="0DB4D85A">
      <w:pPr>
        <w:spacing w:line="360" w:lineRule="auto"/>
        <w:rPr>
          <w:rFonts w:ascii="宋体" w:hAnsi="宋体" w:cs="宋体"/>
          <w:color w:val="000000" w:themeColor="text1"/>
          <w:sz w:val="24"/>
          <w14:textFill>
            <w14:solidFill>
              <w14:schemeClr w14:val="tx1"/>
            </w14:solidFill>
          </w14:textFill>
        </w:rPr>
      </w:pPr>
      <w:bookmarkStart w:id="14" w:name="_Toc91899903"/>
      <w:r>
        <w:rPr>
          <w:rFonts w:hint="eastAsia" w:ascii="宋体" w:hAnsi="宋体" w:cs="宋体"/>
          <w:b/>
          <w:color w:val="000000" w:themeColor="text1"/>
          <w:sz w:val="24"/>
          <w14:textFill>
            <w14:solidFill>
              <w14:schemeClr w14:val="tx1"/>
            </w14:solidFill>
          </w14:textFill>
        </w:rPr>
        <w:t>19.</w:t>
      </w:r>
      <w:r>
        <w:rPr>
          <w:rFonts w:hint="eastAsia" w:ascii="宋体" w:hAnsi="宋体" w:cs="宋体"/>
          <w:color w:val="000000" w:themeColor="text1"/>
          <w:sz w:val="24"/>
          <w14:textFill>
            <w14:solidFill>
              <w14:schemeClr w14:val="tx1"/>
            </w14:solidFill>
          </w14:textFill>
        </w:rPr>
        <w:t>评标委员会将根据交易文件和有关规定，履行评标工作职责，并按照评标方法及评分标准，全面衡量各供应商对交易文件的响应情况。对实质上响应交易文件的供应商，按照评审因素的量化指标排出推荐成交的供应商的先后顺序，并按顺序提出授标建议。</w:t>
      </w:r>
    </w:p>
    <w:p w14:paraId="14E22409">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详见交易文件第四部分交易办法。</w:t>
      </w:r>
    </w:p>
    <w:p w14:paraId="3C1F3F4D">
      <w:pPr>
        <w:spacing w:line="360" w:lineRule="auto"/>
        <w:rPr>
          <w:rFonts w:ascii="宋体" w:hAnsi="宋体" w:cs="宋体"/>
          <w:b/>
          <w:color w:val="000000" w:themeColor="text1"/>
          <w:sz w:val="24"/>
          <w14:textFill>
            <w14:solidFill>
              <w14:schemeClr w14:val="tx1"/>
            </w14:solidFill>
          </w14:textFill>
        </w:rPr>
      </w:pPr>
    </w:p>
    <w:p w14:paraId="77D03B27">
      <w:pPr>
        <w:snapToGrid w:val="0"/>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六、定标</w:t>
      </w:r>
    </w:p>
    <w:p w14:paraId="20301102">
      <w:pPr>
        <w:pStyle w:val="26"/>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20.确定成交供应商</w:t>
      </w:r>
    </w:p>
    <w:p w14:paraId="416776EF">
      <w:pPr>
        <w:pStyle w:val="134"/>
        <w:snapToGrid w:val="0"/>
        <w:spacing w:before="0"/>
        <w:ind w:firstLine="480"/>
        <w:rPr>
          <w:rFonts w:ascii="宋体" w:hAnsi="宋体" w:cs="宋体"/>
          <w:b/>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交易人将自收到评审报告之日起5个工作日内通过电子交易平台在评审报告推荐的成交候选人中按顺序确定成交供应商。</w:t>
      </w:r>
    </w:p>
    <w:p w14:paraId="38F8BB76">
      <w:pPr>
        <w:pStyle w:val="134"/>
        <w:snapToGrid w:val="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21.成交通知与成交结果公告</w:t>
      </w:r>
    </w:p>
    <w:p w14:paraId="1909D05A">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21.1自成交人确定之日起3天内，采购机构通过电子交易平台向成交人发出成交通知书，同时编制发布采购结果公告。采购机构也可以以纸质形式进行成交通知。</w:t>
      </w:r>
    </w:p>
    <w:p w14:paraId="6A6EF82C">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21.2成交结果公告内容包括交易人及其委托的采购机构的名称、地址、联系方式，项目名称和交易编号，成交人名称、地址和成交金额。</w:t>
      </w:r>
    </w:p>
    <w:p w14:paraId="4B1AE444">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p>
    <w:p w14:paraId="4FD6A9F2">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七、合同授予</w:t>
      </w:r>
    </w:p>
    <w:p w14:paraId="49D6ED0B">
      <w:pPr>
        <w:pStyle w:val="26"/>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22.</w:t>
      </w:r>
      <w:r>
        <w:rPr>
          <w:rFonts w:hint="eastAsia" w:cs="宋体"/>
          <w:color w:val="000000" w:themeColor="text1"/>
          <w14:textFill>
            <w14:solidFill>
              <w14:schemeClr w14:val="tx1"/>
            </w14:solidFill>
          </w14:textFill>
        </w:rPr>
        <w:t>合同主要条款详见第五部分拟签订的合同文本。</w:t>
      </w:r>
    </w:p>
    <w:p w14:paraId="25BFEA00">
      <w:pPr>
        <w:pStyle w:val="26"/>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23.合同的签订</w:t>
      </w:r>
    </w:p>
    <w:p w14:paraId="1B2A538E">
      <w:pPr>
        <w:widowControl/>
        <w:shd w:val="clear" w:color="auto" w:fill="FFFFFF"/>
        <w:spacing w:line="360" w:lineRule="auto"/>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w:t>
      </w:r>
      <w:r>
        <w:rPr>
          <w:rFonts w:hint="eastAsia" w:ascii="宋体" w:hAnsi="宋体" w:cs="宋体"/>
          <w:color w:val="000000" w:themeColor="text1"/>
          <w:kern w:val="0"/>
          <w:sz w:val="24"/>
          <w14:textFill>
            <w14:solidFill>
              <w14:schemeClr w14:val="tx1"/>
            </w14:solidFill>
          </w14:textFill>
        </w:rPr>
        <w:t xml:space="preserve"> 交易人与成交人应当通过电子交易平台在成交通知书发出之日起三十日内，按照交易文件确定的事项签订采购合同。</w:t>
      </w:r>
    </w:p>
    <w:p w14:paraId="0908E369">
      <w:pPr>
        <w:pStyle w:val="134"/>
        <w:snapToGrid w:val="0"/>
        <w:spacing w:before="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.2成交人按规定的日期、时间、地点，由法定代表人或其授权代表与交易人代表签订合同。如成交人为联合体的，由联合体成员各方法定代表人或其授权代表与交易人代表签订合同。</w:t>
      </w:r>
    </w:p>
    <w:p w14:paraId="3ED2C989">
      <w:pPr>
        <w:pStyle w:val="134"/>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23.3如签订合同并生效后，供应商无故拒绝或延期，除按照合同条款处理外，列入不良行为记录一次，并给予通报。</w:t>
      </w:r>
    </w:p>
    <w:p w14:paraId="09329632">
      <w:pPr>
        <w:pStyle w:val="134"/>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23.4成交供应商拒绝与交易人签订合同的，交易人可以按照评审报告推荐的</w:t>
      </w:r>
      <w:r>
        <w:rPr>
          <w:rFonts w:hint="eastAsia" w:ascii="宋体" w:hAnsi="宋体" w:cs="宋体"/>
          <w:color w:val="000000" w:themeColor="text1"/>
          <w:kern w:val="0"/>
          <w14:textFill>
            <w14:solidFill>
              <w14:schemeClr w14:val="tx1"/>
            </w14:solidFill>
          </w14:textFill>
        </w:rPr>
        <w:t>成交</w:t>
      </w:r>
      <w:r>
        <w:rPr>
          <w:rFonts w:hint="eastAsia" w:ascii="宋体" w:hAnsi="宋体" w:cs="宋体"/>
          <w:color w:val="000000" w:themeColor="text1"/>
          <w14:textFill>
            <w14:solidFill>
              <w14:schemeClr w14:val="tx1"/>
            </w14:solidFill>
          </w14:textFill>
        </w:rPr>
        <w:t>或者成交候选人名单排序，确定下一候选人为成交供应商，也可以重新开展采购活动。</w:t>
      </w:r>
    </w:p>
    <w:p w14:paraId="592E4C39">
      <w:pPr>
        <w:pStyle w:val="134"/>
        <w:snapToGrid w:val="0"/>
        <w:spacing w:before="0" w:after="12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23.5采购合同由交易人与成交供应商根据交易文件、响应文件等内容签订合同。</w:t>
      </w:r>
    </w:p>
    <w:p w14:paraId="1C022341">
      <w:pPr>
        <w:pStyle w:val="26"/>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24.履约保证金：</w:t>
      </w:r>
      <w:r>
        <w:rPr>
          <w:rFonts w:hint="eastAsia" w:cs="宋体"/>
          <w:bCs/>
          <w:color w:val="000000" w:themeColor="text1"/>
          <w14:textFill>
            <w14:solidFill>
              <w14:schemeClr w14:val="tx1"/>
            </w14:solidFill>
          </w14:textFill>
        </w:rPr>
        <w:t>合同价的1%。</w:t>
      </w:r>
    </w:p>
    <w:p w14:paraId="483B12EF">
      <w:pPr>
        <w:snapToGrid w:val="0"/>
        <w:spacing w:line="360" w:lineRule="auto"/>
        <w:ind w:firstLine="3357" w:firstLineChars="1045"/>
        <w:rPr>
          <w:rFonts w:ascii="宋体" w:hAnsi="宋体" w:cs="宋体"/>
          <w:b/>
          <w:color w:val="000000" w:themeColor="text1"/>
          <w:sz w:val="32"/>
          <w14:textFill>
            <w14:solidFill>
              <w14:schemeClr w14:val="tx1"/>
            </w14:solidFill>
          </w14:textFill>
        </w:rPr>
      </w:pPr>
    </w:p>
    <w:p w14:paraId="0CD1F2B5">
      <w:pPr>
        <w:snapToGrid w:val="0"/>
        <w:spacing w:line="360" w:lineRule="auto"/>
        <w:ind w:firstLine="3357" w:firstLineChars="1045"/>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八、电子交易活动的中止</w:t>
      </w:r>
    </w:p>
    <w:p w14:paraId="64064F19">
      <w:pPr>
        <w:pStyle w:val="134"/>
        <w:snapToGrid w:val="0"/>
        <w:spacing w:before="0"/>
        <w:ind w:firstLine="0" w:firstLineChars="0"/>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w:t>
      </w:r>
      <w:r>
        <w:rPr>
          <w:rFonts w:hint="eastAsia" w:ascii="宋体" w:hAnsi="宋体" w:cs="宋体"/>
          <w:b/>
          <w:color w:val="000000" w:themeColor="text1"/>
          <w:szCs w:val="24"/>
          <w14:textFill>
            <w14:solidFill>
              <w14:schemeClr w14:val="tx1"/>
            </w14:solidFill>
          </w14:textFill>
        </w:rPr>
        <w:t>5.电子交易活动的中止。</w:t>
      </w:r>
      <w:r>
        <w:rPr>
          <w:rFonts w:hint="eastAsia" w:ascii="宋体" w:hAnsi="宋体" w:cs="宋体"/>
          <w:color w:val="000000" w:themeColor="text1"/>
          <w14:textFill>
            <w14:solidFill>
              <w14:schemeClr w14:val="tx1"/>
            </w14:solidFill>
          </w14:textFill>
        </w:rPr>
        <w:t>采购过程中出现以下情形，导致电子交易平台无法正常运行，或者无法保证电子交易的公平、公正和安全时，采购机构可中止电子交易活动：</w:t>
      </w:r>
    </w:p>
    <w:p w14:paraId="752B8221">
      <w:pPr>
        <w:pStyle w:val="134"/>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25.1电子交易平台发生故障而无法登录访问的； </w:t>
      </w:r>
    </w:p>
    <w:p w14:paraId="5BF10523">
      <w:pPr>
        <w:pStyle w:val="134"/>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25.2电子交易平台应用或数据库出现错误，不能进行正常操作的；</w:t>
      </w:r>
    </w:p>
    <w:p w14:paraId="5449345F">
      <w:pPr>
        <w:pStyle w:val="134"/>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25.3电子交易平台发现严重安全漏洞，有潜在泄密危险的；</w:t>
      </w:r>
    </w:p>
    <w:p w14:paraId="195E273C">
      <w:pPr>
        <w:pStyle w:val="134"/>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25.4病毒发作导致不能进行正常操作的； </w:t>
      </w:r>
    </w:p>
    <w:p w14:paraId="2FCD7181">
      <w:pPr>
        <w:pStyle w:val="134"/>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25.5其他无法保证电子交易的公平、公正和安全的情况。</w:t>
      </w:r>
    </w:p>
    <w:p w14:paraId="47811702">
      <w:pPr>
        <w:pStyle w:val="134"/>
        <w:snapToGrid w:val="0"/>
        <w:spacing w:before="0"/>
        <w:ind w:firstLine="0" w:firstLineChars="0"/>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26.</w:t>
      </w:r>
      <w:r>
        <w:rPr>
          <w:rFonts w:hint="eastAsia" w:ascii="宋体" w:hAnsi="宋体" w:cs="宋体"/>
          <w:color w:val="000000" w:themeColor="text1"/>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14:paraId="632E1CBD">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九、验收</w:t>
      </w:r>
    </w:p>
    <w:p w14:paraId="71C807C1">
      <w:pPr>
        <w:pStyle w:val="26"/>
        <w:spacing w:line="360" w:lineRule="auto"/>
        <w:ind w:firstLine="0" w:firstLineChars="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27.验收</w:t>
      </w:r>
    </w:p>
    <w:p w14:paraId="450ED1D4">
      <w:pPr>
        <w:tabs>
          <w:tab w:val="left" w:pos="0"/>
        </w:tabs>
        <w:spacing w:line="360" w:lineRule="auto"/>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27.1交易人应当组织对供应商履约的验收。</w:t>
      </w:r>
    </w:p>
    <w:bookmarkEnd w:id="12"/>
    <w:bookmarkEnd w:id="13"/>
    <w:bookmarkEnd w:id="14"/>
    <w:p w14:paraId="71C23C8F">
      <w:pPr>
        <w:rPr>
          <w:rFonts w:ascii="宋体" w:hAnsi="宋体" w:cs="宋体"/>
          <w:b/>
          <w:color w:val="000000" w:themeColor="text1"/>
          <w:sz w:val="36"/>
          <w:szCs w:val="36"/>
          <w14:textFill>
            <w14:solidFill>
              <w14:schemeClr w14:val="tx1"/>
            </w14:solidFill>
          </w14:textFill>
        </w:rPr>
      </w:pPr>
      <w:bookmarkStart w:id="15" w:name="第四部分"/>
      <w:r>
        <w:rPr>
          <w:rFonts w:hint="eastAsia" w:ascii="宋体" w:hAnsi="宋体" w:cs="宋体"/>
          <w:b/>
          <w:color w:val="000000" w:themeColor="text1"/>
          <w:sz w:val="36"/>
          <w:szCs w:val="36"/>
          <w14:textFill>
            <w14:solidFill>
              <w14:schemeClr w14:val="tx1"/>
            </w14:solidFill>
          </w14:textFill>
        </w:rPr>
        <w:br w:type="page"/>
      </w:r>
    </w:p>
    <w:p w14:paraId="139A9718">
      <w:pPr>
        <w:jc w:val="center"/>
        <w:rPr>
          <w:rFonts w:ascii="宋体" w:hAnsi="宋体" w:cs="宋体"/>
          <w:b/>
          <w:sz w:val="36"/>
          <w:szCs w:val="36"/>
        </w:rPr>
      </w:pPr>
      <w:r>
        <w:rPr>
          <w:rFonts w:hint="eastAsia" w:ascii="宋体" w:hAnsi="宋体" w:cs="宋体"/>
          <w:b/>
          <w:sz w:val="36"/>
          <w:szCs w:val="36"/>
        </w:rPr>
        <w:t>第三部分   交易需求</w:t>
      </w:r>
    </w:p>
    <w:p w14:paraId="40D887E4">
      <w:pPr>
        <w:snapToGrid w:val="0"/>
        <w:spacing w:line="360" w:lineRule="auto"/>
        <w:jc w:val="center"/>
        <w:rPr>
          <w:rFonts w:ascii="宋体" w:hAnsi="宋体" w:cs="宋体"/>
          <w:sz w:val="24"/>
        </w:rPr>
      </w:pPr>
    </w:p>
    <w:p w14:paraId="039CD069">
      <w:pPr>
        <w:snapToGrid w:val="0"/>
        <w:spacing w:line="360" w:lineRule="auto"/>
        <w:jc w:val="center"/>
        <w:rPr>
          <w:rFonts w:ascii="宋体" w:hAnsi="宋体" w:cs="宋体"/>
          <w:sz w:val="24"/>
        </w:rPr>
      </w:pPr>
      <w:r>
        <w:rPr>
          <w:rFonts w:hint="eastAsia" w:ascii="宋体" w:hAnsi="宋体" w:cs="宋体"/>
          <w:sz w:val="24"/>
        </w:rPr>
        <w:t>属于实质性要求条款的，请用符号“▲”标明，否则属于非实质性要求。</w:t>
      </w:r>
    </w:p>
    <w:p w14:paraId="34F218B2">
      <w:pPr>
        <w:numPr>
          <w:ilvl w:val="0"/>
          <w:numId w:val="2"/>
        </w:numPr>
        <w:spacing w:line="360" w:lineRule="auto"/>
        <w:jc w:val="center"/>
        <w:rPr>
          <w:rFonts w:ascii="宋体" w:hAnsi="宋体" w:cs="宋体"/>
          <w:b/>
          <w:sz w:val="28"/>
          <w:szCs w:val="28"/>
        </w:rPr>
      </w:pPr>
      <w:r>
        <w:rPr>
          <w:rFonts w:hint="eastAsia" w:ascii="宋体" w:hAnsi="宋体" w:cs="宋体"/>
          <w:b/>
          <w:sz w:val="28"/>
          <w:szCs w:val="28"/>
        </w:rPr>
        <w:t>交易一览表</w:t>
      </w:r>
    </w:p>
    <w:p w14:paraId="7CD8E402">
      <w:pPr>
        <w:spacing w:after="120"/>
        <w:ind w:firstLine="480" w:firstLineChars="200"/>
        <w:rPr>
          <w:rFonts w:ascii="宋体" w:hAnsi="宋体" w:cs="宋体"/>
        </w:rPr>
      </w:pPr>
      <w:r>
        <w:rPr>
          <w:rFonts w:hint="eastAsia" w:ascii="宋体" w:hAnsi="宋体" w:cs="宋体"/>
          <w:sz w:val="24"/>
        </w:rPr>
        <w:t>标项：1</w:t>
      </w:r>
    </w:p>
    <w:tbl>
      <w:tblPr>
        <w:tblStyle w:val="64"/>
        <w:tblW w:w="9155" w:type="dxa"/>
        <w:jc w:val="center"/>
        <w:tblLayout w:type="fixed"/>
        <w:tblCellMar>
          <w:top w:w="0" w:type="dxa"/>
          <w:left w:w="0" w:type="dxa"/>
          <w:bottom w:w="0" w:type="dxa"/>
          <w:right w:w="0" w:type="dxa"/>
        </w:tblCellMar>
      </w:tblPr>
      <w:tblGrid>
        <w:gridCol w:w="717"/>
        <w:gridCol w:w="4481"/>
        <w:gridCol w:w="1638"/>
        <w:gridCol w:w="773"/>
        <w:gridCol w:w="773"/>
        <w:gridCol w:w="773"/>
      </w:tblGrid>
      <w:tr w14:paraId="1954D9B3">
        <w:tblPrEx>
          <w:tblCellMar>
            <w:top w:w="0" w:type="dxa"/>
            <w:left w:w="0" w:type="dxa"/>
            <w:bottom w:w="0" w:type="dxa"/>
            <w:right w:w="0" w:type="dxa"/>
          </w:tblCellMar>
        </w:tblPrEx>
        <w:trPr>
          <w:cantSplit/>
          <w:trHeight w:val="643" w:hRule="atLeast"/>
          <w:jc w:val="center"/>
        </w:trPr>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88972C">
            <w:pPr>
              <w:jc w:val="center"/>
              <w:rPr>
                <w:rFonts w:ascii="宋体" w:hAnsi="宋体" w:cs="宋体"/>
                <w:sz w:val="24"/>
              </w:rPr>
            </w:pPr>
            <w:r>
              <w:rPr>
                <w:rFonts w:hint="eastAsia" w:ascii="宋体" w:hAnsi="宋体" w:cs="宋体"/>
                <w:sz w:val="24"/>
              </w:rPr>
              <w:t>序号</w:t>
            </w:r>
          </w:p>
        </w:tc>
        <w:tc>
          <w:tcPr>
            <w:tcW w:w="448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3314926">
            <w:pPr>
              <w:jc w:val="center"/>
              <w:rPr>
                <w:rFonts w:ascii="宋体" w:hAnsi="宋体" w:cs="宋体"/>
                <w:sz w:val="24"/>
              </w:rPr>
            </w:pPr>
            <w:r>
              <w:rPr>
                <w:rFonts w:hint="eastAsia" w:ascii="宋体" w:hAnsi="宋体" w:cs="宋体"/>
                <w:sz w:val="24"/>
              </w:rPr>
              <w:t>名称</w:t>
            </w:r>
          </w:p>
        </w:tc>
        <w:tc>
          <w:tcPr>
            <w:tcW w:w="163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C8A9DD8">
            <w:pPr>
              <w:jc w:val="center"/>
              <w:rPr>
                <w:rFonts w:ascii="宋体" w:hAnsi="宋体" w:cs="宋体"/>
                <w:sz w:val="24"/>
              </w:rPr>
            </w:pPr>
            <w:r>
              <w:rPr>
                <w:rFonts w:hint="eastAsia" w:ascii="宋体" w:hAnsi="宋体" w:cs="宋体"/>
                <w:sz w:val="24"/>
              </w:rPr>
              <w:t>具体服务要求</w:t>
            </w:r>
          </w:p>
        </w:tc>
        <w:tc>
          <w:tcPr>
            <w:tcW w:w="7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AC2E222">
            <w:pPr>
              <w:jc w:val="center"/>
              <w:rPr>
                <w:rFonts w:ascii="宋体" w:hAnsi="宋体" w:cs="宋体"/>
                <w:sz w:val="24"/>
              </w:rPr>
            </w:pPr>
            <w:r>
              <w:rPr>
                <w:rFonts w:hint="eastAsia" w:ascii="宋体" w:hAnsi="宋体" w:cs="宋体"/>
                <w:sz w:val="24"/>
              </w:rPr>
              <w:t>单位</w:t>
            </w:r>
          </w:p>
        </w:tc>
        <w:tc>
          <w:tcPr>
            <w:tcW w:w="77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B0FA21C">
            <w:pPr>
              <w:jc w:val="center"/>
              <w:rPr>
                <w:rFonts w:ascii="宋体" w:hAnsi="宋体" w:cs="宋体"/>
                <w:sz w:val="24"/>
              </w:rPr>
            </w:pPr>
            <w:r>
              <w:rPr>
                <w:rFonts w:hint="eastAsia" w:ascii="宋体" w:hAnsi="宋体" w:cs="宋体"/>
                <w:sz w:val="24"/>
              </w:rPr>
              <w:t>数量</w:t>
            </w:r>
          </w:p>
        </w:tc>
        <w:tc>
          <w:tcPr>
            <w:tcW w:w="773" w:type="dxa"/>
            <w:tcBorders>
              <w:top w:val="single" w:color="auto" w:sz="4" w:space="0"/>
              <w:left w:val="nil"/>
              <w:bottom w:val="single" w:color="auto" w:sz="4" w:space="0"/>
              <w:right w:val="single" w:color="auto" w:sz="4" w:space="0"/>
            </w:tcBorders>
            <w:vAlign w:val="center"/>
          </w:tcPr>
          <w:p w14:paraId="2C296983">
            <w:pPr>
              <w:jc w:val="center"/>
              <w:rPr>
                <w:rFonts w:ascii="宋体" w:hAnsi="宋体" w:cs="宋体"/>
                <w:sz w:val="24"/>
              </w:rPr>
            </w:pPr>
            <w:r>
              <w:rPr>
                <w:rFonts w:hint="eastAsia" w:ascii="宋体" w:hAnsi="宋体" w:cs="宋体"/>
                <w:sz w:val="24"/>
              </w:rPr>
              <w:t>备注</w:t>
            </w:r>
          </w:p>
        </w:tc>
      </w:tr>
      <w:tr w14:paraId="425F28FE">
        <w:tblPrEx>
          <w:tblCellMar>
            <w:top w:w="0" w:type="dxa"/>
            <w:left w:w="0" w:type="dxa"/>
            <w:bottom w:w="0" w:type="dxa"/>
            <w:right w:w="0" w:type="dxa"/>
          </w:tblCellMar>
        </w:tblPrEx>
        <w:trPr>
          <w:cantSplit/>
          <w:trHeight w:val="1117" w:hRule="atLeast"/>
          <w:jc w:val="center"/>
        </w:trPr>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7AE7A2E">
            <w:pPr>
              <w:jc w:val="center"/>
              <w:rPr>
                <w:rFonts w:ascii="宋体" w:hAnsi="宋体" w:cs="宋体"/>
                <w:sz w:val="24"/>
              </w:rPr>
            </w:pPr>
            <w:r>
              <w:rPr>
                <w:rFonts w:hint="eastAsia" w:ascii="宋体" w:hAnsi="宋体" w:cs="宋体"/>
                <w:sz w:val="24"/>
              </w:rPr>
              <w:t>1</w:t>
            </w:r>
          </w:p>
        </w:tc>
        <w:tc>
          <w:tcPr>
            <w:tcW w:w="448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C5AD263">
            <w:pPr>
              <w:jc w:val="center"/>
              <w:rPr>
                <w:rFonts w:hint="eastAsia" w:ascii="宋体" w:hAnsi="宋体" w:eastAsia="宋体" w:cs="宋体"/>
                <w:sz w:val="24"/>
                <w:lang w:eastAsia="zh-CN"/>
              </w:rPr>
            </w:pPr>
            <w:r>
              <w:rPr>
                <w:rFonts w:hint="eastAsia" w:ascii="宋体" w:hAnsi="宋体" w:cs="宋体"/>
                <w:sz w:val="24"/>
                <w:lang w:eastAsia="zh-CN"/>
              </w:rPr>
              <w:t>杭州萧山盈丰丰北股份经济联合社商业医疗补充险采购项目</w:t>
            </w:r>
          </w:p>
        </w:tc>
        <w:tc>
          <w:tcPr>
            <w:tcW w:w="163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6E81730">
            <w:pPr>
              <w:jc w:val="center"/>
              <w:rPr>
                <w:rFonts w:ascii="宋体" w:hAnsi="宋体" w:cs="宋体"/>
                <w:sz w:val="24"/>
              </w:rPr>
            </w:pPr>
            <w:r>
              <w:rPr>
                <w:rFonts w:hint="eastAsia" w:ascii="宋体" w:hAnsi="宋体" w:cs="宋体"/>
                <w:sz w:val="24"/>
              </w:rPr>
              <w:t>详见交易需求</w:t>
            </w:r>
          </w:p>
        </w:tc>
        <w:tc>
          <w:tcPr>
            <w:tcW w:w="7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35CC6B2">
            <w:pPr>
              <w:jc w:val="center"/>
              <w:rPr>
                <w:rFonts w:hint="eastAsia" w:ascii="宋体" w:hAnsi="宋体" w:eastAsia="宋体" w:cs="宋体"/>
                <w:sz w:val="24"/>
                <w:lang w:eastAsia="zh-CN"/>
              </w:rPr>
            </w:pPr>
            <w:r>
              <w:rPr>
                <w:rFonts w:hint="eastAsia" w:ascii="宋体" w:hAnsi="宋体" w:cs="宋体"/>
                <w:sz w:val="24"/>
                <w:lang w:val="en-US" w:eastAsia="zh-CN"/>
              </w:rPr>
              <w:t>项</w:t>
            </w:r>
          </w:p>
        </w:tc>
        <w:tc>
          <w:tcPr>
            <w:tcW w:w="77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3DF7F97">
            <w:pPr>
              <w:jc w:val="center"/>
              <w:rPr>
                <w:rFonts w:hint="eastAsia" w:ascii="宋体" w:hAnsi="宋体" w:eastAsia="宋体" w:cs="宋体"/>
                <w:sz w:val="24"/>
                <w:lang w:eastAsia="zh-CN"/>
              </w:rPr>
            </w:pPr>
            <w:r>
              <w:rPr>
                <w:rFonts w:hint="eastAsia" w:ascii="宋体" w:hAnsi="宋体" w:cs="宋体"/>
                <w:sz w:val="24"/>
                <w:lang w:val="en-US" w:eastAsia="zh-CN"/>
              </w:rPr>
              <w:t>1</w:t>
            </w:r>
          </w:p>
        </w:tc>
        <w:tc>
          <w:tcPr>
            <w:tcW w:w="773" w:type="dxa"/>
            <w:tcBorders>
              <w:top w:val="single" w:color="auto" w:sz="4" w:space="0"/>
              <w:left w:val="nil"/>
              <w:bottom w:val="single" w:color="auto" w:sz="4" w:space="0"/>
              <w:right w:val="single" w:color="auto" w:sz="4" w:space="0"/>
            </w:tcBorders>
            <w:vAlign w:val="center"/>
          </w:tcPr>
          <w:p w14:paraId="6DAD0515">
            <w:pPr>
              <w:rPr>
                <w:rFonts w:ascii="宋体" w:hAnsi="宋体" w:cs="宋体"/>
                <w:sz w:val="24"/>
              </w:rPr>
            </w:pPr>
          </w:p>
        </w:tc>
      </w:tr>
    </w:tbl>
    <w:p w14:paraId="502C6A57">
      <w:pPr>
        <w:spacing w:line="360" w:lineRule="auto"/>
        <w:rPr>
          <w:rFonts w:ascii="宋体" w:hAnsi="宋体" w:cs="宋体"/>
          <w:b/>
          <w:sz w:val="24"/>
        </w:rPr>
      </w:pPr>
    </w:p>
    <w:p w14:paraId="341BB0CB">
      <w:pPr>
        <w:pStyle w:val="970"/>
        <w:spacing w:before="31" w:after="31"/>
        <w:jc w:val="center"/>
        <w:rPr>
          <w:rFonts w:hint="eastAsia" w:ascii="宋体" w:hAnsi="宋体" w:cs="宋体"/>
          <w:b/>
          <w:sz w:val="28"/>
          <w:szCs w:val="28"/>
        </w:rPr>
      </w:pPr>
      <w:r>
        <w:rPr>
          <w:rFonts w:hint="eastAsia" w:ascii="宋体" w:hAnsi="宋体" w:cs="宋体"/>
          <w:b/>
          <w:sz w:val="28"/>
          <w:szCs w:val="28"/>
          <w:lang w:val="en-US" w:eastAsia="zh-CN"/>
        </w:rPr>
        <w:t>二、</w:t>
      </w:r>
      <w:r>
        <w:rPr>
          <w:rFonts w:hint="eastAsia" w:ascii="宋体" w:hAnsi="宋体" w:cs="宋体"/>
          <w:b/>
          <w:sz w:val="28"/>
          <w:szCs w:val="28"/>
        </w:rPr>
        <w:t>交易需求</w:t>
      </w:r>
    </w:p>
    <w:p w14:paraId="01F9DCC0">
      <w:pPr>
        <w:pStyle w:val="970"/>
        <w:spacing w:before="31" w:after="31"/>
        <w:jc w:val="center"/>
        <w:rPr>
          <w:rFonts w:hint="eastAsia" w:ascii="宋体" w:hAnsi="宋体" w:cs="宋体"/>
          <w:b/>
          <w:sz w:val="28"/>
          <w:szCs w:val="28"/>
        </w:rPr>
      </w:pPr>
    </w:p>
    <w:p w14:paraId="180E111D">
      <w:pPr>
        <w:pStyle w:val="970"/>
        <w:spacing w:before="31" w:after="31"/>
        <w:rPr>
          <w:rFonts w:hint="eastAsia"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lang w:eastAsia="zh-CN"/>
        </w:rPr>
        <w:t>（</w:t>
      </w:r>
      <w:r>
        <w:rPr>
          <w:rFonts w:hint="eastAsia" w:asciiTheme="minorEastAsia" w:hAnsiTheme="minorEastAsia" w:eastAsiaTheme="minorEastAsia" w:cstheme="minorEastAsia"/>
          <w:b/>
          <w:color w:val="000000"/>
          <w:lang w:val="en-US" w:eastAsia="zh-CN"/>
        </w:rPr>
        <w:t>一</w:t>
      </w:r>
      <w:r>
        <w:rPr>
          <w:rFonts w:hint="eastAsia" w:asciiTheme="minorEastAsia" w:hAnsiTheme="minorEastAsia" w:eastAsiaTheme="minorEastAsia" w:cstheme="minorEastAsia"/>
          <w:b/>
          <w:color w:val="000000"/>
          <w:lang w:eastAsia="zh-CN"/>
        </w:rPr>
        <w:t>）</w:t>
      </w:r>
      <w:r>
        <w:rPr>
          <w:rFonts w:hint="eastAsia" w:asciiTheme="minorEastAsia" w:hAnsiTheme="minorEastAsia" w:eastAsiaTheme="minorEastAsia" w:cstheme="minorEastAsia"/>
          <w:b/>
          <w:color w:val="000000"/>
        </w:rPr>
        <w:t>技术需求</w:t>
      </w:r>
    </w:p>
    <w:p w14:paraId="0A452544">
      <w:pPr>
        <w:snapToGrid w:val="0"/>
        <w:spacing w:line="360" w:lineRule="auto"/>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项目概况</w:t>
      </w:r>
    </w:p>
    <w:p w14:paraId="7F91BE68">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为进一步提高社员（股民）的医疗保障水平，减轻失地农民的家庭负担，提高社员的幸福指数。在社员自行参加城乡居民医保和城镇职工基本医疗保险的基础上，剩余自费部分医疗开支可再通过补充医疗保险按照相关保险协议进行报销，提高丰北社员的医疗报销比例，根据往年社员对补充医疗保险的反响及口碑较好，2025年度丰北经联社计划继续为全体社员投保商业医疗保险。</w:t>
      </w:r>
    </w:p>
    <w:p w14:paraId="1F9C9214">
      <w:pPr>
        <w:pStyle w:val="5"/>
        <w:spacing w:line="360" w:lineRule="auto"/>
        <w:ind w:left="433" w:leftChars="202" w:hanging="9" w:hangingChars="4"/>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2、项目内容</w:t>
      </w:r>
    </w:p>
    <w:p w14:paraId="32F6DA81">
      <w:pPr>
        <w:spacing w:line="360" w:lineRule="auto"/>
        <w:ind w:firstLine="480" w:firstLineChars="200"/>
        <w:rPr>
          <w:rFonts w:hint="default"/>
          <w:lang w:val="en-US" w:eastAsia="zh-CN"/>
        </w:rPr>
      </w:pPr>
      <w:r>
        <w:rPr>
          <w:rFonts w:hint="eastAsia" w:asciiTheme="minorEastAsia" w:hAnsiTheme="minorEastAsia" w:eastAsiaTheme="minorEastAsia" w:cstheme="minorEastAsia"/>
          <w:sz w:val="24"/>
        </w:rPr>
        <w:t>本次招标内容为</w:t>
      </w:r>
      <w:r>
        <w:rPr>
          <w:rFonts w:hint="eastAsia" w:asciiTheme="minorEastAsia" w:hAnsiTheme="minorEastAsia" w:eastAsiaTheme="minorEastAsia" w:cstheme="minorEastAsia"/>
          <w:sz w:val="24"/>
          <w:lang w:val="en-US" w:eastAsia="zh-CN"/>
        </w:rPr>
        <w:t>杭州市杭州萧山盈丰丰北股份经济联合社商业医疗补充险采购项目。</w:t>
      </w:r>
    </w:p>
    <w:p w14:paraId="55416491">
      <w:pPr>
        <w:pStyle w:val="5"/>
        <w:numPr>
          <w:ilvl w:val="0"/>
          <w:numId w:val="0"/>
        </w:numPr>
        <w:adjustRightInd w:val="0"/>
        <w:snapToGrid w:val="0"/>
        <w:spacing w:line="360" w:lineRule="auto"/>
        <w:ind w:firstLine="240" w:firstLineChars="100"/>
        <w:rPr>
          <w:rFonts w:hint="eastAsia" w:asciiTheme="minorEastAsia" w:hAnsiTheme="minorEastAsia" w:eastAsiaTheme="minorEastAsia" w:cstheme="minorEastAsia"/>
          <w:sz w:val="24"/>
          <w:szCs w:val="24"/>
          <w:lang w:val="en-US"/>
        </w:rPr>
      </w:pPr>
      <w:bookmarkStart w:id="16" w:name="_Toc9364"/>
      <w:r>
        <w:rPr>
          <w:rFonts w:hint="eastAsia" w:asciiTheme="minorEastAsia" w:hAnsiTheme="minorEastAsia" w:eastAsiaTheme="minorEastAsia" w:cstheme="minorEastAsia"/>
          <w:color w:val="000000"/>
          <w:sz w:val="24"/>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bCs w:val="0"/>
          <w:sz w:val="24"/>
          <w:szCs w:val="24"/>
          <w:lang w:val="en-US"/>
        </w:rPr>
        <w:t>保险险种及范围</w:t>
      </w:r>
      <w:bookmarkEnd w:id="16"/>
    </w:p>
    <w:tbl>
      <w:tblPr>
        <w:tblStyle w:val="64"/>
        <w:tblW w:w="7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2588"/>
        <w:gridCol w:w="2106"/>
      </w:tblGrid>
      <w:tr w14:paraId="4B06B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5" w:type="dxa"/>
            <w:tcBorders>
              <w:top w:val="single" w:color="auto" w:sz="4" w:space="0"/>
              <w:left w:val="single" w:color="auto" w:sz="4" w:space="0"/>
              <w:bottom w:val="single" w:color="auto" w:sz="4" w:space="0"/>
              <w:right w:val="single" w:color="auto" w:sz="4" w:space="0"/>
            </w:tcBorders>
            <w:vAlign w:val="center"/>
          </w:tcPr>
          <w:p w14:paraId="453E5B6F">
            <w:pPr>
              <w:adjustRightInd/>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保险责任</w:t>
            </w:r>
          </w:p>
        </w:tc>
        <w:tc>
          <w:tcPr>
            <w:tcW w:w="2588" w:type="dxa"/>
            <w:tcBorders>
              <w:top w:val="single" w:color="auto" w:sz="4" w:space="0"/>
              <w:left w:val="single" w:color="auto" w:sz="4" w:space="0"/>
              <w:bottom w:val="single" w:color="auto" w:sz="4" w:space="0"/>
              <w:right w:val="single" w:color="auto" w:sz="4" w:space="0"/>
            </w:tcBorders>
            <w:vAlign w:val="center"/>
          </w:tcPr>
          <w:p w14:paraId="4BFB1E8F">
            <w:pPr>
              <w:adjustRightInd/>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保险内容</w:t>
            </w:r>
          </w:p>
        </w:tc>
        <w:tc>
          <w:tcPr>
            <w:tcW w:w="2106" w:type="dxa"/>
            <w:tcBorders>
              <w:top w:val="single" w:color="auto" w:sz="4" w:space="0"/>
              <w:left w:val="single" w:color="auto" w:sz="4" w:space="0"/>
              <w:bottom w:val="single" w:color="auto" w:sz="4" w:space="0"/>
              <w:right w:val="single" w:color="auto" w:sz="4" w:space="0"/>
            </w:tcBorders>
            <w:vAlign w:val="center"/>
          </w:tcPr>
          <w:p w14:paraId="6828CFF4">
            <w:pPr>
              <w:adjustRightInd/>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14:paraId="46CC3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5" w:type="dxa"/>
            <w:tcBorders>
              <w:top w:val="single" w:color="auto" w:sz="4" w:space="0"/>
              <w:left w:val="single" w:color="auto" w:sz="4" w:space="0"/>
              <w:bottom w:val="single" w:color="auto" w:sz="4" w:space="0"/>
              <w:right w:val="single" w:color="auto" w:sz="4" w:space="0"/>
            </w:tcBorders>
            <w:vAlign w:val="center"/>
          </w:tcPr>
          <w:p w14:paraId="645BA7A6">
            <w:pPr>
              <w:adjustRightInd/>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社保补充医疗</w:t>
            </w:r>
          </w:p>
        </w:tc>
        <w:tc>
          <w:tcPr>
            <w:tcW w:w="2588" w:type="dxa"/>
            <w:tcBorders>
              <w:top w:val="single" w:color="auto" w:sz="4" w:space="0"/>
              <w:left w:val="single" w:color="auto" w:sz="4" w:space="0"/>
              <w:bottom w:val="single" w:color="auto" w:sz="4" w:space="0"/>
              <w:right w:val="single" w:color="auto" w:sz="4" w:space="0"/>
            </w:tcBorders>
            <w:vAlign w:val="center"/>
          </w:tcPr>
          <w:p w14:paraId="4F43DF24">
            <w:pPr>
              <w:adjustRightInd/>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住院医疗，限额40万</w:t>
            </w:r>
          </w:p>
        </w:tc>
        <w:tc>
          <w:tcPr>
            <w:tcW w:w="2106" w:type="dxa"/>
            <w:tcBorders>
              <w:top w:val="single" w:color="auto" w:sz="4" w:space="0"/>
              <w:left w:val="single" w:color="auto" w:sz="4" w:space="0"/>
              <w:bottom w:val="single" w:color="auto" w:sz="4" w:space="0"/>
              <w:right w:val="single" w:color="auto" w:sz="4" w:space="0"/>
            </w:tcBorders>
            <w:vAlign w:val="center"/>
          </w:tcPr>
          <w:p w14:paraId="0B4C9FBE">
            <w:pPr>
              <w:adjustRightInd/>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无</w:t>
            </w:r>
          </w:p>
        </w:tc>
      </w:tr>
    </w:tbl>
    <w:p w14:paraId="743B7862">
      <w:pPr>
        <w:adjustRightInd/>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具体如下：</w:t>
      </w:r>
    </w:p>
    <w:p w14:paraId="408369CC">
      <w:pPr>
        <w:numPr>
          <w:ilvl w:val="0"/>
          <w:numId w:val="3"/>
        </w:numPr>
        <w:adjustRightInd/>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参加杭州市城乡居民医保二档（即农医保）人员补充医疗方案</w:t>
      </w:r>
    </w:p>
    <w:p w14:paraId="55674A4D">
      <w:pPr>
        <w:adjustRightInd/>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参加杭州市城乡居民医保二档人员，其住院医疗报销水平达到杭州市城镇职工住院医疗保障程度，杭州市城乡居民医保二档住院医疗全年累计最高费用限额40万。保险责任及支付标准参见目前杭州市城镇职工基本医疗所依据的文件——杭政〔2020〕56号。</w:t>
      </w:r>
    </w:p>
    <w:p w14:paraId="4991EAB0">
      <w:pPr>
        <w:adjustRightInd/>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于社保规定医疗机构住院，起付线以上个人自付部分合理费用按照城镇职工与城乡居民医保二档住院医疗统筹基金承担比例的差额部分进行赔付；</w:t>
      </w:r>
    </w:p>
    <w:p w14:paraId="23E9560A">
      <w:pPr>
        <w:numPr>
          <w:ilvl w:val="0"/>
          <w:numId w:val="3"/>
        </w:numPr>
        <w:adjustRightInd/>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参加杭州市城乡居民医保一档（即城镇居民）人员补充医疗方案</w:t>
      </w:r>
    </w:p>
    <w:p w14:paraId="2624B660">
      <w:pPr>
        <w:adjustRightInd/>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参加杭州市城乡居民医保一档人员，其住院医疗报销水平按照起付线以上合理费用的90%与城乡居民医保一档住院医疗统筹基金承担比例差额部分进行赔付，其全年累计最高费用限额为40万。保险责任及支付标准参见目前杭州市城镇职工基本医疗所依据的文件—杭政〔2020〕56号。</w:t>
      </w:r>
    </w:p>
    <w:p w14:paraId="1F9E5A65">
      <w:pPr>
        <w:adjustRightInd/>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于社保规定医疗机构住院，起付线以上个人自付部分按照合理费用90%与城乡居民医保一档住院医疗统筹基金承担比例差额部分进行赔付；</w:t>
      </w:r>
    </w:p>
    <w:p w14:paraId="41E015CA">
      <w:pPr>
        <w:numPr>
          <w:ilvl w:val="0"/>
          <w:numId w:val="3"/>
        </w:numPr>
        <w:adjustRightInd/>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参加杭州市城镇职工基本医疗保险人员补充医疗方案</w:t>
      </w:r>
    </w:p>
    <w:p w14:paraId="5D56E45E">
      <w:pPr>
        <w:adjustRightInd/>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参加杭州市城镇职工基本医疗保险人员，其住院医疗起付线以上个人自付部分按照合理费用100%赔付，其全年累计最高费用限额为40万。保险责任及支付标准参见目前杭州市城镇职工基本医疗所依据的文件—杭政〔2020〕56号。</w:t>
      </w:r>
    </w:p>
    <w:p w14:paraId="7128E3C2">
      <w:pPr>
        <w:adjustRightInd/>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于社保规定医疗机构住院，起付线以上个人自付部分按照合理费用100%赔付；</w:t>
      </w:r>
    </w:p>
    <w:p w14:paraId="5AFE025D">
      <w:pPr>
        <w:snapToGrid w:val="0"/>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未参加杭州市基本医疗保险的村民， 统一按照上述方案中城乡居民二档的保险负担比例进行报销相应部分赔付责任</w:t>
      </w:r>
    </w:p>
    <w:p w14:paraId="2C5FDB31">
      <w:pPr>
        <w:pStyle w:val="2"/>
        <w:spacing w:line="360" w:lineRule="auto"/>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④医疗机构：医疗机构同杭州市基本医疗定点医疗机构。</w:t>
      </w:r>
    </w:p>
    <w:p w14:paraId="14A9851C">
      <w:pPr>
        <w:pStyle w:val="5"/>
        <w:numPr>
          <w:ilvl w:val="0"/>
          <w:numId w:val="0"/>
        </w:numPr>
        <w:ind w:firstLine="480" w:firstLineChars="200"/>
        <w:jc w:val="both"/>
        <w:rPr>
          <w:rFonts w:hint="eastAsia" w:asciiTheme="minorEastAsia" w:hAnsiTheme="minorEastAsia" w:eastAsiaTheme="minorEastAsia" w:cstheme="minorEastAsia"/>
          <w:sz w:val="24"/>
          <w:szCs w:val="24"/>
          <w:lang w:val="en-US"/>
        </w:rPr>
      </w:pPr>
      <w:bookmarkStart w:id="17" w:name="_Toc15165"/>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val="en-US"/>
        </w:rPr>
        <w:t>理赔服务要求</w:t>
      </w:r>
      <w:bookmarkEnd w:id="17"/>
    </w:p>
    <w:p w14:paraId="46956F6F">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.1.出险通知</w:t>
      </w:r>
    </w:p>
    <w:p w14:paraId="11D06273">
      <w:pPr>
        <w:snapToGrid w:val="0"/>
        <w:spacing w:line="360" w:lineRule="auto"/>
        <w:ind w:firstLine="472" w:firstLineChars="19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采购人或相关被保险人员在获悉发生损失后，应及时通知中标人。</w:t>
      </w:r>
    </w:p>
    <w:p w14:paraId="22FC37A7">
      <w:pPr>
        <w:snapToGrid w:val="0"/>
        <w:spacing w:line="360" w:lineRule="auto"/>
        <w:ind w:firstLine="472" w:firstLineChars="19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.2.现场查勘时限</w:t>
      </w:r>
    </w:p>
    <w:p w14:paraId="2B8EBF43">
      <w:pPr>
        <w:snapToGrid w:val="0"/>
        <w:spacing w:line="360" w:lineRule="auto"/>
        <w:ind w:firstLine="472" w:firstLineChars="19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中标人应严格执行365天、24小时的全天候接报案制度。根据自身的机构网络设置，接到采购人或相关被保险人员的报案通知后，必须立即答复是否需要保留现场。如需要，中标人专责理赔人员赶到损失现场，进行现场查勘。</w:t>
      </w:r>
    </w:p>
    <w:p w14:paraId="6D58658F">
      <w:pPr>
        <w:snapToGrid w:val="0"/>
        <w:spacing w:line="360" w:lineRule="auto"/>
        <w:ind w:firstLine="472" w:firstLineChars="19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.3.单证审核</w:t>
      </w:r>
    </w:p>
    <w:p w14:paraId="3E9C9BF7">
      <w:pPr>
        <w:snapToGrid w:val="0"/>
        <w:spacing w:line="360" w:lineRule="auto"/>
        <w:ind w:firstLine="472" w:firstLineChars="19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采购人或采购人委托的相关被保险人员按本保险有关规定以 EMS、邮寄或其他方式向中标人项目服务小组提交必须的、有效的、真实的有关单证和资料。</w:t>
      </w:r>
    </w:p>
    <w:p w14:paraId="70C7F148">
      <w:pPr>
        <w:snapToGrid w:val="0"/>
        <w:spacing w:line="360" w:lineRule="auto"/>
        <w:ind w:firstLine="472" w:firstLineChars="19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根据需要，采购人需向中标人提供下列单证，办理索赔手续：</w:t>
      </w:r>
    </w:p>
    <w:p w14:paraId="442E5975">
      <w:pPr>
        <w:tabs>
          <w:tab w:val="center" w:pos="4535"/>
        </w:tabs>
        <w:snapToGrid w:val="0"/>
        <w:spacing w:line="360" w:lineRule="auto"/>
        <w:ind w:firstLine="472" w:firstLineChars="19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①所有理赔申请所需材料：</w:t>
      </w:r>
      <w:r>
        <w:rPr>
          <w:rFonts w:hint="eastAsia" w:asciiTheme="minorEastAsia" w:hAnsiTheme="minorEastAsia" w:eastAsiaTheme="minorEastAsia" w:cstheme="minorEastAsia"/>
          <w:sz w:val="24"/>
        </w:rPr>
        <w:tab/>
      </w:r>
    </w:p>
    <w:p w14:paraId="38CBA47C">
      <w:pPr>
        <w:snapToGrid w:val="0"/>
        <w:spacing w:line="360" w:lineRule="auto"/>
        <w:ind w:firstLine="472" w:firstLineChars="19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理赔申请书</w:t>
      </w:r>
    </w:p>
    <w:p w14:paraId="1402FE73">
      <w:pPr>
        <w:snapToGrid w:val="0"/>
        <w:spacing w:line="360" w:lineRule="auto"/>
        <w:ind w:firstLine="472" w:firstLineChars="19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申请人及受益人身份证复印件、户口本复印件或出生医学证明复印件（未成年人）</w:t>
      </w:r>
    </w:p>
    <w:p w14:paraId="4CBD94A9">
      <w:pPr>
        <w:snapToGrid w:val="0"/>
        <w:spacing w:line="360" w:lineRule="auto"/>
        <w:ind w:firstLine="472" w:firstLineChars="19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非受益人提出申请的还要提供受益人的授权委托书</w:t>
      </w:r>
    </w:p>
    <w:p w14:paraId="18087616">
      <w:pPr>
        <w:snapToGrid w:val="0"/>
        <w:spacing w:line="360" w:lineRule="auto"/>
        <w:ind w:firstLine="472" w:firstLineChars="19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被保险人存折复印件，未成年人家长存折复印件</w:t>
      </w:r>
    </w:p>
    <w:p w14:paraId="4DAC3954">
      <w:pPr>
        <w:snapToGrid w:val="0"/>
        <w:spacing w:line="360" w:lineRule="auto"/>
        <w:ind w:firstLine="472" w:firstLineChars="19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②医疗费理赔申请所需材料：</w:t>
      </w:r>
    </w:p>
    <w:p w14:paraId="023405FB">
      <w:pPr>
        <w:snapToGrid w:val="0"/>
        <w:spacing w:line="360" w:lineRule="auto"/>
        <w:ind w:firstLine="472" w:firstLineChars="19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社区卫生院及区内定点医院就诊：参保人员应向医院索取经医保结算后的住院医疗费收费收据（发票原件），住院医疗费汇总明细清单，出院小结，病历本及其他相关资料，到保险公司报销。</w:t>
      </w:r>
    </w:p>
    <w:p w14:paraId="36A7099F">
      <w:pPr>
        <w:snapToGrid w:val="0"/>
        <w:spacing w:line="360" w:lineRule="auto"/>
        <w:ind w:firstLine="472" w:firstLineChars="19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区外医院就诊：参保人员应向医院索取住院医疗费收费收据（发票原件），住院医疗费汇总明细清单，出院记录及其他相关资料，到社保或城乡居民医保管理中心报销后，持由社保或城乡居民医保管理中心盖章的发票复印件及结算单以及住院医疗费汇总明细清单，出院小结，病历本及其他相关资料复印件到保险公司报销。</w:t>
      </w:r>
    </w:p>
    <w:p w14:paraId="2C67E2CB">
      <w:pPr>
        <w:snapToGrid w:val="0"/>
        <w:spacing w:line="360" w:lineRule="auto"/>
        <w:ind w:firstLine="472" w:firstLineChars="19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因意外所致的医疗还需提供能确认保险事故的性质、原因等有关的其他证明和资料。如：工伤索赔应提供有关事故性质、原因的证明；交通事故需提供交警部门的责任认定书。</w:t>
      </w:r>
    </w:p>
    <w:p w14:paraId="0513C544">
      <w:pPr>
        <w:snapToGrid w:val="0"/>
        <w:spacing w:line="360" w:lineRule="auto"/>
        <w:ind w:firstLine="472" w:firstLineChars="19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中标人接到采购人或采购人委托的相关被保险人员的索赔单证后，应填写索赔单证签收单，并在5个工作日内认定所收到的索赔单证是否齐全。如不齐全，应立即以书面方式通知采购人或采购人委托的相关被保险人补充提供有关证明或资料。若在接到索赔资料后5个工作日内未提出异议，则视为中标人认可索赔资料完整。对于采购人提供的索赔材料， 中标人至多提出两次异议。</w:t>
      </w:r>
    </w:p>
    <w:p w14:paraId="57F708C7">
      <w:pPr>
        <w:snapToGrid w:val="0"/>
        <w:spacing w:line="360" w:lineRule="auto"/>
        <w:ind w:firstLine="472" w:firstLineChars="19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.4.上门理赔服务：中标人配备专人定期理赔，每月一次，上门或至双方商定处理赔，具体可根据采购人人数和需求情况来定。</w:t>
      </w:r>
    </w:p>
    <w:p w14:paraId="3242CFAB">
      <w:pPr>
        <w:snapToGrid w:val="0"/>
        <w:spacing w:line="360" w:lineRule="auto"/>
        <w:ind w:firstLine="472" w:firstLineChars="19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.5.理赔金额交付:中标人收到医疗单据等证明材料齐全后10个工作日内，将理赔款打入被保险人银行帐号。对情形复杂或需要调查的案件，在30日内作出理赔决定。如有重大疑难案件，双方协商确定。</w:t>
      </w:r>
    </w:p>
    <w:p w14:paraId="2BCAAFDF">
      <w:pPr>
        <w:snapToGrid w:val="0"/>
        <w:spacing w:line="360" w:lineRule="auto"/>
        <w:ind w:firstLine="472" w:firstLineChars="197"/>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.6.建立理赔台帐:中标人为采购人每位村民建立健康档案管理台帐（包括理赔记录、疾病情况、体检信息和个人健康状况等），每月为单位提供详尽的村民理赔数据供査询。</w:t>
      </w:r>
    </w:p>
    <w:p w14:paraId="564CE727">
      <w:pPr>
        <w:pStyle w:val="5"/>
        <w:numPr>
          <w:ilvl w:val="0"/>
          <w:numId w:val="0"/>
        </w:numPr>
        <w:adjustRightInd w:val="0"/>
        <w:snapToGrid w:val="0"/>
        <w:ind w:firstLine="480" w:firstLineChars="200"/>
        <w:rPr>
          <w:rFonts w:hint="eastAsia" w:asciiTheme="minorEastAsia" w:hAnsiTheme="minorEastAsia" w:eastAsiaTheme="minorEastAsia" w:cstheme="minorEastAsia"/>
          <w:sz w:val="24"/>
          <w:szCs w:val="24"/>
        </w:rPr>
      </w:pPr>
      <w:bookmarkStart w:id="18" w:name="_Toc22460"/>
      <w:bookmarkStart w:id="19" w:name="_Toc16216"/>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val="0"/>
          <w:sz w:val="24"/>
          <w:szCs w:val="24"/>
          <w:lang w:val="en-US"/>
        </w:rPr>
        <w:t>服务团队</w:t>
      </w:r>
      <w:r>
        <w:rPr>
          <w:rFonts w:hint="eastAsia" w:asciiTheme="minorEastAsia" w:hAnsiTheme="minorEastAsia" w:eastAsiaTheme="minorEastAsia" w:cstheme="minorEastAsia"/>
          <w:bCs w:val="0"/>
          <w:sz w:val="24"/>
          <w:szCs w:val="24"/>
        </w:rPr>
        <w:t>要求</w:t>
      </w:r>
      <w:bookmarkEnd w:id="18"/>
    </w:p>
    <w:bookmarkEnd w:id="19"/>
    <w:p w14:paraId="368C2BD7">
      <w:pPr>
        <w:snapToGrid w:val="0"/>
        <w:spacing w:line="360" w:lineRule="auto"/>
        <w:ind w:firstLine="472" w:firstLineChars="19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.1.能够为投保人组建专项的服务团队并为投保人实现长期高效、稳定服务。</w:t>
      </w:r>
    </w:p>
    <w:p w14:paraId="3DD92388">
      <w:pPr>
        <w:snapToGrid w:val="0"/>
        <w:spacing w:line="360" w:lineRule="auto"/>
        <w:ind w:firstLine="472" w:firstLineChars="19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.2.能够为投保人指定服务人员，并承诺定期上门服务，实现保险服务不出门；</w:t>
      </w:r>
    </w:p>
    <w:p w14:paraId="6B72C7F2">
      <w:pPr>
        <w:snapToGrid w:val="0"/>
        <w:spacing w:line="360" w:lineRule="auto"/>
        <w:ind w:firstLine="472" w:firstLineChars="197"/>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.3.能够为投保人提供2次以上的保险业务培训，进行承保指导。</w:t>
      </w:r>
    </w:p>
    <w:p w14:paraId="630AA821">
      <w:pPr>
        <w:snapToGrid w:val="0"/>
        <w:spacing w:line="360" w:lineRule="auto"/>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（二）商务需求</w:t>
      </w:r>
    </w:p>
    <w:p w14:paraId="07718143">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1、报价要求</w:t>
      </w:r>
    </w:p>
    <w:p w14:paraId="5005AD3D">
      <w:pPr>
        <w:spacing w:line="360" w:lineRule="auto"/>
        <w:ind w:firstLine="480" w:firstLineChars="200"/>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color w:val="000000"/>
          <w:sz w:val="24"/>
        </w:rPr>
        <w:t>▲</w:t>
      </w:r>
      <w:r>
        <w:rPr>
          <w:rFonts w:hint="eastAsia" w:asciiTheme="minorEastAsia" w:hAnsiTheme="minorEastAsia" w:eastAsiaTheme="minorEastAsia" w:cstheme="minorEastAsia"/>
          <w:b w:val="0"/>
          <w:bCs w:val="0"/>
          <w:sz w:val="24"/>
        </w:rPr>
        <w:t>1.</w:t>
      </w:r>
      <w:r>
        <w:rPr>
          <w:rFonts w:hint="eastAsia" w:asciiTheme="minorEastAsia" w:hAnsiTheme="minorEastAsia" w:eastAsiaTheme="minorEastAsia" w:cstheme="minorEastAsia"/>
          <w:b w:val="0"/>
          <w:bCs w:val="0"/>
          <w:sz w:val="24"/>
          <w:lang w:val="en-US" w:eastAsia="zh-CN"/>
        </w:rPr>
        <w:t>1</w:t>
      </w:r>
      <w:r>
        <w:rPr>
          <w:rFonts w:hint="eastAsia" w:asciiTheme="minorEastAsia" w:hAnsiTheme="minorEastAsia" w:eastAsiaTheme="minorEastAsia" w:cstheme="minorEastAsia"/>
          <w:b w:val="0"/>
          <w:bCs w:val="0"/>
          <w:sz w:val="24"/>
        </w:rPr>
        <w:t>供应商按照</w:t>
      </w:r>
      <w:r>
        <w:rPr>
          <w:rFonts w:hint="eastAsia" w:asciiTheme="minorEastAsia" w:hAnsiTheme="minorEastAsia" w:eastAsiaTheme="minorEastAsia" w:cstheme="minorEastAsia"/>
          <w:b w:val="0"/>
          <w:bCs w:val="0"/>
          <w:sz w:val="24"/>
          <w:lang w:val="en-US" w:eastAsia="zh-CN"/>
        </w:rPr>
        <w:t>暂定投保</w:t>
      </w:r>
      <w:r>
        <w:rPr>
          <w:rFonts w:hint="eastAsia" w:asciiTheme="minorEastAsia" w:hAnsiTheme="minorEastAsia" w:eastAsiaTheme="minorEastAsia" w:cstheme="minorEastAsia"/>
          <w:b w:val="0"/>
          <w:bCs w:val="0"/>
          <w:sz w:val="24"/>
        </w:rPr>
        <w:t>人数4000人进行投标报价</w:t>
      </w:r>
      <w:r>
        <w:rPr>
          <w:rFonts w:hint="eastAsia" w:asciiTheme="minorEastAsia" w:hAnsiTheme="minorEastAsia" w:eastAsiaTheme="minorEastAsia" w:cstheme="minorEastAsia"/>
          <w:b w:val="0"/>
          <w:bCs w:val="0"/>
          <w:sz w:val="24"/>
          <w:lang w:eastAsia="zh-CN"/>
        </w:rPr>
        <w:t>，保险费上限不超过300元／人／年</w:t>
      </w:r>
      <w:r>
        <w:rPr>
          <w:rFonts w:hint="eastAsia" w:asciiTheme="minorEastAsia" w:hAnsiTheme="minorEastAsia" w:eastAsiaTheme="minorEastAsia" w:cstheme="minorEastAsia"/>
          <w:b w:val="0"/>
          <w:bCs w:val="0"/>
          <w:sz w:val="24"/>
        </w:rPr>
        <w:t>。</w:t>
      </w:r>
    </w:p>
    <w:p w14:paraId="377F4F7F">
      <w:pPr>
        <w:spacing w:line="360" w:lineRule="auto"/>
        <w:ind w:firstLine="480" w:firstLineChars="200"/>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lang w:val="en-US" w:eastAsia="zh-CN"/>
        </w:rPr>
        <w:t>1.</w:t>
      </w:r>
      <w:r>
        <w:rPr>
          <w:rFonts w:hint="eastAsia" w:asciiTheme="minorEastAsia" w:hAnsiTheme="minorEastAsia" w:eastAsiaTheme="minorEastAsia" w:cstheme="minorEastAsia"/>
          <w:b w:val="0"/>
          <w:bCs w:val="0"/>
          <w:sz w:val="24"/>
        </w:rPr>
        <w:t>2.保险费包括并不限于因保险服务产生的保险费、人工费、办公费、差旅费、通讯费、管理费、利润、税金等与保险服务过程中所发生的一切费用。</w:t>
      </w:r>
    </w:p>
    <w:p w14:paraId="10AC65F9">
      <w:pPr>
        <w:spacing w:line="360" w:lineRule="auto"/>
        <w:ind w:firstLine="480" w:firstLineChars="200"/>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lang w:val="en-US" w:eastAsia="zh-CN"/>
        </w:rPr>
        <w:t>1.</w:t>
      </w:r>
      <w:r>
        <w:rPr>
          <w:rFonts w:hint="eastAsia" w:asciiTheme="minorEastAsia" w:hAnsiTheme="minorEastAsia" w:eastAsiaTheme="minorEastAsia" w:cstheme="minorEastAsia"/>
          <w:b w:val="0"/>
          <w:bCs w:val="0"/>
          <w:sz w:val="24"/>
        </w:rPr>
        <w:t>3.成交后，采购人按实际</w:t>
      </w:r>
      <w:r>
        <w:rPr>
          <w:rFonts w:hint="eastAsia" w:asciiTheme="minorEastAsia" w:hAnsiTheme="minorEastAsia" w:eastAsiaTheme="minorEastAsia" w:cstheme="minorEastAsia"/>
          <w:b w:val="0"/>
          <w:bCs w:val="0"/>
          <w:sz w:val="24"/>
          <w:lang w:val="en-US" w:eastAsia="zh-CN"/>
        </w:rPr>
        <w:t>投保</w:t>
      </w:r>
      <w:r>
        <w:rPr>
          <w:rFonts w:hint="eastAsia" w:asciiTheme="minorEastAsia" w:hAnsiTheme="minorEastAsia" w:eastAsiaTheme="minorEastAsia" w:cstheme="minorEastAsia"/>
          <w:b w:val="0"/>
          <w:bCs w:val="0"/>
          <w:sz w:val="24"/>
        </w:rPr>
        <w:t>人数乘以</w:t>
      </w:r>
      <w:r>
        <w:rPr>
          <w:rFonts w:hint="eastAsia" w:asciiTheme="minorEastAsia" w:hAnsiTheme="minorEastAsia" w:eastAsiaTheme="minorEastAsia" w:cstheme="minorEastAsia"/>
          <w:b w:val="0"/>
          <w:bCs w:val="0"/>
          <w:sz w:val="24"/>
          <w:lang w:val="en-US" w:eastAsia="zh-CN"/>
        </w:rPr>
        <w:t>投保</w:t>
      </w:r>
      <w:r>
        <w:rPr>
          <w:rFonts w:hint="eastAsia" w:asciiTheme="minorEastAsia" w:hAnsiTheme="minorEastAsia" w:eastAsiaTheme="minorEastAsia" w:cstheme="minorEastAsia"/>
          <w:b w:val="0"/>
          <w:bCs w:val="0"/>
          <w:sz w:val="24"/>
        </w:rPr>
        <w:t>保险费中标单价进行支付。</w:t>
      </w:r>
    </w:p>
    <w:p w14:paraId="54B4D914">
      <w:pPr>
        <w:spacing w:line="360" w:lineRule="auto"/>
        <w:ind w:firstLine="480" w:firstLineChars="200"/>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lang w:val="en-US" w:eastAsia="zh-CN"/>
        </w:rPr>
        <w:t>1.</w:t>
      </w:r>
      <w:r>
        <w:rPr>
          <w:rFonts w:hint="eastAsia" w:asciiTheme="minorEastAsia" w:hAnsiTheme="minorEastAsia" w:eastAsiaTheme="minorEastAsia" w:cstheme="minorEastAsia"/>
          <w:b w:val="0"/>
          <w:bCs w:val="0"/>
          <w:sz w:val="24"/>
        </w:rPr>
        <w:t>4.投保人员如中途发生变更或退保，保险公司按实收保费日费率扣除已了责任期间的保费后，应退还未了责任期的保险费用。</w:t>
      </w:r>
    </w:p>
    <w:p w14:paraId="5394BF4D">
      <w:pPr>
        <w:spacing w:line="360" w:lineRule="auto"/>
        <w:ind w:firstLine="480" w:firstLineChars="200"/>
        <w:rPr>
          <w:rFonts w:hint="eastAsia" w:asciiTheme="minorEastAsia" w:hAnsiTheme="minorEastAsia" w:eastAsiaTheme="minorEastAsia" w:cstheme="minorEastAsia"/>
          <w:b w:val="0"/>
          <w:bCs w:val="0"/>
          <w:sz w:val="24"/>
          <w:lang w:val="en-US" w:eastAsia="zh-CN"/>
        </w:rPr>
      </w:pPr>
      <w:r>
        <w:rPr>
          <w:rFonts w:hint="eastAsia" w:asciiTheme="minorEastAsia" w:hAnsiTheme="minorEastAsia" w:eastAsiaTheme="minorEastAsia" w:cstheme="minorEastAsia"/>
          <w:b w:val="0"/>
          <w:bCs w:val="0"/>
          <w:sz w:val="24"/>
          <w:lang w:val="en-US" w:eastAsia="zh-CN"/>
        </w:rPr>
        <w:t>2、服务期限：合同签订之日起两年。</w:t>
      </w:r>
    </w:p>
    <w:p w14:paraId="3BF84C00">
      <w:pPr>
        <w:spacing w:line="360" w:lineRule="auto"/>
        <w:ind w:firstLine="480" w:firstLineChars="200"/>
        <w:rPr>
          <w:rFonts w:hint="eastAsia" w:asciiTheme="minorEastAsia" w:hAnsiTheme="minorEastAsia" w:eastAsiaTheme="minorEastAsia" w:cstheme="minorEastAsia"/>
          <w:b w:val="0"/>
          <w:bCs w:val="0"/>
          <w:sz w:val="24"/>
          <w:lang w:val="en-US" w:eastAsia="zh-CN"/>
        </w:rPr>
      </w:pPr>
      <w:r>
        <w:rPr>
          <w:rFonts w:hint="eastAsia" w:asciiTheme="minorEastAsia" w:hAnsiTheme="minorEastAsia" w:eastAsiaTheme="minorEastAsia" w:cstheme="minorEastAsia"/>
          <w:b w:val="0"/>
          <w:bCs w:val="0"/>
          <w:sz w:val="24"/>
          <w:lang w:val="en-US" w:eastAsia="zh-CN"/>
        </w:rPr>
        <w:t>3、服务地点：采购人指定地点。</w:t>
      </w:r>
    </w:p>
    <w:p w14:paraId="15599CAA">
      <w:pPr>
        <w:spacing w:line="360" w:lineRule="auto"/>
        <w:ind w:firstLine="480" w:firstLineChars="200"/>
        <w:rPr>
          <w:rFonts w:hint="eastAsia" w:asciiTheme="minorEastAsia" w:hAnsiTheme="minorEastAsia" w:eastAsiaTheme="minorEastAsia" w:cstheme="minorEastAsia"/>
          <w:b w:val="0"/>
          <w:bCs w:val="0"/>
          <w:sz w:val="24"/>
          <w:lang w:eastAsia="zh-CN"/>
        </w:rPr>
      </w:pPr>
      <w:r>
        <w:rPr>
          <w:rFonts w:hint="eastAsia" w:asciiTheme="minorEastAsia" w:hAnsiTheme="minorEastAsia" w:eastAsiaTheme="minorEastAsia" w:cstheme="minorEastAsia"/>
          <w:b w:val="0"/>
          <w:bCs w:val="0"/>
          <w:sz w:val="24"/>
          <w:lang w:val="en-US" w:eastAsia="zh-CN"/>
        </w:rPr>
        <w:t>4</w:t>
      </w:r>
      <w:r>
        <w:rPr>
          <w:rFonts w:hint="eastAsia" w:asciiTheme="minorEastAsia" w:hAnsiTheme="minorEastAsia" w:eastAsiaTheme="minorEastAsia" w:cstheme="minorEastAsia"/>
          <w:b w:val="0"/>
          <w:bCs w:val="0"/>
          <w:sz w:val="24"/>
        </w:rPr>
        <w:t>.付款方式</w:t>
      </w:r>
      <w:r>
        <w:rPr>
          <w:rFonts w:hint="eastAsia" w:asciiTheme="minorEastAsia" w:hAnsiTheme="minorEastAsia" w:eastAsiaTheme="minorEastAsia" w:cstheme="minorEastAsia"/>
          <w:b w:val="0"/>
          <w:bCs w:val="0"/>
          <w:sz w:val="24"/>
          <w:lang w:eastAsia="zh-CN"/>
        </w:rPr>
        <w:t>：</w:t>
      </w:r>
      <w:r>
        <w:rPr>
          <w:rFonts w:hint="eastAsia" w:asciiTheme="minorEastAsia" w:hAnsiTheme="minorEastAsia" w:eastAsiaTheme="minorEastAsia" w:cstheme="minorEastAsia"/>
          <w:b w:val="0"/>
          <w:bCs w:val="0"/>
          <w:sz w:val="24"/>
          <w:lang w:val="en-US" w:eastAsia="zh-CN"/>
        </w:rPr>
        <w:t>签订合同后一次性支付当年度保费，保险公司生成保单，7日内送达采购方。</w:t>
      </w:r>
    </w:p>
    <w:p w14:paraId="6790331D">
      <w:pPr>
        <w:spacing w:line="360" w:lineRule="auto"/>
        <w:rPr>
          <w:rFonts w:ascii="宋体" w:hAnsi="宋体" w:cs="宋体"/>
          <w:sz w:val="24"/>
        </w:rPr>
      </w:pPr>
    </w:p>
    <w:p w14:paraId="1BB71275">
      <w:pPr>
        <w:spacing w:line="360" w:lineRule="auto"/>
        <w:rPr>
          <w:rFonts w:ascii="宋体" w:hAnsi="宋体" w:cs="宋体"/>
          <w:sz w:val="24"/>
        </w:rPr>
      </w:pPr>
      <w:r>
        <w:rPr>
          <w:rFonts w:hint="eastAsia" w:ascii="宋体" w:hAnsi="宋体" w:cs="宋体"/>
          <w:sz w:val="24"/>
        </w:rPr>
        <w:t>注：</w:t>
      </w:r>
    </w:p>
    <w:p w14:paraId="26B8E04E">
      <w:pPr>
        <w:spacing w:line="360" w:lineRule="auto"/>
        <w:ind w:firstLine="480" w:firstLineChars="200"/>
        <w:rPr>
          <w:rFonts w:ascii="宋体" w:hAnsi="宋体" w:cs="宋体"/>
          <w:sz w:val="24"/>
        </w:rPr>
      </w:pPr>
      <w:r>
        <w:rPr>
          <w:rFonts w:hint="eastAsia" w:ascii="宋体" w:hAnsi="宋体" w:cs="宋体"/>
          <w:sz w:val="24"/>
        </w:rPr>
        <w:t>1.除采购文件标注的参考品牌外，欢迎其它能满足本项目技术需求且性能与所注品牌相当的产品参与。</w:t>
      </w:r>
    </w:p>
    <w:p w14:paraId="3AC9CE9C">
      <w:pPr>
        <w:spacing w:line="360" w:lineRule="auto"/>
        <w:ind w:firstLine="480" w:firstLineChars="200"/>
        <w:rPr>
          <w:rFonts w:ascii="宋体" w:hAnsi="宋体" w:cs="宋体"/>
          <w:sz w:val="24"/>
        </w:rPr>
      </w:pPr>
      <w:r>
        <w:rPr>
          <w:rFonts w:hint="eastAsia" w:ascii="宋体" w:hAnsi="宋体" w:cs="宋体"/>
          <w:sz w:val="24"/>
        </w:rPr>
        <w:t>2.如有附图，仅作参考。</w:t>
      </w:r>
    </w:p>
    <w:p w14:paraId="4E7DE593">
      <w:pPr>
        <w:spacing w:line="360" w:lineRule="auto"/>
        <w:ind w:firstLine="480" w:firstLineChars="200"/>
        <w:rPr>
          <w:rFonts w:ascii="宋体" w:hAnsi="宋体" w:cs="宋体"/>
          <w:sz w:val="24"/>
        </w:rPr>
      </w:pPr>
      <w:r>
        <w:rPr>
          <w:rFonts w:hint="eastAsia" w:ascii="宋体" w:hAnsi="宋体" w:cs="宋体"/>
          <w:sz w:val="24"/>
        </w:rPr>
        <w:t>3.招标文件中打▲内容为实质性要求，不允许有负偏离，否则将以涉及无效投标条款作无效投标。</w:t>
      </w:r>
    </w:p>
    <w:p w14:paraId="26718B6A">
      <w:pPr>
        <w:spacing w:line="360" w:lineRule="auto"/>
        <w:ind w:firstLine="480" w:firstLineChars="200"/>
        <w:rPr>
          <w:rFonts w:ascii="仿宋" w:hAnsi="仿宋" w:eastAsia="仿宋" w:cs="仿宋_GB2312"/>
          <w:b/>
          <w:i/>
          <w:sz w:val="22"/>
          <w:szCs w:val="36"/>
        </w:rPr>
      </w:pPr>
      <w:r>
        <w:rPr>
          <w:rFonts w:hint="eastAsia" w:ascii="宋体" w:hAnsi="宋体" w:cs="宋体"/>
          <w:sz w:val="24"/>
        </w:rPr>
        <w:t>4、中标供应商所提供的货物、服务须与投标承诺一致，不得以次充好、偷工减料，若在项目验收中发现有上述情况，将向有关部门举报，根据相关规定进行处理。</w:t>
      </w:r>
    </w:p>
    <w:p w14:paraId="276B29EA">
      <w:pPr>
        <w:snapToGrid w:val="0"/>
        <w:spacing w:line="360" w:lineRule="auto"/>
        <w:ind w:firstLine="482" w:firstLineChars="200"/>
        <w:rPr>
          <w:rFonts w:ascii="宋体" w:hAnsi="宋体" w:cs="宋体"/>
          <w:b/>
          <w:bCs/>
          <w:sz w:val="24"/>
        </w:rPr>
      </w:pPr>
    </w:p>
    <w:p w14:paraId="238CFB9C">
      <w:pPr>
        <w:snapToGrid w:val="0"/>
        <w:spacing w:line="360" w:lineRule="auto"/>
        <w:rPr>
          <w:rFonts w:ascii="宋体" w:hAnsi="宋体" w:cs="宋体"/>
          <w:sz w:val="24"/>
        </w:rPr>
      </w:pPr>
      <w:r>
        <w:rPr>
          <w:rFonts w:hint="eastAsia" w:ascii="宋体" w:hAnsi="宋体" w:cs="宋体"/>
          <w:sz w:val="24"/>
        </w:rPr>
        <w:t xml:space="preserve">  </w:t>
      </w:r>
    </w:p>
    <w:p w14:paraId="54F95F59">
      <w:pPr>
        <w:pStyle w:val="25"/>
        <w:rPr>
          <w:rFonts w:hAnsi="宋体" w:cs="宋体"/>
          <w:lang w:val="en-US"/>
        </w:rPr>
      </w:pPr>
    </w:p>
    <w:p w14:paraId="67AC9EE4">
      <w:pPr>
        <w:rPr>
          <w:rFonts w:ascii="宋体" w:hAnsi="宋体" w:cs="宋体"/>
          <w:sz w:val="24"/>
        </w:rPr>
      </w:pPr>
    </w:p>
    <w:p w14:paraId="75BF617D">
      <w:pPr>
        <w:spacing w:line="360" w:lineRule="auto"/>
        <w:jc w:val="center"/>
        <w:rPr>
          <w:rFonts w:hint="eastAsia" w:ascii="宋体" w:hAnsi="宋体" w:cs="宋体"/>
          <w:b/>
          <w:color w:val="000000" w:themeColor="text1"/>
          <w:sz w:val="36"/>
          <w:szCs w:val="36"/>
          <w14:textFill>
            <w14:solidFill>
              <w14:schemeClr w14:val="tx1"/>
            </w14:solidFill>
          </w14:textFill>
        </w:rPr>
      </w:pPr>
    </w:p>
    <w:p w14:paraId="3A08C155">
      <w:pPr>
        <w:pStyle w:val="5"/>
        <w:rPr>
          <w:rFonts w:hint="eastAsia" w:ascii="宋体" w:hAnsi="宋体" w:cs="宋体"/>
          <w:b/>
          <w:color w:val="000000" w:themeColor="text1"/>
          <w:sz w:val="36"/>
          <w:szCs w:val="36"/>
          <w14:textFill>
            <w14:solidFill>
              <w14:schemeClr w14:val="tx1"/>
            </w14:solidFill>
          </w14:textFill>
        </w:rPr>
      </w:pPr>
    </w:p>
    <w:p w14:paraId="5DBE0755">
      <w:pPr>
        <w:rPr>
          <w:rFonts w:hint="eastAsia" w:ascii="宋体" w:hAnsi="宋体" w:cs="宋体"/>
          <w:b/>
          <w:color w:val="000000" w:themeColor="text1"/>
          <w:sz w:val="36"/>
          <w:szCs w:val="36"/>
          <w14:textFill>
            <w14:solidFill>
              <w14:schemeClr w14:val="tx1"/>
            </w14:solidFill>
          </w14:textFill>
        </w:rPr>
      </w:pPr>
    </w:p>
    <w:p w14:paraId="23D1CC8E">
      <w:pPr>
        <w:pStyle w:val="5"/>
        <w:rPr>
          <w:rFonts w:hint="eastAsia" w:ascii="宋体" w:hAnsi="宋体" w:cs="宋体"/>
          <w:b/>
          <w:color w:val="000000" w:themeColor="text1"/>
          <w:sz w:val="36"/>
          <w:szCs w:val="36"/>
          <w14:textFill>
            <w14:solidFill>
              <w14:schemeClr w14:val="tx1"/>
            </w14:solidFill>
          </w14:textFill>
        </w:rPr>
      </w:pPr>
    </w:p>
    <w:p w14:paraId="05403A7B">
      <w:pPr>
        <w:rPr>
          <w:rFonts w:hint="eastAsia" w:ascii="宋体" w:hAnsi="宋体" w:cs="宋体"/>
          <w:b/>
          <w:color w:val="000000" w:themeColor="text1"/>
          <w:sz w:val="36"/>
          <w:szCs w:val="36"/>
          <w14:textFill>
            <w14:solidFill>
              <w14:schemeClr w14:val="tx1"/>
            </w14:solidFill>
          </w14:textFill>
        </w:rPr>
      </w:pPr>
    </w:p>
    <w:p w14:paraId="4ACBAF0D">
      <w:pPr>
        <w:pStyle w:val="5"/>
        <w:rPr>
          <w:rFonts w:hint="eastAsia" w:ascii="宋体" w:hAnsi="宋体" w:cs="宋体"/>
          <w:b/>
          <w:color w:val="000000" w:themeColor="text1"/>
          <w:sz w:val="36"/>
          <w:szCs w:val="36"/>
          <w14:textFill>
            <w14:solidFill>
              <w14:schemeClr w14:val="tx1"/>
            </w14:solidFill>
          </w14:textFill>
        </w:rPr>
      </w:pPr>
    </w:p>
    <w:p w14:paraId="7C131014">
      <w:pPr>
        <w:rPr>
          <w:rFonts w:hint="eastAsia" w:ascii="宋体" w:hAnsi="宋体" w:cs="宋体"/>
          <w:b/>
          <w:color w:val="000000" w:themeColor="text1"/>
          <w:sz w:val="36"/>
          <w:szCs w:val="36"/>
          <w14:textFill>
            <w14:solidFill>
              <w14:schemeClr w14:val="tx1"/>
            </w14:solidFill>
          </w14:textFill>
        </w:rPr>
      </w:pPr>
    </w:p>
    <w:p w14:paraId="020EB5D2">
      <w:pPr>
        <w:pStyle w:val="5"/>
        <w:rPr>
          <w:rFonts w:hint="eastAsia" w:ascii="宋体" w:hAnsi="宋体" w:cs="宋体"/>
          <w:b/>
          <w:color w:val="000000" w:themeColor="text1"/>
          <w:sz w:val="36"/>
          <w:szCs w:val="36"/>
          <w14:textFill>
            <w14:solidFill>
              <w14:schemeClr w14:val="tx1"/>
            </w14:solidFill>
          </w14:textFill>
        </w:rPr>
      </w:pPr>
    </w:p>
    <w:p w14:paraId="59DA9F59">
      <w:pPr>
        <w:rPr>
          <w:rFonts w:hint="eastAsia" w:ascii="宋体" w:hAnsi="宋体" w:cs="宋体"/>
          <w:b/>
          <w:color w:val="000000" w:themeColor="text1"/>
          <w:sz w:val="36"/>
          <w:szCs w:val="36"/>
          <w14:textFill>
            <w14:solidFill>
              <w14:schemeClr w14:val="tx1"/>
            </w14:solidFill>
          </w14:textFill>
        </w:rPr>
      </w:pPr>
    </w:p>
    <w:p w14:paraId="77375A48">
      <w:pPr>
        <w:pStyle w:val="5"/>
        <w:rPr>
          <w:rFonts w:hint="eastAsia" w:ascii="宋体" w:hAnsi="宋体" w:cs="宋体"/>
          <w:b/>
          <w:color w:val="000000" w:themeColor="text1"/>
          <w:sz w:val="36"/>
          <w:szCs w:val="36"/>
          <w14:textFill>
            <w14:solidFill>
              <w14:schemeClr w14:val="tx1"/>
            </w14:solidFill>
          </w14:textFill>
        </w:rPr>
      </w:pPr>
    </w:p>
    <w:p w14:paraId="51B2C911">
      <w:pPr>
        <w:rPr>
          <w:rFonts w:hint="eastAsia" w:ascii="宋体" w:hAnsi="宋体" w:cs="宋体"/>
          <w:b/>
          <w:color w:val="000000" w:themeColor="text1"/>
          <w:sz w:val="36"/>
          <w:szCs w:val="36"/>
          <w14:textFill>
            <w14:solidFill>
              <w14:schemeClr w14:val="tx1"/>
            </w14:solidFill>
          </w14:textFill>
        </w:rPr>
      </w:pPr>
    </w:p>
    <w:p w14:paraId="43CB33A7">
      <w:pPr>
        <w:pStyle w:val="5"/>
        <w:rPr>
          <w:rFonts w:hint="eastAsia" w:ascii="宋体" w:hAnsi="宋体" w:cs="宋体"/>
          <w:b/>
          <w:color w:val="000000" w:themeColor="text1"/>
          <w:sz w:val="36"/>
          <w:szCs w:val="36"/>
          <w14:textFill>
            <w14:solidFill>
              <w14:schemeClr w14:val="tx1"/>
            </w14:solidFill>
          </w14:textFill>
        </w:rPr>
      </w:pPr>
    </w:p>
    <w:p w14:paraId="32C230F4">
      <w:pPr>
        <w:rPr>
          <w:rFonts w:hint="eastAsia" w:ascii="宋体" w:hAnsi="宋体" w:cs="宋体"/>
          <w:b/>
          <w:color w:val="000000" w:themeColor="text1"/>
          <w:sz w:val="36"/>
          <w:szCs w:val="36"/>
          <w14:textFill>
            <w14:solidFill>
              <w14:schemeClr w14:val="tx1"/>
            </w14:solidFill>
          </w14:textFill>
        </w:rPr>
      </w:pPr>
    </w:p>
    <w:p w14:paraId="10E105F4">
      <w:pPr>
        <w:pStyle w:val="5"/>
        <w:rPr>
          <w:rFonts w:hint="eastAsia" w:ascii="宋体" w:hAnsi="宋体" w:cs="宋体"/>
          <w:b/>
          <w:color w:val="000000" w:themeColor="text1"/>
          <w:sz w:val="36"/>
          <w:szCs w:val="36"/>
          <w14:textFill>
            <w14:solidFill>
              <w14:schemeClr w14:val="tx1"/>
            </w14:solidFill>
          </w14:textFill>
        </w:rPr>
      </w:pPr>
    </w:p>
    <w:p w14:paraId="5FA242E2">
      <w:pPr>
        <w:rPr>
          <w:rFonts w:hint="eastAsia" w:ascii="宋体" w:hAnsi="宋体" w:cs="宋体"/>
          <w:b/>
          <w:color w:val="000000" w:themeColor="text1"/>
          <w:sz w:val="36"/>
          <w:szCs w:val="36"/>
          <w14:textFill>
            <w14:solidFill>
              <w14:schemeClr w14:val="tx1"/>
            </w14:solidFill>
          </w14:textFill>
        </w:rPr>
      </w:pPr>
    </w:p>
    <w:p w14:paraId="0154A8DA">
      <w:pPr>
        <w:pStyle w:val="5"/>
        <w:rPr>
          <w:rFonts w:hint="eastAsia" w:ascii="宋体" w:hAnsi="宋体" w:cs="宋体"/>
          <w:b/>
          <w:color w:val="000000" w:themeColor="text1"/>
          <w:sz w:val="36"/>
          <w:szCs w:val="36"/>
          <w14:textFill>
            <w14:solidFill>
              <w14:schemeClr w14:val="tx1"/>
            </w14:solidFill>
          </w14:textFill>
        </w:rPr>
      </w:pPr>
    </w:p>
    <w:p w14:paraId="12ABEA96">
      <w:pPr>
        <w:rPr>
          <w:rFonts w:hint="eastAsia" w:ascii="宋体" w:hAnsi="宋体" w:cs="宋体"/>
          <w:b/>
          <w:color w:val="000000" w:themeColor="text1"/>
          <w:sz w:val="36"/>
          <w:szCs w:val="36"/>
          <w14:textFill>
            <w14:solidFill>
              <w14:schemeClr w14:val="tx1"/>
            </w14:solidFill>
          </w14:textFill>
        </w:rPr>
      </w:pPr>
    </w:p>
    <w:p w14:paraId="138E0388">
      <w:pPr>
        <w:spacing w:line="360" w:lineRule="auto"/>
        <w:jc w:val="center"/>
        <w:rPr>
          <w:rFonts w:hint="eastAsia" w:ascii="宋体" w:hAnsi="宋体" w:cs="宋体"/>
          <w:b/>
          <w:color w:val="000000" w:themeColor="text1"/>
          <w:sz w:val="36"/>
          <w:szCs w:val="36"/>
          <w14:textFill>
            <w14:solidFill>
              <w14:schemeClr w14:val="tx1"/>
            </w14:solidFill>
          </w14:textFill>
        </w:rPr>
      </w:pPr>
    </w:p>
    <w:p w14:paraId="6DE65827">
      <w:pPr>
        <w:spacing w:line="36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 xml:space="preserve">第四部分   </w:t>
      </w:r>
      <w:bookmarkStart w:id="20" w:name="_Toc184313264"/>
      <w:bookmarkEnd w:id="20"/>
      <w:bookmarkStart w:id="21" w:name="_Toc184313296"/>
      <w:bookmarkEnd w:id="21"/>
      <w:bookmarkStart w:id="22" w:name="_Toc184312116"/>
      <w:bookmarkEnd w:id="22"/>
      <w:bookmarkStart w:id="23" w:name="_Toc184312068"/>
      <w:bookmarkEnd w:id="23"/>
      <w:bookmarkStart w:id="24" w:name="_Toc184310313"/>
      <w:bookmarkEnd w:id="24"/>
      <w:bookmarkStart w:id="25" w:name="_Toc184312080"/>
      <w:bookmarkEnd w:id="25"/>
      <w:bookmarkStart w:id="26" w:name="_Toc184314458"/>
      <w:bookmarkEnd w:id="26"/>
      <w:bookmarkStart w:id="27" w:name="_Toc184313259"/>
      <w:bookmarkEnd w:id="27"/>
      <w:bookmarkStart w:id="28" w:name="_Toc184313252"/>
      <w:bookmarkEnd w:id="28"/>
      <w:bookmarkStart w:id="29" w:name="_Toc184314412"/>
      <w:bookmarkEnd w:id="29"/>
      <w:bookmarkStart w:id="30" w:name="_Toc184314438"/>
      <w:bookmarkEnd w:id="30"/>
      <w:bookmarkStart w:id="31" w:name="_Toc184314422"/>
      <w:bookmarkEnd w:id="31"/>
      <w:bookmarkStart w:id="32" w:name="_Toc184308054"/>
      <w:bookmarkEnd w:id="32"/>
      <w:bookmarkStart w:id="33" w:name="_Toc184310294"/>
      <w:bookmarkEnd w:id="33"/>
      <w:bookmarkStart w:id="34" w:name="_Toc184313309"/>
      <w:bookmarkEnd w:id="34"/>
      <w:bookmarkStart w:id="35" w:name="_Toc184312111"/>
      <w:bookmarkEnd w:id="35"/>
      <w:bookmarkStart w:id="36" w:name="_Toc184314428"/>
      <w:bookmarkEnd w:id="36"/>
      <w:bookmarkStart w:id="37" w:name="_Toc184312095"/>
      <w:bookmarkEnd w:id="37"/>
      <w:bookmarkStart w:id="38" w:name="_Toc184310276"/>
      <w:bookmarkEnd w:id="38"/>
      <w:bookmarkStart w:id="39" w:name="_Toc184313306"/>
      <w:bookmarkEnd w:id="39"/>
      <w:bookmarkStart w:id="40" w:name="_Toc184308108"/>
      <w:bookmarkEnd w:id="40"/>
      <w:bookmarkStart w:id="41" w:name="_Toc184312088"/>
      <w:bookmarkEnd w:id="41"/>
      <w:bookmarkStart w:id="42" w:name="_Toc184308083"/>
      <w:bookmarkEnd w:id="42"/>
      <w:bookmarkStart w:id="43" w:name="_Toc184310309"/>
      <w:bookmarkEnd w:id="43"/>
      <w:bookmarkStart w:id="44" w:name="_Toc184313248"/>
      <w:bookmarkEnd w:id="44"/>
      <w:bookmarkStart w:id="45" w:name="_Toc184312112"/>
      <w:bookmarkEnd w:id="45"/>
      <w:bookmarkStart w:id="46" w:name="_Toc184314440"/>
      <w:bookmarkEnd w:id="46"/>
      <w:bookmarkStart w:id="47" w:name="_Toc184314425"/>
      <w:bookmarkEnd w:id="47"/>
      <w:bookmarkStart w:id="48" w:name="_Toc184313290"/>
      <w:bookmarkEnd w:id="48"/>
      <w:bookmarkStart w:id="49" w:name="_Toc184308048"/>
      <w:bookmarkEnd w:id="49"/>
      <w:bookmarkStart w:id="50" w:name="_Toc184308057"/>
      <w:bookmarkEnd w:id="50"/>
      <w:bookmarkStart w:id="51" w:name="_Toc184308076"/>
      <w:bookmarkEnd w:id="51"/>
      <w:bookmarkStart w:id="52" w:name="_Toc184312089"/>
      <w:bookmarkEnd w:id="52"/>
      <w:bookmarkStart w:id="53" w:name="_Toc184308043"/>
      <w:bookmarkEnd w:id="53"/>
      <w:bookmarkStart w:id="54" w:name="_Toc184310311"/>
      <w:bookmarkEnd w:id="54"/>
      <w:bookmarkStart w:id="55" w:name="_Toc184310318"/>
      <w:bookmarkEnd w:id="55"/>
      <w:bookmarkStart w:id="56" w:name="_Toc184312114"/>
      <w:bookmarkEnd w:id="56"/>
      <w:bookmarkStart w:id="57" w:name="_Toc184314427"/>
      <w:bookmarkEnd w:id="57"/>
      <w:bookmarkStart w:id="58" w:name="_Toc184314478"/>
      <w:bookmarkEnd w:id="58"/>
      <w:bookmarkStart w:id="59" w:name="_Toc184312136"/>
      <w:bookmarkEnd w:id="59"/>
      <w:bookmarkStart w:id="60" w:name="_Toc184308106"/>
      <w:bookmarkEnd w:id="60"/>
      <w:bookmarkStart w:id="61" w:name="_Toc184310344"/>
      <w:bookmarkEnd w:id="61"/>
      <w:bookmarkStart w:id="62" w:name="_Toc184312072"/>
      <w:bookmarkEnd w:id="62"/>
      <w:bookmarkStart w:id="63" w:name="_Toc184312075"/>
      <w:bookmarkEnd w:id="63"/>
      <w:bookmarkStart w:id="64" w:name="_Toc184312139"/>
      <w:bookmarkEnd w:id="64"/>
      <w:bookmarkStart w:id="65" w:name="_Toc184314461"/>
      <w:bookmarkEnd w:id="65"/>
      <w:bookmarkStart w:id="66" w:name="_Toc184308095"/>
      <w:bookmarkEnd w:id="66"/>
      <w:bookmarkStart w:id="67" w:name="_Toc184312130"/>
      <w:bookmarkEnd w:id="67"/>
      <w:bookmarkStart w:id="68" w:name="_Toc184308078"/>
      <w:bookmarkEnd w:id="68"/>
      <w:bookmarkStart w:id="69" w:name="_Toc184313240"/>
      <w:bookmarkEnd w:id="69"/>
      <w:bookmarkStart w:id="70" w:name="_Toc184308068"/>
      <w:bookmarkEnd w:id="70"/>
      <w:bookmarkStart w:id="71" w:name="_Toc184314433"/>
      <w:bookmarkEnd w:id="71"/>
      <w:bookmarkStart w:id="72" w:name="_Toc184310334"/>
      <w:bookmarkEnd w:id="72"/>
      <w:bookmarkStart w:id="73" w:name="_Toc184313261"/>
      <w:bookmarkEnd w:id="73"/>
      <w:bookmarkStart w:id="74" w:name="_Toc184310289"/>
      <w:bookmarkEnd w:id="74"/>
      <w:bookmarkStart w:id="75" w:name="_Toc184313250"/>
      <w:bookmarkEnd w:id="75"/>
      <w:bookmarkStart w:id="76" w:name="_Toc184313310"/>
      <w:bookmarkEnd w:id="76"/>
      <w:bookmarkStart w:id="77" w:name="_Toc184308051"/>
      <w:bookmarkEnd w:id="77"/>
      <w:bookmarkStart w:id="78" w:name="_Toc184313291"/>
      <w:bookmarkEnd w:id="78"/>
      <w:bookmarkStart w:id="79" w:name="_Toc184313238"/>
      <w:bookmarkEnd w:id="79"/>
      <w:bookmarkStart w:id="80" w:name="_Toc184310282"/>
      <w:bookmarkEnd w:id="80"/>
      <w:bookmarkStart w:id="81" w:name="_Toc184314473"/>
      <w:bookmarkEnd w:id="81"/>
      <w:bookmarkStart w:id="82" w:name="_Toc184314465"/>
      <w:bookmarkEnd w:id="82"/>
      <w:bookmarkStart w:id="83" w:name="_Toc184308045"/>
      <w:bookmarkEnd w:id="83"/>
      <w:bookmarkStart w:id="84" w:name="_Toc184308040"/>
      <w:bookmarkEnd w:id="84"/>
      <w:bookmarkStart w:id="85" w:name="_Toc184313272"/>
      <w:bookmarkEnd w:id="85"/>
      <w:bookmarkStart w:id="86" w:name="_Toc184312096"/>
      <w:bookmarkEnd w:id="86"/>
      <w:bookmarkStart w:id="87" w:name="_Toc184312071"/>
      <w:bookmarkEnd w:id="87"/>
      <w:bookmarkStart w:id="88" w:name="_Toc184310280"/>
      <w:bookmarkEnd w:id="88"/>
      <w:bookmarkStart w:id="89" w:name="_Toc184314410"/>
      <w:bookmarkEnd w:id="89"/>
      <w:bookmarkStart w:id="90" w:name="_Toc184314436"/>
      <w:bookmarkEnd w:id="90"/>
      <w:bookmarkStart w:id="91" w:name="_Toc184313299"/>
      <w:bookmarkEnd w:id="91"/>
      <w:bookmarkStart w:id="92" w:name="_Toc184314431"/>
      <w:bookmarkEnd w:id="92"/>
      <w:bookmarkStart w:id="93" w:name="_Toc184314432"/>
      <w:bookmarkEnd w:id="93"/>
      <w:bookmarkStart w:id="94" w:name="_Toc184310297"/>
      <w:bookmarkEnd w:id="94"/>
      <w:bookmarkStart w:id="95" w:name="_Toc184313284"/>
      <w:bookmarkEnd w:id="95"/>
      <w:bookmarkStart w:id="96" w:name="_Toc184308039"/>
      <w:bookmarkEnd w:id="96"/>
      <w:bookmarkStart w:id="97" w:name="_Toc184308094"/>
      <w:bookmarkEnd w:id="97"/>
      <w:bookmarkStart w:id="98" w:name="_Toc184313262"/>
      <w:bookmarkEnd w:id="98"/>
      <w:bookmarkStart w:id="99" w:name="_Toc184313303"/>
      <w:bookmarkEnd w:id="99"/>
      <w:bookmarkStart w:id="100" w:name="_Toc184313251"/>
      <w:bookmarkEnd w:id="100"/>
      <w:bookmarkStart w:id="101" w:name="_Toc184313280"/>
      <w:bookmarkEnd w:id="101"/>
      <w:bookmarkStart w:id="102" w:name="_Toc184312097"/>
      <w:bookmarkEnd w:id="102"/>
      <w:bookmarkStart w:id="103" w:name="_Toc184313292"/>
      <w:bookmarkEnd w:id="103"/>
      <w:bookmarkStart w:id="104" w:name="_Toc184308055"/>
      <w:bookmarkEnd w:id="104"/>
      <w:bookmarkStart w:id="105" w:name="_Toc184312069"/>
      <w:bookmarkEnd w:id="105"/>
      <w:bookmarkStart w:id="106" w:name="_Toc184313283"/>
      <w:bookmarkEnd w:id="106"/>
      <w:bookmarkStart w:id="107" w:name="_Toc184314446"/>
      <w:bookmarkEnd w:id="107"/>
      <w:bookmarkStart w:id="108" w:name="_Toc184308105"/>
      <w:bookmarkEnd w:id="108"/>
      <w:bookmarkStart w:id="109" w:name="_Toc184312125"/>
      <w:bookmarkEnd w:id="109"/>
      <w:bookmarkStart w:id="110" w:name="_Toc184313242"/>
      <w:bookmarkEnd w:id="110"/>
      <w:bookmarkStart w:id="111" w:name="_Toc184312122"/>
      <w:bookmarkEnd w:id="111"/>
      <w:bookmarkStart w:id="112" w:name="_Toc184308071"/>
      <w:bookmarkEnd w:id="112"/>
      <w:bookmarkStart w:id="113" w:name="_Toc184308063"/>
      <w:bookmarkEnd w:id="113"/>
      <w:bookmarkStart w:id="114" w:name="_Toc184308084"/>
      <w:bookmarkEnd w:id="114"/>
      <w:bookmarkStart w:id="115" w:name="_Toc184310296"/>
      <w:bookmarkEnd w:id="115"/>
      <w:bookmarkStart w:id="116" w:name="_Toc184312093"/>
      <w:bookmarkEnd w:id="116"/>
      <w:bookmarkStart w:id="117" w:name="_Toc184312135"/>
      <w:bookmarkEnd w:id="117"/>
      <w:bookmarkStart w:id="118" w:name="_Toc184312105"/>
      <w:bookmarkEnd w:id="118"/>
      <w:bookmarkStart w:id="119" w:name="_Toc184314468"/>
      <w:bookmarkEnd w:id="119"/>
      <w:bookmarkStart w:id="120" w:name="_Toc184310273"/>
      <w:bookmarkEnd w:id="120"/>
      <w:bookmarkStart w:id="121" w:name="_Toc184312098"/>
      <w:bookmarkEnd w:id="121"/>
      <w:bookmarkStart w:id="122" w:name="_Toc184308089"/>
      <w:bookmarkEnd w:id="122"/>
      <w:bookmarkStart w:id="123" w:name="_Toc184312084"/>
      <w:bookmarkEnd w:id="123"/>
      <w:bookmarkStart w:id="124" w:name="_Toc184312104"/>
      <w:bookmarkEnd w:id="124"/>
      <w:bookmarkStart w:id="125" w:name="_Toc184313294"/>
      <w:bookmarkEnd w:id="125"/>
      <w:bookmarkStart w:id="126" w:name="_Toc184308060"/>
      <w:bookmarkEnd w:id="126"/>
      <w:bookmarkStart w:id="127" w:name="_Toc184310340"/>
      <w:bookmarkEnd w:id="127"/>
      <w:bookmarkStart w:id="128" w:name="_Toc184308059"/>
      <w:bookmarkEnd w:id="128"/>
      <w:bookmarkStart w:id="129" w:name="_Toc184313258"/>
      <w:bookmarkEnd w:id="129"/>
      <w:bookmarkStart w:id="130" w:name="_Toc184308072"/>
      <w:bookmarkEnd w:id="130"/>
      <w:bookmarkStart w:id="131" w:name="_Toc184314426"/>
      <w:bookmarkEnd w:id="131"/>
      <w:bookmarkStart w:id="132" w:name="_Toc184308042"/>
      <w:bookmarkEnd w:id="132"/>
      <w:bookmarkStart w:id="133" w:name="_Toc184314454"/>
      <w:bookmarkEnd w:id="133"/>
      <w:bookmarkStart w:id="134" w:name="_Toc184310331"/>
      <w:bookmarkEnd w:id="134"/>
      <w:bookmarkStart w:id="135" w:name="_Toc184310326"/>
      <w:bookmarkEnd w:id="135"/>
      <w:bookmarkStart w:id="136" w:name="_Toc184314455"/>
      <w:bookmarkEnd w:id="136"/>
      <w:bookmarkStart w:id="137" w:name="_Toc184310275"/>
      <w:bookmarkEnd w:id="137"/>
      <w:bookmarkStart w:id="138" w:name="_Toc184314471"/>
      <w:bookmarkEnd w:id="138"/>
      <w:bookmarkStart w:id="139" w:name="_Toc184312070"/>
      <w:bookmarkEnd w:id="139"/>
      <w:bookmarkStart w:id="140" w:name="_Toc184310283"/>
      <w:bookmarkEnd w:id="140"/>
      <w:bookmarkStart w:id="141" w:name="_Toc184312134"/>
      <w:bookmarkEnd w:id="141"/>
      <w:bookmarkStart w:id="142" w:name="_Toc184308036"/>
      <w:bookmarkEnd w:id="142"/>
      <w:bookmarkStart w:id="143" w:name="_Toc184312102"/>
      <w:bookmarkEnd w:id="143"/>
      <w:bookmarkStart w:id="144" w:name="_Toc184313254"/>
      <w:bookmarkEnd w:id="144"/>
      <w:bookmarkStart w:id="145" w:name="_Toc184308079"/>
      <w:bookmarkEnd w:id="145"/>
      <w:bookmarkStart w:id="146" w:name="_Toc184310330"/>
      <w:bookmarkEnd w:id="146"/>
      <w:bookmarkStart w:id="147" w:name="_Toc184308037"/>
      <w:bookmarkEnd w:id="147"/>
      <w:bookmarkStart w:id="148" w:name="_Toc184312138"/>
      <w:bookmarkEnd w:id="148"/>
      <w:bookmarkStart w:id="149" w:name="_Toc184314474"/>
      <w:bookmarkEnd w:id="149"/>
      <w:bookmarkStart w:id="150" w:name="_Toc184313279"/>
      <w:bookmarkEnd w:id="150"/>
      <w:bookmarkStart w:id="151" w:name="_Toc184312118"/>
      <w:bookmarkEnd w:id="151"/>
      <w:bookmarkStart w:id="152" w:name="_Toc184312094"/>
      <w:bookmarkEnd w:id="152"/>
      <w:bookmarkStart w:id="153" w:name="_Toc184314451"/>
      <w:bookmarkEnd w:id="153"/>
      <w:bookmarkStart w:id="154" w:name="_Toc184308074"/>
      <w:bookmarkEnd w:id="154"/>
      <w:bookmarkStart w:id="155" w:name="_Toc184313266"/>
      <w:bookmarkEnd w:id="155"/>
      <w:bookmarkStart w:id="156" w:name="_Toc184312129"/>
      <w:bookmarkEnd w:id="156"/>
      <w:bookmarkStart w:id="157" w:name="_Toc184313281"/>
      <w:bookmarkEnd w:id="157"/>
      <w:bookmarkStart w:id="158" w:name="_Toc184313269"/>
      <w:bookmarkEnd w:id="158"/>
      <w:bookmarkStart w:id="159" w:name="_Toc184308058"/>
      <w:bookmarkEnd w:id="159"/>
      <w:bookmarkStart w:id="160" w:name="_Toc184312081"/>
      <w:bookmarkEnd w:id="160"/>
      <w:bookmarkStart w:id="161" w:name="_Toc184310335"/>
      <w:bookmarkEnd w:id="161"/>
      <w:bookmarkStart w:id="162" w:name="_Toc184314448"/>
      <w:bookmarkEnd w:id="162"/>
      <w:bookmarkStart w:id="163" w:name="_Toc184310304"/>
      <w:bookmarkEnd w:id="163"/>
      <w:bookmarkStart w:id="164" w:name="_Toc184314449"/>
      <w:bookmarkEnd w:id="164"/>
      <w:bookmarkStart w:id="165" w:name="_Toc184314420"/>
      <w:bookmarkEnd w:id="165"/>
      <w:bookmarkStart w:id="166" w:name="_Toc184312083"/>
      <w:bookmarkEnd w:id="166"/>
      <w:bookmarkStart w:id="167" w:name="_Toc184314418"/>
      <w:bookmarkEnd w:id="167"/>
      <w:bookmarkStart w:id="168" w:name="_Toc184310337"/>
      <w:bookmarkEnd w:id="168"/>
      <w:bookmarkStart w:id="169" w:name="_Toc184308070"/>
      <w:bookmarkEnd w:id="169"/>
      <w:bookmarkStart w:id="170" w:name="_Toc184308092"/>
      <w:bookmarkEnd w:id="170"/>
      <w:bookmarkStart w:id="171" w:name="_Toc184310343"/>
      <w:bookmarkEnd w:id="171"/>
      <w:bookmarkStart w:id="172" w:name="_Toc184308038"/>
      <w:bookmarkEnd w:id="172"/>
      <w:bookmarkStart w:id="173" w:name="_Toc184310303"/>
      <w:bookmarkEnd w:id="173"/>
      <w:bookmarkStart w:id="174" w:name="_Toc184310314"/>
      <w:bookmarkEnd w:id="174"/>
      <w:bookmarkStart w:id="175" w:name="_Toc184308101"/>
      <w:bookmarkEnd w:id="175"/>
      <w:bookmarkStart w:id="176" w:name="_Toc184308047"/>
      <w:bookmarkEnd w:id="176"/>
      <w:bookmarkStart w:id="177" w:name="_Toc184308096"/>
      <w:bookmarkEnd w:id="177"/>
      <w:bookmarkStart w:id="178" w:name="_Toc184313307"/>
      <w:bookmarkEnd w:id="178"/>
      <w:bookmarkStart w:id="179" w:name="_Toc184308103"/>
      <w:bookmarkEnd w:id="179"/>
      <w:bookmarkStart w:id="180" w:name="_Toc184310292"/>
      <w:bookmarkEnd w:id="180"/>
      <w:bookmarkStart w:id="181" w:name="_Toc184313301"/>
      <w:bookmarkEnd w:id="181"/>
      <w:bookmarkStart w:id="182" w:name="_Toc184310272"/>
      <w:bookmarkEnd w:id="182"/>
      <w:bookmarkStart w:id="183" w:name="_Toc184308052"/>
      <w:bookmarkEnd w:id="183"/>
      <w:bookmarkStart w:id="184" w:name="_Toc184313263"/>
      <w:bookmarkEnd w:id="184"/>
      <w:bookmarkStart w:id="185" w:name="_Toc184314416"/>
      <w:bookmarkEnd w:id="185"/>
      <w:bookmarkStart w:id="186" w:name="_Toc184310281"/>
      <w:bookmarkEnd w:id="186"/>
      <w:bookmarkStart w:id="187" w:name="_Toc184313293"/>
      <w:bookmarkEnd w:id="187"/>
      <w:bookmarkStart w:id="188" w:name="_Toc184310301"/>
      <w:bookmarkEnd w:id="188"/>
      <w:bookmarkStart w:id="189" w:name="_Toc184312101"/>
      <w:bookmarkEnd w:id="189"/>
      <w:bookmarkStart w:id="190" w:name="_Toc184312128"/>
      <w:bookmarkEnd w:id="190"/>
      <w:bookmarkStart w:id="191" w:name="_Toc184308049"/>
      <w:bookmarkEnd w:id="191"/>
      <w:bookmarkStart w:id="192" w:name="_Toc184310299"/>
      <w:bookmarkEnd w:id="192"/>
      <w:bookmarkStart w:id="193" w:name="_Toc184310317"/>
      <w:bookmarkEnd w:id="193"/>
      <w:bookmarkStart w:id="194" w:name="_Toc184314462"/>
      <w:bookmarkEnd w:id="194"/>
      <w:bookmarkStart w:id="195" w:name="_Toc184310315"/>
      <w:bookmarkEnd w:id="195"/>
      <w:bookmarkStart w:id="196" w:name="_Toc184313256"/>
      <w:bookmarkEnd w:id="196"/>
      <w:bookmarkStart w:id="197" w:name="_Toc184314429"/>
      <w:bookmarkEnd w:id="197"/>
      <w:bookmarkStart w:id="198" w:name="_Toc184308087"/>
      <w:bookmarkEnd w:id="198"/>
      <w:bookmarkStart w:id="199" w:name="_Toc184312106"/>
      <w:bookmarkEnd w:id="199"/>
      <w:bookmarkStart w:id="200" w:name="_Toc184314482"/>
      <w:bookmarkEnd w:id="200"/>
      <w:bookmarkStart w:id="201" w:name="_Toc184308075"/>
      <w:bookmarkEnd w:id="201"/>
      <w:bookmarkStart w:id="202" w:name="_Toc184313300"/>
      <w:bookmarkEnd w:id="202"/>
      <w:bookmarkStart w:id="203" w:name="_Toc184310293"/>
      <w:bookmarkEnd w:id="203"/>
      <w:bookmarkStart w:id="204" w:name="_Toc184314453"/>
      <w:bookmarkEnd w:id="204"/>
      <w:bookmarkStart w:id="205" w:name="_Toc184312119"/>
      <w:bookmarkEnd w:id="205"/>
      <w:bookmarkStart w:id="206" w:name="_Toc184310291"/>
      <w:bookmarkEnd w:id="206"/>
      <w:bookmarkStart w:id="207" w:name="_Toc184308104"/>
      <w:bookmarkEnd w:id="207"/>
      <w:bookmarkStart w:id="208" w:name="_Toc184310306"/>
      <w:bookmarkEnd w:id="208"/>
      <w:bookmarkStart w:id="209" w:name="_Toc184312079"/>
      <w:bookmarkEnd w:id="209"/>
      <w:bookmarkStart w:id="210" w:name="_Toc184308100"/>
      <w:bookmarkEnd w:id="210"/>
      <w:bookmarkStart w:id="211" w:name="_Toc184308064"/>
      <w:bookmarkEnd w:id="211"/>
      <w:bookmarkStart w:id="212" w:name="_Toc184308098"/>
      <w:bookmarkEnd w:id="212"/>
      <w:bookmarkStart w:id="213" w:name="_Toc184314467"/>
      <w:bookmarkEnd w:id="213"/>
      <w:bookmarkStart w:id="214" w:name="_Toc184310277"/>
      <w:bookmarkEnd w:id="214"/>
      <w:bookmarkStart w:id="215" w:name="_Toc184308081"/>
      <w:bookmarkEnd w:id="215"/>
      <w:bookmarkStart w:id="216" w:name="_Toc184313260"/>
      <w:bookmarkEnd w:id="216"/>
      <w:bookmarkStart w:id="217" w:name="_Toc184313247"/>
      <w:bookmarkEnd w:id="217"/>
      <w:bookmarkStart w:id="218" w:name="_Toc184308082"/>
      <w:bookmarkEnd w:id="218"/>
      <w:bookmarkStart w:id="219" w:name="_Toc184313302"/>
      <w:bookmarkEnd w:id="219"/>
      <w:bookmarkStart w:id="220" w:name="_Toc184310319"/>
      <w:bookmarkEnd w:id="220"/>
      <w:bookmarkStart w:id="221" w:name="_Toc184314479"/>
      <w:bookmarkEnd w:id="221"/>
      <w:bookmarkStart w:id="222" w:name="_Toc184314435"/>
      <w:bookmarkEnd w:id="222"/>
      <w:bookmarkStart w:id="223" w:name="_Toc184314463"/>
      <w:bookmarkEnd w:id="223"/>
      <w:bookmarkStart w:id="224" w:name="_Toc184314434"/>
      <w:bookmarkEnd w:id="224"/>
      <w:bookmarkStart w:id="225" w:name="_Toc184312124"/>
      <w:bookmarkEnd w:id="225"/>
      <w:bookmarkStart w:id="226" w:name="_Toc184314441"/>
      <w:bookmarkEnd w:id="226"/>
      <w:bookmarkStart w:id="227" w:name="_Toc184313289"/>
      <w:bookmarkEnd w:id="227"/>
      <w:bookmarkStart w:id="228" w:name="_Toc184310298"/>
      <w:bookmarkEnd w:id="228"/>
      <w:bookmarkStart w:id="229" w:name="_Toc184310308"/>
      <w:bookmarkEnd w:id="229"/>
      <w:bookmarkStart w:id="230" w:name="_Toc184308088"/>
      <w:bookmarkEnd w:id="230"/>
      <w:bookmarkStart w:id="231" w:name="_Toc184312087"/>
      <w:bookmarkEnd w:id="231"/>
      <w:bookmarkStart w:id="232" w:name="_Toc184310284"/>
      <w:bookmarkEnd w:id="232"/>
      <w:bookmarkStart w:id="233" w:name="_Toc184310290"/>
      <w:bookmarkEnd w:id="233"/>
      <w:bookmarkStart w:id="234" w:name="_Toc184310328"/>
      <w:bookmarkEnd w:id="234"/>
      <w:bookmarkStart w:id="235" w:name="_Toc184314480"/>
      <w:bookmarkEnd w:id="235"/>
      <w:bookmarkStart w:id="236" w:name="_Toc184314437"/>
      <w:bookmarkEnd w:id="236"/>
      <w:bookmarkStart w:id="237" w:name="_Toc184310310"/>
      <w:bookmarkEnd w:id="237"/>
      <w:bookmarkStart w:id="238" w:name="_Toc184312120"/>
      <w:bookmarkEnd w:id="238"/>
      <w:bookmarkStart w:id="239" w:name="_Toc184312132"/>
      <w:bookmarkEnd w:id="239"/>
      <w:bookmarkStart w:id="240" w:name="_Toc184313270"/>
      <w:bookmarkEnd w:id="240"/>
      <w:bookmarkStart w:id="241" w:name="_Toc184312131"/>
      <w:bookmarkEnd w:id="241"/>
      <w:bookmarkStart w:id="242" w:name="_Toc184312109"/>
      <w:bookmarkEnd w:id="242"/>
      <w:bookmarkStart w:id="243" w:name="_Toc184308099"/>
      <w:bookmarkEnd w:id="243"/>
      <w:bookmarkStart w:id="244" w:name="_Toc184308067"/>
      <w:bookmarkEnd w:id="244"/>
      <w:bookmarkStart w:id="245" w:name="_Toc184313304"/>
      <w:bookmarkEnd w:id="245"/>
      <w:bookmarkStart w:id="246" w:name="_Toc184314415"/>
      <w:bookmarkEnd w:id="246"/>
      <w:bookmarkStart w:id="247" w:name="_Toc184308046"/>
      <w:bookmarkEnd w:id="247"/>
      <w:bookmarkStart w:id="248" w:name="_Toc184310324"/>
      <w:bookmarkEnd w:id="248"/>
      <w:bookmarkStart w:id="249" w:name="_Toc184313246"/>
      <w:bookmarkEnd w:id="249"/>
      <w:bookmarkStart w:id="250" w:name="_Toc184314421"/>
      <w:bookmarkEnd w:id="250"/>
      <w:bookmarkStart w:id="251" w:name="_Toc184314443"/>
      <w:bookmarkEnd w:id="251"/>
      <w:bookmarkStart w:id="252" w:name="_Toc184312108"/>
      <w:bookmarkEnd w:id="252"/>
      <w:bookmarkStart w:id="253" w:name="_Toc184308097"/>
      <w:bookmarkEnd w:id="253"/>
      <w:bookmarkStart w:id="254" w:name="_Toc184312110"/>
      <w:bookmarkEnd w:id="254"/>
      <w:bookmarkStart w:id="255" w:name="_Toc184312115"/>
      <w:bookmarkEnd w:id="255"/>
      <w:bookmarkStart w:id="256" w:name="_Toc184312123"/>
      <w:bookmarkEnd w:id="256"/>
      <w:bookmarkStart w:id="257" w:name="_Toc184310279"/>
      <w:bookmarkEnd w:id="257"/>
      <w:bookmarkStart w:id="258" w:name="_Toc184310288"/>
      <w:bookmarkEnd w:id="258"/>
      <w:bookmarkStart w:id="259" w:name="_Toc184308056"/>
      <w:bookmarkEnd w:id="259"/>
      <w:bookmarkStart w:id="260" w:name="_Toc184310285"/>
      <w:bookmarkEnd w:id="260"/>
      <w:bookmarkStart w:id="261" w:name="_Toc184308086"/>
      <w:bookmarkEnd w:id="261"/>
      <w:bookmarkStart w:id="262" w:name="_Toc184314414"/>
      <w:bookmarkEnd w:id="262"/>
      <w:bookmarkStart w:id="263" w:name="_Toc184312067"/>
      <w:bookmarkEnd w:id="263"/>
      <w:bookmarkStart w:id="264" w:name="_Toc184313244"/>
      <w:bookmarkEnd w:id="264"/>
      <w:bookmarkStart w:id="265" w:name="_Toc184312077"/>
      <w:bookmarkEnd w:id="265"/>
      <w:bookmarkStart w:id="266" w:name="_Toc184314423"/>
      <w:bookmarkEnd w:id="266"/>
      <w:bookmarkStart w:id="267" w:name="_Toc184312076"/>
      <w:bookmarkEnd w:id="267"/>
      <w:bookmarkStart w:id="268" w:name="_Toc184312113"/>
      <w:bookmarkEnd w:id="268"/>
      <w:bookmarkStart w:id="269" w:name="_Toc184313239"/>
      <w:bookmarkEnd w:id="269"/>
      <w:bookmarkStart w:id="270" w:name="_Toc184308090"/>
      <w:bookmarkEnd w:id="270"/>
      <w:bookmarkStart w:id="271" w:name="_Toc184314417"/>
      <w:bookmarkEnd w:id="271"/>
      <w:bookmarkStart w:id="272" w:name="_Toc184313278"/>
      <w:bookmarkEnd w:id="272"/>
      <w:bookmarkStart w:id="273" w:name="_Toc184308102"/>
      <w:bookmarkEnd w:id="273"/>
      <w:bookmarkStart w:id="274" w:name="_Toc184314447"/>
      <w:bookmarkEnd w:id="274"/>
      <w:bookmarkStart w:id="275" w:name="_Toc184308085"/>
      <w:bookmarkEnd w:id="275"/>
      <w:bookmarkStart w:id="276" w:name="_Toc184314411"/>
      <w:bookmarkEnd w:id="276"/>
      <w:bookmarkStart w:id="277" w:name="_Toc184313308"/>
      <w:bookmarkEnd w:id="277"/>
      <w:bookmarkStart w:id="278" w:name="_Toc184308044"/>
      <w:bookmarkEnd w:id="278"/>
      <w:bookmarkStart w:id="279" w:name="_Toc184313297"/>
      <w:bookmarkEnd w:id="279"/>
      <w:bookmarkStart w:id="280" w:name="_Toc184310278"/>
      <w:bookmarkEnd w:id="280"/>
      <w:bookmarkStart w:id="281" w:name="_Toc184308041"/>
      <w:bookmarkEnd w:id="281"/>
      <w:bookmarkStart w:id="282" w:name="_Toc184310300"/>
      <w:bookmarkEnd w:id="282"/>
      <w:bookmarkStart w:id="283" w:name="_Toc184312082"/>
      <w:bookmarkEnd w:id="283"/>
      <w:bookmarkStart w:id="284" w:name="_Toc184312117"/>
      <w:bookmarkEnd w:id="284"/>
      <w:bookmarkStart w:id="285" w:name="_Toc184313275"/>
      <w:bookmarkEnd w:id="285"/>
      <w:bookmarkStart w:id="286" w:name="_Toc184308066"/>
      <w:bookmarkEnd w:id="286"/>
      <w:bookmarkStart w:id="287" w:name="_Toc184312121"/>
      <w:bookmarkEnd w:id="287"/>
      <w:bookmarkStart w:id="288" w:name="_Toc184313268"/>
      <w:bookmarkEnd w:id="288"/>
      <w:bookmarkStart w:id="289" w:name="_Toc184314470"/>
      <w:bookmarkEnd w:id="289"/>
      <w:bookmarkStart w:id="290" w:name="_Toc184313243"/>
      <w:bookmarkEnd w:id="290"/>
      <w:bookmarkStart w:id="291" w:name="_Toc184313276"/>
      <w:bookmarkEnd w:id="291"/>
      <w:bookmarkStart w:id="292" w:name="_Toc184312074"/>
      <w:bookmarkEnd w:id="292"/>
      <w:bookmarkStart w:id="293" w:name="_Toc184310342"/>
      <w:bookmarkEnd w:id="293"/>
      <w:bookmarkStart w:id="294" w:name="_Toc184310327"/>
      <w:bookmarkEnd w:id="294"/>
      <w:bookmarkStart w:id="295" w:name="_Toc184314475"/>
      <w:bookmarkEnd w:id="295"/>
      <w:bookmarkStart w:id="296" w:name="_Toc184313267"/>
      <w:bookmarkEnd w:id="296"/>
      <w:bookmarkStart w:id="297" w:name="_Toc184313271"/>
      <w:bookmarkEnd w:id="297"/>
      <w:bookmarkStart w:id="298" w:name="_Toc184313285"/>
      <w:bookmarkEnd w:id="298"/>
      <w:bookmarkStart w:id="299" w:name="_Toc184308061"/>
      <w:bookmarkEnd w:id="299"/>
      <w:bookmarkStart w:id="300" w:name="_Toc184314456"/>
      <w:bookmarkEnd w:id="300"/>
      <w:bookmarkStart w:id="301" w:name="_Toc184310323"/>
      <w:bookmarkEnd w:id="301"/>
      <w:bookmarkStart w:id="302" w:name="_Toc184313287"/>
      <w:bookmarkEnd w:id="302"/>
      <w:bookmarkStart w:id="303" w:name="_Toc184312073"/>
      <w:bookmarkEnd w:id="303"/>
      <w:bookmarkStart w:id="304" w:name="_Toc184314472"/>
      <w:bookmarkEnd w:id="304"/>
      <w:bookmarkStart w:id="305" w:name="_Toc184314481"/>
      <w:bookmarkEnd w:id="305"/>
      <w:bookmarkStart w:id="306" w:name="_Toc184313265"/>
      <w:bookmarkEnd w:id="306"/>
      <w:bookmarkStart w:id="307" w:name="_Toc184313245"/>
      <w:bookmarkEnd w:id="307"/>
      <w:bookmarkStart w:id="308" w:name="_Toc184310329"/>
      <w:bookmarkEnd w:id="308"/>
      <w:bookmarkStart w:id="309" w:name="_Toc184313286"/>
      <w:bookmarkEnd w:id="309"/>
      <w:bookmarkStart w:id="310" w:name="_Toc184314457"/>
      <w:bookmarkEnd w:id="310"/>
      <w:bookmarkStart w:id="311" w:name="_Toc184313241"/>
      <w:bookmarkEnd w:id="311"/>
      <w:bookmarkStart w:id="312" w:name="_Toc184308050"/>
      <w:bookmarkEnd w:id="312"/>
      <w:bookmarkStart w:id="313" w:name="_Toc184314469"/>
      <w:bookmarkEnd w:id="313"/>
      <w:bookmarkStart w:id="314" w:name="_Toc184310320"/>
      <w:bookmarkEnd w:id="314"/>
      <w:bookmarkStart w:id="315" w:name="_Toc184308053"/>
      <w:bookmarkEnd w:id="315"/>
      <w:bookmarkStart w:id="316" w:name="_Toc184312127"/>
      <w:bookmarkEnd w:id="316"/>
      <w:bookmarkStart w:id="317" w:name="_Toc184314424"/>
      <w:bookmarkEnd w:id="317"/>
      <w:bookmarkStart w:id="318" w:name="_Toc184310316"/>
      <w:bookmarkEnd w:id="318"/>
      <w:bookmarkStart w:id="319" w:name="_Toc184314459"/>
      <w:bookmarkEnd w:id="319"/>
      <w:bookmarkStart w:id="320" w:name="_Toc184314413"/>
      <w:bookmarkEnd w:id="320"/>
      <w:bookmarkStart w:id="321" w:name="_Toc184308107"/>
      <w:bookmarkEnd w:id="321"/>
      <w:bookmarkStart w:id="322" w:name="_Toc184310325"/>
      <w:bookmarkEnd w:id="322"/>
      <w:bookmarkStart w:id="323" w:name="_Toc184313249"/>
      <w:bookmarkEnd w:id="323"/>
      <w:bookmarkStart w:id="324" w:name="_Toc184312085"/>
      <w:bookmarkEnd w:id="324"/>
      <w:bookmarkStart w:id="325" w:name="_Toc184314460"/>
      <w:bookmarkEnd w:id="325"/>
      <w:bookmarkStart w:id="326" w:name="_Toc184314452"/>
      <w:bookmarkEnd w:id="326"/>
      <w:bookmarkStart w:id="327" w:name="_Toc184308062"/>
      <w:bookmarkEnd w:id="327"/>
      <w:bookmarkStart w:id="328" w:name="_Toc184310295"/>
      <w:bookmarkEnd w:id="328"/>
      <w:bookmarkStart w:id="329" w:name="_Toc184314464"/>
      <w:bookmarkEnd w:id="329"/>
      <w:bookmarkStart w:id="330" w:name="_Toc184310341"/>
      <w:bookmarkEnd w:id="330"/>
      <w:bookmarkStart w:id="331" w:name="_Toc184312126"/>
      <w:bookmarkEnd w:id="331"/>
      <w:bookmarkStart w:id="332" w:name="_Toc184308069"/>
      <w:bookmarkEnd w:id="332"/>
      <w:bookmarkStart w:id="333" w:name="_Toc184314442"/>
      <w:bookmarkEnd w:id="333"/>
      <w:bookmarkStart w:id="334" w:name="_Toc184313305"/>
      <w:bookmarkEnd w:id="334"/>
      <w:bookmarkStart w:id="335" w:name="_Toc184310339"/>
      <w:bookmarkEnd w:id="335"/>
      <w:bookmarkStart w:id="336" w:name="_Toc184313298"/>
      <w:bookmarkEnd w:id="336"/>
      <w:bookmarkStart w:id="337" w:name="_Toc184314476"/>
      <w:bookmarkEnd w:id="337"/>
      <w:bookmarkStart w:id="338" w:name="_Toc184310322"/>
      <w:bookmarkEnd w:id="338"/>
      <w:bookmarkStart w:id="339" w:name="_Toc184312090"/>
      <w:bookmarkEnd w:id="339"/>
      <w:bookmarkStart w:id="340" w:name="_Toc184310302"/>
      <w:bookmarkEnd w:id="340"/>
      <w:bookmarkStart w:id="341" w:name="_Toc184313253"/>
      <w:bookmarkEnd w:id="341"/>
      <w:bookmarkStart w:id="342" w:name="_Toc184314419"/>
      <w:bookmarkEnd w:id="342"/>
      <w:bookmarkStart w:id="343" w:name="_Toc184314477"/>
      <w:bookmarkEnd w:id="343"/>
      <w:bookmarkStart w:id="344" w:name="_Toc184308065"/>
      <w:bookmarkEnd w:id="344"/>
      <w:bookmarkStart w:id="345" w:name="_Toc184313255"/>
      <w:bookmarkEnd w:id="345"/>
      <w:bookmarkStart w:id="346" w:name="_Toc184313282"/>
      <w:bookmarkEnd w:id="346"/>
      <w:bookmarkStart w:id="347" w:name="_Toc184314444"/>
      <w:bookmarkEnd w:id="347"/>
      <w:bookmarkStart w:id="348" w:name="_Toc184310274"/>
      <w:bookmarkEnd w:id="348"/>
      <w:bookmarkStart w:id="349" w:name="_Toc184308077"/>
      <w:bookmarkEnd w:id="349"/>
      <w:bookmarkStart w:id="350" w:name="_Toc184312078"/>
      <w:bookmarkEnd w:id="350"/>
      <w:bookmarkStart w:id="351" w:name="_Toc184314450"/>
      <w:bookmarkEnd w:id="351"/>
      <w:bookmarkStart w:id="352" w:name="_Toc184310336"/>
      <w:bookmarkEnd w:id="352"/>
      <w:bookmarkStart w:id="353" w:name="_Toc184310307"/>
      <w:bookmarkEnd w:id="353"/>
      <w:bookmarkStart w:id="354" w:name="_Toc184312086"/>
      <w:bookmarkEnd w:id="354"/>
      <w:bookmarkStart w:id="355" w:name="_Toc184310332"/>
      <w:bookmarkEnd w:id="355"/>
      <w:bookmarkStart w:id="356" w:name="_Toc184313274"/>
      <w:bookmarkEnd w:id="356"/>
      <w:bookmarkStart w:id="357" w:name="_Toc184313295"/>
      <w:bookmarkEnd w:id="357"/>
      <w:bookmarkStart w:id="358" w:name="_Toc184308073"/>
      <w:bookmarkEnd w:id="358"/>
      <w:bookmarkStart w:id="359" w:name="_Toc184308093"/>
      <w:bookmarkEnd w:id="359"/>
      <w:bookmarkStart w:id="360" w:name="_Toc184310305"/>
      <w:bookmarkEnd w:id="360"/>
      <w:bookmarkStart w:id="361" w:name="_Toc184310312"/>
      <w:bookmarkEnd w:id="361"/>
      <w:bookmarkStart w:id="362" w:name="_Toc184310333"/>
      <w:bookmarkEnd w:id="362"/>
      <w:bookmarkStart w:id="363" w:name="_Toc184308080"/>
      <w:bookmarkEnd w:id="363"/>
      <w:bookmarkStart w:id="364" w:name="_Toc184313288"/>
      <w:bookmarkEnd w:id="364"/>
      <w:bookmarkStart w:id="365" w:name="_Toc184312091"/>
      <w:bookmarkEnd w:id="365"/>
      <w:bookmarkStart w:id="366" w:name="_Toc184313257"/>
      <w:bookmarkEnd w:id="366"/>
      <w:bookmarkStart w:id="367" w:name="_Toc184310287"/>
      <w:bookmarkEnd w:id="367"/>
      <w:bookmarkStart w:id="368" w:name="_Toc184313273"/>
      <w:bookmarkEnd w:id="368"/>
      <w:bookmarkStart w:id="369" w:name="_Toc184312099"/>
      <w:bookmarkEnd w:id="369"/>
      <w:bookmarkStart w:id="370" w:name="_Toc184314466"/>
      <w:bookmarkEnd w:id="370"/>
      <w:bookmarkStart w:id="371" w:name="_Toc184308091"/>
      <w:bookmarkEnd w:id="371"/>
      <w:bookmarkStart w:id="372" w:name="_Toc184314430"/>
      <w:bookmarkEnd w:id="372"/>
      <w:bookmarkStart w:id="373" w:name="_Toc184312100"/>
      <w:bookmarkEnd w:id="373"/>
      <w:bookmarkStart w:id="374" w:name="_Toc184314439"/>
      <w:bookmarkEnd w:id="374"/>
      <w:bookmarkStart w:id="375" w:name="_Toc184312133"/>
      <w:bookmarkEnd w:id="375"/>
      <w:bookmarkStart w:id="376" w:name="_Toc184310321"/>
      <w:bookmarkEnd w:id="376"/>
      <w:bookmarkStart w:id="377" w:name="_Toc184312107"/>
      <w:bookmarkEnd w:id="377"/>
      <w:bookmarkStart w:id="378" w:name="_Toc184313277"/>
      <w:bookmarkEnd w:id="378"/>
      <w:bookmarkStart w:id="379" w:name="_Toc184314445"/>
      <w:bookmarkEnd w:id="379"/>
      <w:bookmarkStart w:id="380" w:name="_Toc184312137"/>
      <w:bookmarkEnd w:id="380"/>
      <w:bookmarkStart w:id="381" w:name="_Toc184310286"/>
      <w:bookmarkEnd w:id="381"/>
      <w:bookmarkStart w:id="382" w:name="_Toc184310338"/>
      <w:bookmarkEnd w:id="382"/>
      <w:bookmarkStart w:id="383" w:name="_Toc184312103"/>
      <w:bookmarkEnd w:id="383"/>
      <w:bookmarkStart w:id="384" w:name="_Toc184312092"/>
      <w:bookmarkEnd w:id="384"/>
      <w:r>
        <w:rPr>
          <w:rFonts w:hint="eastAsia" w:ascii="宋体" w:hAnsi="宋体" w:cs="宋体"/>
          <w:b/>
          <w:color w:val="000000" w:themeColor="text1"/>
          <w:sz w:val="36"/>
          <w:szCs w:val="36"/>
          <w14:textFill>
            <w14:solidFill>
              <w14:schemeClr w14:val="tx1"/>
            </w14:solidFill>
          </w14:textFill>
        </w:rPr>
        <w:t>交易办法</w:t>
      </w:r>
    </w:p>
    <w:p w14:paraId="1953B10D">
      <w:pPr>
        <w:snapToGrid w:val="0"/>
        <w:spacing w:line="360" w:lineRule="auto"/>
        <w:jc w:val="center"/>
        <w:rPr>
          <w:rFonts w:hint="eastAsia" w:asciiTheme="minorEastAsia" w:hAnsiTheme="minorEastAsia" w:eastAsiaTheme="minorEastAsia" w:cstheme="minorEastAsia"/>
          <w:b/>
          <w:color w:val="000000" w:themeColor="text1"/>
          <w:sz w:val="32"/>
          <w:szCs w:val="20"/>
          <w14:textFill>
            <w14:solidFill>
              <w14:schemeClr w14:val="tx1"/>
            </w14:solidFill>
          </w14:textFill>
        </w:rPr>
      </w:pPr>
    </w:p>
    <w:p w14:paraId="324CA4B2">
      <w:pPr>
        <w:snapToGrid w:val="0"/>
        <w:spacing w:line="360" w:lineRule="auto"/>
        <w:jc w:val="center"/>
        <w:rPr>
          <w:rFonts w:hint="eastAsia" w:asciiTheme="minorEastAsia" w:hAnsiTheme="minorEastAsia" w:eastAsiaTheme="minorEastAsia" w:cstheme="minorEastAsia"/>
          <w:b/>
          <w:color w:val="000000" w:themeColor="text1"/>
          <w:sz w:val="32"/>
          <w:szCs w:val="20"/>
          <w14:textFill>
            <w14:solidFill>
              <w14:schemeClr w14:val="tx1"/>
            </w14:solidFill>
          </w14:textFill>
        </w:rPr>
      </w:pPr>
      <w:r>
        <w:rPr>
          <w:rFonts w:hint="eastAsia" w:asciiTheme="minorEastAsia" w:hAnsiTheme="minorEastAsia" w:eastAsiaTheme="minorEastAsia" w:cstheme="minorEastAsia"/>
          <w:b/>
          <w:color w:val="000000" w:themeColor="text1"/>
          <w:sz w:val="32"/>
          <w:szCs w:val="20"/>
          <w14:textFill>
            <w14:solidFill>
              <w14:schemeClr w14:val="tx1"/>
            </w14:solidFill>
          </w14:textFill>
        </w:rPr>
        <w:t>交易办法前附表</w:t>
      </w:r>
    </w:p>
    <w:tbl>
      <w:tblPr>
        <w:tblStyle w:val="64"/>
        <w:tblW w:w="9155" w:type="dxa"/>
        <w:tblInd w:w="118" w:type="dxa"/>
        <w:tblLayout w:type="fixed"/>
        <w:tblCellMar>
          <w:top w:w="0" w:type="dxa"/>
          <w:left w:w="108" w:type="dxa"/>
          <w:bottom w:w="0" w:type="dxa"/>
          <w:right w:w="108" w:type="dxa"/>
        </w:tblCellMar>
      </w:tblPr>
      <w:tblGrid>
        <w:gridCol w:w="1124"/>
        <w:gridCol w:w="791"/>
        <w:gridCol w:w="5056"/>
        <w:gridCol w:w="960"/>
        <w:gridCol w:w="1224"/>
      </w:tblGrid>
      <w:tr w14:paraId="01FF8271">
        <w:tblPrEx>
          <w:tblCellMar>
            <w:top w:w="0" w:type="dxa"/>
            <w:left w:w="108" w:type="dxa"/>
            <w:bottom w:w="0" w:type="dxa"/>
            <w:right w:w="108" w:type="dxa"/>
          </w:tblCellMar>
        </w:tblPrEx>
        <w:trPr>
          <w:trHeight w:val="531" w:hRule="atLeast"/>
        </w:trPr>
        <w:tc>
          <w:tcPr>
            <w:tcW w:w="1124" w:type="dxa"/>
            <w:tcBorders>
              <w:top w:val="single" w:color="auto" w:sz="8" w:space="0"/>
              <w:left w:val="single" w:color="auto" w:sz="8" w:space="0"/>
              <w:bottom w:val="single" w:color="auto" w:sz="4" w:space="0"/>
              <w:right w:val="single" w:color="auto" w:sz="4" w:space="0"/>
            </w:tcBorders>
            <w:vAlign w:val="center"/>
          </w:tcPr>
          <w:p w14:paraId="43A415A3">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序号</w:t>
            </w:r>
          </w:p>
        </w:tc>
        <w:tc>
          <w:tcPr>
            <w:tcW w:w="5847" w:type="dxa"/>
            <w:gridSpan w:val="2"/>
            <w:tcBorders>
              <w:top w:val="single" w:color="auto" w:sz="8" w:space="0"/>
              <w:left w:val="nil"/>
              <w:bottom w:val="single" w:color="auto" w:sz="4" w:space="0"/>
              <w:right w:val="single" w:color="auto" w:sz="4" w:space="0"/>
            </w:tcBorders>
            <w:vAlign w:val="center"/>
          </w:tcPr>
          <w:p w14:paraId="15DD84EF">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评分内容和标准</w:t>
            </w:r>
          </w:p>
        </w:tc>
        <w:tc>
          <w:tcPr>
            <w:tcW w:w="960" w:type="dxa"/>
            <w:tcBorders>
              <w:top w:val="single" w:color="auto" w:sz="8" w:space="0"/>
              <w:left w:val="nil"/>
              <w:bottom w:val="single" w:color="auto" w:sz="4" w:space="0"/>
              <w:right w:val="single" w:color="auto" w:sz="4" w:space="0"/>
            </w:tcBorders>
            <w:vAlign w:val="center"/>
          </w:tcPr>
          <w:p w14:paraId="22562328">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权重</w:t>
            </w:r>
          </w:p>
        </w:tc>
        <w:tc>
          <w:tcPr>
            <w:tcW w:w="1224" w:type="dxa"/>
            <w:tcBorders>
              <w:top w:val="single" w:color="auto" w:sz="8" w:space="0"/>
              <w:left w:val="single" w:color="auto" w:sz="4" w:space="0"/>
              <w:bottom w:val="single" w:color="auto" w:sz="4" w:space="0"/>
              <w:right w:val="single" w:color="auto" w:sz="4" w:space="0"/>
            </w:tcBorders>
            <w:vAlign w:val="center"/>
          </w:tcPr>
          <w:p w14:paraId="109B9B83">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主客观分</w:t>
            </w:r>
          </w:p>
        </w:tc>
      </w:tr>
      <w:tr w14:paraId="4D5AD1AD">
        <w:tblPrEx>
          <w:tblCellMar>
            <w:top w:w="0" w:type="dxa"/>
            <w:left w:w="108" w:type="dxa"/>
            <w:bottom w:w="0" w:type="dxa"/>
            <w:right w:w="108" w:type="dxa"/>
          </w:tblCellMar>
        </w:tblPrEx>
        <w:trPr>
          <w:trHeight w:val="722" w:hRule="atLeast"/>
        </w:trPr>
        <w:tc>
          <w:tcPr>
            <w:tcW w:w="1124" w:type="dxa"/>
            <w:vMerge w:val="restart"/>
            <w:tcBorders>
              <w:top w:val="single" w:color="auto" w:sz="4" w:space="0"/>
              <w:left w:val="single" w:color="auto" w:sz="4" w:space="0"/>
              <w:right w:val="single" w:color="auto" w:sz="4" w:space="0"/>
            </w:tcBorders>
            <w:vAlign w:val="center"/>
          </w:tcPr>
          <w:p w14:paraId="1B4ADF11">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商务资信分（10分）</w:t>
            </w:r>
          </w:p>
        </w:tc>
        <w:tc>
          <w:tcPr>
            <w:tcW w:w="791" w:type="dxa"/>
            <w:tcBorders>
              <w:top w:val="single" w:color="auto" w:sz="4" w:space="0"/>
              <w:left w:val="single" w:color="auto" w:sz="8" w:space="0"/>
              <w:bottom w:val="single" w:color="auto" w:sz="4" w:space="0"/>
              <w:right w:val="single" w:color="auto" w:sz="4" w:space="0"/>
            </w:tcBorders>
            <w:vAlign w:val="center"/>
          </w:tcPr>
          <w:p w14:paraId="1098DF10">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5056" w:type="dxa"/>
            <w:tcBorders>
              <w:top w:val="single" w:color="auto" w:sz="4" w:space="0"/>
              <w:left w:val="nil"/>
              <w:bottom w:val="single" w:color="auto" w:sz="4" w:space="0"/>
              <w:right w:val="single" w:color="auto" w:sz="4" w:space="0"/>
            </w:tcBorders>
            <w:vAlign w:val="center"/>
          </w:tcPr>
          <w:p w14:paraId="243AF327">
            <w:pPr>
              <w:widowControl/>
              <w:jc w:val="left"/>
              <w:rPr>
                <w:rFonts w:hint="eastAsia" w:asciiTheme="minorEastAsia" w:hAnsiTheme="minorEastAsia" w:eastAsiaTheme="minorEastAsia" w:cstheme="minorEastAsia"/>
                <w:color w:val="auto"/>
                <w:kern w:val="0"/>
                <w:sz w:val="24"/>
                <w:highlight w:val="none"/>
                <w:lang w:eastAsia="zh-CN"/>
              </w:rPr>
            </w:pPr>
            <w:r>
              <w:rPr>
                <w:rFonts w:hint="eastAsia" w:cs="仿宋" w:asciiTheme="minorEastAsia" w:hAnsiTheme="minorEastAsia" w:eastAsiaTheme="minorEastAsia"/>
                <w:color w:val="000000"/>
                <w:kern w:val="0"/>
                <w:sz w:val="24"/>
                <w:lang w:val="en-US" w:eastAsia="zh-CN"/>
              </w:rPr>
              <w:t>供应商</w:t>
            </w:r>
            <w:r>
              <w:rPr>
                <w:rFonts w:hint="eastAsia" w:cs="仿宋" w:asciiTheme="minorEastAsia" w:hAnsiTheme="minorEastAsia" w:eastAsiaTheme="minorEastAsia"/>
                <w:color w:val="000000"/>
                <w:kern w:val="0"/>
                <w:sz w:val="24"/>
              </w:rPr>
              <w:t>（总公司）偿付能力充足率评审，2024年三季度末综合偿付能力充足率220%（含以上）得4分；2024年三季度末综合偿付能力充足率220%（不含）-200%（不含）得3分；2024年三季度末综合偿付能力充足率200%（不含）-180%（不含）得2分；；2024年三季度末综合偿付能力充足率180%（不含）-150%（不含）得1分2022年年度偿付能力充足率不足150%得0分。</w:t>
            </w:r>
            <w:r>
              <w:rPr>
                <w:rFonts w:hint="eastAsia" w:asciiTheme="minorEastAsia" w:hAnsiTheme="minorEastAsia" w:eastAsiaTheme="minorEastAsia" w:cstheme="minorEastAsia"/>
                <w:color w:val="auto"/>
                <w:kern w:val="0"/>
                <w:sz w:val="24"/>
                <w:highlight w:val="none"/>
                <w:lang w:eastAsia="zh-CN"/>
              </w:rPr>
              <w:t>（</w:t>
            </w:r>
            <w:r>
              <w:rPr>
                <w:rFonts w:hint="eastAsia" w:ascii="宋体" w:hAnsi="宋体" w:eastAsia="宋体" w:cs="宋体"/>
                <w:b w:val="0"/>
                <w:bCs w:val="0"/>
                <w:color w:val="auto"/>
                <w:sz w:val="24"/>
                <w:szCs w:val="24"/>
                <w:highlight w:val="none"/>
                <w:lang w:eastAsia="zh-CN"/>
              </w:rPr>
              <w:t>提供</w:t>
            </w:r>
            <w:r>
              <w:rPr>
                <w:rFonts w:hint="eastAsia" w:ascii="宋体" w:hAnsi="宋体" w:eastAsia="宋体" w:cs="宋体"/>
                <w:b w:val="0"/>
                <w:bCs w:val="0"/>
                <w:color w:val="auto"/>
                <w:sz w:val="24"/>
                <w:szCs w:val="24"/>
                <w:highlight w:val="none"/>
              </w:rPr>
              <w:t>投标人总公司官网对外公布的季度报告摘要或相关证明，不提供不得分</w:t>
            </w:r>
            <w:r>
              <w:rPr>
                <w:rFonts w:hint="eastAsia" w:asciiTheme="minorEastAsia" w:hAnsiTheme="minorEastAsia" w:eastAsiaTheme="minorEastAsia" w:cstheme="minorEastAsia"/>
                <w:color w:val="auto"/>
                <w:kern w:val="0"/>
                <w:sz w:val="24"/>
                <w:highlight w:val="none"/>
                <w:lang w:eastAsia="zh-CN"/>
              </w:rPr>
              <w:t>）</w:t>
            </w:r>
          </w:p>
        </w:tc>
        <w:tc>
          <w:tcPr>
            <w:tcW w:w="960" w:type="dxa"/>
            <w:tcBorders>
              <w:top w:val="single" w:color="auto" w:sz="4" w:space="0"/>
              <w:left w:val="nil"/>
              <w:bottom w:val="single" w:color="auto" w:sz="4" w:space="0"/>
              <w:right w:val="single" w:color="auto" w:sz="4" w:space="0"/>
            </w:tcBorders>
            <w:vAlign w:val="center"/>
          </w:tcPr>
          <w:p w14:paraId="276361B5">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分</w:t>
            </w:r>
          </w:p>
        </w:tc>
        <w:tc>
          <w:tcPr>
            <w:tcW w:w="1224" w:type="dxa"/>
            <w:tcBorders>
              <w:top w:val="single" w:color="auto" w:sz="4" w:space="0"/>
              <w:left w:val="single" w:color="auto" w:sz="4" w:space="0"/>
              <w:bottom w:val="single" w:color="auto" w:sz="4" w:space="0"/>
              <w:right w:val="single" w:color="auto" w:sz="4" w:space="0"/>
            </w:tcBorders>
            <w:vAlign w:val="center"/>
          </w:tcPr>
          <w:p w14:paraId="03471EF9">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客观</w:t>
            </w:r>
            <w:r>
              <w:rPr>
                <w:rFonts w:hint="eastAsia" w:asciiTheme="minorEastAsia" w:hAnsiTheme="minorEastAsia" w:eastAsiaTheme="minorEastAsia" w:cstheme="minorEastAsia"/>
                <w:color w:val="auto"/>
                <w:kern w:val="0"/>
                <w:sz w:val="24"/>
                <w:highlight w:val="none"/>
              </w:rPr>
              <w:t>分</w:t>
            </w:r>
          </w:p>
        </w:tc>
      </w:tr>
      <w:tr w14:paraId="1C10D0AA">
        <w:tblPrEx>
          <w:tblCellMar>
            <w:top w:w="0" w:type="dxa"/>
            <w:left w:w="108" w:type="dxa"/>
            <w:bottom w:w="0" w:type="dxa"/>
            <w:right w:w="108" w:type="dxa"/>
          </w:tblCellMar>
        </w:tblPrEx>
        <w:trPr>
          <w:trHeight w:val="1010" w:hRule="atLeast"/>
        </w:trPr>
        <w:tc>
          <w:tcPr>
            <w:tcW w:w="1124" w:type="dxa"/>
            <w:vMerge w:val="continue"/>
            <w:tcBorders>
              <w:left w:val="single" w:color="auto" w:sz="4" w:space="0"/>
              <w:right w:val="single" w:color="auto" w:sz="4" w:space="0"/>
            </w:tcBorders>
            <w:vAlign w:val="center"/>
          </w:tcPr>
          <w:p w14:paraId="6D019B7F">
            <w:pPr>
              <w:widowControl/>
              <w:jc w:val="left"/>
              <w:rPr>
                <w:rFonts w:hint="eastAsia" w:asciiTheme="minorEastAsia" w:hAnsiTheme="minorEastAsia" w:eastAsiaTheme="minorEastAsia" w:cstheme="minorEastAsia"/>
                <w:color w:val="auto"/>
                <w:kern w:val="0"/>
                <w:sz w:val="24"/>
                <w:highlight w:val="none"/>
              </w:rPr>
            </w:pPr>
          </w:p>
        </w:tc>
        <w:tc>
          <w:tcPr>
            <w:tcW w:w="791" w:type="dxa"/>
            <w:tcBorders>
              <w:top w:val="nil"/>
              <w:left w:val="single" w:color="auto" w:sz="8" w:space="0"/>
              <w:bottom w:val="single" w:color="auto" w:sz="4" w:space="0"/>
              <w:right w:val="single" w:color="auto" w:sz="4" w:space="0"/>
            </w:tcBorders>
            <w:vAlign w:val="center"/>
          </w:tcPr>
          <w:p w14:paraId="36DCE115">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5056" w:type="dxa"/>
            <w:tcBorders>
              <w:top w:val="nil"/>
              <w:left w:val="nil"/>
              <w:bottom w:val="single" w:color="auto" w:sz="4" w:space="0"/>
              <w:right w:val="single" w:color="auto" w:sz="4" w:space="0"/>
            </w:tcBorders>
            <w:vAlign w:val="center"/>
          </w:tcPr>
          <w:p w14:paraId="0FEC7BD3">
            <w:pPr>
              <w:widowControl/>
              <w:jc w:val="left"/>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val="en-US" w:eastAsia="zh-CN"/>
              </w:rPr>
              <w:t>供应商（总公司）</w:t>
            </w:r>
            <w:r>
              <w:rPr>
                <w:rFonts w:hint="eastAsia" w:asciiTheme="minorEastAsia" w:hAnsiTheme="minorEastAsia" w:eastAsiaTheme="minorEastAsia" w:cstheme="minorEastAsia"/>
                <w:color w:val="auto"/>
                <w:kern w:val="0"/>
                <w:sz w:val="24"/>
                <w:highlight w:val="none"/>
              </w:rPr>
              <w:t>具有穆迪或标普或惠誉其中任意一个评级A级以上（含A级）的得4分，BBB得3分，BB得2分，B得1分，</w:t>
            </w:r>
            <w:r>
              <w:rPr>
                <w:rFonts w:hint="eastAsia" w:asciiTheme="minorEastAsia" w:hAnsiTheme="minorEastAsia" w:eastAsiaTheme="minorEastAsia" w:cstheme="minorEastAsia"/>
                <w:color w:val="auto"/>
                <w:kern w:val="0"/>
                <w:sz w:val="24"/>
                <w:highlight w:val="none"/>
                <w:lang w:val="en-US" w:eastAsia="zh-CN"/>
              </w:rPr>
              <w:t>其他</w:t>
            </w:r>
            <w:r>
              <w:rPr>
                <w:rFonts w:hint="eastAsia" w:asciiTheme="minorEastAsia" w:hAnsiTheme="minorEastAsia" w:eastAsiaTheme="minorEastAsia" w:cstheme="minorEastAsia"/>
                <w:color w:val="auto"/>
                <w:kern w:val="0"/>
                <w:sz w:val="24"/>
                <w:highlight w:val="none"/>
              </w:rPr>
              <w:t>以下不得分</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（提供上述任意一家评级机构出具的证书复印件并加盖公章，</w:t>
            </w:r>
            <w:r>
              <w:rPr>
                <w:rFonts w:hint="eastAsia" w:asciiTheme="minorEastAsia" w:hAnsiTheme="minorEastAsia" w:eastAsiaTheme="minorEastAsia" w:cstheme="minorEastAsia"/>
                <w:color w:val="auto"/>
                <w:kern w:val="0"/>
                <w:sz w:val="24"/>
                <w:highlight w:val="none"/>
                <w:lang w:eastAsia="zh-CN"/>
              </w:rPr>
              <w:t>未提供不得分</w:t>
            </w:r>
            <w:r>
              <w:rPr>
                <w:rFonts w:hint="eastAsia" w:asciiTheme="minorEastAsia" w:hAnsiTheme="minorEastAsia" w:eastAsiaTheme="minorEastAsia" w:cstheme="minorEastAsia"/>
                <w:color w:val="auto"/>
                <w:kern w:val="0"/>
                <w:sz w:val="24"/>
                <w:highlight w:val="none"/>
                <w:lang w:val="en-US" w:eastAsia="zh-CN"/>
              </w:rPr>
              <w:t>。）</w:t>
            </w:r>
          </w:p>
        </w:tc>
        <w:tc>
          <w:tcPr>
            <w:tcW w:w="960" w:type="dxa"/>
            <w:tcBorders>
              <w:top w:val="nil"/>
              <w:left w:val="nil"/>
              <w:bottom w:val="single" w:color="auto" w:sz="4" w:space="0"/>
              <w:right w:val="single" w:color="auto" w:sz="4" w:space="0"/>
            </w:tcBorders>
            <w:vAlign w:val="center"/>
          </w:tcPr>
          <w:p w14:paraId="17B34BC5">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分</w:t>
            </w:r>
          </w:p>
        </w:tc>
        <w:tc>
          <w:tcPr>
            <w:tcW w:w="1224" w:type="dxa"/>
            <w:tcBorders>
              <w:top w:val="nil"/>
              <w:left w:val="single" w:color="auto" w:sz="4" w:space="0"/>
              <w:bottom w:val="single" w:color="auto" w:sz="4" w:space="0"/>
              <w:right w:val="single" w:color="auto" w:sz="4" w:space="0"/>
            </w:tcBorders>
            <w:vAlign w:val="center"/>
          </w:tcPr>
          <w:p w14:paraId="2C41DD2B">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客观</w:t>
            </w:r>
            <w:r>
              <w:rPr>
                <w:rFonts w:hint="eastAsia" w:asciiTheme="minorEastAsia" w:hAnsiTheme="minorEastAsia" w:eastAsiaTheme="minorEastAsia" w:cstheme="minorEastAsia"/>
                <w:color w:val="auto"/>
                <w:kern w:val="0"/>
                <w:sz w:val="24"/>
                <w:highlight w:val="none"/>
              </w:rPr>
              <w:t>分</w:t>
            </w:r>
          </w:p>
        </w:tc>
      </w:tr>
      <w:tr w14:paraId="435CDDF5">
        <w:tblPrEx>
          <w:tblCellMar>
            <w:top w:w="0" w:type="dxa"/>
            <w:left w:w="108" w:type="dxa"/>
            <w:bottom w:w="0" w:type="dxa"/>
            <w:right w:w="108" w:type="dxa"/>
          </w:tblCellMar>
        </w:tblPrEx>
        <w:trPr>
          <w:trHeight w:val="567" w:hRule="atLeast"/>
        </w:trPr>
        <w:tc>
          <w:tcPr>
            <w:tcW w:w="1124" w:type="dxa"/>
            <w:vMerge w:val="continue"/>
            <w:tcBorders>
              <w:left w:val="single" w:color="auto" w:sz="4" w:space="0"/>
              <w:bottom w:val="single" w:color="auto" w:sz="4" w:space="0"/>
              <w:right w:val="single" w:color="auto" w:sz="4" w:space="0"/>
            </w:tcBorders>
            <w:vAlign w:val="center"/>
          </w:tcPr>
          <w:p w14:paraId="01BB98A0">
            <w:pPr>
              <w:widowControl/>
              <w:jc w:val="left"/>
              <w:rPr>
                <w:rFonts w:hint="eastAsia" w:asciiTheme="minorEastAsia" w:hAnsiTheme="minorEastAsia" w:eastAsiaTheme="minorEastAsia" w:cstheme="minorEastAsia"/>
                <w:color w:val="000000"/>
                <w:kern w:val="0"/>
                <w:sz w:val="24"/>
              </w:rPr>
            </w:pPr>
          </w:p>
        </w:tc>
        <w:tc>
          <w:tcPr>
            <w:tcW w:w="791" w:type="dxa"/>
            <w:tcBorders>
              <w:top w:val="nil"/>
              <w:left w:val="single" w:color="auto" w:sz="8" w:space="0"/>
              <w:bottom w:val="single" w:color="auto" w:sz="4" w:space="0"/>
              <w:right w:val="single" w:color="auto" w:sz="4" w:space="0"/>
            </w:tcBorders>
            <w:vAlign w:val="center"/>
          </w:tcPr>
          <w:p w14:paraId="3A794148">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3</w:t>
            </w:r>
          </w:p>
        </w:tc>
        <w:tc>
          <w:tcPr>
            <w:tcW w:w="5056" w:type="dxa"/>
            <w:tcBorders>
              <w:top w:val="nil"/>
              <w:left w:val="nil"/>
              <w:bottom w:val="single" w:color="auto" w:sz="4" w:space="0"/>
              <w:right w:val="single" w:color="auto" w:sz="4" w:space="0"/>
            </w:tcBorders>
            <w:vAlign w:val="center"/>
          </w:tcPr>
          <w:p w14:paraId="2BB8C5B8">
            <w:pP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sz w:val="24"/>
              </w:rPr>
              <w:t>供应商</w:t>
            </w:r>
            <w:r>
              <w:rPr>
                <w:rFonts w:hint="eastAsia" w:asciiTheme="minorEastAsia" w:hAnsiTheme="minorEastAsia" w:eastAsiaTheme="minorEastAsia" w:cstheme="minorEastAsia"/>
                <w:color w:val="000000"/>
                <w:sz w:val="24"/>
                <w:lang w:val="en-US" w:eastAsia="zh-CN"/>
              </w:rPr>
              <w:t>自</w:t>
            </w:r>
            <w:r>
              <w:rPr>
                <w:rFonts w:hint="eastAsia" w:asciiTheme="minorEastAsia" w:hAnsiTheme="minorEastAsia" w:eastAsiaTheme="minorEastAsia" w:cstheme="minorEastAsia"/>
                <w:color w:val="000000"/>
                <w:sz w:val="24"/>
              </w:rPr>
              <w:t>2022年1月1日至今（以保险单生效时间为准）承接过类似保险业绩，提供1个业绩得</w:t>
            </w:r>
            <w:r>
              <w:rPr>
                <w:rFonts w:hint="eastAsia" w:asciiTheme="minorEastAsia" w:hAnsiTheme="minorEastAsia" w:eastAsiaTheme="minorEastAsia" w:cstheme="minorEastAsia"/>
                <w:color w:val="000000"/>
                <w:sz w:val="24"/>
                <w:lang w:val="en-US" w:eastAsia="zh-CN"/>
              </w:rPr>
              <w:t>1</w:t>
            </w:r>
            <w:r>
              <w:rPr>
                <w:rFonts w:hint="eastAsia" w:asciiTheme="minorEastAsia" w:hAnsiTheme="minorEastAsia" w:eastAsiaTheme="minorEastAsia" w:cstheme="minorEastAsia"/>
                <w:color w:val="000000"/>
                <w:sz w:val="24"/>
              </w:rPr>
              <w:t>分，共计</w:t>
            </w:r>
            <w:r>
              <w:rPr>
                <w:rFonts w:hint="eastAsia" w:asciiTheme="minorEastAsia" w:hAnsiTheme="minorEastAsia" w:eastAsiaTheme="minorEastAsia" w:cstheme="minorEastAsia"/>
                <w:color w:val="000000"/>
                <w:sz w:val="24"/>
                <w:lang w:val="en-US" w:eastAsia="zh-CN"/>
              </w:rPr>
              <w:t>2</w:t>
            </w:r>
            <w:r>
              <w:rPr>
                <w:rFonts w:hint="eastAsia" w:asciiTheme="minorEastAsia" w:hAnsiTheme="minorEastAsia" w:eastAsiaTheme="minorEastAsia" w:cstheme="minorEastAsia"/>
                <w:color w:val="000000"/>
                <w:sz w:val="24"/>
              </w:rPr>
              <w:t>分，响应文件中提供合同复印件或保单复印件加盖公章</w:t>
            </w:r>
          </w:p>
        </w:tc>
        <w:tc>
          <w:tcPr>
            <w:tcW w:w="960" w:type="dxa"/>
            <w:tcBorders>
              <w:top w:val="nil"/>
              <w:left w:val="nil"/>
              <w:bottom w:val="single" w:color="auto" w:sz="4" w:space="0"/>
              <w:right w:val="single" w:color="auto" w:sz="4" w:space="0"/>
            </w:tcBorders>
            <w:vAlign w:val="center"/>
          </w:tcPr>
          <w:p w14:paraId="6BA30B79">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lang w:val="en-US" w:eastAsia="zh-CN"/>
              </w:rPr>
              <w:t>2</w:t>
            </w:r>
            <w:r>
              <w:rPr>
                <w:rFonts w:hint="eastAsia" w:asciiTheme="minorEastAsia" w:hAnsiTheme="minorEastAsia" w:eastAsiaTheme="minorEastAsia" w:cstheme="minorEastAsia"/>
                <w:color w:val="000000"/>
                <w:kern w:val="0"/>
                <w:sz w:val="24"/>
              </w:rPr>
              <w:t>分</w:t>
            </w:r>
          </w:p>
        </w:tc>
        <w:tc>
          <w:tcPr>
            <w:tcW w:w="1224" w:type="dxa"/>
            <w:tcBorders>
              <w:top w:val="nil"/>
              <w:left w:val="single" w:color="auto" w:sz="4" w:space="0"/>
              <w:bottom w:val="single" w:color="auto" w:sz="4" w:space="0"/>
              <w:right w:val="single" w:color="auto" w:sz="4" w:space="0"/>
            </w:tcBorders>
            <w:vAlign w:val="center"/>
          </w:tcPr>
          <w:p w14:paraId="46B79878">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客观分</w:t>
            </w:r>
          </w:p>
        </w:tc>
      </w:tr>
    </w:tbl>
    <w:p w14:paraId="22538FE7">
      <w:pPr>
        <w:widowControl/>
        <w:jc w:val="left"/>
        <w:rPr>
          <w:rFonts w:hint="eastAsia" w:asciiTheme="minorEastAsia" w:hAnsiTheme="minorEastAsia" w:eastAsiaTheme="minorEastAsia" w:cstheme="minorEastAsia"/>
          <w:color w:val="000000"/>
        </w:rPr>
      </w:pPr>
    </w:p>
    <w:tbl>
      <w:tblPr>
        <w:tblStyle w:val="64"/>
        <w:tblW w:w="9191" w:type="dxa"/>
        <w:tblInd w:w="118" w:type="dxa"/>
        <w:tblLayout w:type="fixed"/>
        <w:tblCellMar>
          <w:top w:w="0" w:type="dxa"/>
          <w:left w:w="108" w:type="dxa"/>
          <w:bottom w:w="0" w:type="dxa"/>
          <w:right w:w="108" w:type="dxa"/>
        </w:tblCellMar>
      </w:tblPr>
      <w:tblGrid>
        <w:gridCol w:w="1156"/>
        <w:gridCol w:w="783"/>
        <w:gridCol w:w="5032"/>
        <w:gridCol w:w="984"/>
        <w:gridCol w:w="1236"/>
      </w:tblGrid>
      <w:tr w14:paraId="25C31728">
        <w:tblPrEx>
          <w:tblCellMar>
            <w:top w:w="0" w:type="dxa"/>
            <w:left w:w="108" w:type="dxa"/>
            <w:bottom w:w="0" w:type="dxa"/>
            <w:right w:w="108" w:type="dxa"/>
          </w:tblCellMar>
        </w:tblPrEx>
        <w:trPr>
          <w:trHeight w:val="615" w:hRule="atLeast"/>
        </w:trPr>
        <w:tc>
          <w:tcPr>
            <w:tcW w:w="1156" w:type="dxa"/>
            <w:tcBorders>
              <w:top w:val="single" w:color="auto" w:sz="8" w:space="0"/>
              <w:left w:val="single" w:color="auto" w:sz="8" w:space="0"/>
              <w:bottom w:val="single" w:color="auto" w:sz="4" w:space="0"/>
              <w:right w:val="single" w:color="auto" w:sz="4" w:space="0"/>
            </w:tcBorders>
            <w:vAlign w:val="center"/>
          </w:tcPr>
          <w:p w14:paraId="2009400F">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序号</w:t>
            </w:r>
          </w:p>
        </w:tc>
        <w:tc>
          <w:tcPr>
            <w:tcW w:w="5815" w:type="dxa"/>
            <w:gridSpan w:val="2"/>
            <w:tcBorders>
              <w:top w:val="single" w:color="auto" w:sz="8" w:space="0"/>
              <w:left w:val="nil"/>
              <w:bottom w:val="single" w:color="auto" w:sz="4" w:space="0"/>
              <w:right w:val="single" w:color="auto" w:sz="4" w:space="0"/>
            </w:tcBorders>
            <w:vAlign w:val="center"/>
          </w:tcPr>
          <w:p w14:paraId="0CCBC288">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评分内容和标准</w:t>
            </w:r>
          </w:p>
        </w:tc>
        <w:tc>
          <w:tcPr>
            <w:tcW w:w="984" w:type="dxa"/>
            <w:tcBorders>
              <w:top w:val="single" w:color="auto" w:sz="8" w:space="0"/>
              <w:left w:val="nil"/>
              <w:bottom w:val="single" w:color="auto" w:sz="4" w:space="0"/>
              <w:right w:val="single" w:color="auto" w:sz="4" w:space="0"/>
            </w:tcBorders>
            <w:vAlign w:val="center"/>
          </w:tcPr>
          <w:p w14:paraId="7055E8F0">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权重</w:t>
            </w:r>
          </w:p>
        </w:tc>
        <w:tc>
          <w:tcPr>
            <w:tcW w:w="1236" w:type="dxa"/>
            <w:tcBorders>
              <w:top w:val="single" w:color="auto" w:sz="8" w:space="0"/>
              <w:left w:val="single" w:color="auto" w:sz="4" w:space="0"/>
              <w:bottom w:val="single" w:color="auto" w:sz="4" w:space="0"/>
              <w:right w:val="single" w:color="auto" w:sz="8" w:space="0"/>
            </w:tcBorders>
            <w:vAlign w:val="center"/>
          </w:tcPr>
          <w:p w14:paraId="0416FD14">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主客观分</w:t>
            </w:r>
          </w:p>
        </w:tc>
      </w:tr>
      <w:tr w14:paraId="56D20977">
        <w:tblPrEx>
          <w:tblCellMar>
            <w:top w:w="0" w:type="dxa"/>
            <w:left w:w="108" w:type="dxa"/>
            <w:bottom w:w="0" w:type="dxa"/>
            <w:right w:w="108" w:type="dxa"/>
          </w:tblCellMar>
        </w:tblPrEx>
        <w:trPr>
          <w:trHeight w:val="752" w:hRule="atLeast"/>
        </w:trPr>
        <w:tc>
          <w:tcPr>
            <w:tcW w:w="1156" w:type="dxa"/>
            <w:vMerge w:val="restart"/>
            <w:tcBorders>
              <w:top w:val="nil"/>
              <w:left w:val="single" w:color="auto" w:sz="4" w:space="0"/>
              <w:right w:val="single" w:color="auto" w:sz="4" w:space="0"/>
            </w:tcBorders>
            <w:vAlign w:val="center"/>
          </w:tcPr>
          <w:p w14:paraId="178FB508">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技术分（70分）</w:t>
            </w:r>
          </w:p>
        </w:tc>
        <w:tc>
          <w:tcPr>
            <w:tcW w:w="783" w:type="dxa"/>
            <w:tcBorders>
              <w:top w:val="nil"/>
              <w:left w:val="single" w:color="auto" w:sz="8" w:space="0"/>
              <w:bottom w:val="single" w:color="auto" w:sz="4" w:space="0"/>
              <w:right w:val="single" w:color="auto" w:sz="4" w:space="0"/>
            </w:tcBorders>
            <w:vAlign w:val="center"/>
          </w:tcPr>
          <w:p w14:paraId="1FE7EAFB">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w:t>
            </w:r>
          </w:p>
        </w:tc>
        <w:tc>
          <w:tcPr>
            <w:tcW w:w="5032" w:type="dxa"/>
            <w:tcBorders>
              <w:top w:val="nil"/>
              <w:left w:val="nil"/>
              <w:bottom w:val="single" w:color="auto" w:sz="4" w:space="0"/>
              <w:right w:val="single" w:color="auto" w:sz="4" w:space="0"/>
            </w:tcBorders>
            <w:vAlign w:val="center"/>
          </w:tcPr>
          <w:p w14:paraId="1F608D10">
            <w:pPr>
              <w:widowControl/>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响应方案的合理性、科学性、全面性（根据对响应项目的理解程度、总体设计、组织实施、独到优势等情况对比打分）</w:t>
            </w:r>
            <w:r>
              <w:rPr>
                <w:rFonts w:hint="eastAsia" w:asciiTheme="minorEastAsia" w:hAnsiTheme="minorEastAsia" w:eastAsiaTheme="minorEastAsia" w:cstheme="minorEastAsia"/>
                <w:color w:val="000000"/>
                <w:kern w:val="0"/>
                <w:sz w:val="24"/>
              </w:rPr>
              <w:t>（方案详细完善的得8-12分，方案较详细完善的得5-8分，方案不够详细完善的得1-5分。）</w:t>
            </w:r>
          </w:p>
        </w:tc>
        <w:tc>
          <w:tcPr>
            <w:tcW w:w="984" w:type="dxa"/>
            <w:tcBorders>
              <w:top w:val="nil"/>
              <w:left w:val="nil"/>
              <w:bottom w:val="single" w:color="auto" w:sz="4" w:space="0"/>
              <w:right w:val="single" w:color="auto" w:sz="4" w:space="0"/>
            </w:tcBorders>
            <w:vAlign w:val="center"/>
          </w:tcPr>
          <w:p w14:paraId="79F00A8A">
            <w:pPr>
              <w:widowControl/>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12分</w:t>
            </w:r>
          </w:p>
        </w:tc>
        <w:tc>
          <w:tcPr>
            <w:tcW w:w="1236" w:type="dxa"/>
            <w:tcBorders>
              <w:top w:val="nil"/>
              <w:left w:val="single" w:color="auto" w:sz="4" w:space="0"/>
              <w:bottom w:val="single" w:color="auto" w:sz="4" w:space="0"/>
              <w:right w:val="single" w:color="auto" w:sz="8" w:space="0"/>
            </w:tcBorders>
            <w:vAlign w:val="center"/>
          </w:tcPr>
          <w:p w14:paraId="78759DBB">
            <w:pPr>
              <w:widowControl/>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主观分</w:t>
            </w:r>
          </w:p>
        </w:tc>
      </w:tr>
      <w:tr w14:paraId="49315D46">
        <w:tblPrEx>
          <w:tblCellMar>
            <w:top w:w="0" w:type="dxa"/>
            <w:left w:w="108" w:type="dxa"/>
            <w:bottom w:w="0" w:type="dxa"/>
            <w:right w:w="108" w:type="dxa"/>
          </w:tblCellMar>
        </w:tblPrEx>
        <w:trPr>
          <w:trHeight w:val="615" w:hRule="atLeast"/>
        </w:trPr>
        <w:tc>
          <w:tcPr>
            <w:tcW w:w="1156" w:type="dxa"/>
            <w:vMerge w:val="continue"/>
            <w:tcBorders>
              <w:left w:val="single" w:color="auto" w:sz="4" w:space="0"/>
              <w:right w:val="single" w:color="auto" w:sz="4" w:space="0"/>
            </w:tcBorders>
            <w:vAlign w:val="center"/>
          </w:tcPr>
          <w:p w14:paraId="48010861">
            <w:pPr>
              <w:widowControl/>
              <w:jc w:val="left"/>
              <w:rPr>
                <w:rFonts w:hint="eastAsia" w:asciiTheme="minorEastAsia" w:hAnsiTheme="minorEastAsia" w:eastAsiaTheme="minorEastAsia" w:cstheme="minorEastAsia"/>
                <w:color w:val="000000"/>
                <w:kern w:val="0"/>
                <w:sz w:val="24"/>
              </w:rPr>
            </w:pPr>
          </w:p>
        </w:tc>
        <w:tc>
          <w:tcPr>
            <w:tcW w:w="783" w:type="dxa"/>
            <w:tcBorders>
              <w:top w:val="nil"/>
              <w:left w:val="single" w:color="auto" w:sz="8" w:space="0"/>
              <w:bottom w:val="single" w:color="auto" w:sz="4" w:space="0"/>
              <w:right w:val="single" w:color="auto" w:sz="4" w:space="0"/>
            </w:tcBorders>
            <w:vAlign w:val="center"/>
          </w:tcPr>
          <w:p w14:paraId="6A9B3AC8">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w:t>
            </w:r>
          </w:p>
        </w:tc>
        <w:tc>
          <w:tcPr>
            <w:tcW w:w="5032" w:type="dxa"/>
            <w:tcBorders>
              <w:top w:val="nil"/>
              <w:left w:val="nil"/>
              <w:bottom w:val="single" w:color="auto" w:sz="4" w:space="0"/>
              <w:right w:val="single" w:color="auto" w:sz="4" w:space="0"/>
            </w:tcBorders>
            <w:vAlign w:val="center"/>
          </w:tcPr>
          <w:p w14:paraId="609EA271">
            <w:pPr>
              <w:widowControl/>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响应文件对招标文件的招标要求响应情况，与招标文件无偏离得4分；非实质性负偏离每项扣1分，扣完为止。</w:t>
            </w:r>
          </w:p>
        </w:tc>
        <w:tc>
          <w:tcPr>
            <w:tcW w:w="984" w:type="dxa"/>
            <w:tcBorders>
              <w:top w:val="nil"/>
              <w:left w:val="nil"/>
              <w:bottom w:val="single" w:color="auto" w:sz="4" w:space="0"/>
              <w:right w:val="single" w:color="auto" w:sz="4" w:space="0"/>
            </w:tcBorders>
            <w:vAlign w:val="center"/>
          </w:tcPr>
          <w:p w14:paraId="39AE6E1E">
            <w:pPr>
              <w:widowControl/>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4分</w:t>
            </w:r>
          </w:p>
        </w:tc>
        <w:tc>
          <w:tcPr>
            <w:tcW w:w="1236" w:type="dxa"/>
            <w:tcBorders>
              <w:top w:val="nil"/>
              <w:left w:val="single" w:color="auto" w:sz="4" w:space="0"/>
              <w:bottom w:val="single" w:color="auto" w:sz="4" w:space="0"/>
              <w:right w:val="single" w:color="auto" w:sz="8" w:space="0"/>
            </w:tcBorders>
            <w:vAlign w:val="center"/>
          </w:tcPr>
          <w:p w14:paraId="3213922C">
            <w:pPr>
              <w:widowControl/>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客观分</w:t>
            </w:r>
          </w:p>
        </w:tc>
      </w:tr>
      <w:tr w14:paraId="1DABD001">
        <w:tblPrEx>
          <w:tblCellMar>
            <w:top w:w="0" w:type="dxa"/>
            <w:left w:w="108" w:type="dxa"/>
            <w:bottom w:w="0" w:type="dxa"/>
            <w:right w:w="108" w:type="dxa"/>
          </w:tblCellMar>
        </w:tblPrEx>
        <w:trPr>
          <w:trHeight w:val="615" w:hRule="atLeast"/>
        </w:trPr>
        <w:tc>
          <w:tcPr>
            <w:tcW w:w="1156" w:type="dxa"/>
            <w:vMerge w:val="continue"/>
            <w:tcBorders>
              <w:left w:val="single" w:color="auto" w:sz="4" w:space="0"/>
              <w:right w:val="single" w:color="auto" w:sz="4" w:space="0"/>
            </w:tcBorders>
            <w:vAlign w:val="center"/>
          </w:tcPr>
          <w:p w14:paraId="1BE48BA3">
            <w:pPr>
              <w:widowControl/>
              <w:jc w:val="left"/>
              <w:rPr>
                <w:rFonts w:hint="eastAsia" w:asciiTheme="minorEastAsia" w:hAnsiTheme="minorEastAsia" w:eastAsiaTheme="minorEastAsia" w:cstheme="minorEastAsia"/>
                <w:color w:val="000000"/>
                <w:kern w:val="0"/>
                <w:sz w:val="24"/>
              </w:rPr>
            </w:pPr>
          </w:p>
        </w:tc>
        <w:tc>
          <w:tcPr>
            <w:tcW w:w="783" w:type="dxa"/>
            <w:tcBorders>
              <w:top w:val="nil"/>
              <w:left w:val="single" w:color="auto" w:sz="8" w:space="0"/>
              <w:bottom w:val="single" w:color="auto" w:sz="4" w:space="0"/>
              <w:right w:val="single" w:color="auto" w:sz="4" w:space="0"/>
            </w:tcBorders>
            <w:vAlign w:val="center"/>
          </w:tcPr>
          <w:p w14:paraId="73351794">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3</w:t>
            </w:r>
          </w:p>
        </w:tc>
        <w:tc>
          <w:tcPr>
            <w:tcW w:w="5032" w:type="dxa"/>
            <w:tcBorders>
              <w:top w:val="nil"/>
              <w:left w:val="nil"/>
              <w:bottom w:val="single" w:color="auto" w:sz="4" w:space="0"/>
              <w:right w:val="single" w:color="auto" w:sz="4" w:space="0"/>
            </w:tcBorders>
            <w:vAlign w:val="center"/>
          </w:tcPr>
          <w:p w14:paraId="4F53896E">
            <w:pPr>
              <w:widowControl/>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理赔服务规范可行：根据投标人理赔服务需求响应速度、理赔应急预案、理赔时效程度、理赔流程方式、单证审核等对比打分。</w:t>
            </w:r>
            <w:r>
              <w:rPr>
                <w:rFonts w:hint="eastAsia" w:asciiTheme="minorEastAsia" w:hAnsiTheme="minorEastAsia" w:eastAsiaTheme="minorEastAsia" w:cstheme="minorEastAsia"/>
                <w:color w:val="000000" w:themeColor="text1"/>
                <w:sz w:val="24"/>
                <w14:textFill>
                  <w14:solidFill>
                    <w14:schemeClr w14:val="tx1"/>
                  </w14:solidFill>
                </w14:textFill>
              </w:rPr>
              <w:t>方案详细完善的得6-8分，方案较详细完善的得3-6分，方案不够详细完善的得1-3分。</w:t>
            </w:r>
          </w:p>
        </w:tc>
        <w:tc>
          <w:tcPr>
            <w:tcW w:w="984" w:type="dxa"/>
            <w:tcBorders>
              <w:top w:val="nil"/>
              <w:left w:val="nil"/>
              <w:bottom w:val="single" w:color="auto" w:sz="4" w:space="0"/>
              <w:right w:val="single" w:color="auto" w:sz="4" w:space="0"/>
            </w:tcBorders>
            <w:vAlign w:val="center"/>
          </w:tcPr>
          <w:p w14:paraId="7302BFE1">
            <w:pPr>
              <w:widowControl/>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8分</w:t>
            </w:r>
          </w:p>
        </w:tc>
        <w:tc>
          <w:tcPr>
            <w:tcW w:w="1236" w:type="dxa"/>
            <w:tcBorders>
              <w:top w:val="nil"/>
              <w:left w:val="single" w:color="auto" w:sz="4" w:space="0"/>
              <w:bottom w:val="single" w:color="auto" w:sz="4" w:space="0"/>
              <w:right w:val="single" w:color="auto" w:sz="8" w:space="0"/>
            </w:tcBorders>
            <w:vAlign w:val="center"/>
          </w:tcPr>
          <w:p w14:paraId="3088E46D">
            <w:pPr>
              <w:widowControl/>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主观分</w:t>
            </w:r>
          </w:p>
        </w:tc>
      </w:tr>
      <w:tr w14:paraId="7C7167EB">
        <w:tblPrEx>
          <w:tblCellMar>
            <w:top w:w="0" w:type="dxa"/>
            <w:left w:w="108" w:type="dxa"/>
            <w:bottom w:w="0" w:type="dxa"/>
            <w:right w:w="108" w:type="dxa"/>
          </w:tblCellMar>
        </w:tblPrEx>
        <w:trPr>
          <w:trHeight w:val="615" w:hRule="atLeast"/>
        </w:trPr>
        <w:tc>
          <w:tcPr>
            <w:tcW w:w="1156" w:type="dxa"/>
            <w:vMerge w:val="continue"/>
            <w:tcBorders>
              <w:left w:val="single" w:color="auto" w:sz="4" w:space="0"/>
              <w:right w:val="single" w:color="auto" w:sz="4" w:space="0"/>
            </w:tcBorders>
            <w:vAlign w:val="center"/>
          </w:tcPr>
          <w:p w14:paraId="3F8A8275">
            <w:pPr>
              <w:widowControl/>
              <w:jc w:val="left"/>
              <w:rPr>
                <w:rFonts w:hint="eastAsia" w:asciiTheme="minorEastAsia" w:hAnsiTheme="minorEastAsia" w:eastAsiaTheme="minorEastAsia" w:cstheme="minorEastAsia"/>
                <w:color w:val="000000"/>
                <w:kern w:val="0"/>
                <w:sz w:val="24"/>
              </w:rPr>
            </w:pPr>
          </w:p>
        </w:tc>
        <w:tc>
          <w:tcPr>
            <w:tcW w:w="783" w:type="dxa"/>
            <w:tcBorders>
              <w:top w:val="nil"/>
              <w:left w:val="single" w:color="auto" w:sz="8" w:space="0"/>
              <w:bottom w:val="single" w:color="auto" w:sz="4" w:space="0"/>
              <w:right w:val="single" w:color="auto" w:sz="4" w:space="0"/>
            </w:tcBorders>
            <w:vAlign w:val="center"/>
          </w:tcPr>
          <w:p w14:paraId="6B0A71F2">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4</w:t>
            </w:r>
          </w:p>
        </w:tc>
        <w:tc>
          <w:tcPr>
            <w:tcW w:w="5032" w:type="dxa"/>
            <w:tcBorders>
              <w:top w:val="nil"/>
              <w:left w:val="nil"/>
              <w:bottom w:val="single" w:color="auto" w:sz="4" w:space="0"/>
              <w:right w:val="single" w:color="auto" w:sz="4" w:space="0"/>
            </w:tcBorders>
            <w:vAlign w:val="center"/>
          </w:tcPr>
          <w:p w14:paraId="08A70F2C">
            <w:pPr>
              <w:widowControl/>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保险保障内容的宣传确保政策的知晓度、落实人员、时间安排等，由评委对比打分。</w:t>
            </w:r>
            <w:r>
              <w:rPr>
                <w:rFonts w:hint="eastAsia" w:asciiTheme="minorEastAsia" w:hAnsiTheme="minorEastAsia" w:eastAsiaTheme="minorEastAsia" w:cstheme="minorEastAsia"/>
                <w:color w:val="000000" w:themeColor="text1"/>
                <w:sz w:val="24"/>
                <w14:textFill>
                  <w14:solidFill>
                    <w14:schemeClr w14:val="tx1"/>
                  </w14:solidFill>
                </w14:textFill>
              </w:rPr>
              <w:t>方案详细完善的得6-8分，方案较详细完善的得3-6分，方案不够详细完善的得1-3分。</w:t>
            </w:r>
          </w:p>
        </w:tc>
        <w:tc>
          <w:tcPr>
            <w:tcW w:w="984" w:type="dxa"/>
            <w:tcBorders>
              <w:top w:val="nil"/>
              <w:left w:val="nil"/>
              <w:bottom w:val="single" w:color="auto" w:sz="4" w:space="0"/>
              <w:right w:val="single" w:color="auto" w:sz="4" w:space="0"/>
            </w:tcBorders>
            <w:vAlign w:val="center"/>
          </w:tcPr>
          <w:p w14:paraId="3ECE03C4">
            <w:pPr>
              <w:widowControl/>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8分</w:t>
            </w:r>
          </w:p>
        </w:tc>
        <w:tc>
          <w:tcPr>
            <w:tcW w:w="1236" w:type="dxa"/>
            <w:tcBorders>
              <w:top w:val="nil"/>
              <w:left w:val="single" w:color="auto" w:sz="4" w:space="0"/>
              <w:bottom w:val="single" w:color="auto" w:sz="4" w:space="0"/>
              <w:right w:val="single" w:color="auto" w:sz="8" w:space="0"/>
            </w:tcBorders>
            <w:vAlign w:val="center"/>
          </w:tcPr>
          <w:p w14:paraId="2335CFFF">
            <w:pPr>
              <w:widowControl/>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主观分</w:t>
            </w:r>
          </w:p>
        </w:tc>
      </w:tr>
      <w:tr w14:paraId="3AE39644">
        <w:tblPrEx>
          <w:tblCellMar>
            <w:top w:w="0" w:type="dxa"/>
            <w:left w:w="108" w:type="dxa"/>
            <w:bottom w:w="0" w:type="dxa"/>
            <w:right w:w="108" w:type="dxa"/>
          </w:tblCellMar>
        </w:tblPrEx>
        <w:trPr>
          <w:trHeight w:val="492" w:hRule="atLeast"/>
        </w:trPr>
        <w:tc>
          <w:tcPr>
            <w:tcW w:w="1156" w:type="dxa"/>
            <w:vMerge w:val="continue"/>
            <w:tcBorders>
              <w:left w:val="single" w:color="auto" w:sz="4" w:space="0"/>
              <w:right w:val="single" w:color="auto" w:sz="4" w:space="0"/>
            </w:tcBorders>
            <w:vAlign w:val="center"/>
          </w:tcPr>
          <w:p w14:paraId="7F627CDD">
            <w:pPr>
              <w:widowControl/>
              <w:jc w:val="left"/>
              <w:rPr>
                <w:rFonts w:hint="eastAsia" w:asciiTheme="minorEastAsia" w:hAnsiTheme="minorEastAsia" w:eastAsiaTheme="minorEastAsia" w:cstheme="minorEastAsia"/>
                <w:color w:val="000000"/>
                <w:kern w:val="0"/>
                <w:sz w:val="24"/>
              </w:rPr>
            </w:pPr>
          </w:p>
        </w:tc>
        <w:tc>
          <w:tcPr>
            <w:tcW w:w="783" w:type="dxa"/>
            <w:tcBorders>
              <w:top w:val="nil"/>
              <w:left w:val="single" w:color="auto" w:sz="8" w:space="0"/>
              <w:bottom w:val="single" w:color="auto" w:sz="4" w:space="0"/>
              <w:right w:val="single" w:color="auto" w:sz="4" w:space="0"/>
            </w:tcBorders>
            <w:vAlign w:val="center"/>
          </w:tcPr>
          <w:p w14:paraId="37A2EDC2">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5</w:t>
            </w:r>
          </w:p>
        </w:tc>
        <w:tc>
          <w:tcPr>
            <w:tcW w:w="5032" w:type="dxa"/>
            <w:tcBorders>
              <w:top w:val="nil"/>
              <w:left w:val="nil"/>
              <w:bottom w:val="single" w:color="auto" w:sz="4" w:space="0"/>
              <w:right w:val="single" w:color="auto" w:sz="4" w:space="0"/>
            </w:tcBorders>
            <w:vAlign w:val="center"/>
          </w:tcPr>
          <w:p w14:paraId="2D46F1F5">
            <w:pPr>
              <w:widowControl/>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保证进度和项目完成的方案和措施等对比打分）</w:t>
            </w:r>
            <w:r>
              <w:rPr>
                <w:rFonts w:hint="eastAsia" w:asciiTheme="minorEastAsia" w:hAnsiTheme="minorEastAsia" w:eastAsiaTheme="minorEastAsia" w:cstheme="minorEastAsia"/>
                <w:color w:val="000000" w:themeColor="text1"/>
                <w:sz w:val="24"/>
                <w14:textFill>
                  <w14:solidFill>
                    <w14:schemeClr w14:val="tx1"/>
                  </w14:solidFill>
                </w14:textFill>
              </w:rPr>
              <w:t>方案详细完善的得6-8分，方案较详细完善的得3-6分，方案不够详细完善的得1-3分。</w:t>
            </w:r>
          </w:p>
        </w:tc>
        <w:tc>
          <w:tcPr>
            <w:tcW w:w="984" w:type="dxa"/>
            <w:tcBorders>
              <w:top w:val="nil"/>
              <w:left w:val="nil"/>
              <w:bottom w:val="single" w:color="auto" w:sz="4" w:space="0"/>
              <w:right w:val="single" w:color="auto" w:sz="4" w:space="0"/>
            </w:tcBorders>
            <w:vAlign w:val="center"/>
          </w:tcPr>
          <w:p w14:paraId="47327DA0">
            <w:pPr>
              <w:widowControl/>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8分</w:t>
            </w:r>
          </w:p>
        </w:tc>
        <w:tc>
          <w:tcPr>
            <w:tcW w:w="1236" w:type="dxa"/>
            <w:tcBorders>
              <w:top w:val="nil"/>
              <w:left w:val="single" w:color="auto" w:sz="4" w:space="0"/>
              <w:bottom w:val="single" w:color="auto" w:sz="4" w:space="0"/>
              <w:right w:val="single" w:color="auto" w:sz="8" w:space="0"/>
            </w:tcBorders>
            <w:vAlign w:val="center"/>
          </w:tcPr>
          <w:p w14:paraId="783BD634">
            <w:pPr>
              <w:widowControl/>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主观分</w:t>
            </w:r>
          </w:p>
        </w:tc>
      </w:tr>
      <w:tr w14:paraId="33752B23">
        <w:tblPrEx>
          <w:tblCellMar>
            <w:top w:w="0" w:type="dxa"/>
            <w:left w:w="108" w:type="dxa"/>
            <w:bottom w:w="0" w:type="dxa"/>
            <w:right w:w="108" w:type="dxa"/>
          </w:tblCellMar>
        </w:tblPrEx>
        <w:trPr>
          <w:trHeight w:val="462" w:hRule="atLeast"/>
        </w:trPr>
        <w:tc>
          <w:tcPr>
            <w:tcW w:w="1156" w:type="dxa"/>
            <w:vMerge w:val="continue"/>
            <w:tcBorders>
              <w:left w:val="single" w:color="auto" w:sz="4" w:space="0"/>
              <w:right w:val="single" w:color="auto" w:sz="4" w:space="0"/>
            </w:tcBorders>
            <w:vAlign w:val="center"/>
          </w:tcPr>
          <w:p w14:paraId="7DC0DD2A">
            <w:pPr>
              <w:widowControl/>
              <w:jc w:val="left"/>
              <w:rPr>
                <w:rFonts w:hint="eastAsia" w:asciiTheme="minorEastAsia" w:hAnsiTheme="minorEastAsia" w:eastAsiaTheme="minorEastAsia" w:cstheme="minorEastAsia"/>
                <w:color w:val="000000"/>
                <w:kern w:val="0"/>
                <w:sz w:val="24"/>
              </w:rPr>
            </w:pPr>
          </w:p>
        </w:tc>
        <w:tc>
          <w:tcPr>
            <w:tcW w:w="783" w:type="dxa"/>
            <w:tcBorders>
              <w:top w:val="nil"/>
              <w:left w:val="single" w:color="auto" w:sz="8" w:space="0"/>
              <w:bottom w:val="single" w:color="auto" w:sz="4" w:space="0"/>
              <w:right w:val="single" w:color="auto" w:sz="4" w:space="0"/>
            </w:tcBorders>
            <w:vAlign w:val="center"/>
          </w:tcPr>
          <w:p w14:paraId="6A77AE5E">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6</w:t>
            </w:r>
          </w:p>
        </w:tc>
        <w:tc>
          <w:tcPr>
            <w:tcW w:w="5032" w:type="dxa"/>
            <w:tcBorders>
              <w:top w:val="nil"/>
              <w:left w:val="nil"/>
              <w:bottom w:val="single" w:color="auto" w:sz="4" w:space="0"/>
              <w:right w:val="single" w:color="auto" w:sz="4" w:space="0"/>
            </w:tcBorders>
            <w:vAlign w:val="center"/>
          </w:tcPr>
          <w:p w14:paraId="7CF1F402">
            <w:pPr>
              <w:widowControl/>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项目负责人及技术力量安排等（供应商针对本项目成立专业服务团队情况，评审委员会对团队组成人员进行对比打分）</w:t>
            </w:r>
            <w:r>
              <w:rPr>
                <w:rFonts w:hint="eastAsia" w:asciiTheme="minorEastAsia" w:hAnsiTheme="minorEastAsia" w:eastAsiaTheme="minorEastAsia" w:cstheme="minorEastAsia"/>
                <w:color w:val="000000" w:themeColor="text1"/>
                <w:sz w:val="24"/>
                <w14:textFill>
                  <w14:solidFill>
                    <w14:schemeClr w14:val="tx1"/>
                  </w14:solidFill>
                </w14:textFill>
              </w:rPr>
              <w:t>方案详细完善的得4-6分，方案较详细完善的得2-4分，方案不够详细完善的得1-2分。</w:t>
            </w:r>
          </w:p>
        </w:tc>
        <w:tc>
          <w:tcPr>
            <w:tcW w:w="984" w:type="dxa"/>
            <w:tcBorders>
              <w:top w:val="nil"/>
              <w:left w:val="nil"/>
              <w:bottom w:val="single" w:color="auto" w:sz="4" w:space="0"/>
              <w:right w:val="single" w:color="auto" w:sz="4" w:space="0"/>
            </w:tcBorders>
            <w:vAlign w:val="center"/>
          </w:tcPr>
          <w:p w14:paraId="7AF0A5C2">
            <w:pPr>
              <w:widowControl/>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6分</w:t>
            </w:r>
          </w:p>
        </w:tc>
        <w:tc>
          <w:tcPr>
            <w:tcW w:w="1236" w:type="dxa"/>
            <w:tcBorders>
              <w:top w:val="nil"/>
              <w:left w:val="single" w:color="auto" w:sz="4" w:space="0"/>
              <w:bottom w:val="single" w:color="auto" w:sz="4" w:space="0"/>
              <w:right w:val="single" w:color="auto" w:sz="8" w:space="0"/>
            </w:tcBorders>
            <w:vAlign w:val="center"/>
          </w:tcPr>
          <w:p w14:paraId="7CC0870B">
            <w:pPr>
              <w:widowControl/>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主观分</w:t>
            </w:r>
          </w:p>
        </w:tc>
      </w:tr>
      <w:tr w14:paraId="0CB03718">
        <w:tblPrEx>
          <w:tblCellMar>
            <w:top w:w="0" w:type="dxa"/>
            <w:left w:w="108" w:type="dxa"/>
            <w:bottom w:w="0" w:type="dxa"/>
            <w:right w:w="108" w:type="dxa"/>
          </w:tblCellMar>
        </w:tblPrEx>
        <w:trPr>
          <w:trHeight w:val="502" w:hRule="atLeast"/>
        </w:trPr>
        <w:tc>
          <w:tcPr>
            <w:tcW w:w="1156" w:type="dxa"/>
            <w:vMerge w:val="continue"/>
            <w:tcBorders>
              <w:left w:val="single" w:color="auto" w:sz="4" w:space="0"/>
              <w:right w:val="single" w:color="auto" w:sz="4" w:space="0"/>
            </w:tcBorders>
            <w:vAlign w:val="center"/>
          </w:tcPr>
          <w:p w14:paraId="12FD36C4">
            <w:pPr>
              <w:widowControl/>
              <w:jc w:val="left"/>
              <w:rPr>
                <w:rFonts w:hint="eastAsia" w:asciiTheme="minorEastAsia" w:hAnsiTheme="minorEastAsia" w:eastAsiaTheme="minorEastAsia" w:cstheme="minorEastAsia"/>
                <w:color w:val="000000"/>
                <w:kern w:val="0"/>
                <w:sz w:val="24"/>
              </w:rPr>
            </w:pPr>
          </w:p>
        </w:tc>
        <w:tc>
          <w:tcPr>
            <w:tcW w:w="783" w:type="dxa"/>
            <w:tcBorders>
              <w:top w:val="nil"/>
              <w:left w:val="single" w:color="auto" w:sz="8" w:space="0"/>
              <w:bottom w:val="single" w:color="auto" w:sz="4" w:space="0"/>
              <w:right w:val="single" w:color="auto" w:sz="4" w:space="0"/>
            </w:tcBorders>
            <w:vAlign w:val="center"/>
          </w:tcPr>
          <w:p w14:paraId="16ED6A0E">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7</w:t>
            </w:r>
          </w:p>
        </w:tc>
        <w:tc>
          <w:tcPr>
            <w:tcW w:w="5032" w:type="dxa"/>
            <w:tcBorders>
              <w:top w:val="nil"/>
              <w:left w:val="nil"/>
              <w:bottom w:val="single" w:color="auto" w:sz="4" w:space="0"/>
              <w:right w:val="single" w:color="auto" w:sz="4" w:space="0"/>
            </w:tcBorders>
            <w:vAlign w:val="center"/>
          </w:tcPr>
          <w:p w14:paraId="780F9398">
            <w:pPr>
              <w:widowControl/>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对本项目的合理化建议（对比打分）</w:t>
            </w:r>
            <w:r>
              <w:rPr>
                <w:rFonts w:hint="eastAsia" w:asciiTheme="minorEastAsia" w:hAnsiTheme="minorEastAsia" w:eastAsiaTheme="minorEastAsia" w:cstheme="minorEastAsia"/>
                <w:color w:val="000000" w:themeColor="text1"/>
                <w:sz w:val="24"/>
                <w14:textFill>
                  <w14:solidFill>
                    <w14:schemeClr w14:val="tx1"/>
                  </w14:solidFill>
                </w14:textFill>
              </w:rPr>
              <w:t>方案详细完善的得4-6分，方案较详细完善的得2-4分，方案不够详细完善的得1-2分。</w:t>
            </w:r>
          </w:p>
        </w:tc>
        <w:tc>
          <w:tcPr>
            <w:tcW w:w="984" w:type="dxa"/>
            <w:tcBorders>
              <w:top w:val="nil"/>
              <w:left w:val="nil"/>
              <w:bottom w:val="single" w:color="auto" w:sz="4" w:space="0"/>
              <w:right w:val="single" w:color="auto" w:sz="4" w:space="0"/>
            </w:tcBorders>
            <w:vAlign w:val="center"/>
          </w:tcPr>
          <w:p w14:paraId="22E0E2D2">
            <w:pPr>
              <w:widowControl/>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6分</w:t>
            </w:r>
          </w:p>
        </w:tc>
        <w:tc>
          <w:tcPr>
            <w:tcW w:w="1236" w:type="dxa"/>
            <w:tcBorders>
              <w:top w:val="nil"/>
              <w:left w:val="single" w:color="auto" w:sz="4" w:space="0"/>
              <w:bottom w:val="single" w:color="auto" w:sz="4" w:space="0"/>
              <w:right w:val="single" w:color="auto" w:sz="8" w:space="0"/>
            </w:tcBorders>
            <w:vAlign w:val="center"/>
          </w:tcPr>
          <w:p w14:paraId="5F0DBBD3">
            <w:pPr>
              <w:widowControl/>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主观分</w:t>
            </w:r>
          </w:p>
        </w:tc>
      </w:tr>
      <w:tr w14:paraId="371836C6">
        <w:tblPrEx>
          <w:tblCellMar>
            <w:top w:w="0" w:type="dxa"/>
            <w:left w:w="108" w:type="dxa"/>
            <w:bottom w:w="0" w:type="dxa"/>
            <w:right w:w="108" w:type="dxa"/>
          </w:tblCellMar>
        </w:tblPrEx>
        <w:trPr>
          <w:trHeight w:val="615" w:hRule="atLeast"/>
        </w:trPr>
        <w:tc>
          <w:tcPr>
            <w:tcW w:w="1156" w:type="dxa"/>
            <w:vMerge w:val="continue"/>
            <w:tcBorders>
              <w:left w:val="single" w:color="auto" w:sz="4" w:space="0"/>
              <w:right w:val="single" w:color="auto" w:sz="4" w:space="0"/>
            </w:tcBorders>
            <w:vAlign w:val="center"/>
          </w:tcPr>
          <w:p w14:paraId="081D4587">
            <w:pPr>
              <w:widowControl/>
              <w:jc w:val="left"/>
              <w:rPr>
                <w:rFonts w:hint="eastAsia" w:asciiTheme="minorEastAsia" w:hAnsiTheme="minorEastAsia" w:eastAsiaTheme="minorEastAsia" w:cstheme="minorEastAsia"/>
                <w:color w:val="000000"/>
                <w:kern w:val="0"/>
                <w:sz w:val="24"/>
              </w:rPr>
            </w:pPr>
          </w:p>
        </w:tc>
        <w:tc>
          <w:tcPr>
            <w:tcW w:w="783" w:type="dxa"/>
            <w:tcBorders>
              <w:top w:val="nil"/>
              <w:left w:val="single" w:color="auto" w:sz="8" w:space="0"/>
              <w:bottom w:val="single" w:color="auto" w:sz="4" w:space="0"/>
              <w:right w:val="single" w:color="auto" w:sz="4" w:space="0"/>
            </w:tcBorders>
            <w:vAlign w:val="center"/>
          </w:tcPr>
          <w:p w14:paraId="1F6651F9">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8</w:t>
            </w:r>
          </w:p>
        </w:tc>
        <w:tc>
          <w:tcPr>
            <w:tcW w:w="5032" w:type="dxa"/>
            <w:tcBorders>
              <w:top w:val="nil"/>
              <w:left w:val="nil"/>
              <w:bottom w:val="single" w:color="auto" w:sz="4" w:space="0"/>
              <w:right w:val="single" w:color="auto" w:sz="4" w:space="0"/>
            </w:tcBorders>
            <w:vAlign w:val="center"/>
          </w:tcPr>
          <w:p w14:paraId="08CDB78C">
            <w:pPr>
              <w:widowControl/>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服务质量保证情况（根据可实现程度、提供优惠等以及根据供应商的服务方案及交付计划情况对比打分）</w:t>
            </w:r>
            <w:r>
              <w:rPr>
                <w:rFonts w:hint="eastAsia" w:asciiTheme="minorEastAsia" w:hAnsiTheme="minorEastAsia" w:eastAsiaTheme="minorEastAsia" w:cstheme="minorEastAsia"/>
                <w:color w:val="000000" w:themeColor="text1"/>
                <w:sz w:val="24"/>
                <w14:textFill>
                  <w14:solidFill>
                    <w14:schemeClr w14:val="tx1"/>
                  </w14:solidFill>
                </w14:textFill>
              </w:rPr>
              <w:t>方案详细完善的得4-6分，方案较详细完善的得2-4分，方案不够详细完善的得1-2分。</w:t>
            </w:r>
          </w:p>
        </w:tc>
        <w:tc>
          <w:tcPr>
            <w:tcW w:w="984" w:type="dxa"/>
            <w:tcBorders>
              <w:top w:val="nil"/>
              <w:left w:val="nil"/>
              <w:bottom w:val="single" w:color="auto" w:sz="4" w:space="0"/>
              <w:right w:val="single" w:color="auto" w:sz="4" w:space="0"/>
            </w:tcBorders>
            <w:vAlign w:val="center"/>
          </w:tcPr>
          <w:p w14:paraId="56F36765">
            <w:pPr>
              <w:widowControl/>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6分</w:t>
            </w:r>
          </w:p>
        </w:tc>
        <w:tc>
          <w:tcPr>
            <w:tcW w:w="1236" w:type="dxa"/>
            <w:tcBorders>
              <w:top w:val="nil"/>
              <w:left w:val="single" w:color="auto" w:sz="4" w:space="0"/>
              <w:bottom w:val="single" w:color="auto" w:sz="4" w:space="0"/>
              <w:right w:val="single" w:color="auto" w:sz="8" w:space="0"/>
            </w:tcBorders>
            <w:vAlign w:val="center"/>
          </w:tcPr>
          <w:p w14:paraId="01DE4F8A">
            <w:pPr>
              <w:widowControl/>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主观分</w:t>
            </w:r>
          </w:p>
        </w:tc>
      </w:tr>
      <w:tr w14:paraId="22FDEE8E">
        <w:tblPrEx>
          <w:tblCellMar>
            <w:top w:w="0" w:type="dxa"/>
            <w:left w:w="108" w:type="dxa"/>
            <w:bottom w:w="0" w:type="dxa"/>
            <w:right w:w="108" w:type="dxa"/>
          </w:tblCellMar>
        </w:tblPrEx>
        <w:trPr>
          <w:trHeight w:val="615" w:hRule="atLeast"/>
        </w:trPr>
        <w:tc>
          <w:tcPr>
            <w:tcW w:w="1156" w:type="dxa"/>
            <w:vMerge w:val="continue"/>
            <w:tcBorders>
              <w:left w:val="single" w:color="auto" w:sz="4" w:space="0"/>
              <w:right w:val="single" w:color="auto" w:sz="4" w:space="0"/>
            </w:tcBorders>
            <w:vAlign w:val="center"/>
          </w:tcPr>
          <w:p w14:paraId="0B85BE2B">
            <w:pPr>
              <w:widowControl/>
              <w:jc w:val="left"/>
              <w:rPr>
                <w:rFonts w:hint="eastAsia" w:asciiTheme="minorEastAsia" w:hAnsiTheme="minorEastAsia" w:eastAsiaTheme="minorEastAsia" w:cstheme="minorEastAsia"/>
                <w:color w:val="000000"/>
                <w:kern w:val="0"/>
                <w:sz w:val="24"/>
              </w:rPr>
            </w:pPr>
          </w:p>
        </w:tc>
        <w:tc>
          <w:tcPr>
            <w:tcW w:w="783" w:type="dxa"/>
            <w:tcBorders>
              <w:top w:val="nil"/>
              <w:left w:val="single" w:color="auto" w:sz="8" w:space="0"/>
              <w:bottom w:val="single" w:color="auto" w:sz="4" w:space="0"/>
              <w:right w:val="single" w:color="auto" w:sz="4" w:space="0"/>
            </w:tcBorders>
            <w:vAlign w:val="center"/>
          </w:tcPr>
          <w:p w14:paraId="177C32F8">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9</w:t>
            </w:r>
          </w:p>
        </w:tc>
        <w:tc>
          <w:tcPr>
            <w:tcW w:w="5032" w:type="dxa"/>
            <w:tcBorders>
              <w:top w:val="nil"/>
              <w:left w:val="nil"/>
              <w:bottom w:val="single" w:color="auto" w:sz="4" w:space="0"/>
              <w:right w:val="single" w:color="auto" w:sz="4" w:space="0"/>
            </w:tcBorders>
            <w:vAlign w:val="center"/>
          </w:tcPr>
          <w:p w14:paraId="3FA463CA">
            <w:pPr>
              <w:widowControl/>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售后服务承诺（根据售后服务方案、措施、响应及本地化服务能力（在萧山有服务机构等）等情况对比打分）</w:t>
            </w:r>
            <w:r>
              <w:rPr>
                <w:rFonts w:hint="eastAsia" w:asciiTheme="minorEastAsia" w:hAnsiTheme="minorEastAsia" w:eastAsiaTheme="minorEastAsia" w:cstheme="minorEastAsia"/>
                <w:color w:val="000000" w:themeColor="text1"/>
                <w:sz w:val="24"/>
                <w14:textFill>
                  <w14:solidFill>
                    <w14:schemeClr w14:val="tx1"/>
                  </w14:solidFill>
                </w14:textFill>
              </w:rPr>
              <w:t>方案详细完善的得4-6分，方案较详细完善的得2-4分，方案不够详细完善的得1-2分。</w:t>
            </w:r>
          </w:p>
        </w:tc>
        <w:tc>
          <w:tcPr>
            <w:tcW w:w="984" w:type="dxa"/>
            <w:tcBorders>
              <w:top w:val="nil"/>
              <w:left w:val="nil"/>
              <w:bottom w:val="single" w:color="auto" w:sz="4" w:space="0"/>
              <w:right w:val="single" w:color="auto" w:sz="4" w:space="0"/>
            </w:tcBorders>
            <w:vAlign w:val="center"/>
          </w:tcPr>
          <w:p w14:paraId="34EE86C1">
            <w:pPr>
              <w:widowControl/>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6分</w:t>
            </w:r>
          </w:p>
        </w:tc>
        <w:tc>
          <w:tcPr>
            <w:tcW w:w="1236" w:type="dxa"/>
            <w:tcBorders>
              <w:top w:val="nil"/>
              <w:left w:val="single" w:color="auto" w:sz="4" w:space="0"/>
              <w:bottom w:val="single" w:color="auto" w:sz="4" w:space="0"/>
              <w:right w:val="single" w:color="auto" w:sz="8" w:space="0"/>
            </w:tcBorders>
            <w:vAlign w:val="center"/>
          </w:tcPr>
          <w:p w14:paraId="6A392896">
            <w:pPr>
              <w:widowControl/>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主观分</w:t>
            </w:r>
          </w:p>
        </w:tc>
      </w:tr>
      <w:tr w14:paraId="4D5A4ADA">
        <w:tblPrEx>
          <w:tblCellMar>
            <w:top w:w="0" w:type="dxa"/>
            <w:left w:w="108" w:type="dxa"/>
            <w:bottom w:w="0" w:type="dxa"/>
            <w:right w:w="108" w:type="dxa"/>
          </w:tblCellMar>
        </w:tblPrEx>
        <w:trPr>
          <w:trHeight w:val="858" w:hRule="atLeast"/>
        </w:trPr>
        <w:tc>
          <w:tcPr>
            <w:tcW w:w="1156" w:type="dxa"/>
            <w:vMerge w:val="continue"/>
            <w:tcBorders>
              <w:left w:val="single" w:color="auto" w:sz="4" w:space="0"/>
              <w:bottom w:val="single" w:color="auto" w:sz="4" w:space="0"/>
              <w:right w:val="single" w:color="auto" w:sz="4" w:space="0"/>
            </w:tcBorders>
            <w:vAlign w:val="center"/>
          </w:tcPr>
          <w:p w14:paraId="310C0546">
            <w:pPr>
              <w:widowControl/>
              <w:jc w:val="left"/>
              <w:rPr>
                <w:rFonts w:hint="eastAsia" w:asciiTheme="minorEastAsia" w:hAnsiTheme="minorEastAsia" w:eastAsiaTheme="minorEastAsia" w:cstheme="minorEastAsia"/>
                <w:color w:val="000000"/>
                <w:kern w:val="0"/>
                <w:sz w:val="24"/>
              </w:rPr>
            </w:pPr>
          </w:p>
        </w:tc>
        <w:tc>
          <w:tcPr>
            <w:tcW w:w="783" w:type="dxa"/>
            <w:tcBorders>
              <w:top w:val="nil"/>
              <w:left w:val="single" w:color="auto" w:sz="8" w:space="0"/>
              <w:bottom w:val="single" w:color="auto" w:sz="4" w:space="0"/>
              <w:right w:val="single" w:color="auto" w:sz="4" w:space="0"/>
            </w:tcBorders>
            <w:vAlign w:val="center"/>
          </w:tcPr>
          <w:p w14:paraId="3C0E7D18">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10</w:t>
            </w:r>
          </w:p>
        </w:tc>
        <w:tc>
          <w:tcPr>
            <w:tcW w:w="5032" w:type="dxa"/>
            <w:tcBorders>
              <w:top w:val="nil"/>
              <w:left w:val="nil"/>
              <w:bottom w:val="single" w:color="auto" w:sz="4" w:space="0"/>
              <w:right w:val="single" w:color="auto" w:sz="4" w:space="0"/>
            </w:tcBorders>
            <w:vAlign w:val="center"/>
          </w:tcPr>
          <w:p w14:paraId="5F569464">
            <w:pPr>
              <w:widowControl/>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根据供应商提供的附加服务方案（增值服务、特色服务等）情况对比打分（</w:t>
            </w:r>
            <w:r>
              <w:rPr>
                <w:rFonts w:hint="eastAsia" w:asciiTheme="minorEastAsia" w:hAnsiTheme="minorEastAsia" w:eastAsiaTheme="minorEastAsia" w:cstheme="minorEastAsia"/>
                <w:color w:val="000000" w:themeColor="text1"/>
                <w:sz w:val="24"/>
                <w14:textFill>
                  <w14:solidFill>
                    <w14:schemeClr w14:val="tx1"/>
                  </w14:solidFill>
                </w14:textFill>
              </w:rPr>
              <w:t>方案详细完善的得4-6分，方案较详细完善的得2-4分，方案不够详细完善的得1-2分。</w:t>
            </w:r>
            <w:r>
              <w:rPr>
                <w:rFonts w:hint="eastAsia" w:asciiTheme="minorEastAsia" w:hAnsiTheme="minorEastAsia" w:eastAsiaTheme="minorEastAsia" w:cstheme="minorEastAsia"/>
                <w:color w:val="000000"/>
                <w:sz w:val="24"/>
              </w:rPr>
              <w:t>）</w:t>
            </w:r>
          </w:p>
        </w:tc>
        <w:tc>
          <w:tcPr>
            <w:tcW w:w="984" w:type="dxa"/>
            <w:tcBorders>
              <w:top w:val="nil"/>
              <w:left w:val="nil"/>
              <w:bottom w:val="single" w:color="auto" w:sz="4" w:space="0"/>
              <w:right w:val="single" w:color="auto" w:sz="4" w:space="0"/>
            </w:tcBorders>
            <w:vAlign w:val="center"/>
          </w:tcPr>
          <w:p w14:paraId="5C637ACF">
            <w:pPr>
              <w:widowControl/>
              <w:jc w:val="center"/>
              <w:rPr>
                <w:rFonts w:hint="eastAsia" w:asciiTheme="minorEastAsia" w:hAnsiTheme="minorEastAsia" w:eastAsiaTheme="minorEastAsia" w:cstheme="minorEastAsia"/>
                <w:bCs/>
                <w:color w:val="000000"/>
                <w:kern w:val="0"/>
                <w:sz w:val="24"/>
              </w:rPr>
            </w:pPr>
            <w:r>
              <w:rPr>
                <w:rFonts w:hint="eastAsia" w:asciiTheme="minorEastAsia" w:hAnsiTheme="minorEastAsia" w:eastAsiaTheme="minorEastAsia" w:cstheme="minorEastAsia"/>
                <w:bCs/>
                <w:color w:val="000000"/>
                <w:kern w:val="0"/>
                <w:sz w:val="24"/>
              </w:rPr>
              <w:t>6分</w:t>
            </w:r>
          </w:p>
        </w:tc>
        <w:tc>
          <w:tcPr>
            <w:tcW w:w="1236" w:type="dxa"/>
            <w:tcBorders>
              <w:top w:val="nil"/>
              <w:left w:val="single" w:color="auto" w:sz="4" w:space="0"/>
              <w:bottom w:val="single" w:color="auto" w:sz="4" w:space="0"/>
              <w:right w:val="single" w:color="auto" w:sz="8" w:space="0"/>
            </w:tcBorders>
            <w:vAlign w:val="center"/>
          </w:tcPr>
          <w:p w14:paraId="58355F47">
            <w:pPr>
              <w:widowControl/>
              <w:jc w:val="center"/>
              <w:rPr>
                <w:rFonts w:hint="eastAsia" w:asciiTheme="minorEastAsia" w:hAnsiTheme="minorEastAsia" w:eastAsiaTheme="minorEastAsia" w:cstheme="minorEastAsia"/>
                <w:bCs/>
                <w:color w:val="000000"/>
                <w:kern w:val="0"/>
                <w:sz w:val="24"/>
              </w:rPr>
            </w:pPr>
            <w:r>
              <w:rPr>
                <w:rFonts w:hint="eastAsia" w:asciiTheme="minorEastAsia" w:hAnsiTheme="minorEastAsia" w:eastAsiaTheme="minorEastAsia" w:cstheme="minorEastAsia"/>
                <w:color w:val="000000"/>
                <w:kern w:val="0"/>
                <w:sz w:val="24"/>
              </w:rPr>
              <w:t>主观分</w:t>
            </w:r>
          </w:p>
        </w:tc>
      </w:tr>
    </w:tbl>
    <w:p w14:paraId="4018BA2C">
      <w:pPr>
        <w:pStyle w:val="715"/>
        <w:snapToGrid w:val="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注：</w:t>
      </w:r>
      <w:r>
        <w:rPr>
          <w:rFonts w:hint="eastAsia" w:asciiTheme="minorEastAsia" w:hAnsiTheme="minorEastAsia" w:eastAsiaTheme="minorEastAsia" w:cstheme="minorEastAsia"/>
          <w:sz w:val="24"/>
          <w:szCs w:val="24"/>
        </w:rPr>
        <w:t>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13CCB396">
      <w:pPr>
        <w:pStyle w:val="715"/>
        <w:snapToGrid w:val="0"/>
        <w:ind w:firstLine="0" w:firstLineChars="0"/>
        <w:outlineLvl w:val="1"/>
        <w:rPr>
          <w:rFonts w:hint="eastAsia" w:asciiTheme="minorEastAsia" w:hAnsiTheme="minorEastAsia" w:eastAsiaTheme="minorEastAsia" w:cstheme="minorEastAsia"/>
          <w:b/>
          <w:bCs/>
          <w:sz w:val="24"/>
          <w:szCs w:val="28"/>
        </w:rPr>
      </w:pPr>
    </w:p>
    <w:p w14:paraId="1570E17D">
      <w:pPr>
        <w:pStyle w:val="715"/>
        <w:snapToGrid w:val="0"/>
        <w:ind w:firstLine="0" w:firstLineChars="0"/>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8"/>
        </w:rPr>
        <w:t>2、价格分（20分）</w:t>
      </w:r>
    </w:p>
    <w:tbl>
      <w:tblPr>
        <w:tblStyle w:val="64"/>
        <w:tblW w:w="8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4C52B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210" w:type="dxa"/>
            <w:tcBorders>
              <w:top w:val="single" w:color="auto" w:sz="4" w:space="0"/>
              <w:left w:val="single" w:color="auto" w:sz="4" w:space="0"/>
              <w:bottom w:val="single" w:color="auto" w:sz="4" w:space="0"/>
              <w:right w:val="single" w:color="auto" w:sz="4" w:space="0"/>
            </w:tcBorders>
            <w:noWrap/>
            <w:vAlign w:val="center"/>
          </w:tcPr>
          <w:p w14:paraId="30D8CEA1">
            <w:pPr>
              <w:widowControl/>
              <w:snapToGrid w:val="0"/>
              <w:spacing w:line="360" w:lineRule="auto"/>
              <w:ind w:firstLine="480" w:firstLineChars="20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14:paraId="12214D02">
            <w:pPr>
              <w:widowControl/>
              <w:snapToGrid w:val="0"/>
              <w:spacing w:line="360" w:lineRule="auto"/>
              <w:ind w:firstLine="480" w:firstLineChars="20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计算方法</w:t>
            </w:r>
          </w:p>
        </w:tc>
      </w:tr>
      <w:tr w14:paraId="6C953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2210" w:type="dxa"/>
            <w:tcBorders>
              <w:top w:val="single" w:color="auto" w:sz="4" w:space="0"/>
              <w:left w:val="single" w:color="auto" w:sz="4" w:space="0"/>
              <w:bottom w:val="single" w:color="auto" w:sz="4" w:space="0"/>
              <w:right w:val="single" w:color="auto" w:sz="4" w:space="0"/>
            </w:tcBorders>
            <w:noWrap/>
            <w:vAlign w:val="center"/>
          </w:tcPr>
          <w:p w14:paraId="240D7AEB">
            <w:pPr>
              <w:widowControl/>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价格权值=0.2</w:t>
            </w:r>
          </w:p>
        </w:tc>
        <w:tc>
          <w:tcPr>
            <w:tcW w:w="6599" w:type="dxa"/>
            <w:tcBorders>
              <w:top w:val="single" w:color="auto" w:sz="4" w:space="0"/>
              <w:left w:val="single" w:color="auto" w:sz="4" w:space="0"/>
              <w:bottom w:val="single" w:color="auto" w:sz="4" w:space="0"/>
              <w:right w:val="single" w:color="auto" w:sz="4" w:space="0"/>
            </w:tcBorders>
            <w:noWrap/>
            <w:vAlign w:val="center"/>
          </w:tcPr>
          <w:p w14:paraId="3D86B60E">
            <w:pPr>
              <w:widowControl/>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最低有效投标价格为评标基准价</w:t>
            </w:r>
          </w:p>
          <w:p w14:paraId="333B64CD">
            <w:pPr>
              <w:widowControl/>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投标报价得分=(评标基准价／投标报价)×价格权值×100</w:t>
            </w:r>
          </w:p>
          <w:p w14:paraId="1D0E982E">
            <w:pPr>
              <w:widowControl/>
              <w:snapToGrid w:val="0"/>
              <w:spacing w:line="360" w:lineRule="auto"/>
              <w:ind w:firstLine="480" w:firstLineChars="20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（计算得分保留小数点后2位）</w:t>
            </w:r>
          </w:p>
        </w:tc>
      </w:tr>
    </w:tbl>
    <w:p w14:paraId="2B6B8039">
      <w:pPr>
        <w:pStyle w:val="715"/>
        <w:snapToGrid w:val="0"/>
        <w:ind w:firstLine="0" w:firstLineChars="0"/>
        <w:outlineLvl w:val="1"/>
        <w:rPr>
          <w:rFonts w:ascii="仿宋" w:hAnsi="仿宋" w:eastAsia="仿宋" w:cs="仿宋"/>
          <w:szCs w:val="28"/>
        </w:rPr>
        <w:sectPr>
          <w:pgSz w:w="11906" w:h="16838"/>
          <w:pgMar w:top="1440" w:right="1800" w:bottom="1440" w:left="1800" w:header="851" w:footer="992" w:gutter="0"/>
          <w:cols w:space="425" w:num="1"/>
          <w:docGrid w:type="lines" w:linePitch="312" w:charSpace="0"/>
        </w:sectPr>
      </w:pPr>
    </w:p>
    <w:p w14:paraId="267EAB31">
      <w:pPr>
        <w:snapToGrid w:val="0"/>
        <w:spacing w:line="570" w:lineRule="exact"/>
        <w:rPr>
          <w:rFonts w:ascii="宋体" w:hAnsi="宋体" w:cs="宋体"/>
          <w:b/>
          <w:color w:val="000000" w:themeColor="text1"/>
          <w:sz w:val="28"/>
          <w:szCs w:val="28"/>
          <w14:textFill>
            <w14:solidFill>
              <w14:schemeClr w14:val="tx1"/>
            </w14:solidFill>
          </w14:textFill>
        </w:rPr>
      </w:pPr>
    </w:p>
    <w:p w14:paraId="34EFF4DF">
      <w:pPr>
        <w:snapToGrid w:val="0"/>
        <w:spacing w:line="360" w:lineRule="auto"/>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一、交易方法</w:t>
      </w:r>
    </w:p>
    <w:p w14:paraId="404E4461">
      <w:pPr>
        <w:adjustRightInd/>
        <w:spacing w:line="360" w:lineRule="auto"/>
        <w:ind w:firstLine="482" w:firstLineChars="200"/>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1.本项目采用综合评分法。</w:t>
      </w:r>
      <w:r>
        <w:rPr>
          <w:rFonts w:hint="eastAsia" w:ascii="宋体" w:hAnsi="宋体" w:cs="宋体"/>
          <w:color w:val="000000" w:themeColor="text1"/>
          <w:kern w:val="0"/>
          <w:sz w:val="24"/>
          <w14:textFill>
            <w14:solidFill>
              <w14:schemeClr w14:val="tx1"/>
            </w14:solidFill>
          </w14:textFill>
        </w:rPr>
        <w:t>综合评分法，是指响应文件满足交易文件全部实质性要求，且按照评审因素的量化指标评审得分最高的供应商为成交候选人的评标方法。</w:t>
      </w:r>
    </w:p>
    <w:p w14:paraId="5B3652F5">
      <w:pPr>
        <w:snapToGrid w:val="0"/>
        <w:spacing w:line="360" w:lineRule="auto"/>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二、交易标准</w:t>
      </w:r>
    </w:p>
    <w:p w14:paraId="2C147D3F">
      <w:pPr>
        <w:spacing w:line="360" w:lineRule="auto"/>
        <w:ind w:firstLine="472" w:firstLineChars="196"/>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2.评标标准：</w:t>
      </w:r>
      <w:r>
        <w:rPr>
          <w:rFonts w:hint="eastAsia" w:ascii="宋体" w:hAnsi="宋体" w:cs="宋体"/>
          <w:color w:val="000000" w:themeColor="text1"/>
          <w:kern w:val="0"/>
          <w:sz w:val="24"/>
          <w14:textFill>
            <w14:solidFill>
              <w14:schemeClr w14:val="tx1"/>
            </w14:solidFill>
          </w14:textFill>
        </w:rPr>
        <w:t>见交易办法前附表。</w:t>
      </w:r>
    </w:p>
    <w:p w14:paraId="5D72FCD3">
      <w:pPr>
        <w:snapToGrid w:val="0"/>
        <w:spacing w:line="360" w:lineRule="auto"/>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三、交易程序</w:t>
      </w:r>
    </w:p>
    <w:bookmarkEnd w:id="15"/>
    <w:p w14:paraId="581BB23B">
      <w:pPr>
        <w:spacing w:line="360" w:lineRule="auto"/>
        <w:ind w:firstLine="472" w:firstLineChars="196"/>
        <w:rPr>
          <w:rFonts w:ascii="宋体" w:hAnsi="宋体" w:cs="宋体"/>
          <w:color w:val="000000" w:themeColor="text1"/>
          <w:kern w:val="0"/>
          <w:sz w:val="24"/>
          <w14:textFill>
            <w14:solidFill>
              <w14:schemeClr w14:val="tx1"/>
            </w14:solidFill>
          </w14:textFill>
        </w:rPr>
      </w:pPr>
      <w:bookmarkStart w:id="385" w:name="第五部分"/>
      <w:bookmarkStart w:id="386" w:name="_Toc86217003"/>
      <w:r>
        <w:rPr>
          <w:rFonts w:hint="eastAsia" w:ascii="宋体" w:hAnsi="宋体" w:cs="宋体"/>
          <w:b/>
          <w:color w:val="000000" w:themeColor="text1"/>
          <w:kern w:val="0"/>
          <w:sz w:val="24"/>
          <w14:textFill>
            <w14:solidFill>
              <w14:schemeClr w14:val="tx1"/>
            </w14:solidFill>
          </w14:textFill>
        </w:rPr>
        <w:t>3.1符合性审查。</w:t>
      </w:r>
      <w:r>
        <w:rPr>
          <w:rFonts w:hint="eastAsia" w:ascii="宋体" w:hAnsi="宋体" w:cs="宋体"/>
          <w:color w:val="000000" w:themeColor="text1"/>
          <w:kern w:val="0"/>
          <w:sz w:val="24"/>
          <w14:textFill>
            <w14:solidFill>
              <w14:schemeClr w14:val="tx1"/>
            </w14:solidFill>
          </w14:textFill>
        </w:rPr>
        <w:t>评标委员会应当对符合资格的供应商的响应文件进行符合性审查，以确定其是否满足交易文件的实质性要求。不满足交易文件的实质性要求的，交易无效。</w:t>
      </w:r>
    </w:p>
    <w:p w14:paraId="488FE5E3">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3.2比较与评价。</w:t>
      </w:r>
      <w:r>
        <w:rPr>
          <w:rFonts w:hint="eastAsia" w:ascii="宋体" w:hAnsi="宋体" w:cs="宋体"/>
          <w:color w:val="000000" w:themeColor="text1"/>
          <w:kern w:val="0"/>
          <w:sz w:val="24"/>
          <w14:textFill>
            <w14:solidFill>
              <w14:schemeClr w14:val="tx1"/>
            </w14:solidFill>
          </w14:textFill>
        </w:rPr>
        <w:t>评标委员会应当按照交易文件中规定的评标方法和标准，对符合性审查合格的响应文件进行商务和技术评估，综合比较与评价。</w:t>
      </w:r>
    </w:p>
    <w:p w14:paraId="4B757118">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3.3汇总商务技术得分。</w:t>
      </w:r>
      <w:r>
        <w:rPr>
          <w:rFonts w:hint="eastAsia" w:ascii="宋体" w:hAnsi="宋体" w:cs="宋体"/>
          <w:color w:val="000000" w:themeColor="text1"/>
          <w:kern w:val="0"/>
          <w:sz w:val="24"/>
          <w14:textFill>
            <w14:solidFill>
              <w14:schemeClr w14:val="tx1"/>
            </w14:solidFill>
          </w14:textFill>
        </w:rPr>
        <w:t>评标委员会各成员应当独立对每个供应商的商务和技术文件进行评价，并汇总商务技术得分情况。</w:t>
      </w:r>
    </w:p>
    <w:p w14:paraId="22DE3EC9">
      <w:pPr>
        <w:spacing w:line="360" w:lineRule="auto"/>
        <w:ind w:firstLine="472" w:firstLineChars="196"/>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3.4报价评审。</w:t>
      </w:r>
    </w:p>
    <w:p w14:paraId="01CC9501">
      <w:pPr>
        <w:pStyle w:val="134"/>
        <w:spacing w:before="0"/>
        <w:ind w:firstLine="508" w:firstLineChars="212"/>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3.4.1响应文件报价出现前后不一致的，按照下列规定修正：</w:t>
      </w:r>
    </w:p>
    <w:p w14:paraId="689410A3">
      <w:pPr>
        <w:pStyle w:val="134"/>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3.4.1.1响应文件中交易一览表(报价表)内容与响应文件中相应内容不一致的，以交易一览表(报价表)为准；</w:t>
      </w:r>
    </w:p>
    <w:p w14:paraId="0168EAA1">
      <w:pPr>
        <w:pStyle w:val="134"/>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3.4.1.2大写金额和小写金额不一致的，以大写金额为准；</w:t>
      </w:r>
    </w:p>
    <w:p w14:paraId="1FC345BE">
      <w:pPr>
        <w:pStyle w:val="134"/>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3.4.1.3单价金额小数点或者百分比有明显错位的，以交易一览表的总价为准，并修改单价；</w:t>
      </w:r>
    </w:p>
    <w:p w14:paraId="79D5BF40">
      <w:pPr>
        <w:pStyle w:val="134"/>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3.4.1.4总价金额与按单价汇总金额不一致的，以单价金额计算结果为准；</w:t>
      </w:r>
    </w:p>
    <w:p w14:paraId="60E04D01">
      <w:pPr>
        <w:pStyle w:val="134"/>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《政府采购货物和服务招标投标管理办法》第五十一条第二款的规定经供应商确认后产生约束力。</w:t>
      </w:r>
    </w:p>
    <w:p w14:paraId="7E931838">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3.4.2响应文件出现不是唯一的、有选择性交易报价的，交易无效。</w:t>
      </w:r>
    </w:p>
    <w:p w14:paraId="4B0FF29D">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3.4.3交易报价超过交易文件中规定的预算金额或者最高限价的，交易无效。</w:t>
      </w:r>
    </w:p>
    <w:p w14:paraId="00F4717B">
      <w:pPr>
        <w:pStyle w:val="134"/>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17F8691F">
      <w:pPr>
        <w:spacing w:line="360" w:lineRule="auto"/>
        <w:ind w:firstLine="482" w:firstLineChars="200"/>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3.5排序与推荐。</w:t>
      </w:r>
      <w:r>
        <w:rPr>
          <w:rFonts w:hint="eastAsia" w:ascii="宋体" w:hAnsi="宋体" w:cs="宋体"/>
          <w:color w:val="000000" w:themeColor="text1"/>
          <w:kern w:val="0"/>
          <w:sz w:val="24"/>
          <w14:textFill>
            <w14:solidFill>
              <w14:schemeClr w14:val="tx1"/>
            </w14:solidFill>
          </w14:textFill>
        </w:rPr>
        <w:t>采用综合评分法的，评标结果按评审后得分由高到低顺序排列。得分相同的，按交易报价由低到高顺序排列。得分且交易报价相同的并列。响应文件满足交易文件全部实质性要求，且按照评审因素的量化指标评审得分最高的供应商为排名第一的成交候选人。</w:t>
      </w:r>
    </w:p>
    <w:p w14:paraId="225BC1E8">
      <w:pPr>
        <w:spacing w:line="360" w:lineRule="auto"/>
        <w:ind w:firstLine="480"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人推荐资格；评审得分相同的，采取随机抽取方式确定，其他同品牌供应商不作为成交候选人。</w:t>
      </w:r>
    </w:p>
    <w:p w14:paraId="67E1EEAE">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3.6编写评标报告。</w:t>
      </w:r>
      <w:r>
        <w:rPr>
          <w:rFonts w:hint="eastAsia" w:ascii="宋体" w:hAnsi="宋体" w:cs="宋体"/>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80ACDA8">
      <w:pPr>
        <w:snapToGrid w:val="0"/>
        <w:spacing w:line="360" w:lineRule="auto"/>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四、评标中的其他事项</w:t>
      </w:r>
    </w:p>
    <w:p w14:paraId="23077428">
      <w:pPr>
        <w:pStyle w:val="134"/>
        <w:spacing w:before="0"/>
        <w:ind w:firstLine="472" w:firstLineChars="196"/>
        <w:rPr>
          <w:rFonts w:ascii="宋体" w:hAnsi="宋体" w:cs="宋体"/>
          <w:color w:val="000000" w:themeColor="text1"/>
          <w:kern w:val="0"/>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4.1供应商澄清、说明或者补正。</w:t>
      </w:r>
      <w:r>
        <w:rPr>
          <w:rFonts w:hint="eastAsia" w:ascii="宋体" w:hAnsi="宋体" w:cs="宋体"/>
          <w:color w:val="000000" w:themeColor="text1"/>
          <w:kern w:val="0"/>
          <w:szCs w:val="24"/>
          <w14:textFill>
            <w14:solidFill>
              <w14:schemeClr w14:val="tx1"/>
            </w14:solidFill>
          </w14:textFill>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163B4E4">
      <w:pPr>
        <w:pStyle w:val="26"/>
        <w:spacing w:line="360" w:lineRule="auto"/>
        <w:ind w:left="954" w:leftChars="226" w:hanging="479" w:firstLineChars="0"/>
        <w:rPr>
          <w:rFonts w:cs="宋体"/>
          <w:color w:val="000000" w:themeColor="text1"/>
          <w:szCs w:val="21"/>
          <w14:textFill>
            <w14:solidFill>
              <w14:schemeClr w14:val="tx1"/>
            </w14:solidFill>
          </w14:textFill>
        </w:rPr>
      </w:pPr>
      <w:r>
        <w:rPr>
          <w:rFonts w:hint="eastAsia" w:cs="宋体"/>
          <w:b/>
          <w:color w:val="000000" w:themeColor="text1"/>
          <w:kern w:val="0"/>
          <w14:textFill>
            <w14:solidFill>
              <w14:schemeClr w14:val="tx1"/>
            </w14:solidFill>
          </w14:textFill>
        </w:rPr>
        <w:t>4.2交易无效。</w:t>
      </w:r>
      <w:r>
        <w:rPr>
          <w:rFonts w:hint="eastAsia" w:cs="宋体"/>
          <w:color w:val="000000" w:themeColor="text1"/>
          <w:szCs w:val="21"/>
          <w14:textFill>
            <w14:solidFill>
              <w14:schemeClr w14:val="tx1"/>
            </w14:solidFill>
          </w14:textFill>
        </w:rPr>
        <w:t>有下列情形之一的，交易无效：</w:t>
      </w:r>
    </w:p>
    <w:p w14:paraId="2DA4E279">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4.2.1供应商不具备交易文件中规定的资格要求的（供应商未提供有效的资格文件的，视为供应商不具备交易文件中规定的资格要求）；</w:t>
      </w:r>
    </w:p>
    <w:p w14:paraId="7C7FB057">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4.2.2响应文件未按照交易文件要求签署、盖章的；</w:t>
      </w:r>
    </w:p>
    <w:p w14:paraId="0E491041">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4.2.3交易人拟采购的产品属于政府强制采购的节能产品品目清单范围的，供应商未按交易文件要求提供国家确定的认证机构出具的、处于有效期之内的节能产品认证证书的；</w:t>
      </w:r>
    </w:p>
    <w:p w14:paraId="119A2C5D">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4.2.4响应文件含有交易人不能接受的附加条件的；</w:t>
      </w:r>
    </w:p>
    <w:p w14:paraId="5CBF1AFF">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4.2.5响应文件中承诺的交易有效期少于交易文件中载明的交易有效期的；</w:t>
      </w:r>
    </w:p>
    <w:p w14:paraId="6B0DD949">
      <w:pPr>
        <w:snapToGrid w:val="0"/>
        <w:spacing w:line="360" w:lineRule="auto"/>
        <w:ind w:firstLine="120" w:firstLineChars="5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4.2.6响应文件出现不是唯一的、有选择性交易报价的；</w:t>
      </w:r>
    </w:p>
    <w:p w14:paraId="216ED3D4">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4.2.7交易报价超过交易文件中规定的预算金额或者最高限价的；</w:t>
      </w:r>
    </w:p>
    <w:p w14:paraId="1F1DD95F">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4.2.8报价明显低于其他通过符合性审查供应商的报价，有可能影响产品质量或者不能诚信履约的，未能按要求提供书面说明或者提交相关证明材料，不能证明其报价合理性的；</w:t>
      </w:r>
    </w:p>
    <w:p w14:paraId="58A0A50D">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4.2.9供应商对根据修正原则修正后的报价不确认的；</w:t>
      </w:r>
    </w:p>
    <w:p w14:paraId="03C53852">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4.2.10供应商提供虚假材料投标的；</w:t>
      </w:r>
    </w:p>
    <w:p w14:paraId="726DF99B">
      <w:pPr>
        <w:spacing w:line="360" w:lineRule="auto"/>
        <w:ind w:firstLine="240" w:firstLineChars="1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4.2.11供应商有恶意串通、妨碍其他供应商的竞争行为、损害交易人或者其他供应商的合法权益情形的；</w:t>
      </w:r>
    </w:p>
    <w:p w14:paraId="3412CE6A">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4.2.12供应商未在电子交易平台传输递交响应文件的，交易无效；</w:t>
      </w:r>
    </w:p>
    <w:p w14:paraId="4576DA34">
      <w:pPr>
        <w:pStyle w:val="5"/>
        <w:ind w:left="862" w:leftChars="205"/>
        <w:rPr>
          <w:rFonts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14:textFill>
            <w14:solidFill>
              <w14:schemeClr w14:val="tx1"/>
            </w14:solidFill>
          </w14:textFill>
        </w:rPr>
        <w:t>4.2.13响应文件不满足交易文件的其它实质性要求的；</w:t>
      </w:r>
    </w:p>
    <w:p w14:paraId="7C502439">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4.2.14法律、法规、规章（适用本市的）及省级以上规范性文件（适用本市的）规定的其他无效情形。</w:t>
      </w:r>
    </w:p>
    <w:p w14:paraId="413C01E9">
      <w:pPr>
        <w:pStyle w:val="26"/>
        <w:snapToGrid w:val="0"/>
        <w:spacing w:line="360" w:lineRule="auto"/>
        <w:ind w:firstLine="472" w:firstLineChars="196"/>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5.废标。</w:t>
      </w:r>
      <w:r>
        <w:rPr>
          <w:rFonts w:hint="eastAsia" w:cs="宋体"/>
          <w:color w:val="000000" w:themeColor="text1"/>
          <w14:textFill>
            <w14:solidFill>
              <w14:schemeClr w14:val="tx1"/>
            </w14:solidFill>
          </w14:textFill>
        </w:rPr>
        <w:t>根据《中华人民共和国政府采购法》第三十六条之规定，在采购中，出现下列情形之一的，应予废标：</w:t>
      </w:r>
    </w:p>
    <w:p w14:paraId="2411E6DF">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5.1符合专业条件的供应商或者对交易文件作实质响应的供应商不足3家的；</w:t>
      </w:r>
    </w:p>
    <w:p w14:paraId="2FF29A32">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5.2出现影响采购公正的违法、违规行为的；</w:t>
      </w:r>
    </w:p>
    <w:p w14:paraId="4D915681">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5.3供应商的报价均超过了采购预算，交易人不能支付的；</w:t>
      </w:r>
    </w:p>
    <w:p w14:paraId="6B932944">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5.4因重大变故，采购任务取消的。</w:t>
      </w:r>
    </w:p>
    <w:p w14:paraId="6DC703C4">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废标后，采购机构应当将废标理由通知所有供应商。</w:t>
      </w:r>
    </w:p>
    <w:p w14:paraId="3BAEA8F4">
      <w:pPr>
        <w:pStyle w:val="26"/>
        <w:snapToGrid w:val="0"/>
        <w:spacing w:line="360" w:lineRule="auto"/>
        <w:ind w:firstLine="590" w:firstLineChars="245"/>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6.修改交易文件，重新组织采购活动。</w:t>
      </w:r>
      <w:r>
        <w:rPr>
          <w:rFonts w:hint="eastAsia" w:cs="宋体"/>
          <w:color w:val="000000" w:themeColor="text1"/>
          <w14:textFill>
            <w14:solidFill>
              <w14:schemeClr w14:val="tx1"/>
            </w14:solidFill>
          </w14:textFill>
        </w:rPr>
        <w:t>评标委员会发现交易文件存在歧义、重大缺陷导致评标工作无法进行，或者交易文件内容违反国家有关强制性规定的，将停止评标工作，并与交易人、采购机构沟通并作书面记录。交易人、采购机构确认后，将修改交易文件，重新组织采购活动。</w:t>
      </w:r>
    </w:p>
    <w:p w14:paraId="5382A8DC">
      <w:pPr>
        <w:pStyle w:val="26"/>
        <w:snapToGrid w:val="0"/>
        <w:spacing w:line="360" w:lineRule="auto"/>
        <w:ind w:firstLine="590" w:firstLineChars="245"/>
        <w:rPr>
          <w:rFonts w:cs="宋体"/>
          <w:color w:val="000000" w:themeColor="text1"/>
          <w14:textFill>
            <w14:solidFill>
              <w14:schemeClr w14:val="tx1"/>
            </w14:solidFill>
          </w14:textFill>
        </w:rPr>
      </w:pPr>
      <w:r>
        <w:rPr>
          <w:rFonts w:hint="eastAsia" w:cs="宋体"/>
          <w:b/>
          <w:color w:val="000000" w:themeColor="text1"/>
          <w:kern w:val="0"/>
          <w14:textFill>
            <w14:solidFill>
              <w14:schemeClr w14:val="tx1"/>
            </w14:solidFill>
          </w14:textFill>
        </w:rPr>
        <w:t>7.重新开展交易。</w:t>
      </w:r>
      <w:r>
        <w:rPr>
          <w:rFonts w:hint="eastAsia" w:cs="宋体"/>
          <w:color w:val="000000" w:themeColor="text1"/>
          <w14:textFill>
            <w14:solidFill>
              <w14:schemeClr w14:val="tx1"/>
            </w14:solidFill>
          </w14:textFill>
        </w:rPr>
        <w:t>影响或者可能影响</w:t>
      </w:r>
      <w:r>
        <w:rPr>
          <w:rFonts w:hint="eastAsia" w:cs="宋体"/>
          <w:color w:val="000000" w:themeColor="text1"/>
          <w:kern w:val="0"/>
          <w14:textFill>
            <w14:solidFill>
              <w14:schemeClr w14:val="tx1"/>
            </w14:solidFill>
          </w14:textFill>
        </w:rPr>
        <w:t>成交</w:t>
      </w:r>
      <w:r>
        <w:rPr>
          <w:rFonts w:hint="eastAsia" w:cs="宋体"/>
          <w:color w:val="000000" w:themeColor="text1"/>
          <w14:textFill>
            <w14:solidFill>
              <w14:schemeClr w14:val="tx1"/>
            </w14:solidFill>
          </w14:textFill>
        </w:rPr>
        <w:t>、成交结果的，依照下列规定处理：</w:t>
      </w:r>
    </w:p>
    <w:p w14:paraId="6557200A">
      <w:pPr>
        <w:pStyle w:val="26"/>
        <w:snapToGrid w:val="0"/>
        <w:spacing w:line="360" w:lineRule="auto"/>
        <w:ind w:firstLine="600" w:firstLineChars="25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7.1未确定</w:t>
      </w:r>
      <w:r>
        <w:rPr>
          <w:rFonts w:hint="eastAsia" w:cs="宋体"/>
          <w:color w:val="000000" w:themeColor="text1"/>
          <w:kern w:val="0"/>
          <w14:textFill>
            <w14:solidFill>
              <w14:schemeClr w14:val="tx1"/>
            </w14:solidFill>
          </w14:textFill>
        </w:rPr>
        <w:t>成交</w:t>
      </w:r>
      <w:r>
        <w:rPr>
          <w:rFonts w:hint="eastAsia" w:cs="宋体"/>
          <w:color w:val="000000" w:themeColor="text1"/>
          <w14:textFill>
            <w14:solidFill>
              <w14:schemeClr w14:val="tx1"/>
            </w14:solidFill>
          </w14:textFill>
        </w:rPr>
        <w:t>或者成交人的，终止本次交易活动，重新开展交易活动。</w:t>
      </w:r>
    </w:p>
    <w:p w14:paraId="40B39EC6">
      <w:pPr>
        <w:pStyle w:val="26"/>
        <w:snapToGrid w:val="0"/>
        <w:spacing w:line="360" w:lineRule="auto"/>
        <w:ind w:firstLine="600" w:firstLineChars="25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7.2已确定</w:t>
      </w:r>
      <w:r>
        <w:rPr>
          <w:rFonts w:hint="eastAsia" w:cs="宋体"/>
          <w:color w:val="000000" w:themeColor="text1"/>
          <w:kern w:val="0"/>
          <w14:textFill>
            <w14:solidFill>
              <w14:schemeClr w14:val="tx1"/>
            </w14:solidFill>
          </w14:textFill>
        </w:rPr>
        <w:t>成交</w:t>
      </w:r>
      <w:r>
        <w:rPr>
          <w:rFonts w:hint="eastAsia" w:cs="宋体"/>
          <w:color w:val="000000" w:themeColor="text1"/>
          <w14:textFill>
            <w14:solidFill>
              <w14:schemeClr w14:val="tx1"/>
            </w14:solidFill>
          </w14:textFill>
        </w:rPr>
        <w:t>或者成交人但尚未签订合同的，</w:t>
      </w:r>
      <w:r>
        <w:rPr>
          <w:rFonts w:hint="eastAsia" w:cs="宋体"/>
          <w:color w:val="000000" w:themeColor="text1"/>
          <w:kern w:val="0"/>
          <w14:textFill>
            <w14:solidFill>
              <w14:schemeClr w14:val="tx1"/>
            </w14:solidFill>
          </w14:textFill>
        </w:rPr>
        <w:t>成交</w:t>
      </w:r>
      <w:r>
        <w:rPr>
          <w:rFonts w:hint="eastAsia" w:cs="宋体"/>
          <w:color w:val="000000" w:themeColor="text1"/>
          <w14:textFill>
            <w14:solidFill>
              <w14:schemeClr w14:val="tx1"/>
            </w14:solidFill>
          </w14:textFill>
        </w:rPr>
        <w:t>或者成交结果无效，从合格的</w:t>
      </w:r>
      <w:r>
        <w:rPr>
          <w:rFonts w:hint="eastAsia" w:cs="宋体"/>
          <w:color w:val="000000" w:themeColor="text1"/>
          <w:kern w:val="0"/>
          <w14:textFill>
            <w14:solidFill>
              <w14:schemeClr w14:val="tx1"/>
            </w14:solidFill>
          </w14:textFill>
        </w:rPr>
        <w:t>成交</w:t>
      </w:r>
      <w:r>
        <w:rPr>
          <w:rFonts w:hint="eastAsia" w:cs="宋体"/>
          <w:color w:val="000000" w:themeColor="text1"/>
          <w14:textFill>
            <w14:solidFill>
              <w14:schemeClr w14:val="tx1"/>
            </w14:solidFill>
          </w14:textFill>
        </w:rPr>
        <w:t>或者成交候选人中另行确定</w:t>
      </w:r>
      <w:r>
        <w:rPr>
          <w:rFonts w:hint="eastAsia" w:cs="宋体"/>
          <w:color w:val="000000" w:themeColor="text1"/>
          <w:kern w:val="0"/>
          <w14:textFill>
            <w14:solidFill>
              <w14:schemeClr w14:val="tx1"/>
            </w14:solidFill>
          </w14:textFill>
        </w:rPr>
        <w:t>成交</w:t>
      </w:r>
      <w:r>
        <w:rPr>
          <w:rFonts w:hint="eastAsia" w:cs="宋体"/>
          <w:color w:val="000000" w:themeColor="text1"/>
          <w14:textFill>
            <w14:solidFill>
              <w14:schemeClr w14:val="tx1"/>
            </w14:solidFill>
          </w14:textFill>
        </w:rPr>
        <w:t>或者成交人；没有合格的</w:t>
      </w:r>
      <w:r>
        <w:rPr>
          <w:rFonts w:hint="eastAsia" w:cs="宋体"/>
          <w:color w:val="000000" w:themeColor="text1"/>
          <w:kern w:val="0"/>
          <w14:textFill>
            <w14:solidFill>
              <w14:schemeClr w14:val="tx1"/>
            </w14:solidFill>
          </w14:textFill>
        </w:rPr>
        <w:t>成交</w:t>
      </w:r>
      <w:r>
        <w:rPr>
          <w:rFonts w:hint="eastAsia" w:cs="宋体"/>
          <w:color w:val="000000" w:themeColor="text1"/>
          <w14:textFill>
            <w14:solidFill>
              <w14:schemeClr w14:val="tx1"/>
            </w14:solidFill>
          </w14:textFill>
        </w:rPr>
        <w:t>或者成交候选人的，重新开展交易活动。</w:t>
      </w:r>
    </w:p>
    <w:p w14:paraId="69A1B137">
      <w:pPr>
        <w:pStyle w:val="26"/>
        <w:snapToGrid w:val="0"/>
        <w:spacing w:line="360" w:lineRule="auto"/>
        <w:ind w:firstLine="600" w:firstLineChars="25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7.3采购合同已签订但尚未履行的，撤销合同，从合格的</w:t>
      </w:r>
      <w:r>
        <w:rPr>
          <w:rFonts w:hint="eastAsia" w:cs="宋体"/>
          <w:color w:val="000000" w:themeColor="text1"/>
          <w:kern w:val="0"/>
          <w14:textFill>
            <w14:solidFill>
              <w14:schemeClr w14:val="tx1"/>
            </w14:solidFill>
          </w14:textFill>
        </w:rPr>
        <w:t>成交</w:t>
      </w:r>
      <w:r>
        <w:rPr>
          <w:rFonts w:hint="eastAsia" w:cs="宋体"/>
          <w:color w:val="000000" w:themeColor="text1"/>
          <w14:textFill>
            <w14:solidFill>
              <w14:schemeClr w14:val="tx1"/>
            </w14:solidFill>
          </w14:textFill>
        </w:rPr>
        <w:t>或者成交候选人中另行确定</w:t>
      </w:r>
      <w:r>
        <w:rPr>
          <w:rFonts w:hint="eastAsia" w:cs="宋体"/>
          <w:color w:val="000000" w:themeColor="text1"/>
          <w:kern w:val="0"/>
          <w14:textFill>
            <w14:solidFill>
              <w14:schemeClr w14:val="tx1"/>
            </w14:solidFill>
          </w14:textFill>
        </w:rPr>
        <w:t>成交</w:t>
      </w:r>
      <w:r>
        <w:rPr>
          <w:rFonts w:hint="eastAsia" w:cs="宋体"/>
          <w:color w:val="000000" w:themeColor="text1"/>
          <w14:textFill>
            <w14:solidFill>
              <w14:schemeClr w14:val="tx1"/>
            </w14:solidFill>
          </w14:textFill>
        </w:rPr>
        <w:t>或者成交人；没有合格的</w:t>
      </w:r>
      <w:r>
        <w:rPr>
          <w:rFonts w:hint="eastAsia" w:cs="宋体"/>
          <w:color w:val="000000" w:themeColor="text1"/>
          <w:kern w:val="0"/>
          <w14:textFill>
            <w14:solidFill>
              <w14:schemeClr w14:val="tx1"/>
            </w14:solidFill>
          </w14:textFill>
        </w:rPr>
        <w:t>成交</w:t>
      </w:r>
      <w:r>
        <w:rPr>
          <w:rFonts w:hint="eastAsia" w:cs="宋体"/>
          <w:color w:val="000000" w:themeColor="text1"/>
          <w14:textFill>
            <w14:solidFill>
              <w14:schemeClr w14:val="tx1"/>
            </w14:solidFill>
          </w14:textFill>
        </w:rPr>
        <w:t>或者成交候选人的，重新开展交易活动。</w:t>
      </w:r>
    </w:p>
    <w:p w14:paraId="5E1D98A4">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7.4采购合同已经履行，给交易人、供应商造成损失的，由责任人承担赔偿责任。</w:t>
      </w:r>
    </w:p>
    <w:p w14:paraId="61BBF0B5">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7.5采购当事人有其他违反政府采购法</w:t>
      </w:r>
      <w:r>
        <w:rPr>
          <w:rFonts w:hint="eastAsia" w:cs="宋体"/>
          <w:color w:val="000000" w:themeColor="text1"/>
          <w:kern w:val="0"/>
          <w14:textFill>
            <w14:solidFill>
              <w14:schemeClr w14:val="tx1"/>
            </w14:solidFill>
          </w14:textFill>
        </w:rPr>
        <w:t>或者政府采购法实施条例等法律法规规定</w:t>
      </w:r>
      <w:r>
        <w:rPr>
          <w:rFonts w:hint="eastAsia" w:cs="宋体"/>
          <w:color w:val="000000" w:themeColor="text1"/>
          <w14:textFill>
            <w14:solidFill>
              <w14:schemeClr w14:val="tx1"/>
            </w14:solidFill>
          </w14:textFill>
        </w:rPr>
        <w:t>的行为，经改正后仍然影响或者可能影响</w:t>
      </w:r>
      <w:r>
        <w:rPr>
          <w:rFonts w:hint="eastAsia" w:cs="宋体"/>
          <w:color w:val="000000" w:themeColor="text1"/>
          <w:kern w:val="0"/>
          <w14:textFill>
            <w14:solidFill>
              <w14:schemeClr w14:val="tx1"/>
            </w14:solidFill>
          </w14:textFill>
        </w:rPr>
        <w:t>成交</w:t>
      </w:r>
      <w:r>
        <w:rPr>
          <w:rFonts w:hint="eastAsia" w:cs="宋体"/>
          <w:color w:val="000000" w:themeColor="text1"/>
          <w14:textFill>
            <w14:solidFill>
              <w14:schemeClr w14:val="tx1"/>
            </w14:solidFill>
          </w14:textFill>
        </w:rPr>
        <w:t>、成交结果或者依法被认定为</w:t>
      </w:r>
      <w:r>
        <w:rPr>
          <w:rFonts w:hint="eastAsia" w:cs="宋体"/>
          <w:color w:val="000000" w:themeColor="text1"/>
          <w:kern w:val="0"/>
          <w14:textFill>
            <w14:solidFill>
              <w14:schemeClr w14:val="tx1"/>
            </w14:solidFill>
          </w14:textFill>
        </w:rPr>
        <w:t>成交</w:t>
      </w:r>
      <w:r>
        <w:rPr>
          <w:rFonts w:hint="eastAsia" w:cs="宋体"/>
          <w:color w:val="000000" w:themeColor="text1"/>
          <w14:textFill>
            <w14:solidFill>
              <w14:schemeClr w14:val="tx1"/>
            </w14:solidFill>
          </w14:textFill>
        </w:rPr>
        <w:t>、成交无效的，依照7.1-7.4规定处理。</w:t>
      </w:r>
    </w:p>
    <w:p w14:paraId="0DC38408">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 </w:t>
      </w:r>
    </w:p>
    <w:p w14:paraId="5F84C6FA">
      <w:pPr>
        <w:pStyle w:val="17"/>
        <w:rPr>
          <w:rFonts w:hAnsi="宋体" w:cs="宋体"/>
          <w:color w:val="000000" w:themeColor="text1"/>
          <w14:textFill>
            <w14:solidFill>
              <w14:schemeClr w14:val="tx1"/>
            </w14:solidFill>
          </w14:textFill>
        </w:rPr>
      </w:pPr>
    </w:p>
    <w:p w14:paraId="1A691870">
      <w:pPr>
        <w:rPr>
          <w:rFonts w:ascii="宋体" w:hAnsi="宋体" w:cs="宋体"/>
          <w:color w:val="000000" w:themeColor="text1"/>
          <w14:textFill>
            <w14:solidFill>
              <w14:schemeClr w14:val="tx1"/>
            </w14:solidFill>
          </w14:textFill>
        </w:rPr>
      </w:pPr>
    </w:p>
    <w:p w14:paraId="4AFBE86B">
      <w:pP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br w:type="page"/>
      </w:r>
    </w:p>
    <w:p w14:paraId="63085864">
      <w:pPr>
        <w:spacing w:line="360" w:lineRule="auto"/>
        <w:ind w:left="718" w:leftChars="342" w:firstLine="119" w:firstLineChars="33"/>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第五部分 拟签订的合同文本</w:t>
      </w:r>
    </w:p>
    <w:p w14:paraId="40A6C274">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合同编号：</w:t>
      </w:r>
    </w:p>
    <w:p w14:paraId="54CAC923">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签订地点：                                 签订时间：202</w:t>
      </w:r>
      <w:r>
        <w:rPr>
          <w:rFonts w:hint="eastAsia" w:cs="宋体"/>
          <w:color w:val="000000" w:themeColor="text1"/>
          <w:lang w:val="en-US" w:eastAsia="zh-CN"/>
          <w14:textFill>
            <w14:solidFill>
              <w14:schemeClr w14:val="tx1"/>
            </w14:solidFill>
          </w14:textFill>
        </w:rPr>
        <w:t>4</w:t>
      </w:r>
      <w:r>
        <w:rPr>
          <w:rFonts w:hint="eastAsia" w:cs="宋体"/>
          <w:color w:val="000000" w:themeColor="text1"/>
          <w14:textFill>
            <w14:solidFill>
              <w14:schemeClr w14:val="tx1"/>
            </w14:solidFill>
          </w14:textFill>
        </w:rPr>
        <w:t>年  月  日</w:t>
      </w:r>
    </w:p>
    <w:p w14:paraId="32002D32">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项目名称：</w:t>
      </w:r>
    </w:p>
    <w:p w14:paraId="0F37AB8B">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甲方（需方）：                                     </w:t>
      </w:r>
    </w:p>
    <w:p w14:paraId="6B603703">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乙方（供方）：                                     </w:t>
      </w:r>
    </w:p>
    <w:p w14:paraId="0193429A">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供、需双方根据</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项目（招标编号  -  -   ）成交结果和交易文件的要求，并经双方协调一致，订立本采购合同。</w:t>
      </w:r>
    </w:p>
    <w:p w14:paraId="0D12F277">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一、合同文件：</w:t>
      </w:r>
    </w:p>
    <w:p w14:paraId="7980381C">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1、合同条款。</w:t>
      </w:r>
    </w:p>
    <w:p w14:paraId="594C1874">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2、成交通知书。</w:t>
      </w:r>
    </w:p>
    <w:p w14:paraId="5107DA38">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3、交易文件。</w:t>
      </w:r>
    </w:p>
    <w:p w14:paraId="485A12A1">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4、更正公告。</w:t>
      </w:r>
    </w:p>
    <w:p w14:paraId="3850BDEE">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5、成交单位响应文件。</w:t>
      </w:r>
    </w:p>
    <w:p w14:paraId="19EB1AEA">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6、其他。</w:t>
      </w:r>
    </w:p>
    <w:p w14:paraId="2EF4EB87">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二、合同金额: 本合同金额为（大写）</w:t>
      </w:r>
      <w:r>
        <w:rPr>
          <w:rFonts w:hint="eastAsia" w:cs="宋体"/>
          <w:color w:val="000000" w:themeColor="text1"/>
          <w:u w:val="single"/>
          <w14:textFill>
            <w14:solidFill>
              <w14:schemeClr w14:val="tx1"/>
            </w14:solidFill>
          </w14:textFill>
        </w:rPr>
        <w:t>　　　　</w:t>
      </w:r>
      <w:r>
        <w:rPr>
          <w:rFonts w:hint="eastAsia" w:cs="宋体"/>
          <w:color w:val="000000" w:themeColor="text1"/>
          <w14:textFill>
            <w14:solidFill>
              <w14:schemeClr w14:val="tx1"/>
            </w14:solidFill>
          </w14:textFill>
        </w:rPr>
        <w:t>元（￥</w:t>
      </w:r>
      <w:r>
        <w:rPr>
          <w:rFonts w:hint="eastAsia" w:cs="宋体"/>
          <w:color w:val="000000" w:themeColor="text1"/>
          <w:u w:val="single"/>
          <w14:textFill>
            <w14:solidFill>
              <w14:schemeClr w14:val="tx1"/>
            </w14:solidFill>
          </w14:textFill>
        </w:rPr>
        <w:t>　　　　</w:t>
      </w:r>
      <w:r>
        <w:rPr>
          <w:rFonts w:hint="eastAsia" w:cs="宋体"/>
          <w:color w:val="000000" w:themeColor="text1"/>
          <w14:textFill>
            <w14:solidFill>
              <w14:schemeClr w14:val="tx1"/>
            </w14:solidFill>
          </w14:textFill>
        </w:rPr>
        <w:t>元）人民币。</w:t>
      </w:r>
    </w:p>
    <w:p w14:paraId="35485D18">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附：</w:t>
      </w:r>
    </w:p>
    <w:p w14:paraId="1817E6A4">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《采购项目清单内容》</w:t>
      </w:r>
    </w:p>
    <w:tbl>
      <w:tblPr>
        <w:tblStyle w:val="64"/>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14:paraId="5529B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6C342948">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637" w:type="dxa"/>
            <w:tcBorders>
              <w:top w:val="single" w:color="auto" w:sz="4" w:space="0"/>
              <w:left w:val="single" w:color="auto" w:sz="4" w:space="0"/>
              <w:bottom w:val="single" w:color="auto" w:sz="4" w:space="0"/>
              <w:right w:val="single" w:color="auto" w:sz="4" w:space="0"/>
            </w:tcBorders>
            <w:vAlign w:val="center"/>
          </w:tcPr>
          <w:p w14:paraId="7B283221">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w:t>
            </w:r>
          </w:p>
        </w:tc>
        <w:tc>
          <w:tcPr>
            <w:tcW w:w="1972" w:type="dxa"/>
            <w:tcBorders>
              <w:top w:val="single" w:color="auto" w:sz="4" w:space="0"/>
              <w:left w:val="single" w:color="auto" w:sz="4" w:space="0"/>
              <w:bottom w:val="single" w:color="auto" w:sz="4" w:space="0"/>
              <w:right w:val="single" w:color="auto" w:sz="4" w:space="0"/>
            </w:tcBorders>
            <w:vAlign w:val="center"/>
          </w:tcPr>
          <w:p w14:paraId="6D9E9B64">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成交内容</w:t>
            </w:r>
          </w:p>
        </w:tc>
        <w:tc>
          <w:tcPr>
            <w:tcW w:w="961" w:type="dxa"/>
            <w:tcBorders>
              <w:top w:val="single" w:color="auto" w:sz="4" w:space="0"/>
              <w:left w:val="single" w:color="auto" w:sz="4" w:space="0"/>
              <w:bottom w:val="single" w:color="auto" w:sz="4" w:space="0"/>
              <w:right w:val="single" w:color="auto" w:sz="4" w:space="0"/>
            </w:tcBorders>
            <w:vAlign w:val="center"/>
          </w:tcPr>
          <w:p w14:paraId="3E2C0468">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w:t>
            </w:r>
          </w:p>
        </w:tc>
        <w:tc>
          <w:tcPr>
            <w:tcW w:w="2356" w:type="dxa"/>
            <w:tcBorders>
              <w:top w:val="single" w:color="auto" w:sz="4" w:space="0"/>
              <w:left w:val="single" w:color="auto" w:sz="4" w:space="0"/>
              <w:bottom w:val="single" w:color="auto" w:sz="4" w:space="0"/>
              <w:right w:val="single" w:color="auto" w:sz="4" w:space="0"/>
            </w:tcBorders>
            <w:vAlign w:val="center"/>
          </w:tcPr>
          <w:p w14:paraId="362F96E1">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成交总价（元）</w:t>
            </w:r>
          </w:p>
        </w:tc>
      </w:tr>
      <w:tr w14:paraId="5DA27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7109C23F">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637" w:type="dxa"/>
            <w:tcBorders>
              <w:top w:val="single" w:color="auto" w:sz="4" w:space="0"/>
              <w:left w:val="single" w:color="auto" w:sz="4" w:space="0"/>
              <w:bottom w:val="single" w:color="auto" w:sz="4" w:space="0"/>
              <w:right w:val="single" w:color="auto" w:sz="4" w:space="0"/>
            </w:tcBorders>
            <w:vAlign w:val="center"/>
          </w:tcPr>
          <w:p w14:paraId="44505381">
            <w:pPr>
              <w:spacing w:line="360" w:lineRule="auto"/>
              <w:jc w:val="center"/>
              <w:rPr>
                <w:rFonts w:ascii="宋体" w:hAnsi="宋体" w:cs="宋体"/>
                <w:color w:val="000000" w:themeColor="text1"/>
                <w:sz w:val="24"/>
                <w14:textFill>
                  <w14:solidFill>
                    <w14:schemeClr w14:val="tx1"/>
                  </w14:solidFill>
                </w14:textFill>
              </w:rPr>
            </w:pPr>
          </w:p>
        </w:tc>
        <w:tc>
          <w:tcPr>
            <w:tcW w:w="1972" w:type="dxa"/>
            <w:tcBorders>
              <w:top w:val="single" w:color="auto" w:sz="4" w:space="0"/>
              <w:left w:val="single" w:color="auto" w:sz="4" w:space="0"/>
              <w:bottom w:val="single" w:color="auto" w:sz="4" w:space="0"/>
              <w:right w:val="single" w:color="auto" w:sz="4" w:space="0"/>
            </w:tcBorders>
            <w:vAlign w:val="center"/>
          </w:tcPr>
          <w:p w14:paraId="3AFDF00C">
            <w:pPr>
              <w:spacing w:line="360" w:lineRule="auto"/>
              <w:jc w:val="center"/>
              <w:rPr>
                <w:rFonts w:ascii="宋体" w:hAnsi="宋体" w:cs="宋体"/>
                <w:color w:val="000000" w:themeColor="text1"/>
                <w:sz w:val="24"/>
                <w14:textFill>
                  <w14:solidFill>
                    <w14:schemeClr w14:val="tx1"/>
                  </w14:solidFill>
                </w14:textFill>
              </w:rPr>
            </w:pPr>
          </w:p>
        </w:tc>
        <w:tc>
          <w:tcPr>
            <w:tcW w:w="961" w:type="dxa"/>
            <w:tcBorders>
              <w:top w:val="single" w:color="auto" w:sz="4" w:space="0"/>
              <w:left w:val="single" w:color="auto" w:sz="4" w:space="0"/>
              <w:bottom w:val="single" w:color="auto" w:sz="4" w:space="0"/>
              <w:right w:val="single" w:color="auto" w:sz="4" w:space="0"/>
            </w:tcBorders>
            <w:vAlign w:val="center"/>
          </w:tcPr>
          <w:p w14:paraId="154578C8">
            <w:pPr>
              <w:spacing w:line="360" w:lineRule="auto"/>
              <w:jc w:val="center"/>
              <w:rPr>
                <w:rFonts w:ascii="宋体" w:hAnsi="宋体" w:cs="宋体"/>
                <w:color w:val="000000" w:themeColor="text1"/>
                <w:sz w:val="24"/>
                <w14:textFill>
                  <w14:solidFill>
                    <w14:schemeClr w14:val="tx1"/>
                  </w14:solidFill>
                </w14:textFill>
              </w:rPr>
            </w:pPr>
          </w:p>
        </w:tc>
        <w:tc>
          <w:tcPr>
            <w:tcW w:w="2356" w:type="dxa"/>
            <w:tcBorders>
              <w:top w:val="single" w:color="auto" w:sz="4" w:space="0"/>
              <w:left w:val="single" w:color="auto" w:sz="4" w:space="0"/>
              <w:bottom w:val="single" w:color="auto" w:sz="4" w:space="0"/>
              <w:right w:val="single" w:color="auto" w:sz="4" w:space="0"/>
            </w:tcBorders>
            <w:vAlign w:val="center"/>
          </w:tcPr>
          <w:p w14:paraId="0C0F3E9F">
            <w:pPr>
              <w:spacing w:line="360" w:lineRule="auto"/>
              <w:jc w:val="center"/>
              <w:rPr>
                <w:rFonts w:ascii="宋体" w:hAnsi="宋体" w:cs="宋体"/>
                <w:color w:val="000000" w:themeColor="text1"/>
                <w:sz w:val="24"/>
                <w14:textFill>
                  <w14:solidFill>
                    <w14:schemeClr w14:val="tx1"/>
                  </w14:solidFill>
                </w14:textFill>
              </w:rPr>
            </w:pPr>
          </w:p>
        </w:tc>
      </w:tr>
      <w:tr w14:paraId="265D7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1837A9A9">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637" w:type="dxa"/>
            <w:tcBorders>
              <w:top w:val="single" w:color="auto" w:sz="4" w:space="0"/>
              <w:left w:val="single" w:color="auto" w:sz="4" w:space="0"/>
              <w:bottom w:val="single" w:color="auto" w:sz="4" w:space="0"/>
              <w:right w:val="single" w:color="auto" w:sz="4" w:space="0"/>
            </w:tcBorders>
            <w:vAlign w:val="center"/>
          </w:tcPr>
          <w:p w14:paraId="24D425A3">
            <w:pPr>
              <w:spacing w:line="360" w:lineRule="auto"/>
              <w:jc w:val="center"/>
              <w:rPr>
                <w:rFonts w:ascii="宋体" w:hAnsi="宋体" w:cs="宋体"/>
                <w:color w:val="000000" w:themeColor="text1"/>
                <w:sz w:val="24"/>
                <w14:textFill>
                  <w14:solidFill>
                    <w14:schemeClr w14:val="tx1"/>
                  </w14:solidFill>
                </w14:textFill>
              </w:rPr>
            </w:pPr>
          </w:p>
        </w:tc>
        <w:tc>
          <w:tcPr>
            <w:tcW w:w="1972" w:type="dxa"/>
            <w:tcBorders>
              <w:top w:val="single" w:color="auto" w:sz="4" w:space="0"/>
              <w:left w:val="single" w:color="auto" w:sz="4" w:space="0"/>
              <w:bottom w:val="single" w:color="auto" w:sz="4" w:space="0"/>
              <w:right w:val="single" w:color="auto" w:sz="4" w:space="0"/>
            </w:tcBorders>
            <w:vAlign w:val="center"/>
          </w:tcPr>
          <w:p w14:paraId="676D9B20">
            <w:pPr>
              <w:spacing w:line="360" w:lineRule="auto"/>
              <w:jc w:val="center"/>
              <w:rPr>
                <w:rFonts w:ascii="宋体" w:hAnsi="宋体" w:cs="宋体"/>
                <w:color w:val="000000" w:themeColor="text1"/>
                <w:sz w:val="24"/>
                <w14:textFill>
                  <w14:solidFill>
                    <w14:schemeClr w14:val="tx1"/>
                  </w14:solidFill>
                </w14:textFill>
              </w:rPr>
            </w:pPr>
          </w:p>
        </w:tc>
        <w:tc>
          <w:tcPr>
            <w:tcW w:w="961" w:type="dxa"/>
            <w:tcBorders>
              <w:top w:val="single" w:color="auto" w:sz="4" w:space="0"/>
              <w:left w:val="single" w:color="auto" w:sz="4" w:space="0"/>
              <w:bottom w:val="single" w:color="auto" w:sz="4" w:space="0"/>
              <w:right w:val="single" w:color="auto" w:sz="4" w:space="0"/>
            </w:tcBorders>
            <w:vAlign w:val="center"/>
          </w:tcPr>
          <w:p w14:paraId="164032F7">
            <w:pPr>
              <w:spacing w:line="360" w:lineRule="auto"/>
              <w:jc w:val="center"/>
              <w:rPr>
                <w:rFonts w:ascii="宋体" w:hAnsi="宋体" w:cs="宋体"/>
                <w:color w:val="000000" w:themeColor="text1"/>
                <w:sz w:val="24"/>
                <w14:textFill>
                  <w14:solidFill>
                    <w14:schemeClr w14:val="tx1"/>
                  </w14:solidFill>
                </w14:textFill>
              </w:rPr>
            </w:pPr>
          </w:p>
        </w:tc>
        <w:tc>
          <w:tcPr>
            <w:tcW w:w="2356" w:type="dxa"/>
            <w:tcBorders>
              <w:top w:val="single" w:color="auto" w:sz="4" w:space="0"/>
              <w:left w:val="single" w:color="auto" w:sz="4" w:space="0"/>
              <w:bottom w:val="single" w:color="auto" w:sz="4" w:space="0"/>
              <w:right w:val="single" w:color="auto" w:sz="4" w:space="0"/>
            </w:tcBorders>
            <w:vAlign w:val="center"/>
          </w:tcPr>
          <w:p w14:paraId="7FECB182">
            <w:pPr>
              <w:spacing w:line="360" w:lineRule="auto"/>
              <w:jc w:val="center"/>
              <w:rPr>
                <w:rFonts w:ascii="宋体" w:hAnsi="宋体" w:cs="宋体"/>
                <w:color w:val="000000" w:themeColor="text1"/>
                <w:sz w:val="24"/>
                <w14:textFill>
                  <w14:solidFill>
                    <w14:schemeClr w14:val="tx1"/>
                  </w14:solidFill>
                </w14:textFill>
              </w:rPr>
            </w:pPr>
          </w:p>
        </w:tc>
      </w:tr>
    </w:tbl>
    <w:p w14:paraId="6F1F9481">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三、技术资料</w:t>
      </w:r>
    </w:p>
    <w:p w14:paraId="10FDE51A">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1.乙方应按交易文件规定的时间向甲方提供有关技术资料。</w:t>
      </w:r>
    </w:p>
    <w:p w14:paraId="3CD19F5D">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0CB525F1">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四、转包或分包</w:t>
      </w:r>
    </w:p>
    <w:p w14:paraId="2EC9015A">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1.本合同范围的服务，应由乙方直接提供，乙方不得将本合同范围的服务全部或部分分包给他人供应；</w:t>
      </w:r>
    </w:p>
    <w:p w14:paraId="332DFD1B">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2.如有转让和未经甲方同意的分包行为，甲方有权解除合同，追究乙方的违约责任。</w:t>
      </w:r>
    </w:p>
    <w:p w14:paraId="7E08D1C8">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五、服务质量保证期</w:t>
      </w:r>
    </w:p>
    <w:p w14:paraId="30C90DFE">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 服务时间：</w:t>
      </w:r>
    </w:p>
    <w:p w14:paraId="4624ADAD">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六、合同履行时间、履行方式及履行地点</w:t>
      </w:r>
    </w:p>
    <w:p w14:paraId="635B499A">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 履行时间：</w:t>
      </w:r>
    </w:p>
    <w:p w14:paraId="6F38B8CA">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 履行方式：按合同履行。</w:t>
      </w:r>
    </w:p>
    <w:p w14:paraId="2D860334">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 履行地点：甲方指定地点内。</w:t>
      </w:r>
    </w:p>
    <w:p w14:paraId="74AA4222">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七、款项支付</w:t>
      </w:r>
    </w:p>
    <w:p w14:paraId="48465DD2">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参照交易需求。</w:t>
      </w:r>
    </w:p>
    <w:p w14:paraId="14BA7175">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八、税费</w:t>
      </w:r>
    </w:p>
    <w:p w14:paraId="655DB8A2">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本合同执行中相关的一切税费均由乙方负担。</w:t>
      </w:r>
    </w:p>
    <w:p w14:paraId="5F46F955">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九、质量保证及后续服务</w:t>
      </w:r>
    </w:p>
    <w:p w14:paraId="35C47D7A">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 乙方应按招标文件规定向甲方提供服务。</w:t>
      </w:r>
    </w:p>
    <w:p w14:paraId="6B375C30">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 乙方提供的服务发生问题或产出重大不良影响的，除按结算条款扣除结算金额外，乙方应负责免费提供后续善后服务，同时承担相应责任。</w:t>
      </w:r>
    </w:p>
    <w:p w14:paraId="013120DE">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十、违约责任</w:t>
      </w:r>
    </w:p>
    <w:p w14:paraId="614ABD90">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1.甲方无正当理由拒绝接收服务的，甲方向乙方偿付合同款项百分之五作为违约金。</w:t>
      </w:r>
    </w:p>
    <w:p w14:paraId="1B976BF2">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乙方未能如期提供服务的，每日向甲方支付合同款项的千分之六作为违约金。乙方超过约定日期10个工作日仍不能提供服务的，甲方可解除本合同，追究乙赔偿责任。4.如发现乙方违反招投标文件和合同的有关规定，甲方有权根据约定和《杭州市政府采购供应商合同履行和售后服务考核暂行办法》，对乙方进行处罚，并有权提前终止合同。</w:t>
      </w:r>
    </w:p>
    <w:p w14:paraId="28D5BF0D">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十一、争议的解决</w:t>
      </w:r>
    </w:p>
    <w:p w14:paraId="76981D52">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因本合同引起的或与本合同有关的任何争议，合同双方应首先通过协商解决，达成书面协议，如协商不成，可选择下列方式解决。</w:t>
      </w:r>
    </w:p>
    <w:p w14:paraId="5AE753BF">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（1）提请杭州仲裁委员会按照该会仲裁规则进行仲裁，仲裁裁决是终局的，对合同双方均有约束力。</w:t>
      </w:r>
    </w:p>
    <w:p w14:paraId="2F7B1404">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（2）向有管辖权的人民法院提起诉讼。</w:t>
      </w:r>
    </w:p>
    <w:p w14:paraId="3E087237">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十二、合同生效</w:t>
      </w:r>
    </w:p>
    <w:p w14:paraId="2200AF15">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1.中标方持中标通知书作为与需方签订合同的凭证。</w:t>
      </w:r>
    </w:p>
    <w:p w14:paraId="775CF562">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2.本合同经需、供双方法定代表人（符合浙财采监【2013】24号第六条规定的为负责人）或其授权委托人签字并加盖单位公章后生效。</w:t>
      </w:r>
    </w:p>
    <w:p w14:paraId="73581508">
      <w:pPr>
        <w:pStyle w:val="26"/>
        <w:snapToGrid w:val="0"/>
        <w:spacing w:line="360" w:lineRule="auto"/>
        <w:rPr>
          <w:rFonts w:cs="宋体"/>
          <w:color w:val="000000" w:themeColor="text1"/>
          <w14:textFill>
            <w14:solidFill>
              <w14:schemeClr w14:val="tx1"/>
            </w14:solidFill>
          </w14:textFill>
        </w:rPr>
      </w:pPr>
    </w:p>
    <w:p w14:paraId="4630055A">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需方（盖章）：                     供方（盖章）：</w:t>
      </w:r>
    </w:p>
    <w:p w14:paraId="2036A5C3">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地址：                             地址：</w:t>
      </w:r>
    </w:p>
    <w:p w14:paraId="5DCBACED">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法定代表人（或委托代理人）签名：   法定代表人（或委托代理人）签名：</w:t>
      </w:r>
    </w:p>
    <w:p w14:paraId="3B51749F">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联系电话：                         联系电话：</w:t>
      </w:r>
    </w:p>
    <w:p w14:paraId="2E6E46AF">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邮政编码：                         邮政编码：</w:t>
      </w:r>
    </w:p>
    <w:p w14:paraId="7EBD68F9">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开户银行：                         开户银行：      </w:t>
      </w:r>
    </w:p>
    <w:p w14:paraId="3CB291A7">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帐号：                             帐号：</w:t>
      </w:r>
    </w:p>
    <w:p w14:paraId="1B3B689B">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14:paraId="3972D4E9">
      <w:pPr>
        <w:rPr>
          <w:color w:val="000000" w:themeColor="text1"/>
          <w14:textFill>
            <w14:solidFill>
              <w14:schemeClr w14:val="tx1"/>
            </w14:solidFill>
          </w14:textFill>
        </w:rPr>
      </w:pPr>
    </w:p>
    <w:p w14:paraId="51CE657C">
      <w:pPr>
        <w:spacing w:line="360" w:lineRule="auto"/>
        <w:ind w:left="720" w:firstLine="723" w:firstLineChars="200"/>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第六部分</w:t>
      </w:r>
      <w:bookmarkEnd w:id="385"/>
      <w:r>
        <w:rPr>
          <w:rFonts w:hint="eastAsia" w:ascii="宋体" w:hAnsi="宋体" w:cs="宋体"/>
          <w:b/>
          <w:color w:val="000000" w:themeColor="text1"/>
          <w:sz w:val="36"/>
          <w:szCs w:val="20"/>
          <w14:textFill>
            <w14:solidFill>
              <w14:schemeClr w14:val="tx1"/>
            </w14:solidFill>
          </w14:textFill>
        </w:rPr>
        <w:t xml:space="preserve"> </w:t>
      </w:r>
      <w:bookmarkEnd w:id="386"/>
      <w:r>
        <w:rPr>
          <w:rFonts w:hint="eastAsia" w:ascii="宋体" w:hAnsi="宋体" w:cs="宋体"/>
          <w:b/>
          <w:color w:val="000000" w:themeColor="text1"/>
          <w:sz w:val="36"/>
          <w:szCs w:val="20"/>
          <w14:textFill>
            <w14:solidFill>
              <w14:schemeClr w14:val="tx1"/>
            </w14:solidFill>
          </w14:textFill>
        </w:rPr>
        <w:t>应提交的有关格式范例</w:t>
      </w:r>
    </w:p>
    <w:p w14:paraId="18E1D278">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14:paraId="35E9179F">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资格文件部分</w:t>
      </w:r>
    </w:p>
    <w:p w14:paraId="4A9491C5">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14:paraId="03D95323">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14:paraId="3F396CE0">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（1）符合参加交易活动应当具备的一般条件的承诺函…………………（页码）</w:t>
      </w:r>
    </w:p>
    <w:p w14:paraId="1BA14561">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（2）本项目的特定资格要求………………………………………………（页码）</w:t>
      </w:r>
    </w:p>
    <w:p w14:paraId="47A5EC4D">
      <w:pPr>
        <w:snapToGrid w:val="0"/>
        <w:spacing w:line="360" w:lineRule="auto"/>
        <w:ind w:firstLine="480" w:firstLineChars="200"/>
        <w:rPr>
          <w:rFonts w:ascii="宋体" w:hAnsi="宋体" w:cs="宋体"/>
          <w:color w:val="000000" w:themeColor="text1"/>
          <w:sz w:val="24"/>
          <w14:textFill>
            <w14:solidFill>
              <w14:schemeClr w14:val="tx1"/>
            </w14:solidFill>
          </w14:textFill>
        </w:rPr>
      </w:pPr>
    </w:p>
    <w:p w14:paraId="77BF9BD6">
      <w:pPr>
        <w:spacing w:line="360" w:lineRule="auto"/>
        <w:ind w:firstLine="480" w:firstLineChars="200"/>
        <w:rPr>
          <w:rFonts w:ascii="宋体" w:hAnsi="宋体" w:cs="宋体"/>
          <w:color w:val="000000" w:themeColor="text1"/>
          <w:sz w:val="24"/>
          <w14:textFill>
            <w14:solidFill>
              <w14:schemeClr w14:val="tx1"/>
            </w14:solidFill>
          </w14:textFill>
        </w:rPr>
      </w:pPr>
    </w:p>
    <w:p w14:paraId="1A5C05B8">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br w:type="page"/>
      </w:r>
      <w:r>
        <w:rPr>
          <w:rFonts w:hint="eastAsia" w:ascii="宋体" w:hAnsi="宋体" w:cs="宋体"/>
          <w:b/>
          <w:color w:val="000000" w:themeColor="text1"/>
          <w:kern w:val="0"/>
          <w:sz w:val="32"/>
          <w:szCs w:val="32"/>
          <w14:textFill>
            <w14:solidFill>
              <w14:schemeClr w14:val="tx1"/>
            </w14:solidFill>
          </w14:textFill>
        </w:rPr>
        <w:t xml:space="preserve">  一、 符合参加交易活动应当具备的一般条件的承诺函</w:t>
      </w:r>
    </w:p>
    <w:p w14:paraId="591E519D">
      <w:pPr>
        <w:snapToGrid w:val="0"/>
        <w:spacing w:line="360" w:lineRule="auto"/>
        <w:rPr>
          <w:rFonts w:ascii="宋体" w:hAnsi="宋体" w:cs="宋体"/>
          <w:color w:val="000000" w:themeColor="text1"/>
          <w:sz w:val="24"/>
          <w14:textFill>
            <w14:solidFill>
              <w14:schemeClr w14:val="tx1"/>
            </w14:solidFill>
          </w14:textFill>
        </w:rPr>
      </w:pPr>
    </w:p>
    <w:p w14:paraId="51B3885A">
      <w:pPr>
        <w:snapToGrid w:val="0"/>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（交易人）、（采购机构）：</w:t>
      </w:r>
    </w:p>
    <w:p w14:paraId="3C126D7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w:t>
      </w:r>
      <w:r>
        <w:rPr>
          <w:rFonts w:hint="eastAsia" w:ascii="宋体" w:hAnsi="宋体" w:cs="宋体"/>
          <w:color w:val="000000" w:themeColor="text1"/>
          <w:sz w:val="24"/>
          <w:u w:val="single"/>
          <w14:textFill>
            <w14:solidFill>
              <w14:schemeClr w14:val="tx1"/>
            </w14:solidFill>
          </w14:textFill>
        </w:rPr>
        <w:t>（项目名称）【交易编号：    】</w:t>
      </w:r>
      <w:r>
        <w:rPr>
          <w:rFonts w:hint="eastAsia" w:ascii="宋体" w:hAnsi="宋体" w:cs="宋体"/>
          <w:color w:val="000000" w:themeColor="text1"/>
          <w:sz w:val="24"/>
          <w14:textFill>
            <w14:solidFill>
              <w14:schemeClr w14:val="tx1"/>
            </w14:solidFill>
          </w14:textFill>
        </w:rPr>
        <w:t>交易活动，郑重承诺：</w:t>
      </w:r>
    </w:p>
    <w:p w14:paraId="0C11AE74">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（一）具备以下条件：</w:t>
      </w:r>
    </w:p>
    <w:p w14:paraId="671EA17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14:paraId="3D15251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14:paraId="42F15F2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14:paraId="63450E1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14:paraId="435E31D0">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5、参加采购活动前三年内，在经营活动中没有重大违法记录；</w:t>
      </w:r>
    </w:p>
    <w:p w14:paraId="00997A7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6、具有法律、行政法规规定的其他条件。</w:t>
      </w:r>
    </w:p>
    <w:p w14:paraId="0DA944BB">
      <w:pPr>
        <w:snapToGrid w:val="0"/>
        <w:spacing w:line="360" w:lineRule="auto"/>
        <w:ind w:firstLine="5520" w:firstLineChars="2300"/>
        <w:rPr>
          <w:rFonts w:ascii="宋体" w:hAnsi="宋体" w:cs="宋体"/>
          <w:color w:val="000000" w:themeColor="text1"/>
          <w:kern w:val="0"/>
          <w:sz w:val="24"/>
          <w:lang w:val="zh-CN"/>
          <w14:textFill>
            <w14:solidFill>
              <w14:schemeClr w14:val="tx1"/>
            </w14:solidFill>
          </w14:textFill>
        </w:rPr>
      </w:pPr>
    </w:p>
    <w:p w14:paraId="386F0F7D">
      <w:pPr>
        <w:snapToGrid w:val="0"/>
        <w:spacing w:line="360" w:lineRule="auto"/>
        <w:ind w:firstLine="5520" w:firstLineChars="2300"/>
        <w:rPr>
          <w:rFonts w:ascii="宋体" w:hAnsi="宋体" w:cs="宋体"/>
          <w:color w:val="000000" w:themeColor="text1"/>
          <w:kern w:val="0"/>
          <w:sz w:val="24"/>
          <w:lang w:val="zh-CN"/>
          <w14:textFill>
            <w14:solidFill>
              <w14:schemeClr w14:val="tx1"/>
            </w14:solidFill>
          </w14:textFill>
        </w:rPr>
      </w:pPr>
    </w:p>
    <w:p w14:paraId="403BD0C0">
      <w:pPr>
        <w:snapToGrid w:val="0"/>
        <w:spacing w:line="360" w:lineRule="auto"/>
        <w:ind w:firstLine="5520" w:firstLineChars="2300"/>
        <w:rPr>
          <w:rFonts w:ascii="宋体" w:hAnsi="宋体" w:cs="宋体"/>
          <w:color w:val="000000" w:themeColor="text1"/>
          <w:kern w:val="0"/>
          <w:sz w:val="24"/>
          <w:lang w:val="zh-CN"/>
          <w14:textFill>
            <w14:solidFill>
              <w14:schemeClr w14:val="tx1"/>
            </w14:solidFill>
          </w14:textFill>
        </w:rPr>
      </w:pPr>
    </w:p>
    <w:p w14:paraId="45D9A2ED">
      <w:pPr>
        <w:snapToGrid w:val="0"/>
        <w:spacing w:line="360" w:lineRule="auto"/>
        <w:ind w:firstLine="5520" w:firstLineChars="2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供应商名称(电子签名)：</w:t>
      </w:r>
    </w:p>
    <w:p w14:paraId="7125485D">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p>
    <w:p w14:paraId="3CC5CB8D">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69BD02B8">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248F2C59">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5BA08010">
      <w:pPr>
        <w:rPr>
          <w:rFonts w:ascii="宋体" w:hAnsi="宋体" w:cs="宋体"/>
          <w:color w:val="000000" w:themeColor="text1"/>
          <w14:textFill>
            <w14:solidFill>
              <w14:schemeClr w14:val="tx1"/>
            </w14:solidFill>
          </w14:textFill>
        </w:rPr>
      </w:pPr>
    </w:p>
    <w:p w14:paraId="20F37397">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27FBAE7">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62BC3589">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7B6B3920">
      <w:pP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2A47BCA4">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二、本项目的特定资格要求</w:t>
      </w:r>
    </w:p>
    <w:p w14:paraId="56879562">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（根据交易公告本项目的特定资格要求提供相应的材料；未要求的，无需提供）</w:t>
      </w:r>
    </w:p>
    <w:p w14:paraId="0C766AA8">
      <w:pPr>
        <w:spacing w:line="360" w:lineRule="auto"/>
        <w:jc w:val="center"/>
        <w:rPr>
          <w:rFonts w:ascii="宋体" w:hAnsi="宋体" w:cs="宋体"/>
          <w:color w:val="000000" w:themeColor="text1"/>
          <w:kern w:val="0"/>
          <w:sz w:val="24"/>
          <w:lang w:val="zh-CN"/>
          <w14:textFill>
            <w14:solidFill>
              <w14:schemeClr w14:val="tx1"/>
            </w14:solidFill>
          </w14:textFill>
        </w:rPr>
      </w:pPr>
    </w:p>
    <w:p w14:paraId="5646646E">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p>
    <w:p w14:paraId="33CA9764">
      <w:pPr>
        <w:rPr>
          <w:rFonts w:ascii="宋体" w:hAnsi="宋体" w:cs="宋体"/>
          <w:color w:val="000000" w:themeColor="text1"/>
          <w14:textFill>
            <w14:solidFill>
              <w14:schemeClr w14:val="tx1"/>
            </w14:solidFill>
          </w14:textFill>
        </w:rPr>
      </w:pPr>
    </w:p>
    <w:p w14:paraId="731126D9">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1180C086">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36331BF">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50B544AA">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472CCBDB">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53933FE">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7D3349DC">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14:paraId="2073CB32">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738C7B49">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14:paraId="354BEA8E">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1F429461">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14:paraId="36D56020">
      <w:pPr>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br w:type="page"/>
      </w:r>
    </w:p>
    <w:p w14:paraId="3B4D7909">
      <w:pPr>
        <w:spacing w:line="360" w:lineRule="auto"/>
        <w:ind w:right="420"/>
        <w:jc w:val="center"/>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商务技术文件部分</w:t>
      </w:r>
    </w:p>
    <w:p w14:paraId="25FAF309">
      <w:pPr>
        <w:spacing w:line="360" w:lineRule="auto"/>
        <w:jc w:val="center"/>
        <w:outlineLvl w:val="0"/>
        <w:rPr>
          <w:rFonts w:ascii="宋体" w:hAnsi="宋体" w:cs="宋体"/>
          <w:b/>
          <w:color w:val="000000" w:themeColor="text1"/>
          <w:kern w:val="0"/>
          <w:sz w:val="24"/>
          <w14:textFill>
            <w14:solidFill>
              <w14:schemeClr w14:val="tx1"/>
            </w14:solidFill>
          </w14:textFill>
        </w:rPr>
      </w:pPr>
    </w:p>
    <w:p w14:paraId="054B4A46">
      <w:pPr>
        <w:spacing w:line="360" w:lineRule="auto"/>
        <w:jc w:val="center"/>
        <w:outlineLvl w:val="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目录</w:t>
      </w:r>
    </w:p>
    <w:p w14:paraId="03929845">
      <w:pPr>
        <w:snapToGrid w:val="0"/>
        <w:spacing w:line="360" w:lineRule="auto"/>
        <w:ind w:left="479" w:leftChars="228"/>
        <w:jc w:val="distribute"/>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（1）交易函</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14:textFill>
            <w14:solidFill>
              <w14:schemeClr w14:val="tx1"/>
            </w14:solidFill>
          </w14:textFill>
        </w:rPr>
        <w:t>（2）授权委托书或法定代表人（单位负责人、自然人本人）身份证明</w:t>
      </w:r>
      <w:r>
        <w:rPr>
          <w:rFonts w:hint="eastAsia" w:ascii="宋体" w:hAnsi="宋体" w:cs="宋体"/>
          <w:color w:val="000000" w:themeColor="text1"/>
          <w14:textFill>
            <w14:solidFill>
              <w14:schemeClr w14:val="tx1"/>
            </w14:solidFill>
          </w14:textFill>
        </w:rPr>
        <w:t>………（页码）</w:t>
      </w:r>
    </w:p>
    <w:p w14:paraId="5D5F928E">
      <w:pPr>
        <w:snapToGrid w:val="0"/>
        <w:spacing w:line="360" w:lineRule="auto"/>
        <w:ind w:firstLine="480" w:firstLineChars="200"/>
        <w:jc w:val="distribut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（3）营业执照</w:t>
      </w:r>
      <w:r>
        <w:rPr>
          <w:rFonts w:hint="eastAsia" w:ascii="宋体" w:hAnsi="宋体" w:cs="宋体"/>
          <w:color w:val="000000" w:themeColor="text1"/>
          <w14:textFill>
            <w14:solidFill>
              <w14:schemeClr w14:val="tx1"/>
            </w14:solidFill>
          </w14:textFill>
        </w:rPr>
        <w:t>………………………………………………………………………………（页码）</w:t>
      </w:r>
    </w:p>
    <w:p w14:paraId="0CBA3682">
      <w:pPr>
        <w:snapToGrid w:val="0"/>
        <w:spacing w:line="360" w:lineRule="auto"/>
        <w:ind w:firstLine="480" w:firstLineChars="200"/>
        <w:jc w:val="distribute"/>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（4）符合性审查资料</w:t>
      </w:r>
      <w:r>
        <w:rPr>
          <w:rFonts w:hint="eastAsia" w:ascii="宋体" w:hAnsi="宋体" w:cs="宋体"/>
          <w:color w:val="000000" w:themeColor="text1"/>
          <w14:textFill>
            <w14:solidFill>
              <w14:schemeClr w14:val="tx1"/>
            </w14:solidFill>
          </w14:textFill>
        </w:rPr>
        <w:t>………………………………………………………………………（页码）</w:t>
      </w:r>
    </w:p>
    <w:p w14:paraId="2DE799C2">
      <w:pPr>
        <w:snapToGrid w:val="0"/>
        <w:spacing w:line="360" w:lineRule="auto"/>
        <w:ind w:firstLine="480" w:firstLineChars="200"/>
        <w:jc w:val="distribut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（5）评标标准相应的商务技术资料</w:t>
      </w:r>
      <w:r>
        <w:rPr>
          <w:rFonts w:hint="eastAsia" w:ascii="宋体" w:hAnsi="宋体" w:cs="宋体"/>
          <w:color w:val="000000" w:themeColor="text1"/>
          <w14:textFill>
            <w14:solidFill>
              <w14:schemeClr w14:val="tx1"/>
            </w14:solidFill>
          </w14:textFill>
        </w:rPr>
        <w:t>……………………………………………………（页码）</w:t>
      </w:r>
    </w:p>
    <w:p w14:paraId="3F187016">
      <w:pPr>
        <w:snapToGrid w:val="0"/>
        <w:spacing w:line="360" w:lineRule="auto"/>
        <w:ind w:firstLine="480" w:firstLineChars="200"/>
        <w:jc w:val="distribut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（6）商务技术偏离表</w:t>
      </w:r>
      <w:r>
        <w:rPr>
          <w:rFonts w:hint="eastAsia" w:ascii="宋体" w:hAnsi="宋体" w:cs="宋体"/>
          <w:color w:val="000000" w:themeColor="text1"/>
          <w14:textFill>
            <w14:solidFill>
              <w14:schemeClr w14:val="tx1"/>
            </w14:solidFill>
          </w14:textFill>
        </w:rPr>
        <w:t>………………………………………………………………………（页码）</w:t>
      </w:r>
    </w:p>
    <w:p w14:paraId="2971B3E9">
      <w:pPr>
        <w:snapToGrid w:val="0"/>
        <w:spacing w:line="360" w:lineRule="auto"/>
        <w:ind w:left="479" w:leftChars="228"/>
        <w:jc w:val="distribut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lang w:val="zh-CN"/>
          <w14:textFill>
            <w14:solidFill>
              <w14:schemeClr w14:val="tx1"/>
            </w14:solidFill>
          </w14:textFill>
        </w:rPr>
        <w:t>供应商廉洁自律承诺书</w:t>
      </w:r>
      <w:r>
        <w:rPr>
          <w:rFonts w:hint="eastAsia" w:ascii="宋体" w:hAnsi="宋体" w:cs="宋体"/>
          <w:color w:val="000000" w:themeColor="text1"/>
          <w14:textFill>
            <w14:solidFill>
              <w14:schemeClr w14:val="tx1"/>
            </w14:solidFill>
          </w14:textFill>
        </w:rPr>
        <w:t>……………………………………………………………（页码）</w:t>
      </w:r>
    </w:p>
    <w:p w14:paraId="6864FB52">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7F17CBD6">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1DE46070">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0918AD6C">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4D882026">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2D623285">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p>
    <w:p w14:paraId="3EB7B551">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p>
    <w:p w14:paraId="4147B127">
      <w:pPr>
        <w:rPr>
          <w:rFonts w:ascii="宋体" w:hAnsi="宋体" w:cs="宋体"/>
          <w:color w:val="000000" w:themeColor="text1"/>
          <w14:textFill>
            <w14:solidFill>
              <w14:schemeClr w14:val="tx1"/>
            </w14:solidFill>
          </w14:textFill>
        </w:rPr>
      </w:pPr>
    </w:p>
    <w:p w14:paraId="522D4B6B">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p>
    <w:p w14:paraId="756A9512">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p>
    <w:p w14:paraId="3C8E29C3">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p>
    <w:p w14:paraId="304D8BCC">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p>
    <w:p w14:paraId="50BD56D7">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p>
    <w:p w14:paraId="30E117D3">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p>
    <w:p w14:paraId="48BC78E8">
      <w:pP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4A6447FD">
      <w:pPr>
        <w:snapToGrid w:val="0"/>
        <w:spacing w:line="360" w:lineRule="auto"/>
        <w:jc w:val="center"/>
        <w:outlineLvl w:val="0"/>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一、交易函</w:t>
      </w:r>
    </w:p>
    <w:p w14:paraId="20B8170D">
      <w:pPr>
        <w:snapToGrid w:val="0"/>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（交易人）、（采购代理机构）：</w:t>
      </w:r>
    </w:p>
    <w:p w14:paraId="0ABA38FD">
      <w:pPr>
        <w:snapToGrid w:val="0"/>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我方参加你方组织的</w:t>
      </w:r>
      <w:r>
        <w:rPr>
          <w:rFonts w:hint="eastAsia" w:ascii="宋体" w:hAnsi="宋体" w:cs="宋体"/>
          <w:color w:val="000000" w:themeColor="text1"/>
          <w:sz w:val="24"/>
          <w:u w:val="single"/>
          <w14:textFill>
            <w14:solidFill>
              <w14:schemeClr w14:val="tx1"/>
            </w14:solidFill>
          </w14:textFill>
        </w:rPr>
        <w:t>（项目名称）【交易编号：（采购编号）】</w:t>
      </w:r>
      <w:r>
        <w:rPr>
          <w:rFonts w:hint="eastAsia" w:ascii="宋体" w:hAnsi="宋体" w:cs="宋体"/>
          <w:color w:val="000000" w:themeColor="text1"/>
          <w:sz w:val="24"/>
          <w14:textFill>
            <w14:solidFill>
              <w14:schemeClr w14:val="tx1"/>
            </w14:solidFill>
          </w14:textFill>
        </w:rPr>
        <w:t>招标的有关活动，并对此项目进行投标。为此：</w:t>
      </w:r>
    </w:p>
    <w:p w14:paraId="1851FE06">
      <w:pPr>
        <w:snapToGrid w:val="0"/>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1、我方承诺交易有效期从提交响应文件的截止之日起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天（不少于90天）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本响应文件在交易有效期满之前均具有约束力。</w:t>
      </w:r>
    </w:p>
    <w:p w14:paraId="374BDFDB">
      <w:pPr>
        <w:snapToGrid w:val="0"/>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2、我方的响应文件包括以下内容：</w:t>
      </w:r>
    </w:p>
    <w:p w14:paraId="7CB72791">
      <w:pPr>
        <w:snapToGrid w:val="0"/>
        <w:spacing w:line="440" w:lineRule="exact"/>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2.1资格文件：</w:t>
      </w:r>
    </w:p>
    <w:p w14:paraId="108E45BA">
      <w:pPr>
        <w:snapToGrid w:val="0"/>
        <w:spacing w:line="440" w:lineRule="exact"/>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2.1.1承诺函；</w:t>
      </w:r>
    </w:p>
    <w:p w14:paraId="5A37CF73">
      <w:pPr>
        <w:snapToGrid w:val="0"/>
        <w:spacing w:line="440" w:lineRule="exact"/>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2.1.2本项目的特定资格要求（如果有）。</w:t>
      </w:r>
    </w:p>
    <w:p w14:paraId="78009CEC">
      <w:pPr>
        <w:snapToGrid w:val="0"/>
        <w:spacing w:line="440" w:lineRule="exact"/>
        <w:ind w:left="210" w:leftChars="1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14:paraId="228F0459">
      <w:pPr>
        <w:snapToGrid w:val="0"/>
        <w:spacing w:line="440" w:lineRule="exact"/>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2.2.1交易函；</w:t>
      </w:r>
      <w:r>
        <w:rPr>
          <w:rFonts w:hint="eastAsia" w:ascii="宋体" w:hAnsi="宋体" w:cs="宋体"/>
          <w:color w:val="000000" w:themeColor="text1"/>
          <w:sz w:val="24"/>
          <w:lang w:val="zh-CN"/>
          <w14:textFill>
            <w14:solidFill>
              <w14:schemeClr w14:val="tx1"/>
            </w14:solidFill>
          </w14:textFill>
        </w:rPr>
        <w:t xml:space="preserve"> </w:t>
      </w:r>
    </w:p>
    <w:p w14:paraId="6105FE78">
      <w:pPr>
        <w:snapToGrid w:val="0"/>
        <w:spacing w:line="440" w:lineRule="exact"/>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2.2.2授权委托书或法定代表人（单位负责人）身份证明；</w:t>
      </w:r>
    </w:p>
    <w:p w14:paraId="7C0C93E2">
      <w:pPr>
        <w:snapToGrid w:val="0"/>
        <w:spacing w:line="440" w:lineRule="exact"/>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2.2.3营业执照；</w:t>
      </w:r>
    </w:p>
    <w:p w14:paraId="1EABB3C7">
      <w:pPr>
        <w:snapToGrid w:val="0"/>
        <w:spacing w:line="440" w:lineRule="exact"/>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2.2.4符合性审查资料；</w:t>
      </w:r>
    </w:p>
    <w:p w14:paraId="5DB92D7B">
      <w:pPr>
        <w:snapToGrid w:val="0"/>
        <w:spacing w:line="440" w:lineRule="exact"/>
        <w:ind w:left="420" w:leftChars="200"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2.2.5评标标准相应的商务技术资料；</w:t>
      </w:r>
    </w:p>
    <w:p w14:paraId="788F3C4A">
      <w:pPr>
        <w:snapToGrid w:val="0"/>
        <w:spacing w:line="440" w:lineRule="exact"/>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2.2.6商务技术偏离表；</w:t>
      </w:r>
    </w:p>
    <w:p w14:paraId="3430B3DB">
      <w:pPr>
        <w:snapToGrid w:val="0"/>
        <w:spacing w:line="440" w:lineRule="exact"/>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2.2.7</w:t>
      </w:r>
      <w:r>
        <w:rPr>
          <w:rFonts w:hint="eastAsia" w:ascii="宋体" w:hAnsi="宋体" w:cs="宋体"/>
          <w:color w:val="000000" w:themeColor="text1"/>
          <w:sz w:val="24"/>
          <w:lang w:val="zh-CN"/>
          <w14:textFill>
            <w14:solidFill>
              <w14:schemeClr w14:val="tx1"/>
            </w14:solidFill>
          </w14:textFill>
        </w:rPr>
        <w:t>供应商廉洁自律承诺书。</w:t>
      </w:r>
    </w:p>
    <w:p w14:paraId="422476A1">
      <w:pPr>
        <w:snapToGrid w:val="0"/>
        <w:spacing w:line="440" w:lineRule="exact"/>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3报价文件</w:t>
      </w:r>
    </w:p>
    <w:p w14:paraId="27F633F3">
      <w:pPr>
        <w:snapToGrid w:val="0"/>
        <w:spacing w:line="440" w:lineRule="exact"/>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2.3.1交易一览表（报价表）。</w:t>
      </w:r>
    </w:p>
    <w:p w14:paraId="62F6945E">
      <w:pPr>
        <w:snapToGrid w:val="0"/>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3、我方承诺除商务技术偏离表列出的偏离外，我方响应交易文件的全部要求。</w:t>
      </w:r>
    </w:p>
    <w:p w14:paraId="43D3D871">
      <w:pPr>
        <w:snapToGrid w:val="0"/>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4、如我方成交，我方承诺：</w:t>
      </w:r>
    </w:p>
    <w:p w14:paraId="0B5F468E">
      <w:pPr>
        <w:snapToGrid w:val="0"/>
        <w:spacing w:line="440" w:lineRule="exact"/>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4.1在收到成交通知书后，在成交通知书规定的期限内与你方签订合同； </w:t>
      </w:r>
    </w:p>
    <w:p w14:paraId="2225012C">
      <w:pPr>
        <w:snapToGrid w:val="0"/>
        <w:spacing w:line="440" w:lineRule="exact"/>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4.2在签订合同时不向你方提出附加条件； </w:t>
      </w:r>
    </w:p>
    <w:p w14:paraId="03736E0A">
      <w:pPr>
        <w:snapToGrid w:val="0"/>
        <w:spacing w:line="440" w:lineRule="exact"/>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4.3按照交易文件要求提交履约保证金； </w:t>
      </w:r>
    </w:p>
    <w:p w14:paraId="045DDC9C">
      <w:pPr>
        <w:snapToGrid w:val="0"/>
        <w:spacing w:line="440" w:lineRule="exact"/>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4.4在合同约定的期限内完成合同规定的全部义务。 </w:t>
      </w:r>
    </w:p>
    <w:p w14:paraId="16E91704">
      <w:pPr>
        <w:snapToGrid w:val="0"/>
        <w:spacing w:line="440" w:lineRule="exact"/>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5、其他补充说明: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33ED916B">
      <w:pPr>
        <w:spacing w:line="440" w:lineRule="exact"/>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供应商名称（电子签名）：                          </w:t>
      </w:r>
    </w:p>
    <w:p w14:paraId="5AA33407">
      <w:pPr>
        <w:spacing w:line="440" w:lineRule="exact"/>
        <w:jc w:val="center"/>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31402B4B">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3FF9DCE0">
      <w:pPr>
        <w:pStyle w:val="25"/>
        <w:rPr>
          <w:rFonts w:hAnsi="宋体" w:cs="宋体"/>
          <w:color w:val="000000" w:themeColor="text1"/>
          <w:lang w:val="en-US"/>
          <w14:textFill>
            <w14:solidFill>
              <w14:schemeClr w14:val="tx1"/>
            </w14:solidFill>
          </w14:textFill>
        </w:rPr>
      </w:pPr>
    </w:p>
    <w:p w14:paraId="12546062">
      <w:pPr>
        <w:jc w:val="center"/>
        <w:rPr>
          <w:rFonts w:ascii="宋体" w:hAnsi="宋体" w:cs="宋体"/>
          <w:b/>
          <w:color w:val="000000" w:themeColor="text1"/>
          <w:kern w:val="0"/>
          <w:sz w:val="32"/>
          <w:szCs w:val="32"/>
          <w14:textFill>
            <w14:solidFill>
              <w14:schemeClr w14:val="tx1"/>
            </w14:solidFill>
          </w14:textFill>
        </w:rPr>
      </w:pPr>
    </w:p>
    <w:p w14:paraId="18C8548E">
      <w:pPr>
        <w:jc w:val="cente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二、授权委托书或法定代表人（单位负责人、自然人本人）身份证明</w:t>
      </w:r>
    </w:p>
    <w:p w14:paraId="07765FDA">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795AD2DB">
      <w:pPr>
        <w:snapToGrid w:val="0"/>
        <w:spacing w:line="360" w:lineRule="auto"/>
        <w:ind w:firstLine="2872" w:firstLineChars="894"/>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授权委托书</w:t>
      </w:r>
      <w:r>
        <w:rPr>
          <w:rFonts w:hint="eastAsia" w:ascii="宋体" w:hAnsi="宋体" w:cs="宋体"/>
          <w:color w:val="000000" w:themeColor="text1"/>
          <w14:textFill>
            <w14:solidFill>
              <w14:schemeClr w14:val="tx1"/>
            </w14:solidFill>
          </w14:textFill>
        </w:rPr>
        <w:t xml:space="preserve">                               </w:t>
      </w:r>
    </w:p>
    <w:p w14:paraId="0D4A01E2">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（交易人）、（采购代理机构）</w:t>
      </w:r>
      <w:r>
        <w:rPr>
          <w:rFonts w:hint="eastAsia" w:ascii="宋体" w:hAnsi="宋体" w:cs="宋体"/>
          <w:color w:val="000000" w:themeColor="text1"/>
          <w:kern w:val="0"/>
          <w:sz w:val="24"/>
          <w:lang w:val="zh-CN"/>
          <w14:textFill>
            <w14:solidFill>
              <w14:schemeClr w14:val="tx1"/>
            </w14:solidFill>
          </w14:textFill>
        </w:rPr>
        <w:t>：</w:t>
      </w:r>
    </w:p>
    <w:p w14:paraId="562A87F0">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u w:val="single"/>
          <w14:textFill>
            <w14:solidFill>
              <w14:schemeClr w14:val="tx1"/>
            </w14:solidFill>
          </w14:textFill>
        </w:rPr>
        <w:t>（项目名称）【交易编号：（采购编号）】</w:t>
      </w:r>
      <w:r>
        <w:rPr>
          <w:rFonts w:hint="eastAsia" w:ascii="宋体" w:hAnsi="宋体" w:cs="宋体"/>
          <w:color w:val="000000" w:themeColor="text1"/>
          <w:kern w:val="0"/>
          <w:sz w:val="24"/>
          <w:lang w:val="zh-CN"/>
          <w14:textFill>
            <w14:solidFill>
              <w14:schemeClr w14:val="tx1"/>
            </w14:solidFill>
          </w14:textFill>
        </w:rPr>
        <w:t>采购投标的一切事项，其法律后果由我方承担。</w:t>
      </w:r>
    </w:p>
    <w:p w14:paraId="32027B30">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3142FB7C">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4163C619">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供应商名称(电子签名)：</w:t>
      </w:r>
    </w:p>
    <w:p w14:paraId="19E7A9DE">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14:paraId="6F95BB9A">
      <w:pPr>
        <w:snapToGrid w:val="0"/>
        <w:spacing w:line="360" w:lineRule="auto"/>
        <w:rPr>
          <w:rFonts w:ascii="宋体" w:hAnsi="宋体" w:cs="宋体"/>
          <w:color w:val="000000" w:themeColor="text1"/>
          <w:sz w:val="24"/>
          <w14:textFill>
            <w14:solidFill>
              <w14:schemeClr w14:val="tx1"/>
            </w14:solidFill>
          </w14:textFill>
        </w:rPr>
      </w:pPr>
    </w:p>
    <w:p w14:paraId="2DD90717">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 xml:space="preserve">    </w:t>
      </w:r>
    </w:p>
    <w:p w14:paraId="63FF767A">
      <w:pPr>
        <w:autoSpaceDE w:val="0"/>
        <w:autoSpaceDN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法定代表人、单位负责人或自然人本人</w:t>
      </w:r>
      <w:r>
        <w:rPr>
          <w:rFonts w:hint="eastAsia" w:ascii="宋体" w:hAnsi="宋体" w:cs="宋体"/>
          <w:b/>
          <w:color w:val="000000" w:themeColor="text1"/>
          <w:sz w:val="30"/>
          <w:szCs w:val="30"/>
          <w14:textFill>
            <w14:solidFill>
              <w14:schemeClr w14:val="tx1"/>
            </w14:solidFill>
          </w14:textFill>
        </w:rPr>
        <w:t>的身份证明（适用于法定代表人、单位负责人或者自然人本人代表供应商参加投标）</w:t>
      </w:r>
    </w:p>
    <w:p w14:paraId="45889C3E">
      <w:pPr>
        <w:pStyle w:val="152"/>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D50A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63E264BB">
            <w:pPr>
              <w:pStyle w:val="152"/>
              <w:adjustRightInd w:val="0"/>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正面：                                 反面：</w:t>
            </w:r>
          </w:p>
          <w:p w14:paraId="364FC81D">
            <w:pPr>
              <w:pStyle w:val="152"/>
              <w:adjustRightInd w:val="0"/>
              <w:spacing w:line="360" w:lineRule="auto"/>
              <w:rPr>
                <w:rFonts w:hAnsi="宋体" w:cs="宋体"/>
                <w:bCs/>
                <w:color w:val="000000" w:themeColor="text1"/>
                <w:sz w:val="24"/>
                <w14:textFill>
                  <w14:solidFill>
                    <w14:schemeClr w14:val="tx1"/>
                  </w14:solidFill>
                </w14:textFill>
              </w:rPr>
            </w:pPr>
          </w:p>
        </w:tc>
      </w:tr>
    </w:tbl>
    <w:p w14:paraId="619FDC82">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14:paraId="17118975">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供应商名称(电子签名)：                              </w:t>
      </w:r>
    </w:p>
    <w:p w14:paraId="29BC6D65">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3CD045A3">
      <w:pPr>
        <w:jc w:val="center"/>
        <w:rPr>
          <w:rFonts w:ascii="宋体" w:hAnsi="宋体" w:cs="宋体"/>
          <w:b/>
          <w:color w:val="000000" w:themeColor="text1"/>
          <w:kern w:val="0"/>
          <w:sz w:val="32"/>
          <w:szCs w:val="32"/>
          <w14:textFill>
            <w14:solidFill>
              <w14:schemeClr w14:val="tx1"/>
            </w14:solidFill>
          </w14:textFill>
        </w:rPr>
      </w:pPr>
    </w:p>
    <w:p w14:paraId="54FFA6EC">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三、营业执照</w:t>
      </w:r>
    </w:p>
    <w:p w14:paraId="4AF3E5AE">
      <w:pPr>
        <w:jc w:val="center"/>
        <w:rPr>
          <w:rFonts w:ascii="宋体" w:hAnsi="宋体" w:cs="宋体"/>
          <w:b/>
          <w:color w:val="000000" w:themeColor="text1"/>
          <w:kern w:val="0"/>
          <w:sz w:val="32"/>
          <w:szCs w:val="32"/>
          <w14:textFill>
            <w14:solidFill>
              <w14:schemeClr w14:val="tx1"/>
            </w14:solidFill>
          </w14:textFill>
        </w:rPr>
      </w:pP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4AF6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0ED14E31">
            <w:pPr>
              <w:pStyle w:val="152"/>
              <w:adjustRightInd w:val="0"/>
              <w:spacing w:line="360" w:lineRule="auto"/>
              <w:rPr>
                <w:rFonts w:hAnsi="宋体" w:cs="宋体"/>
                <w:bCs/>
                <w:color w:val="000000" w:themeColor="text1"/>
                <w:sz w:val="24"/>
                <w14:textFill>
                  <w14:solidFill>
                    <w14:schemeClr w14:val="tx1"/>
                  </w14:solidFill>
                </w14:textFill>
              </w:rPr>
            </w:pPr>
          </w:p>
        </w:tc>
      </w:tr>
    </w:tbl>
    <w:p w14:paraId="1B1591D9">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p>
    <w:p w14:paraId="2EF202B5">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p>
    <w:p w14:paraId="74CDCB45">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供应商名称(电子签名)：                              </w:t>
      </w:r>
    </w:p>
    <w:p w14:paraId="3781B3CC">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775A163A">
      <w:pPr>
        <w:jc w:val="center"/>
        <w:rPr>
          <w:rFonts w:ascii="宋体" w:hAnsi="宋体" w:cs="宋体"/>
          <w:b/>
          <w:color w:val="000000" w:themeColor="text1"/>
          <w:kern w:val="0"/>
          <w:sz w:val="32"/>
          <w:szCs w:val="32"/>
          <w14:textFill>
            <w14:solidFill>
              <w14:schemeClr w14:val="tx1"/>
            </w14:solidFill>
          </w14:textFill>
        </w:rPr>
      </w:pPr>
    </w:p>
    <w:p w14:paraId="1E45FCA3">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四、符合性审查资料</w:t>
      </w:r>
    </w:p>
    <w:p w14:paraId="4B5DB190">
      <w:pPr>
        <w:jc w:val="center"/>
        <w:rPr>
          <w:rFonts w:ascii="宋体" w:hAnsi="宋体" w:cs="宋体"/>
          <w:b/>
          <w:color w:val="000000" w:themeColor="text1"/>
          <w:kern w:val="0"/>
          <w:sz w:val="32"/>
          <w:szCs w:val="32"/>
          <w14:textFill>
            <w14:solidFill>
              <w14:schemeClr w14:val="tx1"/>
            </w14:solidFill>
          </w14:textFill>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593B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BF0429F">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3976" w:type="dxa"/>
            <w:vAlign w:val="center"/>
          </w:tcPr>
          <w:p w14:paraId="7DD536AF">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实质性要求</w:t>
            </w:r>
          </w:p>
        </w:tc>
        <w:tc>
          <w:tcPr>
            <w:tcW w:w="3566" w:type="dxa"/>
            <w:vAlign w:val="center"/>
          </w:tcPr>
          <w:p w14:paraId="304A4255">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需要提供的符合性审查资料</w:t>
            </w:r>
          </w:p>
        </w:tc>
        <w:tc>
          <w:tcPr>
            <w:tcW w:w="1418" w:type="dxa"/>
            <w:vAlign w:val="center"/>
          </w:tcPr>
          <w:p w14:paraId="632558BE">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响应文件中的</w:t>
            </w:r>
          </w:p>
          <w:p w14:paraId="30503DF3">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页码位置</w:t>
            </w:r>
          </w:p>
        </w:tc>
      </w:tr>
      <w:tr w14:paraId="182FC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E609B4">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3976" w:type="dxa"/>
            <w:vAlign w:val="center"/>
          </w:tcPr>
          <w:p w14:paraId="150D0492">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响应文件按照交易文件要求签署、盖章。</w:t>
            </w:r>
          </w:p>
        </w:tc>
        <w:tc>
          <w:tcPr>
            <w:tcW w:w="3566" w:type="dxa"/>
            <w:vAlign w:val="center"/>
          </w:tcPr>
          <w:p w14:paraId="66D102A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需要使用电子签名或者签字盖章的响应文件的组成部分</w:t>
            </w:r>
          </w:p>
        </w:tc>
        <w:tc>
          <w:tcPr>
            <w:tcW w:w="1418" w:type="dxa"/>
            <w:vAlign w:val="center"/>
          </w:tcPr>
          <w:p w14:paraId="04079584">
            <w:pPr>
              <w:jc w:val="center"/>
              <w:rPr>
                <w:rFonts w:ascii="宋体" w:hAnsi="宋体" w:cs="宋体"/>
                <w:color w:val="000000" w:themeColor="text1"/>
                <w:sz w:val="24"/>
                <w14:textFill>
                  <w14:solidFill>
                    <w14:schemeClr w14:val="tx1"/>
                  </w14:solidFill>
                </w14:textFill>
              </w:rPr>
            </w:pPr>
          </w:p>
          <w:p w14:paraId="74A0FBA9">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w:t>
            </w:r>
          </w:p>
          <w:p w14:paraId="3D978100">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66BFA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29F9BD1">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3976" w:type="dxa"/>
            <w:vAlign w:val="center"/>
          </w:tcPr>
          <w:p w14:paraId="1FFFAA23">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响应文件中承诺的交易有效期不少于交易文件中载明的交易有效期。</w:t>
            </w:r>
          </w:p>
        </w:tc>
        <w:tc>
          <w:tcPr>
            <w:tcW w:w="3566" w:type="dxa"/>
            <w:vAlign w:val="center"/>
          </w:tcPr>
          <w:p w14:paraId="44B7C4A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交易函</w:t>
            </w:r>
          </w:p>
        </w:tc>
        <w:tc>
          <w:tcPr>
            <w:tcW w:w="1418" w:type="dxa"/>
            <w:vAlign w:val="center"/>
          </w:tcPr>
          <w:p w14:paraId="6AAA083E">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67ABA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179E94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3976" w:type="dxa"/>
            <w:vAlign w:val="center"/>
          </w:tcPr>
          <w:p w14:paraId="57363E0A">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响应文件满足交易文件的其它实质性要求。</w:t>
            </w:r>
          </w:p>
        </w:tc>
        <w:tc>
          <w:tcPr>
            <w:tcW w:w="3566" w:type="dxa"/>
            <w:vAlign w:val="center"/>
          </w:tcPr>
          <w:p w14:paraId="3F79A96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交易文件其它实质性要求相应的材料（“▲” 系指实质性要求条款，交易文件无其它实质性要求的，无需提供）</w:t>
            </w:r>
          </w:p>
        </w:tc>
        <w:tc>
          <w:tcPr>
            <w:tcW w:w="1418" w:type="dxa"/>
            <w:vAlign w:val="center"/>
          </w:tcPr>
          <w:p w14:paraId="79FE8383">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bl>
    <w:p w14:paraId="33D9BAFF">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33BB98C4">
      <w:pPr>
        <w:jc w:val="center"/>
        <w:rPr>
          <w:rFonts w:ascii="宋体" w:hAnsi="宋体" w:cs="宋体"/>
          <w:b/>
          <w:color w:val="000000" w:themeColor="text1"/>
          <w:kern w:val="0"/>
          <w:sz w:val="32"/>
          <w:szCs w:val="32"/>
          <w14:textFill>
            <w14:solidFill>
              <w14:schemeClr w14:val="tx1"/>
            </w14:solidFill>
          </w14:textFill>
        </w:rPr>
      </w:pPr>
    </w:p>
    <w:p w14:paraId="2961E749">
      <w:pPr>
        <w:jc w:val="center"/>
        <w:rPr>
          <w:rFonts w:ascii="宋体" w:hAnsi="宋体" w:cs="宋体"/>
          <w:b/>
          <w:color w:val="000000" w:themeColor="text1"/>
          <w:kern w:val="0"/>
          <w:sz w:val="32"/>
          <w:szCs w:val="32"/>
          <w14:textFill>
            <w14:solidFill>
              <w14:schemeClr w14:val="tx1"/>
            </w14:solidFill>
          </w14:textFill>
        </w:rPr>
      </w:pPr>
    </w:p>
    <w:p w14:paraId="4ABD9FB1">
      <w:pPr>
        <w:rPr>
          <w:rFonts w:ascii="宋体" w:hAnsi="宋体" w:cs="宋体"/>
          <w:b/>
          <w:color w:val="000000" w:themeColor="text1"/>
          <w:kern w:val="0"/>
          <w:sz w:val="32"/>
          <w:szCs w:val="32"/>
          <w14:textFill>
            <w14:solidFill>
              <w14:schemeClr w14:val="tx1"/>
            </w14:solidFill>
          </w14:textFill>
        </w:rPr>
      </w:pPr>
    </w:p>
    <w:p w14:paraId="38814B35">
      <w:pPr>
        <w:jc w:val="center"/>
        <w:rPr>
          <w:rFonts w:ascii="宋体" w:hAnsi="宋体" w:cs="宋体"/>
          <w:b/>
          <w:color w:val="000000" w:themeColor="text1"/>
          <w:kern w:val="0"/>
          <w:sz w:val="32"/>
          <w:szCs w:val="32"/>
          <w14:textFill>
            <w14:solidFill>
              <w14:schemeClr w14:val="tx1"/>
            </w14:solidFill>
          </w14:textFill>
        </w:rPr>
      </w:pPr>
    </w:p>
    <w:p w14:paraId="085341D2">
      <w:pPr>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五、评标标准相应的商务技术资料</w:t>
      </w:r>
    </w:p>
    <w:p w14:paraId="0042B600">
      <w:pPr>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（按交易文件第四部分交易办法前附表中“响应文件中评标标准相应的商务技术资料目录”提供资料。）</w:t>
      </w:r>
    </w:p>
    <w:p w14:paraId="6D5DE8BF">
      <w:pPr>
        <w:jc w:val="center"/>
        <w:rPr>
          <w:rFonts w:ascii="宋体" w:hAnsi="宋体" w:cs="宋体"/>
          <w:b/>
          <w:color w:val="000000" w:themeColor="text1"/>
          <w:kern w:val="0"/>
          <w:sz w:val="32"/>
          <w:szCs w:val="32"/>
          <w14:textFill>
            <w14:solidFill>
              <w14:schemeClr w14:val="tx1"/>
            </w14:solidFill>
          </w14:textFill>
        </w:rPr>
      </w:pPr>
    </w:p>
    <w:p w14:paraId="4EFFD99F">
      <w:pPr>
        <w:jc w:val="center"/>
        <w:rPr>
          <w:rFonts w:ascii="宋体" w:hAnsi="宋体" w:cs="宋体"/>
          <w:b/>
          <w:color w:val="000000" w:themeColor="text1"/>
          <w:kern w:val="0"/>
          <w:sz w:val="32"/>
          <w:szCs w:val="32"/>
          <w14:textFill>
            <w14:solidFill>
              <w14:schemeClr w14:val="tx1"/>
            </w14:solidFill>
          </w14:textFill>
        </w:rPr>
      </w:pPr>
    </w:p>
    <w:p w14:paraId="059F032C">
      <w:pPr>
        <w:jc w:val="center"/>
        <w:rPr>
          <w:rFonts w:ascii="宋体" w:hAnsi="宋体" w:cs="宋体"/>
          <w:b/>
          <w:color w:val="000000" w:themeColor="text1"/>
          <w:kern w:val="0"/>
          <w:sz w:val="32"/>
          <w:szCs w:val="32"/>
          <w14:textFill>
            <w14:solidFill>
              <w14:schemeClr w14:val="tx1"/>
            </w14:solidFill>
          </w14:textFill>
        </w:rPr>
      </w:pPr>
    </w:p>
    <w:p w14:paraId="62D04D18">
      <w:pPr>
        <w:jc w:val="center"/>
        <w:rPr>
          <w:rFonts w:ascii="宋体" w:hAnsi="宋体" w:cs="宋体"/>
          <w:b/>
          <w:color w:val="000000" w:themeColor="text1"/>
          <w:kern w:val="0"/>
          <w:sz w:val="32"/>
          <w:szCs w:val="32"/>
          <w14:textFill>
            <w14:solidFill>
              <w14:schemeClr w14:val="tx1"/>
            </w14:solidFill>
          </w14:textFill>
        </w:rPr>
      </w:pPr>
    </w:p>
    <w:p w14:paraId="413288AC">
      <w:pPr>
        <w:jc w:val="center"/>
        <w:rPr>
          <w:rFonts w:ascii="宋体" w:hAnsi="宋体" w:cs="宋体"/>
          <w:b/>
          <w:color w:val="000000" w:themeColor="text1"/>
          <w:kern w:val="0"/>
          <w:sz w:val="32"/>
          <w:szCs w:val="32"/>
          <w14:textFill>
            <w14:solidFill>
              <w14:schemeClr w14:val="tx1"/>
            </w14:solidFill>
          </w14:textFill>
        </w:rPr>
      </w:pPr>
    </w:p>
    <w:p w14:paraId="413291F8">
      <w:pPr>
        <w:pStyle w:val="62"/>
        <w:rPr>
          <w:rFonts w:hAnsi="宋体" w:cs="宋体"/>
          <w:b/>
          <w:color w:val="000000" w:themeColor="text1"/>
          <w:kern w:val="0"/>
          <w:sz w:val="32"/>
          <w:szCs w:val="32"/>
          <w14:textFill>
            <w14:solidFill>
              <w14:schemeClr w14:val="tx1"/>
            </w14:solidFill>
          </w14:textFill>
        </w:rPr>
      </w:pPr>
    </w:p>
    <w:p w14:paraId="7CF84682">
      <w:pPr>
        <w:pStyle w:val="52"/>
        <w:rPr>
          <w:rFonts w:ascii="宋体" w:hAnsi="宋体" w:cs="宋体"/>
          <w:color w:val="000000" w:themeColor="text1"/>
          <w14:textFill>
            <w14:solidFill>
              <w14:schemeClr w14:val="tx1"/>
            </w14:solidFill>
          </w14:textFill>
        </w:rPr>
      </w:pPr>
    </w:p>
    <w:p w14:paraId="6D566EE6">
      <w:pPr>
        <w:jc w:val="center"/>
        <w:rPr>
          <w:rFonts w:ascii="宋体" w:hAnsi="宋体" w:cs="宋体"/>
          <w:b/>
          <w:color w:val="000000" w:themeColor="text1"/>
          <w:kern w:val="0"/>
          <w:sz w:val="32"/>
          <w:szCs w:val="32"/>
          <w14:textFill>
            <w14:solidFill>
              <w14:schemeClr w14:val="tx1"/>
            </w14:solidFill>
          </w14:textFill>
        </w:rPr>
      </w:pPr>
    </w:p>
    <w:p w14:paraId="2AC95ED8">
      <w:pPr>
        <w:jc w:val="center"/>
        <w:rPr>
          <w:rFonts w:ascii="宋体" w:hAnsi="宋体" w:cs="宋体"/>
          <w:b/>
          <w:color w:val="000000" w:themeColor="text1"/>
          <w:kern w:val="0"/>
          <w:sz w:val="32"/>
          <w:szCs w:val="32"/>
          <w14:textFill>
            <w14:solidFill>
              <w14:schemeClr w14:val="tx1"/>
            </w14:solidFill>
          </w14:textFill>
        </w:rPr>
      </w:pPr>
    </w:p>
    <w:p w14:paraId="005A1147">
      <w:pPr>
        <w:jc w:val="center"/>
        <w:rPr>
          <w:rFonts w:ascii="宋体" w:hAnsi="宋体" w:cs="宋体"/>
          <w:b/>
          <w:color w:val="000000" w:themeColor="text1"/>
          <w:kern w:val="0"/>
          <w:sz w:val="32"/>
          <w:szCs w:val="32"/>
          <w14:textFill>
            <w14:solidFill>
              <w14:schemeClr w14:val="tx1"/>
            </w14:solidFill>
          </w14:textFill>
        </w:rPr>
      </w:pPr>
    </w:p>
    <w:p w14:paraId="3805EF99">
      <w:pPr>
        <w:jc w:val="center"/>
        <w:rPr>
          <w:rFonts w:ascii="宋体" w:hAnsi="宋体" w:cs="宋体"/>
          <w:b/>
          <w:color w:val="000000" w:themeColor="text1"/>
          <w:kern w:val="0"/>
          <w:sz w:val="32"/>
          <w:szCs w:val="32"/>
          <w14:textFill>
            <w14:solidFill>
              <w14:schemeClr w14:val="tx1"/>
            </w14:solidFill>
          </w14:textFill>
        </w:rPr>
      </w:pPr>
    </w:p>
    <w:p w14:paraId="7FBEFF2A">
      <w:pPr>
        <w:spacing w:line="360" w:lineRule="auto"/>
        <w:ind w:right="42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4BA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206980">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3683" w:type="dxa"/>
          </w:tcPr>
          <w:p w14:paraId="77C8191D">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交易文件章节及具体内容</w:t>
            </w:r>
          </w:p>
        </w:tc>
        <w:tc>
          <w:tcPr>
            <w:tcW w:w="3546" w:type="dxa"/>
          </w:tcPr>
          <w:p w14:paraId="34EA15D5">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响应文件章节及具体内容</w:t>
            </w:r>
          </w:p>
        </w:tc>
        <w:tc>
          <w:tcPr>
            <w:tcW w:w="1276" w:type="dxa"/>
          </w:tcPr>
          <w:p w14:paraId="1D1F02AD">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偏离说明</w:t>
            </w:r>
          </w:p>
        </w:tc>
      </w:tr>
      <w:tr w14:paraId="29786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BFDE7B">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683" w:type="dxa"/>
          </w:tcPr>
          <w:p w14:paraId="083152B5">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005CBF5D">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3D2366A0">
            <w:pPr>
              <w:jc w:val="center"/>
              <w:rPr>
                <w:rFonts w:ascii="宋体" w:hAnsi="宋体" w:cs="宋体"/>
                <w:b/>
                <w:color w:val="000000" w:themeColor="text1"/>
                <w:kern w:val="0"/>
                <w:sz w:val="32"/>
                <w:szCs w:val="32"/>
                <w14:textFill>
                  <w14:solidFill>
                    <w14:schemeClr w14:val="tx1"/>
                  </w14:solidFill>
                </w14:textFill>
              </w:rPr>
            </w:pPr>
          </w:p>
        </w:tc>
      </w:tr>
      <w:tr w14:paraId="25BBB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D3C1FA">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683" w:type="dxa"/>
          </w:tcPr>
          <w:p w14:paraId="0E1DFF3F">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77A5C384">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6D56A7DB">
            <w:pPr>
              <w:jc w:val="center"/>
              <w:rPr>
                <w:rFonts w:ascii="宋体" w:hAnsi="宋体" w:cs="宋体"/>
                <w:b/>
                <w:color w:val="000000" w:themeColor="text1"/>
                <w:kern w:val="0"/>
                <w:sz w:val="32"/>
                <w:szCs w:val="32"/>
                <w14:textFill>
                  <w14:solidFill>
                    <w14:schemeClr w14:val="tx1"/>
                  </w14:solidFill>
                </w14:textFill>
              </w:rPr>
            </w:pPr>
          </w:p>
        </w:tc>
      </w:tr>
      <w:tr w14:paraId="0C20A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8674C25">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683" w:type="dxa"/>
          </w:tcPr>
          <w:p w14:paraId="7927D773">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45C70A82">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647079D0">
            <w:pPr>
              <w:jc w:val="center"/>
              <w:rPr>
                <w:rFonts w:ascii="宋体" w:hAnsi="宋体" w:cs="宋体"/>
                <w:b/>
                <w:color w:val="000000" w:themeColor="text1"/>
                <w:kern w:val="0"/>
                <w:sz w:val="32"/>
                <w:szCs w:val="32"/>
                <w14:textFill>
                  <w14:solidFill>
                    <w14:schemeClr w14:val="tx1"/>
                  </w14:solidFill>
                </w14:textFill>
              </w:rPr>
            </w:pPr>
          </w:p>
        </w:tc>
      </w:tr>
    </w:tbl>
    <w:p w14:paraId="283AC14B">
      <w:pPr>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供应商保证：除商务技术偏离表列出的偏离外，供应商响应交易文件的全部要求</w:t>
      </w:r>
    </w:p>
    <w:p w14:paraId="3F4180BF">
      <w:pPr>
        <w:jc w:val="center"/>
        <w:rPr>
          <w:rFonts w:ascii="宋体" w:hAnsi="宋体" w:cs="宋体"/>
          <w:b/>
          <w:color w:val="000000" w:themeColor="text1"/>
          <w:kern w:val="0"/>
          <w:sz w:val="32"/>
          <w:szCs w:val="32"/>
          <w14:textFill>
            <w14:solidFill>
              <w14:schemeClr w14:val="tx1"/>
            </w14:solidFill>
          </w14:textFill>
        </w:rPr>
      </w:pPr>
    </w:p>
    <w:p w14:paraId="3292DACB">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34126F74">
      <w:pPr>
        <w:jc w:val="center"/>
        <w:rPr>
          <w:rFonts w:ascii="宋体" w:hAnsi="宋体" w:cs="宋体"/>
          <w:b/>
          <w:color w:val="000000" w:themeColor="text1"/>
          <w:kern w:val="0"/>
          <w:sz w:val="32"/>
          <w:szCs w:val="32"/>
          <w14:textFill>
            <w14:solidFill>
              <w14:schemeClr w14:val="tx1"/>
            </w14:solidFill>
          </w14:textFill>
        </w:rPr>
      </w:pPr>
    </w:p>
    <w:p w14:paraId="427E918F">
      <w:pP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14:paraId="5CCCCD2E">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七</w:t>
      </w:r>
      <w:r>
        <w:rPr>
          <w:rFonts w:hint="eastAsia" w:ascii="宋体" w:hAnsi="宋体" w:cs="宋体"/>
          <w:b/>
          <w:color w:val="000000" w:themeColor="text1"/>
          <w:kern w:val="0"/>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供应商廉洁自律承诺书</w:t>
      </w:r>
    </w:p>
    <w:p w14:paraId="0E08CDF1">
      <w:pPr>
        <w:snapToGrid w:val="0"/>
        <w:spacing w:line="360" w:lineRule="auto"/>
        <w:rPr>
          <w:rFonts w:ascii="宋体" w:hAnsi="宋体" w:cs="宋体"/>
          <w:color w:val="000000" w:themeColor="text1"/>
          <w:sz w:val="24"/>
          <w14:textFill>
            <w14:solidFill>
              <w14:schemeClr w14:val="tx1"/>
            </w14:solidFill>
          </w14:textFill>
        </w:rPr>
      </w:pPr>
    </w:p>
    <w:p w14:paraId="5DF5D595">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（交易人）、（采购代理机构）</w:t>
      </w:r>
      <w:r>
        <w:rPr>
          <w:rFonts w:hint="eastAsia" w:ascii="宋体" w:hAnsi="宋体" w:cs="宋体"/>
          <w:color w:val="000000" w:themeColor="text1"/>
          <w:kern w:val="0"/>
          <w:sz w:val="24"/>
          <w:lang w:val="zh-CN"/>
          <w14:textFill>
            <w14:solidFill>
              <w14:schemeClr w14:val="tx1"/>
            </w14:solidFill>
          </w14:textFill>
        </w:rPr>
        <w:t>：</w:t>
      </w:r>
    </w:p>
    <w:p w14:paraId="28A36BFD">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我单位响应你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项目招标要求参加投标。在这次投标过程中和</w:t>
      </w:r>
      <w:r>
        <w:rPr>
          <w:rFonts w:hint="eastAsia" w:ascii="宋体" w:hAnsi="宋体" w:cs="宋体"/>
          <w:color w:val="000000" w:themeColor="text1"/>
          <w:kern w:val="0"/>
          <w:sz w:val="24"/>
          <w14:textFill>
            <w14:solidFill>
              <w14:schemeClr w14:val="tx1"/>
            </w14:solidFill>
          </w14:textFill>
        </w:rPr>
        <w:t>成交</w:t>
      </w:r>
      <w:r>
        <w:rPr>
          <w:rFonts w:hint="eastAsia" w:ascii="宋体" w:hAnsi="宋体" w:cs="宋体"/>
          <w:color w:val="000000" w:themeColor="text1"/>
          <w:kern w:val="0"/>
          <w:sz w:val="24"/>
          <w:lang w:val="zh-CN"/>
          <w14:textFill>
            <w14:solidFill>
              <w14:schemeClr w14:val="tx1"/>
            </w14:solidFill>
          </w14:textFill>
        </w:rPr>
        <w:t>后，我们将严格遵守国家法律法规要求，并郑重承诺：</w:t>
      </w:r>
    </w:p>
    <w:p w14:paraId="1953FCDF">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24A8B598">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14:paraId="4EACAC5C">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0983F9AA">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四、不为项目有关人员及部门出国（境）、旅游等提供方便；</w:t>
      </w:r>
    </w:p>
    <w:p w14:paraId="3083109E">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五、不为项目有关人员个人装修住房、婚丧嫁娶、配偶子女工作安排等提供</w:t>
      </w:r>
    </w:p>
    <w:p w14:paraId="2806E359">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好处；</w:t>
      </w:r>
    </w:p>
    <w:p w14:paraId="08DCE45E">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六、严格遵守相关法律法规，诚实守信，合法经营，坚决抵制各种违法违纪行为。 </w:t>
      </w:r>
    </w:p>
    <w:p w14:paraId="2A62401C">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如违反上述承诺，你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有权立即取消我单位投标、</w:t>
      </w:r>
      <w:r>
        <w:rPr>
          <w:rFonts w:hint="eastAsia" w:ascii="宋体" w:hAnsi="宋体" w:cs="宋体"/>
          <w:color w:val="000000" w:themeColor="text1"/>
          <w:kern w:val="0"/>
          <w:sz w:val="24"/>
          <w14:textFill>
            <w14:solidFill>
              <w14:schemeClr w14:val="tx1"/>
            </w14:solidFill>
          </w14:textFill>
        </w:rPr>
        <w:t>成交</w:t>
      </w:r>
      <w:r>
        <w:rPr>
          <w:rFonts w:hint="eastAsia" w:ascii="宋体" w:hAnsi="宋体" w:cs="宋体"/>
          <w:color w:val="000000" w:themeColor="text1"/>
          <w:kern w:val="0"/>
          <w:sz w:val="24"/>
          <w:lang w:val="zh-CN"/>
          <w14:textFill>
            <w14:solidFill>
              <w14:schemeClr w14:val="tx1"/>
            </w14:solidFill>
          </w14:textFill>
        </w:rPr>
        <w:t>或在建项目的建设资格，有权拒绝我单位在一定时期内进入你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3B7D0759">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58E2920D">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568F6FAB">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61860E8E">
      <w:pPr>
        <w:autoSpaceDE w:val="0"/>
        <w:autoSpaceDN w:val="0"/>
        <w:spacing w:line="360" w:lineRule="auto"/>
        <w:ind w:left="2" w:leftChars="1" w:right="1120" w:firstLine="4560" w:firstLineChars="19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供应商名称（</w:t>
      </w:r>
      <w:r>
        <w:rPr>
          <w:rFonts w:hint="eastAsia" w:ascii="宋体" w:hAnsi="宋体" w:cs="宋体"/>
          <w:color w:val="000000" w:themeColor="text1"/>
          <w:sz w:val="24"/>
          <w14:textFill>
            <w14:solidFill>
              <w14:schemeClr w14:val="tx1"/>
            </w14:solidFill>
          </w14:textFill>
        </w:rPr>
        <w:t>电子签名</w:t>
      </w:r>
      <w:r>
        <w:rPr>
          <w:rFonts w:hint="eastAsia" w:ascii="宋体" w:hAnsi="宋体" w:cs="宋体"/>
          <w:color w:val="000000" w:themeColor="text1"/>
          <w:kern w:val="0"/>
          <w:sz w:val="24"/>
          <w:lang w:val="zh-CN"/>
          <w14:textFill>
            <w14:solidFill>
              <w14:schemeClr w14:val="tx1"/>
            </w14:solidFill>
          </w14:textFill>
        </w:rPr>
        <w:t xml:space="preserve">）：                                                                                                                                                                                                               </w:t>
      </w:r>
    </w:p>
    <w:p w14:paraId="6D2299DF">
      <w:pPr>
        <w:spacing w:line="360" w:lineRule="auto"/>
        <w:ind w:left="4620" w:leftChars="2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年   月   日</w:t>
      </w:r>
    </w:p>
    <w:p w14:paraId="2EB2E750">
      <w:pPr>
        <w:spacing w:line="360" w:lineRule="auto"/>
        <w:jc w:val="center"/>
        <w:rPr>
          <w:rFonts w:ascii="宋体" w:hAnsi="宋体" w:cs="宋体"/>
          <w:b/>
          <w:bCs/>
          <w:color w:val="000000" w:themeColor="text1"/>
          <w:sz w:val="24"/>
          <w14:textFill>
            <w14:solidFill>
              <w14:schemeClr w14:val="tx1"/>
            </w14:solidFill>
          </w14:textFill>
        </w:rPr>
      </w:pPr>
    </w:p>
    <w:p w14:paraId="65BF2405">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06E37130">
      <w:pPr>
        <w:spacing w:line="360" w:lineRule="auto"/>
        <w:jc w:val="center"/>
        <w:rPr>
          <w:rFonts w:ascii="宋体" w:hAnsi="宋体" w:cs="宋体"/>
          <w:b/>
          <w:bCs/>
          <w:color w:val="000000" w:themeColor="text1"/>
          <w:sz w:val="24"/>
          <w14:textFill>
            <w14:solidFill>
              <w14:schemeClr w14:val="tx1"/>
            </w14:solidFill>
          </w14:textFill>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1420F94B">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报价文件部分</w:t>
      </w:r>
    </w:p>
    <w:p w14:paraId="1BE6938D">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14:paraId="7F652F55">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14:paraId="181E1048">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（1）交易一览表（报价表）………………………………………………………（页码）</w:t>
      </w:r>
    </w:p>
    <w:p w14:paraId="4635470A">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7F0FADD9">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782E8C15">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8B1D2CF">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49055773">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6112C05F">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C630A76">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12415CD9">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7E5FD0B4">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51322B01">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78AFCE4">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1462E053">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71B8264B">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71C6049D">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48414523">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4EDEA567">
      <w:pPr>
        <w:pStyle w:val="695"/>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5B5C748C">
      <w:pPr>
        <w:pStyle w:val="695"/>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一、交易一览表（报价表）</w:t>
      </w:r>
    </w:p>
    <w:p w14:paraId="05D7869B">
      <w:pPr>
        <w:snapToGrid w:val="0"/>
        <w:spacing w:line="360" w:lineRule="auto"/>
        <w:rPr>
          <w:rFonts w:ascii="仿宋" w:hAnsi="仿宋" w:eastAsia="仿宋" w:cs="仿宋"/>
          <w:color w:val="000000"/>
          <w:kern w:val="0"/>
          <w:sz w:val="24"/>
        </w:rPr>
      </w:pPr>
      <w:r>
        <w:rPr>
          <w:rFonts w:hint="eastAsia" w:ascii="仿宋" w:hAnsi="仿宋" w:eastAsia="仿宋" w:cs="仿宋"/>
          <w:color w:val="000000"/>
          <w:sz w:val="24"/>
          <w:u w:val="single"/>
        </w:rPr>
        <w:t>（交易发起人）、（代理机构）</w:t>
      </w:r>
      <w:r>
        <w:rPr>
          <w:rFonts w:hint="eastAsia" w:ascii="仿宋" w:hAnsi="仿宋" w:eastAsia="仿宋" w:cs="仿宋"/>
          <w:color w:val="000000"/>
          <w:kern w:val="0"/>
          <w:sz w:val="24"/>
          <w:lang w:val="zh-CN"/>
        </w:rPr>
        <w:t>：</w:t>
      </w:r>
    </w:p>
    <w:p w14:paraId="270AF1CC">
      <w:pPr>
        <w:snapToGrid w:val="0"/>
        <w:spacing w:line="360" w:lineRule="auto"/>
        <w:ind w:firstLine="482"/>
        <w:rPr>
          <w:rFonts w:ascii="仿宋" w:hAnsi="仿宋" w:eastAsia="仿宋" w:cs="仿宋"/>
          <w:color w:val="000000"/>
          <w:kern w:val="0"/>
          <w:sz w:val="24"/>
          <w:lang w:val="zh-CN"/>
        </w:rPr>
      </w:pPr>
      <w:r>
        <w:rPr>
          <w:rFonts w:hint="eastAsia" w:ascii="仿宋" w:hAnsi="仿宋" w:eastAsia="仿宋" w:cs="仿宋"/>
          <w:color w:val="000000"/>
          <w:kern w:val="0"/>
          <w:sz w:val="24"/>
          <w:lang w:val="zh-CN"/>
        </w:rPr>
        <w:t>按你方公开竞争文件要求，我们，本响应文件签字方，谨此向你方发出要约如下：如你方接受本投标，我方承诺按照如下交易一览表（报价表）的价格完成</w:t>
      </w:r>
      <w:r>
        <w:rPr>
          <w:rFonts w:hint="eastAsia" w:ascii="仿宋" w:hAnsi="仿宋" w:eastAsia="仿宋" w:cs="仿宋"/>
          <w:color w:val="000000"/>
          <w:sz w:val="24"/>
          <w:u w:val="single"/>
        </w:rPr>
        <w:t>（项目名称）</w:t>
      </w:r>
      <w:r>
        <w:rPr>
          <w:rFonts w:hint="eastAsia" w:ascii="仿宋" w:hAnsi="仿宋" w:eastAsia="仿宋" w:cs="仿宋"/>
          <w:color w:val="000000"/>
          <w:kern w:val="0"/>
          <w:sz w:val="24"/>
          <w:u w:val="single"/>
          <w:lang w:val="zh-CN"/>
        </w:rPr>
        <w:t>【交易编号：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的实施</w:t>
      </w:r>
      <w:r>
        <w:rPr>
          <w:rFonts w:hint="eastAsia" w:ascii="仿宋" w:hAnsi="仿宋" w:eastAsia="仿宋" w:cs="仿宋"/>
          <w:color w:val="000000"/>
          <w:kern w:val="0"/>
          <w:sz w:val="24"/>
          <w:lang w:val="zh-CN"/>
        </w:rPr>
        <w:t>。</w:t>
      </w:r>
    </w:p>
    <w:p w14:paraId="6B2171F1">
      <w:pPr>
        <w:snapToGrid w:val="0"/>
        <w:spacing w:line="360" w:lineRule="auto"/>
        <w:jc w:val="center"/>
        <w:rPr>
          <w:rFonts w:ascii="仿宋" w:hAnsi="仿宋" w:eastAsia="仿宋" w:cs="仿宋"/>
          <w:b/>
          <w:color w:val="000000"/>
          <w:kern w:val="0"/>
          <w:sz w:val="24"/>
          <w:lang w:val="zh-CN"/>
        </w:rPr>
      </w:pPr>
      <w:r>
        <w:rPr>
          <w:rFonts w:hint="eastAsia" w:ascii="仿宋" w:hAnsi="仿宋" w:eastAsia="仿宋" w:cs="仿宋"/>
          <w:b/>
          <w:color w:val="000000"/>
          <w:kern w:val="0"/>
          <w:sz w:val="24"/>
          <w:lang w:val="zh-CN"/>
        </w:rPr>
        <w:t>交易一览表（报价表）(单位均为人民币元)</w:t>
      </w:r>
    </w:p>
    <w:tbl>
      <w:tblPr>
        <w:tblStyle w:val="64"/>
        <w:tblW w:w="14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591"/>
        <w:gridCol w:w="2201"/>
        <w:gridCol w:w="2747"/>
        <w:gridCol w:w="1392"/>
        <w:gridCol w:w="1464"/>
        <w:gridCol w:w="1631"/>
        <w:gridCol w:w="2006"/>
        <w:gridCol w:w="5"/>
      </w:tblGrid>
      <w:tr w14:paraId="7BD26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3CCDDFA3">
            <w:pPr>
              <w:jc w:val="center"/>
              <w:rPr>
                <w:rFonts w:ascii="仿宋" w:hAnsi="仿宋" w:eastAsia="仿宋" w:cs="仿宋"/>
                <w:b/>
                <w:color w:val="000000"/>
                <w:sz w:val="24"/>
              </w:rPr>
            </w:pPr>
            <w:r>
              <w:rPr>
                <w:rFonts w:hint="eastAsia" w:ascii="仿宋" w:hAnsi="仿宋" w:eastAsia="仿宋" w:cs="仿宋"/>
                <w:b/>
                <w:color w:val="000000"/>
                <w:sz w:val="24"/>
              </w:rPr>
              <w:t>序号</w:t>
            </w:r>
          </w:p>
        </w:tc>
        <w:tc>
          <w:tcPr>
            <w:tcW w:w="2591" w:type="dxa"/>
            <w:tcBorders>
              <w:top w:val="single" w:color="auto" w:sz="4" w:space="0"/>
              <w:left w:val="single" w:color="auto" w:sz="4" w:space="0"/>
              <w:bottom w:val="single" w:color="auto" w:sz="4" w:space="0"/>
              <w:right w:val="single" w:color="auto" w:sz="4" w:space="0"/>
            </w:tcBorders>
            <w:vAlign w:val="center"/>
          </w:tcPr>
          <w:p w14:paraId="7EEE3D02">
            <w:pPr>
              <w:jc w:val="center"/>
              <w:rPr>
                <w:rFonts w:ascii="仿宋" w:hAnsi="仿宋" w:eastAsia="仿宋" w:cs="仿宋"/>
                <w:b/>
                <w:color w:val="000000"/>
                <w:sz w:val="24"/>
              </w:rPr>
            </w:pPr>
            <w:r>
              <w:rPr>
                <w:rFonts w:hint="eastAsia" w:ascii="仿宋" w:hAnsi="仿宋" w:eastAsia="仿宋" w:cs="仿宋"/>
                <w:b/>
                <w:color w:val="000000"/>
                <w:sz w:val="24"/>
              </w:rPr>
              <w:t>名称</w:t>
            </w:r>
          </w:p>
        </w:tc>
        <w:tc>
          <w:tcPr>
            <w:tcW w:w="2201" w:type="dxa"/>
            <w:tcBorders>
              <w:top w:val="single" w:color="auto" w:sz="4" w:space="0"/>
              <w:left w:val="single" w:color="auto" w:sz="4" w:space="0"/>
              <w:bottom w:val="single" w:color="auto" w:sz="4" w:space="0"/>
              <w:right w:val="single" w:color="auto" w:sz="4" w:space="0"/>
            </w:tcBorders>
            <w:vAlign w:val="center"/>
          </w:tcPr>
          <w:p w14:paraId="7899C3A8">
            <w:pPr>
              <w:jc w:val="center"/>
              <w:rPr>
                <w:rFonts w:ascii="仿宋" w:hAnsi="仿宋" w:eastAsia="仿宋" w:cs="仿宋"/>
                <w:b/>
                <w:color w:val="000000"/>
                <w:sz w:val="24"/>
              </w:rPr>
            </w:pPr>
            <w:r>
              <w:rPr>
                <w:rFonts w:hint="eastAsia" w:ascii="仿宋" w:hAnsi="仿宋" w:eastAsia="仿宋" w:cs="仿宋"/>
                <w:b/>
                <w:color w:val="000000"/>
                <w:sz w:val="24"/>
              </w:rPr>
              <w:t>具体内容</w:t>
            </w:r>
          </w:p>
        </w:tc>
        <w:tc>
          <w:tcPr>
            <w:tcW w:w="2747" w:type="dxa"/>
            <w:tcBorders>
              <w:top w:val="single" w:color="auto" w:sz="4" w:space="0"/>
              <w:left w:val="single" w:color="auto" w:sz="4" w:space="0"/>
              <w:bottom w:val="single" w:color="auto" w:sz="4" w:space="0"/>
              <w:right w:val="single" w:color="auto" w:sz="4" w:space="0"/>
            </w:tcBorders>
            <w:vAlign w:val="center"/>
          </w:tcPr>
          <w:p w14:paraId="5F943636">
            <w:pPr>
              <w:jc w:val="center"/>
              <w:rPr>
                <w:rFonts w:ascii="仿宋" w:hAnsi="仿宋" w:eastAsia="仿宋" w:cs="仿宋"/>
                <w:b/>
                <w:color w:val="000000"/>
                <w:sz w:val="24"/>
              </w:rPr>
            </w:pPr>
            <w:r>
              <w:rPr>
                <w:rFonts w:hint="eastAsia" w:ascii="仿宋" w:hAnsi="仿宋" w:eastAsia="仿宋" w:cs="仿宋"/>
                <w:b/>
                <w:color w:val="000000"/>
                <w:sz w:val="24"/>
              </w:rPr>
              <w:t>具体服务</w:t>
            </w:r>
          </w:p>
        </w:tc>
        <w:tc>
          <w:tcPr>
            <w:tcW w:w="1392" w:type="dxa"/>
            <w:tcBorders>
              <w:top w:val="single" w:color="auto" w:sz="4" w:space="0"/>
              <w:left w:val="single" w:color="auto" w:sz="4" w:space="0"/>
              <w:bottom w:val="single" w:color="auto" w:sz="4" w:space="0"/>
              <w:right w:val="single" w:color="auto" w:sz="4" w:space="0"/>
            </w:tcBorders>
            <w:vAlign w:val="center"/>
          </w:tcPr>
          <w:p w14:paraId="40E78F89">
            <w:pPr>
              <w:jc w:val="center"/>
              <w:rPr>
                <w:rFonts w:ascii="仿宋" w:hAnsi="仿宋" w:eastAsia="仿宋" w:cs="仿宋"/>
                <w:b/>
                <w:color w:val="000000"/>
                <w:sz w:val="24"/>
              </w:rPr>
            </w:pPr>
            <w:r>
              <w:rPr>
                <w:rFonts w:hint="eastAsia" w:ascii="仿宋" w:hAnsi="仿宋" w:eastAsia="仿宋" w:cs="仿宋"/>
                <w:b/>
                <w:color w:val="000000"/>
                <w:sz w:val="24"/>
              </w:rPr>
              <w:t>数量</w:t>
            </w:r>
          </w:p>
        </w:tc>
        <w:tc>
          <w:tcPr>
            <w:tcW w:w="1464" w:type="dxa"/>
            <w:tcBorders>
              <w:top w:val="single" w:color="auto" w:sz="4" w:space="0"/>
              <w:left w:val="single" w:color="auto" w:sz="4" w:space="0"/>
              <w:bottom w:val="single" w:color="auto" w:sz="4" w:space="0"/>
              <w:right w:val="single" w:color="auto" w:sz="4" w:space="0"/>
            </w:tcBorders>
            <w:vAlign w:val="center"/>
          </w:tcPr>
          <w:p w14:paraId="56749009">
            <w:pPr>
              <w:jc w:val="center"/>
              <w:rPr>
                <w:rFonts w:hint="eastAsia" w:ascii="仿宋" w:hAnsi="仿宋" w:eastAsia="仿宋" w:cs="仿宋"/>
                <w:b/>
                <w:color w:val="000000"/>
                <w:sz w:val="24"/>
                <w:lang w:eastAsia="zh-CN"/>
              </w:rPr>
            </w:pPr>
            <w:r>
              <w:rPr>
                <w:rFonts w:hint="eastAsia" w:ascii="仿宋" w:hAnsi="仿宋" w:eastAsia="仿宋" w:cs="仿宋"/>
                <w:b/>
                <w:color w:val="000000"/>
                <w:sz w:val="24"/>
              </w:rPr>
              <w:t>单价</w:t>
            </w:r>
            <w:r>
              <w:rPr>
                <w:rFonts w:hint="eastAsia" w:ascii="仿宋" w:hAnsi="仿宋" w:eastAsia="仿宋" w:cs="仿宋"/>
                <w:b/>
                <w:color w:val="000000"/>
                <w:sz w:val="24"/>
                <w:lang w:eastAsia="zh-CN"/>
              </w:rPr>
              <w:t>（</w:t>
            </w:r>
            <w:r>
              <w:rPr>
                <w:rFonts w:hint="eastAsia" w:ascii="仿宋" w:hAnsi="仿宋" w:eastAsia="仿宋" w:cs="仿宋"/>
                <w:b/>
                <w:color w:val="000000"/>
                <w:sz w:val="24"/>
                <w:lang w:val="en-US" w:eastAsia="zh-CN"/>
              </w:rPr>
              <w:t>元</w:t>
            </w:r>
            <w:r>
              <w:rPr>
                <w:rFonts w:hint="eastAsia" w:ascii="仿宋" w:hAnsi="仿宋" w:eastAsia="仿宋" w:cs="仿宋"/>
                <w:b/>
                <w:color w:val="000000"/>
                <w:sz w:val="24"/>
                <w:lang w:eastAsia="zh-CN"/>
              </w:rPr>
              <w:t>）</w:t>
            </w:r>
          </w:p>
        </w:tc>
        <w:tc>
          <w:tcPr>
            <w:tcW w:w="1631" w:type="dxa"/>
            <w:tcBorders>
              <w:top w:val="single" w:color="auto" w:sz="4" w:space="0"/>
              <w:left w:val="single" w:color="auto" w:sz="4" w:space="0"/>
              <w:bottom w:val="single" w:color="auto" w:sz="4" w:space="0"/>
              <w:right w:val="single" w:color="auto" w:sz="4" w:space="0"/>
            </w:tcBorders>
            <w:vAlign w:val="center"/>
          </w:tcPr>
          <w:p w14:paraId="30684B3B">
            <w:pPr>
              <w:jc w:val="center"/>
              <w:rPr>
                <w:rFonts w:hint="eastAsia" w:ascii="仿宋" w:hAnsi="仿宋" w:eastAsia="仿宋" w:cs="仿宋"/>
                <w:b/>
                <w:color w:val="000000"/>
                <w:sz w:val="24"/>
                <w:lang w:eastAsia="zh-CN"/>
              </w:rPr>
            </w:pPr>
            <w:r>
              <w:rPr>
                <w:rFonts w:hint="eastAsia" w:ascii="仿宋" w:hAnsi="仿宋" w:eastAsia="仿宋" w:cs="仿宋"/>
                <w:b/>
                <w:color w:val="000000"/>
                <w:sz w:val="24"/>
              </w:rPr>
              <w:t>总价</w:t>
            </w:r>
            <w:r>
              <w:rPr>
                <w:rFonts w:hint="eastAsia" w:ascii="仿宋" w:hAnsi="仿宋" w:eastAsia="仿宋" w:cs="仿宋"/>
                <w:b/>
                <w:color w:val="000000"/>
                <w:sz w:val="24"/>
                <w:lang w:eastAsia="zh-CN"/>
              </w:rPr>
              <w:t>（</w:t>
            </w:r>
            <w:r>
              <w:rPr>
                <w:rFonts w:hint="eastAsia" w:ascii="仿宋" w:hAnsi="仿宋" w:eastAsia="仿宋" w:cs="仿宋"/>
                <w:b/>
                <w:color w:val="000000"/>
                <w:sz w:val="24"/>
                <w:lang w:val="en-US" w:eastAsia="zh-CN"/>
              </w:rPr>
              <w:t>元</w:t>
            </w:r>
            <w:r>
              <w:rPr>
                <w:rFonts w:hint="eastAsia" w:ascii="仿宋" w:hAnsi="仿宋" w:eastAsia="仿宋" w:cs="仿宋"/>
                <w:b/>
                <w:color w:val="000000"/>
                <w:sz w:val="24"/>
                <w:lang w:eastAsia="zh-CN"/>
              </w:rPr>
              <w:t>）</w:t>
            </w:r>
          </w:p>
        </w:tc>
        <w:tc>
          <w:tcPr>
            <w:tcW w:w="2011" w:type="dxa"/>
            <w:gridSpan w:val="2"/>
            <w:tcBorders>
              <w:top w:val="single" w:color="auto" w:sz="4" w:space="0"/>
              <w:left w:val="single" w:color="auto" w:sz="4" w:space="0"/>
              <w:bottom w:val="single" w:color="auto" w:sz="4" w:space="0"/>
              <w:right w:val="single" w:color="auto" w:sz="4" w:space="0"/>
            </w:tcBorders>
            <w:vAlign w:val="center"/>
          </w:tcPr>
          <w:p w14:paraId="2D99ACAD">
            <w:pPr>
              <w:jc w:val="center"/>
              <w:rPr>
                <w:rFonts w:ascii="仿宋" w:hAnsi="仿宋" w:eastAsia="仿宋" w:cs="仿宋"/>
                <w:b/>
                <w:color w:val="000000"/>
                <w:sz w:val="24"/>
              </w:rPr>
            </w:pPr>
            <w:r>
              <w:rPr>
                <w:rFonts w:hint="eastAsia" w:ascii="仿宋" w:hAnsi="仿宋" w:eastAsia="仿宋" w:cs="仿宋"/>
                <w:b/>
                <w:color w:val="000000"/>
                <w:sz w:val="24"/>
              </w:rPr>
              <w:t>服务要求（年限）</w:t>
            </w:r>
          </w:p>
        </w:tc>
      </w:tr>
      <w:tr w14:paraId="47FD9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6E72DAD4">
            <w:pPr>
              <w:jc w:val="center"/>
              <w:rPr>
                <w:rFonts w:ascii="仿宋" w:hAnsi="仿宋" w:eastAsia="仿宋" w:cs="仿宋"/>
                <w:color w:val="000000"/>
                <w:sz w:val="24"/>
              </w:rPr>
            </w:pPr>
            <w:r>
              <w:rPr>
                <w:rFonts w:hint="eastAsia" w:ascii="仿宋" w:hAnsi="仿宋" w:eastAsia="仿宋" w:cs="仿宋"/>
                <w:color w:val="000000"/>
                <w:sz w:val="24"/>
              </w:rPr>
              <w:t>1</w:t>
            </w:r>
          </w:p>
        </w:tc>
        <w:tc>
          <w:tcPr>
            <w:tcW w:w="2591" w:type="dxa"/>
            <w:tcBorders>
              <w:top w:val="single" w:color="auto" w:sz="4" w:space="0"/>
              <w:left w:val="single" w:color="auto" w:sz="4" w:space="0"/>
              <w:bottom w:val="single" w:color="auto" w:sz="4" w:space="0"/>
              <w:right w:val="single" w:color="auto" w:sz="4" w:space="0"/>
            </w:tcBorders>
            <w:vAlign w:val="center"/>
          </w:tcPr>
          <w:p w14:paraId="1708C5C9">
            <w:pPr>
              <w:spacing w:line="240" w:lineRule="auto"/>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杭州萧山盈丰丰北股份经济联合社商业医疗补充险采购项目</w:t>
            </w:r>
          </w:p>
        </w:tc>
        <w:tc>
          <w:tcPr>
            <w:tcW w:w="2201" w:type="dxa"/>
            <w:tcBorders>
              <w:top w:val="single" w:color="auto" w:sz="4" w:space="0"/>
              <w:left w:val="single" w:color="auto" w:sz="4" w:space="0"/>
              <w:bottom w:val="single" w:color="auto" w:sz="4" w:space="0"/>
              <w:right w:val="single" w:color="auto" w:sz="4" w:space="0"/>
            </w:tcBorders>
            <w:vAlign w:val="center"/>
          </w:tcPr>
          <w:p w14:paraId="0CAA339A">
            <w:pPr>
              <w:spacing w:line="240" w:lineRule="auto"/>
              <w:jc w:val="center"/>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商业医疗补充险</w:t>
            </w:r>
          </w:p>
        </w:tc>
        <w:tc>
          <w:tcPr>
            <w:tcW w:w="2747" w:type="dxa"/>
            <w:tcBorders>
              <w:top w:val="single" w:color="auto" w:sz="4" w:space="0"/>
              <w:left w:val="single" w:color="auto" w:sz="4" w:space="0"/>
              <w:bottom w:val="single" w:color="auto" w:sz="4" w:space="0"/>
              <w:right w:val="single" w:color="auto" w:sz="4" w:space="0"/>
            </w:tcBorders>
            <w:vAlign w:val="center"/>
          </w:tcPr>
          <w:p w14:paraId="29D96346">
            <w:pPr>
              <w:spacing w:line="240" w:lineRule="auto"/>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商业医疗保险投保</w:t>
            </w:r>
          </w:p>
        </w:tc>
        <w:tc>
          <w:tcPr>
            <w:tcW w:w="1392" w:type="dxa"/>
            <w:tcBorders>
              <w:top w:val="single" w:color="auto" w:sz="4" w:space="0"/>
              <w:left w:val="single" w:color="auto" w:sz="4" w:space="0"/>
              <w:bottom w:val="single" w:color="auto" w:sz="4" w:space="0"/>
              <w:right w:val="single" w:color="auto" w:sz="4" w:space="0"/>
            </w:tcBorders>
            <w:vAlign w:val="center"/>
          </w:tcPr>
          <w:p w14:paraId="55F25A9B">
            <w:pPr>
              <w:spacing w:line="240" w:lineRule="auto"/>
              <w:jc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4000人</w:t>
            </w:r>
          </w:p>
        </w:tc>
        <w:tc>
          <w:tcPr>
            <w:tcW w:w="1464" w:type="dxa"/>
            <w:tcBorders>
              <w:top w:val="single" w:color="auto" w:sz="4" w:space="0"/>
              <w:left w:val="single" w:color="auto" w:sz="4" w:space="0"/>
              <w:bottom w:val="single" w:color="auto" w:sz="4" w:space="0"/>
              <w:right w:val="single" w:color="auto" w:sz="4" w:space="0"/>
            </w:tcBorders>
            <w:vAlign w:val="center"/>
          </w:tcPr>
          <w:p w14:paraId="3F7E9A0D">
            <w:pPr>
              <w:spacing w:line="240" w:lineRule="auto"/>
              <w:ind w:left="-2" w:leftChars="-1" w:firstLine="480" w:firstLineChars="200"/>
              <w:rPr>
                <w:rFonts w:hint="eastAsia" w:ascii="仿宋" w:hAnsi="仿宋" w:eastAsia="仿宋" w:cs="仿宋"/>
                <w:color w:val="000000"/>
                <w:kern w:val="0"/>
                <w:sz w:val="24"/>
                <w:lang w:val="zh-CN"/>
              </w:rPr>
            </w:pPr>
          </w:p>
        </w:tc>
        <w:tc>
          <w:tcPr>
            <w:tcW w:w="1631" w:type="dxa"/>
            <w:tcBorders>
              <w:top w:val="single" w:color="auto" w:sz="4" w:space="0"/>
              <w:left w:val="single" w:color="auto" w:sz="4" w:space="0"/>
              <w:bottom w:val="single" w:color="auto" w:sz="4" w:space="0"/>
              <w:right w:val="single" w:color="auto" w:sz="4" w:space="0"/>
            </w:tcBorders>
            <w:vAlign w:val="center"/>
          </w:tcPr>
          <w:p w14:paraId="5E1931B1">
            <w:pPr>
              <w:spacing w:line="240" w:lineRule="auto"/>
              <w:ind w:left="-2" w:leftChars="-1" w:firstLine="480" w:firstLineChars="200"/>
              <w:rPr>
                <w:rFonts w:hint="eastAsia" w:ascii="仿宋" w:hAnsi="仿宋" w:eastAsia="仿宋" w:cs="仿宋"/>
                <w:color w:val="000000"/>
                <w:kern w:val="0"/>
                <w:sz w:val="24"/>
                <w:lang w:val="zh-CN"/>
              </w:rPr>
            </w:pPr>
          </w:p>
        </w:tc>
        <w:tc>
          <w:tcPr>
            <w:tcW w:w="2011" w:type="dxa"/>
            <w:gridSpan w:val="2"/>
            <w:tcBorders>
              <w:top w:val="single" w:color="auto" w:sz="4" w:space="0"/>
              <w:left w:val="single" w:color="auto" w:sz="4" w:space="0"/>
              <w:bottom w:val="single" w:color="auto" w:sz="4" w:space="0"/>
              <w:right w:val="single" w:color="auto" w:sz="4" w:space="0"/>
            </w:tcBorders>
            <w:vAlign w:val="center"/>
          </w:tcPr>
          <w:p w14:paraId="2493453A">
            <w:pPr>
              <w:spacing w:line="240" w:lineRule="auto"/>
              <w:ind w:left="-2" w:leftChars="-1" w:firstLine="480" w:firstLineChars="200"/>
              <w:rPr>
                <w:rFonts w:hint="eastAsia" w:ascii="仿宋" w:hAnsi="仿宋" w:eastAsia="仿宋" w:cs="仿宋"/>
                <w:color w:val="000000"/>
                <w:kern w:val="0"/>
                <w:sz w:val="24"/>
                <w:lang w:val="zh-CN"/>
              </w:rPr>
            </w:pPr>
          </w:p>
        </w:tc>
      </w:tr>
      <w:tr w14:paraId="72934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35F75EB0">
            <w:pPr>
              <w:jc w:val="center"/>
              <w:rPr>
                <w:rFonts w:ascii="仿宋" w:hAnsi="仿宋" w:eastAsia="仿宋" w:cs="仿宋"/>
                <w:color w:val="000000"/>
                <w:sz w:val="24"/>
              </w:rPr>
            </w:pPr>
            <w:r>
              <w:rPr>
                <w:rFonts w:hint="eastAsia" w:ascii="仿宋" w:hAnsi="仿宋" w:eastAsia="仿宋" w:cs="仿宋"/>
                <w:color w:val="000000"/>
                <w:sz w:val="24"/>
              </w:rPr>
              <w:t>2</w:t>
            </w:r>
          </w:p>
        </w:tc>
        <w:tc>
          <w:tcPr>
            <w:tcW w:w="2591" w:type="dxa"/>
            <w:tcBorders>
              <w:top w:val="single" w:color="auto" w:sz="4" w:space="0"/>
              <w:left w:val="single" w:color="auto" w:sz="4" w:space="0"/>
              <w:bottom w:val="single" w:color="auto" w:sz="4" w:space="0"/>
              <w:right w:val="single" w:color="auto" w:sz="4" w:space="0"/>
            </w:tcBorders>
            <w:vAlign w:val="center"/>
          </w:tcPr>
          <w:p w14:paraId="51FD9CE9">
            <w:pPr>
              <w:snapToGrid w:val="0"/>
              <w:jc w:val="center"/>
              <w:rPr>
                <w:rFonts w:ascii="仿宋" w:hAnsi="仿宋" w:eastAsia="仿宋" w:cs="仿宋"/>
                <w:color w:val="000000"/>
                <w:sz w:val="24"/>
              </w:rPr>
            </w:pPr>
          </w:p>
        </w:tc>
        <w:tc>
          <w:tcPr>
            <w:tcW w:w="2201" w:type="dxa"/>
            <w:tcBorders>
              <w:top w:val="single" w:color="auto" w:sz="4" w:space="0"/>
              <w:left w:val="single" w:color="auto" w:sz="4" w:space="0"/>
              <w:bottom w:val="single" w:color="auto" w:sz="4" w:space="0"/>
              <w:right w:val="single" w:color="auto" w:sz="4" w:space="0"/>
            </w:tcBorders>
            <w:vAlign w:val="center"/>
          </w:tcPr>
          <w:p w14:paraId="147DB73A">
            <w:pPr>
              <w:snapToGrid w:val="0"/>
              <w:jc w:val="center"/>
              <w:rPr>
                <w:rFonts w:ascii="仿宋" w:hAnsi="仿宋" w:eastAsia="仿宋" w:cs="仿宋"/>
                <w:color w:val="000000"/>
                <w:sz w:val="24"/>
              </w:rPr>
            </w:pPr>
          </w:p>
        </w:tc>
        <w:tc>
          <w:tcPr>
            <w:tcW w:w="2747" w:type="dxa"/>
            <w:tcBorders>
              <w:top w:val="single" w:color="auto" w:sz="4" w:space="0"/>
              <w:left w:val="single" w:color="auto" w:sz="4" w:space="0"/>
              <w:bottom w:val="single" w:color="auto" w:sz="4" w:space="0"/>
              <w:right w:val="single" w:color="auto" w:sz="4" w:space="0"/>
            </w:tcBorders>
            <w:vAlign w:val="center"/>
          </w:tcPr>
          <w:p w14:paraId="11DE3CEC">
            <w:pPr>
              <w:snapToGrid w:val="0"/>
              <w:jc w:val="center"/>
              <w:rPr>
                <w:rFonts w:ascii="仿宋" w:hAnsi="仿宋" w:eastAsia="仿宋" w:cs="仿宋"/>
                <w:color w:val="000000"/>
                <w:sz w:val="24"/>
              </w:rPr>
            </w:pPr>
          </w:p>
        </w:tc>
        <w:tc>
          <w:tcPr>
            <w:tcW w:w="1392" w:type="dxa"/>
            <w:tcBorders>
              <w:top w:val="single" w:color="auto" w:sz="4" w:space="0"/>
              <w:left w:val="single" w:color="auto" w:sz="4" w:space="0"/>
              <w:bottom w:val="single" w:color="auto" w:sz="4" w:space="0"/>
              <w:right w:val="single" w:color="auto" w:sz="4" w:space="0"/>
            </w:tcBorders>
            <w:vAlign w:val="center"/>
          </w:tcPr>
          <w:p w14:paraId="64CF0438">
            <w:pPr>
              <w:snapToGrid w:val="0"/>
              <w:jc w:val="center"/>
              <w:rPr>
                <w:rFonts w:ascii="仿宋" w:hAnsi="仿宋" w:eastAsia="仿宋" w:cs="仿宋"/>
                <w:color w:val="000000"/>
                <w:sz w:val="24"/>
              </w:rPr>
            </w:pPr>
          </w:p>
        </w:tc>
        <w:tc>
          <w:tcPr>
            <w:tcW w:w="1464" w:type="dxa"/>
            <w:tcBorders>
              <w:top w:val="single" w:color="auto" w:sz="4" w:space="0"/>
              <w:left w:val="single" w:color="auto" w:sz="4" w:space="0"/>
              <w:bottom w:val="single" w:color="auto" w:sz="4" w:space="0"/>
              <w:right w:val="single" w:color="auto" w:sz="4" w:space="0"/>
            </w:tcBorders>
            <w:vAlign w:val="center"/>
          </w:tcPr>
          <w:p w14:paraId="1F1C20CD">
            <w:pPr>
              <w:jc w:val="center"/>
              <w:rPr>
                <w:rFonts w:ascii="仿宋" w:hAnsi="仿宋" w:eastAsia="仿宋" w:cs="仿宋"/>
                <w:color w:val="000000"/>
                <w:sz w:val="24"/>
              </w:rPr>
            </w:pPr>
          </w:p>
        </w:tc>
        <w:tc>
          <w:tcPr>
            <w:tcW w:w="1631" w:type="dxa"/>
            <w:tcBorders>
              <w:top w:val="single" w:color="auto" w:sz="4" w:space="0"/>
              <w:left w:val="single" w:color="auto" w:sz="4" w:space="0"/>
              <w:bottom w:val="single" w:color="auto" w:sz="4" w:space="0"/>
              <w:right w:val="single" w:color="auto" w:sz="4" w:space="0"/>
            </w:tcBorders>
            <w:vAlign w:val="center"/>
          </w:tcPr>
          <w:p w14:paraId="740CFE96">
            <w:pPr>
              <w:jc w:val="center"/>
              <w:rPr>
                <w:rFonts w:ascii="仿宋" w:hAnsi="仿宋" w:eastAsia="仿宋" w:cs="仿宋"/>
                <w:color w:val="000000"/>
                <w:sz w:val="24"/>
              </w:rPr>
            </w:pPr>
          </w:p>
        </w:tc>
        <w:tc>
          <w:tcPr>
            <w:tcW w:w="2011" w:type="dxa"/>
            <w:gridSpan w:val="2"/>
            <w:tcBorders>
              <w:top w:val="single" w:color="auto" w:sz="4" w:space="0"/>
              <w:left w:val="single" w:color="auto" w:sz="4" w:space="0"/>
              <w:bottom w:val="single" w:color="auto" w:sz="4" w:space="0"/>
              <w:right w:val="single" w:color="auto" w:sz="4" w:space="0"/>
            </w:tcBorders>
            <w:vAlign w:val="center"/>
          </w:tcPr>
          <w:p w14:paraId="4D14DBF2">
            <w:pPr>
              <w:jc w:val="center"/>
              <w:rPr>
                <w:rFonts w:ascii="仿宋" w:hAnsi="仿宋" w:eastAsia="仿宋" w:cs="仿宋"/>
                <w:color w:val="000000"/>
                <w:sz w:val="24"/>
              </w:rPr>
            </w:pPr>
          </w:p>
        </w:tc>
      </w:tr>
      <w:tr w14:paraId="67EC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31CAFD61">
            <w:pPr>
              <w:jc w:val="center"/>
              <w:rPr>
                <w:rFonts w:ascii="仿宋" w:hAnsi="仿宋" w:eastAsia="仿宋" w:cs="仿宋"/>
                <w:color w:val="000000"/>
                <w:sz w:val="24"/>
              </w:rPr>
            </w:pPr>
            <w:r>
              <w:rPr>
                <w:rFonts w:hint="eastAsia" w:ascii="仿宋" w:hAnsi="仿宋" w:eastAsia="仿宋" w:cs="仿宋"/>
                <w:color w:val="000000"/>
                <w:sz w:val="24"/>
              </w:rPr>
              <w:t>3</w:t>
            </w:r>
          </w:p>
        </w:tc>
        <w:tc>
          <w:tcPr>
            <w:tcW w:w="2591" w:type="dxa"/>
            <w:tcBorders>
              <w:top w:val="single" w:color="auto" w:sz="4" w:space="0"/>
              <w:left w:val="single" w:color="auto" w:sz="4" w:space="0"/>
              <w:bottom w:val="single" w:color="auto" w:sz="4" w:space="0"/>
              <w:right w:val="single" w:color="auto" w:sz="4" w:space="0"/>
            </w:tcBorders>
            <w:vAlign w:val="center"/>
          </w:tcPr>
          <w:p w14:paraId="12A109EF">
            <w:pPr>
              <w:snapToGrid w:val="0"/>
              <w:jc w:val="center"/>
              <w:rPr>
                <w:rFonts w:ascii="仿宋" w:hAnsi="仿宋" w:eastAsia="仿宋" w:cs="仿宋"/>
                <w:color w:val="000000"/>
                <w:sz w:val="24"/>
              </w:rPr>
            </w:pPr>
          </w:p>
        </w:tc>
        <w:tc>
          <w:tcPr>
            <w:tcW w:w="2201" w:type="dxa"/>
            <w:tcBorders>
              <w:top w:val="single" w:color="auto" w:sz="4" w:space="0"/>
              <w:left w:val="single" w:color="auto" w:sz="4" w:space="0"/>
              <w:bottom w:val="single" w:color="auto" w:sz="4" w:space="0"/>
              <w:right w:val="single" w:color="auto" w:sz="4" w:space="0"/>
            </w:tcBorders>
            <w:vAlign w:val="center"/>
          </w:tcPr>
          <w:p w14:paraId="5AAE6DA6">
            <w:pPr>
              <w:snapToGrid w:val="0"/>
              <w:jc w:val="center"/>
              <w:rPr>
                <w:rFonts w:ascii="仿宋" w:hAnsi="仿宋" w:eastAsia="仿宋" w:cs="仿宋"/>
                <w:color w:val="000000"/>
                <w:sz w:val="24"/>
              </w:rPr>
            </w:pPr>
          </w:p>
        </w:tc>
        <w:tc>
          <w:tcPr>
            <w:tcW w:w="2747" w:type="dxa"/>
            <w:tcBorders>
              <w:top w:val="single" w:color="auto" w:sz="4" w:space="0"/>
              <w:left w:val="single" w:color="auto" w:sz="4" w:space="0"/>
              <w:bottom w:val="single" w:color="auto" w:sz="4" w:space="0"/>
              <w:right w:val="single" w:color="auto" w:sz="4" w:space="0"/>
            </w:tcBorders>
            <w:vAlign w:val="center"/>
          </w:tcPr>
          <w:p w14:paraId="5A54CEEC">
            <w:pPr>
              <w:snapToGrid w:val="0"/>
              <w:jc w:val="center"/>
              <w:rPr>
                <w:rFonts w:ascii="仿宋" w:hAnsi="仿宋" w:eastAsia="仿宋" w:cs="仿宋"/>
                <w:color w:val="000000"/>
                <w:sz w:val="24"/>
              </w:rPr>
            </w:pPr>
          </w:p>
        </w:tc>
        <w:tc>
          <w:tcPr>
            <w:tcW w:w="1392" w:type="dxa"/>
            <w:tcBorders>
              <w:top w:val="single" w:color="auto" w:sz="4" w:space="0"/>
              <w:left w:val="single" w:color="auto" w:sz="4" w:space="0"/>
              <w:bottom w:val="single" w:color="auto" w:sz="4" w:space="0"/>
              <w:right w:val="single" w:color="auto" w:sz="4" w:space="0"/>
            </w:tcBorders>
            <w:vAlign w:val="center"/>
          </w:tcPr>
          <w:p w14:paraId="178298F6">
            <w:pPr>
              <w:snapToGrid w:val="0"/>
              <w:jc w:val="center"/>
              <w:rPr>
                <w:rFonts w:ascii="仿宋" w:hAnsi="仿宋" w:eastAsia="仿宋" w:cs="仿宋"/>
                <w:color w:val="000000"/>
                <w:sz w:val="24"/>
              </w:rPr>
            </w:pPr>
          </w:p>
        </w:tc>
        <w:tc>
          <w:tcPr>
            <w:tcW w:w="1464" w:type="dxa"/>
            <w:tcBorders>
              <w:top w:val="single" w:color="auto" w:sz="4" w:space="0"/>
              <w:left w:val="single" w:color="auto" w:sz="4" w:space="0"/>
              <w:bottom w:val="single" w:color="auto" w:sz="4" w:space="0"/>
              <w:right w:val="single" w:color="auto" w:sz="4" w:space="0"/>
            </w:tcBorders>
            <w:vAlign w:val="center"/>
          </w:tcPr>
          <w:p w14:paraId="2CDC0A3B">
            <w:pPr>
              <w:jc w:val="center"/>
              <w:rPr>
                <w:rFonts w:ascii="仿宋" w:hAnsi="仿宋" w:eastAsia="仿宋" w:cs="仿宋"/>
                <w:color w:val="000000"/>
                <w:sz w:val="24"/>
              </w:rPr>
            </w:pPr>
          </w:p>
        </w:tc>
        <w:tc>
          <w:tcPr>
            <w:tcW w:w="1631" w:type="dxa"/>
            <w:tcBorders>
              <w:top w:val="single" w:color="auto" w:sz="4" w:space="0"/>
              <w:left w:val="single" w:color="auto" w:sz="4" w:space="0"/>
              <w:bottom w:val="single" w:color="auto" w:sz="4" w:space="0"/>
              <w:right w:val="single" w:color="auto" w:sz="4" w:space="0"/>
            </w:tcBorders>
            <w:vAlign w:val="center"/>
          </w:tcPr>
          <w:p w14:paraId="545BDB58">
            <w:pPr>
              <w:jc w:val="center"/>
              <w:rPr>
                <w:rFonts w:ascii="仿宋" w:hAnsi="仿宋" w:eastAsia="仿宋" w:cs="仿宋"/>
                <w:color w:val="000000"/>
                <w:sz w:val="24"/>
              </w:rPr>
            </w:pPr>
          </w:p>
        </w:tc>
        <w:tc>
          <w:tcPr>
            <w:tcW w:w="2011" w:type="dxa"/>
            <w:gridSpan w:val="2"/>
            <w:tcBorders>
              <w:top w:val="single" w:color="auto" w:sz="4" w:space="0"/>
              <w:left w:val="single" w:color="auto" w:sz="4" w:space="0"/>
              <w:bottom w:val="single" w:color="auto" w:sz="4" w:space="0"/>
              <w:right w:val="single" w:color="auto" w:sz="4" w:space="0"/>
            </w:tcBorders>
            <w:vAlign w:val="center"/>
          </w:tcPr>
          <w:p w14:paraId="09E936B2">
            <w:pPr>
              <w:jc w:val="center"/>
              <w:rPr>
                <w:rFonts w:ascii="仿宋" w:hAnsi="仿宋" w:eastAsia="仿宋" w:cs="仿宋"/>
                <w:color w:val="000000"/>
                <w:sz w:val="24"/>
              </w:rPr>
            </w:pPr>
          </w:p>
        </w:tc>
      </w:tr>
      <w:tr w14:paraId="67E56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59" w:hRule="atLeast"/>
          <w:jc w:val="center"/>
        </w:trPr>
        <w:tc>
          <w:tcPr>
            <w:tcW w:w="8072" w:type="dxa"/>
            <w:gridSpan w:val="4"/>
            <w:tcBorders>
              <w:top w:val="single" w:color="auto" w:sz="4" w:space="0"/>
              <w:left w:val="single" w:color="auto" w:sz="4" w:space="0"/>
              <w:bottom w:val="single" w:color="auto" w:sz="4" w:space="0"/>
              <w:right w:val="single" w:color="auto" w:sz="4" w:space="0"/>
            </w:tcBorders>
            <w:vAlign w:val="center"/>
          </w:tcPr>
          <w:p w14:paraId="09490BD4">
            <w:pPr>
              <w:jc w:val="center"/>
              <w:rPr>
                <w:rFonts w:ascii="仿宋" w:hAnsi="仿宋" w:eastAsia="仿宋" w:cs="仿宋"/>
                <w:b/>
                <w:color w:val="000000"/>
                <w:sz w:val="24"/>
              </w:rPr>
            </w:pPr>
            <w:r>
              <w:rPr>
                <w:rFonts w:hint="eastAsia" w:ascii="仿宋" w:hAnsi="仿宋" w:eastAsia="仿宋" w:cs="仿宋"/>
                <w:b/>
                <w:color w:val="000000"/>
                <w:sz w:val="24"/>
              </w:rPr>
              <w:t>投标报价（小写）</w:t>
            </w:r>
          </w:p>
        </w:tc>
        <w:tc>
          <w:tcPr>
            <w:tcW w:w="6493" w:type="dxa"/>
            <w:gridSpan w:val="4"/>
            <w:tcBorders>
              <w:top w:val="single" w:color="auto" w:sz="4" w:space="0"/>
              <w:left w:val="single" w:color="auto" w:sz="4" w:space="0"/>
              <w:bottom w:val="single" w:color="auto" w:sz="4" w:space="0"/>
              <w:right w:val="single" w:color="auto" w:sz="4" w:space="0"/>
            </w:tcBorders>
            <w:vAlign w:val="center"/>
          </w:tcPr>
          <w:p w14:paraId="10D001F2">
            <w:pPr>
              <w:jc w:val="center"/>
              <w:rPr>
                <w:rFonts w:ascii="仿宋" w:hAnsi="仿宋" w:eastAsia="仿宋" w:cs="仿宋"/>
                <w:color w:val="000000"/>
                <w:sz w:val="24"/>
              </w:rPr>
            </w:pPr>
          </w:p>
        </w:tc>
      </w:tr>
      <w:tr w14:paraId="3BA5F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97" w:hRule="atLeast"/>
          <w:jc w:val="center"/>
        </w:trPr>
        <w:tc>
          <w:tcPr>
            <w:tcW w:w="8072" w:type="dxa"/>
            <w:gridSpan w:val="4"/>
            <w:tcBorders>
              <w:top w:val="single" w:color="auto" w:sz="4" w:space="0"/>
              <w:left w:val="single" w:color="auto" w:sz="4" w:space="0"/>
              <w:bottom w:val="single" w:color="auto" w:sz="4" w:space="0"/>
              <w:right w:val="single" w:color="auto" w:sz="4" w:space="0"/>
            </w:tcBorders>
            <w:vAlign w:val="center"/>
          </w:tcPr>
          <w:p w14:paraId="1AC50593">
            <w:pPr>
              <w:jc w:val="center"/>
              <w:rPr>
                <w:rFonts w:ascii="仿宋" w:hAnsi="仿宋" w:eastAsia="仿宋" w:cs="仿宋"/>
                <w:b/>
                <w:color w:val="000000"/>
                <w:sz w:val="24"/>
              </w:rPr>
            </w:pPr>
            <w:r>
              <w:rPr>
                <w:rFonts w:hint="eastAsia" w:ascii="仿宋" w:hAnsi="仿宋" w:eastAsia="仿宋" w:cs="仿宋"/>
                <w:b/>
                <w:color w:val="000000"/>
                <w:sz w:val="24"/>
              </w:rPr>
              <w:t>投标报价（大写）</w:t>
            </w:r>
          </w:p>
        </w:tc>
        <w:tc>
          <w:tcPr>
            <w:tcW w:w="6493" w:type="dxa"/>
            <w:gridSpan w:val="4"/>
            <w:tcBorders>
              <w:top w:val="single" w:color="auto" w:sz="4" w:space="0"/>
              <w:left w:val="single" w:color="auto" w:sz="4" w:space="0"/>
              <w:bottom w:val="single" w:color="auto" w:sz="4" w:space="0"/>
              <w:right w:val="single" w:color="auto" w:sz="4" w:space="0"/>
            </w:tcBorders>
            <w:vAlign w:val="center"/>
          </w:tcPr>
          <w:p w14:paraId="7715258C">
            <w:pPr>
              <w:jc w:val="center"/>
              <w:rPr>
                <w:rFonts w:ascii="仿宋" w:hAnsi="仿宋" w:eastAsia="仿宋" w:cs="仿宋"/>
                <w:color w:val="000000"/>
                <w:sz w:val="24"/>
              </w:rPr>
            </w:pPr>
          </w:p>
        </w:tc>
      </w:tr>
    </w:tbl>
    <w:p w14:paraId="6E2BF041">
      <w:pPr>
        <w:snapToGrid w:val="0"/>
        <w:spacing w:line="360" w:lineRule="auto"/>
        <w:ind w:left="480"/>
        <w:rPr>
          <w:rFonts w:ascii="仿宋" w:hAnsi="仿宋" w:eastAsia="仿宋" w:cs="仿宋"/>
          <w:color w:val="000000"/>
          <w:kern w:val="0"/>
          <w:sz w:val="24"/>
          <w:lang w:val="zh-CN"/>
        </w:rPr>
      </w:pPr>
      <w:r>
        <w:rPr>
          <w:rFonts w:hint="eastAsia" w:ascii="仿宋" w:hAnsi="仿宋" w:eastAsia="仿宋" w:cs="仿宋"/>
          <w:b/>
          <w:color w:val="000000"/>
          <w:kern w:val="0"/>
          <w:sz w:val="24"/>
          <w:lang w:val="zh-CN"/>
        </w:rPr>
        <w:t>注：</w:t>
      </w:r>
    </w:p>
    <w:p w14:paraId="72EBF8FA">
      <w:pPr>
        <w:spacing w:line="360" w:lineRule="auto"/>
        <w:ind w:left="-2" w:leftChars="-1" w:firstLine="480" w:firstLineChars="200"/>
        <w:rPr>
          <w:rFonts w:ascii="仿宋" w:hAnsi="仿宋" w:eastAsia="仿宋" w:cs="仿宋"/>
          <w:color w:val="000000"/>
          <w:kern w:val="0"/>
          <w:sz w:val="24"/>
          <w:lang w:val="zh-CN"/>
        </w:rPr>
      </w:pPr>
      <w:r>
        <w:rPr>
          <w:rFonts w:hint="eastAsia" w:ascii="仿宋" w:hAnsi="仿宋" w:eastAsia="仿宋" w:cs="仿宋"/>
          <w:color w:val="000000"/>
          <w:kern w:val="0"/>
          <w:sz w:val="24"/>
          <w:lang w:val="zh-CN"/>
        </w:rPr>
        <w:t>1、响应人需按本表格式填写，不得自行更改。</w:t>
      </w:r>
    </w:p>
    <w:p w14:paraId="35865FBC">
      <w:pPr>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lang w:val="zh-CN"/>
        </w:rPr>
        <w:t>2、有关本项目实施所涉及的一切费用均计入报价。</w:t>
      </w:r>
      <w:r>
        <w:rPr>
          <w:rFonts w:hint="eastAsia" w:ascii="仿宋" w:hAnsi="仿宋" w:eastAsia="仿宋" w:cs="仿宋"/>
          <w:b/>
          <w:color w:val="000000"/>
          <w:kern w:val="0"/>
          <w:sz w:val="24"/>
          <w:lang w:val="zh-CN"/>
        </w:rPr>
        <w:t>交易发起人将以合同形式有偿取得货物或服务，不接受响应人给予的赠品、回扣或者与交易无关的其他商品、服务</w:t>
      </w:r>
      <w:r>
        <w:rPr>
          <w:rFonts w:hint="eastAsia" w:ascii="仿宋" w:hAnsi="仿宋" w:eastAsia="仿宋" w:cs="仿宋"/>
          <w:color w:val="000000"/>
          <w:kern w:val="0"/>
          <w:sz w:val="24"/>
          <w:lang w:val="zh-CN"/>
        </w:rPr>
        <w:t>，</w:t>
      </w:r>
      <w:r>
        <w:rPr>
          <w:rFonts w:hint="eastAsia" w:ascii="仿宋" w:hAnsi="仿宋" w:eastAsia="仿宋" w:cs="仿宋"/>
          <w:b/>
          <w:color w:val="000000"/>
          <w:kern w:val="0"/>
          <w:sz w:val="24"/>
          <w:lang w:val="zh-CN"/>
        </w:rPr>
        <w:t>不得出现“0元”“免费赠送”等形式的无偿报价，</w:t>
      </w:r>
      <w:r>
        <w:rPr>
          <w:rFonts w:hint="eastAsia" w:ascii="仿宋" w:hAnsi="仿宋" w:eastAsia="仿宋" w:cs="仿宋"/>
          <w:b/>
          <w:color w:val="000000"/>
          <w:kern w:val="0"/>
          <w:sz w:val="24"/>
        </w:rPr>
        <w:t>否则视为</w:t>
      </w:r>
      <w:r>
        <w:rPr>
          <w:rFonts w:hint="eastAsia" w:ascii="仿宋" w:hAnsi="仿宋" w:eastAsia="仿宋" w:cs="仿宋"/>
          <w:b/>
          <w:color w:val="000000"/>
          <w:sz w:val="24"/>
        </w:rPr>
        <w:t>响应文件含有交易发起人不能接受的附加条件的，交易无效</w:t>
      </w:r>
      <w:r>
        <w:rPr>
          <w:rFonts w:hint="eastAsia" w:ascii="仿宋" w:hAnsi="仿宋" w:eastAsia="仿宋" w:cs="仿宋"/>
          <w:b/>
          <w:color w:val="000000"/>
          <w:kern w:val="0"/>
          <w:sz w:val="24"/>
          <w:lang w:val="zh-CN"/>
        </w:rPr>
        <w:t>；交易内容未包含在《交易一览表（报价表）》名称栏中，响应人不能作出合理解释的，</w:t>
      </w:r>
      <w:r>
        <w:rPr>
          <w:rFonts w:hint="eastAsia" w:ascii="仿宋" w:hAnsi="仿宋" w:eastAsia="仿宋" w:cs="仿宋"/>
          <w:b/>
          <w:color w:val="000000"/>
          <w:kern w:val="0"/>
          <w:sz w:val="24"/>
        </w:rPr>
        <w:t>视为</w:t>
      </w:r>
      <w:r>
        <w:rPr>
          <w:rFonts w:hint="eastAsia" w:ascii="仿宋" w:hAnsi="仿宋" w:eastAsia="仿宋" w:cs="仿宋"/>
          <w:b/>
          <w:color w:val="000000"/>
          <w:sz w:val="24"/>
        </w:rPr>
        <w:t>响应文件含有交易发起人不能接受的附加条件的，交易无效。</w:t>
      </w:r>
    </w:p>
    <w:p w14:paraId="02C13144">
      <w:pPr>
        <w:snapToGrid w:val="0"/>
        <w:spacing w:line="360" w:lineRule="auto"/>
        <w:ind w:firstLine="480" w:firstLineChars="200"/>
        <w:jc w:val="left"/>
        <w:rPr>
          <w:rFonts w:ascii="仿宋" w:hAnsi="仿宋" w:eastAsia="仿宋" w:cs="仿宋"/>
          <w:color w:val="000000"/>
          <w:kern w:val="0"/>
          <w:sz w:val="24"/>
          <w:lang w:val="zh-CN"/>
        </w:rPr>
      </w:pPr>
      <w:r>
        <w:rPr>
          <w:rFonts w:hint="eastAsia" w:ascii="仿宋" w:hAnsi="仿宋" w:eastAsia="仿宋" w:cs="仿宋"/>
          <w:color w:val="000000"/>
          <w:kern w:val="0"/>
          <w:sz w:val="24"/>
          <w:lang w:val="zh-CN"/>
        </w:rPr>
        <w:t>3、以上表格要求细分项目及报价，在“规格型号（或具体服务）”一栏中，货物类项目填写规格型号，服务类项目填写具体服务。</w:t>
      </w:r>
    </w:p>
    <w:p w14:paraId="418A7FFF">
      <w:pPr>
        <w:snapToGrid w:val="0"/>
        <w:spacing w:line="360" w:lineRule="auto"/>
        <w:ind w:firstLine="480" w:firstLineChars="200"/>
        <w:jc w:val="left"/>
        <w:rPr>
          <w:rFonts w:ascii="仿宋" w:hAnsi="仿宋" w:eastAsia="仿宋" w:cs="仿宋"/>
          <w:color w:val="000000"/>
          <w:kern w:val="0"/>
          <w:sz w:val="24"/>
          <w:lang w:val="zh-CN"/>
        </w:rPr>
      </w:pPr>
      <w:r>
        <w:rPr>
          <w:rFonts w:hint="eastAsia" w:ascii="仿宋" w:hAnsi="仿宋" w:eastAsia="仿宋" w:cs="仿宋"/>
          <w:color w:val="000000"/>
          <w:kern w:val="0"/>
          <w:sz w:val="24"/>
          <w:lang w:val="zh-CN"/>
        </w:rPr>
        <w:t>4、特别提示：代理机构将对项目名称和项目编号，成交响应人名称、地址和</w:t>
      </w:r>
      <w:r>
        <w:rPr>
          <w:rFonts w:hint="eastAsia" w:ascii="仿宋" w:hAnsi="仿宋" w:eastAsia="仿宋" w:cs="仿宋"/>
          <w:color w:val="000000"/>
          <w:kern w:val="0"/>
          <w:sz w:val="24"/>
        </w:rPr>
        <w:t>成交</w:t>
      </w:r>
      <w:r>
        <w:rPr>
          <w:rFonts w:hint="eastAsia" w:ascii="仿宋" w:hAnsi="仿宋" w:eastAsia="仿宋" w:cs="仿宋"/>
          <w:color w:val="000000"/>
          <w:kern w:val="0"/>
          <w:sz w:val="24"/>
          <w:lang w:val="zh-CN"/>
        </w:rPr>
        <w:t>金额等予以公示。</w:t>
      </w:r>
    </w:p>
    <w:p w14:paraId="291469E5">
      <w:pPr>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p>
    <w:p w14:paraId="091D40B0">
      <w:pPr>
        <w:spacing w:line="360" w:lineRule="auto"/>
        <w:ind w:firstLine="482" w:firstLineChars="200"/>
        <w:rPr>
          <w:rFonts w:ascii="宋体" w:hAnsi="宋体" w:cs="宋体"/>
          <w:b/>
          <w:color w:val="000000" w:themeColor="text1"/>
          <w:kern w:val="0"/>
          <w:sz w:val="24"/>
          <w14:textFill>
            <w14:solidFill>
              <w14:schemeClr w14:val="tx1"/>
            </w14:solidFill>
          </w14:textFill>
        </w:rPr>
      </w:pPr>
    </w:p>
    <w:p w14:paraId="6E2F344C">
      <w:pPr>
        <w:autoSpaceDE w:val="0"/>
        <w:autoSpaceDN w:val="0"/>
        <w:spacing w:line="360" w:lineRule="auto"/>
        <w:ind w:left="2" w:leftChars="1" w:right="1120" w:firstLine="7680" w:firstLineChars="3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供应商名称（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w:t>
      </w:r>
    </w:p>
    <w:p w14:paraId="7CF4A59E">
      <w:pPr>
        <w:autoSpaceDE w:val="0"/>
        <w:autoSpaceDN w:val="0"/>
        <w:spacing w:line="360" w:lineRule="auto"/>
        <w:ind w:left="2" w:leftChars="1" w:right="1120" w:firstLine="7680" w:firstLineChars="3200"/>
        <w:jc w:val="left"/>
        <w:rPr>
          <w:rFonts w:ascii="仿宋" w:hAnsi="仿宋" w:eastAsia="仿宋" w:cs="仿宋"/>
          <w:color w:val="000000" w:themeColor="text1"/>
          <w:sz w:val="32"/>
          <w:szCs w:val="32"/>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年   月   日</w:t>
      </w:r>
    </w:p>
    <w:p w14:paraId="15C132E0">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附件1：质疑函范本及制作说明</w:t>
      </w:r>
    </w:p>
    <w:p w14:paraId="6A735602">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质疑函范本</w:t>
      </w:r>
    </w:p>
    <w:p w14:paraId="7BEFEF4A">
      <w:pPr>
        <w:snapToGrid w:val="0"/>
        <w:spacing w:before="240" w:beforeLines="100"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一、质疑供应商基本信息</w:t>
      </w:r>
    </w:p>
    <w:p w14:paraId="17449480">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质疑供应商：</w:t>
      </w:r>
      <w:r>
        <w:rPr>
          <w:rFonts w:hint="eastAsia" w:ascii="宋体" w:hAnsi="宋体" w:cs="宋体"/>
          <w:color w:val="000000" w:themeColor="text1"/>
          <w:sz w:val="24"/>
          <w:u w:val="dotted"/>
          <w14:textFill>
            <w14:solidFill>
              <w14:schemeClr w14:val="tx1"/>
            </w14:solidFill>
          </w14:textFill>
        </w:rPr>
        <w:t xml:space="preserve">                                        </w:t>
      </w:r>
    </w:p>
    <w:p w14:paraId="54240B9D">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30095A5F">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1FDEA89B">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p>
    <w:p w14:paraId="6C223478">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0F9B0AAD">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地址： </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287EA82F">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二、质疑项目基本情况</w:t>
      </w:r>
    </w:p>
    <w:p w14:paraId="40675337">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质疑项目的名称：</w:t>
      </w:r>
      <w:r>
        <w:rPr>
          <w:rFonts w:hint="eastAsia" w:ascii="宋体" w:hAnsi="宋体" w:cs="宋体"/>
          <w:color w:val="000000" w:themeColor="text1"/>
          <w:sz w:val="24"/>
          <w:u w:val="dotted"/>
          <w14:textFill>
            <w14:solidFill>
              <w14:schemeClr w14:val="tx1"/>
            </w14:solidFill>
          </w14:textFill>
        </w:rPr>
        <w:t xml:space="preserve">                                      </w:t>
      </w:r>
    </w:p>
    <w:p w14:paraId="3AA28024">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4E258DD8">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交易人名称：</w:t>
      </w:r>
      <w:r>
        <w:rPr>
          <w:rFonts w:hint="eastAsia" w:ascii="宋体" w:hAnsi="宋体" w:cs="宋体"/>
          <w:color w:val="000000" w:themeColor="text1"/>
          <w:sz w:val="24"/>
          <w:u w:val="dotted"/>
          <w14:textFill>
            <w14:solidFill>
              <w14:schemeClr w14:val="tx1"/>
            </w14:solidFill>
          </w14:textFill>
        </w:rPr>
        <w:t xml:space="preserve">                                         </w:t>
      </w:r>
    </w:p>
    <w:p w14:paraId="434803C5">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采购文件获取日期：</w:t>
      </w:r>
      <w:r>
        <w:rPr>
          <w:rFonts w:hint="eastAsia" w:ascii="宋体" w:hAnsi="宋体" w:cs="宋体"/>
          <w:color w:val="000000" w:themeColor="text1"/>
          <w:sz w:val="24"/>
          <w:u w:val="dotted"/>
          <w14:textFill>
            <w14:solidFill>
              <w14:schemeClr w14:val="tx1"/>
            </w14:solidFill>
          </w14:textFill>
        </w:rPr>
        <w:t xml:space="preserve">                                           </w:t>
      </w:r>
    </w:p>
    <w:p w14:paraId="535E2F5B">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三、质疑事项具体内容</w:t>
      </w:r>
    </w:p>
    <w:p w14:paraId="6851E5CA">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质疑事项1：</w:t>
      </w:r>
      <w:r>
        <w:rPr>
          <w:rFonts w:hint="eastAsia" w:ascii="宋体" w:hAnsi="宋体" w:cs="宋体"/>
          <w:color w:val="000000" w:themeColor="text1"/>
          <w:sz w:val="24"/>
          <w:u w:val="dotted"/>
          <w14:textFill>
            <w14:solidFill>
              <w14:schemeClr w14:val="tx1"/>
            </w14:solidFill>
          </w14:textFill>
        </w:rPr>
        <w:t xml:space="preserve">                                         </w:t>
      </w:r>
    </w:p>
    <w:p w14:paraId="0E6E26EB">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56AF18D2">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6ECAD7FA">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0C1C7FCC">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381E66F0">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质疑事项2</w:t>
      </w:r>
    </w:p>
    <w:p w14:paraId="435320B4">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52929FDE">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四、与质疑事项相关的质疑请求</w:t>
      </w:r>
    </w:p>
    <w:p w14:paraId="77085A7E">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p>
    <w:p w14:paraId="2E5DD9D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36D2821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456E23CA">
      <w:pPr>
        <w:spacing w:line="360" w:lineRule="auto"/>
        <w:jc w:val="center"/>
        <w:rPr>
          <w:rFonts w:ascii="宋体" w:hAnsi="宋体" w:cs="宋体"/>
          <w:b/>
          <w:bCs/>
          <w:color w:val="000000" w:themeColor="text1"/>
          <w:sz w:val="24"/>
          <w14:textFill>
            <w14:solidFill>
              <w14:schemeClr w14:val="tx1"/>
            </w14:solidFill>
          </w14:textFill>
        </w:rPr>
      </w:pPr>
    </w:p>
    <w:p w14:paraId="33BDCCCE">
      <w:pPr>
        <w:spacing w:line="360" w:lineRule="auto"/>
        <w:rPr>
          <w:rFonts w:ascii="宋体" w:hAnsi="宋体" w:cs="宋体"/>
          <w:b/>
          <w:color w:val="000000" w:themeColor="text1"/>
          <w:sz w:val="24"/>
          <w14:textFill>
            <w14:solidFill>
              <w14:schemeClr w14:val="tx1"/>
            </w14:solidFill>
          </w14:textFill>
        </w:rPr>
      </w:pPr>
    </w:p>
    <w:p w14:paraId="60ED039B">
      <w:pPr>
        <w:spacing w:line="360" w:lineRule="auto"/>
        <w:rPr>
          <w:rFonts w:ascii="宋体" w:hAnsi="宋体" w:cs="宋体"/>
          <w:b/>
          <w:color w:val="000000" w:themeColor="text1"/>
          <w:sz w:val="24"/>
          <w14:textFill>
            <w14:solidFill>
              <w14:schemeClr w14:val="tx1"/>
            </w14:solidFill>
          </w14:textFill>
        </w:rPr>
      </w:pPr>
    </w:p>
    <w:p w14:paraId="31970B97">
      <w:pPr>
        <w:spacing w:line="360" w:lineRule="auto"/>
        <w:rPr>
          <w:rFonts w:ascii="宋体" w:hAnsi="宋体" w:cs="宋体"/>
          <w:b/>
          <w:color w:val="000000" w:themeColor="text1"/>
          <w:sz w:val="24"/>
          <w14:textFill>
            <w14:solidFill>
              <w14:schemeClr w14:val="tx1"/>
            </w14:solidFill>
          </w14:textFill>
        </w:rPr>
      </w:pPr>
    </w:p>
    <w:p w14:paraId="35DB4AA8">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质疑函制作说明：</w:t>
      </w:r>
    </w:p>
    <w:p w14:paraId="6F132BDE">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1.供应商提出质疑时，应提交质疑函和必要的证明材料。</w:t>
      </w:r>
    </w:p>
    <w:p w14:paraId="795089C0">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14:paraId="6E9812BC">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3.质疑供应商若对项目的某一分包进行质疑，质疑函中应列明具体分包号。</w:t>
      </w:r>
    </w:p>
    <w:p w14:paraId="5B51B339">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4.质疑函的质疑事项应具体、明确，并有必要的事实依据和法律依据。</w:t>
      </w:r>
    </w:p>
    <w:p w14:paraId="4ABCD03F">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5.质疑函的质疑请求应与质疑事项相关。</w:t>
      </w:r>
    </w:p>
    <w:p w14:paraId="1D3CCE1A">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33CF33E6">
      <w:pPr>
        <w:widowControl/>
        <w:spacing w:line="360" w:lineRule="auto"/>
        <w:ind w:firstLine="600" w:firstLineChars="200"/>
        <w:jc w:val="left"/>
        <w:rPr>
          <w:rFonts w:ascii="宋体" w:hAnsi="宋体" w:cs="宋体"/>
          <w:color w:val="000000" w:themeColor="text1"/>
          <w:sz w:val="30"/>
          <w:szCs w:val="30"/>
          <w14:textFill>
            <w14:solidFill>
              <w14:schemeClr w14:val="tx1"/>
            </w14:solidFill>
          </w14:textFill>
        </w:rPr>
      </w:pPr>
    </w:p>
    <w:p w14:paraId="31CAA225">
      <w:pPr>
        <w:spacing w:line="360" w:lineRule="auto"/>
        <w:jc w:val="center"/>
        <w:rPr>
          <w:rFonts w:ascii="宋体" w:hAnsi="宋体" w:cs="宋体"/>
          <w:b/>
          <w:color w:val="000000" w:themeColor="text1"/>
          <w:spacing w:val="6"/>
          <w:sz w:val="32"/>
          <w:szCs w:val="32"/>
          <w14:textFill>
            <w14:solidFill>
              <w14:schemeClr w14:val="tx1"/>
            </w14:solidFill>
          </w14:textFill>
        </w:rPr>
      </w:pPr>
    </w:p>
    <w:p w14:paraId="2F6264F6">
      <w:pPr>
        <w:spacing w:line="360" w:lineRule="auto"/>
        <w:jc w:val="center"/>
        <w:rPr>
          <w:rFonts w:ascii="宋体" w:hAnsi="宋体" w:cs="宋体"/>
          <w:b/>
          <w:color w:val="000000" w:themeColor="text1"/>
          <w:spacing w:val="6"/>
          <w:sz w:val="32"/>
          <w:szCs w:val="32"/>
          <w14:textFill>
            <w14:solidFill>
              <w14:schemeClr w14:val="tx1"/>
            </w14:solidFill>
          </w14:textFill>
        </w:rPr>
      </w:pPr>
    </w:p>
    <w:p w14:paraId="59FCBACD">
      <w:pPr>
        <w:spacing w:line="360" w:lineRule="auto"/>
        <w:jc w:val="center"/>
        <w:rPr>
          <w:rFonts w:ascii="宋体" w:hAnsi="宋体" w:cs="宋体"/>
          <w:b/>
          <w:color w:val="000000" w:themeColor="text1"/>
          <w:spacing w:val="6"/>
          <w:sz w:val="32"/>
          <w:szCs w:val="32"/>
          <w14:textFill>
            <w14:solidFill>
              <w14:schemeClr w14:val="tx1"/>
            </w14:solidFill>
          </w14:textFill>
        </w:rPr>
      </w:pPr>
    </w:p>
    <w:p w14:paraId="507AF0DD">
      <w:pPr>
        <w:spacing w:line="360" w:lineRule="auto"/>
        <w:jc w:val="center"/>
        <w:rPr>
          <w:rFonts w:ascii="宋体" w:hAnsi="宋体" w:cs="宋体"/>
          <w:b/>
          <w:color w:val="000000" w:themeColor="text1"/>
          <w:spacing w:val="6"/>
          <w:sz w:val="32"/>
          <w:szCs w:val="32"/>
          <w14:textFill>
            <w14:solidFill>
              <w14:schemeClr w14:val="tx1"/>
            </w14:solidFill>
          </w14:textFill>
        </w:rPr>
      </w:pPr>
    </w:p>
    <w:p w14:paraId="5918D56B">
      <w:pPr>
        <w:spacing w:line="360" w:lineRule="auto"/>
        <w:jc w:val="center"/>
        <w:rPr>
          <w:rFonts w:ascii="宋体" w:hAnsi="宋体" w:cs="宋体"/>
          <w:b/>
          <w:color w:val="000000" w:themeColor="text1"/>
          <w:spacing w:val="6"/>
          <w:sz w:val="32"/>
          <w:szCs w:val="32"/>
          <w14:textFill>
            <w14:solidFill>
              <w14:schemeClr w14:val="tx1"/>
            </w14:solidFill>
          </w14:textFill>
        </w:rPr>
      </w:pPr>
    </w:p>
    <w:p w14:paraId="05BB2CD9">
      <w:pPr>
        <w:spacing w:line="360" w:lineRule="auto"/>
        <w:jc w:val="center"/>
        <w:rPr>
          <w:rFonts w:ascii="宋体" w:hAnsi="宋体" w:cs="宋体"/>
          <w:b/>
          <w:color w:val="000000" w:themeColor="text1"/>
          <w:spacing w:val="6"/>
          <w:sz w:val="32"/>
          <w:szCs w:val="32"/>
          <w14:textFill>
            <w14:solidFill>
              <w14:schemeClr w14:val="tx1"/>
            </w14:solidFill>
          </w14:textFill>
        </w:rPr>
      </w:pPr>
    </w:p>
    <w:p w14:paraId="1664486A">
      <w:pPr>
        <w:spacing w:line="360" w:lineRule="auto"/>
        <w:jc w:val="center"/>
        <w:rPr>
          <w:rFonts w:ascii="宋体" w:hAnsi="宋体" w:cs="宋体"/>
          <w:b/>
          <w:color w:val="000000" w:themeColor="text1"/>
          <w:spacing w:val="6"/>
          <w:sz w:val="32"/>
          <w:szCs w:val="32"/>
          <w14:textFill>
            <w14:solidFill>
              <w14:schemeClr w14:val="tx1"/>
            </w14:solidFill>
          </w14:textFill>
        </w:rPr>
      </w:pPr>
    </w:p>
    <w:p w14:paraId="5BAB6A59">
      <w:pPr>
        <w:spacing w:line="360" w:lineRule="auto"/>
        <w:jc w:val="center"/>
        <w:rPr>
          <w:rFonts w:ascii="宋体" w:hAnsi="宋体" w:cs="宋体"/>
          <w:b/>
          <w:color w:val="000000" w:themeColor="text1"/>
          <w:spacing w:val="6"/>
          <w:sz w:val="32"/>
          <w:szCs w:val="32"/>
          <w14:textFill>
            <w14:solidFill>
              <w14:schemeClr w14:val="tx1"/>
            </w14:solidFill>
          </w14:textFill>
        </w:rPr>
      </w:pPr>
    </w:p>
    <w:p w14:paraId="26764FDE">
      <w:pPr>
        <w:spacing w:line="360" w:lineRule="auto"/>
        <w:jc w:val="center"/>
        <w:rPr>
          <w:rFonts w:ascii="宋体" w:hAnsi="宋体" w:cs="宋体"/>
          <w:b/>
          <w:color w:val="000000" w:themeColor="text1"/>
          <w:spacing w:val="6"/>
          <w:sz w:val="32"/>
          <w:szCs w:val="32"/>
          <w14:textFill>
            <w14:solidFill>
              <w14:schemeClr w14:val="tx1"/>
            </w14:solidFill>
          </w14:textFill>
        </w:rPr>
      </w:pPr>
    </w:p>
    <w:p w14:paraId="54312E13">
      <w:pPr>
        <w:spacing w:line="360" w:lineRule="auto"/>
        <w:jc w:val="center"/>
        <w:rPr>
          <w:rFonts w:ascii="宋体" w:hAnsi="宋体" w:cs="宋体"/>
          <w:b/>
          <w:color w:val="000000" w:themeColor="text1"/>
          <w:spacing w:val="6"/>
          <w:sz w:val="32"/>
          <w:szCs w:val="32"/>
          <w14:textFill>
            <w14:solidFill>
              <w14:schemeClr w14:val="tx1"/>
            </w14:solidFill>
          </w14:textFill>
        </w:rPr>
      </w:pPr>
    </w:p>
    <w:p w14:paraId="3E37351D">
      <w:pPr>
        <w:spacing w:line="360" w:lineRule="auto"/>
        <w:jc w:val="center"/>
        <w:rPr>
          <w:rFonts w:ascii="宋体" w:hAnsi="宋体" w:cs="宋体"/>
          <w:b/>
          <w:color w:val="000000" w:themeColor="text1"/>
          <w:spacing w:val="6"/>
          <w:sz w:val="32"/>
          <w:szCs w:val="32"/>
          <w14:textFill>
            <w14:solidFill>
              <w14:schemeClr w14:val="tx1"/>
            </w14:solidFill>
          </w14:textFill>
        </w:rPr>
      </w:pPr>
    </w:p>
    <w:p w14:paraId="7B96ED1D">
      <w:pPr>
        <w:spacing w:line="360" w:lineRule="auto"/>
        <w:jc w:val="center"/>
        <w:rPr>
          <w:rFonts w:ascii="宋体" w:hAnsi="宋体" w:cs="宋体"/>
          <w:b/>
          <w:color w:val="000000" w:themeColor="text1"/>
          <w:spacing w:val="6"/>
          <w:sz w:val="32"/>
          <w:szCs w:val="32"/>
          <w14:textFill>
            <w14:solidFill>
              <w14:schemeClr w14:val="tx1"/>
            </w14:solidFill>
          </w14:textFill>
        </w:rPr>
      </w:pPr>
    </w:p>
    <w:p w14:paraId="56826F1F">
      <w:pPr>
        <w:spacing w:line="360" w:lineRule="auto"/>
        <w:jc w:val="left"/>
        <w:rPr>
          <w:rFonts w:ascii="宋体" w:hAnsi="宋体" w:cs="宋体"/>
          <w:b/>
          <w:color w:val="000000" w:themeColor="text1"/>
          <w:spacing w:val="6"/>
          <w:sz w:val="32"/>
          <w:szCs w:val="32"/>
          <w14:textFill>
            <w14:solidFill>
              <w14:schemeClr w14:val="tx1"/>
            </w14:solidFill>
          </w14:textFill>
        </w:rPr>
      </w:pPr>
    </w:p>
    <w:p w14:paraId="5BB840AF">
      <w:pPr>
        <w:spacing w:line="360" w:lineRule="auto"/>
        <w:jc w:val="left"/>
        <w:rPr>
          <w:rFonts w:ascii="宋体" w:hAnsi="宋体" w:cs="宋体"/>
          <w:b/>
          <w:color w:val="000000" w:themeColor="text1"/>
          <w:spacing w:val="6"/>
          <w:sz w:val="32"/>
          <w:szCs w:val="32"/>
          <w14:textFill>
            <w14:solidFill>
              <w14:schemeClr w14:val="tx1"/>
            </w14:solidFill>
          </w14:textFill>
        </w:rPr>
      </w:pPr>
    </w:p>
    <w:p w14:paraId="1FBB8356">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附件2：投诉书范本及制作说明</w:t>
      </w:r>
    </w:p>
    <w:p w14:paraId="3785BD47">
      <w:pPr>
        <w:spacing w:line="360" w:lineRule="auto"/>
        <w:jc w:val="center"/>
        <w:rPr>
          <w:rFonts w:ascii="宋体" w:hAnsi="宋体" w:cs="宋体"/>
          <w:b/>
          <w:color w:val="000000" w:themeColor="text1"/>
          <w:sz w:val="24"/>
          <w14:textFill>
            <w14:solidFill>
              <w14:schemeClr w14:val="tx1"/>
            </w14:solidFill>
          </w14:textFill>
        </w:rPr>
      </w:pPr>
    </w:p>
    <w:p w14:paraId="1FEF9D56">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投诉书范本</w:t>
      </w:r>
    </w:p>
    <w:p w14:paraId="6844C85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一、投诉相关主体基本情况</w:t>
      </w:r>
    </w:p>
    <w:p w14:paraId="62CEADB0">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w:t>
      </w:r>
      <w:r>
        <w:rPr>
          <w:rFonts w:hint="eastAsia" w:ascii="宋体" w:hAnsi="宋体" w:cs="宋体"/>
          <w:color w:val="000000" w:themeColor="text1"/>
          <w:sz w:val="24"/>
          <w:u w:val="dotted"/>
          <w14:textFill>
            <w14:solidFill>
              <w14:schemeClr w14:val="tx1"/>
            </w14:solidFill>
          </w14:textFill>
        </w:rPr>
        <w:t xml:space="preserve">                                               </w:t>
      </w:r>
    </w:p>
    <w:p w14:paraId="26C809F7">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48759069">
      <w:pPr>
        <w:tabs>
          <w:tab w:val="left" w:pos="651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法定代表人/主要负责人：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6AC393AA">
      <w:pPr>
        <w:tabs>
          <w:tab w:val="left" w:pos="6510"/>
        </w:tabs>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6BBB7F0F">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19DF82B1">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dotted"/>
          <w14:textFill>
            <w14:solidFill>
              <w14:schemeClr w14:val="tx1"/>
            </w14:solidFill>
          </w14:textFill>
        </w:rPr>
        <w:t xml:space="preserve">                   </w:t>
      </w:r>
    </w:p>
    <w:p w14:paraId="48C9E6A4">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被投诉人1：</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46D0D562">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3692BD2D">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41736D4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被投诉人2</w:t>
      </w:r>
    </w:p>
    <w:p w14:paraId="2888B21A">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016469F2">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相关供应商：</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209B9032">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26910495">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24AD542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二、投诉项目基本情况</w:t>
      </w:r>
    </w:p>
    <w:p w14:paraId="11C9523A">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采购项目名称：</w:t>
      </w:r>
      <w:r>
        <w:rPr>
          <w:rFonts w:hint="eastAsia" w:ascii="宋体" w:hAnsi="宋体" w:cs="宋体"/>
          <w:color w:val="000000" w:themeColor="text1"/>
          <w:sz w:val="24"/>
          <w:u w:val="dotted"/>
          <w14:textFill>
            <w14:solidFill>
              <w14:schemeClr w14:val="tx1"/>
            </w14:solidFill>
          </w14:textFill>
        </w:rPr>
        <w:t xml:space="preserve">                                        </w:t>
      </w:r>
    </w:p>
    <w:p w14:paraId="6D80620D">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2D63FDA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交易人名称：</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1DDF55D6">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代理机构名称：</w:t>
      </w:r>
      <w:r>
        <w:rPr>
          <w:rFonts w:hint="eastAsia" w:ascii="宋体" w:hAnsi="宋体" w:cs="宋体"/>
          <w:color w:val="000000" w:themeColor="text1"/>
          <w:sz w:val="24"/>
          <w:u w:val="dotted"/>
          <w14:textFill>
            <w14:solidFill>
              <w14:schemeClr w14:val="tx1"/>
            </w14:solidFill>
          </w14:textFill>
        </w:rPr>
        <w:t xml:space="preserve">                                         </w:t>
      </w:r>
    </w:p>
    <w:p w14:paraId="76853B2C">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14:paraId="0AF7FA4A">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采购结果公告: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14:paraId="4ED4563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三、质疑基本情况</w:t>
      </w:r>
    </w:p>
    <w:p w14:paraId="42D188A2">
      <w:pPr>
        <w:spacing w:line="360" w:lineRule="auto"/>
        <w:ind w:firstLine="480" w:firstLineChars="200"/>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日,向</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提出质疑，质疑事项为：</w:t>
      </w:r>
      <w:r>
        <w:rPr>
          <w:rFonts w:hint="eastAsia" w:ascii="宋体" w:hAnsi="宋体" w:cs="宋体"/>
          <w:color w:val="000000" w:themeColor="text1"/>
          <w:sz w:val="24"/>
          <w:u w:val="dotted"/>
          <w14:textFill>
            <w14:solidFill>
              <w14:schemeClr w14:val="tx1"/>
            </w14:solidFill>
          </w14:textFill>
        </w:rPr>
        <w:t xml:space="preserve">                                </w:t>
      </w:r>
    </w:p>
    <w:p w14:paraId="6762BA9D">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39EBB683">
      <w:pPr>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交易人/代理机构</w:t>
      </w:r>
      <w:r>
        <w:rPr>
          <w:rFonts w:hint="eastAsia" w:ascii="宋体" w:hAnsi="宋体" w:cs="宋体"/>
          <w:color w:val="000000" w:themeColor="text1"/>
          <w:sz w:val="24"/>
          <w14:textFill>
            <w14:solidFill>
              <w14:schemeClr w14:val="tx1"/>
            </w14:solidFill>
          </w14:textFill>
        </w:rPr>
        <w:t>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日,就质疑事项作出了答复/没有在法定期限内作出答复。</w:t>
      </w:r>
    </w:p>
    <w:p w14:paraId="0B3EA56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四、投诉事项具体内容</w:t>
      </w:r>
    </w:p>
    <w:p w14:paraId="4AE7AD42">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 1：</w:t>
      </w:r>
      <w:r>
        <w:rPr>
          <w:rFonts w:hint="eastAsia" w:ascii="宋体" w:hAnsi="宋体" w:cs="宋体"/>
          <w:color w:val="000000" w:themeColor="text1"/>
          <w:sz w:val="24"/>
          <w:u w:val="dotted"/>
          <w14:textFill>
            <w14:solidFill>
              <w14:schemeClr w14:val="tx1"/>
            </w14:solidFill>
          </w14:textFill>
        </w:rPr>
        <w:t xml:space="preserve">                                       </w:t>
      </w:r>
    </w:p>
    <w:p w14:paraId="5FC0A01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2A1D200E">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1D5480B6">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4A526862">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2C3D065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投诉事项2</w:t>
      </w:r>
    </w:p>
    <w:p w14:paraId="58CDF84C">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1E88E3F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五、与投诉事项相关的投诉请求</w:t>
      </w:r>
    </w:p>
    <w:p w14:paraId="3307835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70A591A1">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057E9D1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04E0DF2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34E42B58">
      <w:pPr>
        <w:spacing w:line="360" w:lineRule="auto"/>
        <w:rPr>
          <w:rFonts w:ascii="宋体" w:hAnsi="宋体" w:cs="宋体"/>
          <w:b/>
          <w:color w:val="000000" w:themeColor="text1"/>
          <w:sz w:val="24"/>
          <w14:textFill>
            <w14:solidFill>
              <w14:schemeClr w14:val="tx1"/>
            </w14:solidFill>
          </w14:textFill>
        </w:rPr>
      </w:pPr>
    </w:p>
    <w:p w14:paraId="6BE8BB18">
      <w:pPr>
        <w:spacing w:line="360" w:lineRule="auto"/>
        <w:rPr>
          <w:rFonts w:ascii="宋体" w:hAnsi="宋体" w:cs="宋体"/>
          <w:b/>
          <w:color w:val="000000" w:themeColor="text1"/>
          <w:sz w:val="24"/>
          <w14:textFill>
            <w14:solidFill>
              <w14:schemeClr w14:val="tx1"/>
            </w14:solidFill>
          </w14:textFill>
        </w:rPr>
      </w:pPr>
    </w:p>
    <w:p w14:paraId="2F489C6D">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投诉书制作说明：</w:t>
      </w:r>
    </w:p>
    <w:p w14:paraId="7FC6EDB7">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14:paraId="4FFDCFA5">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14:paraId="02C29546">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3.投诉人若对项目的某一分包进行投诉，投诉书应列明具体分包号。</w:t>
      </w:r>
    </w:p>
    <w:p w14:paraId="1FFAF9AE">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4.投诉书应简要列明质疑事项，质疑函、质疑答复等作为附件材料提供。</w:t>
      </w:r>
    </w:p>
    <w:p w14:paraId="6BAE478C">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5.投诉书的投诉事项应具体、明确，并有必要的事实依据和法律依据。</w:t>
      </w:r>
    </w:p>
    <w:p w14:paraId="27C1B157">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6.投诉书的投诉请求应与投诉事项相关。</w:t>
      </w:r>
    </w:p>
    <w:p w14:paraId="7D85D36D">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50B87227">
      <w:pPr>
        <w:spacing w:line="360" w:lineRule="auto"/>
        <w:rPr>
          <w:rFonts w:ascii="宋体" w:hAnsi="宋体" w:cs="宋体"/>
          <w:b/>
          <w:color w:val="000000" w:themeColor="text1"/>
          <w:sz w:val="24"/>
          <w14:textFill>
            <w14:solidFill>
              <w14:schemeClr w14:val="tx1"/>
            </w14:solidFill>
          </w14:textFill>
        </w:rPr>
      </w:pPr>
    </w:p>
    <w:p w14:paraId="0490571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2BD073F">
      <w:pPr>
        <w:autoSpaceDE w:val="0"/>
        <w:autoSpaceDN w:val="0"/>
        <w:jc w:val="left"/>
        <w:rPr>
          <w:rFonts w:ascii="宋体" w:hAnsi="宋体" w:cs="宋体"/>
          <w:b/>
          <w:color w:val="000000" w:themeColor="text1"/>
          <w:spacing w:val="6"/>
          <w:sz w:val="32"/>
          <w:szCs w:val="32"/>
          <w14:textFill>
            <w14:solidFill>
              <w14:schemeClr w14:val="tx1"/>
            </w14:solidFill>
          </w14:textFill>
        </w:rPr>
      </w:pPr>
    </w:p>
    <w:p w14:paraId="374A54B9">
      <w:pPr>
        <w:autoSpaceDE w:val="0"/>
        <w:autoSpaceDN w:val="0"/>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附件3：</w:t>
      </w:r>
    </w:p>
    <w:p w14:paraId="46A65BED">
      <w:pPr>
        <w:autoSpaceDE w:val="0"/>
        <w:autoSpaceDN w:val="0"/>
        <w:jc w:val="center"/>
        <w:rPr>
          <w:rFonts w:ascii="宋体" w:hAnsi="宋体" w:cs="宋体"/>
          <w:b/>
          <w:bCs/>
          <w:color w:val="000000" w:themeColor="text1"/>
          <w:sz w:val="32"/>
          <w:szCs w:val="32"/>
          <w14:textFill>
            <w14:solidFill>
              <w14:schemeClr w14:val="tx1"/>
            </w14:solidFill>
          </w14:textFill>
        </w:rPr>
      </w:pPr>
    </w:p>
    <w:p w14:paraId="1CC6B303">
      <w:pPr>
        <w:autoSpaceDE w:val="0"/>
        <w:autoSpaceDN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业务专用章使用说明函</w:t>
      </w:r>
    </w:p>
    <w:p w14:paraId="6F6A1F9D">
      <w:pPr>
        <w:spacing w:line="360" w:lineRule="auto"/>
        <w:rPr>
          <w:rFonts w:ascii="宋体" w:hAnsi="宋体" w:cs="宋体"/>
          <w:color w:val="000000" w:themeColor="text1"/>
          <w:sz w:val="24"/>
          <w:u w:val="single"/>
          <w14:textFill>
            <w14:solidFill>
              <w14:schemeClr w14:val="tx1"/>
            </w14:solidFill>
          </w14:textFill>
        </w:rPr>
      </w:pPr>
    </w:p>
    <w:p w14:paraId="14FA3CA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（交易人）、（采购代理机构）</w:t>
      </w:r>
    </w:p>
    <w:p w14:paraId="0FF1E2B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w:t>
      </w:r>
      <w:r>
        <w:rPr>
          <w:rFonts w:hint="eastAsia" w:ascii="宋体" w:hAnsi="宋体" w:cs="宋体"/>
          <w:color w:val="000000" w:themeColor="text1"/>
          <w:sz w:val="24"/>
          <w:u w:val="single"/>
          <w14:textFill>
            <w14:solidFill>
              <w14:schemeClr w14:val="tx1"/>
            </w14:solidFill>
          </w14:textFill>
        </w:rPr>
        <w:t>（项目名称）项目【交易编号：（采购编号）】</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14:paraId="63EC82F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14:paraId="5B1CCA67">
      <w:pPr>
        <w:spacing w:line="360" w:lineRule="auto"/>
        <w:ind w:firstLine="494"/>
        <w:rPr>
          <w:rFonts w:ascii="宋体" w:hAnsi="宋体" w:cs="宋体"/>
          <w:color w:val="000000" w:themeColor="text1"/>
          <w:sz w:val="24"/>
          <w14:textFill>
            <w14:solidFill>
              <w14:schemeClr w14:val="tx1"/>
            </w14:solidFill>
          </w14:textFill>
        </w:rPr>
      </w:pPr>
    </w:p>
    <w:p w14:paraId="20F52AC6">
      <w:pPr>
        <w:spacing w:line="360" w:lineRule="auto"/>
        <w:ind w:firstLine="494"/>
        <w:rPr>
          <w:rFonts w:ascii="宋体" w:hAnsi="宋体" w:cs="宋体"/>
          <w:color w:val="000000" w:themeColor="text1"/>
          <w:sz w:val="24"/>
          <w14:textFill>
            <w14:solidFill>
              <w14:schemeClr w14:val="tx1"/>
            </w14:solidFill>
          </w14:textFill>
        </w:rPr>
      </w:pPr>
    </w:p>
    <w:p w14:paraId="1F1957C2">
      <w:pPr>
        <w:spacing w:line="360" w:lineRule="auto"/>
        <w:ind w:firstLine="494"/>
        <w:rPr>
          <w:rFonts w:ascii="宋体" w:hAnsi="宋体" w:cs="宋体"/>
          <w:color w:val="000000" w:themeColor="text1"/>
          <w:sz w:val="24"/>
          <w14:textFill>
            <w14:solidFill>
              <w14:schemeClr w14:val="tx1"/>
            </w14:solidFill>
          </w14:textFill>
        </w:rPr>
      </w:pPr>
    </w:p>
    <w:p w14:paraId="0834E43B">
      <w:pPr>
        <w:spacing w:line="360" w:lineRule="auto"/>
        <w:ind w:firstLine="494"/>
        <w:rPr>
          <w:rFonts w:ascii="宋体" w:hAnsi="宋体" w:cs="宋体"/>
          <w:color w:val="000000" w:themeColor="text1"/>
          <w:sz w:val="24"/>
          <w14:textFill>
            <w14:solidFill>
              <w14:schemeClr w14:val="tx1"/>
            </w14:solidFill>
          </w14:textFill>
        </w:rPr>
      </w:pPr>
    </w:p>
    <w:p w14:paraId="2237E44F">
      <w:pPr>
        <w:spacing w:line="360" w:lineRule="auto"/>
        <w:ind w:right="480" w:firstLine="4080" w:firstLineChars="17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投标单位（法定名称章）：</w:t>
      </w:r>
    </w:p>
    <w:p w14:paraId="2C94A64F">
      <w:pPr>
        <w:ind w:right="1440" w:firstLine="494"/>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041E87C6">
      <w:pP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w:t>
      </w:r>
    </w:p>
    <w:p w14:paraId="5F63DD4A">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0E605E81">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0E605E81">
                      <w:pPr>
                        <w:jc w:val="center"/>
                      </w:pPr>
                    </w:p>
                  </w:txbxContent>
                </v:textbox>
              </v:rect>
            </w:pict>
          </mc:Fallback>
        </mc:AlternateContent>
      </w:r>
      <w:r>
        <w:rPr>
          <w:rFonts w:hint="eastAsia" w:ascii="宋体" w:hAnsi="宋体" w:cs="宋体"/>
          <w:color w:val="000000" w:themeColor="text1"/>
          <w:sz w:val="24"/>
          <w14:textFill>
            <w14:solidFill>
              <w14:schemeClr w14:val="tx1"/>
            </w14:solidFill>
          </w14:textFill>
        </w:rPr>
        <w:t>投标单位法定名称章（印模）                投标单位“XX专用章”（印模）</w:t>
      </w:r>
    </w:p>
    <w:p w14:paraId="223B9D5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7AA21F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7DC063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98BF1B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D705A4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751BC4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90E3D0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F233D6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57C10F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8DEEDE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DDAC45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BACB15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C835FB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5DECF0B">
      <w:pPr>
        <w:autoSpaceDE w:val="0"/>
        <w:autoSpaceDN w:val="0"/>
        <w:jc w:val="center"/>
        <w:rPr>
          <w:rFonts w:ascii="宋体" w:hAnsi="宋体" w:cs="宋体"/>
          <w:b/>
          <w:color w:val="000000" w:themeColor="text1"/>
          <w:spacing w:val="6"/>
          <w:sz w:val="32"/>
          <w:szCs w:val="32"/>
          <w14:textFill>
            <w14:solidFill>
              <w14:schemeClr w14:val="tx1"/>
            </w14:solidFill>
          </w14:textFill>
        </w:rPr>
      </w:pPr>
    </w:p>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B0604020202020204"/>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20B0602020204020303"/>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604020202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20B0604020202020204"/>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00000093"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Courier New"/>
    <w:panose1 w:val="020B0702020204020204"/>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2020602060306020A03"/>
    <w:charset w:val="00"/>
    <w:family w:val="roman"/>
    <w:pitch w:val="default"/>
    <w:sig w:usb0="00000000" w:usb1="00000000" w:usb2="00000000" w:usb3="00000000" w:csb0="00000011" w:csb1="00000000"/>
  </w:font>
  <w:font w:name=".PingFang SC">
    <w:altName w:val="宋体"/>
    <w:panose1 w:val="020B0604020202020204"/>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C4A77">
    <w:pPr>
      <w:pStyle w:val="4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D45E9">
                          <w:pPr>
                            <w:pStyle w:val="41"/>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38CD45E9">
                    <w:pPr>
                      <w:pStyle w:val="41"/>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p>
  <w:p w14:paraId="72C57170">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43C99">
    <w:pPr>
      <w:pStyle w:val="4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192040">
                          <w:pPr>
                            <w:pStyle w:val="41"/>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63192040">
                    <w:pPr>
                      <w:pStyle w:val="41"/>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p w14:paraId="6C305E0F">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87023">
    <w:pPr>
      <w:pStyle w:val="4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766567">
                          <w:pPr>
                            <w:pStyle w:val="41"/>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23766567">
                    <w:pPr>
                      <w:pStyle w:val="41"/>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14:paraId="1573D0AC">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26E76">
    <w:pPr>
      <w:pStyle w:val="4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C4964E">
                          <w:pPr>
                            <w:pStyle w:val="41"/>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6EC4964E">
                    <w:pPr>
                      <w:pStyle w:val="41"/>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p w14:paraId="1BDBE5A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8E2B4">
    <w:pPr>
      <w:pStyle w:val="41"/>
      <w:jc w:val="center"/>
      <w:rPr>
        <w:rFonts w:ascii="仿宋_GB2312" w:eastAsia="仿宋_GB2312"/>
        <w:szCs w:val="24"/>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5D84FE">
                          <w:pPr>
                            <w:pStyle w:val="41"/>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315D84FE">
                    <w:pPr>
                      <w:pStyle w:val="41"/>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228E5">
    <w:pPr>
      <w:pStyle w:val="41"/>
      <w:framePr w:wrap="around" w:vAnchor="text" w:hAnchor="margin" w:xAlign="right" w:y="1"/>
      <w:rPr>
        <w:rStyle w:val="74"/>
      </w:rPr>
    </w:pPr>
    <w:r>
      <w:fldChar w:fldCharType="begin"/>
    </w:r>
    <w:r>
      <w:rPr>
        <w:rStyle w:val="74"/>
      </w:rPr>
      <w:instrText xml:space="preserve">PAGE  </w:instrText>
    </w:r>
    <w:r>
      <w:fldChar w:fldCharType="end"/>
    </w:r>
  </w:p>
  <w:p w14:paraId="5D861EA0">
    <w:pPr>
      <w:pStyle w:val="4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824B2">
    <w:pPr>
      <w:pStyle w:val="41"/>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025773">
                          <w:pPr>
                            <w:pStyle w:val="41"/>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65025773">
                    <w:pPr>
                      <w:pStyle w:val="41"/>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65E5A">
    <w:pPr>
      <w:pStyle w:val="42"/>
    </w:pPr>
    <w:r>
      <w:rPr>
        <w:rFonts w:hint="eastAsia"/>
      </w:rPr>
      <w:t xml:space="preserve">                                                                                         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777A0">
    <w:pPr>
      <w:pStyle w:val="42"/>
    </w:pPr>
    <w:r>
      <w:rPr>
        <w:rFonts w:hint="eastAsia"/>
      </w:rPr>
      <w:t xml:space="preserve">                                                                                         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39390">
    <w:pPr>
      <w:pStyle w:val="4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9F346">
    <w:pPr>
      <w:pStyle w:val="4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0D59E">
    <w:pPr>
      <w:pStyle w:val="4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7AAC5">
    <w:pPr>
      <w:pStyle w:val="42"/>
    </w:pPr>
    <w:r>
      <w:t></w:t>
    </w:r>
    <w:r>
      <w:rPr>
        <w:rFonts w:hint="eastAsia"/>
      </w:rPr>
      <w:t xml:space="preserve">                                             </w:t>
    </w:r>
    <w:r>
      <w:t>杭州市采购公开</w:t>
    </w: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4CA0FB"/>
    <w:multiLevelType w:val="singleLevel"/>
    <w:tmpl w:val="434CA0FB"/>
    <w:lvl w:ilvl="0" w:tentative="0">
      <w:start w:val="14"/>
      <w:numFmt w:val="decimal"/>
      <w:lvlText w:val="%1."/>
      <w:lvlJc w:val="left"/>
      <w:pPr>
        <w:tabs>
          <w:tab w:val="left" w:pos="312"/>
        </w:tabs>
      </w:pPr>
    </w:lvl>
  </w:abstractNum>
  <w:abstractNum w:abstractNumId="1">
    <w:nsid w:val="4427F2E7"/>
    <w:multiLevelType w:val="singleLevel"/>
    <w:tmpl w:val="4427F2E7"/>
    <w:lvl w:ilvl="0" w:tentative="0">
      <w:start w:val="1"/>
      <w:numFmt w:val="decimalEnclosedCircleChinese"/>
      <w:suff w:val="nothing"/>
      <w:lvlText w:val="%1　"/>
      <w:lvlJc w:val="left"/>
      <w:pPr>
        <w:ind w:left="0" w:firstLine="400"/>
      </w:pPr>
      <w:rPr>
        <w:rFonts w:hint="eastAsia"/>
      </w:rPr>
    </w:lvl>
  </w:abstractNum>
  <w:abstractNum w:abstractNumId="2">
    <w:nsid w:val="5559833E"/>
    <w:multiLevelType w:val="singleLevel"/>
    <w:tmpl w:val="5559833E"/>
    <w:lvl w:ilvl="0" w:tentative="0">
      <w:start w:val="1"/>
      <w:numFmt w:val="chineseCounting"/>
      <w:suff w:val="nothing"/>
      <w:lvlText w:val="%1、"/>
      <w:lvlJc w:val="left"/>
      <w:pPr>
        <w:ind w:left="0" w:firstLine="0"/>
      </w:pPr>
    </w:lvl>
  </w:abstractNum>
  <w:num w:numId="1">
    <w:abstractNumId w:val="0"/>
  </w:num>
  <w:num w:numId="2">
    <w:abstractNumId w:val="2"/>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xN2JjYmZiYzEzY2IwMWMyNWY5Y2FkZGJiMGU0M2EifQ=="/>
    <w:docVar w:name="KSO_WPS_MARK_KEY" w:val="f25a4cc2-5bde-4d3a-b8f4-a03a1d62b8fb"/>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005"/>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0F3"/>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7A"/>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50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8E7"/>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483"/>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B68"/>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09F"/>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921"/>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BE8"/>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AA7"/>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C3A"/>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D12"/>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868"/>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2E36"/>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9F7441"/>
    <w:rsid w:val="01A06AA0"/>
    <w:rsid w:val="01B37585"/>
    <w:rsid w:val="01B5399D"/>
    <w:rsid w:val="01C064F8"/>
    <w:rsid w:val="01D55165"/>
    <w:rsid w:val="01DF6BF8"/>
    <w:rsid w:val="01EB4E17"/>
    <w:rsid w:val="01EC2C57"/>
    <w:rsid w:val="02021298"/>
    <w:rsid w:val="020B640B"/>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B85F11"/>
    <w:rsid w:val="04EE3F9B"/>
    <w:rsid w:val="04F66F48"/>
    <w:rsid w:val="051E28A6"/>
    <w:rsid w:val="05251E14"/>
    <w:rsid w:val="05507636"/>
    <w:rsid w:val="05770BD6"/>
    <w:rsid w:val="058806C7"/>
    <w:rsid w:val="05A16594"/>
    <w:rsid w:val="05A7762D"/>
    <w:rsid w:val="05BF4603"/>
    <w:rsid w:val="05C04DC2"/>
    <w:rsid w:val="060E5941"/>
    <w:rsid w:val="06110FAF"/>
    <w:rsid w:val="06493CA7"/>
    <w:rsid w:val="065A6178"/>
    <w:rsid w:val="066D3597"/>
    <w:rsid w:val="066F1CF3"/>
    <w:rsid w:val="06930BB8"/>
    <w:rsid w:val="06956198"/>
    <w:rsid w:val="07245D42"/>
    <w:rsid w:val="07264C62"/>
    <w:rsid w:val="0779354C"/>
    <w:rsid w:val="07C300BD"/>
    <w:rsid w:val="07FE18F3"/>
    <w:rsid w:val="08061376"/>
    <w:rsid w:val="080A5070"/>
    <w:rsid w:val="08452D77"/>
    <w:rsid w:val="086401F8"/>
    <w:rsid w:val="08751CAA"/>
    <w:rsid w:val="0876556A"/>
    <w:rsid w:val="087E4C40"/>
    <w:rsid w:val="08A53637"/>
    <w:rsid w:val="08A871D0"/>
    <w:rsid w:val="08D66AD6"/>
    <w:rsid w:val="08DA33A3"/>
    <w:rsid w:val="08E80F13"/>
    <w:rsid w:val="092612F3"/>
    <w:rsid w:val="092748F4"/>
    <w:rsid w:val="09335624"/>
    <w:rsid w:val="0944690F"/>
    <w:rsid w:val="09535675"/>
    <w:rsid w:val="095F057D"/>
    <w:rsid w:val="09642282"/>
    <w:rsid w:val="09733572"/>
    <w:rsid w:val="09772C16"/>
    <w:rsid w:val="098353B5"/>
    <w:rsid w:val="09A92330"/>
    <w:rsid w:val="09B06B87"/>
    <w:rsid w:val="09C13146"/>
    <w:rsid w:val="09E04166"/>
    <w:rsid w:val="09F81448"/>
    <w:rsid w:val="0A1C0718"/>
    <w:rsid w:val="0A270BA2"/>
    <w:rsid w:val="0A3E7710"/>
    <w:rsid w:val="0A5B7E63"/>
    <w:rsid w:val="0A5E227D"/>
    <w:rsid w:val="0A7F4701"/>
    <w:rsid w:val="0AA374A5"/>
    <w:rsid w:val="0AAB7649"/>
    <w:rsid w:val="0AAF5E89"/>
    <w:rsid w:val="0AB86C5C"/>
    <w:rsid w:val="0ABC5606"/>
    <w:rsid w:val="0AC42692"/>
    <w:rsid w:val="0ADE3108"/>
    <w:rsid w:val="0ADF4EB4"/>
    <w:rsid w:val="0B0F74C5"/>
    <w:rsid w:val="0B30404E"/>
    <w:rsid w:val="0B4C6C14"/>
    <w:rsid w:val="0B524759"/>
    <w:rsid w:val="0B561AFE"/>
    <w:rsid w:val="0B631A88"/>
    <w:rsid w:val="0B683D45"/>
    <w:rsid w:val="0B76461B"/>
    <w:rsid w:val="0B7F3F11"/>
    <w:rsid w:val="0B884417"/>
    <w:rsid w:val="0BF6188C"/>
    <w:rsid w:val="0BF73C91"/>
    <w:rsid w:val="0C170175"/>
    <w:rsid w:val="0C571A41"/>
    <w:rsid w:val="0C5C1171"/>
    <w:rsid w:val="0C5E1CBC"/>
    <w:rsid w:val="0C615B50"/>
    <w:rsid w:val="0C8445DA"/>
    <w:rsid w:val="0C87121B"/>
    <w:rsid w:val="0CC007F7"/>
    <w:rsid w:val="0CC617AC"/>
    <w:rsid w:val="0CFE707A"/>
    <w:rsid w:val="0D063BDA"/>
    <w:rsid w:val="0D08375F"/>
    <w:rsid w:val="0D184CFB"/>
    <w:rsid w:val="0D3D3B60"/>
    <w:rsid w:val="0D4A7419"/>
    <w:rsid w:val="0D827401"/>
    <w:rsid w:val="0D84094E"/>
    <w:rsid w:val="0D8A00E9"/>
    <w:rsid w:val="0D8D589E"/>
    <w:rsid w:val="0D95362E"/>
    <w:rsid w:val="0DA01C73"/>
    <w:rsid w:val="0DD63300"/>
    <w:rsid w:val="0DF50604"/>
    <w:rsid w:val="0DF702FE"/>
    <w:rsid w:val="0E060E51"/>
    <w:rsid w:val="0E22536A"/>
    <w:rsid w:val="0E373674"/>
    <w:rsid w:val="0E5604B2"/>
    <w:rsid w:val="0E6D5D79"/>
    <w:rsid w:val="0E6F14E6"/>
    <w:rsid w:val="0E9D0089"/>
    <w:rsid w:val="0EB803EE"/>
    <w:rsid w:val="0EF94D4B"/>
    <w:rsid w:val="0F0B13B6"/>
    <w:rsid w:val="0F182768"/>
    <w:rsid w:val="0F33198E"/>
    <w:rsid w:val="0F4958DC"/>
    <w:rsid w:val="0F515DF7"/>
    <w:rsid w:val="0F596BA8"/>
    <w:rsid w:val="0F6248D2"/>
    <w:rsid w:val="0F635421"/>
    <w:rsid w:val="0F693536"/>
    <w:rsid w:val="0F7B0511"/>
    <w:rsid w:val="0F7B76D9"/>
    <w:rsid w:val="0F816ACD"/>
    <w:rsid w:val="0F9832DB"/>
    <w:rsid w:val="0FBF3FD2"/>
    <w:rsid w:val="0FBF7FF3"/>
    <w:rsid w:val="0FCF1C32"/>
    <w:rsid w:val="0FDA406B"/>
    <w:rsid w:val="0FFC3E38"/>
    <w:rsid w:val="10646583"/>
    <w:rsid w:val="107D4B15"/>
    <w:rsid w:val="10841832"/>
    <w:rsid w:val="108A3C80"/>
    <w:rsid w:val="10C26171"/>
    <w:rsid w:val="10DC700E"/>
    <w:rsid w:val="10F33360"/>
    <w:rsid w:val="10F4083A"/>
    <w:rsid w:val="10FC16EA"/>
    <w:rsid w:val="110F1D40"/>
    <w:rsid w:val="11266F33"/>
    <w:rsid w:val="118963A1"/>
    <w:rsid w:val="11940B1A"/>
    <w:rsid w:val="11955330"/>
    <w:rsid w:val="11C6522A"/>
    <w:rsid w:val="11E104CC"/>
    <w:rsid w:val="11E20309"/>
    <w:rsid w:val="12255233"/>
    <w:rsid w:val="12530213"/>
    <w:rsid w:val="127723A9"/>
    <w:rsid w:val="128527DB"/>
    <w:rsid w:val="12862074"/>
    <w:rsid w:val="12883966"/>
    <w:rsid w:val="129E45B4"/>
    <w:rsid w:val="12D21374"/>
    <w:rsid w:val="12D81596"/>
    <w:rsid w:val="13072A44"/>
    <w:rsid w:val="131A1B7F"/>
    <w:rsid w:val="135F4BE2"/>
    <w:rsid w:val="13913864"/>
    <w:rsid w:val="139B1A0A"/>
    <w:rsid w:val="139B5BDE"/>
    <w:rsid w:val="139D25C7"/>
    <w:rsid w:val="13BF3CE4"/>
    <w:rsid w:val="140F0A5D"/>
    <w:rsid w:val="141008D8"/>
    <w:rsid w:val="14125FE6"/>
    <w:rsid w:val="142B70E5"/>
    <w:rsid w:val="14500381"/>
    <w:rsid w:val="146D271E"/>
    <w:rsid w:val="14982588"/>
    <w:rsid w:val="149A5AD9"/>
    <w:rsid w:val="14A7619D"/>
    <w:rsid w:val="14F25B02"/>
    <w:rsid w:val="150536C3"/>
    <w:rsid w:val="150C1963"/>
    <w:rsid w:val="151447A0"/>
    <w:rsid w:val="154A6454"/>
    <w:rsid w:val="15762120"/>
    <w:rsid w:val="158A5910"/>
    <w:rsid w:val="15F56AC3"/>
    <w:rsid w:val="1608540D"/>
    <w:rsid w:val="16204A74"/>
    <w:rsid w:val="166B6EF7"/>
    <w:rsid w:val="166C515D"/>
    <w:rsid w:val="16A8729C"/>
    <w:rsid w:val="16B33777"/>
    <w:rsid w:val="16BC70A7"/>
    <w:rsid w:val="16C6339E"/>
    <w:rsid w:val="16C730F7"/>
    <w:rsid w:val="16D6012D"/>
    <w:rsid w:val="16FE2244"/>
    <w:rsid w:val="172F2D79"/>
    <w:rsid w:val="17557BEF"/>
    <w:rsid w:val="175D2A6D"/>
    <w:rsid w:val="176D1E2A"/>
    <w:rsid w:val="17852075"/>
    <w:rsid w:val="17D349C1"/>
    <w:rsid w:val="18117D8E"/>
    <w:rsid w:val="1830729E"/>
    <w:rsid w:val="18394486"/>
    <w:rsid w:val="185134E3"/>
    <w:rsid w:val="1870062C"/>
    <w:rsid w:val="18817102"/>
    <w:rsid w:val="18830A15"/>
    <w:rsid w:val="18852B28"/>
    <w:rsid w:val="188B5321"/>
    <w:rsid w:val="18C776A6"/>
    <w:rsid w:val="18EE574D"/>
    <w:rsid w:val="19341F4D"/>
    <w:rsid w:val="197524E7"/>
    <w:rsid w:val="19932372"/>
    <w:rsid w:val="19A20DD5"/>
    <w:rsid w:val="19AE03F1"/>
    <w:rsid w:val="19C10B67"/>
    <w:rsid w:val="19D16EBE"/>
    <w:rsid w:val="1A071A03"/>
    <w:rsid w:val="1A1A5A79"/>
    <w:rsid w:val="1A1F16AE"/>
    <w:rsid w:val="1A3B5C77"/>
    <w:rsid w:val="1A984BAD"/>
    <w:rsid w:val="1AB8220E"/>
    <w:rsid w:val="1AE4166C"/>
    <w:rsid w:val="1AF06CFB"/>
    <w:rsid w:val="1AF11B8D"/>
    <w:rsid w:val="1B11359C"/>
    <w:rsid w:val="1B2A271F"/>
    <w:rsid w:val="1B530544"/>
    <w:rsid w:val="1B713184"/>
    <w:rsid w:val="1B825FBC"/>
    <w:rsid w:val="1BA209CF"/>
    <w:rsid w:val="1BB4777D"/>
    <w:rsid w:val="1BD75AB8"/>
    <w:rsid w:val="1BE22A26"/>
    <w:rsid w:val="1BFD3B34"/>
    <w:rsid w:val="1C0459C2"/>
    <w:rsid w:val="1C1B3B4A"/>
    <w:rsid w:val="1C537570"/>
    <w:rsid w:val="1C6D02DA"/>
    <w:rsid w:val="1C88086E"/>
    <w:rsid w:val="1CC47A8B"/>
    <w:rsid w:val="1D266CE1"/>
    <w:rsid w:val="1D3963AF"/>
    <w:rsid w:val="1D6A673C"/>
    <w:rsid w:val="1D9247AE"/>
    <w:rsid w:val="1DA47A11"/>
    <w:rsid w:val="1DB567EC"/>
    <w:rsid w:val="1DED55A3"/>
    <w:rsid w:val="1DF51A98"/>
    <w:rsid w:val="1E3D060F"/>
    <w:rsid w:val="1E3F7D2E"/>
    <w:rsid w:val="1E4134E4"/>
    <w:rsid w:val="1E5062B3"/>
    <w:rsid w:val="1E523514"/>
    <w:rsid w:val="1E714A66"/>
    <w:rsid w:val="1E730E11"/>
    <w:rsid w:val="1E802593"/>
    <w:rsid w:val="1E8B6156"/>
    <w:rsid w:val="1EA703CC"/>
    <w:rsid w:val="1EB7330C"/>
    <w:rsid w:val="1F0A0FF3"/>
    <w:rsid w:val="1F5771FF"/>
    <w:rsid w:val="1FE868A9"/>
    <w:rsid w:val="20034907"/>
    <w:rsid w:val="200F5637"/>
    <w:rsid w:val="20173E4B"/>
    <w:rsid w:val="204E48BC"/>
    <w:rsid w:val="208921B3"/>
    <w:rsid w:val="2093370A"/>
    <w:rsid w:val="20973DEB"/>
    <w:rsid w:val="20B16944"/>
    <w:rsid w:val="20B26522"/>
    <w:rsid w:val="20B34C6B"/>
    <w:rsid w:val="20B44310"/>
    <w:rsid w:val="20DF1008"/>
    <w:rsid w:val="20EE2FE4"/>
    <w:rsid w:val="211116EB"/>
    <w:rsid w:val="211E01F0"/>
    <w:rsid w:val="216133FC"/>
    <w:rsid w:val="218944CA"/>
    <w:rsid w:val="21D56769"/>
    <w:rsid w:val="21D62C50"/>
    <w:rsid w:val="21E52EF3"/>
    <w:rsid w:val="21FB5D7B"/>
    <w:rsid w:val="220B1C3D"/>
    <w:rsid w:val="221D1D20"/>
    <w:rsid w:val="22334A87"/>
    <w:rsid w:val="22B61EBB"/>
    <w:rsid w:val="22B83BEE"/>
    <w:rsid w:val="22BE6801"/>
    <w:rsid w:val="22E03145"/>
    <w:rsid w:val="23113F1A"/>
    <w:rsid w:val="233500BF"/>
    <w:rsid w:val="23377FF7"/>
    <w:rsid w:val="236B425F"/>
    <w:rsid w:val="23836192"/>
    <w:rsid w:val="23901F29"/>
    <w:rsid w:val="239C0061"/>
    <w:rsid w:val="23B908A4"/>
    <w:rsid w:val="23E95BEF"/>
    <w:rsid w:val="23FC52F4"/>
    <w:rsid w:val="23FD0064"/>
    <w:rsid w:val="245375B0"/>
    <w:rsid w:val="24642C0A"/>
    <w:rsid w:val="24667B44"/>
    <w:rsid w:val="246A3BA8"/>
    <w:rsid w:val="2492728B"/>
    <w:rsid w:val="249307DC"/>
    <w:rsid w:val="24B22173"/>
    <w:rsid w:val="24B95AD9"/>
    <w:rsid w:val="24BE24DA"/>
    <w:rsid w:val="24CF5825"/>
    <w:rsid w:val="24D663E6"/>
    <w:rsid w:val="24D77F2B"/>
    <w:rsid w:val="254F52B1"/>
    <w:rsid w:val="258B00E2"/>
    <w:rsid w:val="25A34E23"/>
    <w:rsid w:val="25A917A6"/>
    <w:rsid w:val="25BE27CC"/>
    <w:rsid w:val="25E92F53"/>
    <w:rsid w:val="25F74A5C"/>
    <w:rsid w:val="2628662C"/>
    <w:rsid w:val="262D45DE"/>
    <w:rsid w:val="266E6AE8"/>
    <w:rsid w:val="267E09C1"/>
    <w:rsid w:val="26871DC8"/>
    <w:rsid w:val="26A53EF9"/>
    <w:rsid w:val="26A6481F"/>
    <w:rsid w:val="26A94201"/>
    <w:rsid w:val="26AC274F"/>
    <w:rsid w:val="26FA7EC0"/>
    <w:rsid w:val="27044A29"/>
    <w:rsid w:val="271D34C8"/>
    <w:rsid w:val="272F6449"/>
    <w:rsid w:val="274C4FBA"/>
    <w:rsid w:val="276142BF"/>
    <w:rsid w:val="27783712"/>
    <w:rsid w:val="27907362"/>
    <w:rsid w:val="279B7084"/>
    <w:rsid w:val="27A02A0E"/>
    <w:rsid w:val="28333E1D"/>
    <w:rsid w:val="28454BD6"/>
    <w:rsid w:val="28455253"/>
    <w:rsid w:val="28551971"/>
    <w:rsid w:val="285B1C53"/>
    <w:rsid w:val="289F7086"/>
    <w:rsid w:val="28C32028"/>
    <w:rsid w:val="28CC490F"/>
    <w:rsid w:val="28DE40AA"/>
    <w:rsid w:val="29345E77"/>
    <w:rsid w:val="29453CBE"/>
    <w:rsid w:val="294C65AD"/>
    <w:rsid w:val="29806583"/>
    <w:rsid w:val="298B3C4C"/>
    <w:rsid w:val="29F26D24"/>
    <w:rsid w:val="2A15033F"/>
    <w:rsid w:val="2A1662C1"/>
    <w:rsid w:val="2A1C7367"/>
    <w:rsid w:val="2A2815FA"/>
    <w:rsid w:val="2A426883"/>
    <w:rsid w:val="2A6D6092"/>
    <w:rsid w:val="2A7D76B4"/>
    <w:rsid w:val="2A830ABD"/>
    <w:rsid w:val="2AEE1B3B"/>
    <w:rsid w:val="2AF47F2E"/>
    <w:rsid w:val="2B437463"/>
    <w:rsid w:val="2B7807EE"/>
    <w:rsid w:val="2BA50BF7"/>
    <w:rsid w:val="2BBF00EC"/>
    <w:rsid w:val="2BC37CFD"/>
    <w:rsid w:val="2BD5237F"/>
    <w:rsid w:val="2BE536CE"/>
    <w:rsid w:val="2BE758D9"/>
    <w:rsid w:val="2BEA7DD3"/>
    <w:rsid w:val="2C09049E"/>
    <w:rsid w:val="2C0A653C"/>
    <w:rsid w:val="2C191F85"/>
    <w:rsid w:val="2C8C4873"/>
    <w:rsid w:val="2C994A93"/>
    <w:rsid w:val="2CE82D6F"/>
    <w:rsid w:val="2D2216DE"/>
    <w:rsid w:val="2D343236"/>
    <w:rsid w:val="2D75546F"/>
    <w:rsid w:val="2D8D44CE"/>
    <w:rsid w:val="2D956040"/>
    <w:rsid w:val="2DD15014"/>
    <w:rsid w:val="2DF72DE4"/>
    <w:rsid w:val="2E0220AF"/>
    <w:rsid w:val="2E4B082A"/>
    <w:rsid w:val="2E5D4E86"/>
    <w:rsid w:val="2E5D790B"/>
    <w:rsid w:val="2E776A61"/>
    <w:rsid w:val="2E9A3C18"/>
    <w:rsid w:val="2EBB0FEE"/>
    <w:rsid w:val="2EC63002"/>
    <w:rsid w:val="2F064D1A"/>
    <w:rsid w:val="2F0A6B38"/>
    <w:rsid w:val="2F0E78D3"/>
    <w:rsid w:val="2F946CCB"/>
    <w:rsid w:val="2FD25781"/>
    <w:rsid w:val="2FF346DE"/>
    <w:rsid w:val="2FFD7934"/>
    <w:rsid w:val="30201A01"/>
    <w:rsid w:val="30733ACD"/>
    <w:rsid w:val="308C3862"/>
    <w:rsid w:val="309379D8"/>
    <w:rsid w:val="309B6899"/>
    <w:rsid w:val="30A270F7"/>
    <w:rsid w:val="30C30F79"/>
    <w:rsid w:val="30DF1478"/>
    <w:rsid w:val="30EA055D"/>
    <w:rsid w:val="30EC586F"/>
    <w:rsid w:val="31280789"/>
    <w:rsid w:val="319C6071"/>
    <w:rsid w:val="31AC537E"/>
    <w:rsid w:val="31B420C4"/>
    <w:rsid w:val="31B82C24"/>
    <w:rsid w:val="31C17BA9"/>
    <w:rsid w:val="31C549B6"/>
    <w:rsid w:val="31E3679B"/>
    <w:rsid w:val="31E732FD"/>
    <w:rsid w:val="32517576"/>
    <w:rsid w:val="3262346C"/>
    <w:rsid w:val="32A64673"/>
    <w:rsid w:val="32BE5C2C"/>
    <w:rsid w:val="32FB6478"/>
    <w:rsid w:val="331E793D"/>
    <w:rsid w:val="33263B3F"/>
    <w:rsid w:val="336963EB"/>
    <w:rsid w:val="33816EEB"/>
    <w:rsid w:val="338401D7"/>
    <w:rsid w:val="338863E7"/>
    <w:rsid w:val="33E83C08"/>
    <w:rsid w:val="33EB55CD"/>
    <w:rsid w:val="33EC4C02"/>
    <w:rsid w:val="33FE5CF1"/>
    <w:rsid w:val="340D2360"/>
    <w:rsid w:val="3410665D"/>
    <w:rsid w:val="34211214"/>
    <w:rsid w:val="342E63AB"/>
    <w:rsid w:val="34950E68"/>
    <w:rsid w:val="34986E94"/>
    <w:rsid w:val="34AF62C9"/>
    <w:rsid w:val="34CB4388"/>
    <w:rsid w:val="34FA6E12"/>
    <w:rsid w:val="350619E7"/>
    <w:rsid w:val="354D7158"/>
    <w:rsid w:val="358D5588"/>
    <w:rsid w:val="36136070"/>
    <w:rsid w:val="363A3B40"/>
    <w:rsid w:val="365302AE"/>
    <w:rsid w:val="36607A0A"/>
    <w:rsid w:val="366E227C"/>
    <w:rsid w:val="366F2E0D"/>
    <w:rsid w:val="367B6A5C"/>
    <w:rsid w:val="36A74ADA"/>
    <w:rsid w:val="36AD60D5"/>
    <w:rsid w:val="36B224F9"/>
    <w:rsid w:val="36EC0CC9"/>
    <w:rsid w:val="37307DA0"/>
    <w:rsid w:val="37390A8E"/>
    <w:rsid w:val="373F410B"/>
    <w:rsid w:val="3756404C"/>
    <w:rsid w:val="37BD1A5A"/>
    <w:rsid w:val="37EE7094"/>
    <w:rsid w:val="38296C89"/>
    <w:rsid w:val="383002EB"/>
    <w:rsid w:val="38586797"/>
    <w:rsid w:val="388843DC"/>
    <w:rsid w:val="38BC0149"/>
    <w:rsid w:val="38D87D1C"/>
    <w:rsid w:val="38DE6D4B"/>
    <w:rsid w:val="391F535F"/>
    <w:rsid w:val="392E73EA"/>
    <w:rsid w:val="39636459"/>
    <w:rsid w:val="396B7F6C"/>
    <w:rsid w:val="399C14F7"/>
    <w:rsid w:val="39B417A9"/>
    <w:rsid w:val="39EF71D6"/>
    <w:rsid w:val="39F5707E"/>
    <w:rsid w:val="39FC5695"/>
    <w:rsid w:val="3A006D8E"/>
    <w:rsid w:val="3A3651E5"/>
    <w:rsid w:val="3A4E2342"/>
    <w:rsid w:val="3A744481"/>
    <w:rsid w:val="3A8C7BEF"/>
    <w:rsid w:val="3A906246"/>
    <w:rsid w:val="3B2349B7"/>
    <w:rsid w:val="3B4677B8"/>
    <w:rsid w:val="3B616CFF"/>
    <w:rsid w:val="3B6259F6"/>
    <w:rsid w:val="3B976654"/>
    <w:rsid w:val="3B9B68EE"/>
    <w:rsid w:val="3BC01EFC"/>
    <w:rsid w:val="3BC52CC1"/>
    <w:rsid w:val="3BCA786A"/>
    <w:rsid w:val="3BD06659"/>
    <w:rsid w:val="3BD31E2F"/>
    <w:rsid w:val="3BF15831"/>
    <w:rsid w:val="3C0E15D2"/>
    <w:rsid w:val="3C105946"/>
    <w:rsid w:val="3C471448"/>
    <w:rsid w:val="3C5F759A"/>
    <w:rsid w:val="3C6C525A"/>
    <w:rsid w:val="3CCE23CB"/>
    <w:rsid w:val="3CD17D17"/>
    <w:rsid w:val="3CEE6358"/>
    <w:rsid w:val="3CF56778"/>
    <w:rsid w:val="3D3C7F39"/>
    <w:rsid w:val="3D440F09"/>
    <w:rsid w:val="3D4504A0"/>
    <w:rsid w:val="3D64467C"/>
    <w:rsid w:val="3D7E0A99"/>
    <w:rsid w:val="3D8734BB"/>
    <w:rsid w:val="3D9A11D4"/>
    <w:rsid w:val="3DA16D89"/>
    <w:rsid w:val="3DA364BE"/>
    <w:rsid w:val="3DA475D8"/>
    <w:rsid w:val="3DDE6C6A"/>
    <w:rsid w:val="3DE041CB"/>
    <w:rsid w:val="3E0D48F6"/>
    <w:rsid w:val="3E1868B4"/>
    <w:rsid w:val="3E377251"/>
    <w:rsid w:val="3E42664B"/>
    <w:rsid w:val="3E5A7334"/>
    <w:rsid w:val="3E7B5D6B"/>
    <w:rsid w:val="3E843E66"/>
    <w:rsid w:val="3E8F51FE"/>
    <w:rsid w:val="3E926F87"/>
    <w:rsid w:val="3E992734"/>
    <w:rsid w:val="3E9A59DE"/>
    <w:rsid w:val="3EA95CBD"/>
    <w:rsid w:val="3EAF4836"/>
    <w:rsid w:val="3EC33DFA"/>
    <w:rsid w:val="3EF66285"/>
    <w:rsid w:val="3F060E16"/>
    <w:rsid w:val="3F1D1096"/>
    <w:rsid w:val="3F2F0234"/>
    <w:rsid w:val="3F5707E4"/>
    <w:rsid w:val="3F6363FE"/>
    <w:rsid w:val="3F756B8F"/>
    <w:rsid w:val="3F8D4B70"/>
    <w:rsid w:val="3F95482B"/>
    <w:rsid w:val="3FAF4907"/>
    <w:rsid w:val="4019356B"/>
    <w:rsid w:val="401E1828"/>
    <w:rsid w:val="40592157"/>
    <w:rsid w:val="406E1CAE"/>
    <w:rsid w:val="40937DD1"/>
    <w:rsid w:val="40A0133A"/>
    <w:rsid w:val="40C31A53"/>
    <w:rsid w:val="40F51ABA"/>
    <w:rsid w:val="40FF545D"/>
    <w:rsid w:val="410067C8"/>
    <w:rsid w:val="413C45E3"/>
    <w:rsid w:val="4147433B"/>
    <w:rsid w:val="418F0D2A"/>
    <w:rsid w:val="419500D6"/>
    <w:rsid w:val="41B93716"/>
    <w:rsid w:val="41D01505"/>
    <w:rsid w:val="4238518B"/>
    <w:rsid w:val="42474939"/>
    <w:rsid w:val="424C3C57"/>
    <w:rsid w:val="42613FF3"/>
    <w:rsid w:val="42660D96"/>
    <w:rsid w:val="42707BEA"/>
    <w:rsid w:val="428667D2"/>
    <w:rsid w:val="42CD1CE0"/>
    <w:rsid w:val="42D53E10"/>
    <w:rsid w:val="42D80214"/>
    <w:rsid w:val="42E1381E"/>
    <w:rsid w:val="42ED6459"/>
    <w:rsid w:val="42FE58DD"/>
    <w:rsid w:val="43174B3D"/>
    <w:rsid w:val="433F0E43"/>
    <w:rsid w:val="434B790E"/>
    <w:rsid w:val="4360274F"/>
    <w:rsid w:val="43977AB6"/>
    <w:rsid w:val="43A3342B"/>
    <w:rsid w:val="43C77C27"/>
    <w:rsid w:val="43DE09EE"/>
    <w:rsid w:val="44002FAD"/>
    <w:rsid w:val="4430589B"/>
    <w:rsid w:val="44356927"/>
    <w:rsid w:val="449101DD"/>
    <w:rsid w:val="449D00C3"/>
    <w:rsid w:val="44DE1391"/>
    <w:rsid w:val="44E72961"/>
    <w:rsid w:val="451B225C"/>
    <w:rsid w:val="452410C9"/>
    <w:rsid w:val="452B71EC"/>
    <w:rsid w:val="452E1696"/>
    <w:rsid w:val="45317DFB"/>
    <w:rsid w:val="45513DF0"/>
    <w:rsid w:val="456D3CE4"/>
    <w:rsid w:val="4579042C"/>
    <w:rsid w:val="457F0571"/>
    <w:rsid w:val="45851176"/>
    <w:rsid w:val="458A2D71"/>
    <w:rsid w:val="45B46B7D"/>
    <w:rsid w:val="45C63B94"/>
    <w:rsid w:val="45F134FD"/>
    <w:rsid w:val="460E7DA5"/>
    <w:rsid w:val="461B579A"/>
    <w:rsid w:val="46422483"/>
    <w:rsid w:val="4659254A"/>
    <w:rsid w:val="465B0637"/>
    <w:rsid w:val="465E3F0D"/>
    <w:rsid w:val="466A16E6"/>
    <w:rsid w:val="46893F2B"/>
    <w:rsid w:val="46C4686E"/>
    <w:rsid w:val="47391126"/>
    <w:rsid w:val="473D0E4D"/>
    <w:rsid w:val="477B778F"/>
    <w:rsid w:val="478203EC"/>
    <w:rsid w:val="478464A5"/>
    <w:rsid w:val="47975C19"/>
    <w:rsid w:val="47B025FA"/>
    <w:rsid w:val="4809698F"/>
    <w:rsid w:val="48097DF4"/>
    <w:rsid w:val="480C2553"/>
    <w:rsid w:val="4811697D"/>
    <w:rsid w:val="48537D92"/>
    <w:rsid w:val="487A3E25"/>
    <w:rsid w:val="487B0FC2"/>
    <w:rsid w:val="48833F78"/>
    <w:rsid w:val="488B5503"/>
    <w:rsid w:val="48937E21"/>
    <w:rsid w:val="48975AF1"/>
    <w:rsid w:val="489A0361"/>
    <w:rsid w:val="48B94FF3"/>
    <w:rsid w:val="48CD3EBF"/>
    <w:rsid w:val="48E37AAB"/>
    <w:rsid w:val="48FB2C50"/>
    <w:rsid w:val="48FD4B4C"/>
    <w:rsid w:val="490606C8"/>
    <w:rsid w:val="490A68E0"/>
    <w:rsid w:val="491055FE"/>
    <w:rsid w:val="49131B61"/>
    <w:rsid w:val="494C6EA1"/>
    <w:rsid w:val="494D4D8B"/>
    <w:rsid w:val="495F5B3E"/>
    <w:rsid w:val="496F77D7"/>
    <w:rsid w:val="497654FD"/>
    <w:rsid w:val="498F505D"/>
    <w:rsid w:val="49B64211"/>
    <w:rsid w:val="49BF0D7F"/>
    <w:rsid w:val="49F6167F"/>
    <w:rsid w:val="4A064FA0"/>
    <w:rsid w:val="4A16615C"/>
    <w:rsid w:val="4A2B43F6"/>
    <w:rsid w:val="4A4424D7"/>
    <w:rsid w:val="4A493572"/>
    <w:rsid w:val="4A6E0CA4"/>
    <w:rsid w:val="4A83134F"/>
    <w:rsid w:val="4AB82D0F"/>
    <w:rsid w:val="4AEB7664"/>
    <w:rsid w:val="4AFD7C19"/>
    <w:rsid w:val="4B0567D1"/>
    <w:rsid w:val="4B236AAE"/>
    <w:rsid w:val="4B555D27"/>
    <w:rsid w:val="4B707271"/>
    <w:rsid w:val="4B9739F7"/>
    <w:rsid w:val="4B974368"/>
    <w:rsid w:val="4B9C1FA2"/>
    <w:rsid w:val="4BE96C25"/>
    <w:rsid w:val="4BEE2503"/>
    <w:rsid w:val="4C245A30"/>
    <w:rsid w:val="4C4C0689"/>
    <w:rsid w:val="4C5D53ED"/>
    <w:rsid w:val="4C676029"/>
    <w:rsid w:val="4CAF7256"/>
    <w:rsid w:val="4CB6685F"/>
    <w:rsid w:val="4CC367FE"/>
    <w:rsid w:val="4D077F3C"/>
    <w:rsid w:val="4D123355"/>
    <w:rsid w:val="4D2A3B31"/>
    <w:rsid w:val="4D312C52"/>
    <w:rsid w:val="4D4B0F25"/>
    <w:rsid w:val="4D905305"/>
    <w:rsid w:val="4D964A72"/>
    <w:rsid w:val="4D9C1254"/>
    <w:rsid w:val="4E526455"/>
    <w:rsid w:val="4E793892"/>
    <w:rsid w:val="4E800872"/>
    <w:rsid w:val="4E9A20A5"/>
    <w:rsid w:val="4EA067EF"/>
    <w:rsid w:val="4EB31399"/>
    <w:rsid w:val="4EC569ED"/>
    <w:rsid w:val="4ED50EA1"/>
    <w:rsid w:val="4EEC050C"/>
    <w:rsid w:val="4F0C710A"/>
    <w:rsid w:val="4F104EC3"/>
    <w:rsid w:val="4F271D2F"/>
    <w:rsid w:val="4F47354A"/>
    <w:rsid w:val="4F911C54"/>
    <w:rsid w:val="4FC353B9"/>
    <w:rsid w:val="4FE625E0"/>
    <w:rsid w:val="4FED5402"/>
    <w:rsid w:val="5021480F"/>
    <w:rsid w:val="505D15FC"/>
    <w:rsid w:val="50755E1B"/>
    <w:rsid w:val="50962ECB"/>
    <w:rsid w:val="50A42E38"/>
    <w:rsid w:val="50A4577F"/>
    <w:rsid w:val="50B73D1F"/>
    <w:rsid w:val="50BD5BC9"/>
    <w:rsid w:val="50C11EEE"/>
    <w:rsid w:val="50D73351"/>
    <w:rsid w:val="50DC578C"/>
    <w:rsid w:val="50E97CFC"/>
    <w:rsid w:val="50F1399D"/>
    <w:rsid w:val="50FA4028"/>
    <w:rsid w:val="50FE434C"/>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676980"/>
    <w:rsid w:val="53960CB2"/>
    <w:rsid w:val="5397158E"/>
    <w:rsid w:val="54013861"/>
    <w:rsid w:val="54487265"/>
    <w:rsid w:val="544D6070"/>
    <w:rsid w:val="545B4ECF"/>
    <w:rsid w:val="54605E1E"/>
    <w:rsid w:val="54B3506A"/>
    <w:rsid w:val="54CA0D16"/>
    <w:rsid w:val="54DD4057"/>
    <w:rsid w:val="54E7490F"/>
    <w:rsid w:val="54FF4546"/>
    <w:rsid w:val="55061018"/>
    <w:rsid w:val="550764A4"/>
    <w:rsid w:val="550B2BF6"/>
    <w:rsid w:val="55214EB5"/>
    <w:rsid w:val="55364EFD"/>
    <w:rsid w:val="555D4828"/>
    <w:rsid w:val="557A4C8B"/>
    <w:rsid w:val="558931E1"/>
    <w:rsid w:val="55923347"/>
    <w:rsid w:val="55925180"/>
    <w:rsid w:val="55983B1B"/>
    <w:rsid w:val="55A8376B"/>
    <w:rsid w:val="55C248FD"/>
    <w:rsid w:val="55DC29B6"/>
    <w:rsid w:val="55DD4241"/>
    <w:rsid w:val="55FA20BB"/>
    <w:rsid w:val="561C1BE8"/>
    <w:rsid w:val="566B6D1E"/>
    <w:rsid w:val="569E129D"/>
    <w:rsid w:val="56C76EC1"/>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917D2F"/>
    <w:rsid w:val="5894085C"/>
    <w:rsid w:val="58AE4F0C"/>
    <w:rsid w:val="58B85899"/>
    <w:rsid w:val="58C0702C"/>
    <w:rsid w:val="58DE7C59"/>
    <w:rsid w:val="58E363A9"/>
    <w:rsid w:val="59272ECB"/>
    <w:rsid w:val="59307B25"/>
    <w:rsid w:val="595E1678"/>
    <w:rsid w:val="596D5BD4"/>
    <w:rsid w:val="597E3DD8"/>
    <w:rsid w:val="59AB1AC0"/>
    <w:rsid w:val="59B31026"/>
    <w:rsid w:val="59F80043"/>
    <w:rsid w:val="5A09252F"/>
    <w:rsid w:val="5A0B2778"/>
    <w:rsid w:val="5A126511"/>
    <w:rsid w:val="5A2A7C7B"/>
    <w:rsid w:val="5A3E2560"/>
    <w:rsid w:val="5A5D3B6E"/>
    <w:rsid w:val="5A637A76"/>
    <w:rsid w:val="5A6D33BA"/>
    <w:rsid w:val="5A792B1F"/>
    <w:rsid w:val="5A874767"/>
    <w:rsid w:val="5A8E4C59"/>
    <w:rsid w:val="5AA85BE2"/>
    <w:rsid w:val="5AAD6F28"/>
    <w:rsid w:val="5AD63A24"/>
    <w:rsid w:val="5AE51FB6"/>
    <w:rsid w:val="5B2E1A1D"/>
    <w:rsid w:val="5B843A1C"/>
    <w:rsid w:val="5B873E3F"/>
    <w:rsid w:val="5C02690E"/>
    <w:rsid w:val="5C196DA7"/>
    <w:rsid w:val="5C2A048C"/>
    <w:rsid w:val="5C35640B"/>
    <w:rsid w:val="5C7422AE"/>
    <w:rsid w:val="5C80234E"/>
    <w:rsid w:val="5C8A680C"/>
    <w:rsid w:val="5CE45C2B"/>
    <w:rsid w:val="5CEB387F"/>
    <w:rsid w:val="5D0C4701"/>
    <w:rsid w:val="5D0F0395"/>
    <w:rsid w:val="5D221076"/>
    <w:rsid w:val="5D397964"/>
    <w:rsid w:val="5D5A391C"/>
    <w:rsid w:val="5D5F10C0"/>
    <w:rsid w:val="5D891B7B"/>
    <w:rsid w:val="5D8A5E82"/>
    <w:rsid w:val="5D930F65"/>
    <w:rsid w:val="5D945FAA"/>
    <w:rsid w:val="5DAD38EE"/>
    <w:rsid w:val="5E006862"/>
    <w:rsid w:val="5E0207B9"/>
    <w:rsid w:val="5E093CEF"/>
    <w:rsid w:val="5E1834A1"/>
    <w:rsid w:val="5E261785"/>
    <w:rsid w:val="5E264452"/>
    <w:rsid w:val="5E4A7017"/>
    <w:rsid w:val="5E552BBA"/>
    <w:rsid w:val="5E611C10"/>
    <w:rsid w:val="5E626095"/>
    <w:rsid w:val="5E74631F"/>
    <w:rsid w:val="5E765627"/>
    <w:rsid w:val="5E7A0F3F"/>
    <w:rsid w:val="5E7C458F"/>
    <w:rsid w:val="5E866777"/>
    <w:rsid w:val="5EB534C0"/>
    <w:rsid w:val="5EF50A1B"/>
    <w:rsid w:val="5EFC7377"/>
    <w:rsid w:val="5F012A1A"/>
    <w:rsid w:val="5F06174D"/>
    <w:rsid w:val="5F3A3602"/>
    <w:rsid w:val="5F45733B"/>
    <w:rsid w:val="5F5B211E"/>
    <w:rsid w:val="5F6277C6"/>
    <w:rsid w:val="5F6D0B1D"/>
    <w:rsid w:val="5F8D0B82"/>
    <w:rsid w:val="5FCC5339"/>
    <w:rsid w:val="5FE34A5B"/>
    <w:rsid w:val="5FFE1E36"/>
    <w:rsid w:val="60232584"/>
    <w:rsid w:val="60305BC5"/>
    <w:rsid w:val="605864BB"/>
    <w:rsid w:val="607330CE"/>
    <w:rsid w:val="60825176"/>
    <w:rsid w:val="609F2AC4"/>
    <w:rsid w:val="60C413D5"/>
    <w:rsid w:val="60FA2EE8"/>
    <w:rsid w:val="61054A27"/>
    <w:rsid w:val="610A52BC"/>
    <w:rsid w:val="611D2366"/>
    <w:rsid w:val="61421856"/>
    <w:rsid w:val="615227C4"/>
    <w:rsid w:val="61654E3F"/>
    <w:rsid w:val="616F3F04"/>
    <w:rsid w:val="6182292A"/>
    <w:rsid w:val="618B5F69"/>
    <w:rsid w:val="61985864"/>
    <w:rsid w:val="619F7F92"/>
    <w:rsid w:val="61BB155E"/>
    <w:rsid w:val="61BD2EFD"/>
    <w:rsid w:val="61F94C26"/>
    <w:rsid w:val="62000E56"/>
    <w:rsid w:val="62244584"/>
    <w:rsid w:val="624F3E49"/>
    <w:rsid w:val="62632286"/>
    <w:rsid w:val="62775066"/>
    <w:rsid w:val="62885958"/>
    <w:rsid w:val="628903DB"/>
    <w:rsid w:val="62C860CC"/>
    <w:rsid w:val="62F40B65"/>
    <w:rsid w:val="62FC2CFE"/>
    <w:rsid w:val="63024505"/>
    <w:rsid w:val="63540CCD"/>
    <w:rsid w:val="635B1DB5"/>
    <w:rsid w:val="63711FED"/>
    <w:rsid w:val="63880DDC"/>
    <w:rsid w:val="638D750D"/>
    <w:rsid w:val="63AC52D2"/>
    <w:rsid w:val="63AC6CC0"/>
    <w:rsid w:val="63B048E8"/>
    <w:rsid w:val="63F478E4"/>
    <w:rsid w:val="64055776"/>
    <w:rsid w:val="64175397"/>
    <w:rsid w:val="64240056"/>
    <w:rsid w:val="643E143A"/>
    <w:rsid w:val="648B6EEF"/>
    <w:rsid w:val="64A936F2"/>
    <w:rsid w:val="64C158BF"/>
    <w:rsid w:val="64CE2EAA"/>
    <w:rsid w:val="65092215"/>
    <w:rsid w:val="653C3090"/>
    <w:rsid w:val="65854376"/>
    <w:rsid w:val="658767BE"/>
    <w:rsid w:val="65882CD5"/>
    <w:rsid w:val="65892531"/>
    <w:rsid w:val="66153939"/>
    <w:rsid w:val="66195831"/>
    <w:rsid w:val="662E75B1"/>
    <w:rsid w:val="66342C2E"/>
    <w:rsid w:val="663E784C"/>
    <w:rsid w:val="66551A38"/>
    <w:rsid w:val="666D1F69"/>
    <w:rsid w:val="667133EA"/>
    <w:rsid w:val="668B6A45"/>
    <w:rsid w:val="66DE04FB"/>
    <w:rsid w:val="66F85C8F"/>
    <w:rsid w:val="671E7365"/>
    <w:rsid w:val="672F3F24"/>
    <w:rsid w:val="673E055F"/>
    <w:rsid w:val="67551CE3"/>
    <w:rsid w:val="677C143A"/>
    <w:rsid w:val="67A22552"/>
    <w:rsid w:val="67A530AB"/>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85AE5"/>
    <w:rsid w:val="68E937A3"/>
    <w:rsid w:val="693E15D3"/>
    <w:rsid w:val="69627681"/>
    <w:rsid w:val="6977531D"/>
    <w:rsid w:val="69B51747"/>
    <w:rsid w:val="69BD5BBB"/>
    <w:rsid w:val="69CC2BFF"/>
    <w:rsid w:val="69D327F2"/>
    <w:rsid w:val="69FD55B8"/>
    <w:rsid w:val="6A0B1C62"/>
    <w:rsid w:val="6A0C584D"/>
    <w:rsid w:val="6A0D3F4C"/>
    <w:rsid w:val="6A2406C8"/>
    <w:rsid w:val="6A4B328A"/>
    <w:rsid w:val="6A8F2B46"/>
    <w:rsid w:val="6AB20DE6"/>
    <w:rsid w:val="6ABA3454"/>
    <w:rsid w:val="6ADC5EF8"/>
    <w:rsid w:val="6ADE0BD1"/>
    <w:rsid w:val="6AE96859"/>
    <w:rsid w:val="6B147746"/>
    <w:rsid w:val="6B24787C"/>
    <w:rsid w:val="6B573233"/>
    <w:rsid w:val="6B5B6274"/>
    <w:rsid w:val="6B694FD4"/>
    <w:rsid w:val="6B710BD6"/>
    <w:rsid w:val="6B935D53"/>
    <w:rsid w:val="6C196F71"/>
    <w:rsid w:val="6C226FCB"/>
    <w:rsid w:val="6C31226F"/>
    <w:rsid w:val="6C390C24"/>
    <w:rsid w:val="6C552F0B"/>
    <w:rsid w:val="6C8C2DF7"/>
    <w:rsid w:val="6C8C67B7"/>
    <w:rsid w:val="6C9D744C"/>
    <w:rsid w:val="6CFD6256"/>
    <w:rsid w:val="6CFE67A8"/>
    <w:rsid w:val="6D0510BC"/>
    <w:rsid w:val="6D0C5623"/>
    <w:rsid w:val="6D167928"/>
    <w:rsid w:val="6D261515"/>
    <w:rsid w:val="6D26299B"/>
    <w:rsid w:val="6D4772EC"/>
    <w:rsid w:val="6D6D4FC1"/>
    <w:rsid w:val="6D8007DE"/>
    <w:rsid w:val="6D9078AF"/>
    <w:rsid w:val="6DAA3FEF"/>
    <w:rsid w:val="6DC0172B"/>
    <w:rsid w:val="6DCB690C"/>
    <w:rsid w:val="6DD41A5B"/>
    <w:rsid w:val="6DF43C2E"/>
    <w:rsid w:val="6DF51CA3"/>
    <w:rsid w:val="6E7A79B2"/>
    <w:rsid w:val="6E7E30C2"/>
    <w:rsid w:val="6E8335BD"/>
    <w:rsid w:val="6E8E12EF"/>
    <w:rsid w:val="6E9045AA"/>
    <w:rsid w:val="6E972936"/>
    <w:rsid w:val="6EB74327"/>
    <w:rsid w:val="6ED02391"/>
    <w:rsid w:val="6ED446C5"/>
    <w:rsid w:val="6F184A18"/>
    <w:rsid w:val="6F2A7D94"/>
    <w:rsid w:val="6F8331F1"/>
    <w:rsid w:val="6F9B46F6"/>
    <w:rsid w:val="6FAE1A09"/>
    <w:rsid w:val="6FD75BF8"/>
    <w:rsid w:val="707723D0"/>
    <w:rsid w:val="70DB77AC"/>
    <w:rsid w:val="70F5661B"/>
    <w:rsid w:val="70FF0D7D"/>
    <w:rsid w:val="71360107"/>
    <w:rsid w:val="713B688E"/>
    <w:rsid w:val="71BE6408"/>
    <w:rsid w:val="71D43752"/>
    <w:rsid w:val="71D7083C"/>
    <w:rsid w:val="71F1796A"/>
    <w:rsid w:val="720846CC"/>
    <w:rsid w:val="72154626"/>
    <w:rsid w:val="72262B5D"/>
    <w:rsid w:val="72283FF7"/>
    <w:rsid w:val="722E7212"/>
    <w:rsid w:val="723A0474"/>
    <w:rsid w:val="725923E4"/>
    <w:rsid w:val="72864BF7"/>
    <w:rsid w:val="729023FC"/>
    <w:rsid w:val="72E50CB1"/>
    <w:rsid w:val="73533CC2"/>
    <w:rsid w:val="73C0646E"/>
    <w:rsid w:val="742222F5"/>
    <w:rsid w:val="74476126"/>
    <w:rsid w:val="746A0C2F"/>
    <w:rsid w:val="74706664"/>
    <w:rsid w:val="747F3682"/>
    <w:rsid w:val="749C4185"/>
    <w:rsid w:val="74BE006A"/>
    <w:rsid w:val="75067759"/>
    <w:rsid w:val="752E6DCD"/>
    <w:rsid w:val="7551380D"/>
    <w:rsid w:val="75600BE5"/>
    <w:rsid w:val="7564475C"/>
    <w:rsid w:val="75834A5C"/>
    <w:rsid w:val="7583797F"/>
    <w:rsid w:val="75D20F1D"/>
    <w:rsid w:val="75DA2C18"/>
    <w:rsid w:val="75F54412"/>
    <w:rsid w:val="761969BC"/>
    <w:rsid w:val="761D08E0"/>
    <w:rsid w:val="76400B70"/>
    <w:rsid w:val="765D347C"/>
    <w:rsid w:val="76826699"/>
    <w:rsid w:val="76C87133"/>
    <w:rsid w:val="76CD08D5"/>
    <w:rsid w:val="76DB4B92"/>
    <w:rsid w:val="76FF4961"/>
    <w:rsid w:val="77052AA4"/>
    <w:rsid w:val="77136511"/>
    <w:rsid w:val="77340A39"/>
    <w:rsid w:val="77351FD0"/>
    <w:rsid w:val="77472422"/>
    <w:rsid w:val="777F31F2"/>
    <w:rsid w:val="77BC4C63"/>
    <w:rsid w:val="77D1700D"/>
    <w:rsid w:val="77E4568D"/>
    <w:rsid w:val="77EC04CC"/>
    <w:rsid w:val="78006A23"/>
    <w:rsid w:val="78291CE9"/>
    <w:rsid w:val="78775729"/>
    <w:rsid w:val="78A42DB0"/>
    <w:rsid w:val="78A656AB"/>
    <w:rsid w:val="78B2245C"/>
    <w:rsid w:val="78E172CC"/>
    <w:rsid w:val="78EA1D1F"/>
    <w:rsid w:val="7904172F"/>
    <w:rsid w:val="79062AD2"/>
    <w:rsid w:val="790F7E27"/>
    <w:rsid w:val="792A231A"/>
    <w:rsid w:val="79316829"/>
    <w:rsid w:val="797C7409"/>
    <w:rsid w:val="797E66A9"/>
    <w:rsid w:val="79A97383"/>
    <w:rsid w:val="79E27E8B"/>
    <w:rsid w:val="79F850CE"/>
    <w:rsid w:val="79FD443C"/>
    <w:rsid w:val="7A1D1975"/>
    <w:rsid w:val="7A3902E6"/>
    <w:rsid w:val="7A3E5150"/>
    <w:rsid w:val="7A4670D6"/>
    <w:rsid w:val="7A534B63"/>
    <w:rsid w:val="7A615382"/>
    <w:rsid w:val="7A653600"/>
    <w:rsid w:val="7A67303B"/>
    <w:rsid w:val="7AAB1D04"/>
    <w:rsid w:val="7ABA4368"/>
    <w:rsid w:val="7AD05746"/>
    <w:rsid w:val="7B257FFD"/>
    <w:rsid w:val="7B343476"/>
    <w:rsid w:val="7B5A2978"/>
    <w:rsid w:val="7B5A7E4C"/>
    <w:rsid w:val="7B667AF9"/>
    <w:rsid w:val="7B682CDF"/>
    <w:rsid w:val="7B7468F8"/>
    <w:rsid w:val="7BEE0103"/>
    <w:rsid w:val="7C0A0FE4"/>
    <w:rsid w:val="7C254906"/>
    <w:rsid w:val="7C5022FF"/>
    <w:rsid w:val="7C590818"/>
    <w:rsid w:val="7C6E0182"/>
    <w:rsid w:val="7C7C10F6"/>
    <w:rsid w:val="7C853BEA"/>
    <w:rsid w:val="7C881368"/>
    <w:rsid w:val="7CE27788"/>
    <w:rsid w:val="7D0357E5"/>
    <w:rsid w:val="7D0C32F1"/>
    <w:rsid w:val="7D0F408D"/>
    <w:rsid w:val="7D491C6C"/>
    <w:rsid w:val="7D5429C0"/>
    <w:rsid w:val="7D6E6D43"/>
    <w:rsid w:val="7D7069D2"/>
    <w:rsid w:val="7D894AA5"/>
    <w:rsid w:val="7DAD6DD7"/>
    <w:rsid w:val="7DB57A34"/>
    <w:rsid w:val="7DDB10A1"/>
    <w:rsid w:val="7DE60973"/>
    <w:rsid w:val="7DEF0916"/>
    <w:rsid w:val="7E1E5218"/>
    <w:rsid w:val="7E7514D4"/>
    <w:rsid w:val="7E9A4E1F"/>
    <w:rsid w:val="7EA7723A"/>
    <w:rsid w:val="7EB659FE"/>
    <w:rsid w:val="7EF56FBB"/>
    <w:rsid w:val="7EFC38CE"/>
    <w:rsid w:val="7F067E4D"/>
    <w:rsid w:val="7F0768EB"/>
    <w:rsid w:val="7F143BEC"/>
    <w:rsid w:val="7F6137FA"/>
    <w:rsid w:val="7F715AF2"/>
    <w:rsid w:val="7F793597"/>
    <w:rsid w:val="7F886E69"/>
    <w:rsid w:val="7FCF2D12"/>
    <w:rsid w:val="7FFA1DC8"/>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6">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next w:val="3"/>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2"/>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5"/>
    <w:autoRedefine/>
    <w:qFormat/>
    <w:uiPriority w:val="0"/>
    <w:pPr>
      <w:shd w:val="clear" w:color="auto" w:fill="000080"/>
    </w:pPr>
  </w:style>
  <w:style w:type="paragraph" w:styleId="21">
    <w:name w:val="annotation text"/>
    <w:basedOn w:val="1"/>
    <w:link w:val="346"/>
    <w:autoRedefine/>
    <w:qFormat/>
    <w:uiPriority w:val="99"/>
    <w:pPr>
      <w:jc w:val="left"/>
    </w:pPr>
  </w:style>
  <w:style w:type="paragraph" w:styleId="22">
    <w:name w:val="Salutation"/>
    <w:basedOn w:val="1"/>
    <w:next w:val="1"/>
    <w:link w:val="300"/>
    <w:autoRedefine/>
    <w:qFormat/>
    <w:uiPriority w:val="0"/>
    <w:rPr>
      <w:rFonts w:ascii="仿宋_GB2312" w:eastAsia="仿宋_GB2312"/>
      <w:sz w:val="28"/>
      <w:szCs w:val="20"/>
    </w:rPr>
  </w:style>
  <w:style w:type="paragraph" w:styleId="23">
    <w:name w:val="Body Text 3"/>
    <w:basedOn w:val="1"/>
    <w:link w:val="332"/>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1"/>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17"/>
    <w:link w:val="267"/>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8"/>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4"/>
    <w:autoRedefine/>
    <w:qFormat/>
    <w:uiPriority w:val="0"/>
    <w:pPr>
      <w:ind w:left="100" w:leftChars="2500"/>
    </w:pPr>
    <w:rPr>
      <w:rFonts w:ascii="宋体"/>
      <w:sz w:val="24"/>
      <w:szCs w:val="21"/>
      <w:lang w:val="zh-CN"/>
    </w:rPr>
  </w:style>
  <w:style w:type="paragraph" w:styleId="38">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3"/>
    <w:autoRedefine/>
    <w:qFormat/>
    <w:uiPriority w:val="0"/>
    <w:rPr>
      <w:lang w:val="zh-CN"/>
    </w:rPr>
  </w:style>
  <w:style w:type="paragraph" w:styleId="40">
    <w:name w:val="Balloon Text"/>
    <w:basedOn w:val="1"/>
    <w:link w:val="191"/>
    <w:autoRedefine/>
    <w:qFormat/>
    <w:uiPriority w:val="0"/>
    <w:rPr>
      <w:sz w:val="18"/>
      <w:szCs w:val="18"/>
    </w:rPr>
  </w:style>
  <w:style w:type="paragraph" w:styleId="41">
    <w:name w:val="footer"/>
    <w:basedOn w:val="1"/>
    <w:link w:val="385"/>
    <w:autoRedefine/>
    <w:qFormat/>
    <w:uiPriority w:val="99"/>
    <w:pPr>
      <w:tabs>
        <w:tab w:val="center" w:pos="4153"/>
        <w:tab w:val="right" w:pos="8306"/>
      </w:tabs>
      <w:snapToGrid w:val="0"/>
      <w:jc w:val="left"/>
    </w:pPr>
    <w:rPr>
      <w:sz w:val="18"/>
      <w:szCs w:val="18"/>
    </w:rPr>
  </w:style>
  <w:style w:type="paragraph" w:styleId="42">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7"/>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7"/>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4"/>
    <w:autoRedefine/>
    <w:qFormat/>
    <w:uiPriority w:val="0"/>
    <w:pPr>
      <w:spacing w:after="120" w:line="480" w:lineRule="auto"/>
    </w:pPr>
  </w:style>
  <w:style w:type="paragraph" w:styleId="58">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9"/>
    <w:autoRedefine/>
    <w:qFormat/>
    <w:uiPriority w:val="0"/>
    <w:rPr>
      <w:b/>
      <w:bCs/>
    </w:rPr>
  </w:style>
  <w:style w:type="paragraph" w:styleId="62">
    <w:name w:val="Body Text First Indent"/>
    <w:basedOn w:val="25"/>
    <w:next w:val="1"/>
    <w:link w:val="323"/>
    <w:autoRedefine/>
    <w:qFormat/>
    <w:uiPriority w:val="0"/>
    <w:pPr>
      <w:ind w:firstLine="420"/>
    </w:pPr>
    <w:rPr>
      <w:rFonts w:hAnsi="Calibri" w:cs="Times New Roman"/>
      <w:snapToGrid/>
      <w:szCs w:val="20"/>
    </w:rPr>
  </w:style>
  <w:style w:type="paragraph" w:styleId="63">
    <w:name w:val="Body Text First Indent 2"/>
    <w:basedOn w:val="26"/>
    <w:next w:val="1"/>
    <w:link w:val="124"/>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首行缩进"/>
    <w:basedOn w:val="1"/>
    <w:autoRedefine/>
    <w:qFormat/>
    <w:uiPriority w:val="0"/>
    <w:pPr>
      <w:spacing w:line="360" w:lineRule="auto"/>
      <w:ind w:firstLine="480" w:firstLineChars="200"/>
    </w:pPr>
    <w:rPr>
      <w:rFonts w:ascii="宋体"/>
      <w:sz w:val="24"/>
      <w:szCs w:val="20"/>
    </w:rPr>
  </w:style>
  <w:style w:type="paragraph" w:customStyle="1" w:styleId="82">
    <w:name w:val="[Normal]"/>
    <w:autoRedefine/>
    <w:qFormat/>
    <w:uiPriority w:val="0"/>
    <w:rPr>
      <w:rFonts w:ascii="宋体" w:hAnsi="宋体" w:eastAsia="宋体" w:cs="Times New Roman"/>
      <w:sz w:val="24"/>
      <w:lang w:val="zh-CN" w:eastAsia="zh-CN" w:bidi="ar-SA"/>
    </w:rPr>
  </w:style>
  <w:style w:type="paragraph" w:styleId="83">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84">
    <w:name w:val="正文文本首行缩进 21"/>
    <w:basedOn w:val="26"/>
    <w:autoRedefine/>
    <w:qFormat/>
    <w:uiPriority w:val="99"/>
    <w:pPr>
      <w:spacing w:line="200" w:lineRule="atLeast"/>
      <w:ind w:firstLine="420"/>
    </w:pPr>
    <w:rPr>
      <w:rFonts w:hAnsi="Courier New"/>
      <w:spacing w:val="-4"/>
      <w:sz w:val="18"/>
    </w:r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autoRedefine/>
    <w:qFormat/>
    <w:uiPriority w:val="0"/>
    <w:pPr>
      <w:snapToGrid w:val="0"/>
      <w:spacing w:line="360" w:lineRule="auto"/>
      <w:ind w:firstLine="482"/>
      <w:jc w:val="left"/>
    </w:pPr>
    <w:rPr>
      <w:rFonts w:ascii="宋体" w:hAnsi="宋体"/>
      <w:kern w:val="0"/>
      <w:sz w:val="24"/>
      <w:szCs w:val="20"/>
    </w:rPr>
  </w:style>
  <w:style w:type="character" w:customStyle="1" w:styleId="89">
    <w:name w:val="Char Char71"/>
    <w:autoRedefine/>
    <w:semiHidden/>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firstLineChars="200"/>
    </w:pPr>
    <w:rPr>
      <w:kern w:val="0"/>
      <w:sz w:val="24"/>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字符"/>
    <w:link w:val="61"/>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spacing w:line="360" w:lineRule="auto"/>
      <w:ind w:firstLine="200" w:firstLineChars="200"/>
    </w:pPr>
    <w:rPr>
      <w:rFonts w:ascii="宋体" w:hAnsi="宋体"/>
      <w:sz w:val="24"/>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
    <w:autoRedefine/>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63"/>
    <w:autoRedefine/>
    <w:qFormat/>
    <w:uiPriority w:val="0"/>
    <w:rPr>
      <w:rFonts w:ascii="宋体" w:hAnsi="宋体"/>
      <w:kern w:val="2"/>
      <w:sz w:val="21"/>
      <w:szCs w:val="24"/>
    </w:rPr>
  </w:style>
  <w:style w:type="character" w:customStyle="1" w:styleId="125">
    <w:name w:val="font11"/>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71"/>
    <w:autoRedefine/>
    <w:qFormat/>
    <w:uiPriority w:val="0"/>
    <w:rPr>
      <w:rFonts w:ascii="Arial" w:hAnsi="Arial" w:eastAsia="黑体" w:cs="Arial"/>
      <w:snapToGrid w:val="0"/>
      <w:kern w:val="0"/>
      <w:szCs w:val="21"/>
    </w:rPr>
  </w:style>
  <w:style w:type="character" w:customStyle="1" w:styleId="128">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 w:val="24"/>
      <w:szCs w:val="20"/>
    </w:rPr>
  </w:style>
  <w:style w:type="character" w:customStyle="1" w:styleId="135">
    <w:name w:val="Char Char24"/>
    <w:autoRedefine/>
    <w:qFormat/>
    <w:uiPriority w:val="6"/>
    <w:rPr>
      <w:kern w:val="1"/>
      <w:sz w:val="21"/>
    </w:rPr>
  </w:style>
  <w:style w:type="character" w:customStyle="1" w:styleId="136">
    <w:name w:val="副标题 字符"/>
    <w:link w:val="48"/>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sz w:val="22"/>
      <w:szCs w:val="22"/>
      <w:lang w:val="en-US" w:eastAsia="zh-CN" w:bidi="ar-SA"/>
    </w:rPr>
  </w:style>
  <w:style w:type="paragraph" w:customStyle="1" w:styleId="143">
    <w:name w:val="无间隔1"/>
    <w:link w:val="142"/>
    <w:autoRedefine/>
    <w:qFormat/>
    <w:uiPriority w:val="1"/>
    <w:rPr>
      <w:rFonts w:ascii="Times New Roman" w:hAnsi="Times New Roman" w:eastAsia="宋体" w:cs="Times New Roman"/>
      <w:sz w:val="22"/>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字符"/>
    <w:link w:val="9"/>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5"/>
    <w:link w:val="173"/>
    <w:autoRedefine/>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字符"/>
    <w:link w:val="37"/>
    <w:autoRedefine/>
    <w:qFormat/>
    <w:uiPriority w:val="0"/>
    <w:rPr>
      <w:rFonts w:ascii="宋体"/>
      <w:kern w:val="2"/>
      <w:sz w:val="24"/>
      <w:szCs w:val="21"/>
      <w:lang w:val="zh-CN"/>
    </w:rPr>
  </w:style>
  <w:style w:type="character" w:customStyle="1" w:styleId="185">
    <w:name w:val="标题 9 字符"/>
    <w:link w:val="12"/>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字符1"/>
    <w:link w:val="40"/>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17"/>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字符"/>
    <w:link w:val="20"/>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71"/>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字符"/>
    <w:link w:val="31"/>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7"/>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字符"/>
    <w:link w:val="18"/>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2"/>
    <w:autoRedefine/>
    <w:qFormat/>
    <w:uiPriority w:val="0"/>
    <w:rPr>
      <w:rFonts w:ascii="仿宋_GB2312" w:eastAsia="仿宋_GB2312" w:cs="仿宋_GB2312"/>
      <w:color w:val="000000"/>
      <w:sz w:val="24"/>
      <w:szCs w:val="24"/>
      <w:lang w:val="en-US" w:eastAsia="zh-CN" w:bidi="ar-SA"/>
    </w:rPr>
  </w:style>
  <w:style w:type="paragraph" w:customStyle="1" w:styleId="238">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83"/>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字符1"/>
    <w:link w:val="26"/>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字符1"/>
    <w:link w:val="4"/>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字符"/>
    <w:link w:val="60"/>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字符"/>
    <w:link w:val="8"/>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字符"/>
    <w:link w:val="22"/>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字符"/>
    <w:link w:val="58"/>
    <w:autoRedefine/>
    <w:qFormat/>
    <w:uiPriority w:val="0"/>
    <w:rPr>
      <w:rFonts w:ascii="黑体" w:hAnsi="Courier New" w:eastAsia="黑体"/>
    </w:rPr>
  </w:style>
  <w:style w:type="character" w:customStyle="1" w:styleId="304">
    <w:name w:val="正文文本 2 字符1"/>
    <w:link w:val="57"/>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7"/>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字符"/>
    <w:link w:val="10"/>
    <w:autoRedefine/>
    <w:qFormat/>
    <w:uiPriority w:val="0"/>
    <w:rPr>
      <w:b/>
      <w:bCs/>
      <w:kern w:val="2"/>
      <w:sz w:val="24"/>
      <w:szCs w:val="24"/>
    </w:rPr>
  </w:style>
  <w:style w:type="character" w:customStyle="1" w:styleId="310">
    <w:name w:val="正文文本缩进 2 字符"/>
    <w:link w:val="38"/>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字符"/>
    <w:link w:val="51"/>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文本首行缩进 字符"/>
    <w:link w:val="62"/>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字符1"/>
    <w:link w:val="7"/>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字符"/>
    <w:link w:val="23"/>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1"/>
    <w:autoRedefine/>
    <w:qFormat/>
    <w:uiPriority w:val="0"/>
    <w:rPr>
      <w:kern w:val="2"/>
      <w:sz w:val="21"/>
      <w:szCs w:val="24"/>
    </w:rPr>
  </w:style>
  <w:style w:type="character" w:customStyle="1" w:styleId="347">
    <w:name w:val="签名 字符"/>
    <w:link w:val="43"/>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1"/>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字符"/>
    <w:link w:val="54"/>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字符2"/>
    <w:link w:val="41"/>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字符2"/>
    <w:link w:val="42"/>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156"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71"/>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17"/>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5"/>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71"/>
    <w:autoRedefine/>
    <w:qFormat/>
    <w:uiPriority w:val="0"/>
    <w:rPr>
      <w:rFonts w:ascii="Arial" w:hAnsi="Arial" w:eastAsia="黑体" w:cs="Arial"/>
      <w:snapToGrid w:val="0"/>
      <w:kern w:val="0"/>
      <w:szCs w:val="21"/>
    </w:rPr>
  </w:style>
  <w:style w:type="character" w:customStyle="1" w:styleId="434">
    <w:name w:val="hui"/>
    <w:basedOn w:val="71"/>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83"/>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5"/>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6"/>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8"/>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6"/>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7"/>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next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
    <w:next w:val="2"/>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
    <w:next w:val="2"/>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156"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5"/>
    <w:next w:val="1"/>
    <w:autoRedefine/>
    <w:qFormat/>
    <w:uiPriority w:val="0"/>
    <w:pPr>
      <w:tabs>
        <w:tab w:val="left" w:pos="578"/>
        <w:tab w:val="left" w:pos="900"/>
        <w:tab w:val="left" w:pos="1440"/>
      </w:tabs>
      <w:ind w:left="1440" w:hanging="360"/>
    </w:pPr>
    <w:rPr>
      <w:rFonts w:ascii="仿宋" w:eastAsia="仿宋" w:cs="宋体"/>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4"/>
    <w:autoRedefine/>
    <w:qFormat/>
    <w:uiPriority w:val="0"/>
    <w:pPr>
      <w:tabs>
        <w:tab w:val="left" w:pos="840"/>
      </w:tabs>
      <w:adjustRightInd/>
      <w:ind w:left="840" w:hanging="420"/>
    </w:pPr>
  </w:style>
  <w:style w:type="paragraph" w:customStyle="1" w:styleId="628">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6"/>
    <w:next w:val="54"/>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6"/>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2"/>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20"/>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83"/>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40"/>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1"/>
    <w:autoRedefine/>
    <w:qFormat/>
    <w:uiPriority w:val="0"/>
    <w:rPr>
      <w:b w:val="0"/>
      <w:sz w:val="20"/>
    </w:rPr>
  </w:style>
  <w:style w:type="paragraph" w:customStyle="1" w:styleId="895">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autoRedefine/>
    <w:qFormat/>
    <w:uiPriority w:val="0"/>
    <w:pPr>
      <w:tabs>
        <w:tab w:val="left" w:pos="1080"/>
      </w:tabs>
      <w:ind w:left="1080" w:hanging="1080"/>
    </w:pPr>
  </w:style>
  <w:style w:type="paragraph" w:customStyle="1" w:styleId="898">
    <w:name w:val="数字标题1"/>
    <w:basedOn w:val="4"/>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5"/>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字符"/>
    <w:link w:val="39"/>
    <w:autoRedefine/>
    <w:qFormat/>
    <w:uiPriority w:val="0"/>
    <w:rPr>
      <w:kern w:val="2"/>
      <w:sz w:val="21"/>
      <w:szCs w:val="24"/>
      <w:lang w:val="zh-CN"/>
    </w:rPr>
  </w:style>
  <w:style w:type="character" w:customStyle="1" w:styleId="934">
    <w:name w:val="无间隔 字符"/>
    <w:link w:val="485"/>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83"/>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autoRedefine/>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Body text|1"/>
    <w:basedOn w:val="1"/>
    <w:autoRedefine/>
    <w:qFormat/>
    <w:uiPriority w:val="0"/>
    <w:pPr>
      <w:spacing w:line="391" w:lineRule="auto"/>
      <w:ind w:firstLine="400"/>
    </w:pPr>
    <w:rPr>
      <w:rFonts w:ascii="宋体" w:hAnsi="宋体" w:cs="宋体"/>
      <w:lang w:val="zh-TW" w:eastAsia="zh-TW" w:bidi="zh-TW"/>
    </w:rPr>
  </w:style>
  <w:style w:type="character" w:customStyle="1" w:styleId="966">
    <w:name w:val="font101"/>
    <w:basedOn w:val="71"/>
    <w:autoRedefine/>
    <w:qFormat/>
    <w:uiPriority w:val="0"/>
    <w:rPr>
      <w:rFonts w:hint="eastAsia" w:ascii="宋体" w:hAnsi="宋体" w:eastAsia="宋体" w:cs="宋体"/>
      <w:color w:val="FF0000"/>
      <w:sz w:val="20"/>
      <w:szCs w:val="20"/>
      <w:u w:val="none"/>
    </w:rPr>
  </w:style>
  <w:style w:type="paragraph" w:customStyle="1" w:styleId="967">
    <w:name w:val="封面编号"/>
    <w:basedOn w:val="1"/>
    <w:autoRedefine/>
    <w:qFormat/>
    <w:uiPriority w:val="0"/>
    <w:pPr>
      <w:spacing w:line="360" w:lineRule="auto"/>
      <w:jc w:val="center"/>
    </w:pPr>
    <w:rPr>
      <w:rFonts w:ascii="黑体" w:hAnsi="宋体" w:eastAsia="黑体" w:cs="宋体"/>
      <w:b/>
      <w:bCs/>
      <w:sz w:val="38"/>
      <w:szCs w:val="20"/>
    </w:rPr>
  </w:style>
  <w:style w:type="table" w:customStyle="1" w:styleId="968">
    <w:name w:val="Table Normal"/>
    <w:autoRedefine/>
    <w:semiHidden/>
    <w:unhideWhenUsed/>
    <w:qFormat/>
    <w:uiPriority w:val="0"/>
    <w:tblPr>
      <w:tblCellMar>
        <w:top w:w="0" w:type="dxa"/>
        <w:left w:w="0" w:type="dxa"/>
        <w:bottom w:w="0" w:type="dxa"/>
        <w:right w:w="0" w:type="dxa"/>
      </w:tblCellMar>
    </w:tblPr>
  </w:style>
  <w:style w:type="character" w:customStyle="1" w:styleId="969">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970">
    <w:name w:val="U_正文2"/>
    <w:basedOn w:val="1"/>
    <w:qFormat/>
    <w:uiPriority w:val="0"/>
    <w:pPr>
      <w:spacing w:beforeLines="10" w:afterLines="10" w:line="300" w:lineRule="auto"/>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46</Pages>
  <Words>18876</Words>
  <Characters>20165</Characters>
  <Lines>170</Lines>
  <Paragraphs>47</Paragraphs>
  <TotalTime>1</TotalTime>
  <ScaleCrop>false</ScaleCrop>
  <LinksUpToDate>false</LinksUpToDate>
  <CharactersWithSpaces>23574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空白</cp:lastModifiedBy>
  <cp:lastPrinted>2021-12-27T03:06:00Z</cp:lastPrinted>
  <dcterms:modified xsi:type="dcterms:W3CDTF">2024-12-18T05:48:00Z</dcterms:modified>
  <dc:title>杭州市市民卡扩大发卡工程</dc:title>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D40CF45CFEA04D50957BCE48F89A7B62_13</vt:lpwstr>
  </property>
  <property fmtid="{D5CDD505-2E9C-101B-9397-08002B2CF9AE}" pid="5" name="commondata">
    <vt:lpwstr>eyJoZGlkIjoiMzdkYTNjODAzOWEyZTBjZWI2OWE0Y2U2MTNhOGNiNmUifQ==</vt:lpwstr>
  </property>
</Properties>
</file>